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SZDL2023001813（CLF0123SZ15ZC11A）</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项目名称：环境工程-三重串联四极杆液质联用仪</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w:t>
      </w:r>
      <w:r>
        <w:rPr>
          <w:rFonts w:ascii="仿宋" w:eastAsia="仿宋" w:hAnsi="仿宋" w:hint="eastAsia"/>
          <w:b/>
          <w:color w:val="000000" w:themeColor="text1"/>
          <w:sz w:val="44"/>
          <w:szCs w:val="44"/>
          <w:lang w:val="en-US" w:eastAsia="zh-CN"/>
          <w14:textFill>
            <w14:solidFill>
              <w14:schemeClr w14:val="tx1"/>
            </w14:solidFill>
          </w14:textFill>
        </w:rPr>
        <w:t>九</w:t>
      </w:r>
      <w:r>
        <w:rPr>
          <w:rFonts w:ascii="仿宋" w:eastAsia="仿宋" w:hAnsi="仿宋" w:hint="eastAsia"/>
          <w:b/>
          <w:color w:val="000000" w:themeColor="text1"/>
          <w:sz w:val="44"/>
          <w:szCs w:val="44"/>
          <w14:textFill>
            <w14:solidFill>
              <w14:schemeClr w14:val="tx1"/>
            </w14:solidFill>
          </w14:textFill>
        </w:rPr>
        <w:t>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color w:val="FF0000"/>
          <w:sz w:val="24"/>
        </w:rPr>
      </w:pPr>
      <w:r>
        <w:rPr>
          <w:rFonts w:ascii="宋体" w:hAnsi="宋体" w:hint="eastAsia"/>
          <w:sz w:val="24"/>
        </w:rPr>
        <w:t>投标人如需对项目提出询问或质疑，应按招标文件附件中的询问函和质疑函的格式提交。</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4676"/>
      <w:bookmarkStart w:id="2" w:name="_Toc292267790"/>
      <w:bookmarkStart w:id="3" w:name="_Toc435115363"/>
      <w:bookmarkStart w:id="4" w:name="_Toc435115051"/>
    </w:p>
    <w:p>
      <w:pPr>
        <w:spacing w:line="360" w:lineRule="auto"/>
        <w:jc w:val="center"/>
        <w:rPr>
          <w:rFonts w:ascii="宋体" w:hAnsi="宋体"/>
          <w:b/>
          <w:sz w:val="44"/>
          <w:szCs w:val="44"/>
        </w:rPr>
      </w:pPr>
      <w:r>
        <w:rPr>
          <w:rFonts w:ascii="宋体" w:hAnsi="宋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Theme="minorEastAsia" w:eastAsiaTheme="minorEastAsia" w:hAnsiTheme="minorEastAsia"/>
          <w:bCs w:val="0"/>
          <w:caps w:val="0"/>
          <w:sz w:val="28"/>
          <w:szCs w:val="28"/>
        </w:rPr>
        <w:fldChar w:fldCharType="begin"/>
      </w:r>
      <w:r>
        <w:rPr>
          <w:rFonts w:asciiTheme="minorEastAsia" w:eastAsiaTheme="minorEastAsia" w:hAnsiTheme="minorEastAsia"/>
          <w:bCs w:val="0"/>
          <w:caps w:val="0"/>
          <w:sz w:val="28"/>
          <w:szCs w:val="28"/>
        </w:rPr>
        <w:instrText xml:space="preserve"> TOC \o "1-3" \h \z \u </w:instrText>
      </w:r>
      <w:r>
        <w:rPr>
          <w:rFonts w:asciiTheme="minorEastAsia" w:eastAsiaTheme="minorEastAsia" w:hAnsiTheme="minor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ascii="宋体" w:hAnsi="宋体" w:cs="宋体" w:hint="eastAsia"/>
          <w:b/>
          <w:kern w:val="0"/>
        </w:rPr>
        <w:t>1．用途</w:t>
      </w:r>
      <w:r>
        <w:rPr>
          <w:rStyle w:val="Hyperlink"/>
        </w:rPr>
        <w:tab/>
      </w:r>
      <w:r>
        <w:fldChar w:fldCharType="begin"/>
      </w:r>
      <w:r>
        <w:rPr>
          <w:rStyle w:val="Hyperlink"/>
        </w:rPr>
        <w:instrText xml:space="preserve"> PAGEREF _Toc256000010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ascii="宋体" w:hAnsi="宋体" w:cs="宋体" w:hint="eastAsia"/>
          <w:b/>
          <w:kern w:val="0"/>
        </w:rPr>
        <w:t>2．</w:t>
      </w:r>
      <w:r>
        <w:rPr>
          <w:rStyle w:val="Hyperlink"/>
          <w:rFonts w:ascii="宋体" w:hAnsi="宋体" w:cs="宋体"/>
          <w:b/>
          <w:kern w:val="0"/>
        </w:rPr>
        <w:t>★</w:t>
      </w:r>
      <w:r>
        <w:rPr>
          <w:rStyle w:val="Hyperlink"/>
          <w:rFonts w:ascii="宋体" w:hAnsi="宋体" w:cs="宋体" w:hint="eastAsia"/>
          <w:b/>
          <w:kern w:val="0"/>
        </w:rPr>
        <w:t>配置要求</w:t>
      </w:r>
      <w:r>
        <w:rPr>
          <w:rStyle w:val="Hyperlink"/>
        </w:rPr>
        <w:tab/>
      </w:r>
      <w:r>
        <w:fldChar w:fldCharType="begin"/>
      </w:r>
      <w:r>
        <w:rPr>
          <w:rStyle w:val="Hyperlink"/>
        </w:rPr>
        <w:instrText xml:space="preserve"> PAGEREF _Toc256000011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ascii="宋体" w:hAnsi="宋体" w:cs="宋体" w:hint="eastAsia"/>
          <w:b/>
          <w:kern w:val="0"/>
        </w:rPr>
        <w:t>3．技术要求</w:t>
      </w:r>
      <w:r>
        <w:rPr>
          <w:rStyle w:val="Hyperlink"/>
        </w:rPr>
        <w:tab/>
      </w:r>
      <w:r>
        <w:fldChar w:fldCharType="begin"/>
      </w:r>
      <w:r>
        <w:rPr>
          <w:rStyle w:val="Hyperlink"/>
        </w:rPr>
        <w:instrText xml:space="preserve"> PAGEREF _Toc256000012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ascii="宋体" w:hAnsi="宋体" w:cs="宋体" w:hint="eastAsia"/>
          <w:b/>
          <w:kern w:val="0"/>
        </w:rPr>
        <w:t>1．用途</w:t>
      </w:r>
      <w:r>
        <w:rPr>
          <w:rStyle w:val="Hyperlink"/>
        </w:rPr>
        <w:tab/>
      </w:r>
      <w:r>
        <w:fldChar w:fldCharType="begin"/>
      </w:r>
      <w:r>
        <w:rPr>
          <w:rStyle w:val="Hyperlink"/>
        </w:rPr>
        <w:instrText xml:space="preserve"> PAGEREF _Toc256000013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Fonts w:ascii="宋体" w:hAnsi="宋体" w:cs="宋体" w:hint="eastAsia"/>
          <w:b/>
          <w:kern w:val="0"/>
        </w:rPr>
        <w:t>2．★配置要求</w:t>
      </w:r>
      <w:r>
        <w:rPr>
          <w:rStyle w:val="Hyperlink"/>
        </w:rPr>
        <w:tab/>
      </w:r>
      <w:r>
        <w:fldChar w:fldCharType="begin"/>
      </w:r>
      <w:r>
        <w:rPr>
          <w:rStyle w:val="Hyperlink"/>
        </w:rPr>
        <w:instrText xml:space="preserve"> PAGEREF _Toc256000014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Fonts w:ascii="宋体" w:hAnsi="宋体" w:cs="宋体" w:hint="eastAsia"/>
          <w:b/>
          <w:kern w:val="0"/>
        </w:rPr>
        <w:t>3</w:t>
      </w:r>
      <w:r>
        <w:rPr>
          <w:rStyle w:val="Hyperlink"/>
          <w:rFonts w:ascii="宋体" w:hAnsi="宋体" w:cs="宋体" w:hint="eastAsia"/>
          <w:b/>
          <w:kern w:val="0"/>
        </w:rPr>
        <w:t>．技术要求</w:t>
      </w:r>
      <w:r>
        <w:rPr>
          <w:rStyle w:val="Hyperlink"/>
        </w:rPr>
        <w:tab/>
      </w:r>
      <w:r>
        <w:fldChar w:fldCharType="begin"/>
      </w:r>
      <w:r>
        <w:rPr>
          <w:rStyle w:val="Hyperlink"/>
        </w:rPr>
        <w:instrText xml:space="preserve"> PAGEREF _Toc256000015 \h </w:instrText>
      </w:r>
      <w:r>
        <w:fldChar w:fldCharType="separate"/>
      </w:r>
      <w:r>
        <w:rPr>
          <w:rStyle w:val="Hyperlink"/>
        </w:rPr>
        <w:t>15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Fonts w:hint="eastAsia"/>
        </w:rPr>
        <w:t>第三章 评标方法</w:t>
      </w:r>
      <w:r>
        <w:rPr>
          <w:rStyle w:val="Hyperlink"/>
          <w:rFonts w:hint="eastAsia"/>
        </w:rPr>
        <w:t>和标准</w:t>
      </w:r>
      <w:r>
        <w:rPr>
          <w:rStyle w:val="Hyperlink"/>
        </w:rPr>
        <w:tab/>
      </w:r>
      <w:r>
        <w:fldChar w:fldCharType="begin"/>
      </w:r>
      <w:r>
        <w:rPr>
          <w:rStyle w:val="Hyperlink"/>
        </w:rPr>
        <w:instrText xml:space="preserve"> PAGEREF _Toc256000016 \h </w:instrText>
      </w:r>
      <w:r>
        <w:fldChar w:fldCharType="separate"/>
      </w:r>
      <w:r>
        <w:rPr>
          <w:rStyle w:val="Hyperlink"/>
        </w:rPr>
        <w:t>21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_Toc256000017 \h </w:instrText>
      </w:r>
      <w:r>
        <w:fldChar w:fldCharType="separate"/>
      </w:r>
      <w:r>
        <w:rPr>
          <w:rStyle w:val="Hyperlink"/>
        </w:rPr>
        <w:t>30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_Toc256000018 \h </w:instrText>
      </w:r>
      <w:r>
        <w:fldChar w:fldCharType="separate"/>
      </w:r>
      <w:r>
        <w:rPr>
          <w:rStyle w:val="Hyperlink"/>
        </w:rPr>
        <w:t>30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_Toc256000019 \h </w:instrText>
      </w:r>
      <w:r>
        <w:fldChar w:fldCharType="separate"/>
      </w:r>
      <w:r>
        <w:rPr>
          <w:rStyle w:val="Hyperlink"/>
        </w:rPr>
        <w:t>33</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_Toc256000020 \h </w:instrText>
      </w:r>
      <w:r>
        <w:fldChar w:fldCharType="separate"/>
      </w:r>
      <w:r>
        <w:rPr>
          <w:rStyle w:val="Hyperlink"/>
        </w:rPr>
        <w:t>33</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_Toc256000021 \h </w:instrText>
      </w:r>
      <w:r>
        <w:fldChar w:fldCharType="separate"/>
      </w:r>
      <w:r>
        <w:rPr>
          <w:rStyle w:val="Hyperlink"/>
        </w:rPr>
        <w:t>34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_Toc256000022 \h </w:instrText>
      </w:r>
      <w:r>
        <w:fldChar w:fldCharType="separate"/>
      </w:r>
      <w:r>
        <w:rPr>
          <w:rStyle w:val="Hyperlink"/>
        </w:rPr>
        <w:t>35</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_Toc256000023 \h </w:instrText>
      </w:r>
      <w:r>
        <w:fldChar w:fldCharType="separate"/>
      </w:r>
      <w:r>
        <w:rPr>
          <w:rStyle w:val="Hyperlink"/>
        </w:rPr>
        <w:t>40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_Toc256000024 \h </w:instrText>
      </w:r>
      <w:r>
        <w:fldChar w:fldCharType="separate"/>
      </w:r>
      <w:r>
        <w:rPr>
          <w:rStyle w:val="Hyperlink"/>
        </w:rPr>
        <w:t>40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_Toc256000025 \h </w:instrText>
      </w:r>
      <w:r>
        <w:fldChar w:fldCharType="separate"/>
      </w:r>
      <w:r>
        <w:rPr>
          <w:rStyle w:val="Hyperlink"/>
        </w:rPr>
        <w:t>45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第五章</w:t>
      </w:r>
      <w:r>
        <w:rPr>
          <w:rStyle w:val="Hyperlink"/>
          <w:rFonts w:hint="eastAsia"/>
        </w:rPr>
        <w:t xml:space="preserve"> 合同格式条款（仅供参考）</w:t>
      </w:r>
      <w:r>
        <w:rPr>
          <w:rStyle w:val="Hyperlink"/>
        </w:rPr>
        <w:tab/>
      </w:r>
      <w:r>
        <w:fldChar w:fldCharType="begin"/>
      </w:r>
      <w:r>
        <w:rPr>
          <w:rStyle w:val="Hyperlink"/>
        </w:rPr>
        <w:instrText xml:space="preserve"> PAGEREF _Toc256000026 \h </w:instrText>
      </w:r>
      <w:r>
        <w:fldChar w:fldCharType="separate"/>
      </w:r>
      <w:r>
        <w:rPr>
          <w:rStyle w:val="Hyperlink"/>
        </w:rPr>
        <w:t>50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_Toc256000027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_Toc256000028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_Toc256000029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_Toc256000030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_Toc256000031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_Toc256000032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_Toc256000033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_Toc256000034 \h </w:instrText>
      </w:r>
      <w:r>
        <w:fldChar w:fldCharType="separate"/>
      </w:r>
      <w:r>
        <w:rPr>
          <w:rStyle w:val="Hyperlink"/>
        </w:rPr>
        <w:t>60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_Toc256000035 \h </w:instrText>
      </w:r>
      <w:r>
        <w:fldChar w:fldCharType="separate"/>
      </w:r>
      <w:r>
        <w:rPr>
          <w:rStyle w:val="Hyperlink"/>
        </w:rPr>
        <w:t>61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_Toc256000036 \h </w:instrText>
      </w:r>
      <w:r>
        <w:fldChar w:fldCharType="separate"/>
      </w:r>
      <w:r>
        <w:rPr>
          <w:rStyle w:val="Hyperlink"/>
        </w:rPr>
        <w:t>63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_Toc256000037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_Toc256000038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投标人近三年同类业绩</w:t>
      </w:r>
      <w:r>
        <w:rPr>
          <w:rStyle w:val="Hyperlink"/>
        </w:rPr>
        <w:tab/>
      </w:r>
      <w:r>
        <w:fldChar w:fldCharType="begin"/>
      </w:r>
      <w:r>
        <w:rPr>
          <w:rStyle w:val="Hyperlink"/>
        </w:rPr>
        <w:instrText xml:space="preserve"> PAGEREF _Toc256000039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_Toc256000040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_Toc256000041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_Toc256000042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_Toc256000043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_Toc256000044 \h </w:instrText>
      </w:r>
      <w:r>
        <w:fldChar w:fldCharType="separate"/>
      </w:r>
      <w:r>
        <w:rPr>
          <w:rStyle w:val="Hyperlink"/>
        </w:rPr>
        <w:t>71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_Toc256000045 \h </w:instrText>
      </w:r>
      <w:r>
        <w:fldChar w:fldCharType="separate"/>
      </w:r>
      <w:r>
        <w:rPr>
          <w:rStyle w:val="Hyperlink"/>
        </w:rPr>
        <w:t>72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ascii="宋体" w:hAnsi="宋体" w:cs="宋体" w:hint="eastAsia"/>
          <w:b/>
          <w:kern w:val="0"/>
        </w:rPr>
        <w:t>2．★配置要求</w:t>
      </w:r>
      <w:r>
        <w:rPr>
          <w:rStyle w:val="Hyperlink"/>
        </w:rPr>
        <w:tab/>
      </w:r>
      <w:r>
        <w:fldChar w:fldCharType="begin"/>
      </w:r>
      <w:r>
        <w:rPr>
          <w:rStyle w:val="Hyperlink"/>
        </w:rPr>
        <w:instrText xml:space="preserve"> PAGEREF _Toc256000046 \h </w:instrText>
      </w:r>
      <w:r>
        <w:fldChar w:fldCharType="separate"/>
      </w:r>
      <w:r>
        <w:rPr>
          <w:rStyle w:val="Hyperlink"/>
        </w:rPr>
        <w:t>72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_Toc256000047 \h </w:instrText>
      </w:r>
      <w:r>
        <w:fldChar w:fldCharType="separate"/>
      </w:r>
      <w:r>
        <w:rPr>
          <w:rStyle w:val="Hyperlink"/>
        </w:rPr>
        <w:t>77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用户需求书商务条款响应一览表</w:t>
      </w:r>
      <w:r>
        <w:rPr>
          <w:rStyle w:val="Hyperlink"/>
        </w:rPr>
        <w:tab/>
      </w:r>
      <w:r>
        <w:fldChar w:fldCharType="begin"/>
      </w:r>
      <w:r>
        <w:rPr>
          <w:rStyle w:val="Hyperlink"/>
        </w:rPr>
        <w:instrText xml:space="preserve"> PAGEREF _Toc256000048 \h </w:instrText>
      </w:r>
      <w:r>
        <w:fldChar w:fldCharType="separate"/>
      </w:r>
      <w:r>
        <w:rPr>
          <w:rStyle w:val="Hyperlink"/>
        </w:rPr>
        <w:t>78</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_Toc256000049 \h </w:instrText>
      </w:r>
      <w:r>
        <w:fldChar w:fldCharType="separate"/>
      </w:r>
      <w:r>
        <w:rPr>
          <w:rStyle w:val="Hyperlink"/>
        </w:rPr>
        <w:t>79</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《政府采购违法行为风险知悉确认书》附件</w:t>
      </w:r>
      <w:r>
        <w:rPr>
          <w:rStyle w:val="Hyperlink"/>
        </w:rPr>
        <w:tab/>
      </w:r>
      <w:r>
        <w:fldChar w:fldCharType="begin"/>
      </w:r>
      <w:r>
        <w:rPr>
          <w:rStyle w:val="Hyperlink"/>
        </w:rPr>
        <w:instrText xml:space="preserve"> PAGEREF _Toc256000050 \h </w:instrText>
      </w:r>
      <w:r>
        <w:fldChar w:fldCharType="separate"/>
      </w:r>
      <w:r>
        <w:rPr>
          <w:rStyle w:val="Hyperlink"/>
        </w:rPr>
        <w:t>81</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_Toc256000051 \h </w:instrText>
      </w:r>
      <w:r>
        <w:fldChar w:fldCharType="separate"/>
      </w:r>
      <w:r>
        <w:rPr>
          <w:rStyle w:val="Hyperlink"/>
        </w:rPr>
        <w:t>82</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Fonts w:hint="eastAsia"/>
        </w:rPr>
        <w:t>（二十四）</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_Toc256000052 \h </w:instrText>
      </w:r>
      <w:r>
        <w:fldChar w:fldCharType="separate"/>
      </w:r>
      <w:r>
        <w:rPr>
          <w:rStyle w:val="Hyperlink"/>
        </w:rPr>
        <w:t>83</w:t>
      </w:r>
      <w:r>
        <w:fldChar w:fldCharType="end"/>
      </w:r>
      <w:r>
        <w:fldChar w:fldCharType="end"/>
      </w:r>
    </w:p>
    <w:p>
      <w:pPr>
        <w:jc w:val="center"/>
        <w:rPr>
          <w:rFonts w:asciiTheme="minorEastAsia" w:eastAsiaTheme="minorEastAsia" w:hAnsiTheme="minorEastAsia" w:cs="Calibri"/>
          <w:bCs/>
          <w:caps/>
          <w:szCs w:val="28"/>
        </w:rPr>
      </w:pPr>
      <w:r>
        <w:rPr>
          <w:rFonts w:asciiTheme="minorEastAsia" w:eastAsiaTheme="minorEastAsia" w:hAnsiTheme="minorEastAsia" w:cs="Calibri"/>
          <w:bCs/>
          <w:caps/>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2598"/>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环境工程-三重串联四极杆液质联用仪的潜在投标人应在（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bCs/>
          <w:sz w:val="24"/>
        </w:rPr>
        <w:t>年</w:t>
      </w:r>
      <w:r>
        <w:rPr>
          <w:rFonts w:asciiTheme="minorEastAsia" w:eastAsiaTheme="minorEastAsia" w:hAnsiTheme="minorEastAsia" w:hint="eastAsia"/>
          <w:bCs/>
          <w:sz w:val="24"/>
          <w:lang w:val="en-US" w:eastAsia="zh-CN"/>
        </w:rPr>
        <w:t>9</w:t>
      </w:r>
      <w:r>
        <w:rPr>
          <w:rFonts w:asciiTheme="minorEastAsia" w:eastAsiaTheme="minorEastAsia" w:hAnsiTheme="minorEastAsia" w:hint="eastAsia"/>
          <w:bCs/>
          <w:sz w:val="24"/>
        </w:rPr>
        <w:t>月</w:t>
      </w:r>
      <w:r>
        <w:rPr>
          <w:rFonts w:asciiTheme="minorEastAsia" w:eastAsiaTheme="minorEastAsia" w:hAnsiTheme="minorEastAsia" w:hint="eastAsia"/>
          <w:bCs/>
          <w:sz w:val="24"/>
          <w:lang w:val="en-US" w:eastAsia="zh-CN"/>
        </w:rPr>
        <w:t>26</w:t>
      </w:r>
      <w:r>
        <w:rPr>
          <w:rFonts w:asciiTheme="minorEastAsia" w:eastAsiaTheme="minorEastAsia" w:hAnsiTheme="minorEastAsia" w:hint="eastAsia"/>
          <w:bCs/>
          <w:sz w:val="24"/>
        </w:rPr>
        <w:t>日</w:t>
      </w:r>
      <w:r>
        <w:rPr>
          <w:rFonts w:asciiTheme="minorEastAsia" w:eastAsiaTheme="minorEastAsia" w:hAnsiTheme="minorEastAsia" w:hint="eastAsia"/>
          <w:bCs/>
          <w:sz w:val="24"/>
          <w:lang w:val="en-US" w:eastAsia="zh-CN"/>
        </w:rPr>
        <w:t>14</w:t>
      </w:r>
      <w:r>
        <w:rPr>
          <w:rFonts w:asciiTheme="minorEastAsia" w:eastAsiaTheme="minorEastAsia" w:hAnsiTheme="minorEastAsia" w:hint="eastAsia"/>
          <w:bCs/>
          <w:sz w:val="24"/>
        </w:rPr>
        <w:t>：</w:t>
      </w:r>
      <w:r>
        <w:rPr>
          <w:rFonts w:asciiTheme="minorEastAsia" w:eastAsiaTheme="minorEastAsia" w:hAnsiTheme="minorEastAsia" w:hint="eastAsia"/>
          <w:bCs/>
          <w:sz w:val="24"/>
          <w:lang w:val="en-US" w:eastAsia="zh-CN"/>
        </w:rPr>
        <w:t>45</w:t>
      </w:r>
      <w:r>
        <w:rPr>
          <w:rFonts w:asciiTheme="minorEastAsia" w:eastAsiaTheme="minorEastAsia" w:hAnsiTheme="minorEastAsia" w:hint="eastAsia"/>
          <w:bCs/>
          <w:sz w:val="24"/>
        </w:rPr>
        <w:t>（北京时间）前网上递交投标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35393621"/>
      <w:bookmarkStart w:id="11" w:name="_Toc35393790"/>
      <w:bookmarkStart w:id="12" w:name="_Toc16952"/>
      <w:bookmarkStart w:id="13" w:name="_Toc28359079"/>
      <w:bookmarkStart w:id="14" w:name="_Toc28359002"/>
      <w:bookmarkStart w:id="15" w:name="_Hlk24379207"/>
      <w:bookmarkStart w:id="16" w:name="_Toc256000001"/>
      <w:r>
        <w:rPr>
          <w:rFonts w:asciiTheme="minorEastAsia" w:eastAsiaTheme="minorEastAsia" w:hAnsiTheme="minorEastAsia" w:cs="宋体" w:hint="eastAsia"/>
          <w:b w:val="0"/>
          <w:sz w:val="24"/>
          <w:szCs w:val="24"/>
        </w:rPr>
        <w:t>一、项目基本情况</w:t>
      </w:r>
      <w:bookmarkEnd w:id="16"/>
      <w:bookmarkEnd w:id="10"/>
      <w:bookmarkEnd w:id="11"/>
      <w:bookmarkEnd w:id="12"/>
      <w:bookmarkEnd w:id="13"/>
      <w:bookmarkEnd w:id="14"/>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SZDL2023001813（CLF0123SZ15ZC11A）</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（二）项目名称：环境工程-三重串联四极杆液质联用仪</w:t>
      </w:r>
    </w:p>
    <w:p>
      <w:pPr>
        <w:spacing w:line="360" w:lineRule="auto"/>
        <w:ind w:firstLine="420" w:firstLineChars="200"/>
        <w:rPr>
          <w:rFonts w:asciiTheme="minorEastAsia" w:eastAsiaTheme="minorEastAsia" w:hAnsiTheme="minorEastAsia"/>
          <w:sz w:val="24"/>
        </w:rPr>
      </w:pPr>
      <w:bookmarkEnd w:id="15"/>
      <w:r>
        <w:rPr>
          <w:rFonts w:asciiTheme="minorEastAsia" w:eastAsiaTheme="minorEastAsia" w:hAnsiTheme="minorEastAsia" w:hint="eastAsia"/>
          <w:sz w:val="24"/>
        </w:rPr>
        <w:t>（三）预算金额：人民币380.16万元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（四）最高限价：人民币380.16万元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（六）合同履行期限：合同签订后180个日历日内</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w:t>
      </w:r>
      <w:r>
        <w:rPr>
          <w:rFonts w:ascii="宋体" w:hAnsi="宋体" w:cs="宋体" w:hint="eastAsia"/>
          <w:kern w:val="0"/>
          <w:sz w:val="24"/>
        </w:rPr>
        <w:t>接受投标人选用进口产品参与投标。</w:t>
      </w:r>
      <w:bookmarkStart w:id="17"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7"/>
      <w:r>
        <w:rPr>
          <w:rFonts w:ascii="宋体" w:hint="eastAsia"/>
          <w:bCs/>
          <w:sz w:val="24"/>
        </w:rPr>
        <w:t>。</w:t>
      </w:r>
      <w:bookmarkEnd w:id="9"/>
      <w:bookmarkStart w:id="18" w:name="_Hlk65850659"/>
      <w:bookmarkStart w:id="19" w:name="_Toc28359003"/>
      <w:bookmarkStart w:id="20" w:name="_Toc28359080"/>
      <w:bookmarkStart w:id="21" w:name="_Toc35393622"/>
      <w:bookmarkStart w:id="22" w:name="_Toc35393791"/>
    </w:p>
    <w:p>
      <w:pPr>
        <w:pStyle w:val="Heading2"/>
        <w:adjustRightInd w:val="0"/>
        <w:snapToGrid w:val="0"/>
        <w:spacing w:line="360" w:lineRule="auto"/>
        <w:rPr>
          <w:rFonts w:asciiTheme="minorEastAsia" w:eastAsiaTheme="minorEastAsia" w:hAnsiTheme="minorEastAsia" w:cs="宋体"/>
          <w:b w:val="0"/>
          <w:sz w:val="24"/>
          <w:szCs w:val="24"/>
        </w:rPr>
      </w:pPr>
      <w:bookmarkEnd w:id="18"/>
      <w:bookmarkStart w:id="23" w:name="_Toc623"/>
      <w:bookmarkStart w:id="24" w:name="_Toc256000002"/>
      <w:r>
        <w:rPr>
          <w:rFonts w:asciiTheme="minorEastAsia" w:eastAsiaTheme="minorEastAsia" w:hAnsiTheme="minorEastAsia" w:cs="宋体" w:hint="eastAsia"/>
          <w:b w:val="0"/>
          <w:sz w:val="24"/>
          <w:szCs w:val="24"/>
        </w:rPr>
        <w:t>二、供应商的资格要求</w:t>
      </w:r>
      <w:bookmarkEnd w:id="24"/>
      <w:bookmarkEnd w:id="19"/>
      <w:bookmarkEnd w:id="20"/>
      <w:bookmarkEnd w:id="21"/>
      <w:bookmarkEnd w:id="22"/>
      <w:bookmarkEnd w:id="23"/>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一</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满足《中华人民共和国政府采购法》第二十二条规定（要求投标人提供营业执照或事业单位法人证等法人证明扫描件以及《政府采购投标及履约承诺函》）。</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5" w:name="_Toc28359004"/>
      <w:bookmarkStart w:id="26" w:name="_Toc28359081"/>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二</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落实政府采购政策需满足的资格要求：无。</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三</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本项目的特定资格要求：</w:t>
      </w:r>
      <w:bookmarkStart w:id="27" w:name="_Hlk41992228"/>
      <w:r>
        <w:rPr>
          <w:rFonts w:asciiTheme="minorEastAsia" w:eastAsiaTheme="minorEastAsia" w:hAnsiTheme="minorEastAsia" w:cs="Times New Roman" w:hint="eastAsia"/>
          <w:sz w:val="24"/>
        </w:rPr>
        <w:t>无。</w:t>
      </w:r>
      <w:bookmarkEnd w:id="27"/>
    </w:p>
    <w:p>
      <w:pPr>
        <w:numPr>
          <w:ilvl w:val="0"/>
          <w:numId w:val="0"/>
        </w:num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四</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8" w:name="_Hlk50363588"/>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五</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参与本项目政府采购活动时不存在被有关部门禁止参与政府采购活动且在有效期内的情况（由供应商在《政府采购投标及履约承诺函》中作出声明）。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9" w:name="_Hlk50362743"/>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六</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为采购项目提供整体设计、规范编制或者项目管理、监理、检测等服务的供应商，不得再参加该采购项目同一合同项下的其他采购活动（由供应商在《政府采购投标及履约承诺函》中作出声明）。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七</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单位负责人为同一人或者存在直接控股、管理关系的不同供应商，不得参加同一合同项下的政府采购活动（由供应商在《政府采购投标及履约承诺函》中作出声明）。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八</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未</w:t>
      </w:r>
      <w:bookmarkStart w:id="30" w:name="_Hlk41992259"/>
      <w:r>
        <w:rPr>
          <w:rFonts w:asciiTheme="minorEastAsia" w:eastAsiaTheme="minorEastAsia" w:hAnsiTheme="minorEastAsia" w:cs="Times New Roman" w:hint="eastAsia"/>
          <w:sz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0"/>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（九）</w:t>
      </w:r>
      <w:r>
        <w:rPr>
          <w:rFonts w:asciiTheme="minorEastAsia" w:eastAsiaTheme="minorEastAsia" w:hAnsiTheme="minorEastAsia" w:cs="Times New Roman" w:hint="eastAsia"/>
          <w:sz w:val="24"/>
        </w:rPr>
        <w:t>接受投标人选用进口产品参与投标，若所投产品为进口，则投标人必须提供由设备制造商或授权的中国代理签署的合法有效的针对所投标产品对应商品授权书；若所投产品为国产产品，则无需提供。</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（十）</w:t>
      </w:r>
      <w:r>
        <w:rPr>
          <w:rFonts w:asciiTheme="minorEastAsia" w:eastAsiaTheme="minorEastAsia" w:hAnsiTheme="minorEastAsia" w:cs="Times New Roman" w:hint="eastAsia"/>
          <w:sz w:val="24"/>
        </w:rPr>
        <w:t>本项目不接受联合体投标，不得转包、分包。</w:t>
      </w:r>
    </w:p>
    <w:p>
      <w:pPr>
        <w:pStyle w:val="Heading2"/>
        <w:adjustRightInd w:val="0"/>
        <w:snapToGrid w:val="0"/>
        <w:spacing w:line="360" w:lineRule="auto"/>
        <w:rPr>
          <w:rFonts w:asciiTheme="minorEastAsia" w:eastAsiaTheme="minorEastAsia" w:hAnsiTheme="minorEastAsia" w:cs="宋体"/>
          <w:b w:val="0"/>
          <w:color w:val="auto"/>
          <w:sz w:val="24"/>
          <w:szCs w:val="24"/>
        </w:rPr>
      </w:pPr>
      <w:bookmarkEnd w:id="28"/>
      <w:bookmarkEnd w:id="29"/>
      <w:bookmarkStart w:id="31" w:name="_Toc35393623"/>
      <w:bookmarkStart w:id="32" w:name="_Toc35393792"/>
      <w:bookmarkStart w:id="33" w:name="_Toc9160"/>
      <w:bookmarkStart w:id="34" w:name="_Toc256000003"/>
      <w:r>
        <w:rPr>
          <w:rFonts w:asciiTheme="minorEastAsia" w:eastAsiaTheme="minorEastAsia" w:hAnsiTheme="minorEastAsia" w:cs="宋体" w:hint="eastAsia"/>
          <w:b w:val="0"/>
          <w:color w:val="auto"/>
          <w:sz w:val="24"/>
          <w:szCs w:val="24"/>
        </w:rPr>
        <w:t>三、获取招标文件</w:t>
      </w:r>
      <w:bookmarkEnd w:id="34"/>
      <w:bookmarkEnd w:id="25"/>
      <w:bookmarkEnd w:id="26"/>
      <w:bookmarkEnd w:id="31"/>
      <w:bookmarkEnd w:id="32"/>
      <w:bookmarkEnd w:id="33"/>
    </w:p>
    <w:p>
      <w:pPr>
        <w:adjustRightInd w:val="0"/>
        <w:snapToGrid w:val="0"/>
        <w:spacing w:line="360" w:lineRule="auto"/>
        <w:ind w:firstLine="540"/>
        <w:jc w:val="left"/>
        <w:rPr>
          <w:rFonts w:asciiTheme="minorEastAsia" w:eastAsiaTheme="minorEastAsia" w:hAnsiTheme="minorEastAsia"/>
          <w:color w:val="auto"/>
          <w:sz w:val="24"/>
        </w:rPr>
      </w:pPr>
      <w:bookmarkStart w:id="35" w:name="_Toc28359082"/>
      <w:bookmarkStart w:id="36" w:name="_Toc28359005"/>
      <w:bookmarkStart w:id="37" w:name="_Toc35393624"/>
      <w:bookmarkStart w:id="38" w:name="_Toc35393793"/>
      <w:r>
        <w:rPr>
          <w:rFonts w:asciiTheme="minorEastAsia" w:eastAsiaTheme="minorEastAsia" w:hAnsiTheme="minorEastAsia" w:hint="eastAsia"/>
          <w:color w:val="auto"/>
          <w:sz w:val="24"/>
        </w:rPr>
        <w:t>时间：2023年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13</w:t>
      </w:r>
      <w:r>
        <w:rPr>
          <w:rFonts w:asciiTheme="minorEastAsia" w:eastAsiaTheme="minorEastAsia" w:hAnsiTheme="minorEastAsia" w:hint="eastAsia"/>
          <w:color w:val="auto"/>
          <w:sz w:val="24"/>
        </w:rPr>
        <w:t>日至</w:t>
      </w:r>
      <w:r>
        <w:rPr>
          <w:rFonts w:asciiTheme="minorEastAsia" w:eastAsiaTheme="minorEastAsia" w:hAnsiTheme="minorEastAsia" w:hint="eastAsia"/>
          <w:sz w:val="24"/>
          <w:lang w:val="en-US" w:eastAsia="zh-CN"/>
        </w:rPr>
        <w:t>2023年9月26日14：45</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color w:val="auto"/>
          <w:sz w:val="24"/>
        </w:rPr>
      </w:pPr>
      <w:r>
        <w:rPr>
          <w:rFonts w:asciiTheme="minorEastAsia" w:eastAsiaTheme="minorEastAsia" w:hAnsiTheme="minorEastAsia" w:hint="eastAsia"/>
          <w:sz w:val="24"/>
        </w:rPr>
        <w:t>售价</w:t>
      </w:r>
      <w:r>
        <w:rPr>
          <w:rFonts w:asciiTheme="minorEastAsia" w:eastAsiaTheme="minorEastAsia" w:hAnsiTheme="minorEastAsia" w:hint="eastAsia"/>
          <w:color w:val="auto"/>
          <w:sz w:val="24"/>
        </w:rPr>
        <w:t>：免费。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color w:val="auto"/>
          <w:sz w:val="24"/>
        </w:rPr>
        <w:t>凡已注册的深圳市网上政府采购供应商，按照授予的操作权限，可于2023年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13</w:t>
      </w:r>
      <w:r>
        <w:rPr>
          <w:rFonts w:asciiTheme="minorEastAsia" w:eastAsiaTheme="minorEastAsia" w:hAnsiTheme="minorEastAsia" w:hint="eastAsia"/>
          <w:color w:val="auto"/>
          <w:sz w:val="24"/>
        </w:rPr>
        <w:t>日至</w:t>
      </w:r>
      <w:r>
        <w:rPr>
          <w:rFonts w:asciiTheme="minorEastAsia" w:eastAsiaTheme="minorEastAsia" w:hAnsiTheme="minorEastAsia" w:hint="eastAsia"/>
          <w:sz w:val="24"/>
          <w:lang w:val="en-US" w:eastAsia="zh-CN"/>
        </w:rPr>
        <w:t>2023年9月26日14：45</w:t>
      </w:r>
      <w:r>
        <w:rPr>
          <w:rFonts w:asciiTheme="minorEastAsia" w:eastAsiaTheme="minorEastAsia" w:hAnsiTheme="minorEastAsia" w:hint="eastAsia"/>
          <w:color w:val="auto"/>
          <w:sz w:val="24"/>
        </w:rPr>
        <w:t>期间登录深圳政府采购智慧平台（http://zfcg.szggzy.com:8081/）下载本项目的采购文件。投标人如确定</w:t>
      </w:r>
      <w:r>
        <w:rPr>
          <w:rFonts w:asciiTheme="minorEastAsia" w:eastAsiaTheme="minorEastAsia" w:hAnsiTheme="minorEastAsia" w:hint="eastAsia"/>
          <w:sz w:val="24"/>
        </w:rPr>
        <w:t>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39" w:name="_Toc9905"/>
      <w:bookmarkStart w:id="40" w:name="_Toc256000004"/>
      <w:r>
        <w:rPr>
          <w:rFonts w:asciiTheme="minorEastAsia" w:eastAsiaTheme="minorEastAsia" w:hAnsiTheme="minorEastAsia" w:cs="宋体" w:hint="eastAsia"/>
          <w:b w:val="0"/>
          <w:sz w:val="24"/>
          <w:szCs w:val="24"/>
        </w:rPr>
        <w:t>四、提交投标文件</w:t>
      </w:r>
      <w:bookmarkEnd w:id="35"/>
      <w:bookmarkEnd w:id="36"/>
      <w:r>
        <w:rPr>
          <w:rFonts w:asciiTheme="minorEastAsia" w:eastAsiaTheme="minorEastAsia" w:hAnsiTheme="minorEastAsia" w:cs="宋体" w:hint="eastAsia"/>
          <w:b w:val="0"/>
          <w:sz w:val="24"/>
          <w:szCs w:val="24"/>
        </w:rPr>
        <w:t>截止时间、开标时间和地点</w:t>
      </w:r>
      <w:bookmarkEnd w:id="40"/>
      <w:bookmarkEnd w:id="37"/>
      <w:bookmarkEnd w:id="38"/>
      <w:bookmarkEnd w:id="39"/>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sz w:val="24"/>
          <w:lang w:val="en-US" w:eastAsia="zh-CN"/>
        </w:rPr>
        <w:t>2023年9月26日14：45</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（二</w:t>
      </w:r>
      <w:r>
        <w:rPr>
          <w:rFonts w:asciiTheme="minorEastAsia" w:eastAsiaTheme="minorEastAsia" w:hAnsiTheme="minorEastAsia" w:hint="eastAsia"/>
          <w:color w:val="auto"/>
          <w:sz w:val="24"/>
          <w:highlight w:val="none"/>
        </w:rPr>
        <w:t>）</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sz w:val="24"/>
          <w:lang w:val="en-US" w:eastAsia="zh-CN"/>
        </w:rPr>
        <w:t>2023年9月26日14：45</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w:t>
      </w:r>
      <w:r>
        <w:rPr>
          <w:rFonts w:asciiTheme="minorEastAsia" w:eastAsiaTheme="minorEastAsia" w:hAnsiTheme="minorEastAsia" w:cs="宋体" w:hint="eastAsia"/>
          <w:color w:val="auto"/>
          <w:kern w:val="0"/>
          <w:sz w:val="24"/>
          <w:highlight w:val="none"/>
          <w:lang w:val="en-US" w:eastAsia="zh-CN"/>
        </w:rPr>
        <w:t>14</w:t>
      </w:r>
      <w:r>
        <w:rPr>
          <w:rFonts w:asciiTheme="minorEastAsia" w:eastAsiaTheme="minorEastAsia" w:hAnsiTheme="minorEastAsia" w:cs="宋体" w:hint="eastAsia"/>
          <w:color w:val="auto"/>
          <w:kern w:val="0"/>
          <w:sz w:val="24"/>
          <w:highlight w:val="none"/>
        </w:rPr>
        <w:t>:</w:t>
      </w:r>
      <w:r>
        <w:rPr>
          <w:rFonts w:asciiTheme="minorEastAsia" w:eastAsiaTheme="minorEastAsia" w:hAnsiTheme="minorEastAsia" w:cs="宋体" w:hint="eastAsia"/>
          <w:color w:val="auto"/>
          <w:kern w:val="0"/>
          <w:sz w:val="24"/>
          <w:highlight w:val="none"/>
          <w:lang w:val="en-US" w:eastAsia="zh-CN"/>
        </w:rPr>
        <w:t>45</w:t>
      </w:r>
      <w:r>
        <w:rPr>
          <w:rFonts w:asciiTheme="minorEastAsia" w:eastAsiaTheme="minorEastAsia" w:hAnsiTheme="minorEastAsia" w:cs="宋体" w:hint="eastAsia"/>
          <w:color w:val="auto"/>
          <w:kern w:val="0"/>
          <w:sz w:val="24"/>
          <w:highlight w:val="none"/>
        </w:rPr>
        <w:t>-1</w:t>
      </w:r>
      <w:r>
        <w:rPr>
          <w:rFonts w:asciiTheme="minorEastAsia" w:eastAsiaTheme="minorEastAsia" w:hAnsiTheme="minorEastAsia" w:cs="宋体" w:hint="eastAsia"/>
          <w:color w:val="auto"/>
          <w:kern w:val="0"/>
          <w:sz w:val="24"/>
          <w:highlight w:val="none"/>
          <w:lang w:val="en-US" w:eastAsia="zh-CN"/>
        </w:rPr>
        <w:t>5</w:t>
      </w:r>
      <w:r>
        <w:rPr>
          <w:rFonts w:asciiTheme="minorEastAsia" w:eastAsiaTheme="minorEastAsia" w:hAnsiTheme="minorEastAsia" w:cs="宋体" w:hint="eastAsia"/>
          <w:color w:val="auto"/>
          <w:kern w:val="0"/>
          <w:sz w:val="24"/>
          <w:highlight w:val="none"/>
        </w:rPr>
        <w:t>:</w:t>
      </w:r>
      <w:r>
        <w:rPr>
          <w:rFonts w:asciiTheme="minorEastAsia" w:eastAsiaTheme="minorEastAsia" w:hAnsiTheme="minorEastAsia" w:cs="宋体" w:hint="eastAsia"/>
          <w:color w:val="auto"/>
          <w:kern w:val="0"/>
          <w:sz w:val="24"/>
          <w:highlight w:val="none"/>
          <w:lang w:val="en-US" w:eastAsia="zh-CN"/>
        </w:rPr>
        <w:t>15</w:t>
      </w:r>
      <w:r>
        <w:rPr>
          <w:rFonts w:asciiTheme="minorEastAsia" w:eastAsiaTheme="minorEastAsia" w:hAnsiTheme="minorEastAsia" w:cs="宋体" w:hint="eastAsia"/>
          <w:color w:val="auto"/>
          <w:kern w:val="0"/>
          <w:sz w:val="24"/>
          <w:highlight w:val="none"/>
        </w:rPr>
        <w:t>期间</w:t>
      </w:r>
      <w:r>
        <w:rPr>
          <w:rFonts w:asciiTheme="minorEastAsia" w:eastAsiaTheme="minorEastAsia" w:hAnsiTheme="minorEastAsia" w:cs="宋体" w:hint="eastAsia"/>
          <w:kern w:val="0"/>
          <w:sz w:val="24"/>
        </w:rPr>
        <w:t>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1" w:name="_Toc28359084"/>
      <w:bookmarkStart w:id="42" w:name="_Toc28359007"/>
      <w:bookmarkStart w:id="43" w:name="_Toc585"/>
      <w:bookmarkStart w:id="44" w:name="_Toc35393794"/>
      <w:bookmarkStart w:id="45" w:name="_Toc35393625"/>
      <w:bookmarkStart w:id="46" w:name="_Toc256000005"/>
      <w:r>
        <w:rPr>
          <w:rFonts w:asciiTheme="minorEastAsia" w:eastAsiaTheme="minorEastAsia" w:hAnsiTheme="minorEastAsia" w:cs="宋体" w:hint="eastAsia"/>
          <w:b w:val="0"/>
          <w:bCs w:val="0"/>
          <w:sz w:val="24"/>
          <w:szCs w:val="24"/>
        </w:rPr>
        <w:t>五、公告期限</w:t>
      </w:r>
      <w:bookmarkEnd w:id="46"/>
      <w:bookmarkEnd w:id="41"/>
      <w:bookmarkEnd w:id="42"/>
      <w:bookmarkEnd w:id="43"/>
      <w:bookmarkEnd w:id="44"/>
      <w:bookmarkEnd w:id="45"/>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47" w:name="_Toc35393795"/>
      <w:bookmarkStart w:id="48" w:name="_Toc35393626"/>
      <w:bookmarkStart w:id="49" w:name="_Toc14074"/>
      <w:bookmarkStart w:id="50" w:name="_Toc256000006"/>
      <w:r>
        <w:rPr>
          <w:rFonts w:asciiTheme="minorEastAsia" w:eastAsiaTheme="minorEastAsia" w:hAnsiTheme="minorEastAsia" w:cs="宋体" w:hint="eastAsia"/>
          <w:b w:val="0"/>
          <w:sz w:val="24"/>
          <w:szCs w:val="24"/>
        </w:rPr>
        <w:t>六、其他补充事宜</w:t>
      </w:r>
      <w:bookmarkEnd w:id="50"/>
      <w:bookmarkEnd w:id="47"/>
      <w:bookmarkEnd w:id="48"/>
      <w:bookmarkEnd w:id="49"/>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    </w:t>
      </w:r>
      <w:r>
        <w:rPr>
          <w:rFonts w:asciiTheme="minorEastAsia" w:eastAsiaTheme="minorEastAsia" w:hAnsiTheme="minorEastAsia" w:hint="eastAsia"/>
          <w:color w:val="auto"/>
          <w:sz w:val="24"/>
        </w:rPr>
        <w:t>（一）</w:t>
      </w:r>
      <w:r>
        <w:rPr>
          <w:rFonts w:asciiTheme="minorEastAsia" w:eastAsiaTheme="minorEastAsia" w:hAnsiTheme="minorEastAsia" w:cs="宋体"/>
          <w:color w:val="auto"/>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采购文件澄清/修改事项：2023年</w:t>
      </w:r>
      <w:r>
        <w:rPr>
          <w:rFonts w:asciiTheme="minorEastAsia" w:eastAsiaTheme="minorEastAsia" w:hAnsiTheme="minorEastAsia" w:cs="宋体" w:hint="eastAsia"/>
          <w:color w:val="auto"/>
          <w:sz w:val="24"/>
          <w:lang w:val="en-US" w:eastAsia="zh-CN"/>
        </w:rPr>
        <w:t>9月20</w:t>
      </w:r>
      <w:r>
        <w:rPr>
          <w:rFonts w:asciiTheme="minorEastAsia" w:eastAsiaTheme="minorEastAsia" w:hAnsiTheme="minorEastAsia" w:cs="宋体" w:hint="eastAsia"/>
          <w:color w:val="auto"/>
          <w:sz w:val="24"/>
        </w:rPr>
        <w:t>日18:00（北京时间）前，投标人如果认为采购文件存在不明确、不清晰和前后不一致等问题，可登录</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22</w:t>
      </w:r>
      <w:r>
        <w:rPr>
          <w:rFonts w:asciiTheme="minorEastAsia" w:eastAsiaTheme="minorEastAsia" w:hAnsiTheme="minorEastAsia" w:cs="宋体" w:hint="eastAsia"/>
          <w:color w:val="auto"/>
          <w:sz w:val="24"/>
        </w:rPr>
        <w:t>日18:00（北京时间）前将采购文件澄清/修改情况在“【我的项目】→【项目流程】→【答疑澄清文件下载】”中公布，望投标人予以关注。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    </w:t>
      </w:r>
      <w:r>
        <w:rPr>
          <w:rFonts w:asciiTheme="minorEastAsia" w:eastAsiaTheme="minorEastAsia" w:hAnsiTheme="minorEastAsia" w:hint="eastAsia"/>
          <w:color w:val="auto"/>
          <w:sz w:val="24"/>
        </w:rPr>
        <w:t>（三）</w:t>
      </w:r>
      <w:r>
        <w:rPr>
          <w:rFonts w:asciiTheme="minorEastAsia" w:eastAsiaTheme="minorEastAsia" w:hAnsiTheme="minorEastAsia" w:cs="宋体" w:hint="eastAsia"/>
          <w:color w:val="auto"/>
          <w:sz w:val="24"/>
        </w:rPr>
        <w:t>采购人及采购代理机构</w:t>
      </w:r>
      <w:r>
        <w:rPr>
          <w:rFonts w:asciiTheme="minorEastAsia" w:eastAsiaTheme="minorEastAsia" w:hAnsiTheme="minorEastAsia" w:cs="宋体"/>
          <w:color w:val="auto"/>
          <w:sz w:val="24"/>
        </w:rPr>
        <w:t>有权对中标</w:t>
      </w:r>
      <w:r>
        <w:rPr>
          <w:rFonts w:asciiTheme="minorEastAsia" w:eastAsiaTheme="minorEastAsia" w:hAnsiTheme="minorEastAsia" w:cs="宋体" w:hint="eastAsia"/>
          <w:color w:val="auto"/>
          <w:sz w:val="24"/>
        </w:rPr>
        <w:t>人</w:t>
      </w:r>
      <w:r>
        <w:rPr>
          <w:rFonts w:asciiTheme="minorEastAsia" w:eastAsiaTheme="minorEastAsia" w:hAnsiTheme="minorEastAsia" w:cs="宋体"/>
          <w:color w:val="auto"/>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（四）</w:t>
      </w:r>
      <w:r>
        <w:rPr>
          <w:rFonts w:asciiTheme="minorEastAsia" w:eastAsiaTheme="minorEastAsia" w:hAnsiTheme="minorEastAsia" w:cs="宋体" w:hint="eastAsia"/>
          <w:color w:val="auto"/>
          <w:sz w:val="24"/>
        </w:rPr>
        <w:t>本招标公告及本项目招标文件所涉及的时间一律为北京时间。投标人有义务在招标活动期间浏览</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，在</w:t>
      </w:r>
      <w:r>
        <w:rPr>
          <w:rFonts w:asciiTheme="minorEastAsia" w:eastAsiaTheme="minorEastAsia" w:hAnsiTheme="minorEastAsia" w:hint="eastAsia"/>
          <w:color w:val="auto"/>
          <w:sz w:val="24"/>
        </w:rPr>
        <w:t>深圳政府采购智慧平台</w:t>
      </w:r>
      <w:r>
        <w:rPr>
          <w:rFonts w:asciiTheme="minorEastAsia" w:eastAsiaTheme="minorEastAsia" w:hAnsiTheme="minorEastAsia" w:cs="宋体" w:hint="eastAsia"/>
          <w:color w:val="auto"/>
          <w:sz w:val="24"/>
        </w:rPr>
        <w:t>网上公布的与本次招标项目有关的信息视为已送达各投标人。</w:t>
      </w:r>
    </w:p>
    <w:p>
      <w:pPr>
        <w:adjustRightInd w:val="0"/>
        <w:snapToGrid w:val="0"/>
        <w:spacing w:line="360" w:lineRule="auto"/>
        <w:ind w:firstLine="420" w:firstLineChars="200"/>
        <w:rPr>
          <w:rFonts w:ascii="宋体" w:hAnsi="宋体"/>
          <w:bCs/>
          <w:color w:val="auto"/>
          <w:sz w:val="24"/>
        </w:rPr>
      </w:pPr>
      <w:r>
        <w:rPr>
          <w:rFonts w:asciiTheme="minorEastAsia" w:eastAsiaTheme="minorEastAsia" w:hAnsiTheme="minorEastAsia" w:hint="eastAsia"/>
          <w:color w:val="auto"/>
          <w:sz w:val="24"/>
        </w:rPr>
        <w:t>（五）</w:t>
      </w:r>
      <w:r>
        <w:rPr>
          <w:rFonts w:ascii="宋体" w:hAnsi="宋体" w:hint="eastAsia"/>
          <w:bCs/>
          <w:color w:val="auto"/>
          <w:sz w:val="24"/>
        </w:rPr>
        <w:t>本项目相关公告在以下媒体发布</w:t>
      </w:r>
    </w:p>
    <w:p>
      <w:pPr>
        <w:snapToGrid w:val="0"/>
        <w:spacing w:line="360" w:lineRule="auto"/>
        <w:ind w:firstLine="420" w:firstLineChars="200"/>
        <w:rPr>
          <w:rFonts w:ascii="宋体" w:hAnsi="宋体"/>
          <w:color w:val="auto"/>
          <w:sz w:val="24"/>
        </w:rPr>
      </w:pPr>
      <w:r>
        <w:rPr>
          <w:rFonts w:ascii="宋体" w:hAnsi="宋体" w:hint="eastAsia"/>
          <w:color w:val="auto"/>
          <w:sz w:val="24"/>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olor w:val="auto"/>
          <w:sz w:val="24"/>
        </w:rPr>
      </w:pPr>
      <w:r>
        <w:rPr>
          <w:rFonts w:ascii="宋体" w:hAnsi="宋体" w:hint="eastAsia"/>
          <w:color w:val="auto"/>
          <w:sz w:val="24"/>
        </w:rPr>
        <w:t>2、采购代理机构网站（www.chinapsp.cn）。</w:t>
      </w:r>
    </w:p>
    <w:p>
      <w:pPr>
        <w:wordWrap w:val="0"/>
        <w:snapToGrid w:val="0"/>
        <w:spacing w:line="360" w:lineRule="auto"/>
        <w:ind w:firstLine="420" w:firstLineChars="200"/>
        <w:rPr>
          <w:rFonts w:ascii="宋体" w:hAnsi="宋体"/>
          <w:color w:val="auto"/>
          <w:sz w:val="24"/>
        </w:rPr>
      </w:pPr>
      <w:r>
        <w:rPr>
          <w:rFonts w:ascii="宋体" w:hAnsi="宋体"/>
          <w:color w:val="auto"/>
          <w:sz w:val="24"/>
        </w:rPr>
        <w:t>3</w:t>
      </w:r>
      <w:r>
        <w:rPr>
          <w:rFonts w:ascii="宋体" w:hAnsi="宋体" w:hint="eastAsia"/>
          <w:color w:val="auto"/>
          <w:sz w:val="24"/>
        </w:rPr>
        <w:t>、以上媒体公告内容不一致的，以深圳政府采购智慧平台（http://zfcg.szggzy.com:8081/）的公告内容为准。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（六）</w:t>
      </w:r>
      <w:r>
        <w:rPr>
          <w:rFonts w:asciiTheme="minorEastAsia" w:eastAsiaTheme="minorEastAsia" w:hAnsiTheme="minorEastAsia" w:cs="宋体" w:hint="eastAsia"/>
          <w:color w:val="auto"/>
          <w:sz w:val="24"/>
        </w:rPr>
        <w:t>本项目不需要投标保证金。</w:t>
      </w:r>
      <w:bookmarkStart w:id="51" w:name="_Toc35393796"/>
      <w:bookmarkStart w:id="52" w:name="_Toc28359008"/>
      <w:bookmarkStart w:id="53" w:name="_Toc28359085"/>
      <w:bookmarkStart w:id="54" w:name="_Toc35393627"/>
    </w:p>
    <w:p>
      <w:pPr>
        <w:adjustRightInd w:val="0"/>
        <w:snapToGrid w:val="0"/>
        <w:spacing w:line="360" w:lineRule="auto"/>
        <w:ind w:firstLine="480"/>
        <w:rPr>
          <w:rFonts w:asciiTheme="minorEastAsia" w:eastAsiaTheme="minorEastAsia" w:hAnsiTheme="minorEastAsia" w:cs="宋体"/>
          <w:color w:val="auto"/>
          <w:sz w:val="24"/>
        </w:rPr>
      </w:pPr>
      <w:bookmarkStart w:id="55" w:name="_Hlk41992292"/>
      <w:r>
        <w:rPr>
          <w:rFonts w:asciiTheme="minorEastAsia" w:eastAsiaTheme="minorEastAsia" w:hAnsiTheme="minorEastAsia" w:hint="eastAsia"/>
          <w:color w:val="auto"/>
          <w:sz w:val="24"/>
        </w:rPr>
        <w:t>（七）</w:t>
      </w:r>
      <w:r>
        <w:rPr>
          <w:rFonts w:asciiTheme="minorEastAsia" w:eastAsiaTheme="minorEastAsia" w:hAnsiTheme="minorEastAsia" w:cs="宋体" w:hint="eastAsia"/>
          <w:color w:val="auto"/>
          <w:sz w:val="24"/>
        </w:rPr>
        <w:t>需要落实的政府采购政策：</w:t>
      </w:r>
      <w:r>
        <w:rPr>
          <w:rFonts w:ascii="宋体" w:hAnsi="宋体" w:hint="eastAsia"/>
          <w:bCs/>
          <w:color w:val="auto"/>
          <w:sz w:val="24"/>
        </w:rPr>
        <w:t>《政府采购促进中小企业发展管理办法》（财库〔2020〕46号）</w:t>
      </w:r>
      <w:r>
        <w:rPr>
          <w:rFonts w:asciiTheme="minorEastAsia" w:eastAsiaTheme="minorEastAsia" w:hAnsiTheme="minorEastAsia" w:cs="宋体" w:hint="eastAsia"/>
          <w:color w:val="auto"/>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color w:val="auto"/>
          <w:sz w:val="24"/>
        </w:rPr>
        <w:t>、《关于调整优化节能产品、环境标志产品政府采购执行机制的通知》（财库〔2019〕9号）、</w:t>
      </w:r>
      <w:bookmarkEnd w:id="55"/>
      <w:r>
        <w:rPr>
          <w:rFonts w:asciiTheme="minorEastAsia" w:eastAsiaTheme="minorEastAsia" w:hAnsiTheme="minorEastAsia" w:cs="宋体" w:hint="eastAsia"/>
          <w:color w:val="auto"/>
          <w:sz w:val="24"/>
        </w:rPr>
        <w:t>《快递包装政府采购需求标准（试行）》（财办库〔2020〕123号）</w:t>
      </w:r>
      <w:r>
        <w:rPr>
          <w:rFonts w:asciiTheme="minorEastAsia" w:eastAsiaTheme="minorEastAsia" w:hAnsiTheme="minorEastAsia" w:cs="宋体"/>
          <w:color w:val="auto"/>
          <w:sz w:val="24"/>
        </w:rPr>
        <w:t>等</w:t>
      </w:r>
      <w:r>
        <w:rPr>
          <w:rFonts w:asciiTheme="minorEastAsia" w:eastAsiaTheme="minorEastAsia" w:hAnsiTheme="minorEastAsia" w:cs="宋体" w:hint="eastAsia"/>
          <w:color w:val="auto"/>
          <w:sz w:val="24"/>
        </w:rPr>
        <w:t>。</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56" w:name="_Toc9515"/>
      <w:bookmarkStart w:id="57" w:name="_Toc256000007"/>
      <w:r>
        <w:rPr>
          <w:rFonts w:asciiTheme="minorEastAsia" w:eastAsiaTheme="minorEastAsia" w:hAnsiTheme="minorEastAsia" w:cs="宋体" w:hint="eastAsia"/>
          <w:b w:val="0"/>
          <w:color w:val="auto"/>
          <w:sz w:val="24"/>
          <w:szCs w:val="24"/>
        </w:rPr>
        <w:t>七、对本次采购提出询问，请按</w:t>
      </w:r>
      <w:r>
        <w:rPr>
          <w:rFonts w:asciiTheme="minorEastAsia" w:eastAsiaTheme="minorEastAsia" w:hAnsiTheme="minorEastAsia" w:cs="宋体"/>
          <w:b w:val="0"/>
          <w:color w:val="auto"/>
          <w:sz w:val="24"/>
          <w:szCs w:val="24"/>
        </w:rPr>
        <w:t>以下方式</w:t>
      </w:r>
      <w:r>
        <w:rPr>
          <w:rFonts w:asciiTheme="minorEastAsia" w:eastAsiaTheme="minorEastAsia" w:hAnsiTheme="minorEastAsia" w:cs="宋体" w:hint="eastAsia"/>
          <w:b w:val="0"/>
          <w:color w:val="auto"/>
          <w:sz w:val="24"/>
          <w:szCs w:val="24"/>
        </w:rPr>
        <w:t>联系。</w:t>
      </w:r>
      <w:bookmarkEnd w:id="57"/>
      <w:bookmarkEnd w:id="51"/>
      <w:bookmarkEnd w:id="52"/>
      <w:bookmarkEnd w:id="53"/>
      <w:bookmarkEnd w:id="54"/>
      <w:bookmarkEnd w:id="56"/>
    </w:p>
    <w:p>
      <w:pPr>
        <w:widowControl/>
        <w:adjustRightInd w:val="0"/>
        <w:snapToGrid w:val="0"/>
        <w:spacing w:line="360" w:lineRule="auto"/>
        <w:ind w:firstLine="420" w:firstLineChars="20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（一）</w:t>
      </w:r>
      <w:r>
        <w:rPr>
          <w:rFonts w:asciiTheme="minorEastAsia" w:eastAsiaTheme="minorEastAsia" w:hAnsiTheme="minorEastAsia" w:cs="宋体" w:hint="eastAsia"/>
          <w:color w:val="auto"/>
          <w:sz w:val="24"/>
        </w:rPr>
        <w:t>采购人信息</w:t>
      </w:r>
    </w:p>
    <w:p>
      <w:pPr>
        <w:adjustRightInd w:val="0"/>
        <w:snapToGrid w:val="0"/>
        <w:spacing w:line="360" w:lineRule="auto"/>
        <w:ind w:firstLine="420" w:firstLineChars="200"/>
        <w:jc w:val="left"/>
        <w:rPr>
          <w:rFonts w:asciiTheme="minorEastAsia" w:eastAsiaTheme="minorEastAsia" w:hAnsiTheme="minorEastAsia"/>
          <w:color w:val="auto"/>
          <w:sz w:val="24"/>
        </w:rPr>
      </w:pPr>
      <w:bookmarkStart w:id="58" w:name="_Toc28359086"/>
      <w:bookmarkStart w:id="59" w:name="_Toc28359009"/>
      <w:r>
        <w:rPr>
          <w:rFonts w:asciiTheme="minorEastAsia" w:eastAsiaTheme="minorEastAsia" w:hAnsiTheme="minorEastAsia" w:hint="eastAsia"/>
          <w:color w:val="auto"/>
          <w:sz w:val="24"/>
        </w:rPr>
        <w:t>名称：</w:t>
      </w:r>
      <w:r>
        <w:rPr>
          <w:rFonts w:asciiTheme="minorEastAsia" w:eastAsiaTheme="minorEastAsia" w:hAnsiTheme="minorEastAsia" w:cs="宋体" w:hint="eastAsia"/>
          <w:bCs/>
          <w:color w:val="auto"/>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color w:val="auto"/>
          <w:kern w:val="0"/>
          <w:sz w:val="24"/>
        </w:rPr>
      </w:pPr>
      <w:r>
        <w:rPr>
          <w:rFonts w:asciiTheme="minorEastAsia" w:eastAsiaTheme="minorEastAsia" w:hAnsiTheme="minorEastAsia" w:cs="宋体" w:hint="eastAsia"/>
          <w:bCs/>
          <w:color w:val="auto"/>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color w:val="auto"/>
          <w:kern w:val="0"/>
          <w:sz w:val="24"/>
        </w:rPr>
      </w:pPr>
      <w:r>
        <w:rPr>
          <w:rFonts w:asciiTheme="minorEastAsia" w:eastAsiaTheme="minorEastAsia" w:hAnsiTheme="minorEastAsia" w:cs="宋体" w:hint="eastAsia"/>
          <w:bCs/>
          <w:color w:val="auto"/>
          <w:kern w:val="0"/>
          <w:sz w:val="24"/>
        </w:rPr>
        <w:t>联系方式：刘老师0755-26036029</w:t>
      </w:r>
    </w:p>
    <w:p>
      <w:pPr>
        <w:adjustRightInd w:val="0"/>
        <w:snapToGrid w:val="0"/>
        <w:spacing w:line="360" w:lineRule="auto"/>
        <w:ind w:firstLine="420" w:firstLineChars="20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采购代理机构</w:t>
      </w:r>
      <w:bookmarkEnd w:id="58"/>
      <w:bookmarkEnd w:id="59"/>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名称：</w:t>
      </w:r>
      <w:r>
        <w:rPr>
          <w:rFonts w:asciiTheme="minorEastAsia" w:eastAsiaTheme="minorEastAsia" w:hAnsiTheme="minorEastAsia" w:cs="宋体" w:hint="eastAsia"/>
          <w:color w:val="auto"/>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地址：</w:t>
      </w:r>
      <w:r>
        <w:rPr>
          <w:rFonts w:asciiTheme="minorEastAsia" w:eastAsiaTheme="minorEastAsia" w:hAnsiTheme="minorEastAsia" w:cs="宋体" w:hint="eastAsia"/>
          <w:color w:val="auto"/>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color w:val="auto"/>
          <w:sz w:val="24"/>
          <w:u w:val="single"/>
        </w:rPr>
      </w:pPr>
      <w:bookmarkStart w:id="60" w:name="_Toc28359010"/>
      <w:bookmarkStart w:id="61" w:name="_Toc28359087"/>
      <w:r>
        <w:rPr>
          <w:rFonts w:asciiTheme="minorEastAsia" w:eastAsiaTheme="minorEastAsia" w:hAnsiTheme="minorEastAsia" w:hint="eastAsia"/>
          <w:color w:val="auto"/>
          <w:sz w:val="24"/>
        </w:rPr>
        <w:t>（三）</w:t>
      </w:r>
      <w:r>
        <w:rPr>
          <w:rFonts w:asciiTheme="minorEastAsia" w:eastAsiaTheme="minorEastAsia" w:hAnsiTheme="minorEastAsia" w:cs="宋体" w:hint="eastAsia"/>
          <w:color w:val="auto"/>
          <w:sz w:val="24"/>
        </w:rPr>
        <w:t>项目</w:t>
      </w:r>
      <w:r>
        <w:rPr>
          <w:rFonts w:asciiTheme="minorEastAsia" w:eastAsiaTheme="minorEastAsia" w:hAnsiTheme="minorEastAsia" w:cs="宋体"/>
          <w:color w:val="auto"/>
          <w:sz w:val="24"/>
        </w:rPr>
        <w:t>联系方式</w:t>
      </w:r>
      <w:bookmarkEnd w:id="60"/>
      <w:bookmarkEnd w:id="61"/>
    </w:p>
    <w:p>
      <w:pPr>
        <w:pStyle w:val="PlainText"/>
        <w:adjustRightInd w:val="0"/>
        <w:snapToGrid w:val="0"/>
        <w:spacing w:line="360" w:lineRule="auto"/>
        <w:ind w:firstLine="420" w:firstLineChars="200"/>
        <w:rPr>
          <w:rFonts w:asciiTheme="minorEastAsia" w:hAnsiTheme="minorEastAsia"/>
          <w:color w:val="auto"/>
          <w:sz w:val="24"/>
          <w:szCs w:val="24"/>
        </w:rPr>
      </w:pPr>
      <w:bookmarkStart w:id="62" w:name="_Toc435514843"/>
      <w:bookmarkStart w:id="63" w:name="_Toc435115052"/>
      <w:r>
        <w:rPr>
          <w:rFonts w:asciiTheme="minorEastAsia" w:hAnsiTheme="minorEastAsia" w:hint="eastAsia"/>
          <w:color w:val="auto"/>
          <w:sz w:val="24"/>
          <w:szCs w:val="24"/>
        </w:rPr>
        <w:t>项目联系人：廖</w:t>
      </w:r>
      <w:r>
        <w:rPr>
          <w:rFonts w:asciiTheme="minorEastAsia" w:hAnsiTheme="minorEastAsia" w:cs="宋体" w:hint="eastAsia"/>
          <w:color w:val="auto"/>
          <w:sz w:val="24"/>
          <w:szCs w:val="24"/>
        </w:rPr>
        <w:t>小姐</w:t>
      </w:r>
    </w:p>
    <w:p>
      <w:pPr>
        <w:adjustRightInd w:val="0"/>
        <w:snapToGrid w:val="0"/>
        <w:spacing w:line="360" w:lineRule="auto"/>
        <w:ind w:firstLine="420" w:firstLineChars="200"/>
        <w:rPr>
          <w:rFonts w:asciiTheme="minorEastAsia" w:eastAsiaTheme="minorEastAsia" w:hAnsiTheme="minorEastAsia"/>
          <w:color w:val="auto"/>
          <w:sz w:val="24"/>
          <w:u w:val="single"/>
        </w:rPr>
      </w:pPr>
      <w:r>
        <w:rPr>
          <w:rFonts w:asciiTheme="minorEastAsia" w:eastAsiaTheme="minorEastAsia" w:hAnsiTheme="minorEastAsia" w:hint="eastAsia"/>
          <w:color w:val="auto"/>
          <w:sz w:val="24"/>
        </w:rPr>
        <w:t>电话：0755-8837 7571或7572转2321</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邮编：518040</w:t>
      </w:r>
    </w:p>
    <w:p>
      <w:pPr>
        <w:adjustRightInd w:val="0"/>
        <w:snapToGrid w:val="0"/>
        <w:spacing w:line="360" w:lineRule="auto"/>
        <w:ind w:firstLine="420" w:firstLineChars="200"/>
        <w:rPr>
          <w:rFonts w:asciiTheme="minorEastAsia" w:eastAsiaTheme="minorEastAsia" w:hAnsiTheme="minorEastAsia"/>
          <w:b/>
          <w:color w:val="auto"/>
          <w:sz w:val="24"/>
          <w:u w:val="single"/>
        </w:rPr>
      </w:pPr>
      <w:r>
        <w:rPr>
          <w:rFonts w:asciiTheme="minorEastAsia" w:eastAsiaTheme="minorEastAsia" w:hAnsiTheme="minorEastAsia" w:hint="eastAsia"/>
          <w:color w:val="auto"/>
          <w:sz w:val="24"/>
        </w:rPr>
        <w:t>邮箱：cailiansz@126.com</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64" w:name="_Toc19897"/>
      <w:bookmarkStart w:id="65" w:name="_Toc256000008"/>
      <w:r>
        <w:rPr>
          <w:rFonts w:asciiTheme="minorEastAsia" w:eastAsiaTheme="minorEastAsia" w:hAnsiTheme="minorEastAsia" w:cs="宋体" w:hint="eastAsia"/>
          <w:b w:val="0"/>
          <w:color w:val="auto"/>
          <w:sz w:val="24"/>
          <w:szCs w:val="24"/>
        </w:rPr>
        <w:t>八、招标文件</w:t>
      </w:r>
      <w:bookmarkEnd w:id="65"/>
      <w:bookmarkEnd w:id="64"/>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auto"/>
          <w:sz w:val="24"/>
          <w:u w:val="single"/>
        </w:rPr>
      </w:pPr>
      <w:r>
        <w:rPr>
          <w:rFonts w:asciiTheme="minorEastAsia" w:eastAsiaTheme="minorEastAsia" w:hAnsiTheme="minorEastAsia" w:hint="eastAsia"/>
          <w:color w:val="auto"/>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color w:val="auto"/>
          <w:sz w:val="24"/>
        </w:rPr>
      </w:pPr>
      <w:r>
        <w:rPr>
          <w:rFonts w:asciiTheme="minorEastAsia" w:eastAsiaTheme="minorEastAsia" w:hAnsiTheme="minorEastAsia" w:hint="eastAsia"/>
          <w:b/>
          <w:color w:val="auto"/>
          <w:sz w:val="24"/>
        </w:rPr>
        <w:t>采联国际招标采购集团有限公司</w:t>
      </w:r>
    </w:p>
    <w:p>
      <w:pPr>
        <w:adjustRightInd w:val="0"/>
        <w:snapToGrid w:val="0"/>
        <w:spacing w:line="360" w:lineRule="auto"/>
        <w:ind w:firstLine="435"/>
        <w:jc w:val="right"/>
        <w:rPr>
          <w:rFonts w:asciiTheme="minorEastAsia" w:eastAsiaTheme="minorEastAsia" w:hAnsiTheme="minorEastAsia"/>
          <w:b/>
          <w:color w:val="auto"/>
          <w:sz w:val="24"/>
        </w:rPr>
      </w:pPr>
      <w:r>
        <w:rPr>
          <w:rFonts w:asciiTheme="minorEastAsia" w:eastAsiaTheme="minorEastAsia" w:hAnsiTheme="minorEastAsia" w:hint="eastAsia"/>
          <w:b/>
          <w:color w:val="auto"/>
          <w:sz w:val="24"/>
        </w:rPr>
        <w:t xml:space="preserve">   </w:t>
      </w:r>
      <w:r>
        <w:rPr>
          <w:rFonts w:asciiTheme="minorEastAsia" w:eastAsiaTheme="minorEastAsia" w:hAnsiTheme="minorEastAsia" w:hint="eastAsia"/>
          <w:b/>
          <w:color w:val="auto"/>
          <w:sz w:val="24"/>
          <w:lang w:val="en-US" w:eastAsia="zh-CN"/>
        </w:rPr>
        <w:t>2023</w:t>
      </w:r>
      <w:r>
        <w:rPr>
          <w:rFonts w:asciiTheme="minorEastAsia" w:eastAsiaTheme="minorEastAsia" w:hAnsiTheme="minorEastAsia" w:hint="eastAsia"/>
          <w:b/>
          <w:color w:val="auto"/>
          <w:sz w:val="24"/>
        </w:rPr>
        <w:t>年</w:t>
      </w:r>
      <w:r>
        <w:rPr>
          <w:rFonts w:asciiTheme="minorEastAsia" w:eastAsiaTheme="minorEastAsia" w:hAnsiTheme="minorEastAsia" w:hint="eastAsia"/>
          <w:b/>
          <w:color w:val="auto"/>
          <w:sz w:val="24"/>
          <w:lang w:val="en-US" w:eastAsia="zh-CN"/>
        </w:rPr>
        <w:t>9</w:t>
      </w:r>
      <w:r>
        <w:rPr>
          <w:rFonts w:asciiTheme="minorEastAsia" w:eastAsiaTheme="minorEastAsia" w:hAnsiTheme="minorEastAsia" w:hint="eastAsia"/>
          <w:b/>
          <w:color w:val="auto"/>
          <w:sz w:val="24"/>
        </w:rPr>
        <w:t>月</w:t>
      </w:r>
      <w:r>
        <w:rPr>
          <w:rFonts w:asciiTheme="minorEastAsia" w:eastAsiaTheme="minorEastAsia" w:hAnsiTheme="minorEastAsia" w:hint="eastAsia"/>
          <w:b/>
          <w:color w:val="auto"/>
          <w:sz w:val="24"/>
          <w:lang w:val="en-US" w:eastAsia="zh-CN"/>
        </w:rPr>
        <w:t>13</w:t>
      </w:r>
      <w:r>
        <w:rPr>
          <w:rFonts w:asciiTheme="minorEastAsia" w:eastAsiaTheme="minorEastAsia" w:hAnsiTheme="minorEastAsia" w:hint="eastAsia"/>
          <w:b/>
          <w:color w:val="auto"/>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317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adjustRightInd w:val="0"/>
        <w:snapToGrid w:val="0"/>
        <w:spacing w:line="360" w:lineRule="auto"/>
        <w:ind w:firstLine="435"/>
        <w:jc w:val="right"/>
        <w:rPr>
          <w:rFonts w:asciiTheme="minorEastAsia" w:eastAsiaTheme="minorEastAsia" w:hAnsiTheme="minorEastAsia"/>
          <w:b/>
          <w:bCs/>
          <w:sz w:val="24"/>
        </w:rPr>
      </w:pPr>
      <w:r>
        <w:rPr>
          <w:rFonts w:asciiTheme="minorEastAsia" w:eastAsiaTheme="minorEastAsia" w:hAnsiTheme="minorEastAsia"/>
          <w:b/>
          <w:bCs/>
          <w:sz w:val="24"/>
        </w:rPr>
        <w:br w:type="page"/>
      </w:r>
    </w:p>
    <w:p>
      <w:pPr>
        <w:spacing w:before="156" w:beforeLines="50" w:after="156" w:afterLines="50" w:line="360" w:lineRule="auto"/>
        <w:jc w:val="center"/>
        <w:outlineLvl w:val="0"/>
        <w:rPr>
          <w:color w:val="FF0000"/>
        </w:rPr>
      </w:pPr>
      <w:bookmarkEnd w:id="62"/>
      <w:bookmarkEnd w:id="63"/>
      <w:bookmarkStart w:id="66" w:name="_Toc13067020"/>
      <w:bookmarkStart w:id="67" w:name="_Toc435514849"/>
      <w:bookmarkStart w:id="68" w:name="_Toc435115054"/>
      <w:bookmarkStart w:id="69" w:name="_Toc29407"/>
      <w:bookmarkStart w:id="70" w:name="_Toc256000009"/>
      <w:r>
        <w:rPr>
          <w:rFonts w:hint="eastAsia"/>
          <w:b/>
          <w:bCs/>
          <w:sz w:val="28"/>
          <w:szCs w:val="28"/>
        </w:rPr>
        <w:t>第二章 用户需求书</w:t>
      </w:r>
      <w:bookmarkEnd w:id="70"/>
      <w:bookmarkEnd w:id="66"/>
      <w:bookmarkEnd w:id="67"/>
      <w:bookmarkEnd w:id="68"/>
      <w:bookmarkEnd w:id="69"/>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hint="eastAsia"/>
          <w:bCs/>
          <w:sz w:val="24"/>
        </w:rPr>
      </w:pPr>
      <w:r>
        <w:rPr>
          <w:rFonts w:asciiTheme="minorEastAsia" w:eastAsiaTheme="minorEastAsia" w:hAnsiTheme="minorEastAsia" w:hint="eastAsia"/>
          <w:bCs/>
          <w:sz w:val="24"/>
        </w:rPr>
        <w:t>用户需求书中标注“▲”号条款为重要技术参数，但不作为无效投标条款。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宋体" w:eastAsia="宋体" w:hAnsi="宋体" w:cs="宋体" w:hint="eastAsia"/>
          <w:sz w:val="24"/>
          <w:szCs w:val="24"/>
        </w:rPr>
      </w:pPr>
      <w:r>
        <w:rPr>
          <w:rFonts w:ascii="宋体" w:eastAsia="宋体" w:hAnsi="宋体" w:cs="宋体" w:hint="eastAsia"/>
          <w:sz w:val="24"/>
          <w:szCs w:val="24"/>
        </w:rPr>
        <w:t>拟采购</w:t>
      </w:r>
      <w:r>
        <w:rPr>
          <w:rFonts w:ascii="宋体" w:eastAsia="宋体" w:hAnsi="宋体" w:cs="宋体" w:hint="eastAsia"/>
          <w:sz w:val="24"/>
          <w:szCs w:val="24"/>
          <w:lang w:val="zh-TW" w:eastAsia="zh-TW"/>
        </w:rPr>
        <w:t>三重串联四极杆液质联用仪</w:t>
      </w:r>
      <w:r>
        <w:rPr>
          <w:rFonts w:ascii="宋体" w:eastAsia="宋体" w:hAnsi="宋体" w:cs="宋体" w:hint="eastAsia"/>
          <w:sz w:val="24"/>
          <w:szCs w:val="24"/>
        </w:rPr>
        <w:t>2套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1" w:name="_Hlk17135609"/>
      <w:r>
        <w:rPr>
          <w:rFonts w:asciiTheme="minorEastAsia" w:hAnsiTheme="minorEastAsia" w:hint="eastAsia"/>
          <w:b/>
          <w:sz w:val="24"/>
          <w:szCs w:val="24"/>
        </w:rPr>
        <w:t>采购项目清单：</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19"/>
        <w:gridCol w:w="692"/>
        <w:gridCol w:w="1745"/>
        <w:gridCol w:w="1716"/>
        <w:gridCol w:w="1425"/>
        <w:gridCol w:w="1397"/>
        <w:gridCol w:w="1398"/>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01"/>
        </w:trPr>
        <w:tc>
          <w:tcPr>
            <w:tcW w:w="570"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39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95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最高单价限价（人民币  元/套）</w:t>
            </w:r>
          </w:p>
        </w:tc>
        <w:tc>
          <w:tcPr>
            <w:tcW w:w="747"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78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4998" w:type="pct"/>
          <w:tblInd w:w="0" w:type="dxa"/>
          <w:tblCellMar>
            <w:top w:w="0" w:type="dxa"/>
            <w:left w:w="108" w:type="dxa"/>
            <w:bottom w:w="0" w:type="dxa"/>
            <w:right w:w="108" w:type="dxa"/>
          </w:tblCellMar>
        </w:tblPrEx>
        <w:trPr>
          <w:cantSplit/>
          <w:trHeight w:val="691"/>
        </w:trPr>
        <w:tc>
          <w:tcPr>
            <w:tcW w:w="570" w:type="pct"/>
            <w:tcBorders>
              <w:left w:val="single" w:sz="4" w:space="0" w:color="auto"/>
              <w:right w:val="single" w:sz="4" w:space="0" w:color="auto"/>
            </w:tcBorders>
            <w:vAlign w:val="center"/>
          </w:tcPr>
          <w:p>
            <w:pPr>
              <w:snapToGrid w:val="0"/>
              <w:jc w:val="center"/>
              <w:rPr>
                <w:rFonts w:ascii="宋体"/>
                <w:bCs/>
                <w:sz w:val="24"/>
              </w:rPr>
            </w:pPr>
            <w:r>
              <w:rPr>
                <w:rFonts w:asciiTheme="minorEastAsia" w:eastAsiaTheme="minorEastAsia" w:hAnsiTheme="minorEastAsia" w:hint="eastAsia"/>
                <w:sz w:val="24"/>
              </w:rPr>
              <w:t>三重串联四极杆液质联用仪</w:t>
            </w:r>
          </w:p>
        </w:tc>
        <w:tc>
          <w:tcPr>
            <w:tcW w:w="396" w:type="pct"/>
            <w:tcBorders>
              <w:left w:val="single" w:sz="4" w:space="0" w:color="auto"/>
              <w:right w:val="single" w:sz="4" w:space="0" w:color="auto"/>
            </w:tcBorders>
            <w:vAlign w:val="center"/>
          </w:tcPr>
          <w:p>
            <w:pPr>
              <w:snapToGrid w:val="0"/>
              <w:jc w:val="center"/>
              <w:rPr>
                <w:rFonts w:ascii="宋体"/>
                <w:bCs/>
                <w:sz w:val="24"/>
              </w:rPr>
            </w:pPr>
            <w:r>
              <w:rPr>
                <w:sz w:val="24"/>
              </w:rPr>
              <w:t>2套</w:t>
            </w:r>
          </w:p>
        </w:tc>
        <w:tc>
          <w:tcPr>
            <w:tcW w:w="956"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1,900,800.00</w:t>
            </w:r>
          </w:p>
        </w:tc>
        <w:tc>
          <w:tcPr>
            <w:tcW w:w="747"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3,801,600.00</w:t>
            </w:r>
          </w:p>
        </w:tc>
        <w:tc>
          <w:tcPr>
            <w:tcW w:w="786"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三重串联四极杆液质联用仪</w:t>
            </w:r>
          </w:p>
        </w:tc>
        <w:tc>
          <w:tcPr>
            <w:tcW w:w="771"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工业</w:t>
            </w:r>
          </w:p>
        </w:tc>
        <w:tc>
          <w:tcPr>
            <w:tcW w:w="771"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是</w:t>
            </w:r>
          </w:p>
        </w:tc>
      </w:tr>
    </w:tbl>
    <w:p>
      <w:pPr>
        <w:pStyle w:val="PlainText"/>
        <w:adjustRightInd w:val="0"/>
        <w:snapToGrid w:val="0"/>
        <w:spacing w:line="360" w:lineRule="auto"/>
        <w:rPr>
          <w:rFonts w:asciiTheme="minorEastAsia" w:eastAsiaTheme="minorEastAsia" w:hAnsiTheme="minorEastAsia" w:cs="宋体"/>
          <w:sz w:val="24"/>
          <w:lang w:eastAsia="zh-TW"/>
        </w:rPr>
      </w:pPr>
      <w:r>
        <w:rPr>
          <w:rFonts w:asciiTheme="minorEastAsia" w:hAnsiTheme="minorEastAsia" w:hint="eastAsia"/>
          <w:bCs/>
          <w:sz w:val="24"/>
        </w:rPr>
        <w:t>备注：</w:t>
      </w: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pStyle w:val="PlainText"/>
        <w:numPr>
          <w:ilvl w:val="0"/>
          <w:numId w:val="2"/>
        </w:numPr>
        <w:tabs>
          <w:tab w:val="left" w:pos="540"/>
        </w:tabs>
        <w:adjustRightInd w:val="0"/>
        <w:snapToGrid w:val="0"/>
        <w:spacing w:line="360" w:lineRule="auto"/>
        <w:rPr>
          <w:rFonts w:eastAsia="宋体" w:hAnsi="宋体" w:cs="宋体"/>
          <w:b/>
        </w:rPr>
      </w:pPr>
      <w:bookmarkEnd w:id="71"/>
      <w:bookmarkStart w:id="72" w:name="_Hlk17136717"/>
      <w:r>
        <w:rPr>
          <w:rFonts w:hAnsi="宋体" w:hint="eastAsia"/>
          <w:b/>
          <w:sz w:val="24"/>
          <w:szCs w:val="24"/>
        </w:rPr>
        <w:t>技术规格</w:t>
      </w:r>
      <w:bookmarkStart w:id="73" w:name="_Hlk30666195"/>
    </w:p>
    <w:p>
      <w:pPr>
        <w:pStyle w:val="PlainText"/>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三重串联四极杆液质联用仪（一） 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74" w:name="_Toc32368"/>
      <w:bookmarkStart w:id="75" w:name="_Toc256000010"/>
      <w:r>
        <w:rPr>
          <w:rFonts w:ascii="宋体" w:hAnsi="宋体" w:cs="宋体" w:hint="eastAsia"/>
          <w:b/>
          <w:kern w:val="0"/>
          <w:sz w:val="24"/>
          <w:szCs w:val="20"/>
        </w:rPr>
        <w:t>1．用途</w:t>
      </w:r>
      <w:bookmarkEnd w:id="75"/>
      <w:bookmarkEnd w:id="74"/>
    </w:p>
    <w:p>
      <w:pPr>
        <w:adjustRightInd w:val="0"/>
        <w:snapToGrid w:val="0"/>
        <w:spacing w:line="360" w:lineRule="auto"/>
        <w:ind w:left="315" w:firstLine="420" w:leftChars="150" w:firstLineChars="200"/>
        <w:rPr>
          <w:rFonts w:ascii="宋体" w:hAnsi="宋体" w:cs="宋体"/>
          <w:sz w:val="24"/>
          <w:u w:color="000000"/>
        </w:rPr>
      </w:pPr>
      <w:r>
        <w:rPr>
          <w:rFonts w:ascii="宋体" w:hAnsi="宋体" w:cs="宋体" w:hint="eastAsia"/>
          <w:sz w:val="24"/>
          <w:u w:color="000000"/>
        </w:rPr>
        <w:t>三重串联四极杆液质联用仪是目前应用最多和最普及的液质联用系统，它采用串联形式可从干扰严重的质谱中抽取有用数据，大大提高质谱检测的选择性，从而能够测定混合物中的痕量物质。</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76" w:name="_Toc9315"/>
      <w:bookmarkStart w:id="77" w:name="_Toc256000011"/>
      <w:r>
        <w:rPr>
          <w:rFonts w:ascii="宋体" w:hAnsi="宋体" w:cs="宋体" w:hint="eastAsia"/>
          <w:b/>
          <w:kern w:val="0"/>
          <w:sz w:val="24"/>
          <w:szCs w:val="20"/>
        </w:rPr>
        <w:t>2．</w:t>
      </w:r>
      <w:r>
        <w:rPr>
          <w:rFonts w:ascii="宋体" w:hAnsi="宋体" w:cs="宋体"/>
          <w:b/>
          <w:kern w:val="0"/>
          <w:sz w:val="24"/>
          <w:szCs w:val="20"/>
        </w:rPr>
        <w:t>★</w:t>
      </w:r>
      <w:r>
        <w:rPr>
          <w:rFonts w:ascii="宋体" w:hAnsi="宋体" w:cs="宋体" w:hint="eastAsia"/>
          <w:b/>
          <w:kern w:val="0"/>
          <w:sz w:val="24"/>
          <w:szCs w:val="20"/>
        </w:rPr>
        <w:t>配置要求</w:t>
      </w:r>
      <w:bookmarkEnd w:id="77"/>
      <w:bookmarkEnd w:id="76"/>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2.1 二元高压泵1台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2.2 自动进样器1台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2.3 柱温箱1台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2.4 二极管阵列检测器1台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2.5 三重串联四极杆质谱仪1台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2.6 软件1套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u w:val="single"/>
        </w:rPr>
      </w:pPr>
      <w:bookmarkStart w:id="78" w:name="_Toc27522"/>
      <w:bookmarkStart w:id="79" w:name="_Toc256000012"/>
      <w:r>
        <w:rPr>
          <w:rFonts w:ascii="宋体" w:hAnsi="宋体" w:cs="宋体" w:hint="eastAsia"/>
          <w:b/>
          <w:kern w:val="0"/>
          <w:sz w:val="24"/>
          <w:szCs w:val="20"/>
        </w:rPr>
        <w:t>3．技术要求</w:t>
      </w:r>
      <w:bookmarkEnd w:id="79"/>
      <w:bookmarkEnd w:id="78"/>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3.1  二元高压泵：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3.1.1双串联柱塞泵设计，每个泵头有独立马达驱动；采用可变冲程设计和平滑运动控制以实现主动式阻尼，至少满足20µL-100µL连续可调冲程。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3.1.2流量范围至少满足0.001mL/min-5.0 mL/min，递增率≤0.001mL/min。</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3.1.3流量精度：相对标准偏差≤0.07%。</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3.1.4压力范围至少包含0-1300Bar。</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3.1.5压力脉动：在整个压力范围内&lt;1%。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3.1.6可压缩性补偿：根据流动相自动调节或用户选择。</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3.1.7梯度洗脱：0-100%。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3.1.8混合精度：相对标准偏差&lt;0.15%。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3.1.9延迟体积最小可达 10µL。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3.1.10含真空在线脱气装置。</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3.1.11梯度曲线：22条及以上（直线、凹形、凸形等）。</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3.2  自动进样器：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3.2.1样品容量：216位及以上2mL样品盘。</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3.2.2进样范围至少满足0.1-20µL。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3.2.3进样精度：相对标准偏差&lt;0.25%。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3.2.4交叉污染：&lt;0.004%。</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3.3  柱温箱：</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3.3.1 柱温范围至少满足4℃-110℃。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3.3.2 温度稳定性至少满足±0.03℃。</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3.3.3 温度准确度至少满足±0.5℃。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3.3.4 柱容量：8根及以上长度≥100mm色谱柱。</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3.4  二极管阵列检测器：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3.4.1 光源：氘灯。</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3.4.2 最大采样频率：≥240Hz。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3.4.3 检测器类型：1024单元二极管阵列。</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3.4.4 短期噪音：＜±3×10</w:t>
      </w:r>
      <w:r>
        <w:rPr>
          <w:rFonts w:ascii="宋体" w:hAnsi="宋体" w:cs="宋体" w:hint="eastAsia"/>
          <w:sz w:val="24"/>
          <w:u w:color="000000"/>
          <w:vertAlign w:val="superscript"/>
        </w:rPr>
        <w:t>-6</w:t>
      </w:r>
      <w:r>
        <w:rPr>
          <w:rFonts w:ascii="宋体" w:hAnsi="宋体" w:cs="宋体" w:hint="eastAsia"/>
          <w:sz w:val="24"/>
          <w:u w:color="000000"/>
        </w:rPr>
        <w:t>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3.4.5 漂移：＜0.5×10</w:t>
      </w:r>
      <w:r>
        <w:rPr>
          <w:rFonts w:ascii="宋体" w:hAnsi="宋体" w:cs="宋体" w:hint="eastAsia"/>
          <w:sz w:val="24"/>
          <w:u w:color="000000"/>
          <w:vertAlign w:val="superscript"/>
        </w:rPr>
        <w:t>-3</w:t>
      </w:r>
      <w:r>
        <w:rPr>
          <w:rFonts w:ascii="宋体" w:hAnsi="宋体" w:cs="宋体" w:hint="eastAsia"/>
          <w:sz w:val="24"/>
          <w:u w:color="000000"/>
        </w:rPr>
        <w:t>AU/h。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3.4.6 线性：＞2.0AU。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3.4.7 波长范围至少满足190-640nm。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3.4.8 波长准确度至少满足±1nm。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3.4.9 波长精度：＜±0.1nm。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3.4.10 狭缝宽度：至少包含1、2、4、8nm。</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3.5  三重串联四极杆质谱仪：</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 ESI</w:t>
      </w:r>
      <w:r>
        <w:rPr>
          <w:rFonts w:ascii="宋体" w:hAnsi="宋体" w:cs="宋体" w:hint="eastAsia"/>
          <w:sz w:val="24"/>
          <w:u w:color="000000"/>
          <w:vertAlign w:val="superscript"/>
        </w:rPr>
        <w:t>+</w:t>
      </w:r>
      <w:r>
        <w:rPr>
          <w:rFonts w:ascii="宋体" w:hAnsi="宋体" w:cs="宋体" w:hint="eastAsia"/>
          <w:sz w:val="24"/>
          <w:u w:color="000000"/>
        </w:rPr>
        <w:t>灵敏度：液质联用柱上进样1pg利血平，离子对195/609 m/z，S/N&gt;850000:1；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3.5.2 ESI</w:t>
      </w:r>
      <w:r>
        <w:rPr>
          <w:rFonts w:ascii="宋体" w:hAnsi="宋体" w:cs="宋体" w:hint="eastAsia"/>
          <w:sz w:val="24"/>
          <w:u w:color="000000"/>
          <w:vertAlign w:val="superscript"/>
        </w:rPr>
        <w:t>-</w:t>
      </w:r>
      <w:r>
        <w:rPr>
          <w:rFonts w:ascii="宋体" w:hAnsi="宋体" w:cs="宋体" w:hint="eastAsia"/>
          <w:sz w:val="24"/>
          <w:u w:color="000000"/>
        </w:rPr>
        <w:t>灵敏度：液质联用柱上进样1pg氯霉素，离子对152/321 m/z，S/N&gt; 850000:1。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3.5.3 动态范围：&gt;5×10</w:t>
      </w:r>
      <w:r>
        <w:rPr>
          <w:rFonts w:ascii="宋体" w:hAnsi="宋体" w:cs="宋体" w:hint="eastAsia"/>
          <w:sz w:val="24"/>
          <w:u w:color="000000"/>
          <w:vertAlign w:val="superscript"/>
        </w:rPr>
        <w:t>6</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3.5.4 质量范围至少满足母离子单电荷5-3000m/z。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▲3.5.5 扫描速率：≥18000Da/s（以0.1 Da步进做全扫描）（</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3.5.6 正负模式切换时间：≤25ms，一次进样完成正、负离子的同时分析。</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3.5.7 最大多反应监测（MRM）采集速率：≥500MRMs/s。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3.5.8 最小多反应监测驻留时间：≤0.5ms。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3.5.9 独立电喷雾离子源（ESI）。</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▲3.5.10采用喷雾针和毛细传输管90度垂直以及加热反吹干燥气设计，喷雾针位置无需调节，适应全流速范围，同时保持高灵敏度和抗污染能力（</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3.5.11离子源配备高温鞘流气辅助系统，在传统的雾化气、反吹气帘气基础上，进一步提升去溶剂化和离子化效率，同时显著降低中性污染。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▲3.5.12 源后真空过渡系统：毛细传输管（</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★3.5.13 四极杆质量过滤器：可控温至≥90℃，以保证仪器的抗污染能力，并维持更加稳定的四极杆质量轴。</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★3.5.14 90度弯曲碰撞反应池，非直线型。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3.5.15采用氮气作为碰撞气，无需额外氩气等气体。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3.5.16检测器：电子倍增器。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3.5.17真空系统：配有一个大抽速的机械泵和至少两个独立空气冷却的差分分子涡轮泵，免维护，自动断电保护功能。</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3.5.18扫描方式：全扫描、子离子扫描、母离子扫描、中性丢失扫描、多反应监测、触发式多反应监测、选择离子监测、手动时间编程、自动时间编程、正/负极性切换。</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 在线固相萃取液相色谱系统：</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3.5.19.1 系统至少包含四元泵、2位10通阀及以上（耐压≥1300 bar）、驱动组件，配备两根及以上固相萃取小柱。样品富集、分离、检测过程的操作参数均由同一软件设置、控制。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▲3.5.19.2 两根及以上平行固相萃取柱设计，样品富集以及富集柱再生可以同时进行，富集柱可反复使用（</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3.5.19.3 配置双进样器，满足标准体积和大体积进样需求，大体积进样器上样量≥2mL。</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3.6  软件：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3.6.1单点控制液相部分和质谱部分。可以实现数据采集、数据分析、液相和质谱同步控制、在线监测、反馈显示和序列采集。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3.6.2 一键触发式的全自动调谐系统，调谐液自动输送，自动参数优化，无需蠕动泵，无需手动步骤。</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3.6.3 自动方法优化软件：采用自动进样器进样模式，自动优化每个目标化合物的质谱参数，如最佳碰撞电压、碰撞能量。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3.6.4 自动时间编程功能：多化合物同时监测时，能根据保留时间和峰宽自动分配每个离子驻留时间，无需手动设定时间窗口，一次可同时监测4000个及以上多反应监测模式信号；且可根据样品运行结果，自动更新、添加保留时间，无须手动输入。</w:t>
      </w:r>
    </w:p>
    <w:p>
      <w:pPr>
        <w:pStyle w:val="PlainText"/>
        <w:tabs>
          <w:tab w:val="left" w:pos="540"/>
        </w:tabs>
        <w:adjustRightInd w:val="0"/>
        <w:snapToGrid w:val="0"/>
        <w:spacing w:line="360" w:lineRule="auto"/>
        <w:rPr>
          <w:rFonts w:eastAsia="宋体" w:hAnsi="宋体" w:cs="宋体" w:hint="eastAsia"/>
          <w:b/>
          <w:sz w:val="24"/>
          <w:szCs w:val="24"/>
        </w:rPr>
      </w:pPr>
      <w:bookmarkStart w:id="80" w:name="_Toc29292"/>
      <w:r>
        <w:rPr>
          <w:rFonts w:eastAsia="宋体" w:hAnsi="宋体" w:cs="宋体" w:hint="eastAsia"/>
          <w:b/>
          <w:sz w:val="24"/>
          <w:szCs w:val="24"/>
        </w:rPr>
        <w:t>三重串联四极杆液质联用仪（二） 1套</w:t>
      </w:r>
      <w:bookmarkEnd w:id="80"/>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81" w:name="_Toc29511"/>
      <w:bookmarkStart w:id="82" w:name="_Toc256000013"/>
      <w:r>
        <w:rPr>
          <w:rFonts w:ascii="宋体" w:hAnsi="宋体" w:cs="宋体" w:hint="eastAsia"/>
          <w:b/>
          <w:kern w:val="0"/>
          <w:sz w:val="24"/>
          <w:szCs w:val="20"/>
        </w:rPr>
        <w:t>1．用途</w:t>
      </w:r>
      <w:bookmarkEnd w:id="82"/>
      <w:bookmarkEnd w:id="81"/>
    </w:p>
    <w:p>
      <w:pPr>
        <w:adjustRightInd w:val="0"/>
        <w:snapToGrid w:val="0"/>
        <w:spacing w:line="360" w:lineRule="auto"/>
        <w:ind w:left="315" w:firstLine="420" w:leftChars="150" w:firstLineChars="200"/>
        <w:rPr>
          <w:rFonts w:ascii="宋体" w:hAnsi="宋体" w:cs="宋体"/>
          <w:sz w:val="24"/>
          <w:u w:color="000000"/>
        </w:rPr>
      </w:pPr>
      <w:r>
        <w:rPr>
          <w:rFonts w:ascii="宋体" w:hAnsi="宋体" w:cs="宋体" w:hint="eastAsia"/>
          <w:sz w:val="24"/>
          <w:u w:color="000000"/>
        </w:rPr>
        <w:t>三重串联四极杆液质联用仪是目前应用最多和最普及的液质联用系统，它采用串联形式可从干扰严重的质谱中抽取有用数据，大大提高质谱检测的选择性，从而能够测定混合物中的痕量物质。</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83" w:name="_Toc28829"/>
      <w:bookmarkStart w:id="84" w:name="_Toc256000014"/>
      <w:r>
        <w:rPr>
          <w:rFonts w:ascii="宋体" w:hAnsi="宋体" w:cs="宋体" w:hint="eastAsia"/>
          <w:b/>
          <w:kern w:val="0"/>
          <w:sz w:val="24"/>
          <w:szCs w:val="20"/>
        </w:rPr>
        <w:t>2．★配置要求</w:t>
      </w:r>
      <w:bookmarkEnd w:id="84"/>
      <w:bookmarkEnd w:id="83"/>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.1 二元高压泵1台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.2 自动进样器1台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.3 柱温箱1台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.4 二极管阵列检测器1台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.5 三重串联四极杆质谱仪1台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.6 软件1套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u w:val="single"/>
        </w:rPr>
      </w:pPr>
      <w:bookmarkStart w:id="85" w:name="_Toc30423"/>
      <w:bookmarkStart w:id="86" w:name="_Toc256000015"/>
      <w:r>
        <w:rPr>
          <w:rFonts w:ascii="宋体" w:hAnsi="宋体" w:cs="宋体" w:hint="eastAsia"/>
          <w:b/>
          <w:kern w:val="0"/>
          <w:sz w:val="24"/>
          <w:szCs w:val="20"/>
          <w:lang w:val="en-US" w:eastAsia="zh-CN"/>
        </w:rPr>
        <w:t>3</w:t>
      </w:r>
      <w:r>
        <w:rPr>
          <w:rFonts w:ascii="宋体" w:hAnsi="宋体" w:cs="宋体" w:hint="eastAsia"/>
          <w:b/>
          <w:kern w:val="0"/>
          <w:sz w:val="24"/>
          <w:szCs w:val="20"/>
        </w:rPr>
        <w:t>．技术要求</w:t>
      </w:r>
      <w:bookmarkEnd w:id="86"/>
      <w:bookmarkEnd w:id="85"/>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  二元高压泵：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.1.1双串联柱塞泵设计，每个泵头有独立马达驱动；采用可变冲程设计和平滑运动控制以实现主动式阻尼，至少满足20µL-100µL连续可调冲程（</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.1.2流量范围至少满足0.001mL/min-5.0mL/min，递增率≤0.001mL/min。</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.1.3流量精度：相对标准偏差≤0.07%。</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.1.4压力范围至少包含0-1300Bar（</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.1.5压力脉动：在整个压力范围内&lt;1%。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.1.6可压缩性补偿：根据流动相自动调节或用户选择。</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.1.7梯度洗脱：0-100%。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.1.8混合精度：相对标准偏差&lt;0.15%。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.1.9延迟体积最小可达10µL。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.1.10含真空在线脱气装置。</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.1.11 梯度曲线：22条及以上（直线、凹形、凸形等）。</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.2  自动进样器：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.2.1样品容量：216位及以上2mL样品盘（</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.2.2进样范围至少满足0.1-20µL。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.2.3进样精度：相对标准偏差&lt;0.25%。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.2.4交叉污染：&lt;0.004%。</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.3  柱温箱：</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.3.1 柱温范围至少满足4℃-110℃。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.3.2 温度稳定性至少满足±0.03℃。</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.3.3 温度准确度至少满足±0.5℃。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.3.4 柱容量：8根及以上长度≥100mm色谱柱。</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  二极管阵列检测器：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.4.1 光源：氘灯。</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.4.2 最大采样频率：≥240Hz。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.4.3 检测器类型：1024单元二极管阵列。</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.4.4 短期噪音：＜±3×10</w:t>
      </w:r>
      <w:r>
        <w:rPr>
          <w:rFonts w:ascii="宋体" w:hAnsi="宋体" w:cs="宋体" w:hint="eastAsia"/>
          <w:sz w:val="24"/>
          <w:u w:color="000000"/>
          <w:vertAlign w:val="superscript"/>
        </w:rPr>
        <w:t>-6</w:t>
      </w:r>
      <w:r>
        <w:rPr>
          <w:rFonts w:ascii="宋体" w:hAnsi="宋体" w:cs="宋体" w:hint="eastAsia"/>
          <w:sz w:val="24"/>
          <w:u w:color="000000"/>
        </w:rPr>
        <w:t>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.4.5 漂移：＜0.5×10</w:t>
      </w:r>
      <w:r>
        <w:rPr>
          <w:rFonts w:ascii="宋体" w:hAnsi="宋体" w:cs="宋体" w:hint="eastAsia"/>
          <w:sz w:val="24"/>
          <w:u w:color="000000"/>
          <w:vertAlign w:val="superscript"/>
        </w:rPr>
        <w:t>-3</w:t>
      </w:r>
      <w:r>
        <w:rPr>
          <w:rFonts w:ascii="宋体" w:hAnsi="宋体" w:cs="宋体" w:hint="eastAsia"/>
          <w:sz w:val="24"/>
          <w:u w:color="000000"/>
        </w:rPr>
        <w:t>AU/h。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.4.6 线性：＞2.0AU。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.4.7 波长范围至少满足190-640nm。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.4.8 波长准确度至少满足±1nm。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.4.9 波长精度：＜±0.1nm。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.4.10 狭缝宽度：至少包含1、2、4、8nm（</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  三重串联四极杆质谱仪：</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 离子源：独立电喷雾离子源（ESI）。</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.5.2采用喷雾针和毛细传输管90度垂直以及加热反吹干燥气设计，喷雾针位置无需调节，适应全流速范围，同时保持高灵敏度和抗污染能力。</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.5.3 铰链开合式喷雾室设计，更换方便，清洗简便。</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.5.4 离子源接口可适用于微径柱、常规分析柱、毛细管电泳。</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.5.5 离子导入光学系统：多孔离子注入毛细传输管，配有离轴两级离子漏斗系统，有效提高离子传输效率，消除中性粒子干扰。</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.5.6 四极杆质量过滤器：可控温至≥90℃，双曲面金属四极杆。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.5.7 碰撞反应池：90度弯曲六极杆高压线性加速碰撞反应池。</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.5.8 气体要求：采用高纯氮气作为雾化气和碰撞气，无需额外氩气等气体。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.5.9 检测器系统：电子倍增器。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.5.10 真空系统：带有差动抽气真空系统，分子涡轮泵抽速大于800L/s和大抽速的前级机械泵。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.5.11 具有自动断电保护功能。</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.5.12 扫描方式：全扫描、子离子扫描、母离子扫描、中性丢失扫描、多反应监测（用于定量分析）、触发式多反应监测（用于二级离子定性）、选择性离子监测、手动时间编程、动态多反应监测（自动时间编程）、正/负极性切换。</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.5.13 质量范围至少满足母离子单电荷5-3000 m/z。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.5.14 最大扫描速率：≥17000Da/s（以0.1Da步径做全扫描）。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.5.15 动态范围：＞6×10</w:t>
      </w:r>
      <w:r>
        <w:rPr>
          <w:rFonts w:ascii="宋体" w:hAnsi="宋体" w:cs="宋体" w:hint="eastAsia"/>
          <w:sz w:val="24"/>
          <w:u w:color="000000"/>
          <w:vertAlign w:val="superscript"/>
        </w:rPr>
        <w:t>6</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w:t>
      </w:r>
      <w:r>
        <w:rPr>
          <w:rFonts w:ascii="宋体" w:hAnsi="宋体" w:cs="宋体" w:hint="eastAsia"/>
          <w:sz w:val="24"/>
          <w:u w:color="000000"/>
          <w:lang w:val="en-US" w:eastAsia="zh-CN"/>
        </w:rPr>
        <w:t>3</w:t>
      </w:r>
      <w:r>
        <w:rPr>
          <w:rFonts w:ascii="宋体" w:hAnsi="宋体" w:cs="宋体" w:hint="eastAsia"/>
          <w:sz w:val="24"/>
          <w:u w:color="000000"/>
        </w:rPr>
        <w:t>.5.16 ESI</w:t>
      </w:r>
      <w:r>
        <w:rPr>
          <w:rFonts w:ascii="宋体" w:hAnsi="宋体" w:cs="宋体" w:hint="eastAsia"/>
          <w:sz w:val="24"/>
          <w:u w:color="000000"/>
          <w:vertAlign w:val="superscript"/>
        </w:rPr>
        <w:t>+</w:t>
      </w:r>
      <w:r>
        <w:rPr>
          <w:rFonts w:ascii="宋体" w:hAnsi="宋体" w:cs="宋体" w:hint="eastAsia"/>
          <w:sz w:val="24"/>
          <w:u w:color="000000"/>
        </w:rPr>
        <w:t>灵敏度：液质联用柱上进样1pg利血平，离子对195/609 m/z，S/N&gt;1200000:1；液质联用柱上进样1fg利血平，离子对195/609 m/z，重复进样10针，峰面积RSD＜9%，所测得仪器检测限满足0.6fg（</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.5.17 ESI</w:t>
      </w:r>
      <w:r>
        <w:rPr>
          <w:rFonts w:ascii="宋体" w:hAnsi="宋体" w:cs="宋体" w:hint="eastAsia"/>
          <w:sz w:val="24"/>
          <w:u w:color="000000"/>
          <w:vertAlign w:val="superscript"/>
        </w:rPr>
        <w:t>-</w:t>
      </w:r>
      <w:r>
        <w:rPr>
          <w:rFonts w:ascii="宋体" w:hAnsi="宋体" w:cs="宋体" w:hint="eastAsia"/>
          <w:sz w:val="24"/>
          <w:u w:color="000000"/>
        </w:rPr>
        <w:t>灵敏度：液质联用柱上进样1pg氯霉素，离子对152/321 m/z，S/N&gt; 1200000:1，液质联用柱上进样1fg氯霉素，离子对152/321 m/z，重复进样10针，峰面积RSD＜9%，所测得仪器检测限满足0.6fg。</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.5.18 正负模式切换时间：≤30ms。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.5.19 质量轴稳定性至少满足±0.1Da/24h。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.5.20 可同时做≥500个多反应监测离子对检测。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.5.21 多反应监测最小驻留时间：≤0.5ms。</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.6  软件：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.6.1单点控制液相部分和质谱部分。可以实现数据采集、数据分析、液相和质谱同步控制、在线监测、反馈显示和序列采集。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.6.2 一键触发式的全自动调谐系统，调谐液自动输送，自动参数优化，无需蠕动泵，无需手动步骤。</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.6.3 自动方法优化软件：采用自动进样器进样模式，自动优化每个目标化合物的质谱参数，如最佳碰撞电压、碰撞能量。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lang w:val="en-US" w:eastAsia="zh-CN"/>
        </w:rPr>
        <w:t>3</w:t>
      </w:r>
      <w:r>
        <w:rPr>
          <w:rFonts w:ascii="宋体" w:hAnsi="宋体" w:cs="宋体" w:hint="eastAsia"/>
          <w:sz w:val="24"/>
          <w:u w:color="000000"/>
        </w:rPr>
        <w:t>.6.4 自动时间编程功能： 多化合物同时监测时，能根据保留时间和峰宽自动分配每个离子驻留时间，无需手动设定时间窗口，一次可同时监测4000个及以上多反应监测模式信号；且可根据样品运行结果，自动更新、添加保留时间，无须手动输入。</w:t>
      </w:r>
    </w:p>
    <w:p>
      <w:pPr>
        <w:pStyle w:val="PlainText"/>
        <w:numPr>
          <w:ilvl w:val="0"/>
          <w:numId w:val="2"/>
        </w:numPr>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 xml:space="preserve">商务要求： </w:t>
      </w:r>
    </w:p>
    <w:p>
      <w:pPr>
        <w:adjustRightInd w:val="0"/>
        <w:snapToGrid w:val="0"/>
        <w:spacing w:line="360" w:lineRule="auto"/>
        <w:rPr>
          <w:rFonts w:ascii="宋体" w:hAnsi="宋体" w:cs="宋体"/>
          <w:sz w:val="24"/>
        </w:rPr>
      </w:pPr>
      <w:bookmarkEnd w:id="72"/>
      <w:bookmarkEnd w:id="73"/>
      <w:bookmarkStart w:id="87" w:name="_Toc13067019"/>
      <w:bookmarkStart w:id="88" w:name="_Toc13067017"/>
      <w:bookmarkStart w:id="89" w:name="_Toc435109306"/>
      <w:bookmarkStart w:id="90" w:name="_Toc13067022"/>
      <w:bookmarkStart w:id="91" w:name="_Toc435514850"/>
      <w:bookmarkStart w:id="92" w:name="_Toc435115055"/>
      <w:r>
        <w:rPr>
          <w:rFonts w:ascii="宋体" w:hAnsi="宋体" w:cs="宋体" w:hint="eastAsia"/>
          <w:b/>
          <w:sz w:val="24"/>
        </w:rPr>
        <w:t>（一）免费保修期内售后服务要求：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★1.合同货物整体质量保证期为验收合格之日起12个月。如果对合同货物中关键部件的质量保证期有特殊要求的，双方可以在补充条款中约定。</w:t>
      </w:r>
    </w:p>
    <w:p>
      <w:pPr>
        <w:adjustRightInd w:val="0"/>
        <w:snapToGrid w:val="0"/>
        <w:spacing w:line="360" w:lineRule="auto"/>
        <w:ind w:firstLine="420" w:firstLineChars="200"/>
        <w:jc w:val="left"/>
        <w:rPr>
          <w:rFonts w:ascii="宋体" w:hAnsi="宋体" w:cs="宋体"/>
          <w:sz w:val="24"/>
        </w:rPr>
      </w:pPr>
      <w:bookmarkStart w:id="93" w:name="_Hlk96337424"/>
      <w:r>
        <w:rPr>
          <w:rFonts w:ascii="宋体" w:hAnsi="宋体" w:cs="宋体" w:hint="eastAsia"/>
          <w:sz w:val="24"/>
        </w:rPr>
        <w:t>2.免费提供原厂技术人员对采购人的操作技术培训和相关技术资料。培训时间不少于</w:t>
      </w:r>
      <w:r>
        <w:rPr>
          <w:rFonts w:ascii="宋体" w:hAnsi="宋体" w:cs="宋体" w:hint="eastAsia"/>
          <w:sz w:val="24"/>
          <w:u w:val="single"/>
        </w:rPr>
        <w:t xml:space="preserve"> 5 </w:t>
      </w:r>
      <w:r>
        <w:rPr>
          <w:rFonts w:ascii="宋体" w:hAnsi="宋体" w:cs="宋体" w:hint="eastAsia"/>
          <w:sz w:val="24"/>
        </w:rPr>
        <w:t xml:space="preserve"> 天。</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3.投标人应为质量保证期服务配备充足的技术人员、工具和备件并保证提供的联系方式畅通。投标人应在收到采购人通知后4小时内作出响应，如需投标人到合同货物现场，投标人应在收到采购人通知后48小时内到达，并在到达后7日内解决合同货物的故障（重大故障除外）。如果投标人未在上述时间内作出响应，则采购人有权自行或委托他人解决相关问题或查找和解决合同货物的故障，投标人应承担由此发生的全部费用。</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4.投标人在质量保证期内应对设备进行定期巡检。</w:t>
      </w:r>
      <w:bookmarkEnd w:id="93"/>
    </w:p>
    <w:p>
      <w:pPr>
        <w:adjustRightInd w:val="0"/>
        <w:snapToGrid w:val="0"/>
        <w:spacing w:line="360" w:lineRule="auto"/>
        <w:rPr>
          <w:rFonts w:ascii="宋体" w:hAnsi="宋体" w:cs="宋体"/>
          <w:b/>
          <w:sz w:val="24"/>
        </w:rPr>
      </w:pPr>
      <w:r>
        <w:rPr>
          <w:rFonts w:ascii="宋体" w:hAnsi="宋体" w:cs="宋体" w:hint="eastAsia"/>
          <w:b/>
          <w:sz w:val="24"/>
        </w:rPr>
        <w:t>（二）免费保修期外售后服务要求：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1.软件更新：设备主体不升级情况下，确保所提供的软件可随设备终身免费有效使用。</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2.整机承保及费用：需对所提供的设备终身承保，延保费用不高于同期同类型设备维修或维护的市场价格。</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3.年度巡检：投标人厂家工程师每年两次上门回访主动维护设备、使用培训。</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4.质保期外设备维修：仍按照质保期内约定的响应时间进行响应，设备维修、耗材更换费用不高于设备配置清单中配件、耗材的价格。</w:t>
      </w:r>
    </w:p>
    <w:p>
      <w:pPr>
        <w:adjustRightInd w:val="0"/>
        <w:snapToGrid w:val="0"/>
        <w:spacing w:line="360" w:lineRule="auto"/>
        <w:rPr>
          <w:rFonts w:ascii="宋体" w:hAnsi="宋体" w:cs="宋体"/>
          <w:b/>
          <w:bCs/>
          <w:sz w:val="24"/>
        </w:rPr>
      </w:pPr>
      <w:r>
        <w:rPr>
          <w:rFonts w:ascii="宋体" w:hAnsi="宋体" w:cs="宋体" w:hint="eastAsia"/>
          <w:b/>
          <w:bCs/>
          <w:sz w:val="24"/>
        </w:rPr>
        <w:t>（三）其他商务要求：</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1.关于交货：</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★1.1交付时间：合同签订后180个日历日内</w:t>
      </w:r>
    </w:p>
    <w:p>
      <w:pPr>
        <w:adjustRightInd w:val="0"/>
        <w:snapToGrid w:val="0"/>
        <w:spacing w:line="360" w:lineRule="auto"/>
        <w:ind w:firstLine="420" w:firstLineChars="200"/>
        <w:rPr>
          <w:rFonts w:ascii="宋体" w:hAnsi="宋体" w:cs="宋体"/>
          <w:sz w:val="24"/>
        </w:rPr>
      </w:pPr>
      <w:bookmarkStart w:id="94" w:name="_Toc34754057"/>
      <w:bookmarkEnd w:id="94"/>
      <w:bookmarkStart w:id="95" w:name="_Toc35941933"/>
      <w:bookmarkEnd w:id="95"/>
      <w:r>
        <w:rPr>
          <w:rFonts w:ascii="宋体" w:hAnsi="宋体" w:cs="宋体" w:hint="eastAsia"/>
          <w:sz w:val="24"/>
        </w:rPr>
        <w:t>1.2交货地点：清华大学深圳国际研究生院用户指定地点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1.3投标人需承担的设备运输、安装调试、验收检测和提供设备操作说明书、图纸等其他类似的义务。</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2.关于验收</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2.1投标人货物经过双方检验认可后，签署验收报告，产品保修期自验收合格之日起算，由投标人提供产品保修文件。</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2.2当满足以下条件时，采购人才向中标人签发货物验收报告：</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a、中标人已按照合同规定提供了全部产品及完整的技术资料。</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b、货物符合招标文件技术规格书的要求，性能满足要求。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c、货物具备产品合格证。</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3.关于质量</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3.1 中标人保证所供货物系最好材料、最好的工艺制造，货物应是新的和未用过的，并且其品质和规格完全符合本合同规定。品质保证期为自货物验收合格日起1年。</w:t>
      </w:r>
    </w:p>
    <w:p>
      <w:pPr>
        <w:adjustRightInd w:val="0"/>
        <w:snapToGrid w:val="0"/>
        <w:spacing w:line="360" w:lineRule="auto"/>
        <w:ind w:firstLine="420" w:firstLineChars="200"/>
        <w:rPr>
          <w:rFonts w:ascii="宋体" w:hAnsi="宋体" w:cs="宋体"/>
          <w:color w:val="auto"/>
          <w:sz w:val="24"/>
        </w:rPr>
      </w:pPr>
      <w:r>
        <w:rPr>
          <w:rFonts w:ascii="宋体" w:hAnsi="宋体" w:cs="宋体"/>
          <w:color w:val="auto"/>
          <w:sz w:val="24"/>
        </w:rPr>
        <w:t>★</w:t>
      </w:r>
      <w:r>
        <w:rPr>
          <w:rFonts w:ascii="宋体" w:hAnsi="宋体" w:cs="宋体" w:hint="eastAsia"/>
          <w:color w:val="auto"/>
          <w:sz w:val="24"/>
        </w:rPr>
        <w:t>3.2中标人所交付产品、工程或服务需符合其投标承诺，不得在投标阶段为了中标而盲目虚假承诺、低价恶性竞争，在履约阶段则通过偷工减料、以次充好而获取利润。</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★4.报价方式及要求</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国产货物：人民币报价，投标价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进口免税产品报价说明：</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3）依据国家相关法律法规，项目中不可免税部分请单报人民币含税价格。</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bCs/>
          <w:sz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★5.关于付款</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b/>
          <w:sz w:val="24"/>
        </w:rPr>
      </w:pPr>
      <w:r>
        <w:rPr>
          <w:rFonts w:ascii="宋体" w:hAnsi="宋体" w:cs="宋体" w:hint="eastAsia"/>
          <w:b/>
          <w:sz w:val="24"/>
        </w:rPr>
        <w:t>国内合同：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（1）合同生效后，采购人在15日内，向中标人支付合同价款的50%，作为预付款；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（2）中标人按照合同约定交付全部合同货物，完成安装、调试并经采购人验收合格后，采购人在收到中标人提交的下列全部单据并经审核无误后15日内，向中标人支付合同价款的50%。</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① 中标人出具的交货清单原件一份；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② 采购人签署的收货清单复印件一份；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③ 货物验收记录复印件一份；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④ 制造商出具的出厂质量合格证原件一份；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⑤ 增值税（专用/普通）发票原件一份。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ind w:left="-105" w:firstLine="420" w:leftChars="-50" w:firstLineChars="200"/>
        <w:rPr>
          <w:rFonts w:ascii="宋体" w:hAnsi="宋体" w:cs="宋体"/>
          <w:b/>
          <w:sz w:val="24"/>
        </w:rPr>
      </w:pPr>
      <w:r>
        <w:rPr>
          <w:rFonts w:ascii="宋体" w:hAnsi="宋体" w:cs="宋体" w:hint="eastAsia"/>
          <w:b/>
          <w:sz w:val="24"/>
        </w:rPr>
        <w:t>进口（外贸）合同：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货款支付上限为：中标/成交人民币价格。</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信用证付款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（1）签订外贸合同后，买方代理收到买方50%货款后，买方代理对外开具合同总额的50%不可撤销信用证给卖方；</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（2）货到验收合格后，买方代理收到买方50%货款后，买方代理电汇支付50%货款给卖方（合同执行期间产生的外币汇率损失由中标人承担）。</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（4）如果采用外币结算，汇率取开标日中国人民银行公布的汇率中间价。</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所有付款计划均以政府财政部门划拨款项时间为准，采购人不承担因财政审批或拨款延迟造成延迟付款的违约责任。</w:t>
      </w:r>
    </w:p>
    <w:p>
      <w:pPr>
        <w:adjustRightInd w:val="0"/>
        <w:snapToGrid w:val="0"/>
        <w:spacing w:line="360" w:lineRule="auto"/>
        <w:ind w:firstLine="420" w:firstLineChars="200"/>
        <w:rPr>
          <w:b/>
          <w:bCs/>
          <w:sz w:val="28"/>
          <w:szCs w:val="28"/>
        </w:rPr>
      </w:pPr>
      <w:r>
        <w:rPr>
          <w:rFonts w:hint="eastAsia"/>
          <w:b/>
          <w:bCs/>
          <w:sz w:val="28"/>
          <w:szCs w:val="28"/>
        </w:rPr>
        <w:br w:type="page"/>
      </w:r>
    </w:p>
    <w:p>
      <w:pPr>
        <w:adjustRightInd w:val="0"/>
        <w:snapToGrid w:val="0"/>
        <w:spacing w:line="360" w:lineRule="auto"/>
        <w:jc w:val="center"/>
        <w:outlineLvl w:val="0"/>
        <w:rPr>
          <w:b/>
          <w:bCs/>
          <w:sz w:val="28"/>
          <w:szCs w:val="28"/>
          <w:highlight w:val="yellow"/>
        </w:rPr>
      </w:pPr>
      <w:bookmarkStart w:id="96" w:name="_Toc12198"/>
      <w:bookmarkStart w:id="97" w:name="_Toc256000016"/>
      <w:r>
        <w:rPr>
          <w:rFonts w:hint="eastAsia"/>
          <w:b/>
          <w:bCs/>
          <w:sz w:val="28"/>
          <w:szCs w:val="28"/>
        </w:rPr>
        <w:t>第三章 评标方法</w:t>
      </w:r>
      <w:bookmarkEnd w:id="87"/>
      <w:r>
        <w:rPr>
          <w:rFonts w:hint="eastAsia"/>
          <w:b/>
          <w:bCs/>
          <w:sz w:val="28"/>
          <w:szCs w:val="28"/>
        </w:rPr>
        <w:t>和标准</w:t>
      </w:r>
      <w:bookmarkEnd w:id="97"/>
      <w:bookmarkEnd w:id="96"/>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98" w:name="_Toc435514846"/>
      <w:r>
        <w:rPr>
          <w:rFonts w:ascii="黑体" w:eastAsia="黑体" w:hAnsi="宋体" w:cs="宋体"/>
          <w:sz w:val="28"/>
          <w:szCs w:val="28"/>
        </w:rPr>
        <w:br w:type="page"/>
      </w:r>
    </w:p>
    <w:p>
      <w:pPr>
        <w:jc w:val="center"/>
        <w:rPr>
          <w:b/>
          <w:bCs/>
          <w:color w:val="FF0000"/>
          <w:sz w:val="28"/>
          <w:szCs w:val="28"/>
        </w:rPr>
      </w:pPr>
      <w:bookmarkEnd w:id="98"/>
      <w:bookmarkStart w:id="99" w:name="_Toc30664355"/>
      <w:bookmarkStart w:id="100" w:name="_Toc435514848"/>
      <w:r>
        <w:rPr>
          <w:rFonts w:hint="eastAsia"/>
          <w:b/>
          <w:bCs/>
          <w:sz w:val="28"/>
          <w:szCs w:val="28"/>
        </w:rPr>
        <w:t>投标文件初审</w:t>
      </w:r>
      <w:bookmarkEnd w:id="99"/>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sz w:val="24"/>
              </w:rPr>
              <w:t>参与本项目投标前三年内，在经营活动中没有重大违法记录</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567"/>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bCs/>
                <w:sz w:val="24"/>
              </w:rPr>
              <w:t>本项目不接受联合体投标，不得转包、分包。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rPr>
                <w:rFonts w:ascii="宋体" w:hAnsi="宋体"/>
                <w:i/>
                <w:iCs/>
                <w:sz w:val="24"/>
                <w:shd w:val="pct10" w:color="auto" w:fill="FFFFFF"/>
              </w:rPr>
            </w:pPr>
            <w:r>
              <w:rPr>
                <w:rFonts w:ascii="宋体" w:hAnsi="宋体" w:cs="仿宋_GB2312" w:hint="eastAsia"/>
                <w:sz w:val="24"/>
              </w:rPr>
              <w:t>落实政府采购政策需满足的资格要求：</w:t>
            </w:r>
            <w:r>
              <w:rPr>
                <w:rFonts w:asciiTheme="minorEastAsia" w:eastAsiaTheme="minorEastAsia" w:hAnsiTheme="minorEastAsia" w:hint="eastAsia"/>
                <w:bCs/>
                <w:sz w:val="24"/>
              </w:rPr>
              <w:t>无</w:t>
            </w:r>
          </w:p>
          <w:p>
            <w:pPr>
              <w:tabs>
                <w:tab w:val="left" w:pos="612"/>
              </w:tabs>
              <w:snapToGrid w:val="0"/>
              <w:rPr>
                <w:rFonts w:asciiTheme="minorEastAsia" w:eastAsiaTheme="minorEastAsia" w:hAnsiTheme="minorEastAsia" w:cs="宋体"/>
                <w:sz w:val="24"/>
              </w:rPr>
            </w:pP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cs="宋体"/>
                <w:sz w:val="24"/>
              </w:rPr>
              <w:t>接受投标人选用进口产品参与投标，若所投产品为进口，则投标人必须提供由设备制造商或授权的</w:t>
            </w:r>
            <w:r>
              <w:rPr>
                <w:rFonts w:asciiTheme="minorEastAsia" w:eastAsiaTheme="minorEastAsia" w:hAnsiTheme="minorEastAsia" w:cs="宋体" w:hint="eastAsia"/>
                <w:sz w:val="24"/>
                <w:lang w:eastAsia="zh-CN"/>
              </w:rPr>
              <w:t>中国代理</w:t>
            </w:r>
            <w:r>
              <w:rPr>
                <w:rFonts w:asciiTheme="minorEastAsia" w:eastAsiaTheme="minorEastAsia" w:hAnsiTheme="minorEastAsia" w:cs="宋体"/>
                <w:sz w:val="24"/>
              </w:rPr>
              <w:t>签署的合法有效的针对所投标产品对应商品授权书；若所投产品为国产产品，则无需提供。</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101" w:name="_Hlk34398339"/>
            <w:r>
              <w:rPr>
                <w:rFonts w:ascii="宋体" w:hAnsi="宋体" w:cs="宋体" w:hint="eastAsia"/>
                <w:b/>
                <w:sz w:val="24"/>
              </w:rPr>
              <w:t>符合性审查</w:t>
            </w:r>
            <w:bookmarkEnd w:id="101"/>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最高限价及最高单价限价的；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评审部分</w:t>
            </w:r>
          </w:p>
        </w:tc>
        <w:tc>
          <w:tcPr>
            <w:tcW w:w="1355"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评审因素</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评分细则</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权重（%）</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一</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技术保障措施</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（一）评审内容：</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投标人结合本项目实际提供项目技术保障措施，应包括内容：</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1、投标产品的质量可靠性和先进性说明；</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2、供货和安装进度计划；</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3、供货时间节点和步骤；</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4、人员安排和分工；</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5、突发情况应对措施。</w:t>
            </w:r>
          </w:p>
          <w:p>
            <w:pPr>
              <w:keepNext w:val="0"/>
              <w:keepLines w:val="0"/>
              <w:pageBreakBefore w:val="0"/>
              <w:kinsoku/>
              <w:wordWrap/>
              <w:overflowPunct/>
              <w:topLinePunct w:val="0"/>
              <w:bidi w:val="0"/>
              <w:adjustRightInd w:val="0"/>
              <w:snapToGrid w:val="0"/>
              <w:spacing w:before="156" w:beforeLines="50" w:line="240" w:lineRule="auto"/>
              <w:ind w:right="0" w:rightChars="0"/>
              <w:jc w:val="left"/>
              <w:textAlignment w:val="auto"/>
              <w:rPr>
                <w:rFonts w:ascii="宋体" w:hAnsi="宋体" w:cs="宋体"/>
                <w:b/>
                <w:bCs/>
                <w:sz w:val="24"/>
              </w:rPr>
            </w:pPr>
            <w:r>
              <w:rPr>
                <w:rFonts w:ascii="宋体" w:hAnsi="宋体" w:cs="宋体" w:hint="eastAsia"/>
                <w:sz w:val="24"/>
              </w:rPr>
              <w:t>（二）评分标准：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每满足一点得15分，满分75分。在此基础上，专家根据各供应商的具体响应内容按照量化的评审因素指标进一步评审：</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1.评分标准为优：项目技术保障措施思路清晰明确，方案合理可行，满足服务要求，针对性强的得25分；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2.评分标准为良：项目技术保障措施总体思路比较清晰，方案比较合理可行，可以满足服务要求的得15分；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3.评分标准为中：项目技术保障措施思路基本清晰，方案基本合理可行，基本可以满足服务要求的得10分；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4.评分标准为差：项目技术保障措施思路不清晰，方案不完整，不能满足服务需要的不得分。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如果评审为差，要求专家书面说明理由，并记录在档。</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3</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3805"/>
          <w:jc w:val="center"/>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kern w:val="0"/>
                <w:sz w:val="24"/>
              </w:rPr>
              <w:t>技术要求偏离情况</w:t>
            </w:r>
          </w:p>
        </w:tc>
        <w:tc>
          <w:tcPr>
            <w:tcW w:w="5730" w:type="dxa"/>
            <w:vAlign w:val="center"/>
          </w:tcPr>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宋体" w:hAnsi="宋体" w:cs="宋体" w:hint="eastAsia"/>
                <w:kern w:val="0"/>
                <w:sz w:val="24"/>
              </w:rPr>
            </w:pPr>
            <w:r>
              <w:rPr>
                <w:rFonts w:ascii="宋体" w:hAnsi="宋体" w:cs="宋体" w:hint="eastAsia"/>
                <w:kern w:val="0"/>
                <w:sz w:val="24"/>
              </w:rPr>
              <w:t>投标人应如实填写《技术要求偏离表》，评审委员会根据技术需求参数响应情况进行打分，各项技术参数指标及要求全部满足的得100分，有“★”的条款为实质性条款，负偏离或不响应投标无效处理，不参与评分，所有标注“▲”的重要参数每负偏离一条扣5.</w:t>
            </w:r>
            <w:r>
              <w:rPr>
                <w:rFonts w:ascii="宋体" w:hAnsi="宋体" w:cs="宋体" w:hint="eastAsia"/>
                <w:kern w:val="0"/>
                <w:sz w:val="24"/>
                <w:lang w:val="en-US" w:eastAsia="zh-CN"/>
              </w:rPr>
              <w:t>8</w:t>
            </w:r>
            <w:r>
              <w:rPr>
                <w:rFonts w:ascii="宋体" w:hAnsi="宋体" w:cs="宋体" w:hint="eastAsia"/>
                <w:kern w:val="0"/>
                <w:sz w:val="24"/>
              </w:rPr>
              <w:t>分，一般参数每负偏离一条扣0.5分，总扣分不超过100分。</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highlight w:val="yellow"/>
              </w:rPr>
            </w:pPr>
            <w:r>
              <w:rPr>
                <w:rFonts w:ascii="宋体" w:hAnsi="宋体" w:cs="宋体" w:hint="eastAsia"/>
                <w:kern w:val="0"/>
                <w:sz w:val="24"/>
              </w:rPr>
              <w:t>（</w:t>
            </w:r>
            <w:r>
              <w:rPr>
                <w:rFonts w:ascii="宋体" w:hAnsi="宋体" w:cs="宋体" w:hint="eastAsia"/>
                <w:kern w:val="0"/>
                <w:sz w:val="24"/>
                <w:lang w:val="en-US" w:eastAsia="zh-CN"/>
              </w:rPr>
              <w:t>投标人按照招标文件的要求（如有）提供证明文件</w:t>
            </w:r>
            <w:r>
              <w:rPr>
                <w:rFonts w:ascii="宋体" w:hAnsi="宋体" w:cs="宋体" w:hint="eastAsia"/>
                <w:kern w:val="0"/>
                <w:sz w:val="24"/>
              </w:rPr>
              <w:t>的扫描件，</w:t>
            </w:r>
            <w:r>
              <w:rPr>
                <w:rFonts w:ascii="宋体" w:hAnsi="宋体" w:cs="宋体" w:hint="eastAsia"/>
                <w:kern w:val="0"/>
                <w:sz w:val="24"/>
                <w:lang w:val="en-US" w:eastAsia="zh-CN"/>
              </w:rPr>
              <w:t>证明文件内容</w:t>
            </w:r>
            <w:r>
              <w:rPr>
                <w:rFonts w:ascii="宋体" w:hAnsi="宋体" w:cs="宋体" w:hint="eastAsia"/>
                <w:kern w:val="0"/>
                <w:sz w:val="24"/>
              </w:rPr>
              <w:t>与偏离表内容不一致的，视为响应不实，按负偏离处理；未</w:t>
            </w:r>
            <w:r>
              <w:rPr>
                <w:rFonts w:ascii="宋体" w:hAnsi="宋体" w:cs="宋体" w:hint="eastAsia"/>
                <w:kern w:val="0"/>
                <w:sz w:val="24"/>
                <w:lang w:val="en-US" w:eastAsia="zh-CN"/>
              </w:rPr>
              <w:t>按照要求</w:t>
            </w:r>
            <w:r>
              <w:rPr>
                <w:rFonts w:ascii="宋体" w:hAnsi="宋体" w:cs="宋体" w:hint="eastAsia"/>
                <w:kern w:val="0"/>
                <w:sz w:val="24"/>
              </w:rPr>
              <w:t>提供证明材料及提供的证明材料不完整、不清晰的，该项技术指标按负偏离处理）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sz w:val="24"/>
              </w:rPr>
              <w:t>51</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sz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二</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免费保修期内售后服务条款偏离情况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投标人应如实填写《商务要求偏离表（免费保修期内售后服务要求）》，评审委员会根据响应情况进行打分，全部满足要求的得100分，每负偏离一项扣33.5分，扣完为止。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4</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4</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免费保修期外售后服务条款偏离情况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投标人应如实填写《商务要求偏离表（免费保修期外售后服务要求）》，评审委员会根据响应情况进行打分，全部满足要求的得100分，每负偏离一项扣25分，扣完为止。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其他商务条款偏离情况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投标人应如实填写《商务要求偏离表（其他商务要求）》，评审委员会根据响应情况进行打分，全部满足要求的得100分，每负偏离一项扣</w:t>
            </w:r>
            <w:r>
              <w:rPr>
                <w:rFonts w:ascii="宋体" w:hAnsi="宋体" w:cs="宋体"/>
                <w:sz w:val="24"/>
              </w:rPr>
              <w:t>20</w:t>
            </w:r>
            <w:r>
              <w:rPr>
                <w:rFonts w:ascii="宋体" w:hAnsi="宋体" w:cs="宋体" w:hint="eastAsia"/>
                <w:sz w:val="24"/>
              </w:rPr>
              <w:t>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投标人近三年同类业绩</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自2020年8月1日至本项目投标截止日，以合同签订时间为准，提供3个及以上同类产品业绩（质谱仪类）即得100分，提供2个得60分，提供1个得30分，未提供的不得分。投标人必须在投标文件中提供每一个完工项目的合同和验收报告（均加盖合同甲方公章或业务章）扫描件，否则不得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000000"/>
                <w:sz w:val="24"/>
              </w:rPr>
            </w:pPr>
            <w:r>
              <w:rPr>
                <w:rFonts w:ascii="宋体" w:hAnsi="宋体" w:cs="宋体" w:hint="eastAsia"/>
                <w:color w:val="000000"/>
                <w:sz w:val="24"/>
              </w:rPr>
              <w:t>诚信</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59" w:right="0" w:leftChars="28" w:rightChars="0"/>
              <w:textAlignment w:val="auto"/>
              <w:rPr>
                <w:rFonts w:ascii="宋体" w:hAnsi="宋体" w:cs="宋体"/>
                <w:b/>
                <w:color w:val="000000"/>
                <w:sz w:val="24"/>
                <w:highlight w:val="lightGray"/>
              </w:rPr>
            </w:pPr>
            <w:r>
              <w:rPr>
                <w:rFonts w:ascii="宋体" w:hAnsi="宋体" w:cs="宋体" w:hint="eastAsia"/>
                <w:color w:val="000000"/>
                <w:sz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5</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b/>
                <w:sz w:val="24"/>
              </w:rPr>
            </w:pPr>
            <w:r>
              <w:rPr>
                <w:rFonts w:asciiTheme="minorEastAsia" w:eastAsiaTheme="minorEastAsia" w:hAnsiTheme="minorEastAsia" w:hint="eastAsia"/>
                <w:b/>
                <w:sz w:val="24"/>
              </w:rPr>
              <w:t>三</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b/>
                <w:sz w:val="24"/>
              </w:rPr>
            </w:pPr>
            <w:r>
              <w:rPr>
                <w:rFonts w:asciiTheme="minorEastAsia" w:eastAsiaTheme="minorEastAsia" w:hAnsiTheme="minorEastAsia" w:hint="eastAsia"/>
                <w:b/>
                <w:sz w:val="24"/>
              </w:rPr>
              <w:t>价格部分（</w:t>
            </w:r>
            <w:r>
              <w:rPr>
                <w:rFonts w:ascii="宋体" w:hAnsi="宋体" w:hint="eastAsia"/>
                <w:b/>
                <w:sz w:val="24"/>
              </w:rPr>
              <w:t>合计30分</w:t>
            </w:r>
            <w:r>
              <w:rPr>
                <w:rFonts w:asciiTheme="minorEastAsia" w:eastAsiaTheme="minorEastAsia" w:hAnsiTheme="minorEastAsia" w:hint="eastAsia"/>
                <w:b/>
                <w:sz w:val="24"/>
              </w:rPr>
              <w:t>）</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sz w:val="24"/>
              </w:rPr>
            </w:pPr>
            <w:r>
              <w:rPr>
                <w:rFonts w:asciiTheme="minorEastAsia" w:eastAsiaTheme="minorEastAsia" w:hAnsiTheme="minorEastAsia" w:hint="eastAsia"/>
                <w:sz w:val="24"/>
              </w:rPr>
              <w:t>1</w:t>
            </w: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573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right="0" w:rightChars="0"/>
              <w:textAlignment w:val="auto"/>
              <w:rPr>
                <w:rFonts w:asciiTheme="minorEastAsia" w:eastAsiaTheme="minorEastAsia" w:hAnsiTheme="minorEastAsia" w:cs="宋体"/>
                <w:kern w:val="0"/>
                <w:sz w:val="24"/>
              </w:rPr>
            </w:pPr>
            <w:r>
              <w:rPr>
                <w:rFonts w:asciiTheme="minorEastAsia" w:eastAsiaTheme="minorEastAsia" w:hAnsiTheme="minorEastAsia" w:cs="宋体"/>
                <w:kern w:val="0"/>
                <w:sz w:val="24"/>
              </w:rPr>
              <w:t>价格分</w:t>
            </w:r>
            <w:r>
              <w:rPr>
                <w:rFonts w:asciiTheme="minorEastAsia" w:eastAsiaTheme="minorEastAsia" w:hAnsiTheme="minorEastAsia" w:cs="宋体" w:hint="eastAsia"/>
                <w:kern w:val="0"/>
                <w:sz w:val="24"/>
              </w:rPr>
              <w:t>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投标报价得分=(评标基准价／投标报价)×100×权重</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bCs/>
                <w:sz w:val="24"/>
              </w:rPr>
            </w:pPr>
            <w:r>
              <w:rPr>
                <w:rFonts w:asciiTheme="minorEastAsia" w:eastAsiaTheme="minorEastAsia" w:hAnsiTheme="minorEastAsia" w:hint="eastAsia"/>
                <w:bCs/>
                <w:sz w:val="24"/>
              </w:rPr>
              <w:t>备注：</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cs="宋体"/>
                <w:sz w:val="24"/>
                <w:highlight w:val="yellow"/>
              </w:rPr>
            </w:pPr>
            <w:r>
              <w:rPr>
                <w:rFonts w:asciiTheme="minorEastAsia" w:eastAsiaTheme="minorEastAsia" w:hAnsiTheme="minorEastAsia" w:hint="eastAsia"/>
                <w:bCs/>
                <w:sz w:val="24"/>
              </w:rPr>
              <w:t>1、因落实政府采购政策进行价格调整的，以调整后的价格计算评标基准价和投标报价</w:t>
            </w:r>
            <w:r>
              <w:rPr>
                <w:rFonts w:asciiTheme="minorEastAsia" w:eastAsiaTheme="minorEastAsia" w:hAnsiTheme="minorEastAsia" w:cs="宋体" w:hint="eastAsia"/>
                <w:sz w:val="24"/>
              </w:rPr>
              <w:t>,详见《价格扣除》。</w:t>
            </w:r>
          </w:p>
          <w:p>
            <w:pPr>
              <w:keepNext w:val="0"/>
              <w:keepLines w:val="0"/>
              <w:pageBreakBefore w:val="0"/>
              <w:kinsoku/>
              <w:wordWrap/>
              <w:overflowPunct/>
              <w:topLinePunct w:val="0"/>
              <w:bidi w:val="0"/>
              <w:adjustRightInd w:val="0"/>
              <w:snapToGrid w:val="0"/>
              <w:spacing w:line="240" w:lineRule="auto"/>
              <w:ind w:right="0" w:rightChars="0"/>
              <w:textAlignment w:val="auto"/>
              <w:rPr>
                <w:rFonts w:asciiTheme="minorEastAsia" w:eastAsiaTheme="minorEastAsia" w:hAnsiTheme="minorEastAsia"/>
                <w:b/>
                <w:bCs/>
                <w:sz w:val="24"/>
                <w:u w:val="double"/>
              </w:rPr>
            </w:pPr>
            <w:r>
              <w:rPr>
                <w:rFonts w:asciiTheme="minorEastAsia" w:eastAsiaTheme="minorEastAsia" w:hAnsiTheme="minorEastAsia" w:hint="eastAsia"/>
                <w:bCs/>
                <w:sz w:val="24"/>
              </w:rPr>
              <w:t>2、投标报价得分四舍五入后，</w:t>
            </w:r>
            <w:r>
              <w:rPr>
                <w:rFonts w:asciiTheme="minorEastAsia" w:eastAsiaTheme="minorEastAsia" w:hAnsiTheme="minorEastAsia" w:cs="Arial" w:hint="eastAsia"/>
                <w:sz w:val="24"/>
              </w:rPr>
              <w:t>小数点后保留两位有效数。</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30</w:t>
            </w:r>
            <w:r>
              <w:rPr>
                <w:rFonts w:asciiTheme="minorEastAsia" w:eastAsiaTheme="minorEastAsia" w:hAnsiTheme="minorEastAsia" w:cs="宋体"/>
                <w:sz w:val="24"/>
              </w:rPr>
              <w:t xml:space="preserve"> </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hint="eastAsia"/>
                <w:sz w:val="24"/>
              </w:rPr>
              <w:t>合计</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100</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100"/>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1"/>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2"/>
        </w:numPr>
        <w:adjustRightInd w:val="0"/>
        <w:spacing w:line="360" w:lineRule="auto"/>
        <w:textAlignment w:val="baseline"/>
        <w:rPr>
          <w:rFonts w:ascii="宋体" w:hAnsi="宋体" w:cs="宋体"/>
          <w:bCs/>
          <w:color w:val="000000"/>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根据财政部、工业和信息化部印发的《政府采购促进中小企业发展管理办法》（财库〔2020〕46号）的规定，对小型和微型企业产品的价格给予C1的扣除（C1的取值为10%），用扣除后的价格参与评审。</w:t>
      </w:r>
    </w:p>
    <w:p>
      <w:pPr>
        <w:numPr>
          <w:ilvl w:val="1"/>
          <w:numId w:val="12"/>
        </w:numPr>
        <w:adjustRightInd w:val="0"/>
        <w:spacing w:line="360" w:lineRule="auto"/>
        <w:textAlignment w:val="baseline"/>
        <w:rPr>
          <w:rFonts w:ascii="宋体" w:hAnsi="宋体"/>
          <w:bCs/>
          <w:color w:val="000000"/>
          <w:kern w:val="0"/>
          <w:sz w:val="24"/>
        </w:rPr>
      </w:pPr>
      <w:r>
        <w:rPr>
          <w:rFonts w:ascii="宋体" w:hAnsi="宋体" w:cs="宋体" w:hint="eastAsia"/>
          <w:bCs/>
          <w:color w:val="000000"/>
          <w:kern w:val="0"/>
          <w:sz w:val="24"/>
        </w:rPr>
        <w:t>组成联合体（如允许）或者接受分包的小微企业与联合体内其他企业、分包企业之间存在直接控股、管理关系的，不享受价格扣除优惠政策。</w:t>
      </w:r>
    </w:p>
    <w:p>
      <w:pPr>
        <w:numPr>
          <w:ilvl w:val="1"/>
          <w:numId w:val="12"/>
        </w:numPr>
        <w:adjustRightInd w:val="0"/>
        <w:spacing w:line="360" w:lineRule="auto"/>
        <w:textAlignment w:val="baseline"/>
        <w:rPr>
          <w:rFonts w:ascii="宋体" w:hAnsi="宋体"/>
          <w:kern w:val="0"/>
          <w:sz w:val="24"/>
        </w:rPr>
      </w:pPr>
      <w:r>
        <w:rPr>
          <w:rFonts w:ascii="宋体" w:hAnsi="宋体" w:cs="宋体" w:hint="eastAsia"/>
          <w:color w:val="000000"/>
          <w:kern w:val="0"/>
          <w:sz w:val="24"/>
        </w:rPr>
        <w:t>监狱企业产</w:t>
      </w:r>
      <w:r>
        <w:rPr>
          <w:rFonts w:ascii="宋体" w:hAnsi="宋体" w:cs="宋体" w:hint="eastAsia"/>
          <w:kern w:val="0"/>
          <w:sz w:val="24"/>
        </w:rPr>
        <w:t>品价格扣除</w:t>
      </w:r>
    </w:p>
    <w:p>
      <w:pPr>
        <w:numPr>
          <w:ilvl w:val="2"/>
          <w:numId w:val="13"/>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监狱企业视同小微企业，按上述第（一）、（二）条款享受评审中价格扣除。</w:t>
      </w:r>
    </w:p>
    <w:p>
      <w:pPr>
        <w:numPr>
          <w:ilvl w:val="1"/>
          <w:numId w:val="12"/>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4"/>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color w:val="000000" w:themeColor="text1"/>
          <w:sz w:val="24"/>
          <w14:textFill>
            <w14:solidFill>
              <w14:schemeClr w14:val="tx1"/>
            </w14:solidFill>
          </w14:textFill>
        </w:rPr>
      </w:pPr>
    </w:p>
    <w:p>
      <w:pPr>
        <w:pStyle w:val="ListParagraph"/>
        <w:numPr>
          <w:ilvl w:val="0"/>
          <w:numId w:val="11"/>
        </w:numPr>
        <w:snapToGrid w:val="0"/>
        <w:spacing w:line="360" w:lineRule="auto"/>
        <w:ind w:firstLineChars="0"/>
        <w:jc w:val="center"/>
        <w:rPr>
          <w:rFonts w:ascii="宋体" w:hAnsi="宋体"/>
          <w:b/>
          <w:bCs/>
          <w:color w:val="4472C4"/>
          <w:sz w:val="24"/>
          <w:szCs w:val="22"/>
        </w:rPr>
      </w:pPr>
      <w:r>
        <w:rPr>
          <w:rFonts w:ascii="宋体" w:hAnsi="宋体" w:hint="eastAsia"/>
          <w:b/>
          <w:bCs/>
          <w:color w:val="000000" w:themeColor="text1"/>
          <w:sz w:val="24"/>
          <w:szCs w:val="22"/>
          <w14:textFill>
            <w14:solidFill>
              <w14:schemeClr w14:val="tx1"/>
            </w14:solidFill>
          </w14:textFill>
        </w:rPr>
        <w:t>节能产品、环境标志产品价格扣除</w:t>
      </w:r>
    </w:p>
    <w:p>
      <w:pPr>
        <w:numPr>
          <w:ilvl w:val="1"/>
          <w:numId w:val="15"/>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5"/>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rPr>
        <w:t>%</w:t>
      </w:r>
      <w:r>
        <w:rPr>
          <w:rFonts w:ascii="宋体" w:hAnsi="宋体" w:hint="eastAsia"/>
          <w:sz w:val="24"/>
        </w:rPr>
        <w:t>的价格扣除。</w:t>
      </w:r>
    </w:p>
    <w:p>
      <w:pPr>
        <w:numPr>
          <w:ilvl w:val="1"/>
          <w:numId w:val="15"/>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8"/>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7"/>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7"/>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rPr>
          <w:b/>
          <w:bCs/>
          <w:sz w:val="28"/>
          <w:szCs w:val="28"/>
        </w:rPr>
      </w:pPr>
      <w:bookmarkStart w:id="102" w:name="_Toc4149"/>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103" w:name="_Toc256000017"/>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103"/>
      <w:bookmarkEnd w:id="88"/>
      <w:bookmarkEnd w:id="102"/>
    </w:p>
    <w:p>
      <w:pPr>
        <w:adjustRightInd w:val="0"/>
        <w:snapToGrid w:val="0"/>
        <w:spacing w:before="156" w:beforeLines="50" w:after="156" w:afterLines="50" w:line="360" w:lineRule="auto"/>
        <w:ind w:left="420"/>
        <w:jc w:val="center"/>
        <w:outlineLvl w:val="1"/>
        <w:rPr>
          <w:b/>
          <w:bCs/>
          <w:sz w:val="28"/>
          <w:szCs w:val="28"/>
        </w:rPr>
      </w:pPr>
      <w:bookmarkStart w:id="104" w:name="_Toc17736"/>
      <w:bookmarkStart w:id="105" w:name="_Toc256000018"/>
      <w:r>
        <w:rPr>
          <w:rFonts w:hint="eastAsia"/>
          <w:b/>
          <w:bCs/>
          <w:sz w:val="28"/>
          <w:szCs w:val="28"/>
        </w:rPr>
        <w:t>第一部分 投标人须知前附表</w:t>
      </w:r>
      <w:bookmarkEnd w:id="105"/>
      <w:bookmarkEnd w:id="104"/>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72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58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①全部产品价格、服务价格、应向中华人民共和国政府缴纳的增值税和其它税等全部税费、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459"/>
                <w:tab w:val="left" w:pos="601"/>
              </w:tabs>
              <w:adjustRightInd w:val="0"/>
              <w:snapToGrid w:val="0"/>
              <w:rPr>
                <w:rFonts w:asciiTheme="minorEastAsia" w:eastAsiaTheme="minorEastAsia" w:hAnsiTheme="minorEastAsia"/>
                <w:color w:val="00B0F0"/>
                <w:sz w:val="24"/>
              </w:rPr>
            </w:pPr>
            <w:r>
              <w:rPr>
                <w:rFonts w:asciiTheme="minorEastAsia" w:eastAsiaTheme="minorEastAsia" w:hAnsiTheme="minorEastAsia" w:hint="eastAsia"/>
                <w:sz w:val="24"/>
              </w:rPr>
              <w:t>②对</w:t>
            </w:r>
            <w:r>
              <w:rPr>
                <w:rFonts w:asciiTheme="minorEastAsia" w:eastAsiaTheme="minorEastAsia" w:hAnsiTheme="minorEastAsia" w:cs="宋体" w:hint="eastAsia"/>
                <w:sz w:val="24"/>
                <w:lang w:val="zh-CN"/>
              </w:rPr>
              <w:t>进口环节关税和增值税等的要求：</w:t>
            </w:r>
            <w:r>
              <w:rPr>
                <w:rFonts w:asciiTheme="minorEastAsia" w:eastAsiaTheme="minorEastAsia" w:hAnsiTheme="minorEastAsia"/>
                <w:color w:val="00B0F0"/>
                <w:sz w:val="24"/>
              </w:rPr>
              <w:t xml:space="preserve"> </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不适用</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包含进口环节关税和增值税。</w:t>
            </w:r>
          </w:p>
          <w:p>
            <w:pPr>
              <w:tabs>
                <w:tab w:val="left" w:pos="601"/>
              </w:tabs>
              <w:adjustRightInd w:val="0"/>
              <w:snapToGrid w:val="0"/>
              <w:jc w:val="left"/>
              <w:rPr>
                <w:rFonts w:asciiTheme="minorEastAsia" w:eastAsiaTheme="minorEastAsia" w:hAnsiTheme="minorEastAsia" w:cs="宋体"/>
                <w:sz w:val="24"/>
                <w:lang w:val="zh-CN"/>
              </w:rPr>
            </w:pPr>
            <w:r>
              <w:rPr>
                <w:rFonts w:ascii="Wingdings 2" w:hAnsi="Wingdings 2" w:eastAsiaTheme="minorEastAsia" w:hint="eastAsia"/>
                <w:sz w:val="24"/>
              </w:rPr>
              <w:t>R</w:t>
            </w:r>
            <w:r>
              <w:rPr>
                <w:rFonts w:asciiTheme="minorEastAsia" w:eastAsiaTheme="minorEastAsia" w:hAnsiTheme="minorEastAsia" w:cs="宋体" w:hint="eastAsia"/>
                <w:sz w:val="24"/>
                <w:lang w:val="zh-CN"/>
              </w:rPr>
              <w:t>免进口环节关税和增值税。</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2.</w:t>
            </w:r>
          </w:p>
        </w:tc>
        <w:tc>
          <w:tcPr>
            <w:tcW w:w="1418" w:type="dxa"/>
            <w:vAlign w:val="center"/>
          </w:tcPr>
          <w:p>
            <w:pPr>
              <w:jc w:val="center"/>
              <w:rPr>
                <w:rFonts w:asciiTheme="minorEastAsia" w:eastAsiaTheme="minorEastAsia" w:hAnsiTheme="minorEastAsia"/>
                <w:color w:val="auto"/>
                <w:sz w:val="24"/>
              </w:rPr>
            </w:pPr>
            <w:r>
              <w:rPr>
                <w:rFonts w:asciiTheme="minorEastAsia" w:eastAsiaTheme="minorEastAsia" w:hAnsiTheme="minorEastAsia" w:hint="eastAsia"/>
                <w:bCs/>
                <w:color w:val="auto"/>
                <w:sz w:val="24"/>
              </w:rPr>
              <w:t>评标方法</w:t>
            </w:r>
          </w:p>
        </w:tc>
        <w:tc>
          <w:tcPr>
            <w:tcW w:w="6546" w:type="dxa"/>
            <w:vAlign w:val="center"/>
          </w:tcPr>
          <w:p>
            <w:pPr>
              <w:spacing w:line="360" w:lineRule="auto"/>
              <w:jc w:val="left"/>
              <w:rPr>
                <w:rFonts w:asciiTheme="minorEastAsia" w:eastAsiaTheme="minorEastAsia" w:hAnsiTheme="minorEastAsia"/>
                <w:bCs/>
                <w:color w:val="auto"/>
                <w:sz w:val="24"/>
                <w:u w:val="single"/>
              </w:rPr>
            </w:pPr>
            <w:r>
              <w:rPr>
                <w:rFonts w:asciiTheme="minorEastAsia" w:eastAsiaTheme="minorEastAsia" w:hAnsiTheme="minorEastAsia" w:hint="eastAsia"/>
                <w:bCs/>
                <w:color w:val="auto"/>
                <w:sz w:val="24"/>
              </w:rPr>
              <w:t>选取方法：</w:t>
            </w:r>
            <w:r>
              <w:rPr>
                <w:rFonts w:ascii="宋体" w:hAnsi="宋体" w:cs="宋体" w:hint="eastAsia"/>
                <w:color w:val="auto"/>
                <w:sz w:val="24"/>
              </w:rPr>
              <w:t>方式一</w:t>
            </w:r>
          </w:p>
          <w:p>
            <w:pPr>
              <w:spacing w:line="360" w:lineRule="auto"/>
              <w:jc w:val="left"/>
              <w:rPr>
                <w:rFonts w:asciiTheme="minorEastAsia" w:eastAsiaTheme="minorEastAsia" w:hAnsiTheme="minorEastAsia"/>
                <w:bCs/>
                <w:color w:val="auto"/>
                <w:sz w:val="24"/>
              </w:rPr>
            </w:pPr>
            <w:r>
              <w:rPr>
                <w:rFonts w:ascii="宋体" w:hAnsi="宋体" w:cs="宋体" w:hint="eastAsia"/>
                <w:color w:val="auto"/>
                <w:sz w:val="24"/>
              </w:rPr>
              <w:t>方式一：</w:t>
            </w:r>
            <w:r>
              <w:rPr>
                <w:rFonts w:asciiTheme="minorEastAsia" w:eastAsiaTheme="minorEastAsia" w:hAnsiTheme="minorEastAsia" w:hint="eastAsia"/>
                <w:bCs/>
                <w:color w:val="auto"/>
                <w:sz w:val="24"/>
              </w:rPr>
              <w:t>采用综合评分法</w:t>
            </w:r>
          </w:p>
          <w:p>
            <w:pPr>
              <w:spacing w:line="360" w:lineRule="auto"/>
              <w:jc w:val="left"/>
              <w:rPr>
                <w:rFonts w:asciiTheme="minorEastAsia" w:eastAsiaTheme="minorEastAsia" w:hAnsiTheme="minorEastAsia"/>
                <w:bCs/>
                <w:color w:val="auto"/>
                <w:sz w:val="24"/>
              </w:rPr>
            </w:pPr>
            <w:r>
              <w:rPr>
                <w:rFonts w:ascii="宋体" w:hAnsi="宋体" w:cs="宋体" w:hint="eastAsia"/>
                <w:color w:val="auto"/>
                <w:sz w:val="24"/>
              </w:rPr>
              <w:t>方式二：</w:t>
            </w:r>
            <w:r>
              <w:rPr>
                <w:rFonts w:asciiTheme="minorEastAsia" w:eastAsiaTheme="minorEastAsia" w:hAnsiTheme="minorEastAsia" w:hint="eastAsia"/>
                <w:bCs/>
                <w:color w:val="auto"/>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color w:val="auto"/>
                <w:sz w:val="24"/>
              </w:rPr>
            </w:pPr>
          </w:p>
        </w:tc>
        <w:tc>
          <w:tcPr>
            <w:tcW w:w="1418"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投标文件报价修正原则</w:t>
            </w:r>
          </w:p>
        </w:tc>
        <w:tc>
          <w:tcPr>
            <w:tcW w:w="6546" w:type="dxa"/>
            <w:vAlign w:val="center"/>
          </w:tcPr>
          <w:p>
            <w:pPr>
              <w:jc w:val="center"/>
              <w:rPr>
                <w:rFonts w:asciiTheme="minorEastAsia" w:eastAsiaTheme="minorEastAsia" w:hAnsiTheme="minorEastAsia"/>
                <w:bCs/>
                <w:color w:val="auto"/>
                <w:sz w:val="24"/>
              </w:rPr>
            </w:pP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color w:val="auto"/>
                <w:sz w:val="24"/>
              </w:rPr>
            </w:pPr>
            <w:r>
              <w:rPr>
                <w:rFonts w:asciiTheme="minorEastAsia" w:eastAsiaTheme="minorEastAsia" w:hAnsiTheme="minorEastAsia"/>
                <w:color w:val="auto"/>
                <w:sz w:val="24"/>
              </w:rPr>
              <w:t>1</w:t>
            </w:r>
            <w:r>
              <w:rPr>
                <w:rFonts w:asciiTheme="minorEastAsia" w:eastAsiaTheme="minorEastAsia" w:hAnsiTheme="minorEastAsia" w:hint="eastAsia"/>
                <w:color w:val="auto"/>
                <w:sz w:val="24"/>
              </w:rPr>
              <w:t>.</w:t>
            </w:r>
          </w:p>
        </w:tc>
        <w:tc>
          <w:tcPr>
            <w:tcW w:w="1418"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推荐中标候选人</w:t>
            </w:r>
          </w:p>
        </w:tc>
        <w:tc>
          <w:tcPr>
            <w:tcW w:w="6546" w:type="dxa"/>
            <w:vAlign w:val="center"/>
          </w:tcPr>
          <w:p>
            <w:pPr>
              <w:spacing w:line="360" w:lineRule="auto"/>
              <w:jc w:val="left"/>
              <w:rPr>
                <w:rFonts w:asciiTheme="minorEastAsia" w:eastAsiaTheme="minorEastAsia" w:hAnsiTheme="minorEastAsia"/>
                <w:bCs/>
                <w:color w:val="auto"/>
                <w:sz w:val="24"/>
                <w:u w:val="single"/>
              </w:rPr>
            </w:pPr>
            <w:r>
              <w:rPr>
                <w:rFonts w:asciiTheme="minorEastAsia" w:eastAsiaTheme="minorEastAsia" w:hAnsiTheme="minorEastAsia" w:hint="eastAsia"/>
                <w:bCs/>
                <w:color w:val="auto"/>
                <w:sz w:val="24"/>
              </w:rPr>
              <w:t>推荐方式：</w:t>
            </w:r>
            <w:r>
              <w:rPr>
                <w:rFonts w:ascii="宋体" w:hAnsi="宋体" w:cs="宋体" w:hint="eastAsia"/>
                <w:color w:val="auto"/>
                <w:sz w:val="24"/>
              </w:rPr>
              <w:t>方式一</w:t>
            </w:r>
          </w:p>
          <w:p>
            <w:pPr>
              <w:jc w:val="left"/>
              <w:rPr>
                <w:rFonts w:asciiTheme="minorEastAsia" w:eastAsiaTheme="minorEastAsia" w:hAnsiTheme="minorEastAsia"/>
                <w:bCs/>
                <w:color w:val="auto"/>
                <w:sz w:val="24"/>
              </w:rPr>
            </w:pPr>
            <w:r>
              <w:rPr>
                <w:rFonts w:ascii="宋体" w:hAnsi="宋体" w:cs="宋体" w:hint="eastAsia"/>
                <w:color w:val="auto"/>
                <w:sz w:val="24"/>
              </w:rPr>
              <w:t>方式一：</w:t>
            </w:r>
            <w:r>
              <w:rPr>
                <w:rFonts w:asciiTheme="minorEastAsia" w:eastAsiaTheme="minorEastAsia" w:hAnsiTheme="minorEastAsia" w:hint="eastAsia"/>
                <w:bCs/>
                <w:color w:val="auto"/>
                <w:sz w:val="24"/>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color w:val="auto"/>
                <w:sz w:val="24"/>
              </w:rPr>
            </w:pPr>
            <w:r>
              <w:rPr>
                <w:rFonts w:ascii="宋体" w:hAnsi="宋体" w:cs="宋体" w:hint="eastAsia"/>
                <w:color w:val="auto"/>
                <w:sz w:val="24"/>
              </w:rPr>
              <w:t>方式二：</w:t>
            </w:r>
            <w:r>
              <w:rPr>
                <w:rFonts w:asciiTheme="minorEastAsia" w:eastAsiaTheme="minorEastAsia" w:hAnsiTheme="minorEastAsia" w:hint="eastAsia"/>
                <w:bCs/>
                <w:color w:val="auto"/>
                <w:sz w:val="24"/>
              </w:rPr>
              <w:t>最低评标价法：按照投标报价由低到高的顺序推荐3名中标候选人</w:t>
            </w:r>
          </w:p>
          <w:p>
            <w:pPr>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方式三：</w:t>
            </w:r>
            <w:r>
              <w:rPr>
                <w:rFonts w:asciiTheme="minorEastAsia" w:eastAsiaTheme="minorEastAsia" w:hAnsiTheme="minorEastAsia" w:hint="eastAsia"/>
                <w:color w:val="auto"/>
                <w:sz w:val="24"/>
              </w:rPr>
              <w:t>评定分离项目，</w:t>
            </w:r>
            <w:r>
              <w:rPr>
                <w:rFonts w:asciiTheme="minorEastAsia" w:eastAsiaTheme="minorEastAsia" w:hAnsiTheme="minorEastAsia" w:hint="eastAsia"/>
                <w:bCs/>
                <w:color w:val="auto"/>
                <w:sz w:val="24"/>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中标候选人并列的，由采购人采取下述方式二确定中标人。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确标方式为：</w:t>
            </w:r>
            <w:r>
              <w:rPr>
                <w:rFonts w:ascii="宋体" w:hAnsi="宋体" w:cs="宋体"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color w:val="FF0000"/>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及“计价格[2002]1980号文”的规定（下浮20%）向中标人收取服务费，不足5000的按照5000收取。</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5"/>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color w:val="000000"/>
                <w:sz w:val="24"/>
              </w:rPr>
              <w:t>采联国际招标</w:t>
            </w:r>
            <w:r>
              <w:rPr>
                <w:rFonts w:asciiTheme="minorEastAsia" w:eastAsiaTheme="minorEastAsia" w:hAnsiTheme="minorEastAsia" w:cs="宋体" w:hint="eastAsia"/>
                <w:sz w:val="24"/>
              </w:rPr>
              <w:t>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6"/>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106" w:name="_Toc31418"/>
      <w:bookmarkStart w:id="107" w:name="_Toc256000019"/>
      <w:r>
        <w:rPr>
          <w:rFonts w:hint="eastAsia"/>
          <w:b/>
          <w:bCs/>
          <w:sz w:val="28"/>
          <w:szCs w:val="28"/>
        </w:rPr>
        <w:t>第二部分 投标人须知通用条款</w:t>
      </w:r>
      <w:bookmarkEnd w:id="107"/>
      <w:bookmarkEnd w:id="106"/>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08" w:name="_Toc435174933"/>
      <w:bookmarkStart w:id="109" w:name="_Toc438223136"/>
      <w:bookmarkStart w:id="110" w:name="_Toc435516650"/>
      <w:bookmarkStart w:id="111" w:name="_Toc4498"/>
      <w:bookmarkStart w:id="112" w:name="_Toc256000020"/>
      <w:r>
        <w:rPr>
          <w:rFonts w:ascii="宋体" w:hAnsi="宋体" w:hint="eastAsia"/>
          <w:b/>
          <w:sz w:val="28"/>
          <w:szCs w:val="28"/>
        </w:rPr>
        <w:t>总</w:t>
      </w:r>
      <w:r>
        <w:rPr>
          <w:rFonts w:ascii="宋体" w:hAnsi="宋体"/>
          <w:b/>
          <w:sz w:val="28"/>
          <w:szCs w:val="28"/>
          <w:lang w:eastAsia="zh-TW"/>
        </w:rPr>
        <w:t xml:space="preserve"> </w:t>
      </w:r>
      <w:bookmarkEnd w:id="108"/>
      <w:bookmarkEnd w:id="109"/>
      <w:bookmarkEnd w:id="110"/>
      <w:bookmarkStart w:id="113" w:name="_Toc292267791"/>
      <w:r>
        <w:rPr>
          <w:rFonts w:ascii="宋体" w:hAnsi="宋体" w:hint="eastAsia"/>
          <w:b/>
          <w:sz w:val="28"/>
          <w:szCs w:val="28"/>
        </w:rPr>
        <w:t>则</w:t>
      </w:r>
      <w:bookmarkEnd w:id="112"/>
      <w:bookmarkEnd w:id="111"/>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3"/>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114"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4"/>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115"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16" w:name="_Hlk21591509"/>
      <w:r>
        <w:rPr>
          <w:rFonts w:asciiTheme="minorEastAsia" w:eastAsiaTheme="minorEastAsia" w:hAnsiTheme="minorEastAsia" w:hint="eastAsia"/>
          <w:sz w:val="24"/>
        </w:rPr>
        <w:t>供应商限制参与政府采购</w:t>
      </w:r>
      <w:bookmarkEnd w:id="116"/>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17"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17"/>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115"/>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8" w:name="_Toc18418"/>
      <w:bookmarkStart w:id="119" w:name="_Toc438223137"/>
      <w:bookmarkStart w:id="120" w:name="_Toc435174934"/>
      <w:bookmarkStart w:id="121" w:name="_Toc435516651"/>
      <w:bookmarkStart w:id="122" w:name="_Toc256000021"/>
      <w:r>
        <w:rPr>
          <w:rFonts w:ascii="宋体" w:hAnsi="宋体" w:hint="eastAsia"/>
          <w:b/>
          <w:sz w:val="28"/>
          <w:szCs w:val="28"/>
          <w:lang w:eastAsia="zh-TW"/>
        </w:rPr>
        <w:t>招标文件</w:t>
      </w:r>
      <w:bookmarkEnd w:id="122"/>
      <w:bookmarkEnd w:id="118"/>
      <w:bookmarkEnd w:id="119"/>
      <w:bookmarkEnd w:id="120"/>
      <w:bookmarkEnd w:id="121"/>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3" w:name="_Toc4810"/>
      <w:bookmarkStart w:id="124" w:name="_Toc435516652"/>
      <w:bookmarkStart w:id="125" w:name="_Toc438223138"/>
      <w:bookmarkStart w:id="126" w:name="_Toc435174935"/>
      <w:bookmarkStart w:id="127" w:name="_Toc256000022"/>
      <w:r>
        <w:rPr>
          <w:rFonts w:ascii="宋体" w:hAnsi="宋体" w:hint="eastAsia"/>
          <w:b/>
          <w:sz w:val="28"/>
          <w:szCs w:val="28"/>
          <w:lang w:eastAsia="zh-TW"/>
        </w:rPr>
        <w:t>投标文件的编制</w:t>
      </w:r>
      <w:bookmarkEnd w:id="127"/>
      <w:bookmarkEnd w:id="123"/>
      <w:bookmarkEnd w:id="124"/>
      <w:bookmarkEnd w:id="125"/>
      <w:bookmarkEnd w:id="126"/>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0"/>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8" w:name="_Toc3147"/>
      <w:bookmarkStart w:id="129" w:name="_Toc256000023"/>
      <w:r>
        <w:rPr>
          <w:rFonts w:ascii="宋体" w:hAnsi="宋体" w:hint="eastAsia"/>
          <w:b/>
          <w:sz w:val="28"/>
          <w:szCs w:val="28"/>
          <w:lang w:eastAsia="zh-TW"/>
        </w:rPr>
        <w:t>投标文件的递交</w:t>
      </w:r>
      <w:bookmarkEnd w:id="129"/>
      <w:bookmarkEnd w:id="128"/>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0" w:name="_Toc26081"/>
      <w:bookmarkStart w:id="131" w:name="_Toc256000024"/>
      <w:r>
        <w:rPr>
          <w:rFonts w:ascii="宋体" w:hAnsi="宋体" w:hint="eastAsia"/>
          <w:b/>
          <w:sz w:val="28"/>
          <w:szCs w:val="28"/>
          <w:lang w:eastAsia="zh-TW"/>
        </w:rPr>
        <w:t>开标、评标、定标与合同签订</w:t>
      </w:r>
      <w:bookmarkEnd w:id="131"/>
      <w:bookmarkEnd w:id="130"/>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32"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33"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33"/>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32"/>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4" w:name="_Toc19007"/>
      <w:bookmarkStart w:id="135" w:name="_Toc256000025"/>
      <w:r>
        <w:rPr>
          <w:rFonts w:ascii="宋体" w:hAnsi="宋体" w:hint="eastAsia"/>
          <w:b/>
          <w:sz w:val="28"/>
          <w:szCs w:val="28"/>
          <w:lang w:eastAsia="zh-TW"/>
        </w:rPr>
        <w:t>询问、质疑与投诉</w:t>
      </w:r>
      <w:bookmarkEnd w:id="135"/>
      <w:bookmarkEnd w:id="134"/>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bookmarkStart w:id="136" w:name="_Hlk30667144"/>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36"/>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环境工程-三重串联四极杆液质联用仪</w:t>
      </w:r>
      <w:r>
        <w:rPr>
          <w:rFonts w:ascii="宋体" w:hAnsi="宋体" w:hint="eastAsia"/>
          <w:sz w:val="24"/>
        </w:rPr>
        <w:t>（项目采购编号：</w:t>
      </w:r>
      <w:r>
        <w:rPr>
          <w:rFonts w:ascii="宋体" w:hAnsi="宋体" w:hint="eastAsia"/>
          <w:sz w:val="24"/>
          <w:lang w:eastAsia="zh-CN"/>
        </w:rPr>
        <w:t>SZDL2023001813（CLF0123SZ15ZC11A）</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37" w:name="_Toc16241"/>
      <w:bookmarkStart w:id="138" w:name="_Toc256000026"/>
      <w:r>
        <w:rPr>
          <w:rFonts w:hint="eastAsia"/>
          <w:b/>
          <w:bCs/>
          <w:sz w:val="28"/>
          <w:szCs w:val="28"/>
        </w:rPr>
        <w:t>第五章</w:t>
      </w:r>
      <w:bookmarkEnd w:id="89"/>
      <w:bookmarkStart w:id="139" w:name="_Toc435109307"/>
      <w:r>
        <w:rPr>
          <w:rFonts w:hint="eastAsia"/>
          <w:b/>
          <w:bCs/>
          <w:sz w:val="28"/>
          <w:szCs w:val="28"/>
        </w:rPr>
        <w:t xml:space="preserve"> 合同格式条款（仅供参考）</w:t>
      </w:r>
      <w:bookmarkEnd w:id="138"/>
      <w:bookmarkEnd w:id="90"/>
      <w:bookmarkEnd w:id="137"/>
    </w:p>
    <w:p>
      <w:pPr>
        <w:tabs>
          <w:tab w:val="left" w:pos="720"/>
        </w:tabs>
        <w:spacing w:line="360" w:lineRule="auto"/>
        <w:jc w:val="center"/>
        <w:rPr>
          <w:rFonts w:ascii="宋体" w:hAnsi="宋体" w:cs="宋体"/>
          <w:b/>
          <w:sz w:val="24"/>
          <w:szCs w:val="21"/>
        </w:rPr>
      </w:pPr>
      <w:r>
        <w:rPr>
          <w:rFonts w:ascii="宋体" w:hAnsi="宋体" w:cs="宋体" w:hint="eastAsia"/>
          <w:b/>
          <w:sz w:val="24"/>
          <w:szCs w:val="21"/>
        </w:rPr>
        <w:t>合同通用条款</w:t>
      </w:r>
      <w:bookmarkEnd w:id="91"/>
      <w:bookmarkEnd w:id="92"/>
      <w:bookmarkEnd w:id="139"/>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环境工程-三重串联四极杆液质联用仪 </w:t>
      </w:r>
      <w:r>
        <w:rPr>
          <w:rFonts w:ascii="宋体" w:hAnsi="宋体" w:cs="宋体" w:hint="eastAsia"/>
          <w:sz w:val="24"/>
        </w:rPr>
        <w:t>（项目编号：</w:t>
      </w:r>
      <w:r>
        <w:rPr>
          <w:rFonts w:ascii="宋体" w:hAnsi="宋体" w:hint="eastAsia"/>
          <w:sz w:val="24"/>
          <w:lang w:eastAsia="zh-CN"/>
        </w:rPr>
        <w:t>SZDL2023001813（CLF0123SZ15ZC11A）</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w:t>
      </w:r>
      <w:r>
        <w:rPr>
          <w:rFonts w:asciiTheme="minorEastAsia" w:eastAsiaTheme="minorEastAsia" w:hAnsiTheme="minorEastAsia" w:cs="宋体" w:hint="eastAsia"/>
          <w:color w:val="FF0000"/>
          <w:sz w:val="24"/>
          <w:szCs w:val="22"/>
        </w:rPr>
        <w:t>7个日历日内</w:t>
      </w:r>
      <w:r>
        <w:rPr>
          <w:rFonts w:asciiTheme="minorEastAsia" w:eastAsiaTheme="minorEastAsia" w:hAnsiTheme="minorEastAsia" w:cs="宋体" w:hint="eastAsia"/>
          <w:sz w:val="24"/>
          <w:szCs w:val="22"/>
        </w:rPr>
        <w:t>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snapToGrid w:val="0"/>
        <w:spacing w:line="360" w:lineRule="auto"/>
        <w:ind w:firstLine="4200" w:firstLineChars="2000"/>
        <w:rPr>
          <w:rFonts w:ascii="宋体" w:hAnsi="宋体"/>
          <w:b/>
          <w:color w:val="FF0000"/>
        </w:rPr>
      </w:pPr>
      <w:r>
        <w:rPr>
          <w:b/>
          <w:bCs/>
          <w:sz w:val="28"/>
          <w:szCs w:val="28"/>
        </w:rPr>
        <w:br w:type="page"/>
      </w:r>
    </w:p>
    <w:p>
      <w:pPr>
        <w:spacing w:before="156" w:beforeLines="50" w:after="156" w:afterLines="50" w:line="360" w:lineRule="auto"/>
        <w:jc w:val="center"/>
        <w:outlineLvl w:val="0"/>
        <w:rPr>
          <w:b/>
          <w:bCs/>
          <w:sz w:val="32"/>
          <w:szCs w:val="32"/>
        </w:rPr>
      </w:pPr>
      <w:bookmarkStart w:id="140" w:name="_Toc13067024"/>
      <w:bookmarkStart w:id="141" w:name="_Toc435514851"/>
      <w:bookmarkStart w:id="142" w:name="_Toc435115056"/>
      <w:bookmarkStart w:id="143" w:name="_Toc22507"/>
      <w:bookmarkStart w:id="144" w:name="_Toc256000027"/>
      <w:r>
        <w:rPr>
          <w:rFonts w:hint="eastAsia"/>
          <w:b/>
          <w:bCs/>
          <w:sz w:val="32"/>
          <w:szCs w:val="32"/>
        </w:rPr>
        <w:t>第六章 投标文件格式</w:t>
      </w:r>
      <w:bookmarkEnd w:id="144"/>
      <w:bookmarkEnd w:id="140"/>
      <w:bookmarkEnd w:id="141"/>
      <w:bookmarkEnd w:id="142"/>
      <w:bookmarkEnd w:id="143"/>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5"/>
        </w:numPr>
        <w:spacing w:line="240" w:lineRule="auto"/>
        <w:jc w:val="center"/>
      </w:pPr>
      <w:bookmarkStart w:id="145" w:name="_Toc435515292"/>
      <w:bookmarkStart w:id="146" w:name="_Toc435514852"/>
      <w:bookmarkStart w:id="147" w:name="_Toc8947"/>
      <w:bookmarkStart w:id="148" w:name="_Toc18816"/>
      <w:bookmarkStart w:id="149" w:name="_Toc30664868"/>
      <w:bookmarkStart w:id="150" w:name="_Toc256000028"/>
      <w:r>
        <w:rPr>
          <w:rFonts w:hint="eastAsia"/>
        </w:rPr>
        <w:t>投标文件封面参考</w:t>
      </w:r>
      <w:bookmarkEnd w:id="150"/>
      <w:bookmarkEnd w:id="145"/>
      <w:bookmarkEnd w:id="146"/>
      <w:bookmarkEnd w:id="147"/>
      <w:bookmarkEnd w:id="148"/>
      <w:bookmarkEnd w:id="149"/>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SZDL2023001813（CLF0123SZ15ZC11A）</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项目名称：环境工程-三重串联四极杆液质联用仪</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5"/>
        </w:numPr>
        <w:spacing w:line="240" w:lineRule="auto"/>
        <w:jc w:val="center"/>
        <w:rPr>
          <w:b w:val="0"/>
        </w:rPr>
      </w:pPr>
      <w:bookmarkStart w:id="151" w:name="_Toc31717"/>
      <w:bookmarkStart w:id="152" w:name="_Toc6695"/>
      <w:bookmarkStart w:id="153" w:name="_Toc30664869"/>
      <w:bookmarkStart w:id="154" w:name="_Toc435514865"/>
      <w:bookmarkStart w:id="155" w:name="_Toc435515305"/>
      <w:bookmarkStart w:id="156" w:name="_Toc256000029"/>
      <w:r>
        <w:rPr>
          <w:rFonts w:hint="eastAsia"/>
          <w:b w:val="0"/>
        </w:rPr>
        <w:t>营业执照等资质证明文件</w:t>
      </w:r>
      <w:bookmarkEnd w:id="156"/>
      <w:bookmarkEnd w:id="151"/>
      <w:bookmarkEnd w:id="152"/>
      <w:bookmarkEnd w:id="153"/>
    </w:p>
    <w:p>
      <w:bookmarkStart w:id="157" w:name="_Toc30664870"/>
      <w:bookmarkStart w:id="158" w:name="_Toc6452"/>
      <w:r>
        <w:rPr>
          <w:rFonts w:hint="eastAsia"/>
        </w:rPr>
        <w:br w:type="page"/>
      </w:r>
    </w:p>
    <w:p>
      <w:pPr>
        <w:pStyle w:val="Heading2"/>
        <w:numPr>
          <w:ilvl w:val="0"/>
          <w:numId w:val="65"/>
        </w:numPr>
        <w:spacing w:line="240" w:lineRule="auto"/>
        <w:jc w:val="center"/>
        <w:rPr>
          <w:b w:val="0"/>
        </w:rPr>
      </w:pPr>
      <w:bookmarkEnd w:id="154"/>
      <w:bookmarkEnd w:id="155"/>
      <w:bookmarkEnd w:id="157"/>
      <w:bookmarkEnd w:id="158"/>
      <w:bookmarkStart w:id="159" w:name="_Toc29868"/>
      <w:bookmarkStart w:id="160" w:name="_Toc435514866"/>
      <w:bookmarkStart w:id="161" w:name="_Toc708"/>
      <w:bookmarkStart w:id="162" w:name="_Toc435515306"/>
      <w:bookmarkStart w:id="163" w:name="_Toc30664871"/>
      <w:bookmarkStart w:id="164" w:name="_Toc192662843"/>
      <w:bookmarkStart w:id="165" w:name="_Toc275865611"/>
      <w:bookmarkStart w:id="166" w:name="_Toc5066"/>
      <w:bookmarkStart w:id="167" w:name="_Toc30664872"/>
      <w:bookmarkStart w:id="168" w:name="_Toc275865605"/>
      <w:bookmarkStart w:id="169" w:name="_Toc435514854"/>
      <w:bookmarkStart w:id="170" w:name="_Toc435515294"/>
      <w:bookmarkStart w:id="171" w:name="_Toc256000030"/>
      <w:r>
        <w:rPr>
          <w:rFonts w:hint="eastAsia"/>
          <w:b w:val="0"/>
        </w:rPr>
        <w:t>投标分项报价表</w:t>
      </w:r>
      <w:bookmarkEnd w:id="171"/>
      <w:bookmarkEnd w:id="159"/>
      <w:bookmarkEnd w:id="160"/>
      <w:bookmarkEnd w:id="161"/>
      <w:bookmarkEnd w:id="162"/>
      <w:bookmarkEnd w:id="163"/>
      <w:bookmarkEnd w:id="164"/>
      <w:bookmarkEnd w:id="165"/>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SZDL2023001813（CLF0123SZ15ZC11A）</w:t>
      </w:r>
      <w:r>
        <w:rPr>
          <w:rFonts w:ascii="ˎ̥" w:hAnsi="ˎ̥" w:cs="宋体"/>
          <w:kern w:val="0"/>
          <w:sz w:val="24"/>
        </w:rPr>
        <w:t> </w:t>
      </w:r>
    </w:p>
    <w:tbl>
      <w:tblPr>
        <w:tblStyle w:val="TableNormal"/>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663"/>
        <w:gridCol w:w="746"/>
        <w:gridCol w:w="690"/>
        <w:gridCol w:w="700"/>
        <w:gridCol w:w="1454"/>
        <w:gridCol w:w="1644"/>
        <w:gridCol w:w="711"/>
        <w:gridCol w:w="682"/>
        <w:gridCol w:w="864"/>
        <w:gridCol w:w="864"/>
        <w:gridCol w:w="944"/>
      </w:tblGrid>
      <w:tr>
        <w:tblPrEx>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663"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74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69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70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45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64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tc>
        <w:tc>
          <w:tcPr>
            <w:tcW w:w="71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82"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86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单价（元）</w:t>
            </w:r>
          </w:p>
        </w:tc>
        <w:tc>
          <w:tcPr>
            <w:tcW w:w="86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合计（元）</w:t>
            </w:r>
          </w:p>
        </w:tc>
        <w:tc>
          <w:tcPr>
            <w:tcW w:w="944" w:type="dxa"/>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1</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2</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sz w:val="24"/>
              </w:rPr>
            </w:pPr>
            <w:r>
              <w:rPr>
                <w:rFonts w:hint="eastAsia"/>
                <w:sz w:val="24"/>
              </w:rPr>
              <w:t>……</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总计</w:t>
            </w:r>
          </w:p>
        </w:tc>
        <w:tc>
          <w:tcPr>
            <w:tcW w:w="9299" w:type="dxa"/>
            <w:gridSpan w:val="10"/>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sz w:val="24"/>
        </w:rPr>
      </w:pPr>
    </w:p>
    <w:p>
      <w:pPr>
        <w:tabs>
          <w:tab w:val="left" w:pos="567"/>
        </w:tabs>
        <w:snapToGrid w:val="0"/>
        <w:spacing w:line="360" w:lineRule="auto"/>
        <w:rPr>
          <w:rFonts w:ascii="宋体" w:hAnsi="宋体"/>
          <w:sz w:val="24"/>
        </w:rPr>
      </w:pPr>
      <w:r>
        <w:rPr>
          <w:rFonts w:ascii="宋体" w:hAnsi="宋体" w:hint="eastAsia"/>
          <w:sz w:val="24"/>
        </w:rPr>
        <w:t>注：</w:t>
      </w:r>
    </w:p>
    <w:p>
      <w:pPr>
        <w:numPr>
          <w:ilvl w:val="1"/>
          <w:numId w:val="66"/>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72" w:name="_Toc435515315"/>
      <w:bookmarkStart w:id="173" w:name="_Toc435514875"/>
      <w:r>
        <w:rPr>
          <w:rFonts w:hint="eastAsia"/>
          <w:sz w:val="24"/>
        </w:rPr>
        <w:br w:type="page"/>
      </w:r>
    </w:p>
    <w:p>
      <w:pPr>
        <w:pStyle w:val="Heading2"/>
        <w:numPr>
          <w:ilvl w:val="0"/>
          <w:numId w:val="65"/>
        </w:numPr>
        <w:spacing w:line="240" w:lineRule="auto"/>
        <w:jc w:val="center"/>
        <w:rPr>
          <w:rFonts w:ascii="黑体" w:hAnsi="黑体"/>
        </w:rPr>
      </w:pPr>
      <w:bookmarkEnd w:id="172"/>
      <w:bookmarkEnd w:id="173"/>
      <w:bookmarkStart w:id="174" w:name="_Toc2464"/>
      <w:bookmarkStart w:id="175" w:name="_Toc256000031"/>
      <w:r>
        <w:rPr>
          <w:rFonts w:ascii="黑体" w:hAnsi="黑体" w:hint="eastAsia"/>
        </w:rPr>
        <w:t>中小企业声明函（如有）</w:t>
      </w:r>
      <w:bookmarkEnd w:id="175"/>
      <w:bookmarkEnd w:id="166"/>
      <w:bookmarkEnd w:id="167"/>
      <w:bookmarkEnd w:id="174"/>
    </w:p>
    <w:p>
      <w:pPr>
        <w:snapToGrid w:val="0"/>
        <w:spacing w:line="360" w:lineRule="auto"/>
        <w:jc w:val="center"/>
        <w:rPr>
          <w:rFonts w:ascii="宋体" w:hAnsi="宋体"/>
          <w:sz w:val="24"/>
        </w:rPr>
      </w:pPr>
      <w:bookmarkStart w:id="176" w:name="_Toc269"/>
      <w:bookmarkStart w:id="177" w:name="_Toc30664873"/>
      <w:bookmarkStart w:id="178" w:name="OLE_LINK14"/>
      <w:bookmarkStart w:id="179" w:name="OLE_LINK13"/>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环境工程-三重串联四极杆液质联用仪</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snapToGrid w:val="0"/>
        <w:spacing w:line="360" w:lineRule="auto"/>
        <w:rPr>
          <w:rFonts w:ascii="宋体" w:hAnsi="宋体"/>
          <w:sz w:val="24"/>
        </w:rPr>
      </w:pPr>
      <w:r>
        <w:rPr>
          <w:rFonts w:ascii="黑体" w:hAnsi="黑体"/>
        </w:rPr>
        <w:br w:type="page"/>
      </w:r>
    </w:p>
    <w:p>
      <w:pPr>
        <w:pStyle w:val="Heading2"/>
        <w:numPr>
          <w:ilvl w:val="0"/>
          <w:numId w:val="65"/>
        </w:numPr>
        <w:spacing w:line="240" w:lineRule="auto"/>
        <w:jc w:val="center"/>
        <w:rPr>
          <w:rFonts w:ascii="黑体" w:hAnsi="黑体"/>
        </w:rPr>
      </w:pPr>
      <w:bookmarkStart w:id="180" w:name="_Toc32619"/>
      <w:bookmarkStart w:id="181" w:name="_Toc256000032"/>
      <w:r>
        <w:rPr>
          <w:rFonts w:ascii="黑体" w:hAnsi="黑体" w:hint="eastAsia"/>
        </w:rPr>
        <w:t>残疾人福利性单位声明函（如有）</w:t>
      </w:r>
      <w:bookmarkEnd w:id="181"/>
      <w:bookmarkEnd w:id="176"/>
      <w:bookmarkEnd w:id="177"/>
      <w:bookmarkEnd w:id="180"/>
    </w:p>
    <w:p>
      <w:pPr>
        <w:spacing w:line="360" w:lineRule="auto"/>
        <w:ind w:firstLine="420" w:firstLineChars="200"/>
        <w:rPr>
          <w:rFonts w:ascii="宋体" w:hAnsi="宋体"/>
          <w:sz w:val="24"/>
        </w:rPr>
      </w:pPr>
      <w:bookmarkEnd w:id="178"/>
      <w:bookmarkEnd w:id="179"/>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82" w:name="_Toc31731"/>
      <w:bookmarkStart w:id="183" w:name="_Toc22917"/>
      <w:bookmarkStart w:id="184" w:name="_Toc30664874"/>
      <w:bookmarkStart w:id="185" w:name="_Toc256000033"/>
      <w:r>
        <w:rPr>
          <w:rFonts w:ascii="黑体" w:hAnsi="黑体" w:hint="eastAsia"/>
        </w:rPr>
        <w:t>监狱企业的证明文件（如有）</w:t>
      </w:r>
      <w:bookmarkEnd w:id="185"/>
      <w:bookmarkEnd w:id="182"/>
      <w:bookmarkEnd w:id="183"/>
      <w:bookmarkEnd w:id="184"/>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86" w:name="_Toc19579"/>
      <w:bookmarkStart w:id="187" w:name="_Toc30664875"/>
      <w:bookmarkStart w:id="188" w:name="_Toc6176"/>
      <w:bookmarkStart w:id="189" w:name="_Toc256000034"/>
      <w:r>
        <w:rPr>
          <w:rFonts w:ascii="黑体" w:hAnsi="黑体" w:hint="eastAsia"/>
        </w:rPr>
        <w:t>政策功能情况（如有）</w:t>
      </w:r>
      <w:bookmarkEnd w:id="189"/>
      <w:bookmarkEnd w:id="186"/>
      <w:bookmarkEnd w:id="187"/>
      <w:bookmarkEnd w:id="188"/>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项目名称：环境工程-三重串联四极杆液质联用仪</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68"/>
      <w:bookmarkEnd w:id="169"/>
      <w:bookmarkEnd w:id="170"/>
      <w:bookmarkStart w:id="190" w:name="_Toc24108"/>
      <w:bookmarkStart w:id="191" w:name="_Toc30664876"/>
      <w:bookmarkStart w:id="192" w:name="_Toc435515295"/>
      <w:bookmarkStart w:id="193" w:name="_Toc275865606"/>
      <w:bookmarkStart w:id="194" w:name="_Toc435514855"/>
      <w:r>
        <w:rPr>
          <w:rFonts w:hint="eastAsia"/>
        </w:rPr>
        <w:br w:type="page"/>
      </w:r>
    </w:p>
    <w:p>
      <w:pPr>
        <w:pStyle w:val="Heading2"/>
        <w:numPr>
          <w:ilvl w:val="0"/>
          <w:numId w:val="65"/>
        </w:numPr>
        <w:spacing w:line="240" w:lineRule="auto"/>
        <w:jc w:val="center"/>
        <w:rPr>
          <w:bCs w:val="0"/>
        </w:rPr>
      </w:pPr>
      <w:bookmarkStart w:id="195" w:name="_Toc5307"/>
      <w:bookmarkStart w:id="196" w:name="_Toc256000035"/>
      <w:r>
        <w:rPr>
          <w:rFonts w:hint="eastAsia"/>
          <w:bCs w:val="0"/>
        </w:rPr>
        <w:t>投 标 函</w:t>
      </w:r>
      <w:bookmarkEnd w:id="196"/>
      <w:bookmarkEnd w:id="190"/>
      <w:bookmarkEnd w:id="191"/>
      <w:bookmarkEnd w:id="195"/>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环境工程-三重串联四极杆液质联用仪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SZDL2023001813（CLF0123SZ15ZC11A）</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192"/>
      <w:bookmarkEnd w:id="193"/>
      <w:bookmarkEnd w:id="194"/>
      <w:bookmarkStart w:id="197" w:name="_Toc10690"/>
      <w:bookmarkStart w:id="198" w:name="_Toc256000036"/>
      <w:r>
        <w:rPr>
          <w:rFonts w:hint="eastAsia"/>
          <w:bCs w:val="0"/>
        </w:rPr>
        <w:t>政府采购投标及履约承诺函</w:t>
      </w:r>
      <w:bookmarkEnd w:id="198"/>
      <w:bookmarkEnd w:id="197"/>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sz w:val="24"/>
        </w:rPr>
      </w:pPr>
      <w:r>
        <w:rPr>
          <w:rFonts w:hint="eastAsia"/>
          <w:sz w:val="24"/>
        </w:rPr>
        <w:t xml:space="preserve">                                                </w:t>
      </w:r>
    </w:p>
    <w:p>
      <w:pPr>
        <w:widowControl/>
        <w:jc w:val="left"/>
      </w:pPr>
      <w:r>
        <w:rPr>
          <w:rFonts w:hint="eastAsia"/>
        </w:rPr>
        <w:br w:type="page"/>
      </w:r>
    </w:p>
    <w:p>
      <w:pPr>
        <w:pStyle w:val="Heading2"/>
        <w:numPr>
          <w:ilvl w:val="0"/>
          <w:numId w:val="65"/>
        </w:numPr>
        <w:spacing w:line="240" w:lineRule="auto"/>
        <w:jc w:val="center"/>
        <w:rPr>
          <w:bCs w:val="0"/>
        </w:rPr>
      </w:pPr>
      <w:bookmarkStart w:id="199" w:name="_Toc28102"/>
      <w:bookmarkStart w:id="200" w:name="_Toc256000037"/>
      <w:r>
        <w:rPr>
          <w:rFonts w:hint="eastAsia"/>
          <w:bCs w:val="0"/>
        </w:rPr>
        <w:t>公章对投标专用章授权说明（如有）</w:t>
      </w:r>
      <w:bookmarkEnd w:id="200"/>
      <w:bookmarkEnd w:id="199"/>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环境工程-三重串联四极杆液质联用仪（</w:t>
      </w:r>
      <w:r>
        <w:rPr>
          <w:rFonts w:ascii="宋体" w:hAnsi="宋体" w:hint="eastAsia"/>
          <w:sz w:val="24"/>
          <w:u w:val="single"/>
          <w:lang w:eastAsia="zh-CN"/>
        </w:rPr>
        <w:t>SZDL2023001813（CLF0123SZ15ZC11A）</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5"/>
        </w:numPr>
        <w:spacing w:line="240" w:lineRule="auto"/>
        <w:jc w:val="center"/>
        <w:rPr>
          <w:bCs w:val="0"/>
        </w:rPr>
      </w:pPr>
      <w:bookmarkStart w:id="201" w:name="_Toc29476"/>
      <w:bookmarkStart w:id="202" w:name="_Toc256000038"/>
      <w:r>
        <w:rPr>
          <w:rFonts w:hint="eastAsia"/>
          <w:bCs w:val="0"/>
        </w:rPr>
        <w:t>主要股东或出资人信息</w:t>
      </w:r>
      <w:bookmarkEnd w:id="202"/>
      <w:bookmarkEnd w:id="201"/>
    </w:p>
    <w:p>
      <w:pPr>
        <w:tabs>
          <w:tab w:val="left" w:pos="7740"/>
        </w:tabs>
        <w:adjustRightInd w:val="0"/>
        <w:snapToGrid w:val="0"/>
        <w:spacing w:line="360" w:lineRule="auto"/>
        <w:rPr>
          <w:rFonts w:ascii="宋体" w:hAnsi="宋体"/>
          <w:sz w:val="24"/>
        </w:rPr>
      </w:pPr>
      <w:r>
        <w:rPr>
          <w:rFonts w:ascii="宋体" w:hAnsi="宋体" w:hint="eastAsia"/>
          <w:sz w:val="24"/>
        </w:rPr>
        <w:t>项目名称：环境工程-三重串联四极杆液质联用仪</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pPr>
      <w:r>
        <w:rPr>
          <w:rFonts w:ascii="宋体" w:hAnsi="宋体" w:cs="Arial" w:hint="eastAsia"/>
          <w:sz w:val="24"/>
        </w:rPr>
        <w:t>投标单位应按照占全部股份比例从大到小依次逐个股东填写，股东数量多于10个的，填写前10名，不足10个全部填写。</w:t>
      </w:r>
      <w:bookmarkStart w:id="203" w:name="_承诺函"/>
      <w:bookmarkEnd w:id="203"/>
      <w:bookmarkStart w:id="204" w:name="_Toc435514861"/>
      <w:bookmarkStart w:id="205" w:name="_Toc275865622"/>
      <w:bookmarkStart w:id="206" w:name="_Toc435515301"/>
      <w:bookmarkStart w:id="207" w:name="_Toc52165082"/>
      <w:bookmarkStart w:id="208" w:name="_Toc50691038"/>
      <w:bookmarkStart w:id="209" w:name="_Toc239051894"/>
      <w:bookmarkStart w:id="210" w:name="_Toc435514862"/>
      <w:bookmarkStart w:id="211" w:name="_Toc50736478"/>
      <w:bookmarkStart w:id="212" w:name="_Toc435515302"/>
      <w:bookmarkStart w:id="213" w:name="_Toc87417460"/>
      <w:bookmarkStart w:id="214" w:name="_Toc50737298"/>
      <w:bookmarkStart w:id="215" w:name="_Toc275865623"/>
      <w:bookmarkStart w:id="216" w:name="_Toc170699948"/>
      <w:bookmarkStart w:id="217" w:name="_Toc275865609"/>
      <w:bookmarkStart w:id="218" w:name="_Toc50737330"/>
    </w:p>
    <w:p>
      <w:pPr>
        <w:numPr>
          <w:ilvl w:val="0"/>
          <w:numId w:val="71"/>
        </w:numPr>
        <w:spacing w:line="440" w:lineRule="exact"/>
        <w:rPr>
          <w:bCs/>
        </w:rPr>
      </w:pPr>
      <w:r>
        <w:br w:type="page"/>
      </w:r>
    </w:p>
    <w:p>
      <w:pPr>
        <w:pStyle w:val="Heading2"/>
        <w:numPr>
          <w:ilvl w:val="0"/>
          <w:numId w:val="65"/>
        </w:numPr>
        <w:spacing w:line="240" w:lineRule="auto"/>
        <w:jc w:val="center"/>
        <w:rPr>
          <w:b w:val="0"/>
        </w:rPr>
      </w:pP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19" w:name="_Toc7865"/>
      <w:bookmarkStart w:id="220" w:name="_Toc50703730"/>
      <w:bookmarkStart w:id="221" w:name="_Toc50691037"/>
      <w:bookmarkStart w:id="222" w:name="_Toc43264518"/>
      <w:bookmarkStart w:id="223" w:name="_Toc256000039"/>
      <w:r>
        <w:rPr>
          <w:rFonts w:hint="eastAsia"/>
          <w:b w:val="0"/>
        </w:rPr>
        <w:t>投标人近三年同类业绩</w:t>
      </w:r>
      <w:bookmarkEnd w:id="223"/>
      <w:bookmarkEnd w:id="219"/>
    </w:p>
    <w:p>
      <w:pPr>
        <w:widowControl/>
        <w:jc w:val="left"/>
        <w:rPr>
          <w:rFonts w:hAnsi="宋体"/>
          <w:bCs/>
          <w:sz w:val="24"/>
        </w:rPr>
      </w:pPr>
      <w:bookmarkEnd w:id="220"/>
      <w:bookmarkEnd w:id="221"/>
      <w:r>
        <w:rPr>
          <w:rFonts w:hAnsi="宋体" w:hint="eastAsia"/>
          <w:bCs/>
          <w:sz w:val="24"/>
        </w:rPr>
        <w:t>格式自拟</w:t>
      </w:r>
    </w:p>
    <w:p>
      <w:pPr>
        <w:spacing w:line="500" w:lineRule="exact"/>
        <w:ind w:firstLine="420" w:firstLineChars="200"/>
        <w:rPr>
          <w:spacing w:val="4"/>
          <w:sz w:val="24"/>
        </w:rPr>
      </w:pPr>
    </w:p>
    <w:p>
      <w:pPr>
        <w:widowControl/>
        <w:jc w:val="left"/>
        <w:rPr>
          <w:color w:val="FF0000"/>
        </w:rPr>
      </w:pPr>
      <w:bookmarkStart w:id="224" w:name="_Toc435515313"/>
      <w:bookmarkStart w:id="225" w:name="_Toc435514873"/>
    </w:p>
    <w:p>
      <w:pPr>
        <w:pStyle w:val="ListParagraph"/>
        <w:widowControl/>
        <w:numPr>
          <w:ilvl w:val="3"/>
          <w:numId w:val="72"/>
        </w:numPr>
        <w:ind w:left="567" w:firstLine="0" w:firstLineChars="0"/>
        <w:rPr>
          <w:color w:val="FF0000"/>
          <w:sz w:val="24"/>
        </w:rPr>
      </w:pPr>
      <w:r>
        <w:rPr>
          <w:color w:val="FF0000"/>
        </w:rPr>
        <w:br w:type="page"/>
      </w:r>
    </w:p>
    <w:p>
      <w:pPr>
        <w:pStyle w:val="Heading2"/>
        <w:numPr>
          <w:ilvl w:val="0"/>
          <w:numId w:val="65"/>
        </w:numPr>
        <w:spacing w:line="240" w:lineRule="auto"/>
        <w:jc w:val="center"/>
        <w:rPr>
          <w:b w:val="0"/>
        </w:rPr>
      </w:pPr>
      <w:bookmarkEnd w:id="222"/>
      <w:bookmarkEnd w:id="224"/>
      <w:bookmarkEnd w:id="225"/>
      <w:bookmarkStart w:id="226" w:name="_Toc6430"/>
      <w:bookmarkStart w:id="227" w:name="_Toc30664891"/>
      <w:bookmarkStart w:id="228" w:name="_Toc31548"/>
      <w:bookmarkStart w:id="229" w:name="_Toc256000040"/>
      <w:r>
        <w:rPr>
          <w:rFonts w:hint="eastAsia"/>
          <w:b w:val="0"/>
        </w:rPr>
        <w:t>开票资料说明函</w:t>
      </w:r>
      <w:bookmarkEnd w:id="229"/>
      <w:bookmarkEnd w:id="226"/>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环境工程-三重串联四极杆液质联用仪      </w:t>
      </w:r>
      <w:r>
        <w:rPr>
          <w:rFonts w:ascii="宋体" w:hAnsi="宋体" w:hint="eastAsia"/>
          <w:sz w:val="24"/>
        </w:rPr>
        <w:t>(</w:t>
      </w:r>
      <w:r>
        <w:rPr>
          <w:rFonts w:hint="eastAsia"/>
          <w:sz w:val="24"/>
        </w:rPr>
        <w:t>项目编号：</w:t>
      </w:r>
      <w:r>
        <w:rPr>
          <w:rFonts w:hint="eastAsia"/>
          <w:sz w:val="24"/>
          <w:lang w:eastAsia="zh-CN"/>
        </w:rPr>
        <w:t>SZDL2023001813（CLF0123SZ15ZC11A）</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hint="eastAsia"/>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pStyle w:val="Heading2"/>
        <w:numPr>
          <w:ilvl w:val="0"/>
          <w:numId w:val="65"/>
        </w:numPr>
        <w:spacing w:line="240" w:lineRule="auto"/>
        <w:jc w:val="center"/>
        <w:rPr>
          <w:b w:val="0"/>
        </w:rPr>
      </w:pPr>
      <w:bookmarkStart w:id="230" w:name="_Toc26941"/>
      <w:bookmarkStart w:id="231" w:name="_Toc8494"/>
      <w:bookmarkStart w:id="232" w:name="_Toc256000041"/>
      <w:r>
        <w:rPr>
          <w:rFonts w:hint="eastAsia"/>
          <w:b w:val="0"/>
        </w:rPr>
        <w:t>采购代理服务费承诺书</w:t>
      </w:r>
      <w:bookmarkEnd w:id="232"/>
      <w:bookmarkEnd w:id="230"/>
      <w:bookmarkEnd w:id="231"/>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环境工程-激光红外成像光谱仪      </w:t>
      </w:r>
      <w:r>
        <w:rPr>
          <w:rFonts w:ascii="宋体" w:hAnsi="宋体" w:cs="宋体" w:hint="eastAsia"/>
          <w:sz w:val="24"/>
        </w:rPr>
        <w:t>(项目编号：</w:t>
      </w:r>
      <w:r>
        <w:rPr>
          <w:rFonts w:ascii="宋体" w:hAnsi="宋体" w:cs="宋体" w:hint="eastAsia"/>
          <w:sz w:val="24"/>
          <w:lang w:eastAsia="zh-CN"/>
        </w:rPr>
        <w:t>SZDL2023001813（CLF0123SZ15ZC11A）</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3"/>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3"/>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3"/>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pStyle w:val="a"/>
        <w:sectPr>
          <w:pgSz w:w="11906" w:h="16838"/>
          <w:pgMar w:top="1440" w:right="1286" w:bottom="1440" w:left="1440" w:header="851" w:footer="992" w:gutter="0"/>
          <w:cols w:num="1" w:space="720"/>
          <w:docGrid w:type="lines" w:linePitch="312" w:charSpace="0"/>
        </w:sectPr>
      </w:pPr>
    </w:p>
    <w:p>
      <w:pPr>
        <w:pStyle w:val="Heading2"/>
        <w:numPr>
          <w:ilvl w:val="0"/>
          <w:numId w:val="65"/>
        </w:numPr>
        <w:spacing w:line="240" w:lineRule="auto"/>
        <w:jc w:val="center"/>
        <w:rPr>
          <w:b w:val="0"/>
        </w:rPr>
      </w:pPr>
      <w:bookmarkEnd w:id="227"/>
      <w:bookmarkEnd w:id="228"/>
      <w:bookmarkStart w:id="233" w:name="_Toc25072"/>
      <w:bookmarkStart w:id="234" w:name="_Toc30664894"/>
      <w:bookmarkStart w:id="235" w:name="_Toc9719"/>
      <w:bookmarkStart w:id="236" w:name="_Toc256000042"/>
      <w:r>
        <w:rPr>
          <w:rFonts w:hint="eastAsia"/>
          <w:b w:val="0"/>
        </w:rPr>
        <w:t>投标人认为需要加以说明的其他内容</w:t>
      </w:r>
      <w:bookmarkEnd w:id="236"/>
      <w:bookmarkEnd w:id="233"/>
      <w:bookmarkEnd w:id="234"/>
      <w:bookmarkEnd w:id="235"/>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37" w:name="_Toc24852"/>
      <w:bookmarkStart w:id="238" w:name="_Toc50737297"/>
      <w:bookmarkStart w:id="239" w:name="_Toc275865607"/>
      <w:bookmarkStart w:id="240" w:name="_Toc435514859"/>
      <w:bookmarkStart w:id="241" w:name="_Toc435515299"/>
      <w:bookmarkStart w:id="242" w:name="_Toc50736477"/>
      <w:bookmarkStart w:id="243" w:name="_Toc52165081"/>
      <w:bookmarkStart w:id="244" w:name="_Toc50737329"/>
      <w:bookmarkStart w:id="245" w:name="_Toc30664879"/>
      <w:bookmarkStart w:id="246" w:name="_Toc50737328"/>
      <w:bookmarkStart w:id="247" w:name="_Toc50737296"/>
      <w:bookmarkStart w:id="248" w:name="_Toc52165080"/>
      <w:bookmarkStart w:id="249" w:name="_Toc50691034"/>
      <w:bookmarkStart w:id="250" w:name="_Toc50736476"/>
      <w:r>
        <w:rPr>
          <w:rFonts w:hint="eastAsia"/>
        </w:rPr>
        <w:br w:type="page"/>
      </w:r>
    </w:p>
    <w:p>
      <w:pPr>
        <w:pStyle w:val="Heading2"/>
        <w:numPr>
          <w:ilvl w:val="0"/>
          <w:numId w:val="65"/>
        </w:numPr>
        <w:spacing w:line="240" w:lineRule="auto"/>
        <w:jc w:val="center"/>
      </w:pPr>
      <w:bookmarkStart w:id="251" w:name="_Toc4392"/>
      <w:bookmarkStart w:id="252" w:name="_Toc256000043"/>
      <w:r>
        <w:rPr>
          <w:rFonts w:hint="eastAsia"/>
          <w:b w:val="0"/>
        </w:rPr>
        <w:t>法定代表人证明书</w:t>
      </w:r>
      <w:bookmarkEnd w:id="252"/>
      <w:bookmarkEnd w:id="251"/>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53" w:name="_Toc4456"/>
      <w:bookmarkStart w:id="254" w:name="_Toc256000044"/>
      <w:r>
        <w:rPr>
          <w:rFonts w:hint="eastAsia"/>
          <w:b w:val="0"/>
        </w:rPr>
        <w:t>法定代表人授权委托书</w:t>
      </w:r>
      <w:bookmarkEnd w:id="254"/>
      <w:bookmarkEnd w:id="237"/>
      <w:bookmarkEnd w:id="238"/>
      <w:bookmarkEnd w:id="239"/>
      <w:bookmarkEnd w:id="240"/>
      <w:bookmarkEnd w:id="241"/>
      <w:bookmarkEnd w:id="242"/>
      <w:bookmarkEnd w:id="243"/>
      <w:bookmarkEnd w:id="244"/>
      <w:bookmarkEnd w:id="245"/>
      <w:bookmarkEnd w:id="253"/>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环境工程-三重串联四极杆液质联用仪</w:t>
      </w:r>
      <w:r>
        <w:rPr>
          <w:rFonts w:hint="eastAsia"/>
          <w:sz w:val="24"/>
          <w:szCs w:val="24"/>
          <w:u w:val="single"/>
        </w:rPr>
        <w:t>、</w:t>
      </w:r>
      <w:r>
        <w:rPr>
          <w:rFonts w:hint="eastAsia"/>
          <w:sz w:val="24"/>
          <w:szCs w:val="24"/>
          <w:u w:val="single"/>
          <w:lang w:eastAsia="zh-CN"/>
        </w:rPr>
        <w:t>SZDL2023001813（CLF0123SZ15ZC11A）</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55" w:name="_Hlk30667959"/>
      <w:r>
        <w:rPr>
          <w:rFonts w:hint="eastAsia"/>
          <w:sz w:val="24"/>
        </w:rPr>
        <w:t>提供被授权人（授权代表）居民身份证（正反面）</w:t>
      </w:r>
      <w:bookmarkEnd w:id="255"/>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cols w:num="1" w:space="720"/>
          <w:docGrid w:type="lines" w:linePitch="312" w:charSpace="0"/>
        </w:sectPr>
      </w:pPr>
      <w:bookmarkStart w:id="256" w:name="_Toc226217114"/>
    </w:p>
    <w:p>
      <w:pPr>
        <w:pStyle w:val="Heading2"/>
        <w:numPr>
          <w:ilvl w:val="0"/>
          <w:numId w:val="65"/>
        </w:numPr>
        <w:spacing w:line="240" w:lineRule="auto"/>
        <w:jc w:val="center"/>
        <w:rPr>
          <w:b w:val="0"/>
        </w:rPr>
      </w:pPr>
      <w:bookmarkEnd w:id="246"/>
      <w:bookmarkEnd w:id="247"/>
      <w:bookmarkEnd w:id="248"/>
      <w:bookmarkEnd w:id="249"/>
      <w:bookmarkEnd w:id="250"/>
      <w:bookmarkEnd w:id="256"/>
      <w:bookmarkStart w:id="257" w:name="_Toc9765"/>
      <w:bookmarkStart w:id="258" w:name="_Toc256000045"/>
      <w:r>
        <w:rPr>
          <w:rFonts w:hint="eastAsia"/>
          <w:b w:val="0"/>
        </w:rPr>
        <w:t>实质性条款响应情况表</w:t>
      </w:r>
      <w:bookmarkEnd w:id="258"/>
      <w:bookmarkEnd w:id="257"/>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SZDL2023001813（CLF0123SZ15ZC11A）</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偏离情况说明</w:t>
            </w:r>
          </w:p>
          <w:p>
            <w:pPr>
              <w:ind w:left="-90" w:right="-80" w:leftChars="-43" w:rightChars="-38"/>
              <w:jc w:val="center"/>
              <w:rPr>
                <w:rFonts w:ascii="宋体" w:hAnsi="宋体"/>
                <w:sz w:val="24"/>
              </w:rPr>
            </w:pPr>
            <w:r>
              <w:rPr>
                <w:rFonts w:ascii="宋体" w:hAnsi="宋体" w:hint="eastAsia"/>
                <w:sz w:val="24"/>
              </w:rPr>
              <w:t>（</w:t>
            </w:r>
            <w:r>
              <w:rPr>
                <w:rFonts w:hint="eastAsia"/>
                <w:sz w:val="24"/>
              </w:rPr>
              <w:t>正偏离/完全响应/负偏离</w:t>
            </w:r>
            <w:r>
              <w:rPr>
                <w:rFonts w:ascii="宋体" w:hAnsi="宋体" w:hint="eastAsia"/>
                <w:sz w:val="24"/>
              </w:rPr>
              <w:t>）</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4"/>
              </w:numPr>
              <w:jc w:val="center"/>
              <w:rPr>
                <w:rFonts w:ascii="宋体" w:hAnsi="宋体"/>
                <w:sz w:val="24"/>
              </w:rPr>
            </w:pPr>
          </w:p>
        </w:tc>
        <w:tc>
          <w:tcPr>
            <w:tcW w:w="2530" w:type="dxa"/>
            <w:tcBorders>
              <w:top w:val="double" w:sz="4" w:space="0" w:color="auto"/>
            </w:tcBorders>
            <w:vAlign w:val="center"/>
          </w:tcPr>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right="0" w:rightChars="0"/>
              <w:jc w:val="left"/>
              <w:textAlignment w:val="auto"/>
              <w:rPr>
                <w:rFonts w:eastAsia="宋体" w:hAnsi="宋体" w:cs="宋体" w:hint="eastAsia"/>
                <w:b/>
                <w:sz w:val="24"/>
                <w:szCs w:val="24"/>
              </w:rPr>
            </w:pPr>
            <w:r>
              <w:rPr>
                <w:rFonts w:eastAsia="宋体" w:hAnsi="宋体" w:cs="宋体" w:hint="eastAsia"/>
                <w:b/>
                <w:sz w:val="24"/>
                <w:szCs w:val="24"/>
              </w:rPr>
              <w:t>三重串联四极杆液质联用仪（一） 1套</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right="0" w:rightChars="0"/>
              <w:jc w:val="left"/>
              <w:textAlignment w:val="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配置要求</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2.1 二元高压泵1台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2.2 自动进样器1台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2.3 柱温箱1台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2.4 二极管阵列检测器1台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2.5 三重串联四极杆质谱仪1台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2.6 软件1套</w:t>
            </w:r>
          </w:p>
        </w:tc>
        <w:tc>
          <w:tcPr>
            <w:tcW w:w="2531" w:type="dxa"/>
            <w:tcBorders>
              <w:top w:val="double" w:sz="4" w:space="0" w:color="auto"/>
            </w:tcBorders>
            <w:vAlign w:val="center"/>
          </w:tcPr>
          <w:p>
            <w:pPr>
              <w:ind w:left="-78" w:right="-80" w:leftChars="-37" w:rightChars="-38"/>
              <w:jc w:val="center"/>
              <w:rPr>
                <w:rFonts w:ascii="宋体" w:hAnsi="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★3.5.13 四极杆质量过滤器：可控温至≥90℃，以保证仪器的抗污染能力，并维持更加稳定的四极杆质量轴。</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★3.5.14 90度弯曲碰撞反应池，非直线型。</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rPr>
          <w:trHeight w:val="795"/>
        </w:trPr>
        <w:tc>
          <w:tcPr>
            <w:tcW w:w="496" w:type="dxa"/>
            <w:vAlign w:val="center"/>
          </w:tcPr>
          <w:p>
            <w:pPr>
              <w:numPr>
                <w:ilvl w:val="0"/>
                <w:numId w:val="74"/>
              </w:numPr>
              <w:jc w:val="center"/>
              <w:rPr>
                <w:rFonts w:ascii="宋体" w:hAnsi="宋体"/>
                <w:sz w:val="24"/>
              </w:rPr>
            </w:pPr>
          </w:p>
        </w:tc>
        <w:tc>
          <w:tcPr>
            <w:tcW w:w="2530" w:type="dxa"/>
            <w:vAlign w:val="center"/>
          </w:tcPr>
          <w:p>
            <w:pPr>
              <w:pStyle w:val="PlainText"/>
              <w:tabs>
                <w:tab w:val="left" w:pos="540"/>
              </w:tabs>
              <w:adjustRightInd w:val="0"/>
              <w:snapToGrid w:val="0"/>
              <w:spacing w:line="360" w:lineRule="auto"/>
              <w:jc w:val="left"/>
              <w:rPr>
                <w:rFonts w:eastAsia="宋体" w:hAnsi="宋体" w:cs="宋体" w:hint="eastAsia"/>
                <w:b/>
                <w:sz w:val="24"/>
                <w:szCs w:val="24"/>
              </w:rPr>
            </w:pPr>
            <w:r>
              <w:rPr>
                <w:rFonts w:eastAsia="宋体" w:hAnsi="宋体" w:cs="宋体" w:hint="eastAsia"/>
                <w:b/>
                <w:sz w:val="24"/>
                <w:szCs w:val="24"/>
              </w:rPr>
              <w:t>三重串联四极杆液质联用仪（二） 1套</w:t>
            </w:r>
          </w:p>
          <w:p>
            <w:pPr>
              <w:keepNext/>
              <w:keepLines/>
              <w:tabs>
                <w:tab w:val="left" w:pos="720"/>
              </w:tabs>
              <w:autoSpaceDE w:val="0"/>
              <w:autoSpaceDN w:val="0"/>
              <w:adjustRightInd w:val="0"/>
              <w:snapToGrid w:val="0"/>
              <w:spacing w:line="360" w:lineRule="auto"/>
              <w:jc w:val="left"/>
              <w:outlineLvl w:val="2"/>
              <w:rPr>
                <w:rFonts w:ascii="宋体" w:hAnsi="宋体" w:cs="宋体"/>
                <w:b/>
                <w:kern w:val="0"/>
                <w:sz w:val="24"/>
                <w:szCs w:val="20"/>
              </w:rPr>
            </w:pPr>
            <w:bookmarkStart w:id="259" w:name="_Toc256000046"/>
            <w:r>
              <w:rPr>
                <w:rFonts w:ascii="宋体" w:hAnsi="宋体" w:cs="宋体" w:hint="eastAsia"/>
                <w:b/>
                <w:kern w:val="0"/>
                <w:sz w:val="24"/>
                <w:szCs w:val="20"/>
              </w:rPr>
              <w:t>2．★配置要求</w:t>
            </w:r>
            <w:bookmarkEnd w:id="259"/>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.1 二元高压泵1台</w:t>
            </w:r>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.2 自动进样器1台</w:t>
            </w:r>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.3 柱温箱1台</w:t>
            </w:r>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.4 二极管阵列检测器1台</w:t>
            </w:r>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.5 三重串联四极杆质谱仪1台</w:t>
            </w:r>
          </w:p>
          <w:p>
            <w:pPr>
              <w:adjustRightInd w:val="0"/>
              <w:snapToGrid w:val="0"/>
              <w:spacing w:line="360" w:lineRule="auto"/>
              <w:rPr>
                <w:rFonts w:ascii="宋体" w:hAnsi="宋体" w:cs="宋体"/>
                <w:position w:val="-20"/>
                <w:sz w:val="24"/>
              </w:rPr>
            </w:pPr>
            <w:r>
              <w:rPr>
                <w:rFonts w:ascii="宋体" w:hAnsi="宋体" w:cs="宋体" w:hint="eastAsia"/>
                <w:position w:val="-20"/>
                <w:sz w:val="24"/>
                <w:lang w:val="en-US" w:eastAsia="zh-CN"/>
              </w:rPr>
              <w:t>2</w:t>
            </w:r>
            <w:r>
              <w:rPr>
                <w:rFonts w:ascii="宋体" w:hAnsi="宋体" w:cs="宋体" w:hint="eastAsia"/>
                <w:position w:val="-20"/>
                <w:sz w:val="24"/>
              </w:rPr>
              <w:t>.6 软件1套</w:t>
            </w:r>
          </w:p>
          <w:p>
            <w:pPr>
              <w:ind w:left="-78" w:right="-80" w:leftChars="-37" w:rightChars="-38"/>
              <w:jc w:val="left"/>
              <w:rPr>
                <w:rFonts w:ascii="宋体" w:hAnsi="宋体"/>
                <w:sz w:val="24"/>
              </w:rPr>
            </w:pP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left"/>
              <w:rPr>
                <w:rFonts w:ascii="宋体" w:hAnsi="宋体"/>
                <w:sz w:val="24"/>
              </w:rPr>
            </w:pPr>
            <w:r>
              <w:rPr>
                <w:rFonts w:ascii="宋体" w:hAnsi="宋体" w:hint="eastAsia"/>
                <w:sz w:val="24"/>
              </w:rPr>
              <w:t>★</w:t>
            </w:r>
            <w:r>
              <w:rPr>
                <w:rFonts w:ascii="宋体" w:hAnsi="宋体" w:hint="eastAsia"/>
                <w:sz w:val="24"/>
                <w:lang w:val="en-US" w:eastAsia="zh-CN"/>
              </w:rPr>
              <w:t>3</w:t>
            </w:r>
            <w:r>
              <w:rPr>
                <w:rFonts w:ascii="宋体" w:hAnsi="宋体" w:hint="eastAsia"/>
                <w:sz w:val="24"/>
              </w:rPr>
              <w:t>.1.11 梯度曲线：22条及以上（直线、凹形、凸形等）。</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★3.4.2 最大采样频率：≥240Hz。</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★1.合同货物整体质量保证期为验收合格之日起12个月。如果对合同货物中关键部件的质量保证期有特殊要求的，双方可以在补充条款中约定。</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★1.1交付时间：合同签订后180个日历日内</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hint="eastAsia"/>
                <w:sz w:val="24"/>
              </w:rPr>
            </w:pPr>
            <w:r>
              <w:rPr>
                <w:rFonts w:ascii="宋体" w:hAnsi="宋体" w:cs="宋体"/>
                <w:color w:val="auto"/>
                <w:sz w:val="24"/>
              </w:rPr>
              <w:t>★</w:t>
            </w:r>
            <w:r>
              <w:rPr>
                <w:rFonts w:ascii="宋体" w:hAnsi="宋体" w:cs="宋体" w:hint="eastAsia"/>
                <w:color w:val="auto"/>
                <w:sz w:val="24"/>
              </w:rPr>
              <w:t>3.2中标人所交付产品、工程或服务需符合其投标承诺，不得在投标阶段为了中标而盲目虚假承诺、低价恶性竞争，在履约阶段则通过偷工减料、以次充好而获取利润。</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★4.报价方式及要求</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国产货物：人民币报价，投标价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进口免税产品报价说明：</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3）依据国家相关法律法规，项目中不可免税部分请单报人民币含税价格。</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overflowPunct w:val="0"/>
              <w:autoSpaceDE w:val="0"/>
              <w:autoSpaceDN w:val="0"/>
              <w:adjustRightInd w:val="0"/>
              <w:snapToGrid w:val="0"/>
              <w:spacing w:line="360" w:lineRule="auto"/>
              <w:ind w:left="-105" w:firstLine="420" w:leftChars="-50" w:firstLineChars="200"/>
              <w:textAlignment w:val="baseline"/>
              <w:rPr>
                <w:rFonts w:ascii="宋体" w:hAnsi="宋体" w:hint="eastAsia"/>
                <w:sz w:val="24"/>
              </w:rPr>
            </w:pPr>
            <w:r>
              <w:rPr>
                <w:rFonts w:ascii="宋体" w:hAnsi="宋体" w:cs="宋体" w:hint="eastAsia"/>
                <w:bCs/>
                <w:sz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adjustRightInd w:val="0"/>
              <w:snapToGrid w:val="0"/>
              <w:spacing w:line="360" w:lineRule="auto"/>
              <w:rPr>
                <w:rFonts w:ascii="宋体" w:hAnsi="宋体" w:cs="宋体"/>
                <w:b/>
                <w:bCs/>
                <w:sz w:val="24"/>
              </w:rPr>
            </w:pPr>
            <w:r>
              <w:rPr>
                <w:rFonts w:ascii="宋体" w:hAnsi="宋体" w:cs="宋体" w:hint="eastAsia"/>
                <w:b/>
                <w:bCs/>
                <w:sz w:val="24"/>
              </w:rPr>
              <w:t>★5.关于付款</w:t>
            </w:r>
          </w:p>
          <w:p>
            <w:pPr>
              <w:overflowPunct w:val="0"/>
              <w:autoSpaceDE w:val="0"/>
              <w:autoSpaceDN w:val="0"/>
              <w:adjustRightInd w:val="0"/>
              <w:snapToGrid w:val="0"/>
              <w:spacing w:line="360" w:lineRule="auto"/>
              <w:textAlignment w:val="baseline"/>
              <w:rPr>
                <w:rFonts w:ascii="宋体" w:hAnsi="宋体" w:cs="宋体"/>
                <w:b/>
                <w:sz w:val="24"/>
              </w:rPr>
            </w:pPr>
            <w:r>
              <w:rPr>
                <w:rFonts w:ascii="宋体" w:hAnsi="宋体" w:cs="宋体" w:hint="eastAsia"/>
                <w:b/>
                <w:sz w:val="24"/>
              </w:rPr>
              <w:t>国内合同：</w:t>
            </w:r>
          </w:p>
          <w:p>
            <w:pPr>
              <w:adjustRightInd w:val="0"/>
              <w:snapToGrid w:val="0"/>
              <w:spacing w:line="360" w:lineRule="auto"/>
              <w:rPr>
                <w:rFonts w:ascii="宋体" w:hAnsi="宋体" w:cs="宋体"/>
                <w:sz w:val="24"/>
              </w:rPr>
            </w:pPr>
            <w:r>
              <w:rPr>
                <w:rFonts w:ascii="宋体" w:hAnsi="宋体" w:cs="宋体" w:hint="eastAsia"/>
                <w:sz w:val="24"/>
              </w:rPr>
              <w:t>（1）合同生效后，采购人在15日内，向中标人支付合同价款的50%，作为预付款；</w:t>
            </w:r>
          </w:p>
          <w:p>
            <w:pPr>
              <w:adjustRightInd w:val="0"/>
              <w:snapToGrid w:val="0"/>
              <w:spacing w:line="360" w:lineRule="auto"/>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（2）中标人按照合同约定交付全部合同货物，完成安装、调试并经采购人验收合格后，采购人在收到中标人提交的下列全部单据并经审核无误后15日内，向中标人支付合同价款的50%。</w:t>
            </w:r>
          </w:p>
          <w:p>
            <w:pPr>
              <w:adjustRightInd w:val="0"/>
              <w:snapToGrid w:val="0"/>
              <w:spacing w:line="360" w:lineRule="auto"/>
              <w:rPr>
                <w:rFonts w:ascii="宋体" w:hAnsi="宋体" w:cs="宋体"/>
                <w:sz w:val="24"/>
              </w:rPr>
            </w:pPr>
            <w:r>
              <w:rPr>
                <w:rFonts w:ascii="宋体" w:hAnsi="宋体" w:cs="宋体" w:hint="eastAsia"/>
                <w:sz w:val="24"/>
              </w:rPr>
              <w:t>① 中标人出具的交货清单原件一份；</w:t>
            </w:r>
          </w:p>
          <w:p>
            <w:pPr>
              <w:adjustRightInd w:val="0"/>
              <w:snapToGrid w:val="0"/>
              <w:spacing w:line="360" w:lineRule="auto"/>
              <w:rPr>
                <w:rFonts w:ascii="宋体" w:hAnsi="宋体" w:cs="宋体"/>
                <w:sz w:val="24"/>
              </w:rPr>
            </w:pPr>
            <w:r>
              <w:rPr>
                <w:rFonts w:ascii="宋体" w:hAnsi="宋体" w:cs="宋体" w:hint="eastAsia"/>
                <w:sz w:val="24"/>
              </w:rPr>
              <w:t>② 采购人签署的收货清单复印件一份；</w:t>
            </w:r>
          </w:p>
          <w:p>
            <w:pPr>
              <w:adjustRightInd w:val="0"/>
              <w:snapToGrid w:val="0"/>
              <w:spacing w:line="360" w:lineRule="auto"/>
              <w:rPr>
                <w:rFonts w:ascii="宋体" w:hAnsi="宋体" w:cs="宋体"/>
                <w:sz w:val="24"/>
              </w:rPr>
            </w:pPr>
            <w:r>
              <w:rPr>
                <w:rFonts w:ascii="宋体" w:hAnsi="宋体" w:cs="宋体" w:hint="eastAsia"/>
                <w:sz w:val="24"/>
              </w:rPr>
              <w:t>③ 货物验收记录复印件一份；</w:t>
            </w:r>
          </w:p>
          <w:p>
            <w:pPr>
              <w:adjustRightInd w:val="0"/>
              <w:snapToGrid w:val="0"/>
              <w:spacing w:line="360" w:lineRule="auto"/>
              <w:rPr>
                <w:rFonts w:ascii="宋体" w:hAnsi="宋体" w:cs="宋体"/>
                <w:sz w:val="24"/>
              </w:rPr>
            </w:pPr>
            <w:r>
              <w:rPr>
                <w:rFonts w:ascii="宋体" w:hAnsi="宋体" w:cs="宋体" w:hint="eastAsia"/>
                <w:sz w:val="24"/>
              </w:rPr>
              <w:t>④ 制造商出具的出厂质量合格证原件一份；</w:t>
            </w:r>
          </w:p>
          <w:p>
            <w:pPr>
              <w:adjustRightInd w:val="0"/>
              <w:snapToGrid w:val="0"/>
              <w:spacing w:line="360" w:lineRule="auto"/>
              <w:rPr>
                <w:rFonts w:ascii="宋体" w:hAnsi="宋体" w:cs="宋体"/>
                <w:sz w:val="24"/>
              </w:rPr>
            </w:pPr>
            <w:r>
              <w:rPr>
                <w:rFonts w:ascii="宋体" w:hAnsi="宋体" w:cs="宋体" w:hint="eastAsia"/>
                <w:sz w:val="24"/>
              </w:rPr>
              <w:t>⑤ 增值税（专用/普通）发票原件一份。</w:t>
            </w:r>
          </w:p>
          <w:p>
            <w:pPr>
              <w:adjustRightInd w:val="0"/>
              <w:snapToGrid w:val="0"/>
              <w:spacing w:line="360" w:lineRule="auto"/>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rPr>
                <w:rFonts w:ascii="宋体" w:hAnsi="宋体" w:cs="宋体"/>
                <w:b/>
                <w:sz w:val="24"/>
              </w:rPr>
            </w:pPr>
            <w:r>
              <w:rPr>
                <w:rFonts w:ascii="宋体" w:hAnsi="宋体" w:cs="宋体" w:hint="eastAsia"/>
                <w:b/>
                <w:sz w:val="24"/>
              </w:rPr>
              <w:t>进口（外贸）合同：</w:t>
            </w:r>
          </w:p>
          <w:p>
            <w:pPr>
              <w:adjustRightInd w:val="0"/>
              <w:snapToGrid w:val="0"/>
              <w:spacing w:line="360" w:lineRule="auto"/>
              <w:rPr>
                <w:rFonts w:ascii="宋体" w:hAnsi="宋体" w:cs="宋体"/>
                <w:sz w:val="24"/>
              </w:rPr>
            </w:pPr>
            <w:r>
              <w:rPr>
                <w:rFonts w:ascii="宋体" w:hAnsi="宋体" w:cs="宋体" w:hint="eastAsia"/>
                <w:sz w:val="24"/>
              </w:rPr>
              <w:t>货款支付上限为：中标/成交人民币价格。</w:t>
            </w:r>
          </w:p>
          <w:p>
            <w:pPr>
              <w:adjustRightInd w:val="0"/>
              <w:snapToGrid w:val="0"/>
              <w:spacing w:line="360" w:lineRule="auto"/>
              <w:rPr>
                <w:rFonts w:ascii="宋体" w:hAnsi="宋体" w:cs="宋体"/>
                <w:sz w:val="24"/>
              </w:rPr>
            </w:pPr>
            <w:r>
              <w:rPr>
                <w:rFonts w:ascii="宋体" w:hAnsi="宋体" w:cs="宋体" w:hint="eastAsia"/>
                <w:sz w:val="24"/>
              </w:rPr>
              <w:t>信用证付款</w:t>
            </w:r>
          </w:p>
          <w:p>
            <w:pPr>
              <w:adjustRightInd w:val="0"/>
              <w:snapToGrid w:val="0"/>
              <w:spacing w:line="360" w:lineRule="auto"/>
              <w:rPr>
                <w:rFonts w:ascii="宋体" w:hAnsi="宋体" w:cs="宋体"/>
                <w:sz w:val="24"/>
              </w:rPr>
            </w:pPr>
            <w:r>
              <w:rPr>
                <w:rFonts w:ascii="宋体" w:hAnsi="宋体" w:cs="宋体" w:hint="eastAsia"/>
                <w:sz w:val="24"/>
              </w:rPr>
              <w:t>（1）签订外贸合同后，买方代理收到买方50%货款后，买方代理对外开具合同总额的50%不可撤销信用证给卖方；</w:t>
            </w:r>
          </w:p>
          <w:p>
            <w:pPr>
              <w:adjustRightInd w:val="0"/>
              <w:snapToGrid w:val="0"/>
              <w:spacing w:line="360" w:lineRule="auto"/>
              <w:rPr>
                <w:rFonts w:ascii="宋体" w:hAnsi="宋体" w:cs="宋体"/>
                <w:sz w:val="24"/>
              </w:rPr>
            </w:pPr>
            <w:r>
              <w:rPr>
                <w:rFonts w:ascii="宋体" w:hAnsi="宋体" w:cs="宋体" w:hint="eastAsia"/>
                <w:sz w:val="24"/>
              </w:rPr>
              <w:t>（2）货到验收合格后，买方代理收到买方50%货款后，买方代理电汇支付50%货款给卖方（合同执行期间产生的外币汇率损失由中标人承担）。</w:t>
            </w:r>
          </w:p>
          <w:p>
            <w:pPr>
              <w:adjustRightInd w:val="0"/>
              <w:snapToGrid w:val="0"/>
              <w:spacing w:line="360" w:lineRule="auto"/>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rPr>
                <w:rFonts w:ascii="宋体" w:hAnsi="宋体" w:cs="宋体"/>
                <w:sz w:val="24"/>
              </w:rPr>
            </w:pPr>
            <w:r>
              <w:rPr>
                <w:rFonts w:ascii="宋体" w:hAnsi="宋体" w:cs="宋体" w:hint="eastAsia"/>
                <w:sz w:val="24"/>
              </w:rPr>
              <w:t>（4）如果采用外币结算，汇率取开标日中国人民银行公布的汇率中间价。</w:t>
            </w:r>
          </w:p>
          <w:p>
            <w:pPr>
              <w:adjustRightInd w:val="0"/>
              <w:snapToGrid w:val="0"/>
              <w:spacing w:line="360" w:lineRule="auto"/>
              <w:rPr>
                <w:rFonts w:ascii="宋体" w:hAnsi="宋体" w:cs="宋体" w:hint="eastAsia"/>
                <w:sz w:val="24"/>
              </w:rPr>
            </w:pPr>
            <w:r>
              <w:rPr>
                <w:rFonts w:ascii="宋体" w:hAnsi="宋体" w:cs="宋体" w:hint="eastAsia"/>
                <w:sz w:val="24"/>
              </w:rPr>
              <w:t>所有付款计划均以政府财政部门划拨款项时间为准，采购人不承担因财政审批或拨款延迟造成延迟付款的违约责任。</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60" w:name="_Toc10723"/>
      <w:bookmarkStart w:id="261" w:name="_Toc20053"/>
      <w:bookmarkStart w:id="262" w:name="_Toc30664884"/>
      <w:bookmarkStart w:id="263" w:name="_Toc256000047"/>
      <w:r>
        <w:rPr>
          <w:rFonts w:hint="eastAsia"/>
          <w:b w:val="0"/>
        </w:rPr>
        <w:t>技术要求偏离表</w:t>
      </w:r>
      <w:bookmarkEnd w:id="263"/>
      <w:bookmarkEnd w:id="260"/>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SZDL2023001813（CLF0123SZ15ZC11A）</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7"/>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7"/>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64" w:name="_Toc4469"/>
      <w:bookmarkStart w:id="265" w:name="_Toc256000048"/>
      <w:r>
        <w:rPr>
          <w:rFonts w:hint="eastAsia"/>
          <w:b w:val="0"/>
        </w:rPr>
        <w:t>用户需求书商务条款响应一览表</w:t>
      </w:r>
      <w:bookmarkEnd w:id="265"/>
      <w:bookmarkEnd w:id="264"/>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SZDL2023001813（CLF0123SZ15ZC11A）</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rPr>
      </w:pPr>
      <w:bookmarkStart w:id="266" w:name="_Toc6219"/>
      <w:bookmarkStart w:id="267" w:name="_Toc256000049"/>
      <w:r>
        <w:rPr>
          <w:rFonts w:hint="eastAsia"/>
          <w:b w:val="0"/>
        </w:rPr>
        <w:t>政府采购违法行为风险知悉确认书</w:t>
      </w:r>
      <w:bookmarkEnd w:id="267"/>
      <w:bookmarkEnd w:id="266"/>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b/>
          <w:bCs/>
          <w:sz w:val="30"/>
          <w:szCs w:val="30"/>
        </w:rPr>
      </w:pPr>
      <w:r>
        <w:rPr>
          <w:rFonts w:hint="eastAsia"/>
          <w:b/>
          <w:bCs/>
          <w:sz w:val="24"/>
        </w:rPr>
        <w:t>注：该风险知悉确认书用于对供应商违法行为的警示，不作为供应商资格性审查及符合性审查条件。</w:t>
      </w:r>
    </w:p>
    <w:p/>
    <w:p>
      <w:r>
        <w:br w:type="page"/>
      </w:r>
    </w:p>
    <w:p>
      <w:pPr>
        <w:pStyle w:val="Heading2"/>
        <w:numPr>
          <w:ilvl w:val="0"/>
          <w:numId w:val="65"/>
        </w:numPr>
        <w:spacing w:line="240" w:lineRule="auto"/>
        <w:jc w:val="center"/>
        <w:rPr>
          <w:b w:val="0"/>
        </w:rPr>
      </w:pPr>
      <w:bookmarkStart w:id="268" w:name="_Toc18780"/>
      <w:bookmarkStart w:id="269" w:name="_Toc256000050"/>
      <w:r>
        <w:rPr>
          <w:rFonts w:hint="eastAsia"/>
          <w:b w:val="0"/>
        </w:rPr>
        <w:t>《政府采购违法行为风险知悉确认书》附件</w:t>
      </w:r>
      <w:bookmarkEnd w:id="269"/>
      <w:bookmarkEnd w:id="268"/>
    </w:p>
    <w:p>
      <w:pPr>
        <w:pStyle w:val="ListParagraph"/>
        <w:ind w:firstLine="0" w:firstLineChars="0"/>
        <w:jc w:val="center"/>
        <w:rPr>
          <w:sz w:val="36"/>
          <w:szCs w:val="36"/>
        </w:rPr>
      </w:pPr>
      <w:r>
        <w:rPr>
          <w:rFonts w:ascii="宋体" w:hAnsi="宋体" w:hint="eastAsia"/>
          <w:b/>
          <w:sz w:val="36"/>
          <w:szCs w:val="36"/>
        </w:rPr>
        <w:t>（非信息公开部分）</w:t>
      </w:r>
    </w:p>
    <w:p>
      <w:pPr>
        <w:pStyle w:val="PlainText"/>
        <w:spacing w:line="360" w:lineRule="auto"/>
      </w:pPr>
    </w:p>
    <w:p>
      <w:pPr>
        <w:pStyle w:val="PlainText"/>
        <w:spacing w:line="360" w:lineRule="auto"/>
        <w:rPr>
          <w:rFonts w:eastAsia="宋体" w:hAnsi="宋体" w:cs="宋体"/>
          <w:sz w:val="24"/>
          <w:szCs w:val="24"/>
        </w:rPr>
      </w:pPr>
      <w:r>
        <w:rPr>
          <w:rFonts w:eastAsia="宋体" w:hAnsi="宋体" w:cs="宋体" w:hint="eastAsia"/>
          <w:sz w:val="24"/>
          <w:szCs w:val="24"/>
        </w:rPr>
        <w:t>提供法定代表人、主要经营负责人、项目投标授权代表人、项目负责人、主要技术人员的社会保险证明（1.如依法不需要缴纳社会保险的，应提供相应文件证明；2.如相关人员为退休后返聘则需提供退休证明和聘用合同；3.如本项目未安排项目投标授权代表人、项目负责人、主要技术人员的，无需提供投标授权代表人、项目负责人、主要技术人员的社会保险证明）作为《政府采购违法行为风险知悉确认书》的附件，不作为供应商资格性审查及符合性审查条件。</w:t>
      </w:r>
    </w:p>
    <w:p>
      <w:pPr>
        <w:rPr>
          <w:highlight w:val="yellow"/>
        </w:rPr>
      </w:pPr>
    </w:p>
    <w:p>
      <w:r>
        <w:rPr>
          <w:rFonts w:ascii="Arial" w:eastAsia="黑体" w:hAnsi="Arial" w:hint="eastAsia"/>
          <w:bCs/>
          <w:sz w:val="32"/>
          <w:szCs w:val="32"/>
          <w:highlight w:val="yellow"/>
        </w:rPr>
        <w:br w:type="page"/>
      </w:r>
    </w:p>
    <w:p>
      <w:pPr>
        <w:pStyle w:val="Heading2"/>
        <w:numPr>
          <w:ilvl w:val="0"/>
          <w:numId w:val="65"/>
        </w:numPr>
        <w:spacing w:line="240" w:lineRule="auto"/>
        <w:jc w:val="center"/>
        <w:rPr>
          <w:b w:val="0"/>
        </w:rPr>
      </w:pPr>
      <w:bookmarkStart w:id="270" w:name="_Toc10976"/>
      <w:bookmarkStart w:id="271" w:name="_Toc256000051"/>
      <w:r>
        <w:rPr>
          <w:rFonts w:hint="eastAsia"/>
          <w:b w:val="0"/>
        </w:rPr>
        <w:t>采购代理服务费承诺书</w:t>
      </w:r>
      <w:bookmarkEnd w:id="271"/>
      <w:bookmarkEnd w:id="270"/>
    </w:p>
    <w:p>
      <w:pPr>
        <w:spacing w:line="360" w:lineRule="auto"/>
        <w:jc w:val="center"/>
        <w:rPr>
          <w:rFonts w:ascii="宋体" w:hAnsi="宋体" w:cs="宋体"/>
          <w:b/>
          <w:sz w:val="24"/>
        </w:rPr>
      </w:pPr>
      <w:r>
        <w:rPr>
          <w:rFonts w:hint="eastAsia"/>
          <w:b/>
          <w:bCs/>
          <w:sz w:val="24"/>
        </w:rPr>
        <w:t>（采购代理服务费承诺书不作为供应商资格性审查及符合性审查条件）</w:t>
      </w:r>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环境工程-三重串联四极杆液质联用仪      </w:t>
      </w:r>
      <w:r>
        <w:rPr>
          <w:rFonts w:ascii="宋体" w:hAnsi="宋体" w:cs="宋体" w:hint="eastAsia"/>
          <w:sz w:val="24"/>
        </w:rPr>
        <w:t>(项目编号：</w:t>
      </w:r>
      <w:r>
        <w:rPr>
          <w:rFonts w:ascii="宋体" w:hAnsi="宋体" w:cs="宋体" w:hint="eastAsia"/>
          <w:sz w:val="24"/>
          <w:lang w:eastAsia="zh-CN"/>
        </w:rPr>
        <w:t>SZDL2023001813（CLF0123SZ15ZC11A）</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jc w:val="center"/>
        <w:rPr>
          <w:rFonts w:ascii="宋体" w:hAnsi="宋体" w:cs="宋体"/>
          <w:sz w:val="24"/>
        </w:rPr>
      </w:pPr>
      <w:r>
        <w:rPr>
          <w:rFonts w:ascii="宋体" w:hAnsi="宋体" w:cs="宋体" w:hint="eastAsia"/>
          <w:sz w:val="24"/>
        </w:rPr>
        <w:t xml:space="preserve">             法定代表人或其委托代理人：</w:t>
      </w:r>
    </w:p>
    <w:p>
      <w:pPr>
        <w:ind w:firstLine="4410" w:firstLineChars="2100"/>
        <w:rPr>
          <w:rFonts w:ascii="宋体" w:hAnsi="宋体" w:cs="宋体"/>
          <w:sz w:val="24"/>
        </w:rPr>
      </w:pPr>
      <w:r>
        <w:rPr>
          <w:rFonts w:ascii="宋体" w:hAnsi="宋体" w:cs="宋体" w:hint="eastAsia"/>
          <w:sz w:val="24"/>
        </w:rPr>
        <w:t>投标人（公章）：</w:t>
      </w:r>
    </w:p>
    <w:p>
      <w:pPr>
        <w:spacing w:line="360" w:lineRule="auto"/>
        <w:ind w:left="315"/>
        <w:jc w:val="left"/>
        <w:rPr>
          <w:rFonts w:ascii="宋体" w:hAnsi="宋体" w:cs="宋体"/>
          <w:sz w:val="24"/>
        </w:rPr>
      </w:pPr>
      <w:r>
        <w:rPr>
          <w:rFonts w:ascii="宋体" w:hAnsi="宋体" w:cs="宋体" w:hint="eastAsia"/>
          <w:sz w:val="24"/>
        </w:rPr>
        <w:t xml:space="preserve">                                                 日期：</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3"/>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3"/>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3"/>
        </w:numPr>
        <w:adjustRightInd w:val="0"/>
        <w:snapToGrid w:val="0"/>
        <w:rPr>
          <w:rFonts w:ascii="宋体" w:hAnsi="宋体" w:cs="宋体"/>
          <w:b/>
          <w:bCs/>
          <w:sz w:val="24"/>
          <w:u w:val="double"/>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numPr>
          <w:ilvl w:val="0"/>
          <w:numId w:val="73"/>
        </w:numPr>
        <w:adjustRightInd w:val="0"/>
        <w:snapToGrid w:val="0"/>
        <w:rPr>
          <w:rFonts w:ascii="宋体" w:hAnsi="宋体" w:cs="宋体"/>
          <w:b/>
          <w:bCs/>
          <w:sz w:val="24"/>
          <w:u w:val="double"/>
        </w:rPr>
      </w:pPr>
      <w:r>
        <w:rPr>
          <w:rFonts w:ascii="宋体" w:hAnsi="宋体" w:cs="宋体" w:hint="eastAsia"/>
          <w:b/>
          <w:bCs/>
          <w:sz w:val="24"/>
          <w:u w:val="double"/>
        </w:rPr>
        <w:t>中标人在缴纳采购代理服务费后，我司将以邮寄或电子邮件方式将发票送达中标人，请填写以下邮寄发票的收件信息及邮箱。</w:t>
      </w:r>
    </w:p>
    <w:p>
      <w:pPr>
        <w:adjustRightInd w:val="0"/>
        <w:snapToGrid w:val="0"/>
        <w:rPr>
          <w:rFonts w:ascii="宋体" w:hAnsi="宋体" w:cs="宋体"/>
          <w:sz w:val="24"/>
        </w:rPr>
      </w:pPr>
    </w:p>
    <w:p>
      <w:pPr>
        <w:adjustRightInd w:val="0"/>
        <w:snapToGrid w:val="0"/>
        <w:ind w:firstLine="420" w:firstLineChars="200"/>
        <w:rPr>
          <w:rFonts w:ascii="宋体" w:hAnsi="宋体" w:cs="宋体"/>
          <w:sz w:val="24"/>
        </w:rPr>
      </w:pPr>
      <w:r>
        <w:rPr>
          <w:rFonts w:ascii="宋体" w:hAnsi="宋体" w:cs="宋体" w:hint="eastAsia"/>
          <w:sz w:val="24"/>
        </w:rPr>
        <w:t>收件地址：</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联系电话：</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邮箱：</w:t>
      </w:r>
      <w:r>
        <w:rPr>
          <w:rFonts w:ascii="宋体" w:hAnsi="宋体" w:cs="宋体" w:hint="eastAsia"/>
          <w:sz w:val="24"/>
          <w:u w:val="single"/>
        </w:rPr>
        <w:t xml:space="preserve">                                           </w:t>
      </w:r>
    </w:p>
    <w:p>
      <w:pPr>
        <w:widowControl/>
        <w:jc w:val="left"/>
        <w:rPr>
          <w:rFonts w:ascii="宋体" w:hAnsi="宋体" w:cs="宋体"/>
          <w:bCs/>
          <w:sz w:val="24"/>
        </w:rPr>
      </w:pPr>
      <w:bookmarkStart w:id="272" w:name="_Toc275865626"/>
      <w:bookmarkStart w:id="273" w:name="_Toc435514878"/>
      <w:bookmarkStart w:id="274" w:name="_Toc435515318"/>
      <w:bookmarkStart w:id="275" w:name="_Toc173553195"/>
      <w:r>
        <w:rPr>
          <w:rFonts w:ascii="宋体" w:hAnsi="宋体" w:cs="宋体" w:hint="eastAsia"/>
          <w:b/>
          <w:sz w:val="24"/>
        </w:rPr>
        <w:br w:type="page"/>
      </w:r>
    </w:p>
    <w:p>
      <w:pPr>
        <w:pStyle w:val="Heading2"/>
        <w:numPr>
          <w:ilvl w:val="0"/>
          <w:numId w:val="65"/>
        </w:numPr>
        <w:spacing w:line="240" w:lineRule="auto"/>
        <w:jc w:val="center"/>
        <w:rPr>
          <w:b w:val="0"/>
        </w:rPr>
      </w:pPr>
      <w:bookmarkEnd w:id="261"/>
      <w:bookmarkEnd w:id="262"/>
      <w:bookmarkEnd w:id="272"/>
      <w:bookmarkEnd w:id="273"/>
      <w:bookmarkEnd w:id="274"/>
      <w:bookmarkEnd w:id="275"/>
      <w:bookmarkStart w:id="276" w:name="_Toc6109"/>
      <w:bookmarkStart w:id="277" w:name="_Toc256000052"/>
      <w:r>
        <w:rPr>
          <w:rFonts w:hint="eastAsia"/>
          <w:b w:val="0"/>
        </w:rPr>
        <w:t>技术保障措施</w:t>
      </w:r>
      <w:bookmarkEnd w:id="277"/>
      <w:bookmarkEnd w:id="276"/>
    </w:p>
    <w:p>
      <w:pPr>
        <w:pStyle w:val="ListParagraph"/>
        <w:ind w:left="420" w:firstLine="1564" w:leftChars="200" w:firstLineChars="745"/>
      </w:pPr>
      <w:r>
        <w:rPr>
          <w:rFonts w:hint="eastAsia"/>
        </w:rPr>
        <w:t>格式自拟</w:t>
      </w:r>
    </w:p>
    <w:p>
      <w:pPr>
        <w:pStyle w:val="ListParagraph"/>
        <w:ind w:left="420" w:firstLine="1564" w:leftChars="200" w:firstLineChars="745"/>
        <w:rPr>
          <w:sz w:val="36"/>
          <w:szCs w:val="36"/>
        </w:rPr>
      </w:pPr>
      <w:r>
        <w:rPr>
          <w:rFonts w:ascii="宋体" w:hAnsi="宋体" w:hint="eastAsia"/>
          <w:b/>
          <w:sz w:val="36"/>
          <w:szCs w:val="36"/>
        </w:rPr>
        <w:t>（非信息公开部分）</w:t>
      </w:r>
    </w:p>
    <w:p>
      <w:pPr>
        <w:widowControl/>
        <w:jc w:val="left"/>
        <w:rPr>
          <w:rFonts w:ascii="黑体" w:eastAsia="黑体"/>
          <w:b/>
          <w:bCs/>
          <w:sz w:val="28"/>
        </w:rPr>
      </w:pPr>
    </w:p>
    <w:p>
      <w:pPr>
        <w:tabs>
          <w:tab w:val="left" w:pos="426"/>
        </w:tabs>
        <w:autoSpaceDE w:val="0"/>
        <w:autoSpaceDN w:val="0"/>
        <w:adjustRightInd w:val="0"/>
        <w:spacing w:line="360" w:lineRule="auto"/>
        <w:ind w:left="505"/>
        <w:jc w:val="center"/>
        <w:outlineLvl w:val="3"/>
        <w:rPr>
          <w:rFonts w:ascii="宋体" w:hAnsi="宋体"/>
          <w:b/>
          <w:bCs/>
          <w:sz w:val="44"/>
        </w:rPr>
      </w:pPr>
    </w:p>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83</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83</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SZDL2023001813（CLF0123SZ15ZC11A）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SZDL2023001813（CLF0123SZ15ZC11A）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6">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62DB1C2"/>
    <w:multiLevelType w:val="singleLevel"/>
    <w:tmpl w:val="162DB1C2"/>
    <w:lvl w:ilvl="0">
      <w:start w:val="1"/>
      <w:numFmt w:val="decimal"/>
      <w:lvlText w:val="%1."/>
      <w:lvlJc w:val="left"/>
      <w:pPr>
        <w:tabs>
          <w:tab w:val="left" w:pos="312"/>
        </w:tabs>
      </w:pPr>
    </w:lvl>
  </w:abstractNum>
  <w:abstractNum w:abstractNumId="21">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2">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1AAD7E06"/>
    <w:multiLevelType w:val="singleLevel"/>
    <w:tmpl w:val="1AAD7E06"/>
    <w:lvl w:ilvl="0">
      <w:start w:val="1"/>
      <w:numFmt w:val="decimal"/>
      <w:suff w:val="nothing"/>
      <w:lvlText w:val="%1、"/>
      <w:lvlJc w:val="left"/>
    </w:lvl>
  </w:abstractNum>
  <w:abstractNum w:abstractNumId="25">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4">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1">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6">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3">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1">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7C2D25F0"/>
    <w:multiLevelType w:val="multilevel"/>
    <w:tmpl w:val="7C2D25F0"/>
    <w:lvl w:ilvl="0">
      <w:start w:val="1"/>
      <w:numFmt w:val="decimal"/>
      <w:lvlText w:val="%1."/>
      <w:lvlJc w:val="left"/>
      <w:pPr>
        <w:ind w:left="42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67"/>
  </w:num>
  <w:num w:numId="5">
    <w:abstractNumId w:val="16"/>
  </w:num>
  <w:num w:numId="6">
    <w:abstractNumId w:val="74"/>
  </w:num>
  <w:num w:numId="7">
    <w:abstractNumId w:val="69"/>
  </w:num>
  <w:num w:numId="8">
    <w:abstractNumId w:val="56"/>
  </w:num>
  <w:num w:numId="9">
    <w:abstractNumId w:val="76"/>
  </w:num>
  <w:num w:numId="10">
    <w:abstractNumId w:val="10"/>
  </w:num>
  <w:num w:numId="11">
    <w:abstractNumId w:val="64"/>
  </w:num>
  <w:num w:numId="12">
    <w:abstractNumId w:val="3"/>
  </w:num>
  <w:num w:numId="13">
    <w:abstractNumId w:val="5"/>
  </w:num>
  <w:num w:numId="14">
    <w:abstractNumId w:val="6"/>
  </w:num>
  <w:num w:numId="15">
    <w:abstractNumId w:val="52"/>
  </w:num>
  <w:num w:numId="16">
    <w:abstractNumId w:val="25"/>
  </w:num>
  <w:num w:numId="17">
    <w:abstractNumId w:val="61"/>
  </w:num>
  <w:num w:numId="18">
    <w:abstractNumId w:val="15"/>
  </w:num>
  <w:num w:numId="19">
    <w:abstractNumId w:val="57"/>
  </w:num>
  <w:num w:numId="20">
    <w:abstractNumId w:val="26"/>
  </w:num>
  <w:num w:numId="21">
    <w:abstractNumId w:val="66"/>
  </w:num>
  <w:num w:numId="22">
    <w:abstractNumId w:val="31"/>
  </w:num>
  <w:num w:numId="23">
    <w:abstractNumId w:val="59"/>
  </w:num>
  <w:num w:numId="24">
    <w:abstractNumId w:val="71"/>
  </w:num>
  <w:num w:numId="25">
    <w:abstractNumId w:val="38"/>
  </w:num>
  <w:num w:numId="26">
    <w:abstractNumId w:val="28"/>
  </w:num>
  <w:num w:numId="27">
    <w:abstractNumId w:val="70"/>
  </w:num>
  <w:num w:numId="28">
    <w:abstractNumId w:val="47"/>
  </w:num>
  <w:num w:numId="29">
    <w:abstractNumId w:val="44"/>
  </w:num>
  <w:num w:numId="30">
    <w:abstractNumId w:val="23"/>
  </w:num>
  <w:num w:numId="31">
    <w:abstractNumId w:val="49"/>
  </w:num>
  <w:num w:numId="32">
    <w:abstractNumId w:val="2"/>
  </w:num>
  <w:num w:numId="33">
    <w:abstractNumId w:val="39"/>
  </w:num>
  <w:num w:numId="34">
    <w:abstractNumId w:val="4"/>
  </w:num>
  <w:num w:numId="35">
    <w:abstractNumId w:val="1"/>
  </w:num>
  <w:num w:numId="36">
    <w:abstractNumId w:val="0"/>
  </w:num>
  <w:num w:numId="37">
    <w:abstractNumId w:val="18"/>
  </w:num>
  <w:num w:numId="38">
    <w:abstractNumId w:val="9"/>
  </w:num>
  <w:num w:numId="39">
    <w:abstractNumId w:val="45"/>
  </w:num>
  <w:num w:numId="40">
    <w:abstractNumId w:val="19"/>
  </w:num>
  <w:num w:numId="41">
    <w:abstractNumId w:val="62"/>
  </w:num>
  <w:num w:numId="42">
    <w:abstractNumId w:val="41"/>
  </w:num>
  <w:num w:numId="43">
    <w:abstractNumId w:val="34"/>
  </w:num>
  <w:num w:numId="44">
    <w:abstractNumId w:val="65"/>
  </w:num>
  <w:num w:numId="45">
    <w:abstractNumId w:val="51"/>
  </w:num>
  <w:num w:numId="46">
    <w:abstractNumId w:val="42"/>
  </w:num>
  <w:num w:numId="47">
    <w:abstractNumId w:val="33"/>
  </w:num>
  <w:num w:numId="48">
    <w:abstractNumId w:val="35"/>
  </w:num>
  <w:num w:numId="49">
    <w:abstractNumId w:val="58"/>
  </w:num>
  <w:num w:numId="50">
    <w:abstractNumId w:val="8"/>
  </w:num>
  <w:num w:numId="51">
    <w:abstractNumId w:val="13"/>
  </w:num>
  <w:num w:numId="52">
    <w:abstractNumId w:val="29"/>
  </w:num>
  <w:num w:numId="53">
    <w:abstractNumId w:val="46"/>
  </w:num>
  <w:num w:numId="54">
    <w:abstractNumId w:val="37"/>
  </w:num>
  <w:num w:numId="55">
    <w:abstractNumId w:val="48"/>
  </w:num>
  <w:num w:numId="56">
    <w:abstractNumId w:val="27"/>
  </w:num>
  <w:num w:numId="57">
    <w:abstractNumId w:val="21"/>
  </w:num>
  <w:num w:numId="58">
    <w:abstractNumId w:val="30"/>
  </w:num>
  <w:num w:numId="59">
    <w:abstractNumId w:val="36"/>
  </w:num>
  <w:num w:numId="60">
    <w:abstractNumId w:val="12"/>
  </w:num>
  <w:num w:numId="61">
    <w:abstractNumId w:val="72"/>
  </w:num>
  <w:num w:numId="62">
    <w:abstractNumId w:val="50"/>
  </w:num>
  <w:num w:numId="63">
    <w:abstractNumId w:val="40"/>
  </w:num>
  <w:num w:numId="64">
    <w:abstractNumId w:val="55"/>
  </w:num>
  <w:num w:numId="65">
    <w:abstractNumId w:val="73"/>
  </w:num>
  <w:num w:numId="66">
    <w:abstractNumId w:val="43"/>
  </w:num>
  <w:num w:numId="67">
    <w:abstractNumId w:val="20"/>
  </w:num>
  <w:num w:numId="68">
    <w:abstractNumId w:val="75"/>
  </w:num>
  <w:num w:numId="69">
    <w:abstractNumId w:val="68"/>
  </w:num>
  <w:num w:numId="70">
    <w:abstractNumId w:val="60"/>
  </w:num>
  <w:num w:numId="71">
    <w:abstractNumId w:val="14"/>
  </w:num>
  <w:num w:numId="72">
    <w:abstractNumId w:val="11"/>
  </w:num>
  <w:num w:numId="73">
    <w:abstractNumId w:val="53"/>
  </w:num>
  <w:num w:numId="74">
    <w:abstractNumId w:val="54"/>
  </w:num>
  <w:num w:numId="75">
    <w:abstractNumId w:val="63"/>
  </w:num>
  <w:num w:numId="76">
    <w:abstractNumId w:val="17"/>
  </w:num>
  <w:num w:numId="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正文正"/>
    <w:basedOn w:val="Normal"/>
    <w:qFormat/>
    <w:pPr>
      <w:spacing w:line="560" w:lineRule="exact"/>
      <w:ind w:firstLine="561"/>
    </w:pPr>
    <w:rPr>
      <w:rFonts w:ascii="Calibri" w:hAnsi="Calibri"/>
      <w:sz w:val="28"/>
      <w:szCs w:val="28"/>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PlainText">
    <w:name w:val="Plain Text"/>
    <w:basedOn w:val="Normal"/>
    <w:link w:val="a4"/>
    <w:qFormat/>
    <w:rPr>
      <w:rFonts w:ascii="宋体" w:hAnsi="Courier New" w:eastAsiaTheme="minorEastAsia" w:cs="Courier New"/>
      <w:szCs w:val="21"/>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character" w:customStyle="1" w:styleId="a4">
    <w:name w:val="纯文本 字符"/>
    <w:basedOn w:val="DefaultParagraphFont"/>
    <w:link w:val="PlainText"/>
    <w:qFormat/>
    <w:rPr>
      <w:rFonts w:ascii="等线" w:eastAsia="等线" w:hAnsi="Courier New" w:cs="Courier New"/>
      <w:kern w:val="2"/>
      <w:sz w:val="21"/>
      <w:szCs w:val="22"/>
    </w:r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Pages>83</Pages>
  <Words>45251</Words>
  <Characters>48513</Characters>
  <Application>Microsoft Office Word</Application>
  <DocSecurity>0</DocSecurity>
  <Lines>363</Lines>
  <Paragraphs>102</Paragraphs>
  <ScaleCrop>false</ScaleCrop>
  <Company/>
  <LinksUpToDate>false</LinksUpToDate>
  <CharactersWithSpaces>51293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22</cp:revision>
  <dcterms:created xsi:type="dcterms:W3CDTF">2022-03-04T15:47:00Z</dcterms:created>
  <dcterms:modified xsi:type="dcterms:W3CDTF">2023-09-13T04:05:43Z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7E4A8496709C475CAD728B557549907E_13</vt:lpwstr>
  </property>
  <property fmtid="{D5CDD505-2E9C-101B-9397-08002B2CF9AE}" pid="4" name="KSOProductBuildVer">
    <vt:lpwstr>2052-12.1.0.15374</vt:lpwstr>
  </property>
</Properties>
</file>