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ind w:firstLine="2730" w:firstLineChars="1300"/>
        <w:rPr>
          <w:rFonts w:ascii="宋体" w:hAnsi="宋体" w:hint="eastAsia"/>
          <w:color w:val="FF0000"/>
          <w:szCs w:val="21"/>
          <w:highlight w:val="none"/>
        </w:rPr>
      </w:pPr>
      <w:r>
        <w:rPr>
          <w:rFonts w:ascii="宋体" w:eastAsia="黑体" w:hAnsi="宋体" w:hint="eastAsia"/>
          <w:b/>
          <w:bCs/>
          <w:color w:val="FF0000"/>
          <w:kern w:val="44"/>
          <w:sz w:val="28"/>
          <w:szCs w:val="44"/>
          <w:highlight w:val="none"/>
        </w:rPr>
        <w:t>特别警示条款</w:t>
      </w:r>
    </w:p>
    <w:p>
      <w:pPr>
        <w:pBdr>
          <w:top w:val="nil"/>
          <w:left w:val="nil"/>
          <w:bottom w:val="nil"/>
          <w:right w:val="nil"/>
        </w:pBdr>
        <w:spacing w:after="240" w:afterLines="100" w:line="400" w:lineRule="exact"/>
        <w:ind w:firstLine="420" w:firstLineChars="200"/>
        <w:rPr>
          <w:rFonts w:ascii="宋体" w:hAnsi="宋体" w:cs="宋体" w:hint="eastAsia"/>
          <w:b/>
          <w:bCs/>
          <w:color w:val="FF0000"/>
          <w:szCs w:val="21"/>
          <w:highlight w:val="none"/>
        </w:rPr>
      </w:pPr>
      <w:r>
        <w:rPr>
          <w:rFonts w:ascii="宋体" w:hAnsi="宋体" w:cs="宋体" w:hint="eastAsia"/>
          <w:b/>
          <w:bCs/>
          <w:color w:val="FF0000"/>
          <w:szCs w:val="21"/>
          <w:highlight w:val="none"/>
        </w:rPr>
        <w:t>参与本项目政府采购活动的供应商应认真阅读以下特别警示条款，不得存在以下所列禁止情形，一旦发现，将被处以记入供应商诚信档案、罚款、取消参与政府采购资格、吊销营业执照等处罚；构成犯罪的，依法追究刑事责任。</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11"/>
        <w:gridCol w:w="771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60"/>
        </w:trPr>
        <w:tc>
          <w:tcPr>
            <w:tcW w:w="811" w:type="dxa"/>
            <w:tcBorders>
              <w:tl2br w:val="nil"/>
              <w:tr2bl w:val="nil"/>
            </w:tcBorders>
            <w:vAlign w:val="center"/>
          </w:tcPr>
          <w:p>
            <w:pPr>
              <w:pBdr>
                <w:top w:val="nil"/>
                <w:left w:val="nil"/>
                <w:bottom w:val="nil"/>
                <w:right w:val="nil"/>
              </w:pBdr>
              <w:spacing w:line="400" w:lineRule="exact"/>
              <w:jc w:val="center"/>
              <w:rPr>
                <w:rFonts w:ascii="宋体" w:hAnsi="宋体" w:cs="宋体" w:hint="eastAsia"/>
                <w:color w:val="FF0000"/>
                <w:szCs w:val="21"/>
                <w:highlight w:val="none"/>
              </w:rPr>
            </w:pPr>
            <w:r>
              <w:rPr>
                <w:rFonts w:ascii="宋体" w:hAnsi="宋体" w:cs="宋体" w:hint="eastAsia"/>
                <w:color w:val="FF0000"/>
                <w:szCs w:val="21"/>
                <w:highlight w:val="none"/>
              </w:rPr>
              <w:t>序号</w:t>
            </w:r>
          </w:p>
        </w:tc>
        <w:tc>
          <w:tcPr>
            <w:tcW w:w="7711" w:type="dxa"/>
            <w:tcBorders>
              <w:tl2br w:val="nil"/>
              <w:tr2bl w:val="nil"/>
            </w:tcBorders>
            <w:vAlign w:val="center"/>
          </w:tcPr>
          <w:p>
            <w:pPr>
              <w:pBdr>
                <w:top w:val="nil"/>
                <w:left w:val="nil"/>
                <w:bottom w:val="nil"/>
                <w:right w:val="nil"/>
              </w:pBdr>
              <w:spacing w:line="400" w:lineRule="exact"/>
              <w:jc w:val="center"/>
              <w:rPr>
                <w:rFonts w:ascii="宋体" w:hAnsi="宋体" w:cs="宋体" w:hint="eastAsia"/>
                <w:color w:val="FF0000"/>
                <w:szCs w:val="21"/>
                <w:highlight w:val="none"/>
              </w:rPr>
            </w:pPr>
            <w:r>
              <w:rPr>
                <w:rFonts w:ascii="宋体" w:hAnsi="宋体" w:cs="宋体" w:hint="eastAsia"/>
                <w:b/>
                <w:bCs/>
                <w:color w:val="FF0000"/>
                <w:szCs w:val="21"/>
                <w:highlight w:val="none"/>
              </w:rPr>
              <w:t>供应商参与投标禁止情形</w:t>
            </w:r>
          </w:p>
        </w:tc>
      </w:tr>
      <w:tr>
        <w:tblPrEx>
          <w:tblW w:w="0" w:type="auto"/>
          <w:tblInd w:w="0" w:type="dxa"/>
          <w:tblCellMar>
            <w:top w:w="0" w:type="dxa"/>
            <w:left w:w="108" w:type="dxa"/>
            <w:bottom w:w="0" w:type="dxa"/>
            <w:right w:w="108" w:type="dxa"/>
          </w:tblCellMar>
        </w:tblPrEx>
        <w:trPr>
          <w:trHeight w:val="90"/>
        </w:trPr>
        <w:tc>
          <w:tcPr>
            <w:tcW w:w="811" w:type="dxa"/>
            <w:tcBorders>
              <w:tl2br w:val="nil"/>
              <w:tr2bl w:val="nil"/>
            </w:tcBorders>
            <w:vAlign w:val="center"/>
          </w:tcPr>
          <w:p>
            <w:pPr>
              <w:pBdr>
                <w:top w:val="nil"/>
                <w:left w:val="nil"/>
                <w:bottom w:val="nil"/>
                <w:right w:val="nil"/>
              </w:pBdr>
              <w:spacing w:line="400" w:lineRule="exact"/>
              <w:jc w:val="center"/>
              <w:rPr>
                <w:rFonts w:ascii="宋体" w:hAnsi="宋体" w:cs="宋体" w:hint="eastAsia"/>
                <w:color w:val="FF0000"/>
                <w:szCs w:val="21"/>
                <w:highlight w:val="none"/>
              </w:rPr>
            </w:pPr>
            <w:r>
              <w:rPr>
                <w:rFonts w:ascii="宋体" w:hAnsi="宋体" w:cs="宋体" w:hint="eastAsia"/>
                <w:color w:val="FF0000"/>
                <w:szCs w:val="21"/>
                <w:highlight w:val="none"/>
              </w:rPr>
              <w:t>1</w:t>
            </w:r>
          </w:p>
        </w:tc>
        <w:tc>
          <w:tcPr>
            <w:tcW w:w="7711" w:type="dxa"/>
            <w:tcBorders>
              <w:tl2br w:val="nil"/>
              <w:tr2bl w:val="nil"/>
            </w:tcBorders>
            <w:vAlign w:val="center"/>
          </w:tcPr>
          <w:p>
            <w:pPr>
              <w:pBdr>
                <w:top w:val="nil"/>
                <w:left w:val="nil"/>
                <w:bottom w:val="nil"/>
                <w:right w:val="nil"/>
              </w:pBdr>
              <w:spacing w:line="400" w:lineRule="exact"/>
              <w:jc w:val="left"/>
              <w:rPr>
                <w:rFonts w:ascii="宋体" w:hAnsi="宋体" w:cs="宋体" w:hint="eastAsia"/>
                <w:color w:val="FF0000"/>
                <w:szCs w:val="21"/>
                <w:highlight w:val="none"/>
              </w:rPr>
            </w:pPr>
            <w:r>
              <w:rPr>
                <w:rFonts w:ascii="宋体" w:hAnsi="宋体" w:cs="宋体" w:hint="eastAsia"/>
                <w:color w:val="FF0000"/>
                <w:szCs w:val="21"/>
                <w:highlight w:val="none"/>
              </w:rPr>
              <w:t>与其他投标供应商的法定代表人、主要经营负责人、投标授权代表人、项目负责人、主要技术人员为</w:t>
            </w:r>
            <w:r>
              <w:rPr>
                <w:rFonts w:ascii="宋体" w:hAnsi="宋体" w:cs="宋体" w:hint="eastAsia"/>
                <w:b/>
                <w:bCs/>
                <w:color w:val="FF0000"/>
                <w:szCs w:val="21"/>
                <w:highlight w:val="none"/>
              </w:rPr>
              <w:t>同一人、属同一单位或者在同一单位缴纳社会保险</w:t>
            </w:r>
            <w:r>
              <w:rPr>
                <w:rFonts w:ascii="宋体" w:hAnsi="宋体" w:cs="宋体" w:hint="eastAsia"/>
                <w:color w:val="FF0000"/>
                <w:szCs w:val="21"/>
                <w:highlight w:val="none"/>
              </w:rPr>
              <w:t>。</w:t>
            </w:r>
          </w:p>
        </w:tc>
      </w:tr>
      <w:tr>
        <w:tblPrEx>
          <w:tblW w:w="0" w:type="auto"/>
          <w:tblInd w:w="0" w:type="dxa"/>
          <w:tblCellMar>
            <w:top w:w="0" w:type="dxa"/>
            <w:left w:w="108" w:type="dxa"/>
            <w:bottom w:w="0" w:type="dxa"/>
            <w:right w:w="108" w:type="dxa"/>
          </w:tblCellMar>
        </w:tblPrEx>
        <w:trPr>
          <w:trHeight w:val="90"/>
        </w:trPr>
        <w:tc>
          <w:tcPr>
            <w:tcW w:w="811" w:type="dxa"/>
            <w:tcBorders>
              <w:tl2br w:val="nil"/>
              <w:tr2bl w:val="nil"/>
            </w:tcBorders>
            <w:vAlign w:val="center"/>
          </w:tcPr>
          <w:p>
            <w:pPr>
              <w:pBdr>
                <w:top w:val="nil"/>
                <w:left w:val="nil"/>
                <w:bottom w:val="nil"/>
                <w:right w:val="nil"/>
              </w:pBdr>
              <w:spacing w:line="400" w:lineRule="exact"/>
              <w:jc w:val="center"/>
              <w:rPr>
                <w:rFonts w:ascii="宋体" w:hAnsi="宋体" w:cs="宋体" w:hint="eastAsia"/>
                <w:color w:val="FF0000"/>
                <w:szCs w:val="21"/>
                <w:highlight w:val="none"/>
              </w:rPr>
            </w:pPr>
            <w:r>
              <w:rPr>
                <w:rFonts w:ascii="宋体" w:hAnsi="宋体" w:cs="宋体" w:hint="eastAsia"/>
                <w:color w:val="FF0000"/>
                <w:szCs w:val="21"/>
                <w:highlight w:val="none"/>
              </w:rPr>
              <w:t>2</w:t>
            </w:r>
          </w:p>
        </w:tc>
        <w:tc>
          <w:tcPr>
            <w:tcW w:w="7711" w:type="dxa"/>
            <w:tcBorders>
              <w:tl2br w:val="nil"/>
              <w:tr2bl w:val="nil"/>
            </w:tcBorders>
            <w:vAlign w:val="center"/>
          </w:tcPr>
          <w:p>
            <w:pPr>
              <w:pBdr>
                <w:top w:val="nil"/>
                <w:left w:val="nil"/>
                <w:bottom w:val="nil"/>
                <w:right w:val="nil"/>
              </w:pBdr>
              <w:spacing w:line="400" w:lineRule="exact"/>
              <w:jc w:val="left"/>
              <w:rPr>
                <w:rFonts w:ascii="宋体" w:hAnsi="宋体" w:cs="宋体" w:hint="eastAsia"/>
                <w:color w:val="FF0000"/>
                <w:szCs w:val="21"/>
                <w:highlight w:val="none"/>
              </w:rPr>
            </w:pPr>
            <w:r>
              <w:rPr>
                <w:rFonts w:ascii="宋体" w:hAnsi="宋体" w:cs="宋体" w:hint="eastAsia"/>
                <w:color w:val="FF0000"/>
                <w:szCs w:val="21"/>
                <w:highlight w:val="none"/>
              </w:rPr>
              <w:t>参与本项目政府采购活动时，与其他投标供应商存在单位负责人为</w:t>
            </w:r>
            <w:r>
              <w:rPr>
                <w:rFonts w:ascii="宋体" w:hAnsi="宋体" w:cs="宋体" w:hint="eastAsia"/>
                <w:b/>
                <w:bCs/>
                <w:color w:val="FF0000"/>
                <w:szCs w:val="21"/>
                <w:highlight w:val="none"/>
              </w:rPr>
              <w:t>同一人或直接控股、管理关系</w:t>
            </w:r>
            <w:r>
              <w:rPr>
                <w:rFonts w:ascii="宋体" w:hAnsi="宋体" w:cs="宋体" w:hint="eastAsia"/>
                <w:color w:val="FF0000"/>
                <w:szCs w:val="21"/>
                <w:highlight w:val="none"/>
              </w:rPr>
              <w:t>。</w:t>
            </w:r>
          </w:p>
        </w:tc>
      </w:tr>
      <w:tr>
        <w:tblPrEx>
          <w:tblW w:w="0" w:type="auto"/>
          <w:tblInd w:w="0" w:type="dxa"/>
          <w:tblCellMar>
            <w:top w:w="0" w:type="dxa"/>
            <w:left w:w="108" w:type="dxa"/>
            <w:bottom w:w="0" w:type="dxa"/>
            <w:right w:w="108" w:type="dxa"/>
          </w:tblCellMar>
        </w:tblPrEx>
        <w:tc>
          <w:tcPr>
            <w:tcW w:w="811" w:type="dxa"/>
            <w:tcBorders>
              <w:tl2br w:val="nil"/>
              <w:tr2bl w:val="nil"/>
            </w:tcBorders>
            <w:vAlign w:val="center"/>
          </w:tcPr>
          <w:p>
            <w:pPr>
              <w:pBdr>
                <w:top w:val="nil"/>
                <w:left w:val="nil"/>
                <w:bottom w:val="nil"/>
                <w:right w:val="nil"/>
              </w:pBdr>
              <w:spacing w:line="400" w:lineRule="exact"/>
              <w:jc w:val="center"/>
              <w:rPr>
                <w:rFonts w:ascii="宋体" w:hAnsi="宋体" w:cs="宋体" w:hint="eastAsia"/>
                <w:color w:val="FF0000"/>
                <w:szCs w:val="21"/>
                <w:highlight w:val="none"/>
              </w:rPr>
            </w:pPr>
            <w:r>
              <w:rPr>
                <w:rFonts w:ascii="宋体" w:hAnsi="宋体" w:cs="宋体" w:hint="eastAsia"/>
                <w:color w:val="FF0000"/>
                <w:szCs w:val="21"/>
                <w:highlight w:val="none"/>
              </w:rPr>
              <w:t>3</w:t>
            </w:r>
          </w:p>
        </w:tc>
        <w:tc>
          <w:tcPr>
            <w:tcW w:w="7711" w:type="dxa"/>
            <w:tcBorders>
              <w:tl2br w:val="nil"/>
              <w:tr2bl w:val="nil"/>
            </w:tcBorders>
            <w:vAlign w:val="center"/>
          </w:tcPr>
          <w:p>
            <w:pPr>
              <w:pBdr>
                <w:top w:val="nil"/>
                <w:left w:val="nil"/>
                <w:bottom w:val="nil"/>
                <w:right w:val="nil"/>
              </w:pBdr>
              <w:spacing w:line="400" w:lineRule="exact"/>
              <w:jc w:val="left"/>
              <w:rPr>
                <w:rFonts w:ascii="宋体" w:hAnsi="宋体" w:cs="宋体" w:hint="eastAsia"/>
                <w:color w:val="FF0000"/>
                <w:szCs w:val="21"/>
                <w:highlight w:val="none"/>
              </w:rPr>
            </w:pPr>
            <w:r>
              <w:rPr>
                <w:rFonts w:ascii="宋体" w:hAnsi="宋体" w:cs="宋体" w:hint="eastAsia"/>
                <w:color w:val="FF0000"/>
                <w:szCs w:val="21"/>
                <w:highlight w:val="none"/>
              </w:rPr>
              <w:t>与其他投标供应商的投标文件或部分投标文件</w:t>
            </w:r>
            <w:r>
              <w:rPr>
                <w:rFonts w:ascii="宋体" w:hAnsi="宋体" w:cs="宋体" w:hint="eastAsia"/>
                <w:b/>
                <w:bCs/>
                <w:color w:val="FF0000"/>
                <w:szCs w:val="21"/>
                <w:highlight w:val="none"/>
              </w:rPr>
              <w:t>相互混装或存在非正常一致</w:t>
            </w:r>
            <w:r>
              <w:rPr>
                <w:rFonts w:ascii="宋体" w:hAnsi="宋体" w:cs="宋体" w:hint="eastAsia"/>
                <w:color w:val="FF0000"/>
                <w:szCs w:val="21"/>
                <w:highlight w:val="none"/>
              </w:rPr>
              <w:t>。</w:t>
            </w:r>
          </w:p>
        </w:tc>
      </w:tr>
      <w:tr>
        <w:tblPrEx>
          <w:tblW w:w="0" w:type="auto"/>
          <w:tblInd w:w="0" w:type="dxa"/>
          <w:tblCellMar>
            <w:top w:w="0" w:type="dxa"/>
            <w:left w:w="108" w:type="dxa"/>
            <w:bottom w:w="0" w:type="dxa"/>
            <w:right w:w="108" w:type="dxa"/>
          </w:tblCellMar>
        </w:tblPrEx>
        <w:trPr>
          <w:trHeight w:val="90"/>
        </w:trPr>
        <w:tc>
          <w:tcPr>
            <w:tcW w:w="811" w:type="dxa"/>
            <w:tcBorders>
              <w:tl2br w:val="nil"/>
              <w:tr2bl w:val="nil"/>
            </w:tcBorders>
            <w:vAlign w:val="center"/>
          </w:tcPr>
          <w:p>
            <w:pPr>
              <w:pBdr>
                <w:top w:val="nil"/>
                <w:left w:val="nil"/>
                <w:bottom w:val="nil"/>
                <w:right w:val="nil"/>
              </w:pBdr>
              <w:spacing w:line="400" w:lineRule="exact"/>
              <w:jc w:val="center"/>
              <w:rPr>
                <w:rFonts w:ascii="宋体" w:hAnsi="宋体" w:cs="宋体" w:hint="eastAsia"/>
                <w:color w:val="FF0000"/>
                <w:szCs w:val="21"/>
                <w:highlight w:val="none"/>
              </w:rPr>
            </w:pPr>
            <w:r>
              <w:rPr>
                <w:rFonts w:ascii="宋体" w:hAnsi="宋体" w:cs="宋体" w:hint="eastAsia"/>
                <w:color w:val="FF0000"/>
                <w:szCs w:val="21"/>
                <w:highlight w:val="none"/>
              </w:rPr>
              <w:t>4</w:t>
            </w:r>
          </w:p>
        </w:tc>
        <w:tc>
          <w:tcPr>
            <w:tcW w:w="7711" w:type="dxa"/>
            <w:tcBorders>
              <w:tl2br w:val="nil"/>
              <w:tr2bl w:val="nil"/>
            </w:tcBorders>
            <w:vAlign w:val="center"/>
          </w:tcPr>
          <w:p>
            <w:pPr>
              <w:pBdr>
                <w:top w:val="nil"/>
                <w:left w:val="nil"/>
                <w:bottom w:val="nil"/>
                <w:right w:val="nil"/>
              </w:pBdr>
              <w:spacing w:line="400" w:lineRule="exact"/>
              <w:jc w:val="left"/>
              <w:rPr>
                <w:rFonts w:ascii="宋体" w:hAnsi="宋体" w:cs="宋体" w:hint="eastAsia"/>
                <w:color w:val="FF0000"/>
                <w:szCs w:val="21"/>
                <w:highlight w:val="none"/>
              </w:rPr>
            </w:pPr>
            <w:r>
              <w:rPr>
                <w:rFonts w:ascii="宋体" w:hAnsi="宋体" w:cs="宋体" w:hint="eastAsia"/>
                <w:color w:val="FF0000"/>
                <w:szCs w:val="21"/>
                <w:highlight w:val="none"/>
              </w:rPr>
              <w:t>与其他投标供应商的投标文件由</w:t>
            </w:r>
            <w:r>
              <w:rPr>
                <w:rFonts w:ascii="宋体" w:hAnsi="宋体" w:cs="宋体" w:hint="eastAsia"/>
                <w:b/>
                <w:bCs/>
                <w:color w:val="FF0000"/>
                <w:szCs w:val="21"/>
                <w:highlight w:val="none"/>
              </w:rPr>
              <w:t>同一单位或者同一人编制</w:t>
            </w:r>
            <w:r>
              <w:rPr>
                <w:rFonts w:ascii="宋体" w:hAnsi="宋体" w:cs="宋体" w:hint="eastAsia"/>
                <w:color w:val="FF0000"/>
                <w:szCs w:val="21"/>
                <w:highlight w:val="none"/>
              </w:rPr>
              <w:t>，或者使用</w:t>
            </w:r>
            <w:r>
              <w:rPr>
                <w:rFonts w:ascii="宋体" w:hAnsi="宋体" w:cs="宋体" w:hint="eastAsia"/>
                <w:b/>
                <w:bCs/>
                <w:color w:val="FF0000"/>
                <w:szCs w:val="21"/>
                <w:highlight w:val="none"/>
              </w:rPr>
              <w:t>同一设备编制</w:t>
            </w:r>
            <w:r>
              <w:rPr>
                <w:rFonts w:ascii="宋体" w:hAnsi="宋体" w:cs="宋体" w:hint="eastAsia"/>
                <w:color w:val="FF0000"/>
                <w:szCs w:val="21"/>
                <w:highlight w:val="none"/>
              </w:rPr>
              <w:t>（“文件制作机器码”“文件创建标识码”一致）。</w:t>
            </w:r>
          </w:p>
        </w:tc>
      </w:tr>
      <w:tr>
        <w:tblPrEx>
          <w:tblW w:w="0" w:type="auto"/>
          <w:tblInd w:w="0" w:type="dxa"/>
          <w:tblCellMar>
            <w:top w:w="0" w:type="dxa"/>
            <w:left w:w="108" w:type="dxa"/>
            <w:bottom w:w="0" w:type="dxa"/>
            <w:right w:w="108" w:type="dxa"/>
          </w:tblCellMar>
        </w:tblPrEx>
        <w:trPr>
          <w:trHeight w:val="90"/>
        </w:trPr>
        <w:tc>
          <w:tcPr>
            <w:tcW w:w="811" w:type="dxa"/>
            <w:tcBorders>
              <w:tl2br w:val="nil"/>
              <w:tr2bl w:val="nil"/>
            </w:tcBorders>
            <w:vAlign w:val="center"/>
          </w:tcPr>
          <w:p>
            <w:pPr>
              <w:pBdr>
                <w:top w:val="nil"/>
                <w:left w:val="nil"/>
                <w:bottom w:val="nil"/>
                <w:right w:val="nil"/>
              </w:pBdr>
              <w:spacing w:line="400" w:lineRule="exact"/>
              <w:jc w:val="center"/>
              <w:rPr>
                <w:rFonts w:ascii="宋体" w:hAnsi="宋体" w:cs="宋体" w:hint="eastAsia"/>
                <w:color w:val="FF0000"/>
                <w:szCs w:val="21"/>
                <w:highlight w:val="none"/>
              </w:rPr>
            </w:pPr>
            <w:r>
              <w:rPr>
                <w:rFonts w:ascii="宋体" w:hAnsi="宋体" w:cs="宋体" w:hint="eastAsia"/>
                <w:color w:val="FF0000"/>
                <w:szCs w:val="21"/>
                <w:highlight w:val="none"/>
              </w:rPr>
              <w:t>5</w:t>
            </w:r>
          </w:p>
        </w:tc>
        <w:tc>
          <w:tcPr>
            <w:tcW w:w="7711" w:type="dxa"/>
            <w:tcBorders>
              <w:tl2br w:val="nil"/>
              <w:tr2bl w:val="nil"/>
            </w:tcBorders>
            <w:vAlign w:val="center"/>
          </w:tcPr>
          <w:p>
            <w:pPr>
              <w:pBdr>
                <w:top w:val="nil"/>
                <w:left w:val="nil"/>
                <w:bottom w:val="nil"/>
                <w:right w:val="nil"/>
              </w:pBdr>
              <w:spacing w:line="400" w:lineRule="exact"/>
              <w:jc w:val="left"/>
              <w:rPr>
                <w:rFonts w:ascii="宋体" w:hAnsi="宋体" w:cs="宋体" w:hint="eastAsia"/>
                <w:color w:val="FF0000"/>
                <w:szCs w:val="21"/>
                <w:highlight w:val="none"/>
              </w:rPr>
            </w:pPr>
            <w:r>
              <w:rPr>
                <w:rFonts w:ascii="宋体" w:hAnsi="宋体" w:cs="宋体" w:hint="eastAsia"/>
                <w:color w:val="FF0000"/>
                <w:szCs w:val="21"/>
                <w:highlight w:val="none"/>
              </w:rPr>
              <w:t>提供</w:t>
            </w:r>
            <w:r>
              <w:rPr>
                <w:rFonts w:ascii="宋体" w:hAnsi="宋体" w:cs="宋体" w:hint="eastAsia"/>
                <w:b/>
                <w:bCs/>
                <w:color w:val="FF0000"/>
                <w:szCs w:val="21"/>
                <w:highlight w:val="none"/>
              </w:rPr>
              <w:t>未经出具机构核实</w:t>
            </w:r>
            <w:r>
              <w:rPr>
                <w:rFonts w:ascii="宋体" w:hAnsi="宋体" w:cs="宋体" w:hint="eastAsia"/>
                <w:color w:val="FF0000"/>
                <w:szCs w:val="21"/>
                <w:highlight w:val="none"/>
              </w:rPr>
              <w:t>的虚假的检验检测报告、业绩材料、社保缴纳证明、学历学位证书、职称认证证书等材料。</w:t>
            </w:r>
          </w:p>
        </w:tc>
      </w:tr>
      <w:tr>
        <w:tblPrEx>
          <w:tblW w:w="0" w:type="auto"/>
          <w:tblInd w:w="0" w:type="dxa"/>
          <w:tblCellMar>
            <w:top w:w="0" w:type="dxa"/>
            <w:left w:w="108" w:type="dxa"/>
            <w:bottom w:w="0" w:type="dxa"/>
            <w:right w:w="108" w:type="dxa"/>
          </w:tblCellMar>
        </w:tblPrEx>
        <w:trPr>
          <w:trHeight w:val="90"/>
        </w:trPr>
        <w:tc>
          <w:tcPr>
            <w:tcW w:w="811" w:type="dxa"/>
            <w:tcBorders>
              <w:tl2br w:val="nil"/>
              <w:tr2bl w:val="nil"/>
            </w:tcBorders>
            <w:vAlign w:val="center"/>
          </w:tcPr>
          <w:p>
            <w:pPr>
              <w:pBdr>
                <w:top w:val="nil"/>
                <w:left w:val="nil"/>
                <w:bottom w:val="nil"/>
                <w:right w:val="nil"/>
              </w:pBdr>
              <w:spacing w:line="400" w:lineRule="exact"/>
              <w:jc w:val="center"/>
              <w:rPr>
                <w:rFonts w:ascii="宋体" w:hAnsi="宋体" w:cs="宋体" w:hint="eastAsia"/>
                <w:color w:val="FF0000"/>
                <w:szCs w:val="21"/>
                <w:highlight w:val="none"/>
              </w:rPr>
            </w:pPr>
            <w:r>
              <w:rPr>
                <w:rFonts w:ascii="宋体" w:hAnsi="宋体" w:cs="宋体" w:hint="eastAsia"/>
                <w:color w:val="FF0000"/>
                <w:szCs w:val="21"/>
                <w:highlight w:val="none"/>
              </w:rPr>
              <w:t>6</w:t>
            </w:r>
          </w:p>
        </w:tc>
        <w:tc>
          <w:tcPr>
            <w:tcW w:w="7711" w:type="dxa"/>
            <w:tcBorders>
              <w:tl2br w:val="nil"/>
              <w:tr2bl w:val="nil"/>
            </w:tcBorders>
            <w:vAlign w:val="center"/>
          </w:tcPr>
          <w:p>
            <w:pPr>
              <w:pBdr>
                <w:top w:val="nil"/>
                <w:left w:val="nil"/>
                <w:bottom w:val="nil"/>
                <w:right w:val="nil"/>
              </w:pBdr>
              <w:spacing w:line="400" w:lineRule="exact"/>
              <w:jc w:val="left"/>
              <w:rPr>
                <w:rFonts w:ascii="宋体" w:hAnsi="宋体" w:cs="宋体" w:hint="eastAsia"/>
                <w:color w:val="FF0000"/>
                <w:szCs w:val="21"/>
                <w:highlight w:val="none"/>
              </w:rPr>
            </w:pPr>
            <w:r>
              <w:rPr>
                <w:rFonts w:ascii="宋体" w:hAnsi="宋体" w:cs="宋体" w:hint="eastAsia"/>
                <w:color w:val="FF0000"/>
                <w:szCs w:val="21"/>
                <w:highlight w:val="none"/>
              </w:rPr>
              <w:t>擅自将投标密钥或电子营业执照出借他人使用或未妥善保管。</w:t>
            </w:r>
          </w:p>
        </w:tc>
      </w:tr>
    </w:tbl>
    <w:p>
      <w:pPr>
        <w:pBdr>
          <w:top w:val="nil"/>
          <w:left w:val="nil"/>
          <w:bottom w:val="nil"/>
          <w:right w:val="nil"/>
        </w:pBdr>
        <w:ind w:firstLine="420" w:firstLineChars="200"/>
        <w:rPr>
          <w:rFonts w:ascii="宋体" w:hAnsi="宋体" w:hint="eastAsia"/>
          <w:color w:val="FF0000"/>
          <w:sz w:val="20"/>
          <w:szCs w:val="20"/>
          <w:highlight w:val="none"/>
        </w:rPr>
      </w:pPr>
    </w:p>
    <w:p>
      <w:pPr>
        <w:pBdr>
          <w:top w:val="nil"/>
          <w:left w:val="nil"/>
          <w:bottom w:val="nil"/>
          <w:right w:val="nil"/>
        </w:pBdr>
        <w:ind w:firstLine="420" w:firstLineChars="200"/>
        <w:rPr>
          <w:rFonts w:ascii="宋体" w:hAnsi="宋体" w:hint="eastAsia"/>
          <w:color w:val="FF0000"/>
          <w:sz w:val="20"/>
          <w:szCs w:val="20"/>
          <w:highlight w:val="none"/>
        </w:rPr>
      </w:pPr>
      <w:r>
        <w:rPr>
          <w:rFonts w:ascii="宋体" w:hAnsi="宋体" w:hint="eastAsia"/>
          <w:color w:val="FF0000"/>
          <w:sz w:val="20"/>
          <w:szCs w:val="20"/>
          <w:highlight w:val="none"/>
        </w:rPr>
        <w:t>一、</w:t>
      </w:r>
      <w:r>
        <w:rPr>
          <w:rFonts w:ascii="宋体" w:hAnsi="宋体" w:hint="eastAsia"/>
          <w:b/>
          <w:bCs/>
          <w:color w:val="FF0000"/>
          <w:sz w:val="20"/>
          <w:szCs w:val="20"/>
          <w:highlight w:val="none"/>
        </w:rPr>
        <w:t>《深圳经济特区政府采购条例》第五十七条</w:t>
      </w:r>
      <w:r>
        <w:rPr>
          <w:rFonts w:ascii="宋体" w:hAnsi="宋体" w:hint="eastAsia"/>
          <w:color w:val="FF0000"/>
          <w:sz w:val="20"/>
          <w:szCs w:val="20"/>
          <w:highlight w:val="none"/>
        </w:rPr>
        <w:t xml:space="preserve"> 供应商在政府采购中，有下列行为之一的，一至三年内禁止其参与本市政府采购，并由主管部门记入供应商诚信档案，处采购金额千分之十以上千分之二十以下的罚款；情节严重的，取消其参与本市政府采购资格，处采购金额千分之二十以上千分之三十以下的罚款，并由市场监管部门依法吊销其营业执照；给他人造成损失的，依法承担赔偿责任；构成犯罪的，依法追究刑事责任：</w:t>
      </w:r>
    </w:p>
    <w:p>
      <w:pPr>
        <w:pBdr>
          <w:top w:val="nil"/>
          <w:left w:val="nil"/>
          <w:bottom w:val="nil"/>
          <w:right w:val="nil"/>
        </w:pBdr>
        <w:ind w:firstLine="420" w:firstLineChars="200"/>
        <w:rPr>
          <w:rFonts w:ascii="宋体" w:hAnsi="宋体" w:hint="eastAsia"/>
          <w:color w:val="FF0000"/>
          <w:sz w:val="20"/>
          <w:szCs w:val="20"/>
          <w:highlight w:val="none"/>
        </w:rPr>
      </w:pPr>
      <w:r>
        <w:rPr>
          <w:rFonts w:ascii="宋体" w:hAnsi="宋体" w:hint="eastAsia"/>
          <w:color w:val="FF0000"/>
          <w:sz w:val="20"/>
          <w:szCs w:val="20"/>
          <w:highlight w:val="none"/>
        </w:rPr>
        <w:t>（一）在采购活动中应当回避而未回避的；</w:t>
      </w:r>
    </w:p>
    <w:p>
      <w:pPr>
        <w:pBdr>
          <w:top w:val="nil"/>
          <w:left w:val="nil"/>
          <w:bottom w:val="nil"/>
          <w:right w:val="nil"/>
        </w:pBdr>
        <w:ind w:firstLine="420" w:firstLineChars="200"/>
        <w:rPr>
          <w:rFonts w:ascii="宋体" w:hAnsi="宋体" w:hint="eastAsia"/>
          <w:color w:val="FF0000"/>
          <w:sz w:val="20"/>
          <w:szCs w:val="20"/>
          <w:highlight w:val="none"/>
        </w:rPr>
      </w:pPr>
      <w:r>
        <w:rPr>
          <w:rFonts w:ascii="宋体" w:hAnsi="宋体" w:hint="eastAsia"/>
          <w:color w:val="FF0000"/>
          <w:sz w:val="20"/>
          <w:szCs w:val="20"/>
          <w:highlight w:val="none"/>
        </w:rPr>
        <w:t>（二）未按本条例规定签订、履行采购合同，造成严重后果的；</w:t>
      </w:r>
    </w:p>
    <w:p>
      <w:pPr>
        <w:pBdr>
          <w:top w:val="nil"/>
          <w:left w:val="nil"/>
          <w:bottom w:val="nil"/>
          <w:right w:val="nil"/>
        </w:pBdr>
        <w:ind w:firstLine="420" w:firstLineChars="200"/>
        <w:rPr>
          <w:rFonts w:ascii="宋体" w:hAnsi="宋体" w:hint="eastAsia"/>
          <w:color w:val="FF0000"/>
          <w:sz w:val="20"/>
          <w:szCs w:val="20"/>
          <w:highlight w:val="none"/>
        </w:rPr>
      </w:pPr>
      <w:r>
        <w:rPr>
          <w:rFonts w:ascii="宋体" w:hAnsi="宋体" w:hint="eastAsia"/>
          <w:color w:val="FF0000"/>
          <w:sz w:val="20"/>
          <w:szCs w:val="20"/>
          <w:highlight w:val="none"/>
        </w:rPr>
        <w:t>（三）隐瞒真实情况，提供虚假资料的；</w:t>
      </w:r>
    </w:p>
    <w:p>
      <w:pPr>
        <w:pBdr>
          <w:top w:val="nil"/>
          <w:left w:val="nil"/>
          <w:bottom w:val="nil"/>
          <w:right w:val="nil"/>
        </w:pBdr>
        <w:ind w:firstLine="420" w:firstLineChars="200"/>
        <w:rPr>
          <w:rFonts w:ascii="宋体" w:hAnsi="宋体" w:hint="eastAsia"/>
          <w:color w:val="FF0000"/>
          <w:sz w:val="20"/>
          <w:szCs w:val="20"/>
          <w:highlight w:val="none"/>
        </w:rPr>
      </w:pPr>
      <w:r>
        <w:rPr>
          <w:rFonts w:ascii="宋体" w:hAnsi="宋体" w:hint="eastAsia"/>
          <w:color w:val="FF0000"/>
          <w:sz w:val="20"/>
          <w:szCs w:val="20"/>
          <w:highlight w:val="none"/>
        </w:rPr>
        <w:t>（四）以非法手段排斥其他供应商参与竞争的；</w:t>
      </w:r>
    </w:p>
    <w:p>
      <w:pPr>
        <w:pBdr>
          <w:top w:val="nil"/>
          <w:left w:val="nil"/>
          <w:bottom w:val="nil"/>
          <w:right w:val="nil"/>
        </w:pBdr>
        <w:ind w:firstLine="420" w:firstLineChars="200"/>
        <w:rPr>
          <w:rFonts w:ascii="宋体" w:hAnsi="宋体" w:hint="eastAsia"/>
          <w:color w:val="FF0000"/>
          <w:sz w:val="20"/>
          <w:szCs w:val="20"/>
          <w:highlight w:val="none"/>
        </w:rPr>
      </w:pPr>
      <w:r>
        <w:rPr>
          <w:rFonts w:ascii="宋体" w:hAnsi="宋体" w:hint="eastAsia"/>
          <w:color w:val="FF0000"/>
          <w:sz w:val="20"/>
          <w:szCs w:val="20"/>
          <w:highlight w:val="none"/>
        </w:rPr>
        <w:t>（五）与其他采购参加人串通投标的；</w:t>
      </w:r>
    </w:p>
    <w:p>
      <w:pPr>
        <w:pBdr>
          <w:top w:val="nil"/>
          <w:left w:val="nil"/>
          <w:bottom w:val="nil"/>
          <w:right w:val="nil"/>
        </w:pBdr>
        <w:ind w:firstLine="420" w:firstLineChars="200"/>
        <w:rPr>
          <w:rFonts w:ascii="宋体" w:hAnsi="宋体" w:hint="eastAsia"/>
          <w:color w:val="FF0000"/>
          <w:sz w:val="20"/>
          <w:szCs w:val="20"/>
          <w:highlight w:val="none"/>
        </w:rPr>
      </w:pPr>
      <w:r>
        <w:rPr>
          <w:rFonts w:ascii="宋体" w:hAnsi="宋体" w:hint="eastAsia"/>
          <w:color w:val="FF0000"/>
          <w:sz w:val="20"/>
          <w:szCs w:val="20"/>
          <w:highlight w:val="none"/>
        </w:rPr>
        <w:t>（六）恶意投诉的；</w:t>
      </w:r>
    </w:p>
    <w:p>
      <w:pPr>
        <w:pBdr>
          <w:top w:val="nil"/>
          <w:left w:val="nil"/>
          <w:bottom w:val="nil"/>
          <w:right w:val="nil"/>
        </w:pBdr>
        <w:ind w:firstLine="420" w:firstLineChars="200"/>
        <w:rPr>
          <w:rFonts w:ascii="宋体" w:hAnsi="宋体" w:hint="eastAsia"/>
          <w:color w:val="FF0000"/>
          <w:sz w:val="20"/>
          <w:szCs w:val="20"/>
          <w:highlight w:val="none"/>
        </w:rPr>
      </w:pPr>
      <w:r>
        <w:rPr>
          <w:rFonts w:ascii="宋体" w:hAnsi="宋体" w:hint="eastAsia"/>
          <w:color w:val="FF0000"/>
          <w:sz w:val="20"/>
          <w:szCs w:val="20"/>
          <w:highlight w:val="none"/>
        </w:rPr>
        <w:t>（七）向采购项目相关人行贿或者提供其他不当利益的；</w:t>
      </w:r>
    </w:p>
    <w:p>
      <w:pPr>
        <w:pBdr>
          <w:top w:val="nil"/>
          <w:left w:val="nil"/>
          <w:bottom w:val="nil"/>
          <w:right w:val="nil"/>
        </w:pBdr>
        <w:ind w:firstLine="420" w:firstLineChars="200"/>
        <w:rPr>
          <w:rFonts w:ascii="宋体" w:hAnsi="宋体" w:hint="eastAsia"/>
          <w:color w:val="FF0000"/>
          <w:sz w:val="20"/>
          <w:szCs w:val="20"/>
          <w:highlight w:val="none"/>
        </w:rPr>
      </w:pPr>
      <w:r>
        <w:rPr>
          <w:rFonts w:ascii="宋体" w:hAnsi="宋体" w:hint="eastAsia"/>
          <w:color w:val="FF0000"/>
          <w:sz w:val="20"/>
          <w:szCs w:val="20"/>
          <w:highlight w:val="none"/>
        </w:rPr>
        <w:t>（八）阻碍、抗拒主管部门监督检查的；</w:t>
      </w:r>
    </w:p>
    <w:p>
      <w:pPr>
        <w:pBdr>
          <w:top w:val="nil"/>
          <w:left w:val="nil"/>
          <w:bottom w:val="nil"/>
          <w:right w:val="nil"/>
        </w:pBdr>
        <w:ind w:firstLine="420" w:firstLineChars="200"/>
        <w:rPr>
          <w:rFonts w:ascii="宋体" w:hAnsi="宋体" w:hint="eastAsia"/>
          <w:color w:val="FF0000"/>
          <w:sz w:val="20"/>
          <w:szCs w:val="20"/>
          <w:highlight w:val="none"/>
        </w:rPr>
      </w:pPr>
      <w:r>
        <w:rPr>
          <w:rFonts w:ascii="宋体" w:hAnsi="宋体" w:hint="eastAsia"/>
          <w:color w:val="FF0000"/>
          <w:sz w:val="20"/>
          <w:szCs w:val="20"/>
          <w:highlight w:val="none"/>
        </w:rPr>
        <w:t>（九）其他违反本条例规定的行为。</w:t>
      </w:r>
    </w:p>
    <w:p>
      <w:pPr>
        <w:pBdr>
          <w:top w:val="nil"/>
          <w:left w:val="nil"/>
          <w:bottom w:val="nil"/>
          <w:right w:val="nil"/>
        </w:pBdr>
        <w:ind w:firstLine="420" w:firstLineChars="200"/>
        <w:rPr>
          <w:rFonts w:ascii="宋体" w:hAnsi="宋体" w:hint="eastAsia"/>
          <w:color w:val="FF0000"/>
          <w:sz w:val="20"/>
          <w:szCs w:val="20"/>
          <w:highlight w:val="none"/>
        </w:rPr>
      </w:pPr>
      <w:r>
        <w:rPr>
          <w:rFonts w:ascii="宋体" w:hAnsi="宋体" w:hint="eastAsia"/>
          <w:b/>
          <w:bCs/>
          <w:color w:val="FF0000"/>
          <w:sz w:val="20"/>
          <w:szCs w:val="20"/>
          <w:highlight w:val="none"/>
        </w:rPr>
        <w:t xml:space="preserve">二、《深圳经济特区政府采购条例实施细则》第七十五条 </w:t>
      </w:r>
      <w:r>
        <w:rPr>
          <w:rFonts w:ascii="宋体" w:hAnsi="宋体" w:hint="eastAsia"/>
          <w:color w:val="FF0000"/>
          <w:sz w:val="20"/>
          <w:szCs w:val="20"/>
          <w:highlight w:val="none"/>
        </w:rPr>
        <w:t>供应商有下列情形之一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pBdr>
          <w:top w:val="nil"/>
          <w:left w:val="nil"/>
          <w:bottom w:val="nil"/>
          <w:right w:val="nil"/>
        </w:pBdr>
        <w:ind w:firstLine="420" w:firstLineChars="200"/>
        <w:rPr>
          <w:rFonts w:ascii="宋体" w:hAnsi="宋体" w:hint="eastAsia"/>
          <w:color w:val="FF0000"/>
          <w:sz w:val="20"/>
          <w:szCs w:val="20"/>
          <w:highlight w:val="none"/>
        </w:rPr>
      </w:pPr>
      <w:r>
        <w:rPr>
          <w:rFonts w:ascii="宋体" w:hAnsi="宋体" w:hint="eastAsia"/>
          <w:b/>
          <w:bCs/>
          <w:color w:val="FF0000"/>
          <w:sz w:val="20"/>
          <w:szCs w:val="20"/>
          <w:highlight w:val="none"/>
        </w:rPr>
        <w:t xml:space="preserve">三、《深圳经济特区政府采购条例实施细则》第七十七条 </w:t>
      </w:r>
      <w:r>
        <w:rPr>
          <w:rFonts w:ascii="宋体" w:hAnsi="宋体" w:hint="eastAsia"/>
          <w:color w:val="FF0000"/>
          <w:sz w:val="20"/>
          <w:szCs w:val="20"/>
          <w:highlight w:val="none"/>
        </w:rPr>
        <w:t>供应商有下列情形之一的，属于隐瞒真实情况，提供虚假资料，按照采购条例第五十七条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pBdr>
          <w:top w:val="nil"/>
          <w:left w:val="nil"/>
          <w:bottom w:val="nil"/>
          <w:right w:val="nil"/>
        </w:pBdr>
        <w:ind w:firstLine="420" w:firstLineChars="200"/>
        <w:rPr>
          <w:rFonts w:ascii="宋体" w:hAnsi="宋体" w:hint="eastAsia"/>
          <w:color w:val="FF0000"/>
          <w:sz w:val="20"/>
          <w:szCs w:val="20"/>
          <w:highlight w:val="none"/>
        </w:rPr>
      </w:pPr>
      <w:r>
        <w:rPr>
          <w:rFonts w:ascii="宋体" w:hAnsi="宋体" w:hint="eastAsia"/>
          <w:color w:val="FF0000"/>
          <w:sz w:val="20"/>
          <w:szCs w:val="20"/>
          <w:highlight w:val="none"/>
        </w:rPr>
        <w:t>投标供应商不能提供项目负责人或者主要技术人员的劳动合同、社会保险等劳动关系证明材料的，视为存在前款第（三）项规定的情形。</w:t>
      </w:r>
    </w:p>
    <w:p>
      <w:pPr>
        <w:pBdr>
          <w:top w:val="nil"/>
          <w:left w:val="nil"/>
          <w:bottom w:val="nil"/>
          <w:right w:val="nil"/>
        </w:pBdr>
        <w:ind w:firstLine="420" w:firstLineChars="200"/>
        <w:rPr>
          <w:bCs/>
          <w:color w:val="FF0000"/>
          <w:sz w:val="20"/>
          <w:szCs w:val="20"/>
          <w:highlight w:val="none"/>
        </w:rPr>
      </w:pPr>
      <w:r>
        <w:rPr>
          <w:rFonts w:hint="eastAsia"/>
          <w:bCs/>
          <w:color w:val="FF0000"/>
          <w:sz w:val="20"/>
          <w:szCs w:val="20"/>
          <w:highlight w:val="none"/>
        </w:rPr>
        <w:t>四、供应商在使用深圳政府采购智慧平台的投标文件制作工具创建投标文件时，该工具将自动在投标文件中记录文件创建标识码，同时提取投标文件制作电脑的网卡MAC地址、硬盘序列号、CPU序列号、主板序列号和工具标识号，经加密生成文件制作机器码并在投标文件中记录。文件制作机器码一致表明不同供应商使用了同一设备编制投标文件，文件创建标识码一致表明不同供应商的投标文件为同一份文件，IP地址一致表明上传投标文件时使用了相同的网络。</w:t>
      </w:r>
    </w:p>
    <w:p>
      <w:pPr>
        <w:pBdr>
          <w:top w:val="nil"/>
          <w:left w:val="nil"/>
          <w:bottom w:val="nil"/>
          <w:right w:val="nil"/>
        </w:pBdr>
        <w:ind w:firstLine="420" w:firstLineChars="200"/>
        <w:rPr>
          <w:bCs/>
          <w:color w:val="FF0000"/>
          <w:sz w:val="20"/>
          <w:szCs w:val="20"/>
          <w:highlight w:val="none"/>
        </w:rPr>
      </w:pPr>
      <w:r>
        <w:rPr>
          <w:rFonts w:hint="eastAsia"/>
          <w:bCs/>
          <w:color w:val="FF0000"/>
          <w:sz w:val="20"/>
          <w:szCs w:val="20"/>
          <w:highlight w:val="none"/>
        </w:rPr>
        <w:t>为避免出现不同供应商投标文件的文件制作机器码、文件创建标识码、IP地址一致的异常情况，建议各供应商编制、上传投标文件时不要使用公共电脑设备或公共网络。</w:t>
      </w:r>
    </w:p>
    <w:p>
      <w:pPr>
        <w:pBdr>
          <w:top w:val="nil"/>
          <w:left w:val="nil"/>
          <w:bottom w:val="nil"/>
          <w:right w:val="nil"/>
        </w:pBdr>
        <w:ind w:firstLine="420" w:firstLineChars="200"/>
        <w:rPr>
          <w:bCs/>
          <w:color w:val="FF0000"/>
          <w:sz w:val="20"/>
          <w:szCs w:val="20"/>
          <w:highlight w:val="none"/>
        </w:rPr>
      </w:pPr>
      <w:r>
        <w:rPr>
          <w:rFonts w:hint="eastAsia"/>
          <w:bCs/>
          <w:color w:val="FF0000"/>
          <w:sz w:val="20"/>
          <w:szCs w:val="20"/>
          <w:highlight w:val="none"/>
        </w:rPr>
        <w:t>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w:t>
      </w:r>
      <w:r>
        <w:rPr>
          <w:rFonts w:ascii="宋体" w:hAnsi="宋体" w:hint="eastAsia"/>
          <w:color w:val="FF0000"/>
          <w:sz w:val="20"/>
          <w:szCs w:val="20"/>
          <w:highlight w:val="none"/>
        </w:rPr>
        <w:t>取消参与本市政府采购资格</w:t>
      </w:r>
      <w:r>
        <w:rPr>
          <w:rFonts w:hAnsi="宋体" w:hint="eastAsia"/>
          <w:color w:val="FF0000"/>
          <w:sz w:val="20"/>
          <w:szCs w:val="20"/>
          <w:highlight w:val="none"/>
        </w:rPr>
        <w:t>、</w:t>
      </w:r>
      <w:r>
        <w:rPr>
          <w:rFonts w:ascii="宋体" w:hAnsi="宋体" w:hint="eastAsia"/>
          <w:color w:val="FF0000"/>
          <w:sz w:val="20"/>
          <w:szCs w:val="20"/>
          <w:highlight w:val="none"/>
        </w:rPr>
        <w:t>依法吊销其营业</w:t>
      </w:r>
      <w:r>
        <w:rPr>
          <w:rFonts w:hAnsi="宋体" w:hint="eastAsia"/>
          <w:color w:val="FF0000"/>
          <w:sz w:val="20"/>
          <w:szCs w:val="20"/>
          <w:highlight w:val="none"/>
        </w:rPr>
        <w:t>执照等行政处罚，</w:t>
      </w:r>
      <w:r>
        <w:rPr>
          <w:rFonts w:ascii="宋体" w:hAnsi="宋体" w:hint="eastAsia"/>
          <w:color w:val="FF0000"/>
          <w:sz w:val="20"/>
          <w:szCs w:val="20"/>
          <w:highlight w:val="none"/>
        </w:rPr>
        <w:t>构成犯罪的，依法追究刑事责任</w:t>
      </w:r>
      <w:r>
        <w:rPr>
          <w:rFonts w:hint="eastAsia"/>
          <w:bCs/>
          <w:color w:val="FF0000"/>
          <w:sz w:val="20"/>
          <w:szCs w:val="20"/>
          <w:highlight w:val="none"/>
        </w:rPr>
        <w:t>，请各供应商独立编制、上传投标文件，妥善保管和使用电子秘钥。</w:t>
      </w:r>
    </w:p>
    <w:p>
      <w:pPr>
        <w:pBdr>
          <w:top w:val="nil"/>
          <w:left w:val="nil"/>
          <w:bottom w:val="nil"/>
          <w:right w:val="nil"/>
        </w:pBdr>
        <w:ind w:firstLine="420" w:firstLineChars="200"/>
        <w:rPr>
          <w:highlight w:val="none"/>
        </w:rPr>
      </w:pPr>
      <w:r>
        <w:rPr>
          <w:rFonts w:hint="eastAsia"/>
          <w:b/>
          <w:color w:val="FF0000"/>
          <w:highlight w:val="none"/>
        </w:rPr>
        <w:t>五、请投标供应商阅读《政府采购违法行为风险知悉确认书》（内容详见“投标文件附件（信息不公开部分）”中节点“投标人认为需要加以说明的其他内容（格式自定）”），并经各投标供应商负责人签字并加盖单位公章后，扫描上传至投标文件一并提交。</w:t>
      </w:r>
    </w:p>
    <w:p>
      <w:pPr>
        <w:widowControl/>
        <w:spacing w:beforeAutospacing="1" w:afterAutospacing="1"/>
        <w:jc w:val="left"/>
        <w:outlineLvl w:val="1"/>
        <w:rPr>
          <w:rFonts w:ascii="黑体" w:eastAsia="黑体" w:hAnsi="宋体" w:cs="黑体" w:hint="eastAsia"/>
          <w:kern w:val="0"/>
          <w:sz w:val="40"/>
          <w:szCs w:val="40"/>
          <w:highlight w:val="none"/>
        </w:rPr>
      </w:pPr>
      <w:r>
        <w:rPr>
          <w:rFonts w:hint="eastAsia"/>
          <w:b/>
          <w:color w:val="FF0000"/>
          <w:highlight w:val="none"/>
        </w:rPr>
        <w:t>注：“特别警示条款”和《政府采购违法行为风险知悉确认书》用于对供应商违法行为的提醒，不作为供应商资格性审查及符合性审查条件。</w:t>
      </w:r>
    </w:p>
    <w:p>
      <w:pPr>
        <w:widowControl/>
        <w:spacing w:beforeAutospacing="1" w:afterAutospacing="1"/>
        <w:jc w:val="center"/>
        <w:outlineLvl w:val="1"/>
        <w:rPr>
          <w:rFonts w:ascii="黑体" w:eastAsia="黑体" w:hAnsi="宋体" w:cs="黑体" w:hint="eastAsia"/>
          <w:kern w:val="0"/>
          <w:sz w:val="40"/>
          <w:szCs w:val="40"/>
        </w:rPr>
        <w:sectPr>
          <w:footerReference w:type="even" r:id="rId5"/>
          <w:footerReference w:type="default" r:id="rId6"/>
          <w:headerReference w:type="first" r:id="rId7"/>
          <w:pgSz w:w="11907" w:h="16840"/>
          <w:pgMar w:top="1440" w:right="1417" w:bottom="1440" w:left="1417" w:header="851" w:footer="992" w:gutter="0"/>
          <w:cols w:num="1" w:space="425"/>
          <w:titlePg/>
          <w:docGrid w:linePitch="462" w:charSpace="0"/>
        </w:sectPr>
      </w:pPr>
    </w:p>
    <w:p>
      <w:pPr>
        <w:widowControl/>
        <w:spacing w:beforeAutospacing="1" w:afterAutospacing="1"/>
        <w:jc w:val="center"/>
        <w:outlineLvl w:val="1"/>
        <w:rPr>
          <w:rFonts w:ascii="黑体" w:eastAsia="黑体" w:hAnsi="宋体" w:cs="黑体" w:hint="eastAsia"/>
          <w:kern w:val="0"/>
          <w:sz w:val="40"/>
          <w:szCs w:val="40"/>
        </w:rPr>
      </w:pPr>
      <w:r>
        <w:rPr>
          <w:rFonts w:ascii="黑体" w:eastAsia="黑体" w:hAnsi="宋体" w:cs="黑体" w:hint="eastAsia"/>
          <w:kern w:val="0"/>
          <w:sz w:val="40"/>
          <w:szCs w:val="40"/>
        </w:rPr>
        <w:t>招标文件信息</w:t>
      </w:r>
    </w:p>
    <w:tbl>
      <w:tblPr>
        <w:tblStyle w:val="TableNormal"/>
        <w:tblW w:w="7943" w:type="dxa"/>
        <w:jc w:val="center"/>
        <w:tblCellSpacing w:w="0" w:type="dxa"/>
        <w:tblLayout w:type="fixed"/>
        <w:tblCellMar>
          <w:top w:w="45" w:type="dxa"/>
          <w:left w:w="45" w:type="dxa"/>
          <w:bottom w:w="45" w:type="dxa"/>
          <w:right w:w="45" w:type="dxa"/>
        </w:tblCellMar>
      </w:tblPr>
      <w:tblGrid>
        <w:gridCol w:w="2723"/>
        <w:gridCol w:w="5220"/>
      </w:tblGrid>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sz w:val="30"/>
                <w:szCs w:val="30"/>
              </w:rPr>
            </w:pPr>
            <w:r>
              <w:rPr>
                <w:rFonts w:ascii="宋体" w:hAnsi="宋体" w:cs="宋体"/>
                <w:kern w:val="0"/>
                <w:sz w:val="30"/>
                <w:szCs w:val="30"/>
              </w:rPr>
              <w:t>项目编号：</w:t>
            </w:r>
          </w:p>
        </w:tc>
        <w:tc>
          <w:tcPr>
            <w:tcW w:w="5220" w:type="dxa"/>
            <w:shd w:val="clear" w:color="auto" w:fill="auto"/>
            <w:vAlign w:val="center"/>
          </w:tcPr>
          <w:p>
            <w:pPr>
              <w:widowControl/>
              <w:jc w:val="left"/>
              <w:rPr>
                <w:sz w:val="30"/>
                <w:szCs w:val="30"/>
                <w:highlight w:val="none"/>
              </w:rPr>
            </w:pPr>
            <w:r>
              <w:rPr>
                <w:rFonts w:hint="eastAsia"/>
                <w:sz w:val="30"/>
                <w:szCs w:val="30"/>
                <w:highlight w:val="none"/>
              </w:rPr>
              <w:t>SZCG2025000331</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sz w:val="30"/>
                <w:szCs w:val="30"/>
              </w:rPr>
            </w:pPr>
            <w:r>
              <w:rPr>
                <w:rFonts w:ascii="宋体" w:hAnsi="宋体" w:cs="宋体"/>
                <w:kern w:val="0"/>
                <w:sz w:val="30"/>
                <w:szCs w:val="30"/>
              </w:rPr>
              <w:t>项目名称：</w:t>
            </w:r>
          </w:p>
        </w:tc>
        <w:tc>
          <w:tcPr>
            <w:tcW w:w="5220" w:type="dxa"/>
            <w:shd w:val="clear" w:color="auto" w:fill="auto"/>
            <w:vAlign w:val="center"/>
          </w:tcPr>
          <w:p>
            <w:pPr>
              <w:keepNext w:val="0"/>
              <w:keepLines w:val="0"/>
              <w:widowControl/>
              <w:suppressLineNumbers w:val="0"/>
              <w:pBdr>
                <w:top w:val="nil"/>
                <w:left w:val="nil"/>
                <w:bottom w:val="nil"/>
                <w:right w:val="nil"/>
              </w:pBdr>
              <w:shd w:val="clear" w:color="auto" w:fill="FFFFFF"/>
              <w:spacing w:before="0" w:beforeAutospacing="0" w:after="0" w:afterAutospacing="0" w:line="384" w:lineRule="atLeast"/>
              <w:ind w:left="0" w:right="0"/>
              <w:jc w:val="left"/>
              <w:rPr>
                <w:sz w:val="30"/>
                <w:szCs w:val="30"/>
                <w:highlight w:val="none"/>
              </w:rPr>
            </w:pPr>
            <w:bookmarkStart w:id="0" w:name="OLE_LINK3"/>
            <w:r>
              <w:rPr>
                <w:rFonts w:hint="eastAsia"/>
                <w:sz w:val="30"/>
                <w:szCs w:val="30"/>
                <w:highlight w:val="none"/>
              </w:rPr>
              <w:t>清华大学深圳国际研究生院国际一期物业管理服务项目</w:t>
            </w:r>
            <w:bookmarkEnd w:id="0"/>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sz w:val="30"/>
                <w:szCs w:val="30"/>
              </w:rPr>
            </w:pPr>
            <w:r>
              <w:rPr>
                <w:rFonts w:ascii="宋体" w:hAnsi="宋体" w:cs="宋体"/>
                <w:kern w:val="0"/>
                <w:sz w:val="30"/>
                <w:szCs w:val="30"/>
              </w:rPr>
              <w:t>包 号：</w:t>
            </w:r>
          </w:p>
        </w:tc>
        <w:tc>
          <w:tcPr>
            <w:tcW w:w="5220" w:type="dxa"/>
            <w:shd w:val="clear" w:color="auto" w:fill="auto"/>
            <w:vAlign w:val="center"/>
          </w:tcPr>
          <w:p>
            <w:pPr>
              <w:widowControl/>
              <w:jc w:val="left"/>
              <w:rPr>
                <w:sz w:val="30"/>
                <w:szCs w:val="30"/>
              </w:rPr>
            </w:pPr>
            <w:r>
              <w:rPr>
                <w:rFonts w:ascii="宋体" w:hAnsi="宋体" w:cs="宋体"/>
                <w:kern w:val="0"/>
                <w:sz w:val="30"/>
                <w:szCs w:val="30"/>
              </w:rPr>
              <w:t>A</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sz w:val="30"/>
                <w:szCs w:val="30"/>
              </w:rPr>
            </w:pPr>
            <w:r>
              <w:rPr>
                <w:rFonts w:ascii="宋体" w:hAnsi="宋体" w:cs="宋体"/>
                <w:kern w:val="0"/>
                <w:sz w:val="30"/>
                <w:szCs w:val="30"/>
              </w:rPr>
              <w:t>项目类型：</w:t>
            </w:r>
          </w:p>
        </w:tc>
        <w:tc>
          <w:tcPr>
            <w:tcW w:w="5220" w:type="dxa"/>
            <w:shd w:val="clear" w:color="auto" w:fill="auto"/>
            <w:vAlign w:val="center"/>
          </w:tcPr>
          <w:p>
            <w:pPr>
              <w:widowControl/>
              <w:jc w:val="left"/>
              <w:rPr>
                <w:sz w:val="30"/>
                <w:szCs w:val="30"/>
              </w:rPr>
            </w:pPr>
            <w:r>
              <w:rPr>
                <w:rFonts w:ascii="宋体" w:hAnsi="宋体" w:cs="宋体" w:hint="eastAsia"/>
                <w:kern w:val="0"/>
                <w:sz w:val="30"/>
                <w:szCs w:val="30"/>
              </w:rPr>
              <w:t>服务</w:t>
            </w:r>
            <w:r>
              <w:rPr>
                <w:rFonts w:ascii="宋体" w:hAnsi="宋体" w:cs="宋体"/>
                <w:kern w:val="0"/>
                <w:sz w:val="30"/>
                <w:szCs w:val="30"/>
              </w:rPr>
              <w:t>类</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sz w:val="30"/>
                <w:szCs w:val="30"/>
              </w:rPr>
            </w:pPr>
            <w:r>
              <w:rPr>
                <w:rFonts w:ascii="宋体" w:hAnsi="宋体" w:cs="宋体"/>
                <w:kern w:val="0"/>
                <w:sz w:val="30"/>
                <w:szCs w:val="30"/>
              </w:rPr>
              <w:t>采购方式：</w:t>
            </w:r>
          </w:p>
        </w:tc>
        <w:tc>
          <w:tcPr>
            <w:tcW w:w="5220" w:type="dxa"/>
            <w:shd w:val="clear" w:color="auto" w:fill="auto"/>
            <w:vAlign w:val="center"/>
          </w:tcPr>
          <w:p>
            <w:pPr>
              <w:widowControl/>
              <w:jc w:val="left"/>
              <w:rPr>
                <w:sz w:val="30"/>
                <w:szCs w:val="30"/>
              </w:rPr>
            </w:pPr>
            <w:r>
              <w:rPr>
                <w:rFonts w:ascii="宋体" w:hAnsi="宋体" w:cs="宋体"/>
                <w:kern w:val="0"/>
                <w:sz w:val="30"/>
                <w:szCs w:val="30"/>
              </w:rPr>
              <w:t>公开招标</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sz w:val="30"/>
                <w:szCs w:val="30"/>
              </w:rPr>
            </w:pPr>
            <w:r>
              <w:rPr>
                <w:rFonts w:ascii="宋体" w:hAnsi="宋体" w:cs="宋体"/>
                <w:kern w:val="0"/>
                <w:sz w:val="30"/>
                <w:szCs w:val="30"/>
              </w:rPr>
              <w:t>货币类型：</w:t>
            </w:r>
          </w:p>
        </w:tc>
        <w:tc>
          <w:tcPr>
            <w:tcW w:w="5220" w:type="dxa"/>
            <w:shd w:val="clear" w:color="auto" w:fill="auto"/>
            <w:vAlign w:val="center"/>
          </w:tcPr>
          <w:p>
            <w:pPr>
              <w:widowControl/>
              <w:jc w:val="left"/>
              <w:rPr>
                <w:sz w:val="30"/>
                <w:szCs w:val="30"/>
              </w:rPr>
            </w:pPr>
            <w:r>
              <w:rPr>
                <w:rFonts w:ascii="宋体" w:hAnsi="宋体" w:cs="宋体"/>
                <w:kern w:val="0"/>
                <w:sz w:val="30"/>
                <w:szCs w:val="30"/>
              </w:rPr>
              <w:t>人民币</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sz w:val="30"/>
                <w:szCs w:val="30"/>
              </w:rPr>
            </w:pPr>
            <w:r>
              <w:rPr>
                <w:rFonts w:ascii="宋体" w:hAnsi="宋体" w:cs="宋体"/>
                <w:kern w:val="0"/>
                <w:sz w:val="30"/>
                <w:szCs w:val="30"/>
              </w:rPr>
              <w:t>评标方法：</w:t>
            </w:r>
          </w:p>
        </w:tc>
        <w:tc>
          <w:tcPr>
            <w:tcW w:w="5220" w:type="dxa"/>
            <w:shd w:val="clear" w:color="auto" w:fill="auto"/>
            <w:vAlign w:val="center"/>
          </w:tcPr>
          <w:p>
            <w:pPr>
              <w:widowControl/>
              <w:jc w:val="left"/>
              <w:rPr>
                <w:sz w:val="30"/>
                <w:szCs w:val="30"/>
              </w:rPr>
            </w:pPr>
            <w:r>
              <w:rPr>
                <w:rFonts w:ascii="宋体" w:hAnsi="宋体" w:cs="宋体"/>
                <w:kern w:val="0"/>
                <w:sz w:val="30"/>
                <w:szCs w:val="30"/>
              </w:rPr>
              <w:t>综合评分法</w:t>
            </w:r>
          </w:p>
        </w:tc>
      </w:tr>
    </w:tbl>
    <w:p>
      <w:pPr>
        <w:pStyle w:val="NormalWeb"/>
        <w:jc w:val="center"/>
        <w:outlineLvl w:val="1"/>
        <w:rPr>
          <w:rFonts w:ascii="黑体" w:eastAsia="黑体" w:hAnsi="黑体" w:hint="eastAsia"/>
          <w:sz w:val="40"/>
          <w:szCs w:val="40"/>
        </w:rPr>
      </w:pPr>
    </w:p>
    <w:p>
      <w:pPr>
        <w:pStyle w:val="NormalWeb"/>
        <w:jc w:val="center"/>
        <w:outlineLvl w:val="1"/>
        <w:rPr>
          <w:rFonts w:ascii="黑体" w:eastAsia="黑体" w:hAnsi="黑体" w:hint="eastAsia"/>
          <w:sz w:val="40"/>
          <w:szCs w:val="40"/>
        </w:rPr>
        <w:sectPr>
          <w:pgSz w:w="11907" w:h="16840"/>
          <w:pgMar w:top="1440" w:right="1417" w:bottom="1440" w:left="1417" w:header="851" w:footer="992" w:gutter="0"/>
          <w:cols w:num="1" w:space="425"/>
          <w:titlePg/>
          <w:docGrid w:linePitch="462" w:charSpace="0"/>
        </w:sectPr>
      </w:pPr>
    </w:p>
    <w:p>
      <w:pPr>
        <w:pStyle w:val="NormalWeb"/>
        <w:jc w:val="center"/>
        <w:outlineLvl w:val="1"/>
        <w:rPr>
          <w:rFonts w:ascii="黑体" w:eastAsia="黑体" w:hAnsi="黑体" w:hint="eastAsia"/>
          <w:sz w:val="40"/>
          <w:szCs w:val="40"/>
        </w:rPr>
      </w:pPr>
      <w:r>
        <w:rPr>
          <w:rFonts w:ascii="黑体" w:eastAsia="黑体" w:hAnsi="黑体" w:hint="eastAsia"/>
          <w:sz w:val="40"/>
          <w:szCs w:val="40"/>
        </w:rPr>
        <w:t>资格性审查表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hint="eastAsia"/>
                <w:sz w:val="28"/>
                <w:szCs w:val="28"/>
              </w:rPr>
            </w:pPr>
            <w:r>
              <w:rPr>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hint="eastAsia"/>
                <w:sz w:val="28"/>
                <w:szCs w:val="28"/>
              </w:rPr>
            </w:pPr>
            <w:r>
              <w:rPr>
                <w:sz w:val="28"/>
                <w:szCs w:val="28"/>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hint="eastAsia"/>
                <w:szCs w:val="21"/>
              </w:rPr>
            </w:pPr>
            <w:r>
              <w:rPr>
                <w:szCs w:val="21"/>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ascii="宋体" w:hAnsi="宋体" w:cs="宋体"/>
                <w:kern w:val="0"/>
                <w:szCs w:val="21"/>
              </w:rPr>
              <w:t>投标人不</w:t>
            </w:r>
            <w:r>
              <w:rPr>
                <w:rFonts w:ascii="宋体" w:hAnsi="宋体" w:cs="宋体" w:hint="eastAsia"/>
                <w:kern w:val="0"/>
                <w:szCs w:val="21"/>
              </w:rPr>
              <w:t>符合</w:t>
            </w:r>
            <w:r>
              <w:rPr>
                <w:rFonts w:ascii="宋体" w:hAnsi="宋体" w:cs="宋体"/>
                <w:kern w:val="0"/>
                <w:szCs w:val="21"/>
              </w:rPr>
              <w:t>资格要求，或未提交相应的资格证明资料（详见招标公告</w:t>
            </w:r>
            <w:r>
              <w:rPr>
                <w:rFonts w:ascii="宋体" w:hAnsi="宋体" w:hint="eastAsia"/>
                <w:szCs w:val="21"/>
              </w:rPr>
              <w:t>投标人资格要求，即申请人的资格要求</w:t>
            </w:r>
            <w:r>
              <w:rPr>
                <w:rFonts w:ascii="宋体" w:hAnsi="宋体" w:cs="宋体"/>
                <w:kern w:val="0"/>
                <w:szCs w:val="21"/>
              </w:rPr>
              <w:t>）</w:t>
            </w:r>
          </w:p>
        </w:tc>
      </w:tr>
    </w:tbl>
    <w:p>
      <w:pPr>
        <w:pStyle w:val="NormalWeb"/>
        <w:spacing w:before="280"/>
        <w:jc w:val="center"/>
        <w:outlineLvl w:val="1"/>
        <w:rPr>
          <w:rFonts w:ascii="黑体" w:eastAsia="黑体" w:hAnsi="黑体" w:hint="eastAsia"/>
          <w:sz w:val="40"/>
          <w:szCs w:val="40"/>
        </w:rPr>
      </w:pPr>
      <w:r>
        <w:rPr>
          <w:rFonts w:ascii="黑体" w:eastAsia="黑体" w:hAnsi="黑体" w:hint="eastAsia"/>
          <w:sz w:val="40"/>
          <w:szCs w:val="40"/>
        </w:rPr>
        <w:t>符合性审查表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hint="eastAsia"/>
                <w:sz w:val="28"/>
                <w:szCs w:val="28"/>
              </w:rPr>
            </w:pPr>
            <w:r>
              <w:rPr>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hint="eastAsia"/>
                <w:sz w:val="28"/>
                <w:szCs w:val="28"/>
              </w:rPr>
            </w:pPr>
            <w:r>
              <w:rPr>
                <w:sz w:val="28"/>
                <w:szCs w:val="28"/>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hint="eastAsia"/>
                <w:szCs w:val="21"/>
              </w:rPr>
            </w:pPr>
            <w:r>
              <w:rPr>
                <w:szCs w:val="21"/>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hint="eastAsia"/>
              </w:rPr>
              <w:t>不得将一个包的内容拆开投标；</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hint="eastAsia"/>
                <w:szCs w:val="21"/>
              </w:rPr>
            </w:pPr>
            <w:r>
              <w:rPr>
                <w:szCs w:val="21"/>
              </w:rPr>
              <w:t>2</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hint="eastAsia"/>
              </w:rPr>
              <w:t>对同一项目投标时，不得提供两套以上的投标方案（招标文件另有规定的除外）；</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hint="eastAsia"/>
                <w:szCs w:val="21"/>
              </w:rPr>
            </w:pPr>
            <w:r>
              <w:rPr>
                <w:szCs w:val="21"/>
              </w:rPr>
              <w:t>3</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hint="eastAsia"/>
              </w:rPr>
              <w:t>分项报价或投标总价不得高于相应预算金额（或设定的预算金额下的最高限价）；</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hint="eastAsia"/>
                <w:szCs w:val="21"/>
              </w:rPr>
            </w:pPr>
            <w:r>
              <w:rPr>
                <w:szCs w:val="21"/>
              </w:rPr>
              <w:t>4</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hint="eastAsia"/>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hint="eastAsia"/>
                <w:szCs w:val="21"/>
              </w:rPr>
            </w:pPr>
            <w:r>
              <w:rPr>
                <w:szCs w:val="21"/>
              </w:rPr>
              <w:t>5</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hint="eastAsia"/>
              </w:rPr>
              <w:t>所投货物、服务在技术、商务等方面没有实质性满足招标文件要求的（是否实质性满足招标文件要求，由评审委员会根据实质性条款响应情况做出评判；若招标文件未设置实质性条款，不得据此做投标无效处理）；</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hint="eastAsia"/>
                <w:szCs w:val="21"/>
              </w:rPr>
            </w:pPr>
            <w:r>
              <w:rPr>
                <w:szCs w:val="21"/>
              </w:rPr>
              <w:t>6</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hint="eastAsia"/>
              </w:rPr>
              <w:t>未按招标文件所提供的样式填写《投标函》；未按招标文件所提供的《政府采购投标及履约承诺函》进行承诺；未按招标文件对投标文件组成的要求提供投标文件；</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hint="eastAsia"/>
                <w:szCs w:val="21"/>
              </w:rPr>
            </w:pPr>
            <w:r>
              <w:rPr>
                <w:szCs w:val="21"/>
              </w:rPr>
              <w:t>7</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hint="eastAsia"/>
              </w:rPr>
              <w:t>采购标的/服务清单/报价等任意一类有缺漏项或响应不全，或者对招标文件规定的项目需求内容或者需求数量进行修改</w:t>
            </w:r>
            <w:r>
              <w:rPr>
                <w:rFonts w:hint="eastAsia"/>
                <w:szCs w:val="21"/>
              </w:rPr>
              <w:t>，评审委员会判定投标响应不满足采购需求</w:t>
            </w:r>
            <w:r>
              <w:rPr>
                <w:rFonts w:hint="eastAsia"/>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hint="eastAsia"/>
                <w:szCs w:val="21"/>
              </w:rPr>
            </w:pPr>
            <w:r>
              <w:rPr>
                <w:szCs w:val="21"/>
              </w:rPr>
              <w:t>8</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hint="eastAsia"/>
              </w:rPr>
              <w:t>投标文件存在列放位置错误，导致属于信息公开情形的没有被公开；</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hint="eastAsia"/>
                <w:szCs w:val="21"/>
              </w:rPr>
            </w:pPr>
            <w:r>
              <w:rPr>
                <w:szCs w:val="21"/>
              </w:rPr>
              <w:t>9</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hint="eastAsia"/>
              </w:rPr>
              <w:t>投标文件电子文档不得带病毒；</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hint="eastAsia"/>
                <w:szCs w:val="21"/>
              </w:rPr>
            </w:pPr>
            <w:r>
              <w:rPr>
                <w:szCs w:val="21"/>
              </w:rPr>
              <w:t>10</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hint="eastAsia"/>
              </w:rPr>
              <w:t>投标文件用不属于本公司的电子密钥或电子营业执照进行加密的；</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widowControl/>
              <w:jc w:val="center"/>
              <w:textAlignment w:val="top"/>
              <w:rPr>
                <w:rFonts w:ascii="宋体" w:hAnsi="宋体" w:cs="宋体" w:hint="eastAsia"/>
                <w:szCs w:val="21"/>
              </w:rPr>
            </w:pPr>
            <w:r>
              <w:rPr>
                <w:rFonts w:hint="eastAsia"/>
              </w:rPr>
              <w:t>11</w:t>
            </w:r>
          </w:p>
        </w:tc>
        <w:tc>
          <w:tcPr>
            <w:tcW w:w="8278" w:type="dxa"/>
            <w:tcBorders>
              <w:top w:val="single" w:sz="8" w:space="0" w:color="000000"/>
              <w:left w:val="single" w:sz="8" w:space="0" w:color="000000"/>
              <w:bottom w:val="single" w:sz="8" w:space="0" w:color="000000"/>
              <w:right w:val="single" w:sz="8" w:space="0" w:color="000000"/>
            </w:tcBorders>
          </w:tcPr>
          <w:p>
            <w:pPr>
              <w:widowControl/>
              <w:jc w:val="left"/>
              <w:textAlignment w:val="top"/>
            </w:pPr>
            <w:r>
              <w:rPr>
                <w:rFonts w:hint="eastAsia"/>
              </w:rPr>
              <w:t>不同投标供应商投标文件“文件制作机器码”一致；</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widowControl/>
              <w:jc w:val="center"/>
              <w:textAlignment w:val="top"/>
              <w:rPr>
                <w:rFonts w:ascii="宋体" w:hAnsi="宋体" w:cs="宋体" w:hint="eastAsia"/>
                <w:szCs w:val="21"/>
              </w:rPr>
            </w:pPr>
            <w:r>
              <w:rPr>
                <w:rFonts w:hint="eastAsia"/>
              </w:rPr>
              <w:t>12</w:t>
            </w:r>
          </w:p>
        </w:tc>
        <w:tc>
          <w:tcPr>
            <w:tcW w:w="8278" w:type="dxa"/>
            <w:tcBorders>
              <w:top w:val="single" w:sz="8" w:space="0" w:color="000000"/>
              <w:left w:val="single" w:sz="8" w:space="0" w:color="000000"/>
              <w:bottom w:val="single" w:sz="8" w:space="0" w:color="000000"/>
              <w:right w:val="single" w:sz="8" w:space="0" w:color="000000"/>
            </w:tcBorders>
          </w:tcPr>
          <w:p>
            <w:pPr>
              <w:widowControl/>
              <w:jc w:val="left"/>
              <w:textAlignment w:val="top"/>
            </w:pPr>
            <w:r>
              <w:rPr>
                <w:rFonts w:hint="eastAsia"/>
              </w:rPr>
              <w:t>不同投标供应商投标文件“文件创建标识码”一致；</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hint="eastAsia"/>
                <w:szCs w:val="21"/>
              </w:rPr>
            </w:pPr>
            <w:r>
              <w:rPr>
                <w:szCs w:val="21"/>
              </w:rPr>
              <w:t>1</w:t>
            </w:r>
            <w:r>
              <w:rPr>
                <w:rFonts w:hint="eastAsia"/>
                <w:szCs w:val="21"/>
              </w:rPr>
              <w:t>3</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hint="eastAsia"/>
              </w:rPr>
              <w:t>法律、法规、规章、规范性文件规定的其他情形。</w:t>
            </w:r>
          </w:p>
        </w:tc>
      </w:tr>
    </w:tbl>
    <w:p>
      <w:pPr>
        <w:pStyle w:val="NormalWeb"/>
        <w:jc w:val="center"/>
        <w:outlineLvl w:val="1"/>
        <w:rPr>
          <w:rFonts w:ascii="黑体" w:eastAsia="黑体" w:hAnsi="黑体" w:hint="eastAsia"/>
          <w:sz w:val="40"/>
          <w:szCs w:val="40"/>
        </w:rPr>
      </w:pPr>
    </w:p>
    <w:p>
      <w:pPr>
        <w:pStyle w:val="NormalWeb"/>
        <w:jc w:val="center"/>
        <w:outlineLvl w:val="1"/>
        <w:rPr>
          <w:rFonts w:ascii="黑体" w:eastAsia="黑体" w:hAnsi="黑体" w:hint="eastAsia"/>
          <w:sz w:val="40"/>
          <w:szCs w:val="40"/>
        </w:rPr>
        <w:sectPr>
          <w:pgSz w:w="11907" w:h="16840"/>
          <w:pgMar w:top="1440" w:right="1417" w:bottom="1440" w:left="1417" w:header="851" w:footer="992" w:gutter="0"/>
          <w:cols w:num="1" w:space="425"/>
          <w:titlePg/>
          <w:docGrid w:linePitch="462" w:charSpace="0"/>
        </w:sectPr>
      </w:pPr>
    </w:p>
    <w:p>
      <w:pPr>
        <w:pStyle w:val="NormalWeb"/>
        <w:jc w:val="center"/>
        <w:outlineLvl w:val="1"/>
        <w:rPr>
          <w:rFonts w:ascii="黑体" w:eastAsia="黑体" w:hAnsi="黑体" w:hint="eastAsia"/>
          <w:sz w:val="40"/>
          <w:szCs w:val="40"/>
        </w:rPr>
      </w:pPr>
      <w:r>
        <w:rPr>
          <w:rFonts w:ascii="黑体" w:eastAsia="黑体" w:hAnsi="黑体" w:hint="eastAsia"/>
          <w:sz w:val="40"/>
          <w:szCs w:val="40"/>
        </w:rPr>
        <w:t>评标信息</w:t>
      </w:r>
    </w:p>
    <w:tbl>
      <w:tblPr>
        <w:tblStyle w:val="TableNormal"/>
        <w:tblW w:w="9113" w:type="dxa"/>
        <w:jc w:val="center"/>
        <w:tblCellSpacing w:w="0" w:type="dxa"/>
        <w:tblBorders>
          <w:top w:val="nil"/>
          <w:left w:val="nil"/>
          <w:bottom w:val="nil"/>
          <w:right w:val="nil"/>
          <w:insideH w:val="nil"/>
          <w:insideV w:val="nil"/>
        </w:tblBorders>
        <w:tblLayout w:type="fixed"/>
        <w:tblCellMar>
          <w:top w:w="45" w:type="dxa"/>
          <w:left w:w="45" w:type="dxa"/>
          <w:bottom w:w="45" w:type="dxa"/>
          <w:right w:w="45" w:type="dxa"/>
        </w:tblCellMar>
      </w:tblPr>
      <w:tblGrid>
        <w:gridCol w:w="8873"/>
        <w:gridCol w:w="240"/>
      </w:tblGrid>
      <w:tr>
        <w:tblPrEx>
          <w:tblW w:w="9113" w:type="dxa"/>
          <w:jc w:val="center"/>
          <w:tblCellSpacing w:w="0" w:type="dxa"/>
          <w:tblBorders>
            <w:top w:val="nil"/>
            <w:left w:val="nil"/>
            <w:bottom w:val="nil"/>
            <w:right w:val="nil"/>
            <w:insideH w:val="nil"/>
            <w:insideV w:val="nil"/>
          </w:tblBorders>
          <w:tblLayout w:type="fixed"/>
          <w:tblCellMar>
            <w:top w:w="45" w:type="dxa"/>
            <w:left w:w="45" w:type="dxa"/>
            <w:bottom w:w="45" w:type="dxa"/>
            <w:right w:w="45" w:type="dxa"/>
          </w:tblCellMar>
        </w:tblPrEx>
        <w:trPr>
          <w:tblCellSpacing w:w="0" w:type="dxa"/>
          <w:jc w:val="center"/>
        </w:trPr>
        <w:tc>
          <w:tcPr>
            <w:tcW w:w="8873" w:type="dxa"/>
            <w:shd w:val="clear" w:color="auto" w:fill="auto"/>
            <w:vAlign w:val="center"/>
          </w:tcPr>
          <w:p>
            <w:pPr>
              <w:widowControl/>
              <w:jc w:val="left"/>
              <w:rPr>
                <w:b/>
                <w:bCs/>
                <w:sz w:val="24"/>
              </w:rPr>
            </w:pPr>
            <w:r>
              <w:rPr>
                <w:b/>
                <w:bCs/>
              </w:rPr>
              <w:t>评标方法：综合评分法</w:t>
            </w:r>
          </w:p>
        </w:tc>
        <w:tc>
          <w:tcPr>
            <w:tcW w:w="240" w:type="dxa"/>
            <w:shd w:val="clear" w:color="auto" w:fill="auto"/>
            <w:vAlign w:val="center"/>
          </w:tcPr>
          <w:p>
            <w:pPr>
              <w:jc w:val="right"/>
              <w:rPr>
                <w:rFonts w:ascii="宋体"/>
                <w:b/>
                <w:bCs/>
                <w:sz w:val="24"/>
              </w:rPr>
            </w:pPr>
          </w:p>
        </w:tc>
      </w:tr>
      <w:tr>
        <w:tblPrEx>
          <w:tblW w:w="9113" w:type="dxa"/>
          <w:jc w:val="center"/>
          <w:tblCellSpacing w:w="0" w:type="dxa"/>
          <w:tblLayout w:type="fixed"/>
          <w:tblCellMar>
            <w:top w:w="45" w:type="dxa"/>
            <w:left w:w="45" w:type="dxa"/>
            <w:bottom w:w="45" w:type="dxa"/>
            <w:right w:w="45" w:type="dxa"/>
          </w:tblCellMar>
        </w:tblPrEx>
        <w:trPr>
          <w:tblCellSpacing w:w="0" w:type="dxa"/>
          <w:jc w:val="center"/>
        </w:trPr>
        <w:tc>
          <w:tcPr>
            <w:tcW w:w="9113" w:type="dxa"/>
            <w:gridSpan w:val="2"/>
            <w:shd w:val="clear" w:color="auto" w:fill="auto"/>
            <w:vAlign w:val="center"/>
          </w:tcPr>
          <w:p>
            <w:pPr>
              <w:ind w:firstLine="420"/>
              <w:rPr>
                <w:szCs w:val="21"/>
              </w:rPr>
            </w:pPr>
            <w:r>
              <w:rPr>
                <w:szCs w:val="21"/>
              </w:rPr>
              <w:t>综合评分法，是指</w:t>
            </w:r>
            <w:r>
              <w:rPr>
                <w:rFonts w:hint="eastAsia"/>
                <w:kern w:val="0"/>
                <w:szCs w:val="21"/>
              </w:rPr>
              <w:t>投标文件满足招标文件全部实质性要求</w:t>
            </w:r>
            <w:r>
              <w:rPr>
                <w:szCs w:val="21"/>
              </w:rPr>
              <w:t>，且按照</w:t>
            </w:r>
            <w:r>
              <w:rPr>
                <w:rFonts w:hint="eastAsia"/>
                <w:szCs w:val="21"/>
              </w:rPr>
              <w:t>招标文件规定的各项因素进行综合评审，评标总得分排名前列</w:t>
            </w:r>
            <w:r>
              <w:rPr>
                <w:szCs w:val="21"/>
              </w:rPr>
              <w:t>的投标人为中标候选人的评标方法。</w:t>
            </w:r>
          </w:p>
          <w:p>
            <w:pPr>
              <w:ind w:firstLine="420"/>
              <w:rPr>
                <w:szCs w:val="21"/>
              </w:rPr>
            </w:pPr>
          </w:p>
          <w:p>
            <w:pPr>
              <w:ind w:firstLine="420"/>
              <w:rPr>
                <w:szCs w:val="21"/>
              </w:rPr>
            </w:pPr>
            <w:r>
              <w:rPr>
                <w:szCs w:val="21"/>
              </w:rPr>
              <w:t>价格分计算方法：</w:t>
            </w:r>
          </w:p>
          <w:p>
            <w:pPr>
              <w:widowControl/>
              <w:ind w:left="420"/>
              <w:jc w:val="left"/>
              <w:rPr>
                <w:szCs w:val="21"/>
              </w:rPr>
            </w:pPr>
            <w:r>
              <w:rPr>
                <w:szCs w:val="21"/>
              </w:rPr>
              <w:t xml:space="preserve">采用低价优先法计算，即满足招标文件要求且投标价格最低的投标报价为评标基准价，其价格分为满分。其他投标人的价格分统一按照下列公式计算： </w:t>
            </w:r>
            <w:r>
              <w:rPr>
                <w:szCs w:val="21"/>
              </w:rPr>
              <w:br/>
            </w:r>
            <w:r>
              <w:rPr>
                <w:szCs w:val="21"/>
              </w:rPr>
              <w:t xml:space="preserve">投标报价得分=(评标基准价／投标报价)×100 </w:t>
            </w:r>
            <w:r>
              <w:rPr>
                <w:szCs w:val="21"/>
              </w:rPr>
              <w:br/>
            </w:r>
            <w:r>
              <w:rPr>
                <w:szCs w:val="21"/>
              </w:rPr>
              <w:t xml:space="preserve">评标总得分＝F1×A1＋F2×A2＋……＋Fn×An </w:t>
            </w:r>
            <w:r>
              <w:rPr>
                <w:szCs w:val="21"/>
              </w:rPr>
              <w:br/>
            </w:r>
            <w:r>
              <w:rPr>
                <w:szCs w:val="21"/>
              </w:rPr>
              <w:t xml:space="preserve">F1、F2……Fn分别为各项评审因素的得分； </w:t>
            </w:r>
            <w:r>
              <w:rPr>
                <w:szCs w:val="21"/>
              </w:rPr>
              <w:br/>
            </w:r>
            <w:r>
              <w:rPr>
                <w:szCs w:val="21"/>
              </w:rPr>
              <w:t xml:space="preserve">A1、A2、……An 分别为各项评审因素所占的权重(A1＋A2＋……＋An＝1)。 </w:t>
            </w:r>
            <w:r>
              <w:rPr>
                <w:szCs w:val="21"/>
              </w:rPr>
              <w:br/>
            </w:r>
            <w:r>
              <w:rPr>
                <w:szCs w:val="21"/>
              </w:rPr>
              <w:t>评标过程中，不得去掉报价中的最高报价和最低报价。</w:t>
            </w:r>
          </w:p>
          <w:p>
            <w:pPr>
              <w:widowControl/>
              <w:ind w:left="420"/>
              <w:jc w:val="left"/>
              <w:rPr>
                <w:szCs w:val="21"/>
              </w:rPr>
            </w:pPr>
            <w:r>
              <w:rPr>
                <w:rFonts w:hint="eastAsia"/>
                <w:szCs w:val="21"/>
              </w:rPr>
              <w:t>因落实政府采购政策进行价格调整的，以调整后的价格计算评标基准价和投标报价。</w:t>
            </w:r>
          </w:p>
          <w:p>
            <w:pPr>
              <w:widowControl/>
              <w:ind w:left="420"/>
              <w:jc w:val="left"/>
              <w:rPr>
                <w:kern w:val="0"/>
                <w:sz w:val="24"/>
              </w:rPr>
            </w:pPr>
          </w:p>
          <w:p>
            <w:pPr>
              <w:pStyle w:val="BodyText"/>
            </w:pPr>
            <w:r>
              <w:rPr>
                <w:rFonts w:hint="eastAsia"/>
              </w:rPr>
              <w:t>注：投标人的“投标技术响应”“技术要求偏离表中偏离情况”等必须与客观实际保持一致，响应不实且情节严重的，经查实，将依法记入供应商诚信档案或受到行政处罚。</w:t>
            </w:r>
          </w:p>
        </w:tc>
      </w:tr>
    </w:tbl>
    <w:p>
      <w:pPr>
        <w:rPr>
          <w:rFonts w:ascii="宋体" w:hAnsi="宋体" w:hint="eastAsia"/>
          <w:sz w:val="24"/>
        </w:rPr>
      </w:pPr>
    </w:p>
    <w:tbl>
      <w:tblPr>
        <w:tblStyle w:val="TableNormal"/>
        <w:tblW w:w="9072"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108" w:type="dxa"/>
          <w:bottom w:w="20" w:type="dxa"/>
          <w:right w:w="108" w:type="dxa"/>
        </w:tblCellMar>
      </w:tblPr>
      <w:tblGrid>
        <w:gridCol w:w="656"/>
        <w:gridCol w:w="655"/>
        <w:gridCol w:w="2606"/>
        <w:gridCol w:w="756"/>
        <w:gridCol w:w="4399"/>
      </w:tblGrid>
      <w:tr>
        <w:tblPrEx>
          <w:tblW w:w="9072"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108" w:type="dxa"/>
            <w:bottom w:w="20" w:type="dxa"/>
            <w:right w:w="108" w:type="dxa"/>
          </w:tblCellMar>
        </w:tblPrEx>
        <w:trPr>
          <w:tblCellSpacing w:w="0" w:type="dxa"/>
          <w:jc w:val="center"/>
        </w:trPr>
        <w:tc>
          <w:tcPr>
            <w:tcW w:w="656" w:type="dxa"/>
            <w:shd w:val="clear" w:color="auto" w:fill="E6EFFA"/>
            <w:vAlign w:val="center"/>
          </w:tcPr>
          <w:p>
            <w:pPr>
              <w:wordWrap w:val="0"/>
              <w:jc w:val="center"/>
              <w:rPr>
                <w:rFonts w:ascii="宋体" w:hAnsi="宋体" w:cs="宋体" w:hint="eastAsia"/>
                <w:b/>
                <w:bCs/>
                <w:sz w:val="18"/>
                <w:szCs w:val="18"/>
              </w:rPr>
            </w:pPr>
            <w:r>
              <w:rPr>
                <w:b/>
                <w:bCs/>
                <w:sz w:val="18"/>
                <w:szCs w:val="18"/>
              </w:rPr>
              <w:t>序号</w:t>
            </w:r>
          </w:p>
        </w:tc>
        <w:tc>
          <w:tcPr>
            <w:tcW w:w="4017" w:type="dxa"/>
            <w:gridSpan w:val="3"/>
            <w:shd w:val="clear" w:color="auto" w:fill="E6EFFA"/>
            <w:vAlign w:val="center"/>
          </w:tcPr>
          <w:p>
            <w:pPr>
              <w:wordWrap w:val="0"/>
              <w:jc w:val="center"/>
              <w:rPr>
                <w:rFonts w:ascii="宋体" w:hAnsi="宋体" w:cs="宋体" w:hint="eastAsia"/>
                <w:b/>
                <w:bCs/>
                <w:sz w:val="18"/>
                <w:szCs w:val="18"/>
              </w:rPr>
            </w:pPr>
            <w:r>
              <w:rPr>
                <w:b/>
                <w:bCs/>
                <w:sz w:val="18"/>
                <w:szCs w:val="18"/>
              </w:rPr>
              <w:t>评分项</w:t>
            </w:r>
          </w:p>
        </w:tc>
        <w:tc>
          <w:tcPr>
            <w:tcW w:w="4399" w:type="dxa"/>
            <w:shd w:val="clear" w:color="auto" w:fill="E6EFFA"/>
            <w:vAlign w:val="center"/>
          </w:tcPr>
          <w:p>
            <w:pPr>
              <w:wordWrap w:val="0"/>
              <w:jc w:val="center"/>
              <w:rPr>
                <w:rFonts w:ascii="宋体" w:hAnsi="宋体" w:cs="宋体" w:hint="eastAsia"/>
                <w:b/>
                <w:bCs/>
                <w:sz w:val="18"/>
                <w:szCs w:val="18"/>
              </w:rPr>
            </w:pPr>
            <w:r>
              <w:rPr>
                <w:b/>
                <w:bCs/>
                <w:sz w:val="18"/>
                <w:szCs w:val="18"/>
              </w:rPr>
              <w:t>权重(%)</w:t>
            </w:r>
          </w:p>
        </w:tc>
      </w:tr>
      <w:tr>
        <w:tblPrEx>
          <w:tblW w:w="9072" w:type="dxa"/>
          <w:jc w:val="center"/>
          <w:tblCellSpacing w:w="0" w:type="dxa"/>
          <w:tblCellMar>
            <w:top w:w="20" w:type="dxa"/>
            <w:left w:w="108" w:type="dxa"/>
            <w:bottom w:w="20" w:type="dxa"/>
            <w:right w:w="108" w:type="dxa"/>
          </w:tblCellMar>
        </w:tblPrEx>
        <w:trPr>
          <w:tblCellSpacing w:w="0" w:type="dxa"/>
          <w:jc w:val="center"/>
        </w:trPr>
        <w:tc>
          <w:tcPr>
            <w:tcW w:w="656" w:type="dxa"/>
            <w:vMerge w:val="restart"/>
          </w:tcPr>
          <w:p>
            <w:pPr>
              <w:wordWrap w:val="0"/>
              <w:jc w:val="center"/>
              <w:rPr>
                <w:rFonts w:ascii="宋体" w:hAnsi="宋体" w:cs="宋体" w:hint="eastAsia"/>
                <w:b/>
                <w:bCs/>
                <w:color w:val="0000FF"/>
                <w:sz w:val="18"/>
                <w:szCs w:val="18"/>
              </w:rPr>
            </w:pPr>
            <w:r>
              <w:rPr>
                <w:b/>
                <w:bCs/>
                <w:color w:val="0000FF"/>
                <w:sz w:val="18"/>
                <w:szCs w:val="18"/>
              </w:rPr>
              <w:t>1</w:t>
            </w:r>
          </w:p>
        </w:tc>
        <w:tc>
          <w:tcPr>
            <w:tcW w:w="4017" w:type="dxa"/>
            <w:gridSpan w:val="3"/>
          </w:tcPr>
          <w:p>
            <w:pPr>
              <w:wordWrap w:val="0"/>
              <w:jc w:val="center"/>
              <w:rPr>
                <w:rFonts w:ascii="宋体" w:hAnsi="宋体" w:cs="宋体" w:hint="eastAsia"/>
                <w:b/>
                <w:bCs/>
                <w:color w:val="0000FF"/>
                <w:sz w:val="18"/>
                <w:szCs w:val="18"/>
              </w:rPr>
            </w:pPr>
            <w:r>
              <w:rPr>
                <w:b/>
                <w:bCs/>
                <w:color w:val="0000FF"/>
                <w:sz w:val="18"/>
                <w:szCs w:val="18"/>
              </w:rPr>
              <w:t>价格</w:t>
            </w:r>
          </w:p>
        </w:tc>
        <w:tc>
          <w:tcPr>
            <w:tcW w:w="4399" w:type="dxa"/>
          </w:tcPr>
          <w:p>
            <w:pPr>
              <w:wordWrap w:val="0"/>
              <w:jc w:val="center"/>
              <w:rPr>
                <w:rFonts w:ascii="宋体" w:hAnsi="宋体" w:cs="宋体" w:hint="eastAsia"/>
                <w:b/>
                <w:bCs/>
                <w:color w:val="0000FF"/>
                <w:sz w:val="18"/>
                <w:szCs w:val="18"/>
              </w:rPr>
            </w:pPr>
            <w:r>
              <w:rPr>
                <w:rFonts w:hint="eastAsia"/>
                <w:b/>
                <w:bCs/>
                <w:color w:val="0000FF"/>
                <w:sz w:val="18"/>
                <w:szCs w:val="18"/>
              </w:rPr>
              <w:t>10</w:t>
            </w:r>
          </w:p>
        </w:tc>
      </w:tr>
      <w:tr>
        <w:tblPrEx>
          <w:tblW w:w="9072" w:type="dxa"/>
          <w:jc w:val="center"/>
          <w:tblCellSpacing w:w="0" w:type="dxa"/>
          <w:tblCellMar>
            <w:top w:w="20" w:type="dxa"/>
            <w:left w:w="108" w:type="dxa"/>
            <w:bottom w:w="20" w:type="dxa"/>
            <w:right w:w="108" w:type="dxa"/>
          </w:tblCellMar>
        </w:tblPrEx>
        <w:trPr>
          <w:tblCellSpacing w:w="0" w:type="dxa"/>
          <w:jc w:val="center"/>
        </w:trPr>
        <w:tc>
          <w:tcPr>
            <w:tcW w:w="656" w:type="dxa"/>
            <w:vMerge/>
            <w:vAlign w:val="center"/>
          </w:tcPr>
          <w:p>
            <w:pPr>
              <w:rPr>
                <w:rFonts w:ascii="宋体" w:hAnsi="宋体" w:cs="宋体" w:hint="eastAsia"/>
                <w:b/>
                <w:bCs/>
                <w:color w:val="0000FF"/>
                <w:sz w:val="18"/>
                <w:szCs w:val="18"/>
              </w:rPr>
            </w:pPr>
          </w:p>
        </w:tc>
        <w:tc>
          <w:tcPr>
            <w:tcW w:w="8416" w:type="dxa"/>
            <w:gridSpan w:val="4"/>
          </w:tcPr>
          <w:p>
            <w:pPr>
              <w:wordWrap w:val="0"/>
              <w:rPr>
                <w:rFonts w:ascii="宋体" w:hAnsi="宋体" w:cs="宋体" w:hint="eastAsia"/>
                <w:sz w:val="18"/>
                <w:szCs w:val="18"/>
              </w:rPr>
            </w:pPr>
          </w:p>
        </w:tc>
      </w:tr>
      <w:tr>
        <w:tblPrEx>
          <w:tblW w:w="9072" w:type="dxa"/>
          <w:jc w:val="center"/>
          <w:tblCellSpacing w:w="0" w:type="dxa"/>
          <w:tblCellMar>
            <w:top w:w="20" w:type="dxa"/>
            <w:left w:w="108" w:type="dxa"/>
            <w:bottom w:w="20" w:type="dxa"/>
            <w:right w:w="108" w:type="dxa"/>
          </w:tblCellMar>
        </w:tblPrEx>
        <w:trPr>
          <w:tblCellSpacing w:w="0" w:type="dxa"/>
          <w:jc w:val="center"/>
        </w:trPr>
        <w:tc>
          <w:tcPr>
            <w:tcW w:w="656" w:type="dxa"/>
            <w:vMerge w:val="restart"/>
          </w:tcPr>
          <w:p>
            <w:pPr>
              <w:wordWrap w:val="0"/>
              <w:jc w:val="center"/>
              <w:rPr>
                <w:rFonts w:ascii="宋体" w:hAnsi="宋体" w:cs="宋体" w:hint="eastAsia"/>
                <w:b/>
                <w:bCs/>
                <w:color w:val="0000FF"/>
                <w:sz w:val="18"/>
                <w:szCs w:val="18"/>
              </w:rPr>
            </w:pPr>
            <w:r>
              <w:rPr>
                <w:b/>
                <w:bCs/>
                <w:color w:val="0000FF"/>
                <w:sz w:val="18"/>
                <w:szCs w:val="18"/>
              </w:rPr>
              <w:t>2</w:t>
            </w:r>
          </w:p>
        </w:tc>
        <w:tc>
          <w:tcPr>
            <w:tcW w:w="4017" w:type="dxa"/>
            <w:gridSpan w:val="3"/>
          </w:tcPr>
          <w:p>
            <w:pPr>
              <w:wordWrap w:val="0"/>
              <w:jc w:val="center"/>
              <w:rPr>
                <w:rFonts w:ascii="宋体" w:hAnsi="宋体" w:cs="宋体" w:hint="eastAsia"/>
                <w:b/>
                <w:bCs/>
                <w:color w:val="0000FF"/>
                <w:sz w:val="18"/>
                <w:szCs w:val="18"/>
              </w:rPr>
            </w:pPr>
            <w:r>
              <w:rPr>
                <w:b/>
                <w:bCs/>
                <w:color w:val="0000FF"/>
                <w:sz w:val="18"/>
                <w:szCs w:val="18"/>
              </w:rPr>
              <w:t>技术</w:t>
            </w:r>
            <w:r>
              <w:rPr>
                <w:rFonts w:hint="eastAsia"/>
                <w:b/>
                <w:bCs/>
                <w:color w:val="0000FF"/>
                <w:sz w:val="18"/>
                <w:szCs w:val="18"/>
              </w:rPr>
              <w:t>部分</w:t>
            </w:r>
          </w:p>
        </w:tc>
        <w:tc>
          <w:tcPr>
            <w:tcW w:w="4399" w:type="dxa"/>
          </w:tcPr>
          <w:p>
            <w:pPr>
              <w:wordWrap w:val="0"/>
              <w:jc w:val="center"/>
              <w:rPr>
                <w:rFonts w:ascii="宋体" w:hAnsi="宋体" w:cs="宋体" w:hint="eastAsia"/>
                <w:b/>
                <w:bCs/>
                <w:color w:val="0000FF"/>
                <w:sz w:val="18"/>
                <w:szCs w:val="18"/>
              </w:rPr>
            </w:pPr>
            <w:r>
              <w:rPr>
                <w:rFonts w:hint="eastAsia"/>
                <w:b/>
                <w:bCs/>
                <w:color w:val="0000FF"/>
                <w:sz w:val="18"/>
                <w:szCs w:val="18"/>
              </w:rPr>
              <w:t>54</w:t>
            </w:r>
          </w:p>
        </w:tc>
      </w:tr>
      <w:tr>
        <w:tblPrEx>
          <w:tblW w:w="9072" w:type="dxa"/>
          <w:jc w:val="center"/>
          <w:tblCellSpacing w:w="0" w:type="dxa"/>
          <w:tblCellMar>
            <w:top w:w="20" w:type="dxa"/>
            <w:left w:w="108" w:type="dxa"/>
            <w:bottom w:w="20" w:type="dxa"/>
            <w:right w:w="108" w:type="dxa"/>
          </w:tblCellMar>
        </w:tblPrEx>
        <w:trPr>
          <w:tblCellSpacing w:w="0" w:type="dxa"/>
          <w:jc w:val="center"/>
        </w:trPr>
        <w:tc>
          <w:tcPr>
            <w:tcW w:w="656" w:type="dxa"/>
            <w:vMerge/>
            <w:vAlign w:val="center"/>
          </w:tcPr>
          <w:p>
            <w:pPr>
              <w:rPr>
                <w:rFonts w:ascii="宋体" w:hAnsi="宋体" w:cs="宋体" w:hint="eastAsia"/>
                <w:b/>
                <w:bCs/>
                <w:color w:val="0000FF"/>
                <w:sz w:val="18"/>
                <w:szCs w:val="18"/>
              </w:rPr>
            </w:pPr>
          </w:p>
        </w:tc>
        <w:tc>
          <w:tcPr>
            <w:tcW w:w="8416" w:type="dxa"/>
            <w:gridSpan w:val="4"/>
          </w:tcPr>
          <w:p>
            <w:pPr>
              <w:wordWrap w:val="0"/>
              <w:rPr>
                <w:rFonts w:ascii="宋体" w:hAnsi="宋体" w:cs="宋体" w:hint="eastAsia"/>
                <w:sz w:val="18"/>
                <w:szCs w:val="18"/>
              </w:rPr>
            </w:pPr>
          </w:p>
        </w:tc>
      </w:tr>
      <w:tr>
        <w:tblPrEx>
          <w:tblW w:w="9072" w:type="dxa"/>
          <w:jc w:val="center"/>
          <w:tblCellSpacing w:w="0" w:type="dxa"/>
          <w:tblCellMar>
            <w:top w:w="20" w:type="dxa"/>
            <w:left w:w="108" w:type="dxa"/>
            <w:bottom w:w="20" w:type="dxa"/>
            <w:right w:w="108" w:type="dxa"/>
          </w:tblCellMar>
        </w:tblPrEx>
        <w:trPr>
          <w:tblCellSpacing w:w="0" w:type="dxa"/>
          <w:jc w:val="center"/>
        </w:trPr>
        <w:tc>
          <w:tcPr>
            <w:tcW w:w="656" w:type="dxa"/>
            <w:vMerge/>
            <w:shd w:val="clear" w:color="auto" w:fill="E6EFFA"/>
            <w:vAlign w:val="center"/>
          </w:tcPr>
          <w:p>
            <w:pPr>
              <w:rPr>
                <w:rFonts w:ascii="宋体" w:hAnsi="宋体" w:cs="宋体" w:hint="eastAsia"/>
                <w:b/>
                <w:bCs/>
                <w:color w:val="0000FF"/>
                <w:sz w:val="18"/>
                <w:szCs w:val="18"/>
              </w:rPr>
            </w:pPr>
          </w:p>
        </w:tc>
        <w:tc>
          <w:tcPr>
            <w:tcW w:w="655" w:type="dxa"/>
            <w:shd w:val="clear" w:color="auto" w:fill="E6EFFA"/>
            <w:vAlign w:val="center"/>
          </w:tcPr>
          <w:p>
            <w:pPr>
              <w:wordWrap w:val="0"/>
              <w:jc w:val="center"/>
              <w:rPr>
                <w:rFonts w:ascii="宋体" w:hAnsi="宋体" w:cs="宋体" w:hint="eastAsia"/>
                <w:sz w:val="18"/>
                <w:szCs w:val="18"/>
              </w:rPr>
            </w:pPr>
            <w:r>
              <w:rPr>
                <w:sz w:val="18"/>
                <w:szCs w:val="18"/>
              </w:rPr>
              <w:t>序号</w:t>
            </w:r>
          </w:p>
        </w:tc>
        <w:tc>
          <w:tcPr>
            <w:tcW w:w="2606" w:type="dxa"/>
            <w:shd w:val="clear" w:color="auto" w:fill="E6EFFA"/>
            <w:vAlign w:val="center"/>
          </w:tcPr>
          <w:p>
            <w:pPr>
              <w:wordWrap w:val="0"/>
              <w:jc w:val="center"/>
              <w:rPr>
                <w:rFonts w:ascii="宋体" w:hAnsi="宋体" w:cs="宋体" w:hint="eastAsia"/>
                <w:sz w:val="18"/>
                <w:szCs w:val="18"/>
              </w:rPr>
            </w:pPr>
            <w:r>
              <w:rPr>
                <w:rFonts w:hint="eastAsia"/>
                <w:sz w:val="18"/>
                <w:szCs w:val="18"/>
              </w:rPr>
              <w:t>评审因素</w:t>
            </w:r>
          </w:p>
        </w:tc>
        <w:tc>
          <w:tcPr>
            <w:tcW w:w="756" w:type="dxa"/>
            <w:shd w:val="clear" w:color="auto" w:fill="E6EFFA"/>
            <w:vAlign w:val="center"/>
          </w:tcPr>
          <w:p>
            <w:pPr>
              <w:wordWrap w:val="0"/>
              <w:jc w:val="center"/>
              <w:rPr>
                <w:rFonts w:ascii="宋体" w:hAnsi="宋体" w:cs="宋体" w:hint="eastAsia"/>
                <w:sz w:val="18"/>
                <w:szCs w:val="18"/>
              </w:rPr>
            </w:pPr>
            <w:r>
              <w:rPr>
                <w:sz w:val="18"/>
                <w:szCs w:val="18"/>
              </w:rPr>
              <w:t>权重(%)</w:t>
            </w:r>
          </w:p>
        </w:tc>
        <w:tc>
          <w:tcPr>
            <w:tcW w:w="4399" w:type="dxa"/>
            <w:shd w:val="clear" w:color="auto" w:fill="E6EFFA"/>
            <w:vAlign w:val="center"/>
          </w:tcPr>
          <w:p>
            <w:pPr>
              <w:wordWrap w:val="0"/>
              <w:jc w:val="center"/>
              <w:rPr>
                <w:rFonts w:ascii="宋体" w:hAnsi="宋体" w:cs="宋体" w:hint="eastAsia"/>
                <w:sz w:val="18"/>
                <w:szCs w:val="18"/>
              </w:rPr>
            </w:pPr>
            <w:r>
              <w:rPr>
                <w:sz w:val="18"/>
                <w:szCs w:val="18"/>
              </w:rPr>
              <w:t>评分准则</w:t>
            </w:r>
          </w:p>
        </w:tc>
      </w:tr>
      <w:tr>
        <w:tblPrEx>
          <w:tblW w:w="9072" w:type="dxa"/>
          <w:jc w:val="center"/>
          <w:tblCellSpacing w:w="0" w:type="dxa"/>
          <w:tblCellMar>
            <w:top w:w="20" w:type="dxa"/>
            <w:left w:w="108" w:type="dxa"/>
            <w:bottom w:w="20" w:type="dxa"/>
            <w:right w:w="108" w:type="dxa"/>
          </w:tblCellMar>
        </w:tblPrEx>
        <w:trPr>
          <w:tblCellSpacing w:w="0" w:type="dxa"/>
          <w:jc w:val="center"/>
        </w:trPr>
        <w:tc>
          <w:tcPr>
            <w:tcW w:w="656" w:type="dxa"/>
            <w:vMerge/>
            <w:vAlign w:val="center"/>
          </w:tcPr>
          <w:p>
            <w:pPr>
              <w:rPr>
                <w:rFonts w:ascii="宋体" w:hAnsi="宋体" w:cs="宋体" w:hint="eastAsia"/>
                <w:b/>
                <w:bCs/>
                <w:color w:val="0000FF"/>
                <w:sz w:val="18"/>
                <w:szCs w:val="18"/>
              </w:rPr>
            </w:pPr>
          </w:p>
        </w:tc>
        <w:tc>
          <w:tcPr>
            <w:tcW w:w="655" w:type="dxa"/>
            <w:vAlign w:val="center"/>
          </w:tcPr>
          <w:p>
            <w:pPr>
              <w:wordWrap w:val="0"/>
              <w:jc w:val="center"/>
              <w:rPr>
                <w:rFonts w:ascii="宋体" w:hAnsi="宋体" w:cs="宋体" w:hint="eastAsia"/>
                <w:sz w:val="18"/>
                <w:szCs w:val="18"/>
              </w:rPr>
            </w:pPr>
            <w:r>
              <w:rPr>
                <w:rFonts w:ascii="宋体" w:hAnsi="宋体"/>
                <w:sz w:val="18"/>
                <w:szCs w:val="18"/>
              </w:rPr>
              <w:t>1</w:t>
            </w:r>
          </w:p>
        </w:tc>
        <w:tc>
          <w:tcPr>
            <w:tcW w:w="2606" w:type="dxa"/>
            <w:vAlign w:val="center"/>
          </w:tcPr>
          <w:p>
            <w:pPr>
              <w:spacing w:line="320" w:lineRule="exact"/>
              <w:jc w:val="center"/>
              <w:rPr>
                <w:rFonts w:ascii="宋体" w:hAnsi="宋体" w:cs="宋体" w:hint="eastAsia"/>
                <w:sz w:val="18"/>
                <w:szCs w:val="18"/>
              </w:rPr>
            </w:pPr>
            <w:r>
              <w:rPr>
                <w:rFonts w:hint="eastAsia"/>
                <w:sz w:val="18"/>
                <w:szCs w:val="18"/>
              </w:rPr>
              <w:t>实施方案</w:t>
            </w:r>
          </w:p>
        </w:tc>
        <w:tc>
          <w:tcPr>
            <w:tcW w:w="756" w:type="dxa"/>
            <w:vAlign w:val="center"/>
          </w:tcPr>
          <w:p>
            <w:pPr>
              <w:spacing w:line="320" w:lineRule="exact"/>
              <w:jc w:val="center"/>
              <w:rPr>
                <w:rFonts w:ascii="宋体" w:hAnsi="宋体" w:cs="宋体" w:hint="eastAsia"/>
                <w:sz w:val="18"/>
                <w:szCs w:val="18"/>
              </w:rPr>
            </w:pPr>
            <w:r>
              <w:rPr>
                <w:sz w:val="18"/>
                <w:szCs w:val="18"/>
              </w:rPr>
              <w:t>8</w:t>
            </w:r>
          </w:p>
        </w:tc>
        <w:tc>
          <w:tcPr>
            <w:tcW w:w="4399" w:type="dxa"/>
            <w:vAlign w:val="center"/>
          </w:tcPr>
          <w:p>
            <w:pPr>
              <w:spacing w:line="320" w:lineRule="exact"/>
              <w:rPr>
                <w:sz w:val="18"/>
                <w:szCs w:val="18"/>
              </w:rPr>
            </w:pPr>
            <w:r>
              <w:rPr>
                <w:rFonts w:hint="eastAsia"/>
                <w:b/>
                <w:bCs/>
                <w:sz w:val="18"/>
                <w:szCs w:val="18"/>
              </w:rPr>
              <w:t>（一）评审内容：</w:t>
            </w:r>
            <w:r>
              <w:rPr>
                <w:rFonts w:hint="eastAsia"/>
                <w:sz w:val="18"/>
                <w:szCs w:val="18"/>
              </w:rPr>
              <w:t>考察投标人针对本项目所制定的符合项目特点的物业管理实施方案，内容包括</w:t>
            </w:r>
          </w:p>
          <w:p>
            <w:pPr>
              <w:spacing w:line="320" w:lineRule="exact"/>
              <w:rPr>
                <w:sz w:val="18"/>
                <w:szCs w:val="18"/>
              </w:rPr>
            </w:pPr>
            <w:r>
              <w:rPr>
                <w:rFonts w:hint="eastAsia"/>
                <w:sz w:val="18"/>
                <w:szCs w:val="18"/>
              </w:rPr>
              <w:t>（</w:t>
            </w:r>
            <w:r>
              <w:rPr>
                <w:sz w:val="18"/>
                <w:szCs w:val="18"/>
              </w:rPr>
              <w:t>1</w:t>
            </w:r>
            <w:r>
              <w:rPr>
                <w:rFonts w:hint="eastAsia"/>
                <w:sz w:val="18"/>
                <w:szCs w:val="18"/>
              </w:rPr>
              <w:t>）总体目标</w:t>
            </w:r>
          </w:p>
          <w:p>
            <w:pPr>
              <w:spacing w:line="320" w:lineRule="exact"/>
              <w:rPr>
                <w:sz w:val="18"/>
                <w:szCs w:val="18"/>
              </w:rPr>
            </w:pPr>
            <w:r>
              <w:rPr>
                <w:rFonts w:hint="eastAsia"/>
                <w:sz w:val="18"/>
                <w:szCs w:val="18"/>
              </w:rPr>
              <w:t>（</w:t>
            </w:r>
            <w:r>
              <w:rPr>
                <w:sz w:val="18"/>
                <w:szCs w:val="18"/>
              </w:rPr>
              <w:t>2</w:t>
            </w:r>
            <w:r>
              <w:rPr>
                <w:rFonts w:hint="eastAsia"/>
                <w:sz w:val="18"/>
                <w:szCs w:val="18"/>
              </w:rPr>
              <w:t>）管理规划及设想</w:t>
            </w:r>
          </w:p>
          <w:p>
            <w:pPr>
              <w:spacing w:line="320" w:lineRule="exact"/>
              <w:rPr>
                <w:sz w:val="18"/>
                <w:szCs w:val="18"/>
              </w:rPr>
            </w:pPr>
            <w:r>
              <w:rPr>
                <w:rFonts w:hint="eastAsia"/>
                <w:sz w:val="18"/>
                <w:szCs w:val="18"/>
              </w:rPr>
              <w:t>（</w:t>
            </w:r>
            <w:r>
              <w:rPr>
                <w:sz w:val="18"/>
                <w:szCs w:val="18"/>
              </w:rPr>
              <w:t>3</w:t>
            </w:r>
            <w:r>
              <w:rPr>
                <w:rFonts w:hint="eastAsia"/>
                <w:sz w:val="18"/>
                <w:szCs w:val="18"/>
              </w:rPr>
              <w:t>）人员培训</w:t>
            </w:r>
          </w:p>
          <w:p>
            <w:pPr>
              <w:spacing w:line="320" w:lineRule="exact"/>
              <w:rPr>
                <w:sz w:val="18"/>
                <w:szCs w:val="18"/>
              </w:rPr>
            </w:pPr>
            <w:r>
              <w:rPr>
                <w:rFonts w:hint="eastAsia"/>
                <w:sz w:val="18"/>
                <w:szCs w:val="18"/>
              </w:rPr>
              <w:t>（</w:t>
            </w:r>
            <w:r>
              <w:rPr>
                <w:sz w:val="18"/>
                <w:szCs w:val="18"/>
              </w:rPr>
              <w:t>4</w:t>
            </w:r>
            <w:r>
              <w:rPr>
                <w:rFonts w:hint="eastAsia"/>
                <w:sz w:val="18"/>
                <w:szCs w:val="18"/>
              </w:rPr>
              <w:t>）物业管理措施方案【要求提供符合本项目实际情况的高校物业管理措施方案，包括以下十项内容：①</w:t>
            </w:r>
            <w:r>
              <w:rPr>
                <w:rFonts w:hint="eastAsia"/>
                <w:sz w:val="18"/>
                <w:szCs w:val="18"/>
                <w:lang w:val="en-US" w:eastAsia="zh-CN"/>
              </w:rPr>
              <w:t>设施设备维护管理</w:t>
            </w:r>
            <w:r>
              <w:rPr>
                <w:rFonts w:hint="eastAsia"/>
                <w:sz w:val="18"/>
                <w:szCs w:val="18"/>
              </w:rPr>
              <w:t>；②</w:t>
            </w:r>
            <w:r>
              <w:rPr>
                <w:rFonts w:hint="eastAsia"/>
                <w:sz w:val="18"/>
                <w:szCs w:val="18"/>
                <w:lang w:val="en-US" w:eastAsia="zh-CN"/>
              </w:rPr>
              <w:t>清洁服务</w:t>
            </w:r>
            <w:r>
              <w:rPr>
                <w:rFonts w:hint="eastAsia"/>
                <w:sz w:val="18"/>
                <w:szCs w:val="18"/>
              </w:rPr>
              <w:t>；③</w:t>
            </w:r>
            <w:r>
              <w:rPr>
                <w:rFonts w:hint="eastAsia"/>
                <w:sz w:val="18"/>
                <w:szCs w:val="18"/>
                <w:lang w:val="en-US" w:eastAsia="zh-CN"/>
              </w:rPr>
              <w:t>消杀服务</w:t>
            </w:r>
            <w:r>
              <w:rPr>
                <w:rFonts w:hint="eastAsia"/>
                <w:sz w:val="18"/>
                <w:szCs w:val="18"/>
              </w:rPr>
              <w:t>；④</w:t>
            </w:r>
            <w:r>
              <w:rPr>
                <w:rFonts w:hint="eastAsia"/>
                <w:sz w:val="18"/>
                <w:szCs w:val="18"/>
                <w:lang w:val="en-US" w:eastAsia="zh-CN"/>
              </w:rPr>
              <w:t>绿化养护服务</w:t>
            </w:r>
            <w:r>
              <w:rPr>
                <w:rFonts w:hint="eastAsia"/>
                <w:sz w:val="18"/>
                <w:szCs w:val="18"/>
              </w:rPr>
              <w:t>；⑤教室管理服务；⑥</w:t>
            </w:r>
            <w:r>
              <w:rPr>
                <w:rFonts w:hint="eastAsia"/>
                <w:sz w:val="18"/>
                <w:szCs w:val="18"/>
                <w:lang w:val="en-US" w:eastAsia="zh-CN"/>
              </w:rPr>
              <w:t>会务服务</w:t>
            </w:r>
            <w:r>
              <w:rPr>
                <w:rFonts w:hint="eastAsia"/>
                <w:sz w:val="18"/>
                <w:szCs w:val="18"/>
              </w:rPr>
              <w:t>；⑦</w:t>
            </w:r>
            <w:r>
              <w:rPr>
                <w:rFonts w:hint="eastAsia"/>
                <w:sz w:val="18"/>
                <w:szCs w:val="18"/>
                <w:lang w:val="en-US" w:eastAsia="zh-CN"/>
              </w:rPr>
              <w:t>场馆</w:t>
            </w:r>
            <w:r>
              <w:rPr>
                <w:rFonts w:hint="eastAsia"/>
                <w:sz w:val="18"/>
                <w:szCs w:val="18"/>
              </w:rPr>
              <w:t>服务；⑧</w:t>
            </w:r>
            <w:r>
              <w:rPr>
                <w:rFonts w:hint="eastAsia"/>
                <w:sz w:val="18"/>
                <w:szCs w:val="18"/>
                <w:lang w:val="en-US" w:eastAsia="zh-CN"/>
              </w:rPr>
              <w:t>公寓管理</w:t>
            </w:r>
            <w:r>
              <w:rPr>
                <w:rFonts w:hint="eastAsia"/>
                <w:sz w:val="18"/>
                <w:szCs w:val="18"/>
              </w:rPr>
              <w:t>服务；⑨</w:t>
            </w:r>
            <w:r>
              <w:rPr>
                <w:rFonts w:hint="eastAsia"/>
                <w:sz w:val="18"/>
                <w:szCs w:val="18"/>
                <w:lang w:val="en-US" w:eastAsia="zh-CN"/>
              </w:rPr>
              <w:t>安保服务</w:t>
            </w:r>
            <w:r>
              <w:rPr>
                <w:rFonts w:hint="eastAsia"/>
                <w:sz w:val="18"/>
                <w:szCs w:val="18"/>
              </w:rPr>
              <w:t>；⑩</w:t>
            </w:r>
            <w:r>
              <w:rPr>
                <w:rFonts w:hint="eastAsia"/>
                <w:sz w:val="18"/>
                <w:szCs w:val="18"/>
                <w:lang w:val="en-US" w:eastAsia="zh-CN"/>
              </w:rPr>
              <w:t>安防监控与消防设备维保服务</w:t>
            </w:r>
            <w:r>
              <w:rPr>
                <w:rFonts w:hint="eastAsia"/>
                <w:sz w:val="18"/>
                <w:szCs w:val="18"/>
              </w:rPr>
              <w:t>以及协助学校大型活动</w:t>
            </w:r>
            <w:r>
              <w:rPr>
                <w:rFonts w:hint="eastAsia"/>
                <w:sz w:val="18"/>
                <w:szCs w:val="18"/>
                <w:lang w:eastAsia="zh-CN"/>
              </w:rPr>
              <w:t>；⑪</w:t>
            </w:r>
            <w:r>
              <w:rPr>
                <w:rFonts w:hint="eastAsia"/>
                <w:sz w:val="18"/>
                <w:szCs w:val="18"/>
                <w:lang w:val="en-US" w:eastAsia="zh-CN"/>
              </w:rPr>
              <w:t>零星搬运</w:t>
            </w:r>
            <w:r>
              <w:rPr>
                <w:rFonts w:hint="eastAsia"/>
                <w:sz w:val="18"/>
                <w:szCs w:val="18"/>
                <w:lang w:eastAsia="zh-CN"/>
              </w:rPr>
              <w:t>；⑫</w:t>
            </w:r>
            <w:r>
              <w:rPr>
                <w:rFonts w:hint="eastAsia"/>
                <w:sz w:val="18"/>
                <w:szCs w:val="18"/>
                <w:lang w:val="en-US" w:eastAsia="zh-CN"/>
              </w:rPr>
              <w:t>污水站管理及垃圾清运</w:t>
            </w:r>
            <w:r>
              <w:rPr>
                <w:rFonts w:hint="eastAsia"/>
                <w:sz w:val="18"/>
                <w:szCs w:val="18"/>
              </w:rPr>
              <w:t>。缺一不可】文字表述可不一致，含义相同即可。</w:t>
            </w:r>
          </w:p>
          <w:p>
            <w:pPr>
              <w:spacing w:line="320" w:lineRule="exact"/>
              <w:rPr>
                <w:sz w:val="18"/>
                <w:szCs w:val="18"/>
              </w:rPr>
            </w:pPr>
            <w:r>
              <w:rPr>
                <w:rFonts w:hint="eastAsia"/>
                <w:sz w:val="18"/>
                <w:szCs w:val="18"/>
              </w:rPr>
              <w:t>评审委员会根据响应情况进行打分，满足以上</w:t>
            </w:r>
            <w:r>
              <w:rPr>
                <w:sz w:val="18"/>
                <w:szCs w:val="18"/>
              </w:rPr>
              <w:t>4</w:t>
            </w:r>
            <w:r>
              <w:rPr>
                <w:rFonts w:hint="eastAsia"/>
                <w:sz w:val="18"/>
                <w:szCs w:val="18"/>
              </w:rPr>
              <w:t>项得</w:t>
            </w:r>
            <w:r>
              <w:rPr>
                <w:sz w:val="18"/>
                <w:szCs w:val="18"/>
              </w:rPr>
              <w:t>90</w:t>
            </w:r>
            <w:r>
              <w:rPr>
                <w:rFonts w:hint="eastAsia"/>
                <w:sz w:val="18"/>
                <w:szCs w:val="18"/>
              </w:rPr>
              <w:t>分，满足</w:t>
            </w:r>
            <w:r>
              <w:rPr>
                <w:sz w:val="18"/>
                <w:szCs w:val="18"/>
              </w:rPr>
              <w:t>3</w:t>
            </w:r>
            <w:r>
              <w:rPr>
                <w:rFonts w:hint="eastAsia"/>
                <w:sz w:val="18"/>
                <w:szCs w:val="18"/>
              </w:rPr>
              <w:t>项得8</w:t>
            </w:r>
            <w:r>
              <w:rPr>
                <w:sz w:val="18"/>
                <w:szCs w:val="18"/>
              </w:rPr>
              <w:t>0</w:t>
            </w:r>
            <w:r>
              <w:rPr>
                <w:rFonts w:hint="eastAsia"/>
                <w:sz w:val="18"/>
                <w:szCs w:val="18"/>
              </w:rPr>
              <w:t>分，满足</w:t>
            </w:r>
            <w:r>
              <w:rPr>
                <w:sz w:val="18"/>
                <w:szCs w:val="18"/>
              </w:rPr>
              <w:t>2</w:t>
            </w:r>
            <w:r>
              <w:rPr>
                <w:rFonts w:hint="eastAsia"/>
                <w:sz w:val="18"/>
                <w:szCs w:val="18"/>
              </w:rPr>
              <w:t>项得</w:t>
            </w:r>
            <w:r>
              <w:rPr>
                <w:sz w:val="18"/>
                <w:szCs w:val="18"/>
              </w:rPr>
              <w:t>70</w:t>
            </w:r>
            <w:r>
              <w:rPr>
                <w:rFonts w:hint="eastAsia"/>
                <w:sz w:val="18"/>
                <w:szCs w:val="18"/>
              </w:rPr>
              <w:t>分，满足</w:t>
            </w:r>
            <w:r>
              <w:rPr>
                <w:sz w:val="18"/>
                <w:szCs w:val="18"/>
              </w:rPr>
              <w:t>1</w:t>
            </w:r>
            <w:r>
              <w:rPr>
                <w:rFonts w:hint="eastAsia"/>
                <w:sz w:val="18"/>
                <w:szCs w:val="18"/>
              </w:rPr>
              <w:t>项得</w:t>
            </w:r>
            <w:r>
              <w:rPr>
                <w:sz w:val="18"/>
                <w:szCs w:val="18"/>
              </w:rPr>
              <w:t>50</w:t>
            </w:r>
            <w:r>
              <w:rPr>
                <w:rFonts w:hint="eastAsia"/>
                <w:sz w:val="18"/>
                <w:szCs w:val="18"/>
              </w:rPr>
              <w:t>分，其他情况不得分。</w:t>
            </w:r>
          </w:p>
          <w:p>
            <w:pPr>
              <w:spacing w:line="320" w:lineRule="exact"/>
              <w:rPr>
                <w:sz w:val="18"/>
                <w:szCs w:val="18"/>
              </w:rPr>
            </w:pPr>
            <w:r>
              <w:rPr>
                <w:rFonts w:hint="eastAsia"/>
                <w:b/>
                <w:bCs/>
                <w:sz w:val="18"/>
                <w:szCs w:val="18"/>
              </w:rPr>
              <w:t>（二）评审依据：</w:t>
            </w:r>
            <w:r>
              <w:rPr>
                <w:rFonts w:hint="eastAsia"/>
                <w:sz w:val="18"/>
                <w:szCs w:val="18"/>
              </w:rPr>
              <w:t>在此基础上，评审委员会根据各供应商的具体响应内容进一步评审：</w:t>
            </w:r>
          </w:p>
          <w:p>
            <w:pPr>
              <w:numPr>
                <w:ilvl w:val="0"/>
                <w:numId w:val="7"/>
              </w:numPr>
              <w:spacing w:line="320" w:lineRule="exact"/>
              <w:rPr>
                <w:sz w:val="18"/>
                <w:szCs w:val="18"/>
              </w:rPr>
            </w:pPr>
            <w:r>
              <w:rPr>
                <w:rFonts w:hint="eastAsia"/>
                <w:sz w:val="18"/>
                <w:szCs w:val="18"/>
              </w:rPr>
              <w:t>总体规划科学合理，能根据采购人需求进行详细分析，配套措施完善，服务实施方案合理，评审为优得</w:t>
            </w:r>
            <w:r>
              <w:rPr>
                <w:sz w:val="18"/>
                <w:szCs w:val="18"/>
              </w:rPr>
              <w:t>10</w:t>
            </w:r>
            <w:r>
              <w:rPr>
                <w:rFonts w:hint="eastAsia"/>
                <w:sz w:val="18"/>
                <w:szCs w:val="18"/>
              </w:rPr>
              <w:t>分；</w:t>
            </w:r>
          </w:p>
          <w:p>
            <w:pPr>
              <w:numPr>
                <w:ilvl w:val="0"/>
                <w:numId w:val="7"/>
              </w:numPr>
              <w:spacing w:line="320" w:lineRule="exact"/>
              <w:rPr>
                <w:rFonts w:ascii="宋体" w:hAnsi="宋体" w:cs="宋体" w:hint="eastAsia"/>
                <w:sz w:val="18"/>
                <w:szCs w:val="18"/>
              </w:rPr>
            </w:pPr>
            <w:r>
              <w:rPr>
                <w:rFonts w:hint="eastAsia"/>
                <w:sz w:val="18"/>
                <w:szCs w:val="18"/>
              </w:rPr>
              <w:t>总体规划有一定特点，分析合理、切合现场实际情况，配套措施比较完善，服务方案比较合理，评审为良得</w:t>
            </w:r>
            <w:r>
              <w:rPr>
                <w:sz w:val="18"/>
                <w:szCs w:val="18"/>
              </w:rPr>
              <w:t>7</w:t>
            </w:r>
            <w:r>
              <w:rPr>
                <w:rFonts w:hint="eastAsia"/>
                <w:sz w:val="18"/>
                <w:szCs w:val="18"/>
              </w:rPr>
              <w:t>分；</w:t>
            </w:r>
          </w:p>
          <w:p>
            <w:pPr>
              <w:numPr>
                <w:ilvl w:val="0"/>
                <w:numId w:val="7"/>
              </w:numPr>
              <w:spacing w:line="320" w:lineRule="exact"/>
              <w:rPr>
                <w:rFonts w:ascii="宋体" w:hAnsi="宋体" w:cs="宋体" w:hint="eastAsia"/>
                <w:sz w:val="18"/>
                <w:szCs w:val="18"/>
              </w:rPr>
            </w:pPr>
            <w:r>
              <w:rPr>
                <w:rFonts w:hint="eastAsia"/>
                <w:sz w:val="18"/>
                <w:szCs w:val="18"/>
              </w:rPr>
              <w:t>总体规划无突出特点，分析合理</w:t>
            </w:r>
            <w:r>
              <w:rPr>
                <w:rFonts w:hint="eastAsia"/>
                <w:sz w:val="18"/>
                <w:szCs w:val="18"/>
                <w:lang w:val="en-US" w:eastAsia="zh-CN"/>
              </w:rPr>
              <w:t>性一般</w:t>
            </w:r>
            <w:r>
              <w:rPr>
                <w:rFonts w:hint="eastAsia"/>
                <w:sz w:val="18"/>
                <w:szCs w:val="18"/>
              </w:rPr>
              <w:t>，配套措施一般，服务方案一般，评审为中得</w:t>
            </w:r>
            <w:r>
              <w:rPr>
                <w:sz w:val="18"/>
                <w:szCs w:val="18"/>
              </w:rPr>
              <w:t>4</w:t>
            </w:r>
            <w:r>
              <w:rPr>
                <w:rFonts w:hint="eastAsia"/>
                <w:sz w:val="18"/>
                <w:szCs w:val="18"/>
              </w:rPr>
              <w:t>分；</w:t>
            </w:r>
          </w:p>
          <w:p>
            <w:pPr>
              <w:numPr>
                <w:ilvl w:val="0"/>
                <w:numId w:val="7"/>
              </w:numPr>
              <w:spacing w:line="320" w:lineRule="exact"/>
              <w:rPr>
                <w:rFonts w:ascii="宋体" w:hAnsi="宋体" w:cs="宋体" w:hint="eastAsia"/>
                <w:sz w:val="18"/>
                <w:szCs w:val="18"/>
              </w:rPr>
            </w:pPr>
            <w:r>
              <w:rPr>
                <w:rFonts w:hint="eastAsia"/>
                <w:sz w:val="18"/>
                <w:szCs w:val="18"/>
              </w:rPr>
              <w:t>配套措施较差，服务方案较差评审为差得</w:t>
            </w:r>
            <w:r>
              <w:rPr>
                <w:sz w:val="18"/>
                <w:szCs w:val="18"/>
              </w:rPr>
              <w:t>0</w:t>
            </w:r>
            <w:r>
              <w:rPr>
                <w:rFonts w:hint="eastAsia"/>
                <w:sz w:val="18"/>
                <w:szCs w:val="18"/>
              </w:rPr>
              <w:t>分。如果评审为差，专家书面说明理由，并记录在档。</w:t>
            </w:r>
          </w:p>
        </w:tc>
      </w:tr>
      <w:tr>
        <w:tblPrEx>
          <w:tblW w:w="9072" w:type="dxa"/>
          <w:jc w:val="center"/>
          <w:tblCellSpacing w:w="0" w:type="dxa"/>
          <w:tblCellMar>
            <w:top w:w="20" w:type="dxa"/>
            <w:left w:w="108" w:type="dxa"/>
            <w:bottom w:w="20" w:type="dxa"/>
            <w:right w:w="108" w:type="dxa"/>
          </w:tblCellMar>
        </w:tblPrEx>
        <w:trPr>
          <w:tblCellSpacing w:w="0" w:type="dxa"/>
          <w:jc w:val="center"/>
        </w:trPr>
        <w:tc>
          <w:tcPr>
            <w:tcW w:w="656" w:type="dxa"/>
            <w:vMerge/>
            <w:vAlign w:val="center"/>
          </w:tcPr>
          <w:p>
            <w:pPr>
              <w:rPr>
                <w:rFonts w:ascii="宋体" w:hAnsi="宋体" w:cs="宋体" w:hint="eastAsia"/>
                <w:b/>
                <w:bCs/>
                <w:color w:val="0000FF"/>
                <w:sz w:val="18"/>
                <w:szCs w:val="18"/>
              </w:rPr>
            </w:pPr>
          </w:p>
        </w:tc>
        <w:tc>
          <w:tcPr>
            <w:tcW w:w="655" w:type="dxa"/>
            <w:vAlign w:val="center"/>
          </w:tcPr>
          <w:p>
            <w:pPr>
              <w:wordWrap w:val="0"/>
              <w:jc w:val="center"/>
              <w:rPr>
                <w:rFonts w:ascii="宋体" w:hAnsi="宋体" w:cs="宋体" w:hint="eastAsia"/>
                <w:sz w:val="18"/>
                <w:szCs w:val="18"/>
              </w:rPr>
            </w:pPr>
            <w:r>
              <w:rPr>
                <w:rFonts w:ascii="宋体" w:hAnsi="宋体"/>
                <w:sz w:val="18"/>
                <w:szCs w:val="18"/>
              </w:rPr>
              <w:t>2</w:t>
            </w:r>
          </w:p>
        </w:tc>
        <w:tc>
          <w:tcPr>
            <w:tcW w:w="2606" w:type="dxa"/>
            <w:vAlign w:val="center"/>
          </w:tcPr>
          <w:p>
            <w:pPr>
              <w:spacing w:line="320" w:lineRule="exact"/>
              <w:jc w:val="center"/>
              <w:rPr>
                <w:rFonts w:ascii="宋体" w:hAnsi="宋体" w:cs="宋体" w:hint="eastAsia"/>
                <w:sz w:val="18"/>
                <w:szCs w:val="18"/>
              </w:rPr>
            </w:pPr>
            <w:r>
              <w:rPr>
                <w:rFonts w:hint="eastAsia"/>
                <w:sz w:val="18"/>
                <w:szCs w:val="18"/>
              </w:rPr>
              <w:t>项目重点难点分析、应对措施及相关的合理化建议</w:t>
            </w:r>
          </w:p>
        </w:tc>
        <w:tc>
          <w:tcPr>
            <w:tcW w:w="756" w:type="dxa"/>
            <w:vAlign w:val="center"/>
          </w:tcPr>
          <w:p>
            <w:pPr>
              <w:spacing w:line="320" w:lineRule="exact"/>
              <w:jc w:val="center"/>
              <w:rPr>
                <w:rFonts w:ascii="宋体" w:hAnsi="宋体" w:cs="宋体" w:hint="eastAsia"/>
                <w:sz w:val="18"/>
                <w:szCs w:val="18"/>
              </w:rPr>
            </w:pPr>
            <w:r>
              <w:rPr>
                <w:sz w:val="18"/>
                <w:szCs w:val="18"/>
              </w:rPr>
              <w:t>6</w:t>
            </w:r>
          </w:p>
        </w:tc>
        <w:tc>
          <w:tcPr>
            <w:tcW w:w="4399" w:type="dxa"/>
          </w:tcPr>
          <w:p>
            <w:pPr>
              <w:spacing w:line="320" w:lineRule="exact"/>
              <w:rPr>
                <w:sz w:val="18"/>
                <w:szCs w:val="18"/>
              </w:rPr>
            </w:pPr>
            <w:r>
              <w:rPr>
                <w:rFonts w:hint="eastAsia"/>
                <w:b/>
                <w:bCs/>
                <w:sz w:val="18"/>
                <w:szCs w:val="18"/>
              </w:rPr>
              <w:t>（一）评审内容：</w:t>
            </w:r>
            <w:r>
              <w:rPr>
                <w:rFonts w:hint="eastAsia"/>
                <w:sz w:val="18"/>
                <w:szCs w:val="18"/>
              </w:rPr>
              <w:t>考察投标人根据高校管理特点及本项目实际情况所提出的项目重点难点分析、应对措施及相关的合理化建议，内容包括</w:t>
            </w:r>
          </w:p>
          <w:p>
            <w:pPr>
              <w:spacing w:line="320" w:lineRule="exact"/>
              <w:rPr>
                <w:sz w:val="18"/>
                <w:szCs w:val="18"/>
              </w:rPr>
            </w:pPr>
            <w:r>
              <w:rPr>
                <w:rFonts w:hint="eastAsia"/>
                <w:sz w:val="18"/>
                <w:szCs w:val="18"/>
              </w:rPr>
              <w:t>（</w:t>
            </w:r>
            <w:r>
              <w:rPr>
                <w:sz w:val="18"/>
                <w:szCs w:val="18"/>
              </w:rPr>
              <w:t>1</w:t>
            </w:r>
            <w:r>
              <w:rPr>
                <w:rFonts w:hint="eastAsia"/>
                <w:sz w:val="18"/>
                <w:szCs w:val="18"/>
              </w:rPr>
              <w:t>）本项目物业管理重点难点分析；</w:t>
            </w:r>
          </w:p>
          <w:p>
            <w:pPr>
              <w:spacing w:line="320" w:lineRule="exact"/>
              <w:rPr>
                <w:sz w:val="18"/>
                <w:szCs w:val="18"/>
              </w:rPr>
            </w:pPr>
            <w:r>
              <w:rPr>
                <w:rFonts w:hint="eastAsia"/>
                <w:sz w:val="18"/>
                <w:szCs w:val="18"/>
              </w:rPr>
              <w:t>（</w:t>
            </w:r>
            <w:r>
              <w:rPr>
                <w:sz w:val="18"/>
                <w:szCs w:val="18"/>
              </w:rPr>
              <w:t>2</w:t>
            </w:r>
            <w:r>
              <w:rPr>
                <w:rFonts w:hint="eastAsia"/>
                <w:sz w:val="18"/>
                <w:szCs w:val="18"/>
              </w:rPr>
              <w:t>）应对措施；</w:t>
            </w:r>
          </w:p>
          <w:p>
            <w:pPr>
              <w:spacing w:line="320" w:lineRule="exact"/>
              <w:rPr>
                <w:sz w:val="18"/>
                <w:szCs w:val="18"/>
              </w:rPr>
            </w:pPr>
            <w:r>
              <w:rPr>
                <w:rFonts w:hint="eastAsia"/>
                <w:sz w:val="18"/>
                <w:szCs w:val="18"/>
              </w:rPr>
              <w:t>（</w:t>
            </w:r>
            <w:r>
              <w:rPr>
                <w:sz w:val="18"/>
                <w:szCs w:val="18"/>
              </w:rPr>
              <w:t>3</w:t>
            </w:r>
            <w:r>
              <w:rPr>
                <w:rFonts w:hint="eastAsia"/>
                <w:sz w:val="18"/>
                <w:szCs w:val="18"/>
              </w:rPr>
              <w:t>）合理化建议。</w:t>
            </w:r>
          </w:p>
          <w:p>
            <w:pPr>
              <w:spacing w:line="320" w:lineRule="exact"/>
              <w:rPr>
                <w:sz w:val="18"/>
                <w:szCs w:val="18"/>
              </w:rPr>
            </w:pPr>
            <w:r>
              <w:rPr>
                <w:rFonts w:hint="eastAsia"/>
                <w:sz w:val="18"/>
                <w:szCs w:val="18"/>
              </w:rPr>
              <w:t>评审委员会根据响应情况进行打分，满足以上</w:t>
            </w:r>
            <w:r>
              <w:rPr>
                <w:sz w:val="18"/>
                <w:szCs w:val="18"/>
              </w:rPr>
              <w:t>3</w:t>
            </w:r>
            <w:r>
              <w:rPr>
                <w:rFonts w:hint="eastAsia"/>
                <w:sz w:val="18"/>
                <w:szCs w:val="18"/>
              </w:rPr>
              <w:t>项得</w:t>
            </w:r>
            <w:r>
              <w:rPr>
                <w:sz w:val="18"/>
                <w:szCs w:val="18"/>
              </w:rPr>
              <w:t>90</w:t>
            </w:r>
            <w:r>
              <w:rPr>
                <w:rFonts w:hint="eastAsia"/>
                <w:sz w:val="18"/>
                <w:szCs w:val="18"/>
              </w:rPr>
              <w:t>分，满足</w:t>
            </w:r>
            <w:r>
              <w:rPr>
                <w:sz w:val="18"/>
                <w:szCs w:val="18"/>
              </w:rPr>
              <w:t>2</w:t>
            </w:r>
            <w:r>
              <w:rPr>
                <w:rFonts w:hint="eastAsia"/>
                <w:sz w:val="18"/>
                <w:szCs w:val="18"/>
              </w:rPr>
              <w:t>项目得</w:t>
            </w:r>
            <w:r>
              <w:rPr>
                <w:sz w:val="18"/>
                <w:szCs w:val="18"/>
              </w:rPr>
              <w:t>70</w:t>
            </w:r>
            <w:r>
              <w:rPr>
                <w:rFonts w:hint="eastAsia"/>
                <w:sz w:val="18"/>
                <w:szCs w:val="18"/>
              </w:rPr>
              <w:t>分，满足</w:t>
            </w:r>
            <w:r>
              <w:rPr>
                <w:sz w:val="18"/>
                <w:szCs w:val="18"/>
              </w:rPr>
              <w:t>1</w:t>
            </w:r>
            <w:r>
              <w:rPr>
                <w:rFonts w:hint="eastAsia"/>
                <w:sz w:val="18"/>
                <w:szCs w:val="18"/>
              </w:rPr>
              <w:t>项得</w:t>
            </w:r>
            <w:r>
              <w:rPr>
                <w:sz w:val="18"/>
                <w:szCs w:val="18"/>
              </w:rPr>
              <w:t>50</w:t>
            </w:r>
            <w:r>
              <w:rPr>
                <w:rFonts w:hint="eastAsia"/>
                <w:sz w:val="18"/>
                <w:szCs w:val="18"/>
              </w:rPr>
              <w:t>分，其他情况不得分。</w:t>
            </w:r>
            <w:r>
              <w:rPr>
                <w:sz w:val="18"/>
                <w:szCs w:val="18"/>
              </w:rPr>
              <w:t xml:space="preserve"> </w:t>
            </w:r>
          </w:p>
          <w:p>
            <w:pPr>
              <w:spacing w:line="320" w:lineRule="exact"/>
              <w:rPr>
                <w:sz w:val="18"/>
                <w:szCs w:val="18"/>
              </w:rPr>
            </w:pPr>
            <w:r>
              <w:rPr>
                <w:rFonts w:hint="eastAsia"/>
                <w:b/>
                <w:bCs/>
                <w:sz w:val="18"/>
                <w:szCs w:val="18"/>
              </w:rPr>
              <w:t>（二）评审依据：</w:t>
            </w:r>
            <w:r>
              <w:rPr>
                <w:rFonts w:hint="eastAsia"/>
                <w:sz w:val="18"/>
                <w:szCs w:val="18"/>
              </w:rPr>
              <w:t>在此基础上，评审委员会根据各供应商的具体响应内容进一步评审：</w:t>
            </w:r>
          </w:p>
          <w:p>
            <w:pPr>
              <w:spacing w:line="320" w:lineRule="exact"/>
              <w:rPr>
                <w:sz w:val="18"/>
                <w:szCs w:val="18"/>
              </w:rPr>
            </w:pPr>
            <w:r>
              <w:rPr>
                <w:rFonts w:hint="eastAsia"/>
                <w:sz w:val="18"/>
                <w:szCs w:val="18"/>
              </w:rPr>
              <w:t>（1）根据采购人需求详细分析，重点难点分析到位，合理化建议非常合理，评审为优得</w:t>
            </w:r>
            <w:r>
              <w:rPr>
                <w:sz w:val="18"/>
                <w:szCs w:val="18"/>
              </w:rPr>
              <w:t>10</w:t>
            </w:r>
            <w:r>
              <w:rPr>
                <w:rFonts w:hint="eastAsia"/>
                <w:sz w:val="18"/>
                <w:szCs w:val="18"/>
              </w:rPr>
              <w:t>分；</w:t>
            </w:r>
          </w:p>
          <w:p>
            <w:pPr>
              <w:spacing w:line="320" w:lineRule="exact"/>
              <w:rPr>
                <w:sz w:val="18"/>
                <w:szCs w:val="18"/>
              </w:rPr>
            </w:pPr>
            <w:r>
              <w:rPr>
                <w:rFonts w:hint="eastAsia"/>
                <w:sz w:val="18"/>
                <w:szCs w:val="18"/>
              </w:rPr>
              <w:t>（2）根据采购人需求分析，重点难点分析合理，合理化建议比较合理，评审为良得</w:t>
            </w:r>
            <w:r>
              <w:rPr>
                <w:sz w:val="18"/>
                <w:szCs w:val="18"/>
              </w:rPr>
              <w:t>7</w:t>
            </w:r>
            <w:r>
              <w:rPr>
                <w:rFonts w:hint="eastAsia"/>
                <w:sz w:val="18"/>
                <w:szCs w:val="18"/>
              </w:rPr>
              <w:t>分；</w:t>
            </w:r>
          </w:p>
          <w:p>
            <w:pPr>
              <w:spacing w:line="320" w:lineRule="exact"/>
              <w:rPr>
                <w:sz w:val="18"/>
                <w:szCs w:val="18"/>
              </w:rPr>
            </w:pPr>
            <w:r>
              <w:rPr>
                <w:rFonts w:hint="eastAsia"/>
                <w:sz w:val="18"/>
                <w:szCs w:val="18"/>
              </w:rPr>
              <w:t>（3）根据采购人需求分析，重点难点分析一般，合理化建议一般，评审为中得</w:t>
            </w:r>
            <w:r>
              <w:rPr>
                <w:sz w:val="18"/>
                <w:szCs w:val="18"/>
              </w:rPr>
              <w:t>4</w:t>
            </w:r>
            <w:r>
              <w:rPr>
                <w:rFonts w:hint="eastAsia"/>
                <w:sz w:val="18"/>
                <w:szCs w:val="18"/>
              </w:rPr>
              <w:t>分；</w:t>
            </w:r>
          </w:p>
          <w:p>
            <w:pPr>
              <w:spacing w:line="320" w:lineRule="exact"/>
              <w:rPr>
                <w:sz w:val="18"/>
                <w:szCs w:val="18"/>
              </w:rPr>
            </w:pPr>
            <w:r>
              <w:rPr>
                <w:rFonts w:hint="eastAsia"/>
                <w:sz w:val="18"/>
                <w:szCs w:val="18"/>
              </w:rPr>
              <w:t>（4）未对采购人需求进行分析，合理化建议不合理，评审为差得</w:t>
            </w:r>
            <w:r>
              <w:rPr>
                <w:sz w:val="18"/>
                <w:szCs w:val="18"/>
              </w:rPr>
              <w:t>0</w:t>
            </w:r>
            <w:r>
              <w:rPr>
                <w:rFonts w:hint="eastAsia"/>
                <w:sz w:val="18"/>
                <w:szCs w:val="18"/>
              </w:rPr>
              <w:t>分。</w:t>
            </w:r>
          </w:p>
          <w:p>
            <w:pPr>
              <w:spacing w:line="320" w:lineRule="exact"/>
              <w:rPr>
                <w:rFonts w:ascii="宋体" w:hAnsi="宋体" w:cs="宋体" w:hint="eastAsia"/>
                <w:sz w:val="18"/>
                <w:szCs w:val="18"/>
              </w:rPr>
            </w:pPr>
            <w:r>
              <w:rPr>
                <w:rFonts w:hint="eastAsia"/>
                <w:sz w:val="18"/>
                <w:szCs w:val="18"/>
              </w:rPr>
              <w:t>如果评审为差，专家书面说明理由，并记录在档。</w:t>
            </w:r>
          </w:p>
        </w:tc>
      </w:tr>
      <w:tr>
        <w:tblPrEx>
          <w:tblW w:w="9072" w:type="dxa"/>
          <w:jc w:val="center"/>
          <w:tblCellSpacing w:w="0" w:type="dxa"/>
          <w:tblCellMar>
            <w:top w:w="20" w:type="dxa"/>
            <w:left w:w="108" w:type="dxa"/>
            <w:bottom w:w="20" w:type="dxa"/>
            <w:right w:w="108" w:type="dxa"/>
          </w:tblCellMar>
        </w:tblPrEx>
        <w:trPr>
          <w:tblCellSpacing w:w="0" w:type="dxa"/>
          <w:jc w:val="center"/>
        </w:trPr>
        <w:tc>
          <w:tcPr>
            <w:tcW w:w="656" w:type="dxa"/>
            <w:vMerge/>
            <w:vAlign w:val="center"/>
          </w:tcPr>
          <w:p>
            <w:pPr>
              <w:rPr>
                <w:rFonts w:ascii="宋体" w:hAnsi="宋体" w:cs="宋体" w:hint="eastAsia"/>
                <w:b/>
                <w:bCs/>
                <w:color w:val="0000FF"/>
                <w:sz w:val="18"/>
                <w:szCs w:val="18"/>
              </w:rPr>
            </w:pPr>
          </w:p>
        </w:tc>
        <w:tc>
          <w:tcPr>
            <w:tcW w:w="655" w:type="dxa"/>
            <w:vAlign w:val="center"/>
          </w:tcPr>
          <w:p>
            <w:pPr>
              <w:wordWrap w:val="0"/>
              <w:jc w:val="center"/>
              <w:rPr>
                <w:rFonts w:ascii="宋体" w:hAnsi="宋体" w:cs="宋体" w:hint="eastAsia"/>
                <w:sz w:val="18"/>
                <w:szCs w:val="18"/>
              </w:rPr>
            </w:pPr>
            <w:r>
              <w:rPr>
                <w:rFonts w:ascii="宋体" w:hAnsi="宋体"/>
                <w:sz w:val="18"/>
                <w:szCs w:val="18"/>
              </w:rPr>
              <w:t>3</w:t>
            </w:r>
          </w:p>
        </w:tc>
        <w:tc>
          <w:tcPr>
            <w:tcW w:w="2606" w:type="dxa"/>
            <w:vAlign w:val="center"/>
          </w:tcPr>
          <w:p>
            <w:pPr>
              <w:spacing w:line="320" w:lineRule="exact"/>
              <w:jc w:val="center"/>
              <w:rPr>
                <w:rFonts w:ascii="宋体" w:hAnsi="宋体" w:cs="宋体" w:hint="eastAsia"/>
                <w:sz w:val="18"/>
                <w:szCs w:val="18"/>
              </w:rPr>
            </w:pPr>
            <w:r>
              <w:rPr>
                <w:rFonts w:hint="eastAsia"/>
                <w:sz w:val="18"/>
                <w:szCs w:val="18"/>
              </w:rPr>
              <w:t>质量（完成时间、安全、环保）保障措施及方案</w:t>
            </w:r>
          </w:p>
        </w:tc>
        <w:tc>
          <w:tcPr>
            <w:tcW w:w="756" w:type="dxa"/>
            <w:vAlign w:val="center"/>
          </w:tcPr>
          <w:p>
            <w:pPr>
              <w:spacing w:line="320" w:lineRule="exact"/>
              <w:jc w:val="center"/>
              <w:rPr>
                <w:rFonts w:ascii="宋体" w:hAnsi="宋体" w:cs="宋体" w:hint="eastAsia"/>
                <w:sz w:val="18"/>
                <w:szCs w:val="18"/>
              </w:rPr>
            </w:pPr>
            <w:r>
              <w:rPr>
                <w:sz w:val="18"/>
                <w:szCs w:val="18"/>
              </w:rPr>
              <w:t>5</w:t>
            </w:r>
          </w:p>
        </w:tc>
        <w:tc>
          <w:tcPr>
            <w:tcW w:w="4399" w:type="dxa"/>
          </w:tcPr>
          <w:p>
            <w:pPr>
              <w:spacing w:line="320" w:lineRule="exact"/>
              <w:rPr>
                <w:sz w:val="18"/>
                <w:szCs w:val="18"/>
              </w:rPr>
            </w:pPr>
            <w:r>
              <w:rPr>
                <w:rFonts w:hint="eastAsia"/>
                <w:b/>
                <w:bCs/>
                <w:sz w:val="18"/>
                <w:szCs w:val="18"/>
              </w:rPr>
              <w:t>（一）评审内容：</w:t>
            </w:r>
          </w:p>
          <w:p>
            <w:pPr>
              <w:spacing w:line="320" w:lineRule="exact"/>
              <w:rPr>
                <w:sz w:val="18"/>
                <w:szCs w:val="18"/>
              </w:rPr>
            </w:pPr>
            <w:r>
              <w:rPr>
                <w:rFonts w:hint="eastAsia"/>
                <w:sz w:val="18"/>
                <w:szCs w:val="18"/>
              </w:rPr>
              <w:t>考察投标人针对本项目的质量（完成时间、安全、环保）保障措施及方案，内容包括：</w:t>
            </w:r>
          </w:p>
          <w:p>
            <w:pPr>
              <w:spacing w:line="320" w:lineRule="exact"/>
              <w:rPr>
                <w:sz w:val="18"/>
                <w:szCs w:val="18"/>
              </w:rPr>
            </w:pPr>
            <w:r>
              <w:rPr>
                <w:rFonts w:hint="eastAsia"/>
                <w:sz w:val="18"/>
                <w:szCs w:val="18"/>
              </w:rPr>
              <w:t>（</w:t>
            </w:r>
            <w:r>
              <w:rPr>
                <w:sz w:val="18"/>
                <w:szCs w:val="18"/>
              </w:rPr>
              <w:t>1</w:t>
            </w:r>
            <w:r>
              <w:rPr>
                <w:rFonts w:hint="eastAsia"/>
                <w:sz w:val="18"/>
                <w:szCs w:val="18"/>
              </w:rPr>
              <w:t>）规章制度、档案管理方案</w:t>
            </w:r>
          </w:p>
          <w:p>
            <w:pPr>
              <w:spacing w:line="320" w:lineRule="exact"/>
              <w:rPr>
                <w:sz w:val="18"/>
                <w:szCs w:val="18"/>
              </w:rPr>
            </w:pPr>
            <w:r>
              <w:rPr>
                <w:rFonts w:hint="eastAsia"/>
                <w:sz w:val="18"/>
                <w:szCs w:val="18"/>
              </w:rPr>
              <w:t>（</w:t>
            </w:r>
            <w:r>
              <w:rPr>
                <w:sz w:val="18"/>
                <w:szCs w:val="18"/>
              </w:rPr>
              <w:t>2</w:t>
            </w:r>
            <w:r>
              <w:rPr>
                <w:rFonts w:hint="eastAsia"/>
                <w:sz w:val="18"/>
                <w:szCs w:val="18"/>
              </w:rPr>
              <w:t>）各项服务内容的质量保障措施</w:t>
            </w:r>
          </w:p>
          <w:p>
            <w:pPr>
              <w:spacing w:line="320" w:lineRule="exact"/>
              <w:rPr>
                <w:sz w:val="18"/>
                <w:szCs w:val="18"/>
              </w:rPr>
            </w:pPr>
            <w:r>
              <w:rPr>
                <w:rFonts w:hint="eastAsia"/>
                <w:sz w:val="18"/>
                <w:szCs w:val="18"/>
              </w:rPr>
              <w:t>（</w:t>
            </w:r>
            <w:r>
              <w:rPr>
                <w:sz w:val="18"/>
                <w:szCs w:val="18"/>
              </w:rPr>
              <w:t>3</w:t>
            </w:r>
            <w:r>
              <w:rPr>
                <w:rFonts w:hint="eastAsia"/>
                <w:sz w:val="18"/>
                <w:szCs w:val="18"/>
              </w:rPr>
              <w:t>）应急预案</w:t>
            </w:r>
          </w:p>
          <w:p>
            <w:pPr>
              <w:spacing w:line="320" w:lineRule="exact"/>
              <w:rPr>
                <w:sz w:val="18"/>
                <w:szCs w:val="18"/>
              </w:rPr>
            </w:pPr>
            <w:r>
              <w:rPr>
                <w:rFonts w:hint="eastAsia"/>
                <w:sz w:val="18"/>
                <w:szCs w:val="18"/>
              </w:rPr>
              <w:t>评审委员会根据响应情况进行打分，满足以上</w:t>
            </w:r>
            <w:r>
              <w:rPr>
                <w:sz w:val="18"/>
                <w:szCs w:val="18"/>
              </w:rPr>
              <w:t>3</w:t>
            </w:r>
            <w:r>
              <w:rPr>
                <w:rFonts w:hint="eastAsia"/>
                <w:sz w:val="18"/>
                <w:szCs w:val="18"/>
              </w:rPr>
              <w:t>项得</w:t>
            </w:r>
            <w:r>
              <w:rPr>
                <w:sz w:val="18"/>
                <w:szCs w:val="18"/>
              </w:rPr>
              <w:t>90</w:t>
            </w:r>
            <w:r>
              <w:rPr>
                <w:rFonts w:hint="eastAsia"/>
                <w:sz w:val="18"/>
                <w:szCs w:val="18"/>
              </w:rPr>
              <w:t>分，满足</w:t>
            </w:r>
            <w:r>
              <w:rPr>
                <w:sz w:val="18"/>
                <w:szCs w:val="18"/>
              </w:rPr>
              <w:t>2</w:t>
            </w:r>
            <w:r>
              <w:rPr>
                <w:rFonts w:hint="eastAsia"/>
                <w:sz w:val="18"/>
                <w:szCs w:val="18"/>
              </w:rPr>
              <w:t>项的得</w:t>
            </w:r>
            <w:r>
              <w:rPr>
                <w:sz w:val="18"/>
                <w:szCs w:val="18"/>
              </w:rPr>
              <w:t>70</w:t>
            </w:r>
            <w:r>
              <w:rPr>
                <w:rFonts w:hint="eastAsia"/>
                <w:sz w:val="18"/>
                <w:szCs w:val="18"/>
              </w:rPr>
              <w:t>分，满足</w:t>
            </w:r>
            <w:r>
              <w:rPr>
                <w:sz w:val="18"/>
                <w:szCs w:val="18"/>
              </w:rPr>
              <w:t>1</w:t>
            </w:r>
            <w:r>
              <w:rPr>
                <w:rFonts w:hint="eastAsia"/>
                <w:sz w:val="18"/>
                <w:szCs w:val="18"/>
              </w:rPr>
              <w:t>项得</w:t>
            </w:r>
            <w:r>
              <w:rPr>
                <w:sz w:val="18"/>
                <w:szCs w:val="18"/>
              </w:rPr>
              <w:t>50</w:t>
            </w:r>
            <w:r>
              <w:rPr>
                <w:rFonts w:hint="eastAsia"/>
                <w:sz w:val="18"/>
                <w:szCs w:val="18"/>
              </w:rPr>
              <w:t>分，其他情况不得分。</w:t>
            </w:r>
            <w:r>
              <w:rPr>
                <w:sz w:val="18"/>
                <w:szCs w:val="18"/>
              </w:rPr>
              <w:t xml:space="preserve"> </w:t>
            </w:r>
          </w:p>
          <w:p>
            <w:pPr>
              <w:spacing w:line="320" w:lineRule="exact"/>
              <w:rPr>
                <w:sz w:val="18"/>
                <w:szCs w:val="18"/>
              </w:rPr>
            </w:pPr>
            <w:r>
              <w:rPr>
                <w:rFonts w:hint="eastAsia"/>
                <w:b/>
                <w:bCs/>
                <w:sz w:val="18"/>
                <w:szCs w:val="18"/>
              </w:rPr>
              <w:t>（二）评审依据：</w:t>
            </w:r>
            <w:r>
              <w:rPr>
                <w:rFonts w:hint="eastAsia"/>
                <w:sz w:val="18"/>
                <w:szCs w:val="18"/>
              </w:rPr>
              <w:t>在此基础上，评审委员会根据各供应商的具体响应内容进一步评审：</w:t>
            </w:r>
          </w:p>
          <w:p>
            <w:pPr>
              <w:spacing w:line="320" w:lineRule="exact"/>
              <w:rPr>
                <w:sz w:val="18"/>
                <w:szCs w:val="18"/>
              </w:rPr>
            </w:pPr>
            <w:r>
              <w:rPr>
                <w:rFonts w:hint="eastAsia"/>
                <w:sz w:val="18"/>
                <w:szCs w:val="18"/>
              </w:rPr>
              <w:t>（1）质量保障措施及方案可以充分满足采购人需求，突发事件应急方案可操作性全面，评审为优得</w:t>
            </w:r>
            <w:r>
              <w:rPr>
                <w:sz w:val="18"/>
                <w:szCs w:val="18"/>
              </w:rPr>
              <w:t>10</w:t>
            </w:r>
            <w:r>
              <w:rPr>
                <w:rFonts w:hint="eastAsia"/>
                <w:sz w:val="18"/>
                <w:szCs w:val="18"/>
              </w:rPr>
              <w:t>分；</w:t>
            </w:r>
          </w:p>
          <w:p>
            <w:pPr>
              <w:spacing w:line="320" w:lineRule="exact"/>
              <w:rPr>
                <w:sz w:val="18"/>
                <w:szCs w:val="18"/>
              </w:rPr>
            </w:pPr>
            <w:r>
              <w:rPr>
                <w:rFonts w:hint="eastAsia"/>
                <w:sz w:val="18"/>
                <w:szCs w:val="18"/>
              </w:rPr>
              <w:t>（2）质量保障措施及方案基本可以满足采购人需求，突发事件应急方案可操作性较好，评审为良得</w:t>
            </w:r>
            <w:r>
              <w:rPr>
                <w:sz w:val="18"/>
                <w:szCs w:val="18"/>
              </w:rPr>
              <w:t>7</w:t>
            </w:r>
            <w:r>
              <w:rPr>
                <w:rFonts w:hint="eastAsia"/>
                <w:sz w:val="18"/>
                <w:szCs w:val="18"/>
              </w:rPr>
              <w:t>分；</w:t>
            </w:r>
          </w:p>
          <w:p>
            <w:pPr>
              <w:spacing w:line="320" w:lineRule="exact"/>
              <w:rPr>
                <w:sz w:val="18"/>
                <w:szCs w:val="18"/>
              </w:rPr>
            </w:pPr>
            <w:r>
              <w:rPr>
                <w:rFonts w:hint="eastAsia"/>
                <w:sz w:val="18"/>
                <w:szCs w:val="18"/>
              </w:rPr>
              <w:t>（3）质量保障措施及方案无法充分满足采购人需求，突发事件应急方案可操作性一般，评审为中得</w:t>
            </w:r>
            <w:r>
              <w:rPr>
                <w:sz w:val="18"/>
                <w:szCs w:val="18"/>
              </w:rPr>
              <w:t>4</w:t>
            </w:r>
            <w:r>
              <w:rPr>
                <w:rFonts w:hint="eastAsia"/>
                <w:sz w:val="18"/>
                <w:szCs w:val="18"/>
              </w:rPr>
              <w:t>分；</w:t>
            </w:r>
          </w:p>
          <w:p>
            <w:pPr>
              <w:spacing w:line="320" w:lineRule="exact"/>
              <w:rPr>
                <w:sz w:val="18"/>
                <w:szCs w:val="18"/>
              </w:rPr>
            </w:pPr>
            <w:r>
              <w:rPr>
                <w:rFonts w:hint="eastAsia"/>
                <w:sz w:val="18"/>
                <w:szCs w:val="18"/>
              </w:rPr>
              <w:t>（4）质量保障措施及方案根本无满足采购人最基本的需求，突发事件应急方案可操作性较差，评审为差得</w:t>
            </w:r>
            <w:r>
              <w:rPr>
                <w:sz w:val="18"/>
                <w:szCs w:val="18"/>
              </w:rPr>
              <w:t>0</w:t>
            </w:r>
            <w:r>
              <w:rPr>
                <w:rFonts w:hint="eastAsia"/>
                <w:sz w:val="18"/>
                <w:szCs w:val="18"/>
              </w:rPr>
              <w:t>分。</w:t>
            </w:r>
          </w:p>
          <w:p>
            <w:pPr>
              <w:spacing w:line="320" w:lineRule="exact"/>
              <w:rPr>
                <w:rFonts w:ascii="宋体" w:hAnsi="宋体" w:cs="宋体" w:hint="eastAsia"/>
                <w:sz w:val="18"/>
                <w:szCs w:val="18"/>
              </w:rPr>
            </w:pPr>
            <w:r>
              <w:rPr>
                <w:rFonts w:hint="eastAsia"/>
                <w:sz w:val="18"/>
                <w:szCs w:val="18"/>
              </w:rPr>
              <w:t>如果评审为差，专家书面说明理由，并记录在档。</w:t>
            </w:r>
          </w:p>
        </w:tc>
      </w:tr>
      <w:tr>
        <w:tblPrEx>
          <w:tblW w:w="9072" w:type="dxa"/>
          <w:jc w:val="center"/>
          <w:tblCellSpacing w:w="0" w:type="dxa"/>
          <w:tblCellMar>
            <w:top w:w="20" w:type="dxa"/>
            <w:left w:w="108" w:type="dxa"/>
            <w:bottom w:w="20" w:type="dxa"/>
            <w:right w:w="108" w:type="dxa"/>
          </w:tblCellMar>
        </w:tblPrEx>
        <w:trPr>
          <w:tblCellSpacing w:w="0" w:type="dxa"/>
          <w:jc w:val="center"/>
        </w:trPr>
        <w:tc>
          <w:tcPr>
            <w:tcW w:w="656" w:type="dxa"/>
            <w:vMerge/>
            <w:vAlign w:val="center"/>
          </w:tcPr>
          <w:p>
            <w:pPr>
              <w:rPr>
                <w:rFonts w:ascii="宋体" w:hAnsi="宋体" w:cs="宋体" w:hint="eastAsia"/>
                <w:b/>
                <w:bCs/>
                <w:color w:val="0000FF"/>
                <w:sz w:val="18"/>
                <w:szCs w:val="18"/>
              </w:rPr>
            </w:pPr>
          </w:p>
        </w:tc>
        <w:tc>
          <w:tcPr>
            <w:tcW w:w="655" w:type="dxa"/>
            <w:vAlign w:val="center"/>
          </w:tcPr>
          <w:p>
            <w:pPr>
              <w:wordWrap w:val="0"/>
              <w:jc w:val="center"/>
              <w:rPr>
                <w:rFonts w:ascii="宋体" w:hAnsi="宋体" w:cs="宋体" w:hint="eastAsia"/>
                <w:sz w:val="18"/>
                <w:szCs w:val="18"/>
              </w:rPr>
            </w:pPr>
            <w:r>
              <w:rPr>
                <w:rFonts w:ascii="宋体" w:hAnsi="宋体" w:hint="eastAsia"/>
                <w:sz w:val="18"/>
                <w:szCs w:val="18"/>
              </w:rPr>
              <w:t>4</w:t>
            </w:r>
          </w:p>
        </w:tc>
        <w:tc>
          <w:tcPr>
            <w:tcW w:w="2606" w:type="dxa"/>
            <w:vAlign w:val="center"/>
          </w:tcPr>
          <w:p>
            <w:pPr>
              <w:spacing w:line="320" w:lineRule="exact"/>
              <w:jc w:val="center"/>
              <w:rPr>
                <w:rFonts w:ascii="宋体" w:hAnsi="宋体" w:cs="宋体" w:hint="eastAsia"/>
                <w:sz w:val="18"/>
                <w:szCs w:val="18"/>
              </w:rPr>
            </w:pPr>
            <w:r>
              <w:rPr>
                <w:rFonts w:hint="eastAsia"/>
                <w:sz w:val="18"/>
                <w:szCs w:val="18"/>
              </w:rPr>
              <w:t>项目完成（服务期满）后的服务承诺</w:t>
            </w:r>
          </w:p>
        </w:tc>
        <w:tc>
          <w:tcPr>
            <w:tcW w:w="756" w:type="dxa"/>
            <w:vAlign w:val="center"/>
          </w:tcPr>
          <w:p>
            <w:pPr>
              <w:spacing w:line="320" w:lineRule="exact"/>
              <w:jc w:val="center"/>
              <w:rPr>
                <w:rFonts w:ascii="宋体" w:hAnsi="宋体" w:cs="宋体" w:hint="eastAsia"/>
                <w:sz w:val="18"/>
                <w:szCs w:val="18"/>
              </w:rPr>
            </w:pPr>
            <w:r>
              <w:rPr>
                <w:sz w:val="18"/>
                <w:szCs w:val="18"/>
              </w:rPr>
              <w:t>5</w:t>
            </w:r>
          </w:p>
        </w:tc>
        <w:tc>
          <w:tcPr>
            <w:tcW w:w="4399" w:type="dxa"/>
          </w:tcPr>
          <w:p>
            <w:pPr>
              <w:spacing w:line="320" w:lineRule="exact"/>
              <w:rPr>
                <w:sz w:val="18"/>
                <w:szCs w:val="18"/>
              </w:rPr>
            </w:pPr>
            <w:r>
              <w:rPr>
                <w:rFonts w:hint="eastAsia"/>
                <w:b/>
                <w:bCs/>
                <w:sz w:val="18"/>
                <w:szCs w:val="18"/>
              </w:rPr>
              <w:t>（一）评审内容：</w:t>
            </w:r>
            <w:r>
              <w:rPr>
                <w:rFonts w:hint="eastAsia"/>
                <w:sz w:val="18"/>
                <w:szCs w:val="18"/>
              </w:rPr>
              <w:t>考察投标人项目完成（服务期满）后的服务承诺，投标人承诺以下全部三项的得</w:t>
            </w:r>
            <w:r>
              <w:rPr>
                <w:sz w:val="18"/>
                <w:szCs w:val="18"/>
              </w:rPr>
              <w:t>100</w:t>
            </w:r>
            <w:r>
              <w:rPr>
                <w:rFonts w:hint="eastAsia"/>
                <w:sz w:val="18"/>
                <w:szCs w:val="18"/>
              </w:rPr>
              <w:t>分，否则不得分。</w:t>
            </w:r>
          </w:p>
          <w:p>
            <w:pPr>
              <w:spacing w:line="320" w:lineRule="exact"/>
              <w:rPr>
                <w:sz w:val="18"/>
                <w:szCs w:val="18"/>
              </w:rPr>
            </w:pPr>
            <w:r>
              <w:rPr>
                <w:rFonts w:hint="eastAsia"/>
                <w:sz w:val="18"/>
                <w:szCs w:val="18"/>
              </w:rPr>
              <w:t>（</w:t>
            </w:r>
            <w:r>
              <w:rPr>
                <w:sz w:val="18"/>
                <w:szCs w:val="18"/>
              </w:rPr>
              <w:t>1</w:t>
            </w:r>
            <w:r>
              <w:rPr>
                <w:rFonts w:hint="eastAsia"/>
                <w:sz w:val="18"/>
                <w:szCs w:val="18"/>
              </w:rPr>
              <w:t>）服务期满后主动离岗；</w:t>
            </w:r>
            <w:r>
              <w:rPr>
                <w:sz w:val="18"/>
                <w:szCs w:val="18"/>
              </w:rPr>
              <w:t xml:space="preserve"> </w:t>
            </w:r>
          </w:p>
          <w:p>
            <w:pPr>
              <w:spacing w:line="320" w:lineRule="exact"/>
              <w:rPr>
                <w:sz w:val="18"/>
                <w:szCs w:val="18"/>
              </w:rPr>
            </w:pPr>
            <w:r>
              <w:rPr>
                <w:rFonts w:hint="eastAsia"/>
                <w:sz w:val="18"/>
                <w:szCs w:val="18"/>
              </w:rPr>
              <w:t>（</w:t>
            </w:r>
            <w:r>
              <w:rPr>
                <w:sz w:val="18"/>
                <w:szCs w:val="18"/>
              </w:rPr>
              <w:t>2</w:t>
            </w:r>
            <w:r>
              <w:rPr>
                <w:rFonts w:hint="eastAsia"/>
                <w:sz w:val="18"/>
                <w:szCs w:val="18"/>
              </w:rPr>
              <w:t>）与后续服务公司进行交接；</w:t>
            </w:r>
            <w:r>
              <w:rPr>
                <w:sz w:val="18"/>
                <w:szCs w:val="18"/>
              </w:rPr>
              <w:t xml:space="preserve"> </w:t>
            </w:r>
          </w:p>
          <w:p>
            <w:pPr>
              <w:spacing w:line="320" w:lineRule="exact"/>
              <w:rPr>
                <w:sz w:val="18"/>
                <w:szCs w:val="18"/>
              </w:rPr>
            </w:pPr>
            <w:r>
              <w:rPr>
                <w:rFonts w:hint="eastAsia"/>
                <w:sz w:val="18"/>
                <w:szCs w:val="18"/>
              </w:rPr>
              <w:t>（</w:t>
            </w:r>
            <w:r>
              <w:rPr>
                <w:sz w:val="18"/>
                <w:szCs w:val="18"/>
              </w:rPr>
              <w:t>3</w:t>
            </w:r>
            <w:r>
              <w:rPr>
                <w:rFonts w:hint="eastAsia"/>
                <w:sz w:val="18"/>
                <w:szCs w:val="18"/>
              </w:rPr>
              <w:t>）服务期满，后续服务公司未到位前仍按原合同服务承诺提供服务。</w:t>
            </w:r>
          </w:p>
          <w:p>
            <w:pPr>
              <w:spacing w:line="320" w:lineRule="exact"/>
              <w:rPr>
                <w:rFonts w:hAnsi="宋体" w:cs="宋体" w:hint="eastAsia"/>
                <w:sz w:val="18"/>
                <w:szCs w:val="18"/>
              </w:rPr>
            </w:pPr>
            <w:r>
              <w:rPr>
                <w:rFonts w:hint="eastAsia"/>
                <w:b/>
                <w:bCs/>
                <w:sz w:val="18"/>
                <w:szCs w:val="18"/>
              </w:rPr>
              <w:t>（二）证明材料：</w:t>
            </w:r>
            <w:r>
              <w:rPr>
                <w:rFonts w:hint="eastAsia"/>
                <w:sz w:val="18"/>
                <w:szCs w:val="18"/>
              </w:rPr>
              <w:t>要求提供承诺（格式自定）作为得分依据，未提供承诺或承诺内容不满足要求不得分。</w:t>
            </w:r>
          </w:p>
        </w:tc>
      </w:tr>
      <w:tr>
        <w:tblPrEx>
          <w:tblW w:w="9072" w:type="dxa"/>
          <w:jc w:val="center"/>
          <w:tblCellSpacing w:w="0" w:type="dxa"/>
          <w:tblCellMar>
            <w:top w:w="20" w:type="dxa"/>
            <w:left w:w="108" w:type="dxa"/>
            <w:bottom w:w="20" w:type="dxa"/>
            <w:right w:w="108" w:type="dxa"/>
          </w:tblCellMar>
        </w:tblPrEx>
        <w:trPr>
          <w:tblCellSpacing w:w="0" w:type="dxa"/>
          <w:jc w:val="center"/>
        </w:trPr>
        <w:tc>
          <w:tcPr>
            <w:tcW w:w="656" w:type="dxa"/>
            <w:vMerge/>
            <w:vAlign w:val="center"/>
          </w:tcPr>
          <w:p>
            <w:pPr>
              <w:rPr>
                <w:rFonts w:ascii="宋体" w:hAnsi="宋体" w:cs="宋体" w:hint="eastAsia"/>
                <w:b/>
                <w:bCs/>
                <w:color w:val="0000FF"/>
                <w:sz w:val="18"/>
                <w:szCs w:val="18"/>
              </w:rPr>
            </w:pPr>
          </w:p>
        </w:tc>
        <w:tc>
          <w:tcPr>
            <w:tcW w:w="655" w:type="dxa"/>
            <w:vAlign w:val="center"/>
          </w:tcPr>
          <w:p>
            <w:pPr>
              <w:wordWrap w:val="0"/>
              <w:jc w:val="center"/>
              <w:rPr>
                <w:rFonts w:ascii="宋体" w:hAnsi="宋体" w:cs="宋体" w:hint="eastAsia"/>
                <w:sz w:val="18"/>
                <w:szCs w:val="18"/>
              </w:rPr>
            </w:pPr>
            <w:r>
              <w:rPr>
                <w:rFonts w:ascii="宋体" w:hAnsi="宋体" w:hint="eastAsia"/>
                <w:sz w:val="18"/>
                <w:szCs w:val="18"/>
              </w:rPr>
              <w:t>5</w:t>
            </w:r>
          </w:p>
        </w:tc>
        <w:tc>
          <w:tcPr>
            <w:tcW w:w="2606" w:type="dxa"/>
            <w:vAlign w:val="center"/>
          </w:tcPr>
          <w:p>
            <w:pPr>
              <w:spacing w:line="320" w:lineRule="exact"/>
              <w:jc w:val="center"/>
              <w:rPr>
                <w:rFonts w:ascii="宋体" w:hAnsi="宋体" w:cs="宋体" w:hint="eastAsia"/>
                <w:sz w:val="18"/>
                <w:szCs w:val="18"/>
              </w:rPr>
            </w:pPr>
            <w:r>
              <w:rPr>
                <w:rFonts w:hint="eastAsia"/>
                <w:sz w:val="18"/>
                <w:szCs w:val="18"/>
              </w:rPr>
              <w:t>违约承诺</w:t>
            </w:r>
          </w:p>
        </w:tc>
        <w:tc>
          <w:tcPr>
            <w:tcW w:w="756" w:type="dxa"/>
            <w:vAlign w:val="center"/>
          </w:tcPr>
          <w:p>
            <w:pPr>
              <w:spacing w:line="320" w:lineRule="exact"/>
              <w:jc w:val="center"/>
              <w:rPr>
                <w:rFonts w:ascii="宋体" w:hAnsi="宋体" w:cs="宋体" w:hint="eastAsia"/>
                <w:sz w:val="18"/>
                <w:szCs w:val="18"/>
              </w:rPr>
            </w:pPr>
            <w:r>
              <w:rPr>
                <w:sz w:val="18"/>
                <w:szCs w:val="18"/>
              </w:rPr>
              <w:t>4</w:t>
            </w:r>
          </w:p>
        </w:tc>
        <w:tc>
          <w:tcPr>
            <w:tcW w:w="4399" w:type="dxa"/>
          </w:tcPr>
          <w:p>
            <w:pPr>
              <w:spacing w:line="320" w:lineRule="exact"/>
              <w:rPr>
                <w:sz w:val="18"/>
                <w:szCs w:val="18"/>
              </w:rPr>
            </w:pPr>
            <w:r>
              <w:rPr>
                <w:rFonts w:hint="eastAsia"/>
                <w:b/>
                <w:bCs/>
                <w:sz w:val="18"/>
                <w:szCs w:val="18"/>
              </w:rPr>
              <w:t>（一）评审内容：</w:t>
            </w:r>
            <w:r>
              <w:rPr>
                <w:rFonts w:hint="eastAsia"/>
                <w:sz w:val="18"/>
                <w:szCs w:val="18"/>
              </w:rPr>
              <w:t>投标人承诺以下全部两项的得</w:t>
            </w:r>
            <w:r>
              <w:rPr>
                <w:sz w:val="18"/>
                <w:szCs w:val="18"/>
              </w:rPr>
              <w:t>100</w:t>
            </w:r>
            <w:r>
              <w:rPr>
                <w:rFonts w:hint="eastAsia"/>
                <w:sz w:val="18"/>
                <w:szCs w:val="18"/>
              </w:rPr>
              <w:t>分，否则不得分。</w:t>
            </w:r>
          </w:p>
          <w:p>
            <w:pPr>
              <w:spacing w:line="320" w:lineRule="exact"/>
              <w:rPr>
                <w:sz w:val="18"/>
                <w:szCs w:val="18"/>
              </w:rPr>
            </w:pPr>
            <w:r>
              <w:rPr>
                <w:rFonts w:hint="eastAsia"/>
                <w:sz w:val="18"/>
                <w:szCs w:val="18"/>
              </w:rPr>
              <w:t>（1）服务质量达到招标文件要求；</w:t>
            </w:r>
            <w:r>
              <w:rPr>
                <w:sz w:val="18"/>
                <w:szCs w:val="18"/>
              </w:rPr>
              <w:t xml:space="preserve"> </w:t>
            </w:r>
          </w:p>
          <w:p>
            <w:pPr>
              <w:spacing w:line="320" w:lineRule="exact"/>
              <w:rPr>
                <w:sz w:val="18"/>
                <w:szCs w:val="18"/>
              </w:rPr>
            </w:pPr>
            <w:r>
              <w:rPr>
                <w:rFonts w:hint="eastAsia"/>
                <w:sz w:val="18"/>
                <w:szCs w:val="18"/>
              </w:rPr>
              <w:t>（2）对未能达到管理要求承担相应管理责任。</w:t>
            </w:r>
            <w:r>
              <w:rPr>
                <w:sz w:val="18"/>
                <w:szCs w:val="18"/>
              </w:rPr>
              <w:t xml:space="preserve"> </w:t>
            </w:r>
          </w:p>
          <w:p>
            <w:pPr>
              <w:spacing w:line="320" w:lineRule="exact"/>
              <w:rPr>
                <w:rFonts w:hAnsi="宋体" w:cs="宋体" w:hint="eastAsia"/>
                <w:sz w:val="18"/>
                <w:szCs w:val="18"/>
              </w:rPr>
            </w:pPr>
            <w:r>
              <w:rPr>
                <w:rFonts w:hint="eastAsia"/>
                <w:b/>
                <w:bCs/>
                <w:sz w:val="18"/>
                <w:szCs w:val="18"/>
              </w:rPr>
              <w:t>（二）证明材料：</w:t>
            </w:r>
            <w:r>
              <w:rPr>
                <w:rFonts w:hint="eastAsia"/>
                <w:sz w:val="18"/>
                <w:szCs w:val="18"/>
              </w:rPr>
              <w:t>要求提供承诺函作为得分依据。若隐瞒情况虚假承诺将被终止合同，并报主管部门处理。</w:t>
            </w:r>
          </w:p>
        </w:tc>
      </w:tr>
      <w:tr>
        <w:tblPrEx>
          <w:tblW w:w="9072" w:type="dxa"/>
          <w:jc w:val="center"/>
          <w:tblCellSpacing w:w="0" w:type="dxa"/>
          <w:tblCellMar>
            <w:top w:w="20" w:type="dxa"/>
            <w:left w:w="108" w:type="dxa"/>
            <w:bottom w:w="20" w:type="dxa"/>
            <w:right w:w="108" w:type="dxa"/>
          </w:tblCellMar>
        </w:tblPrEx>
        <w:trPr>
          <w:tblCellSpacing w:w="0" w:type="dxa"/>
          <w:jc w:val="center"/>
        </w:trPr>
        <w:tc>
          <w:tcPr>
            <w:tcW w:w="656" w:type="dxa"/>
            <w:vMerge/>
            <w:vAlign w:val="center"/>
          </w:tcPr>
          <w:p>
            <w:pPr>
              <w:rPr>
                <w:rFonts w:ascii="宋体" w:hAnsi="宋体" w:cs="宋体" w:hint="eastAsia"/>
                <w:b/>
                <w:bCs/>
                <w:color w:val="0000FF"/>
                <w:sz w:val="18"/>
                <w:szCs w:val="18"/>
              </w:rPr>
            </w:pPr>
          </w:p>
        </w:tc>
        <w:tc>
          <w:tcPr>
            <w:tcW w:w="655" w:type="dxa"/>
            <w:vAlign w:val="center"/>
          </w:tcPr>
          <w:p>
            <w:pPr>
              <w:wordWrap w:val="0"/>
              <w:jc w:val="center"/>
              <w:rPr>
                <w:rFonts w:ascii="宋体" w:hAnsi="宋体" w:cs="宋体" w:hint="eastAsia"/>
                <w:sz w:val="18"/>
                <w:szCs w:val="18"/>
              </w:rPr>
            </w:pPr>
            <w:r>
              <w:rPr>
                <w:rFonts w:ascii="宋体" w:hAnsi="宋体"/>
                <w:sz w:val="18"/>
                <w:szCs w:val="18"/>
              </w:rPr>
              <w:t>6</w:t>
            </w:r>
          </w:p>
        </w:tc>
        <w:tc>
          <w:tcPr>
            <w:tcW w:w="2606" w:type="dxa"/>
            <w:vAlign w:val="center"/>
          </w:tcPr>
          <w:p>
            <w:pPr>
              <w:spacing w:line="320" w:lineRule="exact"/>
              <w:jc w:val="center"/>
              <w:rPr>
                <w:rFonts w:ascii="宋体" w:hAnsi="宋体" w:cs="宋体" w:hint="eastAsia"/>
                <w:sz w:val="18"/>
                <w:szCs w:val="18"/>
              </w:rPr>
            </w:pPr>
            <w:r>
              <w:rPr>
                <w:rFonts w:hint="eastAsia"/>
                <w:sz w:val="18"/>
                <w:szCs w:val="18"/>
              </w:rPr>
              <w:t>拟安排的项目负责人情况（仅限一人）</w:t>
            </w:r>
          </w:p>
        </w:tc>
        <w:tc>
          <w:tcPr>
            <w:tcW w:w="756" w:type="dxa"/>
            <w:vAlign w:val="center"/>
          </w:tcPr>
          <w:p>
            <w:pPr>
              <w:spacing w:line="320" w:lineRule="exact"/>
              <w:jc w:val="center"/>
              <w:rPr>
                <w:rFonts w:ascii="宋体" w:hAnsi="宋体" w:cs="宋体" w:hint="eastAsia"/>
                <w:sz w:val="18"/>
                <w:szCs w:val="18"/>
              </w:rPr>
            </w:pPr>
            <w:r>
              <w:rPr>
                <w:sz w:val="18"/>
                <w:szCs w:val="18"/>
              </w:rPr>
              <w:t>8</w:t>
            </w:r>
          </w:p>
        </w:tc>
        <w:tc>
          <w:tcPr>
            <w:tcW w:w="4399" w:type="dxa"/>
          </w:tcPr>
          <w:p>
            <w:pPr>
              <w:spacing w:line="320" w:lineRule="exact"/>
              <w:rPr>
                <w:sz w:val="18"/>
                <w:szCs w:val="18"/>
              </w:rPr>
            </w:pPr>
            <w:r>
              <w:rPr>
                <w:rFonts w:hint="eastAsia"/>
                <w:b/>
                <w:bCs/>
                <w:sz w:val="18"/>
                <w:szCs w:val="18"/>
              </w:rPr>
              <w:t>（一）评审内容：</w:t>
            </w:r>
            <w:r>
              <w:rPr>
                <w:rFonts w:hint="eastAsia"/>
                <w:sz w:val="18"/>
                <w:szCs w:val="18"/>
              </w:rPr>
              <w:t>拟安排项目负责人为投标单位员工，否则本项不得分。</w:t>
            </w:r>
          </w:p>
          <w:p>
            <w:pPr>
              <w:spacing w:line="320" w:lineRule="exact"/>
              <w:rPr>
                <w:sz w:val="18"/>
                <w:szCs w:val="18"/>
              </w:rPr>
            </w:pPr>
            <w:r>
              <w:rPr>
                <w:rFonts w:hint="eastAsia"/>
                <w:sz w:val="18"/>
                <w:szCs w:val="18"/>
              </w:rPr>
              <w:t>（1）具有物业管理类相关专业本科学历（或以上）得</w:t>
            </w:r>
            <w:r>
              <w:rPr>
                <w:sz w:val="18"/>
                <w:szCs w:val="18"/>
              </w:rPr>
              <w:t>15</w:t>
            </w:r>
            <w:r>
              <w:rPr>
                <w:rFonts w:hint="eastAsia"/>
                <w:sz w:val="18"/>
                <w:szCs w:val="18"/>
              </w:rPr>
              <w:t>分；</w:t>
            </w:r>
          </w:p>
          <w:p>
            <w:pPr>
              <w:spacing w:line="320" w:lineRule="exact"/>
              <w:rPr>
                <w:sz w:val="18"/>
                <w:szCs w:val="18"/>
              </w:rPr>
            </w:pPr>
            <w:r>
              <w:rPr>
                <w:rFonts w:hint="eastAsia"/>
                <w:sz w:val="18"/>
                <w:szCs w:val="18"/>
              </w:rPr>
              <w:t>（2）具有建设部人事教育司或全国城建培训中心颁发的全国物业管理企业经理或全国物业项目经理岗位证书，得</w:t>
            </w:r>
            <w:r>
              <w:rPr>
                <w:sz w:val="18"/>
                <w:szCs w:val="18"/>
              </w:rPr>
              <w:t>15</w:t>
            </w:r>
            <w:r>
              <w:rPr>
                <w:rFonts w:hint="eastAsia"/>
                <w:sz w:val="18"/>
                <w:szCs w:val="18"/>
              </w:rPr>
              <w:t>分；</w:t>
            </w:r>
          </w:p>
          <w:p>
            <w:pPr>
              <w:spacing w:line="320" w:lineRule="exact"/>
              <w:rPr>
                <w:sz w:val="18"/>
                <w:szCs w:val="18"/>
              </w:rPr>
            </w:pPr>
            <w:r>
              <w:rPr>
                <w:rFonts w:hint="eastAsia"/>
                <w:sz w:val="18"/>
                <w:szCs w:val="18"/>
              </w:rPr>
              <w:t>（3）具有人社部门（或经人社部门备案的颁证机构）颁发物业管理师（员）证书的得15分；</w:t>
            </w:r>
          </w:p>
          <w:p>
            <w:pPr>
              <w:spacing w:line="320" w:lineRule="exact"/>
              <w:rPr>
                <w:sz w:val="18"/>
                <w:szCs w:val="18"/>
              </w:rPr>
            </w:pPr>
            <w:r>
              <w:rPr>
                <w:rFonts w:hint="eastAsia"/>
                <w:sz w:val="18"/>
                <w:szCs w:val="18"/>
              </w:rPr>
              <w:t>（4）具有清洁或环卫等行业协会颁发的高级清洁管理师项目经理证或高级清洁管理师（项目经理）</w:t>
            </w:r>
            <w:r>
              <w:rPr>
                <w:rFonts w:hint="eastAsia"/>
                <w:sz w:val="18"/>
                <w:szCs w:val="18"/>
                <w:lang w:val="en-US" w:eastAsia="zh-CN"/>
              </w:rPr>
              <w:t>证</w:t>
            </w:r>
            <w:r>
              <w:rPr>
                <w:rFonts w:hint="eastAsia"/>
                <w:sz w:val="18"/>
                <w:szCs w:val="18"/>
              </w:rPr>
              <w:t>得15分；</w:t>
            </w:r>
          </w:p>
          <w:p>
            <w:pPr>
              <w:spacing w:line="320" w:lineRule="exact"/>
              <w:rPr>
                <w:sz w:val="18"/>
                <w:szCs w:val="18"/>
              </w:rPr>
            </w:pPr>
            <w:r>
              <w:rPr>
                <w:rFonts w:hint="eastAsia"/>
                <w:sz w:val="18"/>
                <w:szCs w:val="18"/>
              </w:rPr>
              <w:t>（5）具有人社部门（或其他职称评审部门）颁发的人力资源管理类或园林绿化类或电子信息工程类的中级（或以上）职称证书，得</w:t>
            </w:r>
            <w:r>
              <w:rPr>
                <w:sz w:val="18"/>
                <w:szCs w:val="18"/>
              </w:rPr>
              <w:t>40</w:t>
            </w:r>
            <w:r>
              <w:rPr>
                <w:rFonts w:hint="eastAsia"/>
                <w:sz w:val="18"/>
                <w:szCs w:val="18"/>
              </w:rPr>
              <w:t>分；</w:t>
            </w:r>
          </w:p>
          <w:p>
            <w:pPr>
              <w:spacing w:line="320" w:lineRule="exact"/>
              <w:rPr>
                <w:sz w:val="18"/>
                <w:szCs w:val="18"/>
              </w:rPr>
            </w:pPr>
            <w:r>
              <w:rPr>
                <w:rFonts w:hint="eastAsia"/>
                <w:sz w:val="18"/>
                <w:szCs w:val="18"/>
              </w:rPr>
              <w:t>以上</w:t>
            </w:r>
            <w:r>
              <w:rPr>
                <w:sz w:val="18"/>
                <w:szCs w:val="18"/>
              </w:rPr>
              <w:t>5</w:t>
            </w:r>
            <w:r>
              <w:rPr>
                <w:rFonts w:hint="eastAsia"/>
                <w:sz w:val="18"/>
                <w:szCs w:val="18"/>
              </w:rPr>
              <w:t>项累计计分，最高得</w:t>
            </w:r>
            <w:r>
              <w:rPr>
                <w:sz w:val="18"/>
                <w:szCs w:val="18"/>
              </w:rPr>
              <w:t>100</w:t>
            </w:r>
            <w:r>
              <w:rPr>
                <w:rFonts w:hint="eastAsia"/>
                <w:sz w:val="18"/>
                <w:szCs w:val="18"/>
              </w:rPr>
              <w:t>分。</w:t>
            </w:r>
          </w:p>
          <w:p>
            <w:pPr>
              <w:spacing w:line="320" w:lineRule="exact"/>
              <w:rPr>
                <w:sz w:val="18"/>
                <w:szCs w:val="18"/>
              </w:rPr>
            </w:pPr>
            <w:r>
              <w:rPr>
                <w:rFonts w:hint="eastAsia"/>
                <w:b/>
                <w:bCs/>
                <w:sz w:val="18"/>
                <w:szCs w:val="18"/>
              </w:rPr>
              <w:t>（二）证明材料：</w:t>
            </w:r>
          </w:p>
          <w:p>
            <w:pPr>
              <w:spacing w:line="320" w:lineRule="exact"/>
              <w:rPr>
                <w:sz w:val="18"/>
                <w:szCs w:val="18"/>
              </w:rPr>
            </w:pPr>
            <w:r>
              <w:rPr>
                <w:rFonts w:hint="eastAsia"/>
                <w:sz w:val="18"/>
                <w:szCs w:val="18"/>
              </w:rPr>
              <w:t>（1）要求投标人提供相关证书等证明资料作为得分依据。</w:t>
            </w:r>
          </w:p>
          <w:p>
            <w:pPr>
              <w:spacing w:line="320" w:lineRule="exact"/>
              <w:rPr>
                <w:sz w:val="18"/>
                <w:szCs w:val="18"/>
              </w:rPr>
            </w:pPr>
            <w:r>
              <w:rPr>
                <w:rFonts w:hint="eastAsia"/>
                <w:sz w:val="18"/>
                <w:szCs w:val="18"/>
              </w:rPr>
              <w:t>（2）提供通过投标人缴纳的近三个月（含开标当月）的任意一个月的社保证明作为本单位员工的证明依据，如供应商成立不足一个月或员工入职不足一个月的，提供情况说明函（格式自拟），无需提供相关人员社保，亦可得分；未按要求提供的，投入的该人员作不得分处理。</w:t>
            </w:r>
          </w:p>
          <w:p>
            <w:pPr>
              <w:spacing w:line="320" w:lineRule="exact"/>
              <w:rPr>
                <w:sz w:val="18"/>
                <w:szCs w:val="18"/>
              </w:rPr>
            </w:pPr>
            <w:r>
              <w:rPr>
                <w:rFonts w:hint="eastAsia"/>
                <w:sz w:val="18"/>
                <w:szCs w:val="18"/>
              </w:rPr>
              <w:t>（3）提供学历证书扫描件以及学历信息在学信网查询结果截图（https://www.chsi.com.cn/xlcx/index.jsp），由于日期较早无法查询的，需提供毕业院校或者人社部门出具的证明，国外学历证书提供教育部留学服务中心出具的国外学历认证书以及教育部留学服务中心官网查询截图（查询网址：http://zwfw.cscse.edu.cn/）；</w:t>
            </w:r>
          </w:p>
          <w:p>
            <w:pPr>
              <w:spacing w:line="320" w:lineRule="exact"/>
              <w:rPr>
                <w:sz w:val="18"/>
                <w:szCs w:val="18"/>
              </w:rPr>
            </w:pPr>
            <w:r>
              <w:rPr>
                <w:rFonts w:hint="eastAsia"/>
                <w:sz w:val="18"/>
                <w:szCs w:val="18"/>
              </w:rPr>
              <w:t>（4）若为协会颁发的证书，则提供证书的同时还需同时提供该组织在“中国社会组织政务服务平台（全国社会组织信用信息公示平台）https://xxgs.chinanpo.mca.gov.cn/”的查询截图（状态为正常），否则该证书不得分。</w:t>
            </w:r>
          </w:p>
          <w:p>
            <w:pPr>
              <w:spacing w:line="320" w:lineRule="exact"/>
              <w:rPr>
                <w:sz w:val="18"/>
                <w:szCs w:val="18"/>
              </w:rPr>
            </w:pPr>
            <w:r>
              <w:rPr>
                <w:rFonts w:hint="eastAsia"/>
                <w:sz w:val="18"/>
                <w:szCs w:val="18"/>
              </w:rPr>
              <w:t>（5）涉及职称，需同时提供证书在全国人力资源和社会保障政务服务平台（https://www.12333.gov.cn/）的查询截图，该网站不能查询的，需提供人社部门或发证部门官网查询截图或出具的证明文件，否则不得分；涉及职业资格证书或职业技能等级证书的，需同时提供证书在技能人才评价证书全国联网查询平台（</w:t>
            </w:r>
            <w:bookmarkStart w:id="1" w:name="OLE_LINK6"/>
            <w:r>
              <w:rPr>
                <w:rFonts w:hint="eastAsia"/>
                <w:sz w:val="18"/>
                <w:szCs w:val="18"/>
              </w:rPr>
              <w:t>http://zscx.osta.org.cn/</w:t>
            </w:r>
            <w:bookmarkEnd w:id="1"/>
            <w:r>
              <w:rPr>
                <w:rFonts w:hint="eastAsia"/>
                <w:sz w:val="18"/>
                <w:szCs w:val="18"/>
              </w:rPr>
              <w:t>）的查询截图，否则不得分</w:t>
            </w:r>
          </w:p>
          <w:p>
            <w:pPr>
              <w:spacing w:line="320" w:lineRule="exact"/>
              <w:rPr>
                <w:sz w:val="18"/>
                <w:szCs w:val="18"/>
              </w:rPr>
            </w:pPr>
            <w:r>
              <w:rPr>
                <w:rFonts w:hint="eastAsia"/>
                <w:sz w:val="18"/>
                <w:szCs w:val="18"/>
              </w:rPr>
              <w:t>（6）以上资料均要求提供扫描件（或官方网站截图）。评分中出现无证明资料或专家无法凭所提供资料判断是否得分的情况，一律作不得分处理。</w:t>
            </w:r>
          </w:p>
        </w:tc>
      </w:tr>
      <w:tr>
        <w:tblPrEx>
          <w:tblW w:w="9072" w:type="dxa"/>
          <w:jc w:val="center"/>
          <w:tblCellSpacing w:w="0" w:type="dxa"/>
          <w:tblCellMar>
            <w:top w:w="20" w:type="dxa"/>
            <w:left w:w="108" w:type="dxa"/>
            <w:bottom w:w="20" w:type="dxa"/>
            <w:right w:w="108" w:type="dxa"/>
          </w:tblCellMar>
        </w:tblPrEx>
        <w:trPr>
          <w:tblCellSpacing w:w="0" w:type="dxa"/>
          <w:jc w:val="center"/>
        </w:trPr>
        <w:tc>
          <w:tcPr>
            <w:tcW w:w="656" w:type="dxa"/>
            <w:vMerge/>
            <w:vAlign w:val="center"/>
          </w:tcPr>
          <w:p>
            <w:pPr>
              <w:rPr>
                <w:rFonts w:ascii="宋体" w:hAnsi="宋体" w:cs="宋体" w:hint="eastAsia"/>
                <w:b/>
                <w:bCs/>
                <w:color w:val="0000FF"/>
                <w:sz w:val="18"/>
                <w:szCs w:val="18"/>
              </w:rPr>
            </w:pPr>
          </w:p>
        </w:tc>
        <w:tc>
          <w:tcPr>
            <w:tcW w:w="655" w:type="dxa"/>
            <w:vAlign w:val="center"/>
          </w:tcPr>
          <w:p>
            <w:pPr>
              <w:wordWrap w:val="0"/>
              <w:jc w:val="center"/>
              <w:rPr>
                <w:rFonts w:ascii="宋体" w:hAnsi="宋体" w:hint="eastAsia"/>
                <w:sz w:val="18"/>
                <w:szCs w:val="18"/>
              </w:rPr>
            </w:pPr>
            <w:r>
              <w:rPr>
                <w:rFonts w:ascii="宋体" w:hAnsi="宋体" w:hint="eastAsia"/>
                <w:sz w:val="18"/>
                <w:szCs w:val="18"/>
              </w:rPr>
              <w:t>7</w:t>
            </w:r>
          </w:p>
        </w:tc>
        <w:tc>
          <w:tcPr>
            <w:tcW w:w="2606" w:type="dxa"/>
            <w:vAlign w:val="center"/>
          </w:tcPr>
          <w:p>
            <w:pPr>
              <w:spacing w:line="320" w:lineRule="exact"/>
              <w:jc w:val="center"/>
              <w:rPr>
                <w:rFonts w:ascii="宋体" w:hAnsi="宋体" w:cs="宋体" w:hint="eastAsia"/>
                <w:sz w:val="18"/>
                <w:szCs w:val="18"/>
              </w:rPr>
            </w:pPr>
            <w:r>
              <w:rPr>
                <w:rFonts w:hint="eastAsia"/>
                <w:sz w:val="18"/>
                <w:szCs w:val="18"/>
              </w:rPr>
              <w:t>拟安排的项目主要团队成员（主要技术人员）情况（项目负责人除外）</w:t>
            </w:r>
          </w:p>
        </w:tc>
        <w:tc>
          <w:tcPr>
            <w:tcW w:w="756" w:type="dxa"/>
            <w:vAlign w:val="center"/>
          </w:tcPr>
          <w:p>
            <w:pPr>
              <w:spacing w:line="320" w:lineRule="exact"/>
              <w:jc w:val="center"/>
              <w:rPr>
                <w:rFonts w:ascii="宋体" w:hAnsi="宋体" w:cs="宋体" w:hint="eastAsia"/>
                <w:sz w:val="18"/>
                <w:szCs w:val="18"/>
              </w:rPr>
            </w:pPr>
            <w:r>
              <w:rPr>
                <w:sz w:val="18"/>
                <w:szCs w:val="18"/>
              </w:rPr>
              <w:t>18</w:t>
            </w:r>
          </w:p>
        </w:tc>
        <w:tc>
          <w:tcPr>
            <w:tcW w:w="4399" w:type="dxa"/>
          </w:tcPr>
          <w:p>
            <w:pPr>
              <w:spacing w:line="320" w:lineRule="exact"/>
              <w:rPr>
                <w:sz w:val="18"/>
                <w:szCs w:val="18"/>
              </w:rPr>
            </w:pPr>
            <w:r>
              <w:rPr>
                <w:rFonts w:hint="eastAsia"/>
                <w:b/>
                <w:bCs/>
                <w:sz w:val="18"/>
                <w:szCs w:val="18"/>
              </w:rPr>
              <w:t>（一）评审内容：</w:t>
            </w:r>
            <w:r>
              <w:rPr>
                <w:rFonts w:hint="eastAsia"/>
                <w:sz w:val="18"/>
                <w:szCs w:val="18"/>
              </w:rPr>
              <w:t>拟安排的项目主要团队成员（主要技术人员）情况（项目负责人除外）为投标单位员工，否则该人员情况不计分。</w:t>
            </w:r>
          </w:p>
          <w:p>
            <w:pPr>
              <w:spacing w:line="320" w:lineRule="exact"/>
              <w:rPr>
                <w:b/>
                <w:bCs/>
                <w:sz w:val="18"/>
                <w:szCs w:val="18"/>
              </w:rPr>
            </w:pPr>
            <w:r>
              <w:rPr>
                <w:rFonts w:hint="eastAsia"/>
                <w:b/>
                <w:bCs/>
                <w:sz w:val="18"/>
                <w:szCs w:val="18"/>
              </w:rPr>
              <w:t>（1）客服主任（</w:t>
            </w:r>
            <w:r>
              <w:rPr>
                <w:b/>
                <w:bCs/>
                <w:sz w:val="18"/>
                <w:szCs w:val="18"/>
              </w:rPr>
              <w:t>1</w:t>
            </w:r>
            <w:r>
              <w:rPr>
                <w:rFonts w:hint="eastAsia"/>
                <w:b/>
                <w:bCs/>
                <w:sz w:val="18"/>
                <w:szCs w:val="18"/>
              </w:rPr>
              <w:t>人）：</w:t>
            </w:r>
          </w:p>
          <w:p>
            <w:pPr>
              <w:spacing w:line="320" w:lineRule="exact"/>
              <w:rPr>
                <w:sz w:val="18"/>
                <w:szCs w:val="18"/>
              </w:rPr>
            </w:pPr>
            <w:r>
              <w:rPr>
                <w:rFonts w:hint="eastAsia"/>
                <w:sz w:val="18"/>
                <w:szCs w:val="18"/>
              </w:rPr>
              <w:t>在同时具有本科或以上学历、国家语言文字工作委员会颁发的普通话二级乙等或以上证书的基础上：</w:t>
            </w:r>
          </w:p>
          <w:p>
            <w:pPr>
              <w:spacing w:line="320" w:lineRule="exact"/>
              <w:rPr>
                <w:sz w:val="18"/>
                <w:szCs w:val="18"/>
              </w:rPr>
            </w:pPr>
            <w:r>
              <w:rPr>
                <w:rFonts w:hint="eastAsia"/>
                <w:sz w:val="18"/>
                <w:szCs w:val="18"/>
              </w:rPr>
              <w:t>（</w:t>
            </w:r>
            <w:r>
              <w:rPr>
                <w:sz w:val="18"/>
                <w:szCs w:val="18"/>
              </w:rPr>
              <w:t>1</w:t>
            </w:r>
            <w:r>
              <w:rPr>
                <w:rFonts w:hint="eastAsia"/>
                <w:sz w:val="18"/>
                <w:szCs w:val="18"/>
              </w:rPr>
              <w:t>）具有大学英语四级或以上证书的得</w:t>
            </w:r>
            <w:r>
              <w:rPr>
                <w:sz w:val="18"/>
                <w:szCs w:val="18"/>
              </w:rPr>
              <w:t>5</w:t>
            </w:r>
            <w:r>
              <w:rPr>
                <w:rFonts w:hint="eastAsia"/>
                <w:sz w:val="18"/>
                <w:szCs w:val="18"/>
              </w:rPr>
              <w:t>分；</w:t>
            </w:r>
          </w:p>
          <w:p>
            <w:pPr>
              <w:spacing w:line="320" w:lineRule="exact"/>
              <w:rPr>
                <w:sz w:val="18"/>
                <w:szCs w:val="18"/>
              </w:rPr>
            </w:pPr>
            <w:r>
              <w:rPr>
                <w:rFonts w:hint="eastAsia"/>
                <w:sz w:val="18"/>
                <w:szCs w:val="18"/>
              </w:rPr>
              <w:t>（</w:t>
            </w:r>
            <w:r>
              <w:rPr>
                <w:sz w:val="18"/>
                <w:szCs w:val="18"/>
              </w:rPr>
              <w:t>2</w:t>
            </w:r>
            <w:r>
              <w:rPr>
                <w:rFonts w:hint="eastAsia"/>
                <w:sz w:val="18"/>
                <w:szCs w:val="18"/>
              </w:rPr>
              <w:t>）具有人社部门</w:t>
            </w:r>
            <w:r>
              <w:rPr>
                <w:rFonts w:asciiTheme="minorEastAsia" w:eastAsiaTheme="minorEastAsia" w:hAnsiTheme="minorEastAsia" w:hint="eastAsia"/>
                <w:sz w:val="18"/>
                <w:szCs w:val="21"/>
              </w:rPr>
              <w:t>（或其他职称评审部门）</w:t>
            </w:r>
            <w:r>
              <w:rPr>
                <w:rFonts w:hint="eastAsia"/>
                <w:sz w:val="18"/>
                <w:szCs w:val="18"/>
              </w:rPr>
              <w:t>颁发的人力资源管理类中级（或以上）职称证书得</w:t>
            </w:r>
            <w:r>
              <w:rPr>
                <w:sz w:val="18"/>
                <w:szCs w:val="18"/>
              </w:rPr>
              <w:t>10</w:t>
            </w:r>
            <w:r>
              <w:rPr>
                <w:rFonts w:hint="eastAsia"/>
                <w:sz w:val="18"/>
                <w:szCs w:val="18"/>
              </w:rPr>
              <w:t>分；</w:t>
            </w:r>
          </w:p>
          <w:p>
            <w:pPr>
              <w:spacing w:line="320" w:lineRule="exact"/>
              <w:rPr>
                <w:sz w:val="18"/>
                <w:szCs w:val="18"/>
              </w:rPr>
            </w:pPr>
            <w:r>
              <w:rPr>
                <w:rFonts w:hint="eastAsia"/>
                <w:sz w:val="18"/>
                <w:szCs w:val="18"/>
              </w:rPr>
              <w:t>（</w:t>
            </w:r>
            <w:r>
              <w:rPr>
                <w:sz w:val="18"/>
                <w:szCs w:val="18"/>
              </w:rPr>
              <w:t>3</w:t>
            </w:r>
            <w:r>
              <w:rPr>
                <w:rFonts w:hint="eastAsia"/>
                <w:sz w:val="18"/>
                <w:szCs w:val="18"/>
              </w:rPr>
              <w:t>）具有人社部门（或经人社部门备案的颁证机构）颁发的五级（初级工）或以上应急救援员证书得</w:t>
            </w:r>
            <w:r>
              <w:rPr>
                <w:sz w:val="18"/>
                <w:szCs w:val="18"/>
              </w:rPr>
              <w:t>5</w:t>
            </w:r>
            <w:r>
              <w:rPr>
                <w:rFonts w:hint="eastAsia"/>
                <w:sz w:val="18"/>
                <w:szCs w:val="18"/>
              </w:rPr>
              <w:t>分。</w:t>
            </w:r>
          </w:p>
          <w:p>
            <w:pPr>
              <w:spacing w:line="320" w:lineRule="exact"/>
              <w:rPr>
                <w:sz w:val="18"/>
                <w:szCs w:val="18"/>
              </w:rPr>
            </w:pPr>
            <w:r>
              <w:rPr>
                <w:rFonts w:hint="eastAsia"/>
                <w:sz w:val="18"/>
                <w:szCs w:val="18"/>
              </w:rPr>
              <w:t>以上满分</w:t>
            </w:r>
            <w:r>
              <w:rPr>
                <w:sz w:val="18"/>
                <w:szCs w:val="18"/>
              </w:rPr>
              <w:t>20</w:t>
            </w:r>
            <w:r>
              <w:rPr>
                <w:rFonts w:hint="eastAsia"/>
                <w:sz w:val="18"/>
                <w:szCs w:val="18"/>
              </w:rPr>
              <w:t>分。</w:t>
            </w:r>
          </w:p>
          <w:p>
            <w:pPr>
              <w:spacing w:line="320" w:lineRule="exact"/>
              <w:rPr>
                <w:b/>
                <w:bCs/>
                <w:sz w:val="18"/>
                <w:szCs w:val="18"/>
              </w:rPr>
            </w:pPr>
            <w:r>
              <w:rPr>
                <w:rFonts w:hint="eastAsia"/>
                <w:b/>
                <w:bCs/>
                <w:sz w:val="18"/>
                <w:szCs w:val="18"/>
              </w:rPr>
              <w:t>（2）安管主任（</w:t>
            </w:r>
            <w:r>
              <w:rPr>
                <w:b/>
                <w:bCs/>
                <w:sz w:val="18"/>
                <w:szCs w:val="18"/>
              </w:rPr>
              <w:t>1</w:t>
            </w:r>
            <w:r>
              <w:rPr>
                <w:rFonts w:hint="eastAsia"/>
                <w:b/>
                <w:bCs/>
                <w:sz w:val="18"/>
                <w:szCs w:val="18"/>
              </w:rPr>
              <w:t>人）：</w:t>
            </w:r>
          </w:p>
          <w:p>
            <w:pPr>
              <w:spacing w:line="320" w:lineRule="exact"/>
              <w:rPr>
                <w:sz w:val="18"/>
                <w:szCs w:val="18"/>
              </w:rPr>
            </w:pPr>
            <w:r>
              <w:rPr>
                <w:rFonts w:hint="eastAsia"/>
                <w:sz w:val="18"/>
                <w:szCs w:val="18"/>
              </w:rPr>
              <w:t>在同时具有本科或以上学历、退伍军人证（或义务兵退出现役证或士兵退出现役证）的基础上：</w:t>
            </w:r>
          </w:p>
          <w:p>
            <w:pPr>
              <w:spacing w:line="320" w:lineRule="exact"/>
              <w:rPr>
                <w:sz w:val="18"/>
                <w:szCs w:val="18"/>
              </w:rPr>
            </w:pPr>
            <w:r>
              <w:rPr>
                <w:rFonts w:hint="eastAsia"/>
                <w:sz w:val="18"/>
                <w:szCs w:val="18"/>
              </w:rPr>
              <w:t>（</w:t>
            </w:r>
            <w:r>
              <w:rPr>
                <w:sz w:val="18"/>
                <w:szCs w:val="18"/>
              </w:rPr>
              <w:t>1</w:t>
            </w:r>
            <w:r>
              <w:rPr>
                <w:rFonts w:hint="eastAsia"/>
                <w:sz w:val="18"/>
                <w:szCs w:val="18"/>
              </w:rPr>
              <w:t>）具有应急管理部颁发的安全生产知识和管理能力考核合格证书得5分；</w:t>
            </w:r>
          </w:p>
          <w:p>
            <w:pPr>
              <w:spacing w:line="320" w:lineRule="exact"/>
              <w:rPr>
                <w:sz w:val="18"/>
                <w:szCs w:val="18"/>
              </w:rPr>
            </w:pPr>
            <w:r>
              <w:rPr>
                <w:rFonts w:hint="eastAsia"/>
                <w:sz w:val="18"/>
                <w:szCs w:val="18"/>
              </w:rPr>
              <w:t>（2）具有急救中心或红十字会颁发的初级救护员证的得</w:t>
            </w:r>
            <w:r>
              <w:rPr>
                <w:sz w:val="18"/>
                <w:szCs w:val="18"/>
              </w:rPr>
              <w:t>5</w:t>
            </w:r>
            <w:r>
              <w:rPr>
                <w:rFonts w:hint="eastAsia"/>
                <w:sz w:val="18"/>
                <w:szCs w:val="18"/>
              </w:rPr>
              <w:t>分；</w:t>
            </w:r>
          </w:p>
          <w:p>
            <w:pPr>
              <w:spacing w:line="320" w:lineRule="exact"/>
              <w:rPr>
                <w:sz w:val="18"/>
                <w:szCs w:val="18"/>
              </w:rPr>
            </w:pPr>
            <w:r>
              <w:rPr>
                <w:rFonts w:hint="eastAsia"/>
                <w:sz w:val="18"/>
                <w:szCs w:val="18"/>
              </w:rPr>
              <w:t>（</w:t>
            </w:r>
            <w:r>
              <w:rPr>
                <w:sz w:val="18"/>
                <w:szCs w:val="18"/>
              </w:rPr>
              <w:t>3</w:t>
            </w:r>
            <w:r>
              <w:rPr>
                <w:rFonts w:hint="eastAsia"/>
                <w:sz w:val="18"/>
                <w:szCs w:val="18"/>
              </w:rPr>
              <w:t>）具有</w:t>
            </w:r>
            <w:r>
              <w:rPr>
                <w:rFonts w:hint="eastAsia"/>
                <w:lang w:val="en-US" w:eastAsia="zh-CN"/>
              </w:rPr>
              <w:t>县（区）级及以上</w:t>
            </w:r>
            <w:r>
              <w:rPr>
                <w:rFonts w:hint="eastAsia"/>
                <w:sz w:val="18"/>
                <w:szCs w:val="18"/>
              </w:rPr>
              <w:t>政府部门（不含</w:t>
            </w:r>
            <w:bookmarkStart w:id="2" w:name="OLE_LINK8"/>
            <w:r>
              <w:rPr>
                <w:rFonts w:hint="eastAsia"/>
                <w:sz w:val="18"/>
                <w:szCs w:val="18"/>
              </w:rPr>
              <w:t>街道办事处</w:t>
            </w:r>
            <w:bookmarkEnd w:id="2"/>
            <w:r>
              <w:rPr>
                <w:rFonts w:hint="eastAsia"/>
                <w:sz w:val="18"/>
                <w:szCs w:val="18"/>
              </w:rPr>
              <w:t>）颁发的优秀保安员荣誉证书得</w:t>
            </w:r>
            <w:r>
              <w:rPr>
                <w:sz w:val="18"/>
                <w:szCs w:val="18"/>
              </w:rPr>
              <w:t>10</w:t>
            </w:r>
            <w:r>
              <w:rPr>
                <w:rFonts w:hint="eastAsia"/>
                <w:sz w:val="18"/>
                <w:szCs w:val="18"/>
              </w:rPr>
              <w:t>分。</w:t>
            </w:r>
          </w:p>
          <w:p>
            <w:pPr>
              <w:spacing w:line="320" w:lineRule="exact"/>
              <w:rPr>
                <w:sz w:val="18"/>
                <w:szCs w:val="18"/>
              </w:rPr>
            </w:pPr>
            <w:r>
              <w:rPr>
                <w:rFonts w:hint="eastAsia"/>
                <w:sz w:val="18"/>
                <w:szCs w:val="18"/>
              </w:rPr>
              <w:t>以上满分</w:t>
            </w:r>
            <w:r>
              <w:rPr>
                <w:sz w:val="18"/>
                <w:szCs w:val="18"/>
              </w:rPr>
              <w:t>20</w:t>
            </w:r>
            <w:r>
              <w:rPr>
                <w:rFonts w:hint="eastAsia"/>
                <w:sz w:val="18"/>
                <w:szCs w:val="18"/>
              </w:rPr>
              <w:t>分。</w:t>
            </w:r>
          </w:p>
          <w:p>
            <w:pPr>
              <w:spacing w:line="320" w:lineRule="exact"/>
              <w:rPr>
                <w:sz w:val="18"/>
                <w:szCs w:val="18"/>
              </w:rPr>
            </w:pPr>
            <w:r>
              <w:rPr>
                <w:rFonts w:hint="eastAsia"/>
                <w:b/>
                <w:bCs/>
                <w:sz w:val="18"/>
                <w:szCs w:val="18"/>
              </w:rPr>
              <w:t>（3）环境主任（</w:t>
            </w:r>
            <w:r>
              <w:rPr>
                <w:b/>
                <w:bCs/>
                <w:sz w:val="18"/>
                <w:szCs w:val="18"/>
              </w:rPr>
              <w:t>1</w:t>
            </w:r>
            <w:r>
              <w:rPr>
                <w:rFonts w:hint="eastAsia"/>
                <w:b/>
                <w:bCs/>
                <w:sz w:val="18"/>
                <w:szCs w:val="18"/>
              </w:rPr>
              <w:t>人）</w:t>
            </w:r>
            <w:r>
              <w:rPr>
                <w:rFonts w:hint="eastAsia"/>
                <w:sz w:val="18"/>
                <w:szCs w:val="18"/>
              </w:rPr>
              <w:t>：</w:t>
            </w:r>
          </w:p>
          <w:p>
            <w:pPr>
              <w:spacing w:line="320" w:lineRule="exact"/>
              <w:rPr>
                <w:sz w:val="18"/>
                <w:szCs w:val="18"/>
              </w:rPr>
            </w:pPr>
            <w:r>
              <w:rPr>
                <w:rFonts w:hint="eastAsia"/>
                <w:sz w:val="18"/>
                <w:szCs w:val="18"/>
              </w:rPr>
              <w:t>具有本科或以上学历、人社部门（或其他职称评审部门）颁发的城市景观与风景园林</w:t>
            </w:r>
            <w:r>
              <w:rPr>
                <w:rFonts w:hint="eastAsia"/>
                <w:sz w:val="18"/>
                <w:szCs w:val="18"/>
                <w:lang w:val="en-US" w:eastAsia="zh-CN"/>
              </w:rPr>
              <w:t>类</w:t>
            </w:r>
            <w:r>
              <w:rPr>
                <w:rFonts w:hint="eastAsia"/>
                <w:sz w:val="18"/>
                <w:szCs w:val="18"/>
              </w:rPr>
              <w:t>高级</w:t>
            </w:r>
            <w:r>
              <w:rPr>
                <w:rFonts w:hint="eastAsia"/>
                <w:sz w:val="18"/>
                <w:szCs w:val="18"/>
                <w:lang w:eastAsia="zh-CN"/>
              </w:rPr>
              <w:t>（</w:t>
            </w:r>
            <w:r>
              <w:rPr>
                <w:rFonts w:hint="eastAsia"/>
                <w:sz w:val="18"/>
                <w:szCs w:val="18"/>
                <w:lang w:val="en-US" w:eastAsia="zh-CN"/>
              </w:rPr>
              <w:t>含以上</w:t>
            </w:r>
            <w:r>
              <w:rPr>
                <w:rFonts w:hint="eastAsia"/>
                <w:sz w:val="18"/>
                <w:szCs w:val="18"/>
                <w:lang w:eastAsia="zh-CN"/>
              </w:rPr>
              <w:t>）</w:t>
            </w:r>
            <w:r>
              <w:rPr>
                <w:rFonts w:hint="eastAsia"/>
                <w:sz w:val="18"/>
                <w:szCs w:val="18"/>
              </w:rPr>
              <w:t>工程师职称证书：</w:t>
            </w:r>
          </w:p>
          <w:p>
            <w:pPr>
              <w:spacing w:line="320" w:lineRule="exact"/>
              <w:rPr>
                <w:sz w:val="18"/>
                <w:szCs w:val="18"/>
              </w:rPr>
            </w:pPr>
            <w:r>
              <w:rPr>
                <w:rFonts w:hint="eastAsia"/>
                <w:sz w:val="18"/>
                <w:szCs w:val="18"/>
              </w:rPr>
              <w:t>（1）具有清洁或环卫等行业协会颁发的高级清洁管理师项目经理证或高级清洁管理师（项目经理）</w:t>
            </w:r>
            <w:r>
              <w:rPr>
                <w:rFonts w:hint="eastAsia"/>
                <w:sz w:val="18"/>
                <w:szCs w:val="18"/>
                <w:lang w:val="en-US" w:eastAsia="zh-CN"/>
              </w:rPr>
              <w:t>证</w:t>
            </w:r>
            <w:r>
              <w:rPr>
                <w:rFonts w:hint="eastAsia"/>
                <w:sz w:val="18"/>
                <w:szCs w:val="18"/>
              </w:rPr>
              <w:t>的得10分。</w:t>
            </w:r>
          </w:p>
          <w:p>
            <w:pPr>
              <w:spacing w:line="320" w:lineRule="exact"/>
              <w:rPr>
                <w:sz w:val="18"/>
                <w:szCs w:val="18"/>
              </w:rPr>
            </w:pPr>
            <w:r>
              <w:rPr>
                <w:rFonts w:hint="eastAsia"/>
                <w:sz w:val="18"/>
                <w:szCs w:val="18"/>
              </w:rPr>
              <w:t>（2）具有行业协会颁发的高级公共环境消毒清洁员证书得10分。</w:t>
            </w:r>
          </w:p>
          <w:p>
            <w:pPr>
              <w:spacing w:line="320" w:lineRule="exact"/>
              <w:rPr>
                <w:sz w:val="18"/>
                <w:szCs w:val="18"/>
              </w:rPr>
            </w:pPr>
            <w:r>
              <w:rPr>
                <w:rFonts w:hint="eastAsia"/>
                <w:sz w:val="18"/>
                <w:szCs w:val="18"/>
              </w:rPr>
              <w:t>以上满分</w:t>
            </w:r>
            <w:r>
              <w:rPr>
                <w:sz w:val="18"/>
                <w:szCs w:val="18"/>
              </w:rPr>
              <w:t>20</w:t>
            </w:r>
            <w:r>
              <w:rPr>
                <w:rFonts w:hint="eastAsia"/>
                <w:sz w:val="18"/>
                <w:szCs w:val="18"/>
              </w:rPr>
              <w:t>分。</w:t>
            </w:r>
          </w:p>
          <w:p>
            <w:pPr>
              <w:spacing w:line="320" w:lineRule="exact"/>
              <w:rPr>
                <w:sz w:val="18"/>
                <w:szCs w:val="18"/>
              </w:rPr>
            </w:pPr>
            <w:r>
              <w:rPr>
                <w:rFonts w:hint="eastAsia"/>
                <w:b/>
                <w:bCs/>
                <w:sz w:val="18"/>
                <w:szCs w:val="18"/>
              </w:rPr>
              <w:t>（4）工程主任（</w:t>
            </w:r>
            <w:r>
              <w:rPr>
                <w:b/>
                <w:bCs/>
                <w:sz w:val="18"/>
                <w:szCs w:val="18"/>
              </w:rPr>
              <w:t>1</w:t>
            </w:r>
            <w:r>
              <w:rPr>
                <w:rFonts w:hint="eastAsia"/>
                <w:b/>
                <w:bCs/>
                <w:sz w:val="18"/>
                <w:szCs w:val="18"/>
              </w:rPr>
              <w:t>人）</w:t>
            </w:r>
            <w:r>
              <w:rPr>
                <w:rFonts w:hint="eastAsia"/>
                <w:sz w:val="18"/>
                <w:szCs w:val="18"/>
              </w:rPr>
              <w:t>：</w:t>
            </w:r>
          </w:p>
          <w:p>
            <w:pPr>
              <w:spacing w:line="320" w:lineRule="exact"/>
              <w:rPr>
                <w:sz w:val="18"/>
                <w:szCs w:val="18"/>
              </w:rPr>
            </w:pPr>
            <w:r>
              <w:rPr>
                <w:rFonts w:hint="eastAsia"/>
                <w:sz w:val="18"/>
                <w:szCs w:val="18"/>
              </w:rPr>
              <w:t>具有工程管理类专业或工业自动化类专业或电气类专业的本科或以上学历，在此基础上：</w:t>
            </w:r>
          </w:p>
          <w:p>
            <w:pPr>
              <w:spacing w:line="320" w:lineRule="exact"/>
              <w:rPr>
                <w:sz w:val="18"/>
                <w:szCs w:val="18"/>
              </w:rPr>
            </w:pPr>
            <w:r>
              <w:rPr>
                <w:rFonts w:hint="eastAsia"/>
                <w:sz w:val="18"/>
                <w:szCs w:val="18"/>
              </w:rPr>
              <w:t>（</w:t>
            </w:r>
            <w:r>
              <w:rPr>
                <w:sz w:val="18"/>
                <w:szCs w:val="18"/>
              </w:rPr>
              <w:t>1</w:t>
            </w:r>
            <w:r>
              <w:rPr>
                <w:rFonts w:hint="eastAsia"/>
                <w:sz w:val="18"/>
                <w:szCs w:val="18"/>
              </w:rPr>
              <w:t>）具有人社部门（或其他职称评审部门）颁发的建筑电气类专业副高级（或以上）职称证书得</w:t>
            </w:r>
            <w:r>
              <w:rPr>
                <w:sz w:val="18"/>
                <w:szCs w:val="18"/>
              </w:rPr>
              <w:t>1</w:t>
            </w:r>
            <w:r>
              <w:rPr>
                <w:rFonts w:hint="eastAsia"/>
                <w:sz w:val="18"/>
                <w:szCs w:val="18"/>
              </w:rPr>
              <w:t>5分；</w:t>
            </w:r>
          </w:p>
          <w:p>
            <w:pPr>
              <w:spacing w:line="320" w:lineRule="exact"/>
              <w:rPr>
                <w:sz w:val="18"/>
                <w:szCs w:val="18"/>
              </w:rPr>
            </w:pPr>
            <w:r>
              <w:rPr>
                <w:rFonts w:hint="eastAsia"/>
                <w:sz w:val="18"/>
                <w:szCs w:val="18"/>
              </w:rPr>
              <w:t>（</w:t>
            </w:r>
            <w:r>
              <w:rPr>
                <w:sz w:val="18"/>
                <w:szCs w:val="18"/>
              </w:rPr>
              <w:t>2</w:t>
            </w:r>
            <w:r>
              <w:rPr>
                <w:rFonts w:hint="eastAsia"/>
                <w:sz w:val="18"/>
                <w:szCs w:val="18"/>
              </w:rPr>
              <w:t>）具有建设部人事教育司或全国城建培训中心颁发的全国物业管理企业经理或全国物业项目经理岗位证书得</w:t>
            </w:r>
            <w:r>
              <w:rPr>
                <w:sz w:val="18"/>
                <w:szCs w:val="18"/>
              </w:rPr>
              <w:t>5</w:t>
            </w:r>
            <w:r>
              <w:rPr>
                <w:rFonts w:hint="eastAsia"/>
                <w:sz w:val="18"/>
                <w:szCs w:val="18"/>
              </w:rPr>
              <w:t>分。</w:t>
            </w:r>
          </w:p>
          <w:p>
            <w:pPr>
              <w:spacing w:line="320" w:lineRule="exact"/>
              <w:rPr>
                <w:sz w:val="18"/>
                <w:szCs w:val="18"/>
              </w:rPr>
            </w:pPr>
            <w:r>
              <w:rPr>
                <w:rFonts w:hint="eastAsia"/>
                <w:sz w:val="18"/>
                <w:szCs w:val="18"/>
              </w:rPr>
              <w:t>以上满分</w:t>
            </w:r>
            <w:r>
              <w:rPr>
                <w:sz w:val="18"/>
                <w:szCs w:val="18"/>
              </w:rPr>
              <w:t>20</w:t>
            </w:r>
            <w:r>
              <w:rPr>
                <w:rFonts w:hint="eastAsia"/>
                <w:sz w:val="18"/>
                <w:szCs w:val="18"/>
              </w:rPr>
              <w:t>分。</w:t>
            </w:r>
          </w:p>
          <w:p>
            <w:pPr>
              <w:spacing w:line="320" w:lineRule="exact"/>
              <w:rPr>
                <w:sz w:val="18"/>
                <w:szCs w:val="18"/>
              </w:rPr>
            </w:pPr>
            <w:r>
              <w:rPr>
                <w:rFonts w:hint="eastAsia"/>
                <w:b/>
                <w:bCs/>
                <w:sz w:val="18"/>
                <w:szCs w:val="18"/>
              </w:rPr>
              <w:t>（5）</w:t>
            </w:r>
            <w:r>
              <w:rPr>
                <w:rFonts w:hint="eastAsia"/>
                <w:b/>
                <w:bCs/>
                <w:sz w:val="18"/>
                <w:szCs w:val="18"/>
                <w:lang w:val="en-US" w:eastAsia="zh-CN"/>
              </w:rPr>
              <w:t>其他</w:t>
            </w:r>
            <w:r>
              <w:rPr>
                <w:rFonts w:hint="eastAsia"/>
                <w:b/>
                <w:bCs/>
                <w:sz w:val="18"/>
                <w:szCs w:val="18"/>
              </w:rPr>
              <w:t>专业人员（</w:t>
            </w:r>
            <w:r>
              <w:rPr>
                <w:b/>
                <w:bCs/>
                <w:sz w:val="18"/>
                <w:szCs w:val="18"/>
              </w:rPr>
              <w:t>8</w:t>
            </w:r>
            <w:r>
              <w:rPr>
                <w:rFonts w:hint="eastAsia"/>
                <w:b/>
                <w:bCs/>
                <w:sz w:val="18"/>
                <w:szCs w:val="18"/>
              </w:rPr>
              <w:t>人）</w:t>
            </w:r>
            <w:r>
              <w:rPr>
                <w:rFonts w:hint="eastAsia"/>
                <w:sz w:val="18"/>
                <w:szCs w:val="18"/>
              </w:rPr>
              <w:t>：</w:t>
            </w:r>
          </w:p>
          <w:p>
            <w:pPr>
              <w:spacing w:line="320" w:lineRule="exact"/>
              <w:rPr>
                <w:sz w:val="18"/>
                <w:szCs w:val="18"/>
              </w:rPr>
            </w:pPr>
            <w:r>
              <w:rPr>
                <w:rFonts w:hint="eastAsia"/>
                <w:sz w:val="18"/>
                <w:szCs w:val="18"/>
              </w:rPr>
              <w:t>（</w:t>
            </w:r>
            <w:r>
              <w:rPr>
                <w:sz w:val="18"/>
                <w:szCs w:val="18"/>
              </w:rPr>
              <w:t>1</w:t>
            </w:r>
            <w:r>
              <w:rPr>
                <w:rFonts w:hint="eastAsia"/>
                <w:sz w:val="18"/>
                <w:szCs w:val="18"/>
              </w:rPr>
              <w:t>）</w:t>
            </w:r>
            <w:r>
              <w:rPr>
                <w:sz w:val="18"/>
                <w:szCs w:val="18"/>
              </w:rPr>
              <w:t>1</w:t>
            </w:r>
            <w:r>
              <w:rPr>
                <w:rFonts w:hint="eastAsia"/>
                <w:sz w:val="18"/>
                <w:szCs w:val="18"/>
              </w:rPr>
              <w:t>人具有本科学历（或以上），同时具有人社部门（或其他职称评审部门）颁发的电气工程</w:t>
            </w:r>
            <w:r>
              <w:rPr>
                <w:rFonts w:hint="eastAsia"/>
                <w:sz w:val="18"/>
                <w:szCs w:val="18"/>
                <w:lang w:val="en-US" w:eastAsia="zh-CN"/>
              </w:rPr>
              <w:t>类</w:t>
            </w:r>
            <w:r>
              <w:rPr>
                <w:rFonts w:hint="eastAsia"/>
                <w:sz w:val="18"/>
                <w:szCs w:val="18"/>
              </w:rPr>
              <w:t>专业中级（或以上）职称证书得</w:t>
            </w:r>
            <w:r>
              <w:rPr>
                <w:sz w:val="18"/>
                <w:szCs w:val="18"/>
              </w:rPr>
              <w:t>5</w:t>
            </w:r>
            <w:r>
              <w:rPr>
                <w:rFonts w:hint="eastAsia"/>
                <w:sz w:val="18"/>
                <w:szCs w:val="18"/>
              </w:rPr>
              <w:t>分。</w:t>
            </w:r>
          </w:p>
          <w:p>
            <w:pPr>
              <w:spacing w:line="320" w:lineRule="exact"/>
              <w:rPr>
                <w:sz w:val="18"/>
                <w:szCs w:val="18"/>
              </w:rPr>
            </w:pPr>
            <w:r>
              <w:rPr>
                <w:rFonts w:hint="eastAsia"/>
                <w:sz w:val="18"/>
                <w:szCs w:val="18"/>
              </w:rPr>
              <w:t>（</w:t>
            </w:r>
            <w:r>
              <w:rPr>
                <w:sz w:val="18"/>
                <w:szCs w:val="18"/>
              </w:rPr>
              <w:t>2</w:t>
            </w:r>
            <w:r>
              <w:rPr>
                <w:rFonts w:hint="eastAsia"/>
                <w:sz w:val="18"/>
                <w:szCs w:val="18"/>
              </w:rPr>
              <w:t>）1人具有本科学历（或以上），同时具有</w:t>
            </w:r>
            <w:bookmarkStart w:id="3" w:name="_GoBack"/>
            <w:r>
              <w:rPr>
                <w:rFonts w:hint="eastAsia"/>
                <w:sz w:val="18"/>
                <w:szCs w:val="18"/>
                <w:highlight w:val="yellow"/>
              </w:rPr>
              <w:t>花艺环境设计师</w:t>
            </w:r>
            <w:bookmarkEnd w:id="3"/>
            <w:r>
              <w:rPr>
                <w:rFonts w:hint="eastAsia"/>
                <w:sz w:val="18"/>
                <w:szCs w:val="18"/>
              </w:rPr>
              <w:t>职业技能等级三级（或以上）证书及植物病虫害检测员证书得5分。。</w:t>
            </w:r>
          </w:p>
          <w:p>
            <w:pPr>
              <w:spacing w:line="320" w:lineRule="exact"/>
              <w:rPr>
                <w:sz w:val="18"/>
                <w:szCs w:val="18"/>
              </w:rPr>
            </w:pPr>
            <w:r>
              <w:rPr>
                <w:rFonts w:hint="eastAsia"/>
                <w:sz w:val="18"/>
                <w:szCs w:val="18"/>
              </w:rPr>
              <w:t>（</w:t>
            </w:r>
            <w:r>
              <w:rPr>
                <w:sz w:val="18"/>
                <w:szCs w:val="18"/>
              </w:rPr>
              <w:t>3</w:t>
            </w:r>
            <w:r>
              <w:rPr>
                <w:rFonts w:hint="eastAsia"/>
                <w:sz w:val="18"/>
                <w:szCs w:val="18"/>
              </w:rPr>
              <w:t>）</w:t>
            </w:r>
            <w:r>
              <w:rPr>
                <w:sz w:val="18"/>
                <w:szCs w:val="18"/>
              </w:rPr>
              <w:t>1</w:t>
            </w:r>
            <w:r>
              <w:rPr>
                <w:rFonts w:hint="eastAsia"/>
                <w:sz w:val="18"/>
                <w:szCs w:val="18"/>
              </w:rPr>
              <w:t>人具有本科学历（或以上），同时具有①人社部门</w:t>
            </w:r>
            <w:r>
              <w:rPr>
                <w:rFonts w:hint="eastAsia"/>
                <w:sz w:val="18"/>
              </w:rPr>
              <w:t>（或经人社部门备案的颁证机构）</w:t>
            </w:r>
            <w:r>
              <w:rPr>
                <w:rFonts w:hint="eastAsia"/>
                <w:sz w:val="18"/>
                <w:szCs w:val="18"/>
              </w:rPr>
              <w:t>颁发的二级（或以上）电工职业资格证（或电工职业技能等级证），②同时具有人社部门（或经人社部门备案的颁证机构）颁发的三级（或以上）智能楼宇管理员职业资格证（或智能楼宇管理员职业技能等级证）得</w:t>
            </w:r>
            <w:r>
              <w:rPr>
                <w:sz w:val="18"/>
                <w:szCs w:val="18"/>
              </w:rPr>
              <w:t>5</w:t>
            </w:r>
            <w:r>
              <w:rPr>
                <w:rFonts w:hint="eastAsia"/>
                <w:sz w:val="18"/>
                <w:szCs w:val="18"/>
              </w:rPr>
              <w:t>分。</w:t>
            </w:r>
          </w:p>
          <w:p>
            <w:pPr>
              <w:spacing w:line="320" w:lineRule="exact"/>
              <w:rPr>
                <w:sz w:val="18"/>
                <w:szCs w:val="18"/>
              </w:rPr>
            </w:pPr>
            <w:r>
              <w:rPr>
                <w:rFonts w:hint="eastAsia"/>
                <w:sz w:val="18"/>
                <w:szCs w:val="18"/>
              </w:rPr>
              <w:t>（</w:t>
            </w:r>
            <w:r>
              <w:rPr>
                <w:sz w:val="18"/>
                <w:szCs w:val="18"/>
              </w:rPr>
              <w:t>4</w:t>
            </w:r>
            <w:r>
              <w:rPr>
                <w:rFonts w:hint="eastAsia"/>
                <w:sz w:val="18"/>
                <w:szCs w:val="18"/>
              </w:rPr>
              <w:t>）</w:t>
            </w:r>
            <w:r>
              <w:rPr>
                <w:sz w:val="18"/>
                <w:szCs w:val="18"/>
              </w:rPr>
              <w:t>5</w:t>
            </w:r>
            <w:r>
              <w:rPr>
                <w:rFonts w:hint="eastAsia"/>
                <w:sz w:val="18"/>
                <w:szCs w:val="18"/>
              </w:rPr>
              <w:t>人具有急救中心或红十字会颁发的初级救护员证</w:t>
            </w:r>
            <w:r>
              <w:rPr>
                <w:sz w:val="18"/>
                <w:szCs w:val="18"/>
              </w:rPr>
              <w:t>5</w:t>
            </w:r>
            <w:r>
              <w:rPr>
                <w:rFonts w:hint="eastAsia"/>
                <w:sz w:val="18"/>
                <w:szCs w:val="18"/>
              </w:rPr>
              <w:t>分。</w:t>
            </w:r>
          </w:p>
          <w:p>
            <w:pPr>
              <w:spacing w:line="320" w:lineRule="exact"/>
              <w:rPr>
                <w:sz w:val="18"/>
                <w:szCs w:val="18"/>
              </w:rPr>
            </w:pPr>
            <w:r>
              <w:rPr>
                <w:rFonts w:hint="eastAsia"/>
                <w:sz w:val="18"/>
                <w:szCs w:val="18"/>
              </w:rPr>
              <w:t>以上满分</w:t>
            </w:r>
            <w:r>
              <w:rPr>
                <w:sz w:val="18"/>
                <w:szCs w:val="18"/>
              </w:rPr>
              <w:t>20</w:t>
            </w:r>
            <w:r>
              <w:rPr>
                <w:rFonts w:hint="eastAsia"/>
                <w:sz w:val="18"/>
                <w:szCs w:val="18"/>
              </w:rPr>
              <w:t>分。</w:t>
            </w:r>
          </w:p>
          <w:p>
            <w:pPr>
              <w:spacing w:line="320" w:lineRule="exact"/>
              <w:rPr>
                <w:b/>
                <w:bCs/>
                <w:sz w:val="18"/>
                <w:szCs w:val="18"/>
              </w:rPr>
            </w:pPr>
            <w:r>
              <w:rPr>
                <w:rFonts w:hint="eastAsia"/>
                <w:b/>
                <w:bCs/>
                <w:sz w:val="18"/>
                <w:szCs w:val="18"/>
              </w:rPr>
              <w:t>以上（1）-（5）项累计得分，最多得100分。</w:t>
            </w:r>
          </w:p>
          <w:p>
            <w:pPr>
              <w:spacing w:line="320" w:lineRule="exact"/>
              <w:rPr>
                <w:b/>
                <w:bCs/>
                <w:sz w:val="18"/>
                <w:szCs w:val="18"/>
              </w:rPr>
            </w:pPr>
            <w:r>
              <w:rPr>
                <w:rFonts w:hint="eastAsia"/>
                <w:b/>
                <w:bCs/>
                <w:sz w:val="18"/>
                <w:szCs w:val="18"/>
              </w:rPr>
              <w:t>同一人只能计一次分，同一人员同时担任多个岗位的，岗位均作无效处理，不得分。</w:t>
            </w:r>
          </w:p>
          <w:p>
            <w:pPr>
              <w:spacing w:line="320" w:lineRule="exact"/>
              <w:rPr>
                <w:sz w:val="18"/>
                <w:szCs w:val="18"/>
              </w:rPr>
            </w:pPr>
            <w:r>
              <w:rPr>
                <w:rFonts w:hint="eastAsia"/>
                <w:b/>
                <w:bCs/>
                <w:sz w:val="18"/>
                <w:szCs w:val="18"/>
              </w:rPr>
              <w:t>（二）证明材料：</w:t>
            </w:r>
          </w:p>
          <w:p>
            <w:pPr>
              <w:spacing w:line="320" w:lineRule="exact"/>
              <w:rPr>
                <w:sz w:val="18"/>
                <w:szCs w:val="18"/>
              </w:rPr>
            </w:pPr>
            <w:r>
              <w:rPr>
                <w:rFonts w:hint="eastAsia"/>
                <w:sz w:val="18"/>
                <w:szCs w:val="18"/>
              </w:rPr>
              <w:t>（1）要求投标人提供相关证书等证明资料作为得分依据。</w:t>
            </w:r>
          </w:p>
          <w:p>
            <w:pPr>
              <w:spacing w:line="320" w:lineRule="exact"/>
              <w:rPr>
                <w:sz w:val="18"/>
                <w:szCs w:val="18"/>
              </w:rPr>
            </w:pPr>
            <w:r>
              <w:rPr>
                <w:rFonts w:hint="eastAsia"/>
                <w:sz w:val="18"/>
                <w:szCs w:val="18"/>
              </w:rPr>
              <w:t>（2）提供通过投标人缴纳的近三个月（含开标当月）的任意一个月的社保证明作为本单位员工的证明依据，如供应商成立不足一个月或员工入职不足一个月的，提供情况说明函（格式自拟），无需提供相关人员社保，亦可得分；未按要求提供的，投入的该人员作不得分处理。</w:t>
            </w:r>
          </w:p>
          <w:p>
            <w:pPr>
              <w:spacing w:line="320" w:lineRule="exact"/>
              <w:rPr>
                <w:sz w:val="18"/>
                <w:szCs w:val="18"/>
              </w:rPr>
            </w:pPr>
            <w:r>
              <w:rPr>
                <w:rFonts w:hint="eastAsia"/>
                <w:sz w:val="18"/>
                <w:szCs w:val="18"/>
              </w:rPr>
              <w:t>（3）提供学历证书扫描件以及学历信息在学信网查询结果截图（https://www.chsi.com.cn/xlcx/index.jsp），由于日期较早无法查询的，需提供毕业院校或者人社部门出具的证明，国外学历证书提供教育部留学服务中心出具的国外学历认证书以及教育部留学服务中心官网查询截图（查询网址：http://zwfw.cscse.edu.cn/）；</w:t>
            </w:r>
          </w:p>
          <w:p>
            <w:pPr>
              <w:spacing w:line="320" w:lineRule="exact"/>
              <w:rPr>
                <w:sz w:val="18"/>
                <w:szCs w:val="18"/>
              </w:rPr>
            </w:pPr>
            <w:r>
              <w:rPr>
                <w:rFonts w:hint="eastAsia"/>
                <w:sz w:val="18"/>
                <w:szCs w:val="18"/>
              </w:rPr>
              <w:t>（4）若为协会颁发的证书，则提供证书的同时还需同时提供该组织在“中国社会组织政务服务平台（全国社会组织信用信息公示平台）https://xxgs.chinanpo.mca.gov.cn/”的查询截图（状态为正常），否则该证书不得分。</w:t>
            </w:r>
          </w:p>
          <w:p>
            <w:pPr>
              <w:spacing w:line="320" w:lineRule="exact"/>
              <w:rPr>
                <w:sz w:val="18"/>
                <w:szCs w:val="18"/>
              </w:rPr>
            </w:pPr>
            <w:r>
              <w:rPr>
                <w:rFonts w:hint="eastAsia"/>
                <w:sz w:val="18"/>
                <w:szCs w:val="18"/>
              </w:rPr>
              <w:t>（5）涉及职称，需同时提供证书在全国人力资源和社会保障政务服务平台（https://www.12333.gov.cn/）的查询截图，该网站不能查询的，需提供人社部门或发证部门官网查询截图或出具的证明文件，否则不得分；涉及职业资格证书或职业技能等级证书的，需同时提供证书在技能人才评价证书全国联网查询平台（http://zscx.osta.org.cn/）的查询截图，否则不得分</w:t>
            </w:r>
          </w:p>
          <w:p>
            <w:pPr>
              <w:spacing w:line="320" w:lineRule="exact"/>
              <w:rPr>
                <w:rFonts w:ascii="宋体" w:hAnsi="宋体" w:hint="eastAsia"/>
                <w:sz w:val="18"/>
                <w:szCs w:val="18"/>
              </w:rPr>
            </w:pPr>
            <w:r>
              <w:rPr>
                <w:rFonts w:hint="eastAsia"/>
                <w:sz w:val="18"/>
                <w:szCs w:val="18"/>
              </w:rPr>
              <w:t>（6）以上资料均要求提供扫描件（或官方网站截图）。评分中出现无证明资料或专家无法凭所提供资料判断是否得分的情况，一律作不得分处理。</w:t>
            </w:r>
          </w:p>
        </w:tc>
      </w:tr>
      <w:tr>
        <w:tblPrEx>
          <w:tblW w:w="9072" w:type="dxa"/>
          <w:jc w:val="center"/>
          <w:tblCellSpacing w:w="0" w:type="dxa"/>
          <w:tblCellMar>
            <w:top w:w="20" w:type="dxa"/>
            <w:left w:w="108" w:type="dxa"/>
            <w:bottom w:w="20" w:type="dxa"/>
            <w:right w:w="108" w:type="dxa"/>
          </w:tblCellMar>
        </w:tblPrEx>
        <w:trPr>
          <w:tblCellSpacing w:w="0" w:type="dxa"/>
          <w:jc w:val="center"/>
        </w:trPr>
        <w:tc>
          <w:tcPr>
            <w:tcW w:w="656" w:type="dxa"/>
            <w:vMerge w:val="restart"/>
          </w:tcPr>
          <w:p>
            <w:pPr>
              <w:wordWrap w:val="0"/>
              <w:jc w:val="center"/>
              <w:rPr>
                <w:rFonts w:ascii="宋体" w:hAnsi="宋体" w:cs="宋体" w:hint="eastAsia"/>
                <w:b/>
                <w:bCs/>
                <w:color w:val="0000FF"/>
                <w:sz w:val="18"/>
                <w:szCs w:val="18"/>
              </w:rPr>
            </w:pPr>
            <w:r>
              <w:rPr>
                <w:b/>
                <w:bCs/>
                <w:color w:val="0000FF"/>
                <w:sz w:val="18"/>
                <w:szCs w:val="18"/>
              </w:rPr>
              <w:t>3</w:t>
            </w:r>
          </w:p>
        </w:tc>
        <w:tc>
          <w:tcPr>
            <w:tcW w:w="4017" w:type="dxa"/>
            <w:gridSpan w:val="3"/>
          </w:tcPr>
          <w:p>
            <w:pPr>
              <w:wordWrap w:val="0"/>
              <w:jc w:val="center"/>
              <w:rPr>
                <w:rFonts w:ascii="宋体" w:hAnsi="宋体" w:cs="宋体" w:hint="eastAsia"/>
                <w:b/>
                <w:bCs/>
                <w:color w:val="0000FF"/>
                <w:sz w:val="18"/>
                <w:szCs w:val="18"/>
              </w:rPr>
            </w:pPr>
            <w:r>
              <w:rPr>
                <w:rFonts w:hint="eastAsia"/>
                <w:b/>
                <w:bCs/>
                <w:color w:val="0000FF"/>
                <w:sz w:val="18"/>
                <w:szCs w:val="18"/>
              </w:rPr>
              <w:t>商务部分</w:t>
            </w:r>
          </w:p>
        </w:tc>
        <w:tc>
          <w:tcPr>
            <w:tcW w:w="4399" w:type="dxa"/>
          </w:tcPr>
          <w:p>
            <w:pPr>
              <w:wordWrap w:val="0"/>
              <w:jc w:val="center"/>
              <w:rPr>
                <w:rFonts w:ascii="宋体" w:hAnsi="宋体" w:cs="宋体" w:hint="eastAsia"/>
                <w:b/>
                <w:bCs/>
                <w:color w:val="0000FF"/>
                <w:sz w:val="18"/>
                <w:szCs w:val="18"/>
              </w:rPr>
            </w:pPr>
            <w:r>
              <w:rPr>
                <w:rFonts w:ascii="宋体" w:hAnsi="宋体" w:cs="宋体" w:hint="eastAsia"/>
                <w:b/>
                <w:bCs/>
                <w:color w:val="0000FF"/>
                <w:sz w:val="18"/>
                <w:szCs w:val="18"/>
              </w:rPr>
              <w:t>31</w:t>
            </w:r>
          </w:p>
        </w:tc>
      </w:tr>
      <w:tr>
        <w:tblPrEx>
          <w:tblW w:w="9072" w:type="dxa"/>
          <w:jc w:val="center"/>
          <w:tblCellSpacing w:w="0" w:type="dxa"/>
          <w:tblCellMar>
            <w:top w:w="20" w:type="dxa"/>
            <w:left w:w="108" w:type="dxa"/>
            <w:bottom w:w="20" w:type="dxa"/>
            <w:right w:w="108" w:type="dxa"/>
          </w:tblCellMar>
        </w:tblPrEx>
        <w:trPr>
          <w:tblCellSpacing w:w="0" w:type="dxa"/>
          <w:jc w:val="center"/>
        </w:trPr>
        <w:tc>
          <w:tcPr>
            <w:tcW w:w="656" w:type="dxa"/>
            <w:vMerge/>
            <w:vAlign w:val="center"/>
          </w:tcPr>
          <w:p>
            <w:pPr>
              <w:rPr>
                <w:rFonts w:ascii="宋体" w:hAnsi="宋体" w:cs="宋体" w:hint="eastAsia"/>
                <w:b/>
                <w:bCs/>
                <w:color w:val="0000FF"/>
                <w:sz w:val="18"/>
                <w:szCs w:val="18"/>
              </w:rPr>
            </w:pPr>
          </w:p>
        </w:tc>
        <w:tc>
          <w:tcPr>
            <w:tcW w:w="8416" w:type="dxa"/>
            <w:gridSpan w:val="4"/>
          </w:tcPr>
          <w:p>
            <w:pPr>
              <w:wordWrap w:val="0"/>
              <w:rPr>
                <w:rFonts w:ascii="宋体" w:hAnsi="宋体" w:cs="宋体" w:hint="eastAsia"/>
                <w:sz w:val="18"/>
                <w:szCs w:val="18"/>
              </w:rPr>
            </w:pPr>
          </w:p>
        </w:tc>
      </w:tr>
      <w:tr>
        <w:tblPrEx>
          <w:tblW w:w="9072" w:type="dxa"/>
          <w:jc w:val="center"/>
          <w:tblCellSpacing w:w="0" w:type="dxa"/>
          <w:tblCellMar>
            <w:top w:w="20" w:type="dxa"/>
            <w:left w:w="108" w:type="dxa"/>
            <w:bottom w:w="20" w:type="dxa"/>
            <w:right w:w="108" w:type="dxa"/>
          </w:tblCellMar>
        </w:tblPrEx>
        <w:trPr>
          <w:tblCellSpacing w:w="0" w:type="dxa"/>
          <w:jc w:val="center"/>
        </w:trPr>
        <w:tc>
          <w:tcPr>
            <w:tcW w:w="656" w:type="dxa"/>
            <w:vMerge/>
            <w:shd w:val="clear" w:color="auto" w:fill="E6EFFA"/>
            <w:vAlign w:val="center"/>
          </w:tcPr>
          <w:p>
            <w:pPr>
              <w:rPr>
                <w:rFonts w:ascii="宋体" w:hAnsi="宋体" w:cs="宋体" w:hint="eastAsia"/>
                <w:b/>
                <w:bCs/>
                <w:color w:val="0000FF"/>
                <w:sz w:val="18"/>
                <w:szCs w:val="18"/>
              </w:rPr>
            </w:pPr>
          </w:p>
        </w:tc>
        <w:tc>
          <w:tcPr>
            <w:tcW w:w="655" w:type="dxa"/>
            <w:shd w:val="clear" w:color="auto" w:fill="E6EFFA"/>
            <w:vAlign w:val="center"/>
          </w:tcPr>
          <w:p>
            <w:pPr>
              <w:wordWrap w:val="0"/>
              <w:jc w:val="center"/>
              <w:rPr>
                <w:rFonts w:ascii="宋体" w:hAnsi="宋体" w:cs="宋体" w:hint="eastAsia"/>
                <w:sz w:val="18"/>
                <w:szCs w:val="18"/>
              </w:rPr>
            </w:pPr>
            <w:r>
              <w:rPr>
                <w:sz w:val="18"/>
                <w:szCs w:val="18"/>
              </w:rPr>
              <w:t>序号</w:t>
            </w:r>
          </w:p>
        </w:tc>
        <w:tc>
          <w:tcPr>
            <w:tcW w:w="2606" w:type="dxa"/>
            <w:shd w:val="clear" w:color="auto" w:fill="E6EFFA"/>
            <w:vAlign w:val="center"/>
          </w:tcPr>
          <w:p>
            <w:pPr>
              <w:wordWrap w:val="0"/>
              <w:jc w:val="center"/>
              <w:rPr>
                <w:rFonts w:ascii="宋体" w:hAnsi="宋体" w:cs="宋体" w:hint="eastAsia"/>
                <w:sz w:val="18"/>
                <w:szCs w:val="18"/>
              </w:rPr>
            </w:pPr>
            <w:r>
              <w:rPr>
                <w:rFonts w:hint="eastAsia"/>
                <w:sz w:val="18"/>
                <w:szCs w:val="18"/>
              </w:rPr>
              <w:t>评审因素</w:t>
            </w:r>
          </w:p>
        </w:tc>
        <w:tc>
          <w:tcPr>
            <w:tcW w:w="756" w:type="dxa"/>
            <w:shd w:val="clear" w:color="auto" w:fill="E6EFFA"/>
            <w:vAlign w:val="center"/>
          </w:tcPr>
          <w:p>
            <w:pPr>
              <w:wordWrap w:val="0"/>
              <w:jc w:val="center"/>
              <w:rPr>
                <w:rFonts w:ascii="宋体" w:hAnsi="宋体" w:cs="宋体" w:hint="eastAsia"/>
                <w:sz w:val="18"/>
                <w:szCs w:val="18"/>
              </w:rPr>
            </w:pPr>
            <w:r>
              <w:rPr>
                <w:sz w:val="18"/>
                <w:szCs w:val="18"/>
              </w:rPr>
              <w:t>权重(%)</w:t>
            </w:r>
          </w:p>
        </w:tc>
        <w:tc>
          <w:tcPr>
            <w:tcW w:w="4399" w:type="dxa"/>
            <w:shd w:val="clear" w:color="auto" w:fill="E6EFFA"/>
            <w:vAlign w:val="center"/>
          </w:tcPr>
          <w:p>
            <w:pPr>
              <w:wordWrap w:val="0"/>
              <w:jc w:val="center"/>
              <w:rPr>
                <w:rFonts w:ascii="宋体" w:hAnsi="宋体" w:cs="宋体" w:hint="eastAsia"/>
                <w:sz w:val="18"/>
                <w:szCs w:val="18"/>
              </w:rPr>
            </w:pPr>
            <w:r>
              <w:rPr>
                <w:sz w:val="18"/>
                <w:szCs w:val="18"/>
              </w:rPr>
              <w:t>评分准则</w:t>
            </w:r>
          </w:p>
        </w:tc>
      </w:tr>
      <w:tr>
        <w:tblPrEx>
          <w:tblW w:w="9072" w:type="dxa"/>
          <w:jc w:val="center"/>
          <w:tblCellSpacing w:w="0" w:type="dxa"/>
          <w:tblCellMar>
            <w:top w:w="20" w:type="dxa"/>
            <w:left w:w="108" w:type="dxa"/>
            <w:bottom w:w="20" w:type="dxa"/>
            <w:right w:w="108" w:type="dxa"/>
          </w:tblCellMar>
        </w:tblPrEx>
        <w:trPr>
          <w:tblCellSpacing w:w="0" w:type="dxa"/>
          <w:jc w:val="center"/>
        </w:trPr>
        <w:tc>
          <w:tcPr>
            <w:tcW w:w="656" w:type="dxa"/>
            <w:vMerge/>
            <w:vAlign w:val="center"/>
          </w:tcPr>
          <w:p>
            <w:pPr>
              <w:rPr>
                <w:rFonts w:ascii="宋体" w:hAnsi="宋体" w:cs="宋体" w:hint="eastAsia"/>
                <w:b/>
                <w:bCs/>
                <w:color w:val="0000FF"/>
                <w:sz w:val="18"/>
                <w:szCs w:val="18"/>
              </w:rPr>
            </w:pPr>
          </w:p>
        </w:tc>
        <w:tc>
          <w:tcPr>
            <w:tcW w:w="655" w:type="dxa"/>
            <w:vAlign w:val="center"/>
          </w:tcPr>
          <w:p>
            <w:pPr>
              <w:wordWrap w:val="0"/>
              <w:jc w:val="center"/>
              <w:rPr>
                <w:rFonts w:ascii="宋体" w:hAnsi="宋体" w:cs="宋体" w:hint="eastAsia"/>
                <w:sz w:val="18"/>
                <w:szCs w:val="18"/>
              </w:rPr>
            </w:pPr>
            <w:r>
              <w:rPr>
                <w:rFonts w:ascii="宋体" w:hAnsi="宋体"/>
                <w:sz w:val="18"/>
                <w:szCs w:val="18"/>
              </w:rPr>
              <w:t>1</w:t>
            </w:r>
          </w:p>
        </w:tc>
        <w:tc>
          <w:tcPr>
            <w:tcW w:w="2606" w:type="dxa"/>
            <w:vAlign w:val="center"/>
          </w:tcPr>
          <w:p>
            <w:pPr>
              <w:wordWrap w:val="0"/>
              <w:jc w:val="center"/>
              <w:rPr>
                <w:rFonts w:ascii="宋体" w:hAnsi="宋体" w:cs="宋体" w:hint="eastAsia"/>
                <w:sz w:val="18"/>
                <w:szCs w:val="18"/>
              </w:rPr>
            </w:pPr>
            <w:r>
              <w:rPr>
                <w:rFonts w:ascii="宋体" w:hAnsi="宋体" w:hint="eastAsia"/>
                <w:sz w:val="18"/>
                <w:szCs w:val="18"/>
              </w:rPr>
              <w:t>供应商认证情况</w:t>
            </w:r>
          </w:p>
        </w:tc>
        <w:tc>
          <w:tcPr>
            <w:tcW w:w="756" w:type="dxa"/>
            <w:vAlign w:val="center"/>
          </w:tcPr>
          <w:p>
            <w:pPr>
              <w:spacing w:line="320" w:lineRule="exact"/>
              <w:jc w:val="center"/>
              <w:rPr>
                <w:rFonts w:ascii="宋体" w:hAnsi="宋体" w:cs="宋体" w:hint="eastAsia"/>
                <w:sz w:val="18"/>
                <w:szCs w:val="18"/>
              </w:rPr>
            </w:pPr>
            <w:r>
              <w:rPr>
                <w:sz w:val="18"/>
                <w:szCs w:val="18"/>
              </w:rPr>
              <w:t>10</w:t>
            </w:r>
          </w:p>
        </w:tc>
        <w:tc>
          <w:tcPr>
            <w:tcW w:w="4399" w:type="dxa"/>
          </w:tcPr>
          <w:p>
            <w:pPr>
              <w:spacing w:line="320" w:lineRule="exact"/>
              <w:rPr>
                <w:b/>
                <w:bCs/>
                <w:sz w:val="18"/>
                <w:szCs w:val="18"/>
              </w:rPr>
            </w:pPr>
            <w:r>
              <w:rPr>
                <w:rFonts w:hint="eastAsia"/>
                <w:b/>
                <w:bCs/>
                <w:sz w:val="18"/>
                <w:szCs w:val="18"/>
              </w:rPr>
              <w:t>（一）评审内容：</w:t>
            </w:r>
          </w:p>
          <w:p>
            <w:pPr>
              <w:spacing w:line="320" w:lineRule="exact"/>
              <w:rPr>
                <w:sz w:val="18"/>
                <w:szCs w:val="18"/>
              </w:rPr>
            </w:pPr>
            <w:r>
              <w:rPr>
                <w:sz w:val="18"/>
                <w:szCs w:val="18"/>
              </w:rPr>
              <w:t>1.</w:t>
            </w:r>
            <w:r>
              <w:rPr>
                <w:rFonts w:hint="eastAsia"/>
                <w:sz w:val="18"/>
                <w:szCs w:val="18"/>
              </w:rPr>
              <w:t>投标人具有以下有效的体系认证证书：</w:t>
            </w:r>
          </w:p>
          <w:p>
            <w:pPr>
              <w:spacing w:line="320" w:lineRule="exact"/>
              <w:rPr>
                <w:sz w:val="18"/>
                <w:szCs w:val="18"/>
              </w:rPr>
            </w:pPr>
            <w:r>
              <w:rPr>
                <w:rFonts w:hint="eastAsia"/>
                <w:sz w:val="18"/>
                <w:szCs w:val="18"/>
              </w:rPr>
              <w:t>（1）同时具备</w:t>
            </w:r>
            <w:r>
              <w:rPr>
                <w:sz w:val="18"/>
                <w:szCs w:val="18"/>
              </w:rPr>
              <w:t>ISO9001</w:t>
            </w:r>
            <w:r>
              <w:rPr>
                <w:rFonts w:hint="eastAsia"/>
                <w:sz w:val="18"/>
                <w:szCs w:val="18"/>
              </w:rPr>
              <w:t>质量管理体系认证、</w:t>
            </w:r>
            <w:r>
              <w:rPr>
                <w:sz w:val="18"/>
                <w:szCs w:val="18"/>
              </w:rPr>
              <w:t>ISO45001</w:t>
            </w:r>
            <w:r>
              <w:rPr>
                <w:rFonts w:hint="eastAsia"/>
                <w:sz w:val="18"/>
                <w:szCs w:val="18"/>
              </w:rPr>
              <w:t>职业健康安全管理体系认证、</w:t>
            </w:r>
            <w:r>
              <w:rPr>
                <w:sz w:val="18"/>
                <w:szCs w:val="18"/>
              </w:rPr>
              <w:t>ISO14001</w:t>
            </w:r>
            <w:r>
              <w:rPr>
                <w:rFonts w:hint="eastAsia"/>
                <w:sz w:val="18"/>
                <w:szCs w:val="18"/>
              </w:rPr>
              <w:t>环境管理体系认证的得20分，</w:t>
            </w:r>
          </w:p>
          <w:p>
            <w:pPr>
              <w:spacing w:line="320" w:lineRule="exact"/>
              <w:rPr>
                <w:sz w:val="18"/>
                <w:szCs w:val="18"/>
              </w:rPr>
            </w:pPr>
            <w:r>
              <w:rPr>
                <w:rFonts w:hint="eastAsia"/>
                <w:sz w:val="18"/>
                <w:szCs w:val="18"/>
              </w:rPr>
              <w:t>（2）</w:t>
            </w:r>
            <w:bookmarkStart w:id="4" w:name="OLE_LINK9"/>
            <w:r>
              <w:rPr>
                <w:rFonts w:hint="eastAsia"/>
                <w:sz w:val="18"/>
                <w:szCs w:val="18"/>
              </w:rPr>
              <w:t>具备环境卫生作业规范体系认证证书</w:t>
            </w:r>
            <w:bookmarkEnd w:id="4"/>
            <w:r>
              <w:rPr>
                <w:rFonts w:hint="eastAsia"/>
                <w:sz w:val="18"/>
                <w:szCs w:val="18"/>
              </w:rPr>
              <w:t>得20分；</w:t>
            </w:r>
          </w:p>
          <w:p>
            <w:pPr>
              <w:spacing w:line="320" w:lineRule="exact"/>
              <w:rPr>
                <w:sz w:val="18"/>
                <w:szCs w:val="18"/>
              </w:rPr>
            </w:pPr>
            <w:r>
              <w:rPr>
                <w:rFonts w:hint="eastAsia"/>
                <w:sz w:val="18"/>
                <w:szCs w:val="18"/>
              </w:rPr>
              <w:t>（3）</w:t>
            </w:r>
            <w:bookmarkStart w:id="5" w:name="OLE_LINK11"/>
            <w:r>
              <w:rPr>
                <w:rFonts w:hint="eastAsia"/>
                <w:sz w:val="18"/>
                <w:szCs w:val="18"/>
              </w:rPr>
              <w:t>具备物业服务认证证书</w:t>
            </w:r>
            <w:bookmarkEnd w:id="5"/>
            <w:r>
              <w:rPr>
                <w:rFonts w:hint="eastAsia"/>
                <w:sz w:val="18"/>
                <w:szCs w:val="18"/>
              </w:rPr>
              <w:t>得20分；</w:t>
            </w:r>
          </w:p>
          <w:p>
            <w:pPr>
              <w:spacing w:line="320" w:lineRule="exact"/>
              <w:rPr>
                <w:sz w:val="18"/>
                <w:szCs w:val="18"/>
              </w:rPr>
            </w:pPr>
            <w:r>
              <w:rPr>
                <w:rFonts w:hint="eastAsia"/>
                <w:sz w:val="18"/>
                <w:szCs w:val="18"/>
              </w:rPr>
              <w:t>（4）</w:t>
            </w:r>
            <w:bookmarkStart w:id="6" w:name="OLE_LINK10"/>
            <w:r>
              <w:rPr>
                <w:rFonts w:hint="eastAsia"/>
                <w:sz w:val="18"/>
                <w:szCs w:val="18"/>
              </w:rPr>
              <w:t>具备履约能力评价体系认证证书</w:t>
            </w:r>
            <w:bookmarkEnd w:id="6"/>
            <w:r>
              <w:rPr>
                <w:rFonts w:hint="eastAsia"/>
                <w:sz w:val="18"/>
                <w:szCs w:val="18"/>
              </w:rPr>
              <w:t>得20分；</w:t>
            </w:r>
          </w:p>
          <w:p>
            <w:pPr>
              <w:spacing w:line="320" w:lineRule="exact"/>
              <w:rPr>
                <w:sz w:val="18"/>
                <w:szCs w:val="18"/>
              </w:rPr>
            </w:pPr>
            <w:r>
              <w:rPr>
                <w:rFonts w:hint="eastAsia"/>
                <w:sz w:val="18"/>
                <w:szCs w:val="18"/>
              </w:rPr>
              <w:t>（5）具备</w:t>
            </w:r>
            <w:bookmarkStart w:id="7" w:name="OLE_LINK12"/>
            <w:r>
              <w:rPr>
                <w:rFonts w:hint="eastAsia"/>
                <w:sz w:val="18"/>
                <w:szCs w:val="18"/>
              </w:rPr>
              <w:t>公共环境灭菌消毒作业服务相关证书</w:t>
            </w:r>
            <w:bookmarkEnd w:id="7"/>
            <w:r>
              <w:rPr>
                <w:rFonts w:hint="eastAsia"/>
                <w:sz w:val="18"/>
                <w:szCs w:val="18"/>
              </w:rPr>
              <w:t>得20分。</w:t>
            </w:r>
          </w:p>
          <w:p>
            <w:pPr>
              <w:spacing w:line="320" w:lineRule="exact"/>
              <w:rPr>
                <w:sz w:val="18"/>
                <w:szCs w:val="18"/>
              </w:rPr>
            </w:pPr>
            <w:r>
              <w:rPr>
                <w:rFonts w:hint="eastAsia"/>
                <w:sz w:val="18"/>
                <w:szCs w:val="18"/>
              </w:rPr>
              <w:t>本项最高得100分。</w:t>
            </w:r>
          </w:p>
          <w:p>
            <w:pPr>
              <w:spacing w:line="320" w:lineRule="exact"/>
              <w:rPr>
                <w:b/>
                <w:bCs/>
                <w:sz w:val="18"/>
                <w:szCs w:val="18"/>
              </w:rPr>
            </w:pPr>
            <w:r>
              <w:rPr>
                <w:rFonts w:hint="eastAsia"/>
                <w:b/>
                <w:bCs/>
                <w:sz w:val="18"/>
                <w:szCs w:val="18"/>
              </w:rPr>
              <w:t>（二）证明材料：</w:t>
            </w:r>
          </w:p>
          <w:p>
            <w:pPr>
              <w:spacing w:line="320" w:lineRule="exact"/>
              <w:rPr>
                <w:sz w:val="18"/>
                <w:szCs w:val="18"/>
              </w:rPr>
            </w:pPr>
            <w:r>
              <w:rPr>
                <w:rFonts w:hint="eastAsia"/>
                <w:sz w:val="18"/>
                <w:szCs w:val="18"/>
              </w:rPr>
              <w:t>（1）要求提供所有有效的认证证书扫描件，及出具证书官网或全国认证认可信息公共服务平台（http://cx.cnca.cn/）的证书查询记录。认证证书在公开渠道无法查询的，需提供颁发机构的证明材料，证明证书真实有效。</w:t>
            </w:r>
          </w:p>
          <w:p>
            <w:pPr>
              <w:spacing w:line="320" w:lineRule="exact"/>
              <w:rPr>
                <w:sz w:val="18"/>
                <w:szCs w:val="18"/>
              </w:rPr>
            </w:pPr>
            <w:r>
              <w:rPr>
                <w:rFonts w:hint="eastAsia"/>
                <w:sz w:val="18"/>
                <w:szCs w:val="18"/>
              </w:rPr>
              <w:t>（2）以上资料均要求提供扫描件。评分中出现无证明资料或专家无法凭所提供资料判断是否得分的情况，一律作不得分处理。</w:t>
            </w:r>
          </w:p>
        </w:tc>
      </w:tr>
      <w:tr>
        <w:tblPrEx>
          <w:tblW w:w="9072" w:type="dxa"/>
          <w:jc w:val="center"/>
          <w:tblCellSpacing w:w="0" w:type="dxa"/>
          <w:tblCellMar>
            <w:top w:w="20" w:type="dxa"/>
            <w:left w:w="108" w:type="dxa"/>
            <w:bottom w:w="20" w:type="dxa"/>
            <w:right w:w="108" w:type="dxa"/>
          </w:tblCellMar>
        </w:tblPrEx>
        <w:trPr>
          <w:tblCellSpacing w:w="0" w:type="dxa"/>
          <w:jc w:val="center"/>
        </w:trPr>
        <w:tc>
          <w:tcPr>
            <w:tcW w:w="656" w:type="dxa"/>
            <w:vMerge/>
            <w:vAlign w:val="center"/>
          </w:tcPr>
          <w:p>
            <w:pPr>
              <w:rPr>
                <w:rFonts w:ascii="宋体" w:hAnsi="宋体" w:cs="宋体" w:hint="eastAsia"/>
                <w:b/>
                <w:bCs/>
                <w:color w:val="0000FF"/>
                <w:sz w:val="18"/>
                <w:szCs w:val="18"/>
              </w:rPr>
            </w:pPr>
          </w:p>
        </w:tc>
        <w:tc>
          <w:tcPr>
            <w:tcW w:w="655" w:type="dxa"/>
            <w:vAlign w:val="center"/>
          </w:tcPr>
          <w:p>
            <w:pPr>
              <w:wordWrap w:val="0"/>
              <w:jc w:val="center"/>
              <w:rPr>
                <w:rFonts w:ascii="宋体" w:hAnsi="宋体" w:cs="宋体" w:hint="eastAsia"/>
                <w:sz w:val="18"/>
                <w:szCs w:val="18"/>
              </w:rPr>
            </w:pPr>
            <w:r>
              <w:rPr>
                <w:rFonts w:ascii="宋体" w:hAnsi="宋体" w:hint="eastAsia"/>
                <w:sz w:val="18"/>
                <w:szCs w:val="18"/>
              </w:rPr>
              <w:t>2</w:t>
            </w:r>
          </w:p>
        </w:tc>
        <w:tc>
          <w:tcPr>
            <w:tcW w:w="2606" w:type="dxa"/>
            <w:vAlign w:val="center"/>
          </w:tcPr>
          <w:p>
            <w:pPr>
              <w:wordWrap w:val="0"/>
              <w:jc w:val="center"/>
              <w:rPr>
                <w:rFonts w:ascii="宋体" w:hAnsi="宋体" w:cs="宋体" w:hint="eastAsia"/>
                <w:sz w:val="18"/>
                <w:szCs w:val="18"/>
              </w:rPr>
            </w:pPr>
            <w:r>
              <w:rPr>
                <w:rFonts w:ascii="宋体" w:hAnsi="宋体" w:hint="eastAsia"/>
                <w:sz w:val="18"/>
                <w:szCs w:val="18"/>
              </w:rPr>
              <w:t>供应商同类项目业绩情况</w:t>
            </w:r>
          </w:p>
        </w:tc>
        <w:tc>
          <w:tcPr>
            <w:tcW w:w="756" w:type="dxa"/>
            <w:vAlign w:val="center"/>
          </w:tcPr>
          <w:p>
            <w:pPr>
              <w:spacing w:line="320" w:lineRule="exact"/>
              <w:jc w:val="center"/>
              <w:rPr>
                <w:rFonts w:ascii="宋体" w:hAnsi="宋体" w:cs="宋体" w:hint="eastAsia"/>
                <w:sz w:val="18"/>
                <w:szCs w:val="18"/>
              </w:rPr>
            </w:pPr>
            <w:r>
              <w:rPr>
                <w:sz w:val="18"/>
                <w:szCs w:val="18"/>
              </w:rPr>
              <w:t>8</w:t>
            </w:r>
          </w:p>
        </w:tc>
        <w:tc>
          <w:tcPr>
            <w:tcW w:w="4399" w:type="dxa"/>
          </w:tcPr>
          <w:p>
            <w:pPr>
              <w:spacing w:line="320" w:lineRule="exact"/>
              <w:rPr>
                <w:b/>
                <w:bCs/>
                <w:sz w:val="18"/>
                <w:szCs w:val="18"/>
              </w:rPr>
            </w:pPr>
            <w:r>
              <w:rPr>
                <w:rFonts w:hint="eastAsia"/>
                <w:b/>
                <w:bCs/>
                <w:sz w:val="18"/>
                <w:szCs w:val="18"/>
              </w:rPr>
              <w:t>（一）评审内容：</w:t>
            </w:r>
          </w:p>
          <w:p>
            <w:pPr>
              <w:spacing w:line="320" w:lineRule="exact"/>
              <w:rPr>
                <w:sz w:val="18"/>
                <w:szCs w:val="18"/>
              </w:rPr>
            </w:pPr>
            <w:r>
              <w:rPr>
                <w:rFonts w:hint="eastAsia"/>
                <w:sz w:val="18"/>
                <w:szCs w:val="18"/>
              </w:rPr>
              <w:t>考察投标人自</w:t>
            </w:r>
            <w:r>
              <w:rPr>
                <w:sz w:val="18"/>
                <w:szCs w:val="18"/>
              </w:rPr>
              <w:t>2022</w:t>
            </w:r>
            <w:r>
              <w:rPr>
                <w:rFonts w:hint="eastAsia"/>
                <w:sz w:val="18"/>
                <w:szCs w:val="18"/>
              </w:rPr>
              <w:t>年</w:t>
            </w:r>
            <w:r>
              <w:rPr>
                <w:sz w:val="18"/>
                <w:szCs w:val="18"/>
              </w:rPr>
              <w:t>1</w:t>
            </w:r>
            <w:r>
              <w:rPr>
                <w:rFonts w:hint="eastAsia"/>
                <w:sz w:val="18"/>
                <w:szCs w:val="18"/>
              </w:rPr>
              <w:t>月</w:t>
            </w:r>
            <w:r>
              <w:rPr>
                <w:sz w:val="18"/>
                <w:szCs w:val="18"/>
              </w:rPr>
              <w:t>1</w:t>
            </w:r>
            <w:r>
              <w:rPr>
                <w:rFonts w:hint="eastAsia"/>
                <w:sz w:val="18"/>
                <w:szCs w:val="18"/>
              </w:rPr>
              <w:t>日至投标截止日（以合同签订时间为准）承担过的项目业绩情况：</w:t>
            </w:r>
          </w:p>
          <w:p>
            <w:pPr>
              <w:spacing w:line="320" w:lineRule="exact"/>
              <w:rPr>
                <w:sz w:val="18"/>
                <w:szCs w:val="18"/>
              </w:rPr>
            </w:pPr>
            <w:r>
              <w:rPr>
                <w:rFonts w:hint="eastAsia"/>
                <w:sz w:val="18"/>
                <w:szCs w:val="18"/>
              </w:rPr>
              <w:t>合同服务内容需包含①设施设备维护管理、②卫生清洁服务、③安保（或秩序维护）服务、④宿舍（或公寓）管理服务、⑤教室管理服务（或教学楼、教务）、⑥能源监控服务（或节能管理）、⑦会务服务、⑧考试考场安排服务、⑨协助采购人大型活动（或校区重大活动统筹管理服务），服务名称可以不一致，服务内容涵盖即可。文字描述可以不完全一致的基础上，每提供一个包含以上九项服务内容的有效业绩得</w:t>
            </w:r>
            <w:r>
              <w:rPr>
                <w:sz w:val="18"/>
                <w:szCs w:val="18"/>
              </w:rPr>
              <w:t>50</w:t>
            </w:r>
            <w:r>
              <w:rPr>
                <w:rFonts w:hint="eastAsia"/>
                <w:sz w:val="18"/>
                <w:szCs w:val="18"/>
              </w:rPr>
              <w:t>分，最高得100分；每提供一个至少包含以上七项服务内容的有效业绩得20分，最高得40分，本项最高得100分。</w:t>
            </w:r>
          </w:p>
          <w:p>
            <w:pPr>
              <w:spacing w:line="320" w:lineRule="exact"/>
              <w:rPr>
                <w:b/>
                <w:bCs/>
                <w:sz w:val="18"/>
                <w:szCs w:val="18"/>
              </w:rPr>
            </w:pPr>
            <w:r>
              <w:rPr>
                <w:rFonts w:hint="eastAsia"/>
                <w:b/>
                <w:bCs/>
                <w:sz w:val="18"/>
                <w:szCs w:val="18"/>
              </w:rPr>
              <w:t>（二）评分依据：</w:t>
            </w:r>
          </w:p>
          <w:p>
            <w:pPr>
              <w:spacing w:line="320" w:lineRule="exact"/>
              <w:rPr>
                <w:sz w:val="18"/>
                <w:szCs w:val="18"/>
              </w:rPr>
            </w:pPr>
            <w:r>
              <w:rPr>
                <w:rFonts w:hint="eastAsia"/>
                <w:sz w:val="18"/>
                <w:szCs w:val="18"/>
              </w:rPr>
              <w:t>（</w:t>
            </w:r>
            <w:r>
              <w:rPr>
                <w:sz w:val="18"/>
                <w:szCs w:val="18"/>
              </w:rPr>
              <w:t>1</w:t>
            </w:r>
            <w:r>
              <w:rPr>
                <w:rFonts w:hint="eastAsia"/>
                <w:sz w:val="18"/>
                <w:szCs w:val="18"/>
              </w:rPr>
              <w:t>）要求同时提供合同关键信息及履约评价合格（及以上）或者验收合格证明文件作为得分依据，履约评价合格（及以上）或者验收合格证明文件需加盖合同甲方公章（或甲方业务章），续签合同仅计一次分值。</w:t>
            </w:r>
          </w:p>
          <w:p>
            <w:pPr>
              <w:spacing w:line="320" w:lineRule="exact"/>
              <w:rPr>
                <w:sz w:val="18"/>
                <w:szCs w:val="18"/>
              </w:rPr>
            </w:pPr>
            <w:r>
              <w:rPr>
                <w:rFonts w:hint="eastAsia"/>
                <w:sz w:val="18"/>
                <w:szCs w:val="18"/>
              </w:rPr>
              <w:t>（</w:t>
            </w:r>
            <w:r>
              <w:rPr>
                <w:sz w:val="18"/>
                <w:szCs w:val="18"/>
              </w:rPr>
              <w:t>2</w:t>
            </w:r>
            <w:r>
              <w:rPr>
                <w:rFonts w:hint="eastAsia"/>
                <w:sz w:val="18"/>
                <w:szCs w:val="18"/>
              </w:rPr>
              <w:t>）以上资料均要求提供扫描件。评分中出现无证明资料或专家无法凭所提供资料判断是否得分的情况，一律作不得分处理。</w:t>
            </w:r>
          </w:p>
        </w:tc>
      </w:tr>
      <w:tr>
        <w:tblPrEx>
          <w:tblW w:w="9072" w:type="dxa"/>
          <w:jc w:val="center"/>
          <w:tblCellSpacing w:w="0" w:type="dxa"/>
          <w:tblCellMar>
            <w:top w:w="20" w:type="dxa"/>
            <w:left w:w="108" w:type="dxa"/>
            <w:bottom w:w="20" w:type="dxa"/>
            <w:right w:w="108" w:type="dxa"/>
          </w:tblCellMar>
        </w:tblPrEx>
        <w:trPr>
          <w:trHeight w:val="537"/>
          <w:tblCellSpacing w:w="0" w:type="dxa"/>
          <w:jc w:val="center"/>
        </w:trPr>
        <w:tc>
          <w:tcPr>
            <w:tcW w:w="656" w:type="dxa"/>
            <w:vMerge/>
            <w:vAlign w:val="center"/>
          </w:tcPr>
          <w:p>
            <w:pPr>
              <w:rPr>
                <w:rFonts w:ascii="宋体" w:hAnsi="宋体" w:cs="宋体" w:hint="eastAsia"/>
                <w:b/>
                <w:bCs/>
                <w:color w:val="0000FF"/>
                <w:sz w:val="18"/>
                <w:szCs w:val="18"/>
              </w:rPr>
            </w:pPr>
          </w:p>
        </w:tc>
        <w:tc>
          <w:tcPr>
            <w:tcW w:w="655" w:type="dxa"/>
            <w:vAlign w:val="center"/>
          </w:tcPr>
          <w:p>
            <w:pPr>
              <w:wordWrap w:val="0"/>
              <w:jc w:val="center"/>
              <w:rPr>
                <w:rFonts w:ascii="宋体" w:hAnsi="宋体" w:cs="宋体" w:hint="eastAsia"/>
                <w:sz w:val="18"/>
                <w:szCs w:val="18"/>
              </w:rPr>
            </w:pPr>
            <w:r>
              <w:rPr>
                <w:rFonts w:ascii="宋体" w:hAnsi="宋体" w:hint="eastAsia"/>
                <w:sz w:val="18"/>
                <w:szCs w:val="18"/>
              </w:rPr>
              <w:t>3</w:t>
            </w:r>
          </w:p>
        </w:tc>
        <w:tc>
          <w:tcPr>
            <w:tcW w:w="2606" w:type="dxa"/>
            <w:vAlign w:val="center"/>
          </w:tcPr>
          <w:p>
            <w:pPr>
              <w:wordWrap w:val="0"/>
              <w:jc w:val="center"/>
              <w:rPr>
                <w:rFonts w:ascii="宋体" w:hAnsi="宋体" w:cs="宋体" w:hint="eastAsia"/>
                <w:sz w:val="18"/>
                <w:szCs w:val="18"/>
              </w:rPr>
            </w:pPr>
            <w:r>
              <w:rPr>
                <w:rFonts w:ascii="宋体" w:hAnsi="宋体" w:hint="eastAsia"/>
                <w:sz w:val="18"/>
                <w:szCs w:val="18"/>
              </w:rPr>
              <w:t>供应商获奖情况</w:t>
            </w:r>
          </w:p>
        </w:tc>
        <w:tc>
          <w:tcPr>
            <w:tcW w:w="756" w:type="dxa"/>
            <w:vAlign w:val="center"/>
          </w:tcPr>
          <w:p>
            <w:pPr>
              <w:spacing w:line="320" w:lineRule="exact"/>
              <w:jc w:val="center"/>
              <w:rPr>
                <w:rFonts w:ascii="宋体" w:hAnsi="宋体" w:cs="宋体" w:hint="eastAsia"/>
                <w:sz w:val="18"/>
                <w:szCs w:val="18"/>
              </w:rPr>
            </w:pPr>
            <w:r>
              <w:rPr>
                <w:sz w:val="18"/>
                <w:szCs w:val="18"/>
              </w:rPr>
              <w:t>5</w:t>
            </w:r>
          </w:p>
        </w:tc>
        <w:tc>
          <w:tcPr>
            <w:tcW w:w="4399" w:type="dxa"/>
          </w:tcPr>
          <w:p>
            <w:pPr>
              <w:spacing w:line="320" w:lineRule="exact"/>
              <w:rPr>
                <w:b/>
                <w:bCs/>
                <w:sz w:val="24"/>
              </w:rPr>
            </w:pPr>
            <w:r>
              <w:rPr>
                <w:rFonts w:hint="eastAsia"/>
                <w:b/>
                <w:bCs/>
                <w:sz w:val="18"/>
                <w:szCs w:val="18"/>
              </w:rPr>
              <w:t>（一）评分内容：</w:t>
            </w:r>
          </w:p>
          <w:p>
            <w:pPr>
              <w:spacing w:line="320" w:lineRule="exact"/>
              <w:rPr>
                <w:sz w:val="18"/>
                <w:szCs w:val="18"/>
              </w:rPr>
            </w:pPr>
            <w:r>
              <w:rPr>
                <w:sz w:val="18"/>
                <w:szCs w:val="18"/>
              </w:rPr>
              <w:t>1.</w:t>
            </w:r>
            <w:r>
              <w:rPr>
                <w:rFonts w:hint="eastAsia"/>
                <w:sz w:val="18"/>
                <w:szCs w:val="18"/>
              </w:rPr>
              <w:t>投标人获得县（区）级或以上人民政府颁发的政府质量奖得</w:t>
            </w:r>
            <w:r>
              <w:rPr>
                <w:sz w:val="18"/>
                <w:szCs w:val="18"/>
              </w:rPr>
              <w:t>30</w:t>
            </w:r>
            <w:r>
              <w:rPr>
                <w:rFonts w:hint="eastAsia"/>
                <w:sz w:val="18"/>
                <w:szCs w:val="18"/>
              </w:rPr>
              <w:t>分；</w:t>
            </w:r>
          </w:p>
          <w:p>
            <w:pPr>
              <w:spacing w:line="320" w:lineRule="exact"/>
              <w:rPr>
                <w:sz w:val="18"/>
                <w:szCs w:val="18"/>
              </w:rPr>
            </w:pPr>
            <w:r>
              <w:rPr>
                <w:sz w:val="18"/>
                <w:szCs w:val="18"/>
              </w:rPr>
              <w:t>2.</w:t>
            </w:r>
            <w:r>
              <w:rPr>
                <w:rFonts w:hint="eastAsia"/>
                <w:sz w:val="18"/>
                <w:szCs w:val="18"/>
              </w:rPr>
              <w:t>投标人在管项目在管期间获得区级或以上公安部门颁发的“先进治安保卫组织”</w:t>
            </w:r>
            <w:r>
              <w:rPr>
                <w:sz w:val="18"/>
                <w:szCs w:val="18"/>
              </w:rPr>
              <w:t xml:space="preserve"> </w:t>
            </w:r>
            <w:r>
              <w:rPr>
                <w:rFonts w:hint="eastAsia"/>
                <w:sz w:val="18"/>
                <w:szCs w:val="18"/>
              </w:rPr>
              <w:t>荣誉的得</w:t>
            </w:r>
            <w:r>
              <w:rPr>
                <w:sz w:val="18"/>
                <w:szCs w:val="18"/>
              </w:rPr>
              <w:t>30</w:t>
            </w:r>
            <w:r>
              <w:rPr>
                <w:rFonts w:hint="eastAsia"/>
                <w:sz w:val="18"/>
                <w:szCs w:val="18"/>
              </w:rPr>
              <w:t>分；</w:t>
            </w:r>
          </w:p>
          <w:p>
            <w:pPr>
              <w:spacing w:line="320" w:lineRule="exact"/>
              <w:rPr>
                <w:sz w:val="18"/>
                <w:szCs w:val="18"/>
              </w:rPr>
            </w:pPr>
            <w:r>
              <w:rPr>
                <w:rFonts w:hint="eastAsia"/>
                <w:sz w:val="18"/>
                <w:szCs w:val="18"/>
              </w:rPr>
              <w:t>3</w:t>
            </w:r>
            <w:r>
              <w:rPr>
                <w:sz w:val="18"/>
                <w:szCs w:val="18"/>
              </w:rPr>
              <w:t>.</w:t>
            </w:r>
            <w:r>
              <w:rPr>
                <w:rFonts w:hint="eastAsia"/>
                <w:sz w:val="18"/>
                <w:szCs w:val="18"/>
              </w:rPr>
              <w:t>投标人获得副省级（或以上）政府部门颁发的物业相关奖项的，每提供一项得</w:t>
            </w:r>
            <w:r>
              <w:rPr>
                <w:sz w:val="18"/>
                <w:szCs w:val="18"/>
              </w:rPr>
              <w:t>20</w:t>
            </w:r>
            <w:r>
              <w:rPr>
                <w:rFonts w:hint="eastAsia"/>
                <w:sz w:val="18"/>
                <w:szCs w:val="18"/>
              </w:rPr>
              <w:t>分，本小项最高得</w:t>
            </w:r>
            <w:r>
              <w:rPr>
                <w:sz w:val="18"/>
                <w:szCs w:val="18"/>
              </w:rPr>
              <w:t>40</w:t>
            </w:r>
            <w:r>
              <w:rPr>
                <w:rFonts w:hint="eastAsia"/>
                <w:sz w:val="18"/>
                <w:szCs w:val="18"/>
              </w:rPr>
              <w:t>分。</w:t>
            </w:r>
          </w:p>
          <w:p>
            <w:pPr>
              <w:spacing w:line="320" w:lineRule="exact"/>
            </w:pPr>
            <w:r>
              <w:rPr>
                <w:rFonts w:hint="eastAsia"/>
                <w:sz w:val="18"/>
                <w:szCs w:val="18"/>
              </w:rPr>
              <w:t>以上1</w:t>
            </w:r>
            <w:r>
              <w:rPr>
                <w:sz w:val="18"/>
                <w:szCs w:val="18"/>
              </w:rPr>
              <w:t>-3</w:t>
            </w:r>
            <w:r>
              <w:rPr>
                <w:rFonts w:hint="eastAsia"/>
                <w:sz w:val="18"/>
                <w:szCs w:val="18"/>
              </w:rPr>
              <w:t>项累计得分，最高得1</w:t>
            </w:r>
            <w:r>
              <w:rPr>
                <w:sz w:val="18"/>
                <w:szCs w:val="18"/>
              </w:rPr>
              <w:t>00</w:t>
            </w:r>
            <w:r>
              <w:rPr>
                <w:rFonts w:hint="eastAsia"/>
                <w:sz w:val="18"/>
                <w:szCs w:val="18"/>
              </w:rPr>
              <w:t>分。</w:t>
            </w:r>
          </w:p>
          <w:p>
            <w:pPr>
              <w:spacing w:line="320" w:lineRule="exact"/>
              <w:rPr>
                <w:b/>
                <w:bCs/>
                <w:sz w:val="18"/>
                <w:szCs w:val="18"/>
              </w:rPr>
            </w:pPr>
            <w:r>
              <w:rPr>
                <w:rFonts w:hint="eastAsia"/>
                <w:b/>
                <w:bCs/>
                <w:sz w:val="18"/>
                <w:szCs w:val="18"/>
              </w:rPr>
              <w:t>（二）评分依据：</w:t>
            </w:r>
          </w:p>
          <w:p>
            <w:pPr>
              <w:spacing w:line="320" w:lineRule="exact"/>
              <w:rPr>
                <w:sz w:val="18"/>
                <w:szCs w:val="18"/>
              </w:rPr>
            </w:pPr>
            <w:r>
              <w:rPr>
                <w:sz w:val="18"/>
                <w:szCs w:val="18"/>
              </w:rPr>
              <w:t>1.</w:t>
            </w:r>
            <w:r>
              <w:rPr>
                <w:rFonts w:hint="eastAsia"/>
                <w:sz w:val="18"/>
                <w:szCs w:val="18"/>
              </w:rPr>
              <w:t>要求提供奖项照片、获奖（荣誉）证书或颁奖单位颁奖文件（或红头文件）等证明材料作为得分依据，应能体现投标人名称等关键评审因素，如无法体现，须另附颁奖单位的相关证明材料或项目对应合同扫描件，未提供或提供不全的不得分。</w:t>
            </w:r>
          </w:p>
          <w:p>
            <w:pPr>
              <w:spacing w:line="320" w:lineRule="exact"/>
              <w:rPr>
                <w:sz w:val="18"/>
                <w:szCs w:val="18"/>
              </w:rPr>
            </w:pPr>
            <w:r>
              <w:rPr>
                <w:sz w:val="18"/>
                <w:szCs w:val="18"/>
              </w:rPr>
              <w:t>3.</w:t>
            </w:r>
            <w:r>
              <w:rPr>
                <w:rFonts w:hint="eastAsia"/>
                <w:sz w:val="18"/>
                <w:szCs w:val="18"/>
              </w:rPr>
              <w:t>以上资料均要求提供扫描件。评分中出现无证明资料或专家无法凭所提供资料判断是否得分的情况，一律作不得分处理。</w:t>
            </w:r>
          </w:p>
        </w:tc>
      </w:tr>
      <w:tr>
        <w:tblPrEx>
          <w:tblW w:w="9072" w:type="dxa"/>
          <w:jc w:val="center"/>
          <w:tblCellSpacing w:w="0" w:type="dxa"/>
          <w:tblCellMar>
            <w:top w:w="20" w:type="dxa"/>
            <w:left w:w="108" w:type="dxa"/>
            <w:bottom w:w="20" w:type="dxa"/>
            <w:right w:w="108" w:type="dxa"/>
          </w:tblCellMar>
        </w:tblPrEx>
        <w:trPr>
          <w:trHeight w:val="3894"/>
          <w:tblCellSpacing w:w="0" w:type="dxa"/>
          <w:jc w:val="center"/>
        </w:trPr>
        <w:tc>
          <w:tcPr>
            <w:tcW w:w="656" w:type="dxa"/>
            <w:vMerge/>
            <w:vAlign w:val="center"/>
          </w:tcPr>
          <w:p>
            <w:pPr>
              <w:rPr>
                <w:rFonts w:ascii="宋体" w:hAnsi="宋体" w:cs="宋体" w:hint="eastAsia"/>
                <w:b/>
                <w:bCs/>
                <w:color w:val="0000FF"/>
                <w:sz w:val="18"/>
                <w:szCs w:val="18"/>
              </w:rPr>
            </w:pPr>
          </w:p>
        </w:tc>
        <w:tc>
          <w:tcPr>
            <w:tcW w:w="655" w:type="dxa"/>
            <w:vAlign w:val="center"/>
          </w:tcPr>
          <w:p>
            <w:pPr>
              <w:wordWrap w:val="0"/>
              <w:jc w:val="center"/>
              <w:rPr>
                <w:rFonts w:ascii="宋体" w:hAnsi="宋体" w:cs="宋体" w:hint="eastAsia"/>
                <w:sz w:val="18"/>
                <w:szCs w:val="18"/>
              </w:rPr>
            </w:pPr>
            <w:r>
              <w:rPr>
                <w:rFonts w:ascii="宋体" w:hAnsi="宋体"/>
                <w:sz w:val="18"/>
                <w:szCs w:val="18"/>
              </w:rPr>
              <w:t>4</w:t>
            </w:r>
          </w:p>
        </w:tc>
        <w:tc>
          <w:tcPr>
            <w:tcW w:w="2606" w:type="dxa"/>
            <w:vAlign w:val="center"/>
          </w:tcPr>
          <w:p>
            <w:pPr>
              <w:wordWrap w:val="0"/>
              <w:jc w:val="center"/>
              <w:rPr>
                <w:rFonts w:ascii="宋体" w:hAnsi="宋体" w:cs="宋体" w:hint="eastAsia"/>
                <w:sz w:val="18"/>
                <w:szCs w:val="18"/>
              </w:rPr>
            </w:pPr>
            <w:r>
              <w:rPr>
                <w:rFonts w:ascii="宋体" w:hAnsi="宋体" w:hint="eastAsia"/>
                <w:sz w:val="18"/>
                <w:szCs w:val="18"/>
              </w:rPr>
              <w:t>供应商自主知识产权产品（创新、设计）情况</w:t>
            </w:r>
          </w:p>
        </w:tc>
        <w:tc>
          <w:tcPr>
            <w:tcW w:w="756" w:type="dxa"/>
            <w:vAlign w:val="center"/>
          </w:tcPr>
          <w:p>
            <w:pPr>
              <w:spacing w:line="320" w:lineRule="exact"/>
              <w:jc w:val="center"/>
              <w:rPr>
                <w:rFonts w:ascii="宋体" w:hAnsi="宋体" w:cs="宋体" w:hint="eastAsia"/>
                <w:sz w:val="18"/>
                <w:szCs w:val="18"/>
              </w:rPr>
            </w:pPr>
            <w:r>
              <w:rPr>
                <w:sz w:val="18"/>
                <w:szCs w:val="18"/>
              </w:rPr>
              <w:t>5</w:t>
            </w:r>
          </w:p>
        </w:tc>
        <w:tc>
          <w:tcPr>
            <w:tcW w:w="4399" w:type="dxa"/>
          </w:tcPr>
          <w:p>
            <w:pPr>
              <w:spacing w:line="320" w:lineRule="exact"/>
              <w:rPr>
                <w:sz w:val="18"/>
                <w:szCs w:val="18"/>
              </w:rPr>
            </w:pPr>
            <w:r>
              <w:rPr>
                <w:rFonts w:hint="eastAsia"/>
                <w:b/>
                <w:bCs/>
                <w:sz w:val="18"/>
                <w:szCs w:val="18"/>
              </w:rPr>
              <w:t>（一）评审内容：</w:t>
            </w:r>
            <w:r>
              <w:rPr>
                <w:rFonts w:hint="eastAsia"/>
                <w:sz w:val="18"/>
                <w:szCs w:val="18"/>
              </w:rPr>
              <w:t xml:space="preserve"> </w:t>
            </w:r>
          </w:p>
          <w:p>
            <w:pPr>
              <w:spacing w:line="320" w:lineRule="exact"/>
              <w:rPr>
                <w:sz w:val="18"/>
                <w:szCs w:val="18"/>
              </w:rPr>
            </w:pPr>
            <w:r>
              <w:rPr>
                <w:rFonts w:hint="eastAsia"/>
                <w:sz w:val="18"/>
                <w:szCs w:val="18"/>
              </w:rPr>
              <w:t>投标人对本项目使用信息化手段辅助进行物业管理，具有以下软件或系统的，提供计算机软件著作权登记证书或者专利证书：</w:t>
            </w:r>
          </w:p>
          <w:p>
            <w:pPr>
              <w:spacing w:line="320" w:lineRule="exact"/>
              <w:rPr>
                <w:sz w:val="18"/>
                <w:szCs w:val="18"/>
              </w:rPr>
            </w:pPr>
            <w:r>
              <w:rPr>
                <w:rFonts w:hint="eastAsia"/>
                <w:sz w:val="18"/>
                <w:szCs w:val="18"/>
              </w:rPr>
              <w:t>（1）环境卫生综合信息分析平台类（同时含关键字“环境卫生”及“综合信息分析”）；</w:t>
            </w:r>
          </w:p>
          <w:p>
            <w:pPr>
              <w:spacing w:line="320" w:lineRule="exact"/>
              <w:rPr>
                <w:sz w:val="18"/>
                <w:szCs w:val="18"/>
              </w:rPr>
            </w:pPr>
            <w:r>
              <w:rPr>
                <w:rFonts w:hint="eastAsia"/>
                <w:sz w:val="18"/>
                <w:szCs w:val="18"/>
              </w:rPr>
              <w:t>（2）物资管理系统类（同时含关键字“物资”及“管理”）；</w:t>
            </w:r>
          </w:p>
          <w:p>
            <w:pPr>
              <w:spacing w:line="320" w:lineRule="exact"/>
              <w:rPr>
                <w:sz w:val="18"/>
                <w:szCs w:val="18"/>
              </w:rPr>
            </w:pPr>
            <w:r>
              <w:rPr>
                <w:rFonts w:hint="eastAsia"/>
                <w:sz w:val="18"/>
                <w:szCs w:val="18"/>
              </w:rPr>
              <w:t>（3）智慧物业数字安防系统类（同时含关键字“智慧物业”及“数字安防”）；</w:t>
            </w:r>
          </w:p>
          <w:p>
            <w:pPr>
              <w:spacing w:line="320" w:lineRule="exact"/>
              <w:rPr>
                <w:sz w:val="18"/>
                <w:szCs w:val="18"/>
              </w:rPr>
            </w:pPr>
            <w:r>
              <w:rPr>
                <w:rFonts w:hint="eastAsia"/>
                <w:sz w:val="18"/>
                <w:szCs w:val="18"/>
              </w:rPr>
              <w:t>（4）经营风险管控平台类（同时含关键字“经营”及“风险管控”）；</w:t>
            </w:r>
          </w:p>
          <w:p>
            <w:pPr>
              <w:spacing w:line="320" w:lineRule="exact"/>
              <w:rPr>
                <w:sz w:val="18"/>
                <w:szCs w:val="18"/>
              </w:rPr>
            </w:pPr>
            <w:r>
              <w:rPr>
                <w:rFonts w:hint="eastAsia"/>
                <w:sz w:val="18"/>
                <w:szCs w:val="18"/>
              </w:rPr>
              <w:t>（5）智慧物业能耗监控系统类（同时含关键字“智慧物业”及“能耗监控”）；</w:t>
            </w:r>
            <w:r>
              <w:rPr>
                <w:sz w:val="18"/>
                <w:szCs w:val="18"/>
              </w:rPr>
              <w:t xml:space="preserve"> </w:t>
            </w:r>
          </w:p>
          <w:p>
            <w:pPr>
              <w:spacing w:line="320" w:lineRule="exact"/>
              <w:rPr>
                <w:sz w:val="18"/>
                <w:szCs w:val="18"/>
              </w:rPr>
            </w:pPr>
            <w:r>
              <w:rPr>
                <w:rFonts w:hint="eastAsia"/>
                <w:sz w:val="18"/>
                <w:szCs w:val="18"/>
              </w:rPr>
              <w:t>以上5项全部满足得100分，每少一项扣</w:t>
            </w:r>
            <w:r>
              <w:rPr>
                <w:sz w:val="18"/>
                <w:szCs w:val="18"/>
              </w:rPr>
              <w:t>35</w:t>
            </w:r>
            <w:r>
              <w:rPr>
                <w:rFonts w:hint="eastAsia"/>
                <w:sz w:val="18"/>
                <w:szCs w:val="18"/>
              </w:rPr>
              <w:t>分，扣完为止。</w:t>
            </w:r>
          </w:p>
          <w:p>
            <w:pPr>
              <w:spacing w:line="320" w:lineRule="exact"/>
              <w:rPr>
                <w:b/>
                <w:bCs/>
                <w:sz w:val="18"/>
                <w:szCs w:val="18"/>
              </w:rPr>
            </w:pPr>
            <w:r>
              <w:rPr>
                <w:rFonts w:hint="eastAsia"/>
                <w:b/>
                <w:bCs/>
                <w:sz w:val="18"/>
                <w:szCs w:val="18"/>
              </w:rPr>
              <w:t>（二）评审依据：</w:t>
            </w:r>
          </w:p>
          <w:p>
            <w:pPr>
              <w:spacing w:line="320" w:lineRule="exact"/>
              <w:rPr>
                <w:sz w:val="18"/>
                <w:szCs w:val="18"/>
              </w:rPr>
            </w:pPr>
            <w:r>
              <w:rPr>
                <w:rFonts w:hint="eastAsia"/>
                <w:sz w:val="18"/>
                <w:szCs w:val="18"/>
              </w:rPr>
              <w:t>1.产权（专利）证书或计算机软件著作权登记证书：若为投标人自主开发的，需提供相对应的证书扫描件（著作权人或专利权人须为投标人）；若为购买或租赁的，需同时提供相对应的证书扫描件（著作权人或专利权人须为出售/出租方）和购买（或租赁）合同关键信息。</w:t>
            </w:r>
          </w:p>
          <w:p>
            <w:pPr>
              <w:spacing w:line="320" w:lineRule="exact"/>
              <w:rPr>
                <w:sz w:val="18"/>
                <w:szCs w:val="18"/>
              </w:rPr>
            </w:pPr>
            <w:r>
              <w:rPr>
                <w:rFonts w:hint="eastAsia"/>
                <w:sz w:val="18"/>
                <w:szCs w:val="18"/>
              </w:rPr>
              <w:t>2.以上资料均要求提供扫描件。评分中出现无证明资料或专家无法凭所提供资料判断是否得分的情况，一律作不得分处理。</w:t>
            </w:r>
          </w:p>
          <w:p>
            <w:pPr>
              <w:spacing w:line="320" w:lineRule="exact"/>
              <w:rPr>
                <w:sz w:val="18"/>
                <w:szCs w:val="18"/>
              </w:rPr>
            </w:pPr>
            <w:r>
              <w:rPr>
                <w:rFonts w:hint="eastAsia"/>
                <w:sz w:val="18"/>
                <w:szCs w:val="18"/>
              </w:rPr>
              <w:t>3.专利证书提供要求：要求提供有效的专利证书扫描件和专利审查信息查询网（http://cponline.cnipa.gov.cn）的查询截图等证明材料作为得分依据。</w:t>
            </w:r>
          </w:p>
        </w:tc>
      </w:tr>
      <w:tr>
        <w:tblPrEx>
          <w:tblW w:w="9072" w:type="dxa"/>
          <w:jc w:val="center"/>
          <w:tblCellSpacing w:w="0" w:type="dxa"/>
          <w:tblCellMar>
            <w:top w:w="20" w:type="dxa"/>
            <w:left w:w="108" w:type="dxa"/>
            <w:bottom w:w="20" w:type="dxa"/>
            <w:right w:w="108" w:type="dxa"/>
          </w:tblCellMar>
        </w:tblPrEx>
        <w:trPr>
          <w:tblCellSpacing w:w="0" w:type="dxa"/>
          <w:jc w:val="center"/>
        </w:trPr>
        <w:tc>
          <w:tcPr>
            <w:tcW w:w="656" w:type="dxa"/>
            <w:vMerge/>
            <w:vAlign w:val="center"/>
          </w:tcPr>
          <w:p>
            <w:pPr>
              <w:rPr>
                <w:rFonts w:ascii="宋体" w:hAnsi="宋体" w:cs="宋体" w:hint="eastAsia"/>
                <w:b/>
                <w:bCs/>
                <w:color w:val="0000FF"/>
                <w:sz w:val="18"/>
                <w:szCs w:val="18"/>
              </w:rPr>
            </w:pPr>
          </w:p>
        </w:tc>
        <w:tc>
          <w:tcPr>
            <w:tcW w:w="655" w:type="dxa"/>
            <w:vAlign w:val="center"/>
          </w:tcPr>
          <w:p>
            <w:pPr>
              <w:wordWrap w:val="0"/>
              <w:jc w:val="center"/>
              <w:rPr>
                <w:rFonts w:ascii="宋体" w:hAnsi="宋体" w:cs="宋体" w:hint="eastAsia"/>
                <w:sz w:val="18"/>
                <w:szCs w:val="18"/>
              </w:rPr>
            </w:pPr>
            <w:r>
              <w:rPr>
                <w:rFonts w:ascii="宋体" w:hAnsi="宋体"/>
                <w:sz w:val="18"/>
                <w:szCs w:val="18"/>
              </w:rPr>
              <w:t>5</w:t>
            </w:r>
          </w:p>
        </w:tc>
        <w:tc>
          <w:tcPr>
            <w:tcW w:w="2606" w:type="dxa"/>
            <w:vAlign w:val="center"/>
          </w:tcPr>
          <w:p>
            <w:pPr>
              <w:wordWrap w:val="0"/>
              <w:jc w:val="center"/>
              <w:rPr>
                <w:rFonts w:ascii="宋体" w:hAnsi="宋体" w:cs="宋体" w:hint="eastAsia"/>
                <w:sz w:val="18"/>
                <w:szCs w:val="18"/>
              </w:rPr>
            </w:pPr>
            <w:r>
              <w:rPr>
                <w:rFonts w:ascii="宋体" w:hAnsi="宋体" w:hint="eastAsia"/>
                <w:sz w:val="18"/>
                <w:szCs w:val="18"/>
              </w:rPr>
              <w:t>服务网点</w:t>
            </w:r>
          </w:p>
        </w:tc>
        <w:tc>
          <w:tcPr>
            <w:tcW w:w="756" w:type="dxa"/>
            <w:vAlign w:val="center"/>
          </w:tcPr>
          <w:p>
            <w:pPr>
              <w:spacing w:line="320" w:lineRule="exact"/>
              <w:jc w:val="center"/>
              <w:rPr>
                <w:rFonts w:ascii="宋体" w:hAnsi="宋体" w:cs="宋体" w:hint="eastAsia"/>
                <w:sz w:val="18"/>
                <w:szCs w:val="18"/>
              </w:rPr>
            </w:pPr>
            <w:r>
              <w:rPr>
                <w:sz w:val="18"/>
                <w:szCs w:val="18"/>
              </w:rPr>
              <w:t>3</w:t>
            </w:r>
          </w:p>
        </w:tc>
        <w:tc>
          <w:tcPr>
            <w:tcW w:w="4399" w:type="dxa"/>
          </w:tcPr>
          <w:p>
            <w:pPr>
              <w:spacing w:line="320" w:lineRule="exact"/>
              <w:outlineLvl w:val="1"/>
              <w:rPr>
                <w:b/>
                <w:bCs/>
                <w:sz w:val="18"/>
                <w:szCs w:val="18"/>
              </w:rPr>
            </w:pPr>
            <w:r>
              <w:rPr>
                <w:rFonts w:hint="eastAsia"/>
                <w:b/>
                <w:bCs/>
                <w:sz w:val="18"/>
                <w:szCs w:val="18"/>
              </w:rPr>
              <w:t>（一）评分内容：</w:t>
            </w:r>
          </w:p>
          <w:p>
            <w:pPr>
              <w:spacing w:line="320" w:lineRule="exact"/>
              <w:outlineLvl w:val="1"/>
              <w:rPr>
                <w:sz w:val="18"/>
                <w:szCs w:val="18"/>
              </w:rPr>
            </w:pPr>
            <w:r>
              <w:rPr>
                <w:rFonts w:hint="eastAsia"/>
                <w:sz w:val="18"/>
                <w:szCs w:val="18"/>
              </w:rPr>
              <w:t>供应商承诺中标后提供本地经营（服务）网点的，得</w:t>
            </w:r>
            <w:r>
              <w:rPr>
                <w:sz w:val="18"/>
                <w:szCs w:val="18"/>
              </w:rPr>
              <w:t>100</w:t>
            </w:r>
            <w:r>
              <w:rPr>
                <w:rFonts w:hint="eastAsia"/>
                <w:sz w:val="18"/>
                <w:szCs w:val="18"/>
              </w:rPr>
              <w:t>分。</w:t>
            </w:r>
            <w:r>
              <w:rPr>
                <w:sz w:val="18"/>
                <w:szCs w:val="18"/>
              </w:rPr>
              <w:br/>
            </w:r>
            <w:r>
              <w:rPr>
                <w:rFonts w:hint="eastAsia"/>
                <w:b/>
                <w:bCs/>
                <w:sz w:val="18"/>
                <w:szCs w:val="18"/>
              </w:rPr>
              <w:t>（二）评分依据：</w:t>
            </w:r>
          </w:p>
          <w:p>
            <w:pPr>
              <w:pStyle w:val="BodyText"/>
            </w:pPr>
            <w:r>
              <w:rPr>
                <w:rFonts w:hint="eastAsia"/>
                <w:b w:val="0"/>
                <w:bCs w:val="0"/>
                <w:sz w:val="18"/>
              </w:rPr>
              <w:t>要求提供承诺函（格式详见采购文件投标文件正文（信息公开部分）-服务网点-承诺函）作为得分依据，未按采购文件要求提供承诺函的不得分。</w:t>
            </w:r>
          </w:p>
        </w:tc>
      </w:tr>
      <w:tr>
        <w:tblPrEx>
          <w:tblW w:w="9072" w:type="dxa"/>
          <w:jc w:val="center"/>
          <w:tblCellSpacing w:w="0" w:type="dxa"/>
          <w:tblCellMar>
            <w:top w:w="20" w:type="dxa"/>
            <w:left w:w="108" w:type="dxa"/>
            <w:bottom w:w="20" w:type="dxa"/>
            <w:right w:w="108" w:type="dxa"/>
          </w:tblCellMar>
        </w:tblPrEx>
        <w:trPr>
          <w:tblCellSpacing w:w="0" w:type="dxa"/>
          <w:jc w:val="center"/>
        </w:trPr>
        <w:tc>
          <w:tcPr>
            <w:tcW w:w="656" w:type="dxa"/>
          </w:tcPr>
          <w:p>
            <w:pPr>
              <w:wordWrap w:val="0"/>
              <w:jc w:val="center"/>
              <w:rPr>
                <w:rFonts w:ascii="宋体" w:hAnsi="宋体" w:cs="宋体" w:hint="eastAsia"/>
                <w:b/>
                <w:bCs/>
                <w:color w:val="0000FF"/>
                <w:sz w:val="18"/>
                <w:szCs w:val="18"/>
              </w:rPr>
            </w:pPr>
            <w:r>
              <w:rPr>
                <w:b/>
                <w:bCs/>
                <w:color w:val="0000FF"/>
                <w:sz w:val="18"/>
                <w:szCs w:val="18"/>
              </w:rPr>
              <w:t>4</w:t>
            </w:r>
          </w:p>
        </w:tc>
        <w:tc>
          <w:tcPr>
            <w:tcW w:w="4017" w:type="dxa"/>
            <w:gridSpan w:val="3"/>
          </w:tcPr>
          <w:p>
            <w:pPr>
              <w:wordWrap w:val="0"/>
              <w:jc w:val="center"/>
              <w:rPr>
                <w:rFonts w:ascii="宋体" w:hAnsi="宋体" w:cs="宋体" w:hint="eastAsia"/>
                <w:b/>
                <w:bCs/>
                <w:color w:val="0000FF"/>
                <w:sz w:val="18"/>
                <w:szCs w:val="18"/>
              </w:rPr>
            </w:pPr>
            <w:r>
              <w:rPr>
                <w:b/>
                <w:bCs/>
                <w:color w:val="0000FF"/>
                <w:sz w:val="18"/>
                <w:szCs w:val="18"/>
              </w:rPr>
              <w:t>诚信情况</w:t>
            </w:r>
          </w:p>
        </w:tc>
        <w:tc>
          <w:tcPr>
            <w:tcW w:w="4399" w:type="dxa"/>
          </w:tcPr>
          <w:p>
            <w:pPr>
              <w:wordWrap w:val="0"/>
              <w:jc w:val="center"/>
              <w:rPr>
                <w:rFonts w:ascii="宋体" w:hAnsi="宋体" w:cs="宋体" w:hint="eastAsia"/>
                <w:b/>
                <w:bCs/>
                <w:color w:val="0000FF"/>
                <w:sz w:val="18"/>
                <w:szCs w:val="18"/>
              </w:rPr>
            </w:pPr>
            <w:r>
              <w:rPr>
                <w:b/>
                <w:bCs/>
                <w:color w:val="0000FF"/>
                <w:sz w:val="18"/>
                <w:szCs w:val="18"/>
              </w:rPr>
              <w:t>5</w:t>
            </w:r>
          </w:p>
        </w:tc>
      </w:tr>
      <w:tr>
        <w:tblPrEx>
          <w:tblW w:w="9072" w:type="dxa"/>
          <w:jc w:val="center"/>
          <w:tblCellSpacing w:w="0" w:type="dxa"/>
          <w:tblCellMar>
            <w:top w:w="20" w:type="dxa"/>
            <w:left w:w="108" w:type="dxa"/>
            <w:bottom w:w="20" w:type="dxa"/>
            <w:right w:w="108" w:type="dxa"/>
          </w:tblCellMar>
        </w:tblPrEx>
        <w:trPr>
          <w:tblCellSpacing w:w="0" w:type="dxa"/>
          <w:jc w:val="center"/>
        </w:trPr>
        <w:tc>
          <w:tcPr>
            <w:tcW w:w="656" w:type="dxa"/>
            <w:vMerge w:val="restart"/>
            <w:shd w:val="clear" w:color="auto" w:fill="E6EFFA"/>
            <w:vAlign w:val="center"/>
          </w:tcPr>
          <w:p>
            <w:pPr>
              <w:rPr>
                <w:rFonts w:ascii="宋体" w:hAnsi="宋体" w:cs="宋体" w:hint="eastAsia"/>
                <w:b/>
                <w:bCs/>
                <w:color w:val="0000FF"/>
                <w:sz w:val="18"/>
                <w:szCs w:val="18"/>
              </w:rPr>
            </w:pPr>
          </w:p>
        </w:tc>
        <w:tc>
          <w:tcPr>
            <w:tcW w:w="655" w:type="dxa"/>
            <w:shd w:val="clear" w:color="auto" w:fill="E6EFFA"/>
            <w:vAlign w:val="center"/>
          </w:tcPr>
          <w:p>
            <w:pPr>
              <w:wordWrap w:val="0"/>
              <w:jc w:val="center"/>
              <w:rPr>
                <w:rFonts w:ascii="宋体" w:hAnsi="宋体" w:cs="宋体" w:hint="eastAsia"/>
                <w:sz w:val="18"/>
                <w:szCs w:val="18"/>
              </w:rPr>
            </w:pPr>
            <w:r>
              <w:rPr>
                <w:sz w:val="18"/>
                <w:szCs w:val="18"/>
              </w:rPr>
              <w:t>序号</w:t>
            </w:r>
          </w:p>
        </w:tc>
        <w:tc>
          <w:tcPr>
            <w:tcW w:w="2606" w:type="dxa"/>
            <w:shd w:val="clear" w:color="auto" w:fill="E6EFFA"/>
            <w:vAlign w:val="center"/>
          </w:tcPr>
          <w:p>
            <w:pPr>
              <w:wordWrap w:val="0"/>
              <w:jc w:val="center"/>
              <w:rPr>
                <w:rFonts w:ascii="宋体" w:hAnsi="宋体" w:cs="宋体" w:hint="eastAsia"/>
                <w:sz w:val="18"/>
                <w:szCs w:val="18"/>
              </w:rPr>
            </w:pPr>
            <w:r>
              <w:rPr>
                <w:rFonts w:hint="eastAsia"/>
                <w:sz w:val="18"/>
                <w:szCs w:val="18"/>
              </w:rPr>
              <w:t>评审因素</w:t>
            </w:r>
          </w:p>
        </w:tc>
        <w:tc>
          <w:tcPr>
            <w:tcW w:w="756" w:type="dxa"/>
            <w:shd w:val="clear" w:color="auto" w:fill="E6EFFA"/>
            <w:vAlign w:val="center"/>
          </w:tcPr>
          <w:p>
            <w:pPr>
              <w:wordWrap w:val="0"/>
              <w:jc w:val="center"/>
              <w:rPr>
                <w:rFonts w:ascii="宋体" w:hAnsi="宋体" w:cs="宋体" w:hint="eastAsia"/>
                <w:sz w:val="18"/>
                <w:szCs w:val="18"/>
              </w:rPr>
            </w:pPr>
            <w:r>
              <w:rPr>
                <w:sz w:val="18"/>
                <w:szCs w:val="18"/>
              </w:rPr>
              <w:t>权重(%)</w:t>
            </w:r>
          </w:p>
        </w:tc>
        <w:tc>
          <w:tcPr>
            <w:tcW w:w="4399" w:type="dxa"/>
            <w:shd w:val="clear" w:color="auto" w:fill="E6EFFA"/>
            <w:vAlign w:val="center"/>
          </w:tcPr>
          <w:p>
            <w:pPr>
              <w:wordWrap w:val="0"/>
              <w:jc w:val="center"/>
              <w:rPr>
                <w:rFonts w:ascii="宋体" w:hAnsi="宋体" w:cs="宋体" w:hint="eastAsia"/>
                <w:sz w:val="18"/>
                <w:szCs w:val="18"/>
              </w:rPr>
            </w:pPr>
            <w:r>
              <w:rPr>
                <w:sz w:val="18"/>
                <w:szCs w:val="18"/>
              </w:rPr>
              <w:t>评分准则</w:t>
            </w:r>
          </w:p>
        </w:tc>
      </w:tr>
      <w:tr>
        <w:tblPrEx>
          <w:tblW w:w="9072" w:type="dxa"/>
          <w:jc w:val="center"/>
          <w:tblCellSpacing w:w="0" w:type="dxa"/>
          <w:tblCellMar>
            <w:top w:w="20" w:type="dxa"/>
            <w:left w:w="108" w:type="dxa"/>
            <w:bottom w:w="20" w:type="dxa"/>
            <w:right w:w="108" w:type="dxa"/>
          </w:tblCellMar>
        </w:tblPrEx>
        <w:trPr>
          <w:tblCellSpacing w:w="0" w:type="dxa"/>
          <w:jc w:val="center"/>
        </w:trPr>
        <w:tc>
          <w:tcPr>
            <w:tcW w:w="656" w:type="dxa"/>
            <w:vMerge/>
            <w:vAlign w:val="center"/>
          </w:tcPr>
          <w:p>
            <w:pPr>
              <w:rPr>
                <w:rFonts w:ascii="宋体" w:hAnsi="宋体" w:cs="宋体" w:hint="eastAsia"/>
                <w:b/>
                <w:bCs/>
                <w:color w:val="0000FF"/>
                <w:sz w:val="18"/>
                <w:szCs w:val="18"/>
              </w:rPr>
            </w:pPr>
          </w:p>
        </w:tc>
        <w:tc>
          <w:tcPr>
            <w:tcW w:w="655" w:type="dxa"/>
            <w:vAlign w:val="center"/>
          </w:tcPr>
          <w:p>
            <w:pPr>
              <w:wordWrap w:val="0"/>
              <w:jc w:val="center"/>
              <w:rPr>
                <w:rFonts w:ascii="宋体" w:hAnsi="宋体" w:hint="eastAsia"/>
                <w:sz w:val="18"/>
                <w:szCs w:val="18"/>
              </w:rPr>
            </w:pPr>
            <w:r>
              <w:rPr>
                <w:rFonts w:ascii="宋体" w:hAnsi="宋体"/>
                <w:sz w:val="18"/>
                <w:szCs w:val="18"/>
              </w:rPr>
              <w:t>1</w:t>
            </w:r>
          </w:p>
        </w:tc>
        <w:tc>
          <w:tcPr>
            <w:tcW w:w="2606" w:type="dxa"/>
            <w:vAlign w:val="center"/>
          </w:tcPr>
          <w:p>
            <w:pPr>
              <w:wordWrap w:val="0"/>
              <w:jc w:val="center"/>
              <w:rPr>
                <w:rFonts w:ascii="宋体" w:hAnsi="宋体" w:hint="eastAsia"/>
                <w:sz w:val="18"/>
                <w:szCs w:val="18"/>
              </w:rPr>
            </w:pPr>
            <w:r>
              <w:rPr>
                <w:rFonts w:ascii="宋体" w:hAnsi="宋体"/>
                <w:sz w:val="18"/>
                <w:szCs w:val="18"/>
              </w:rPr>
              <w:t>诚信情况</w:t>
            </w:r>
          </w:p>
        </w:tc>
        <w:tc>
          <w:tcPr>
            <w:tcW w:w="756" w:type="dxa"/>
            <w:vAlign w:val="center"/>
          </w:tcPr>
          <w:p>
            <w:pPr>
              <w:wordWrap w:val="0"/>
              <w:jc w:val="center"/>
              <w:rPr>
                <w:rFonts w:ascii="宋体" w:hAnsi="宋体" w:cs="宋体" w:hint="eastAsia"/>
                <w:sz w:val="18"/>
                <w:szCs w:val="18"/>
              </w:rPr>
            </w:pPr>
            <w:r>
              <w:rPr>
                <w:rFonts w:hint="eastAsia"/>
                <w:sz w:val="18"/>
                <w:szCs w:val="18"/>
              </w:rPr>
              <w:t>5</w:t>
            </w:r>
          </w:p>
        </w:tc>
        <w:tc>
          <w:tcPr>
            <w:tcW w:w="4399" w:type="dxa"/>
          </w:tcPr>
          <w:p>
            <w:pPr>
              <w:widowControl/>
              <w:spacing w:line="320" w:lineRule="exact"/>
              <w:jc w:val="left"/>
              <w:outlineLvl w:val="1"/>
              <w:rPr>
                <w:b/>
                <w:bCs/>
                <w:sz w:val="18"/>
                <w:szCs w:val="18"/>
              </w:rPr>
            </w:pPr>
            <w:r>
              <w:rPr>
                <w:rFonts w:hint="eastAsia"/>
                <w:b/>
                <w:bCs/>
                <w:sz w:val="18"/>
                <w:szCs w:val="18"/>
              </w:rPr>
              <w:t>（一）评分内容</w:t>
            </w:r>
          </w:p>
          <w:p>
            <w:pPr>
              <w:widowControl/>
              <w:spacing w:line="320" w:lineRule="exact"/>
              <w:jc w:val="left"/>
              <w:outlineLvl w:val="1"/>
              <w:rPr>
                <w:sz w:val="18"/>
                <w:szCs w:val="18"/>
              </w:rPr>
            </w:pPr>
            <w:r>
              <w:rPr>
                <w:rFonts w:hint="eastAsia"/>
                <w:sz w:val="18"/>
                <w:szCs w:val="18"/>
              </w:rPr>
              <w:t>供应商存在《深圳市财政局政府采购供应商信用信息管理办法》（深财规〔2023〕3号）列明的一般行政处罚信息、一般违法失信记录信息的，本项不得分，不存在上述情形的本项得100分。供应商无需提供任何证明材料，评标过程中由工作人员向评审委员会提供有关供应商诚信查询结果。</w:t>
            </w:r>
          </w:p>
          <w:p>
            <w:pPr>
              <w:widowControl/>
              <w:spacing w:line="320" w:lineRule="exact"/>
              <w:jc w:val="left"/>
              <w:outlineLvl w:val="1"/>
              <w:rPr>
                <w:b/>
                <w:bCs/>
                <w:sz w:val="18"/>
                <w:szCs w:val="18"/>
              </w:rPr>
            </w:pPr>
            <w:r>
              <w:rPr>
                <w:rFonts w:hint="eastAsia"/>
                <w:b/>
                <w:bCs/>
                <w:sz w:val="18"/>
                <w:szCs w:val="18"/>
              </w:rPr>
              <w:t>（二）评分依据</w:t>
            </w:r>
          </w:p>
          <w:p>
            <w:pPr>
              <w:widowControl/>
              <w:spacing w:line="320" w:lineRule="exact"/>
              <w:jc w:val="left"/>
              <w:outlineLvl w:val="1"/>
              <w:rPr>
                <w:sz w:val="18"/>
                <w:szCs w:val="18"/>
              </w:rPr>
            </w:pPr>
            <w:r>
              <w:rPr>
                <w:rFonts w:hint="eastAsia"/>
                <w:sz w:val="18"/>
                <w:szCs w:val="18"/>
              </w:rPr>
              <w:t>查询渠道：通过“信用中国”（www.creditchina.gov.cn，下载信用信息报告）、“中国政府采购网”（www.ccgp.gov.cn）以及“深圳市政府采购监管网”（http://zfcg.sz.gov.cn）查询供应商信用信息，信用信息以开标当日的查询结果为准。</w:t>
            </w:r>
          </w:p>
        </w:tc>
      </w:tr>
    </w:tbl>
    <w:p>
      <w:pPr>
        <w:sectPr>
          <w:pgSz w:w="11907" w:h="16840"/>
          <w:pgMar w:top="1440" w:right="1417" w:bottom="1440" w:left="1417" w:header="851" w:footer="992" w:gutter="0"/>
          <w:cols w:num="1" w:space="425"/>
          <w:titlePg/>
          <w:docGrid w:linePitch="462" w:charSpace="0"/>
        </w:sectPr>
      </w:pPr>
    </w:p>
    <w:p>
      <w:pPr>
        <w:jc w:val="center"/>
        <w:rPr>
          <w:b/>
          <w:sz w:val="120"/>
          <w:szCs w:val="120"/>
        </w:rPr>
      </w:pPr>
    </w:p>
    <w:p>
      <w:pPr>
        <w:jc w:val="center"/>
        <w:rPr>
          <w:b/>
          <w:sz w:val="120"/>
          <w:szCs w:val="120"/>
        </w:rPr>
      </w:pPr>
    </w:p>
    <w:p>
      <w:pPr>
        <w:jc w:val="center"/>
        <w:rPr>
          <w:b/>
          <w:sz w:val="120"/>
          <w:szCs w:val="120"/>
        </w:rPr>
      </w:pPr>
    </w:p>
    <w:p>
      <w:pPr>
        <w:jc w:val="center"/>
        <w:rPr>
          <w:b/>
          <w:sz w:val="120"/>
          <w:szCs w:val="120"/>
        </w:rPr>
      </w:pPr>
      <w:r>
        <w:rPr>
          <w:rFonts w:hint="eastAsia"/>
          <w:b/>
          <w:sz w:val="120"/>
          <w:szCs w:val="120"/>
        </w:rPr>
        <w:t>政府采购</w:t>
      </w:r>
    </w:p>
    <w:p>
      <w:pPr>
        <w:jc w:val="center"/>
        <w:rPr>
          <w:b/>
          <w:sz w:val="120"/>
          <w:szCs w:val="120"/>
        </w:rPr>
      </w:pPr>
      <w:r>
        <w:rPr>
          <w:rFonts w:hint="eastAsia"/>
          <w:b/>
          <w:sz w:val="120"/>
          <w:szCs w:val="120"/>
        </w:rPr>
        <w:t>招标文件</w:t>
      </w:r>
    </w:p>
    <w:p>
      <w:pPr>
        <w:jc w:val="center"/>
        <w:rPr>
          <w:b/>
          <w:sz w:val="52"/>
          <w:szCs w:val="52"/>
        </w:rPr>
      </w:pPr>
      <w:r>
        <w:rPr>
          <w:rFonts w:hint="eastAsia"/>
          <w:b/>
          <w:sz w:val="52"/>
          <w:szCs w:val="52"/>
        </w:rPr>
        <w:t>（服务类）</w:t>
      </w: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bookmarkStart w:id="8" w:name="_Hlk71465316"/>
      <w:r>
        <w:rPr>
          <w:rFonts w:hint="eastAsia"/>
          <w:b/>
          <w:sz w:val="44"/>
          <w:szCs w:val="44"/>
        </w:rPr>
        <w:t>深圳公共资源交易中心</w:t>
      </w:r>
    </w:p>
    <w:p>
      <w:pPr>
        <w:jc w:val="center"/>
        <w:rPr>
          <w:sz w:val="28"/>
          <w:szCs w:val="28"/>
        </w:rPr>
      </w:pPr>
      <w:r>
        <w:rPr>
          <w:rFonts w:hint="eastAsia"/>
          <w:b/>
          <w:sz w:val="28"/>
          <w:szCs w:val="28"/>
        </w:rPr>
        <w:t>（</w:t>
      </w:r>
      <w:r>
        <w:rPr>
          <w:b/>
          <w:sz w:val="28"/>
          <w:szCs w:val="28"/>
        </w:rPr>
        <w:t>20</w:t>
      </w:r>
      <w:r>
        <w:rPr>
          <w:rFonts w:hint="eastAsia"/>
          <w:b/>
          <w:sz w:val="28"/>
          <w:szCs w:val="28"/>
        </w:rPr>
        <w:t>25）</w:t>
      </w:r>
      <w:bookmarkEnd w:id="8"/>
    </w:p>
    <w:p>
      <w:pPr>
        <w:ind w:firstLine="420" w:firstLineChars="200"/>
      </w:pPr>
      <w:r>
        <w:rPr>
          <w:rFonts w:hint="eastAsia"/>
        </w:rPr>
        <w:br w:type="page"/>
      </w:r>
    </w:p>
    <w:p>
      <w:pPr>
        <w:pStyle w:val="Heading1"/>
        <w:rPr>
          <w:rFonts w:hint="eastAsia"/>
        </w:rPr>
      </w:pPr>
      <w:r>
        <w:rPr>
          <w:rFonts w:hint="eastAsia"/>
        </w:rPr>
        <w:t>目   录</w:t>
      </w:r>
    </w:p>
    <w:p>
      <w:pPr>
        <w:outlineLvl w:val="0"/>
        <w:rPr>
          <w:b/>
          <w:sz w:val="24"/>
        </w:rPr>
      </w:pPr>
      <w:r>
        <w:rPr>
          <w:rFonts w:hint="eastAsia"/>
          <w:b/>
          <w:sz w:val="24"/>
        </w:rPr>
        <w:t>第一册  专用条款</w:t>
      </w:r>
    </w:p>
    <w:p>
      <w:pPr>
        <w:ind w:firstLine="840" w:firstLineChars="400"/>
        <w:rPr>
          <w:sz w:val="24"/>
        </w:rPr>
      </w:pPr>
      <w:r>
        <w:rPr>
          <w:rFonts w:hint="eastAsia"/>
          <w:sz w:val="24"/>
        </w:rPr>
        <w:t>关键信息</w:t>
      </w:r>
    </w:p>
    <w:p>
      <w:pPr>
        <w:ind w:left="630" w:firstLine="630" w:leftChars="300" w:firstLineChars="300"/>
        <w:rPr>
          <w:rFonts w:ascii="宋体" w:hAnsi="宋体" w:hint="eastAsia"/>
          <w:szCs w:val="21"/>
        </w:rPr>
      </w:pPr>
      <w:r>
        <w:rPr>
          <w:rFonts w:ascii="宋体" w:hAnsi="宋体" w:hint="eastAsia"/>
          <w:szCs w:val="21"/>
        </w:rPr>
        <w:t>第一章  招标公告</w:t>
      </w:r>
    </w:p>
    <w:p>
      <w:pPr>
        <w:ind w:left="630" w:firstLine="630" w:leftChars="300" w:firstLineChars="300"/>
        <w:rPr>
          <w:rFonts w:ascii="宋体" w:hAnsi="宋体" w:hint="eastAsia"/>
          <w:szCs w:val="21"/>
        </w:rPr>
      </w:pPr>
      <w:r>
        <w:rPr>
          <w:rFonts w:ascii="宋体" w:hAnsi="宋体" w:hint="eastAsia"/>
          <w:szCs w:val="21"/>
        </w:rPr>
        <w:t xml:space="preserve">第二章  </w:t>
      </w:r>
      <w:bookmarkStart w:id="9" w:name="_Hlk71994379"/>
      <w:r>
        <w:rPr>
          <w:rFonts w:ascii="宋体" w:hAnsi="宋体" w:hint="eastAsia"/>
          <w:szCs w:val="21"/>
        </w:rPr>
        <w:t>对通用条款的补充内容及其他关键信息</w:t>
      </w:r>
      <w:bookmarkEnd w:id="9"/>
    </w:p>
    <w:p>
      <w:pPr>
        <w:ind w:left="630" w:firstLine="630" w:leftChars="300" w:firstLineChars="300"/>
        <w:rPr>
          <w:rFonts w:ascii="宋体" w:hAnsi="宋体" w:hint="eastAsia"/>
          <w:szCs w:val="21"/>
        </w:rPr>
      </w:pPr>
      <w:r>
        <w:rPr>
          <w:rFonts w:ascii="宋体" w:hAnsi="宋体" w:hint="eastAsia"/>
          <w:szCs w:val="21"/>
        </w:rPr>
        <w:t xml:space="preserve">第三章 </w:t>
      </w:r>
      <w:r>
        <w:rPr>
          <w:rFonts w:ascii="宋体" w:hAnsi="宋体"/>
          <w:szCs w:val="21"/>
        </w:rPr>
        <w:t xml:space="preserve"> </w:t>
      </w:r>
      <w:r>
        <w:rPr>
          <w:rFonts w:ascii="宋体" w:hAnsi="宋体" w:hint="eastAsia"/>
          <w:szCs w:val="21"/>
        </w:rPr>
        <w:t>用户需求书</w:t>
      </w:r>
    </w:p>
    <w:p>
      <w:pPr>
        <w:ind w:left="630" w:firstLine="630" w:leftChars="300" w:firstLineChars="300"/>
        <w:rPr>
          <w:rFonts w:ascii="宋体" w:hAnsi="宋体" w:hint="eastAsia"/>
          <w:szCs w:val="21"/>
        </w:rPr>
      </w:pPr>
      <w:r>
        <w:rPr>
          <w:rFonts w:ascii="宋体" w:hAnsi="宋体" w:hint="eastAsia"/>
          <w:szCs w:val="21"/>
        </w:rPr>
        <w:t xml:space="preserve">第四章 </w:t>
      </w:r>
      <w:r>
        <w:rPr>
          <w:rFonts w:ascii="宋体" w:hAnsi="宋体"/>
          <w:szCs w:val="21"/>
        </w:rPr>
        <w:t xml:space="preserve"> </w:t>
      </w:r>
      <w:r>
        <w:rPr>
          <w:rFonts w:ascii="宋体" w:hAnsi="宋体" w:hint="eastAsia"/>
          <w:szCs w:val="21"/>
        </w:rPr>
        <w:t>投标文件组成要求及格式</w:t>
      </w:r>
    </w:p>
    <w:p>
      <w:pPr>
        <w:ind w:left="630" w:firstLine="630" w:leftChars="300" w:firstLineChars="300"/>
        <w:rPr>
          <w:rFonts w:ascii="宋体" w:hAnsi="宋体" w:hint="eastAsia"/>
          <w:szCs w:val="21"/>
        </w:rPr>
      </w:pPr>
      <w:r>
        <w:rPr>
          <w:rFonts w:ascii="宋体" w:hAnsi="宋体" w:hint="eastAsia"/>
          <w:szCs w:val="21"/>
        </w:rPr>
        <w:t>第五章  合同条款及格式</w:t>
      </w:r>
    </w:p>
    <w:p>
      <w:pPr>
        <w:rPr>
          <w:b/>
          <w:sz w:val="24"/>
        </w:rPr>
      </w:pPr>
    </w:p>
    <w:p>
      <w:pPr>
        <w:outlineLvl w:val="0"/>
        <w:rPr>
          <w:b/>
          <w:sz w:val="24"/>
        </w:rPr>
      </w:pPr>
      <w:r>
        <w:rPr>
          <w:rFonts w:hint="eastAsia"/>
          <w:b/>
          <w:sz w:val="24"/>
        </w:rPr>
        <w:t>第二册  通用条款</w:t>
      </w:r>
    </w:p>
    <w:p>
      <w:pPr>
        <w:ind w:left="630" w:firstLine="412" w:leftChars="300" w:firstLineChars="196"/>
        <w:rPr>
          <w:rFonts w:ascii="宋体" w:hAnsi="宋体" w:hint="eastAsia"/>
          <w:szCs w:val="21"/>
        </w:rPr>
      </w:pPr>
      <w:r>
        <w:rPr>
          <w:rFonts w:ascii="宋体" w:hAnsi="宋体" w:hint="eastAsia"/>
          <w:szCs w:val="21"/>
        </w:rPr>
        <w:t>第一章  总则</w:t>
      </w:r>
    </w:p>
    <w:p>
      <w:pPr>
        <w:ind w:left="630" w:firstLine="412" w:leftChars="300" w:firstLineChars="196"/>
        <w:rPr>
          <w:rFonts w:ascii="宋体" w:hAnsi="宋体" w:hint="eastAsia"/>
          <w:szCs w:val="21"/>
        </w:rPr>
      </w:pPr>
      <w:r>
        <w:rPr>
          <w:rFonts w:ascii="宋体" w:hAnsi="宋体" w:hint="eastAsia"/>
          <w:szCs w:val="21"/>
        </w:rPr>
        <w:t>第二章  招标文件</w:t>
      </w:r>
    </w:p>
    <w:p>
      <w:pPr>
        <w:ind w:left="630" w:firstLine="412" w:leftChars="300" w:firstLineChars="196"/>
        <w:rPr>
          <w:rFonts w:ascii="宋体" w:hAnsi="宋体" w:hint="eastAsia"/>
          <w:szCs w:val="21"/>
        </w:rPr>
      </w:pPr>
      <w:r>
        <w:rPr>
          <w:rFonts w:ascii="宋体" w:hAnsi="宋体" w:hint="eastAsia"/>
          <w:szCs w:val="21"/>
        </w:rPr>
        <w:t>第三章  投标文件的编制</w:t>
      </w:r>
    </w:p>
    <w:p>
      <w:pPr>
        <w:ind w:left="630" w:firstLine="412" w:leftChars="300" w:firstLineChars="196"/>
        <w:rPr>
          <w:rFonts w:ascii="宋体" w:hAnsi="宋体" w:hint="eastAsia"/>
          <w:szCs w:val="21"/>
        </w:rPr>
      </w:pPr>
      <w:r>
        <w:rPr>
          <w:rFonts w:ascii="宋体" w:hAnsi="宋体" w:hint="eastAsia"/>
          <w:szCs w:val="21"/>
        </w:rPr>
        <w:t>第四章  投标文件的递交</w:t>
      </w:r>
    </w:p>
    <w:p>
      <w:pPr>
        <w:ind w:left="630" w:firstLine="412" w:leftChars="300" w:firstLineChars="196"/>
        <w:rPr>
          <w:rFonts w:ascii="宋体" w:hAnsi="宋体" w:hint="eastAsia"/>
          <w:szCs w:val="21"/>
        </w:rPr>
      </w:pPr>
      <w:r>
        <w:rPr>
          <w:rFonts w:ascii="宋体" w:hAnsi="宋体" w:hint="eastAsia"/>
          <w:szCs w:val="21"/>
        </w:rPr>
        <w:t>第五章  开标</w:t>
      </w:r>
    </w:p>
    <w:p>
      <w:pPr>
        <w:ind w:left="630" w:firstLine="412" w:leftChars="300" w:firstLineChars="196"/>
        <w:rPr>
          <w:rFonts w:ascii="宋体" w:hAnsi="宋体" w:hint="eastAsia"/>
          <w:szCs w:val="21"/>
        </w:rPr>
      </w:pPr>
      <w:r>
        <w:rPr>
          <w:rFonts w:ascii="宋体" w:hAnsi="宋体" w:hint="eastAsia"/>
          <w:szCs w:val="21"/>
        </w:rPr>
        <w:t>第六章  评审要求</w:t>
      </w:r>
    </w:p>
    <w:p>
      <w:pPr>
        <w:ind w:left="630" w:firstLine="412" w:leftChars="300" w:firstLineChars="196"/>
        <w:rPr>
          <w:rFonts w:ascii="宋体" w:hAnsi="宋体" w:hint="eastAsia"/>
          <w:szCs w:val="21"/>
        </w:rPr>
      </w:pPr>
      <w:r>
        <w:rPr>
          <w:rFonts w:ascii="宋体" w:hAnsi="宋体" w:hint="eastAsia"/>
          <w:szCs w:val="21"/>
        </w:rPr>
        <w:t>第七章  评审程序及评审方法</w:t>
      </w:r>
    </w:p>
    <w:p>
      <w:pPr>
        <w:ind w:left="630" w:firstLine="412" w:leftChars="300" w:firstLineChars="196"/>
        <w:rPr>
          <w:rFonts w:ascii="宋体" w:hAnsi="宋体" w:hint="eastAsia"/>
          <w:szCs w:val="21"/>
        </w:rPr>
      </w:pPr>
      <w:r>
        <w:rPr>
          <w:rFonts w:ascii="宋体" w:hAnsi="宋体" w:hint="eastAsia"/>
          <w:szCs w:val="21"/>
        </w:rPr>
        <w:t>第八章  定标及公示</w:t>
      </w:r>
    </w:p>
    <w:p>
      <w:pPr>
        <w:ind w:left="630" w:firstLine="412" w:leftChars="300" w:firstLineChars="196"/>
        <w:rPr>
          <w:rFonts w:ascii="宋体" w:hAnsi="宋体" w:hint="eastAsia"/>
          <w:szCs w:val="21"/>
        </w:rPr>
      </w:pPr>
      <w:r>
        <w:rPr>
          <w:rFonts w:ascii="宋体" w:hAnsi="宋体" w:hint="eastAsia"/>
          <w:szCs w:val="21"/>
        </w:rPr>
        <w:t>第九章  公开招标失败的后续处理</w:t>
      </w:r>
    </w:p>
    <w:p>
      <w:pPr>
        <w:ind w:left="630" w:firstLine="412" w:leftChars="300" w:firstLineChars="196"/>
        <w:rPr>
          <w:rFonts w:ascii="宋体" w:hAnsi="宋体" w:hint="eastAsia"/>
          <w:szCs w:val="21"/>
        </w:rPr>
      </w:pPr>
      <w:r>
        <w:rPr>
          <w:rFonts w:ascii="宋体" w:hAnsi="宋体" w:hint="eastAsia"/>
          <w:szCs w:val="21"/>
        </w:rPr>
        <w:t>第十章  合同的授予与备案</w:t>
      </w:r>
    </w:p>
    <w:p>
      <w:pPr>
        <w:ind w:firstLine="1050" w:firstLineChars="500"/>
        <w:outlineLvl w:val="0"/>
        <w:rPr>
          <w:b/>
          <w:sz w:val="24"/>
        </w:rPr>
      </w:pPr>
      <w:r>
        <w:rPr>
          <w:rFonts w:ascii="宋体" w:hAnsi="宋体" w:hint="eastAsia"/>
          <w:szCs w:val="21"/>
        </w:rPr>
        <w:t>第十一章  质疑处理</w:t>
      </w:r>
    </w:p>
    <w:p>
      <w:pPr>
        <w:spacing w:line="360" w:lineRule="auto"/>
        <w:ind w:firstLine="420" w:firstLineChars="200"/>
        <w:jc w:val="left"/>
        <w:rPr>
          <w:rFonts w:ascii="宋体" w:hAnsi="宋体" w:hint="eastAsia"/>
          <w:szCs w:val="21"/>
        </w:rPr>
      </w:pPr>
    </w:p>
    <w:p>
      <w:pPr>
        <w:pStyle w:val="Heading1"/>
        <w:rPr>
          <w:rFonts w:hint="eastAsia"/>
          <w:sz w:val="24"/>
        </w:rPr>
      </w:pPr>
      <w:r>
        <w:br w:type="page"/>
      </w:r>
      <w:bookmarkStart w:id="10" w:name="bt商务标投标文件格式"/>
      <w:bookmarkEnd w:id="10"/>
      <w:bookmarkStart w:id="11" w:name="bt投标人须知"/>
      <w:bookmarkEnd w:id="11"/>
      <w:bookmarkStart w:id="12" w:name="bt投标文件签署授权委托书"/>
      <w:bookmarkEnd w:id="12"/>
      <w:bookmarkStart w:id="13" w:name="bt技术标投标文件格式"/>
      <w:bookmarkEnd w:id="13"/>
      <w:bookmarkStart w:id="14" w:name="bt投标报价汇总表"/>
      <w:bookmarkEnd w:id="14"/>
      <w:bookmarkStart w:id="15" w:name="bt合同条款"/>
      <w:bookmarkEnd w:id="15"/>
      <w:bookmarkStart w:id="16" w:name="合同格式"/>
      <w:bookmarkEnd w:id="16"/>
      <w:bookmarkStart w:id="17" w:name="bt开标一览表"/>
      <w:bookmarkEnd w:id="17"/>
      <w:bookmarkStart w:id="18" w:name="bt其他资料2"/>
      <w:bookmarkEnd w:id="18"/>
      <w:bookmarkStart w:id="19" w:name="bt合同格式"/>
      <w:bookmarkEnd w:id="19"/>
      <w:bookmarkStart w:id="20" w:name="bt项目管理班子配备情况"/>
      <w:bookmarkEnd w:id="20"/>
      <w:bookmarkStart w:id="21" w:name="bt投标人情况介绍"/>
      <w:bookmarkEnd w:id="21"/>
      <w:bookmarkStart w:id="22" w:name="bt投标函"/>
      <w:bookmarkEnd w:id="22"/>
      <w:bookmarkStart w:id="23" w:name="bt本工程承诺书"/>
      <w:bookmarkEnd w:id="23"/>
      <w:bookmarkStart w:id="24" w:name="bt其他资料由投标人自定"/>
      <w:bookmarkEnd w:id="24"/>
      <w:bookmarkStart w:id="25" w:name="bt合同条款及格式"/>
      <w:bookmarkEnd w:id="25"/>
      <w:bookmarkStart w:id="26" w:name="bt说明"/>
      <w:bookmarkEnd w:id="26"/>
      <w:r>
        <w:rPr>
          <w:rFonts w:hint="eastAsia"/>
        </w:rPr>
        <w:t>第一册  专用条款</w:t>
      </w:r>
    </w:p>
    <w:p>
      <w:pPr>
        <w:pStyle w:val="Heading2"/>
        <w:rPr>
          <w:rFonts w:hint="eastAsia"/>
          <w:sz w:val="28"/>
          <w:szCs w:val="28"/>
        </w:rPr>
      </w:pPr>
      <w:r>
        <w:rPr>
          <w:rFonts w:hint="eastAsia"/>
          <w:sz w:val="28"/>
          <w:szCs w:val="28"/>
        </w:rPr>
        <w:t>第一章  招标公告</w:t>
      </w:r>
    </w:p>
    <w:tbl>
      <w:tblPr>
        <w:tblStyle w:val="TableNormal"/>
        <w:tblW w:w="8193" w:type="dxa"/>
        <w:jc w:val="center"/>
        <w:tblCellSpacing w:w="0" w:type="dxa"/>
        <w:tblLayout w:type="fixed"/>
        <w:tblCellMar>
          <w:top w:w="0" w:type="dxa"/>
          <w:left w:w="0" w:type="dxa"/>
          <w:bottom w:w="0" w:type="dxa"/>
          <w:right w:w="0" w:type="dxa"/>
        </w:tblCellMar>
      </w:tblPr>
      <w:tblGrid>
        <w:gridCol w:w="8193"/>
      </w:tblGrid>
      <w:tr>
        <w:tblPrEx>
          <w:tblW w:w="8193" w:type="dxa"/>
          <w:jc w:val="center"/>
          <w:tblCellSpacing w:w="0" w:type="dxa"/>
          <w:tblLayout w:type="fixed"/>
          <w:tblCellMar>
            <w:top w:w="0" w:type="dxa"/>
            <w:left w:w="0" w:type="dxa"/>
            <w:bottom w:w="0" w:type="dxa"/>
            <w:right w:w="0" w:type="dxa"/>
          </w:tblCellMar>
        </w:tblPrEx>
        <w:trPr>
          <w:tblCellSpacing w:w="0" w:type="dxa"/>
          <w:jc w:val="center"/>
        </w:trPr>
        <w:tc>
          <w:tcPr>
            <w:tcW w:w="8193" w:type="dxa"/>
            <w:vAlign w:val="center"/>
          </w:tcPr>
          <w:tbl>
            <w:tblPr>
              <w:tblStyle w:val="TableNormal"/>
              <w:tblW w:w="8147" w:type="dxa"/>
              <w:jc w:val="center"/>
              <w:tblCellSpacing w:w="0" w:type="dxa"/>
              <w:tblLayout w:type="fixed"/>
              <w:tblCellMar>
                <w:top w:w="30" w:type="dxa"/>
                <w:left w:w="30" w:type="dxa"/>
                <w:bottom w:w="30" w:type="dxa"/>
                <w:right w:w="30" w:type="dxa"/>
              </w:tblCellMar>
            </w:tblPr>
            <w:tblGrid>
              <w:gridCol w:w="8147"/>
            </w:tblGrid>
            <w:tr>
              <w:tblPrEx>
                <w:tblW w:w="8147" w:type="dxa"/>
                <w:jc w:val="center"/>
                <w:tblCellSpacing w:w="0" w:type="dxa"/>
                <w:tblLayout w:type="fixed"/>
                <w:tblCellMar>
                  <w:top w:w="30" w:type="dxa"/>
                  <w:left w:w="30" w:type="dxa"/>
                  <w:bottom w:w="30" w:type="dxa"/>
                  <w:right w:w="30" w:type="dxa"/>
                </w:tblCellMar>
              </w:tblPrEx>
              <w:trPr>
                <w:tblCellSpacing w:w="0" w:type="dxa"/>
                <w:jc w:val="center"/>
              </w:trPr>
              <w:tc>
                <w:tcPr>
                  <w:tcW w:w="8147" w:type="dxa"/>
                </w:tcPr>
                <w:p>
                  <w:pPr>
                    <w:spacing w:line="360" w:lineRule="auto"/>
                    <w:rPr>
                      <w:rFonts w:ascii="宋体" w:hAnsi="宋体" w:cs="宋体" w:hint="eastAsia"/>
                      <w:b/>
                      <w:bCs/>
                      <w:kern w:val="0"/>
                      <w:szCs w:val="21"/>
                    </w:rPr>
                  </w:pPr>
                  <w:r>
                    <w:rPr>
                      <w:rFonts w:ascii="宋体" w:hAnsi="宋体" w:cs="宋体" w:hint="eastAsia"/>
                      <w:b/>
                      <w:bCs/>
                      <w:kern w:val="0"/>
                      <w:szCs w:val="21"/>
                    </w:rPr>
                    <w:t>申请人的资格要求：</w:t>
                  </w:r>
                </w:p>
                <w:p>
                  <w:pPr>
                    <w:ind w:firstLine="420" w:firstLineChars="200"/>
                    <w:rPr>
                      <w:rFonts w:ascii="宋体" w:hAnsi="宋体" w:cs="宋体" w:hint="eastAsia"/>
                      <w:kern w:val="0"/>
                      <w:szCs w:val="21"/>
                    </w:rPr>
                  </w:pPr>
                  <w:r>
                    <w:rPr>
                      <w:rFonts w:ascii="宋体" w:hAnsi="宋体" w:cs="宋体" w:hint="eastAsia"/>
                      <w:kern w:val="0"/>
                      <w:szCs w:val="21"/>
                    </w:rPr>
                    <w:t>1.具有独立法人资格或是具有独立承担民事责任能力的其他组织（提供营业执照或事业单位法人证书等证明资料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p>
                <w:p>
                  <w:pPr>
                    <w:ind w:firstLine="420" w:firstLineChars="200"/>
                    <w:rPr>
                      <w:rFonts w:ascii="宋体" w:hAnsi="宋体" w:cs="宋体" w:hint="eastAsia"/>
                      <w:kern w:val="0"/>
                      <w:szCs w:val="21"/>
                    </w:rPr>
                  </w:pPr>
                  <w:r>
                    <w:rPr>
                      <w:rFonts w:ascii="宋体" w:hAnsi="宋体" w:cs="宋体" w:hint="eastAsia"/>
                      <w:color w:val="FF0000"/>
                      <w:kern w:val="0"/>
                      <w:szCs w:val="21"/>
                    </w:rPr>
                    <w:t>2.本项目不接受联合体投标，不接受投标人选用进口产品参与投标，详见招标文件“第三章 用户需求书”；</w:t>
                  </w:r>
                </w:p>
                <w:p>
                  <w:pPr>
                    <w:ind w:firstLine="420" w:firstLineChars="200"/>
                    <w:rPr>
                      <w:rFonts w:ascii="宋体" w:hAnsi="宋体" w:cs="宋体" w:hint="eastAsia"/>
                      <w:kern w:val="0"/>
                      <w:szCs w:val="21"/>
                    </w:rPr>
                  </w:pPr>
                  <w:r>
                    <w:rPr>
                      <w:rFonts w:ascii="宋体" w:hAnsi="宋体" w:cs="宋体" w:hint="eastAsia"/>
                      <w:kern w:val="0"/>
                      <w:szCs w:val="21"/>
                    </w:rPr>
                    <w:t>3</w:t>
                  </w:r>
                  <w:r>
                    <w:rPr>
                      <w:rFonts w:ascii="宋体" w:hAnsi="宋体" w:cs="宋体"/>
                      <w:kern w:val="0"/>
                      <w:szCs w:val="21"/>
                    </w:rPr>
                    <w:t>.</w:t>
                  </w:r>
                  <w:r>
                    <w:rPr>
                      <w:rFonts w:ascii="宋体" w:hAnsi="宋体" w:cs="宋体" w:hint="eastAsia"/>
                      <w:kern w:val="0"/>
                      <w:szCs w:val="21"/>
                    </w:rPr>
                    <w:t>参与本项目政府采购活动时不存在被有关部门禁止参与政府采购活动且在有效期内的情况（由供应商在《政府采购投标及履约承诺函》中作出声明）；</w:t>
                  </w:r>
                </w:p>
                <w:p>
                  <w:pPr>
                    <w:ind w:firstLine="420" w:firstLineChars="200"/>
                    <w:rPr>
                      <w:rFonts w:ascii="宋体" w:hAnsi="宋体" w:cs="宋体" w:hint="eastAsia"/>
                      <w:kern w:val="0"/>
                      <w:szCs w:val="21"/>
                    </w:rPr>
                  </w:pPr>
                  <w:r>
                    <w:rPr>
                      <w:rFonts w:ascii="宋体" w:hAnsi="宋体" w:cs="宋体" w:hint="eastAsia"/>
                      <w:kern w:val="0"/>
                      <w:szCs w:val="21"/>
                    </w:rPr>
                    <w:t>4</w:t>
                  </w:r>
                  <w:r>
                    <w:rPr>
                      <w:rFonts w:ascii="宋体" w:hAnsi="宋体" w:cs="宋体"/>
                      <w:kern w:val="0"/>
                      <w:szCs w:val="21"/>
                    </w:rPr>
                    <w:t>.</w:t>
                  </w:r>
                  <w:r>
                    <w:rPr>
                      <w:rFonts w:ascii="宋体" w:hAnsi="宋体" w:cs="宋体" w:hint="eastAsia"/>
                      <w:kern w:val="0"/>
                      <w:szCs w:val="21"/>
                    </w:rPr>
                    <w:t>具备《中华人民共和国政府采购法》第二十二条第一款的条件（由供应商在《政府采购投标及履约承诺函》中作出声明）；</w:t>
                  </w:r>
                </w:p>
                <w:p>
                  <w:pPr>
                    <w:ind w:firstLine="420" w:firstLineChars="200"/>
                    <w:rPr>
                      <w:rFonts w:ascii="宋体" w:hAnsi="宋体" w:cs="宋体" w:hint="eastAsia"/>
                      <w:kern w:val="0"/>
                      <w:szCs w:val="21"/>
                    </w:rPr>
                  </w:pPr>
                  <w:r>
                    <w:rPr>
                      <w:rFonts w:ascii="宋体" w:hAnsi="宋体" w:cs="宋体" w:hint="eastAsia"/>
                      <w:kern w:val="0"/>
                      <w:szCs w:val="21"/>
                    </w:rPr>
                    <w:t>5</w:t>
                  </w:r>
                  <w:r>
                    <w:rPr>
                      <w:rFonts w:ascii="宋体" w:hAnsi="宋体" w:cs="宋体"/>
                      <w:kern w:val="0"/>
                      <w:szCs w:val="21"/>
                    </w:rPr>
                    <w:t>.</w:t>
                  </w:r>
                  <w:r>
                    <w:rPr>
                      <w:rFonts w:ascii="宋体" w:hAnsi="宋体" w:cs="宋体" w:hint="eastAsia"/>
                      <w:kern w:val="0"/>
                      <w:szCs w:val="21"/>
                    </w:rPr>
                    <w:t>未被列入失信被执行人、重大税收违法案件当事人名单、政府采购严重违法失信行为记录名单（由供应商在《政府采购投标及履约承诺函》中作出声明）；</w:t>
                  </w:r>
                </w:p>
                <w:p>
                  <w:pPr>
                    <w:ind w:firstLine="420" w:firstLineChars="200"/>
                    <w:rPr>
                      <w:rFonts w:ascii="宋体" w:hAnsi="宋体" w:cs="宋体" w:hint="eastAsia"/>
                      <w:color w:val="FF0000"/>
                      <w:kern w:val="0"/>
                      <w:szCs w:val="21"/>
                    </w:rPr>
                  </w:pPr>
                  <w:r>
                    <w:rPr>
                      <w:rFonts w:ascii="宋体" w:hAnsi="宋体" w:cs="宋体" w:hint="eastAsia"/>
                      <w:color w:val="FF0000"/>
                      <w:kern w:val="0"/>
                      <w:szCs w:val="21"/>
                    </w:rPr>
                    <w:t>6.不存在《深圳市财政局政府采购供应商信用信息管理办法》（深财规〔2023〕3号）列明的严重违法失信行为（由供应商在《政府采购投标及履约承诺函》中作出声明）；</w:t>
                  </w:r>
                </w:p>
                <w:p>
                  <w:pPr>
                    <w:ind w:firstLine="420" w:firstLineChars="200"/>
                    <w:rPr>
                      <w:rFonts w:ascii="宋体" w:hAnsi="宋体" w:cs="宋体" w:hint="eastAsia"/>
                      <w:kern w:val="0"/>
                      <w:szCs w:val="21"/>
                    </w:rPr>
                  </w:pPr>
                  <w:r>
                    <w:rPr>
                      <w:rFonts w:ascii="宋体" w:hAnsi="宋体" w:cs="宋体" w:hint="eastAsia"/>
                      <w:kern w:val="0"/>
                      <w:szCs w:val="21"/>
                    </w:rPr>
                    <w:t>7.为采购项目提供整体设计、规范编制或者项目管理、监理、检测等服务的供应商，不得再参加该采购项目的其他采购活动（由供应商在《政府采购投标及履约承诺函》中作出声明）；</w:t>
                  </w:r>
                </w:p>
                <w:p>
                  <w:pPr>
                    <w:pStyle w:val="NoSpacing"/>
                    <w:ind w:firstLine="420" w:firstLineChars="200"/>
                  </w:pPr>
                  <w:r>
                    <w:rPr>
                      <w:rFonts w:ascii="宋体" w:hAnsi="宋体" w:cs="宋体" w:hint="eastAsia"/>
                      <w:color w:val="FF0000"/>
                      <w:kern w:val="0"/>
                      <w:szCs w:val="21"/>
                    </w:rPr>
                    <w:t>8.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政府采购活动（由供应商填写《供应商基本情况表》相关信息）</w:t>
                  </w:r>
                </w:p>
                <w:p>
                  <w:pPr>
                    <w:ind w:firstLine="420" w:firstLineChars="200"/>
                    <w:rPr>
                      <w:rFonts w:ascii="宋体" w:hAnsi="宋体" w:cs="宋体" w:hint="eastAsia"/>
                      <w:kern w:val="0"/>
                      <w:szCs w:val="21"/>
                    </w:rPr>
                  </w:pPr>
                  <w:r>
                    <w:rPr>
                      <w:rFonts w:ascii="宋体" w:hAnsi="宋体" w:cs="宋体" w:hint="eastAsia"/>
                      <w:kern w:val="0"/>
                      <w:szCs w:val="21"/>
                    </w:rPr>
                    <w:t>9.本项目为非专门面向中小企业采购项目。</w:t>
                  </w:r>
                </w:p>
                <w:p>
                  <w:pPr>
                    <w:pStyle w:val="NoSpacing"/>
                    <w:ind w:firstLine="420" w:firstLineChars="200"/>
                    <w:rPr>
                      <w:rFonts w:ascii="宋体" w:hAnsi="宋体" w:cs="宋体" w:hint="eastAsia"/>
                      <w:color w:val="FF0000"/>
                      <w:kern w:val="0"/>
                      <w:szCs w:val="21"/>
                    </w:rPr>
                  </w:pPr>
                  <w:r>
                    <w:rPr>
                      <w:rFonts w:ascii="宋体" w:hAnsi="宋体" w:cs="宋体" w:hint="eastAsia"/>
                      <w:color w:val="FF0000"/>
                      <w:kern w:val="0"/>
                      <w:szCs w:val="21"/>
                    </w:rPr>
                    <w:t>10.本项目允许投标人将电梯维保工作分包。</w:t>
                  </w:r>
                </w:p>
                <w:p>
                  <w:pPr>
                    <w:pStyle w:val="NoSpacing"/>
                    <w:ind w:firstLine="420" w:firstLineChars="200"/>
                    <w:rPr>
                      <w:rFonts w:ascii="宋体" w:hAnsi="宋体" w:cs="宋体" w:hint="eastAsia"/>
                      <w:color w:val="FF0000"/>
                      <w:kern w:val="0"/>
                      <w:szCs w:val="21"/>
                    </w:rPr>
                  </w:pPr>
                  <w:r>
                    <w:rPr>
                      <w:rFonts w:ascii="宋体" w:hAnsi="宋体" w:cs="宋体" w:hint="eastAsia"/>
                      <w:color w:val="FF0000"/>
                      <w:kern w:val="0"/>
                      <w:szCs w:val="21"/>
                    </w:rPr>
                    <w:t>（1）若不分包，投标人须具有符合《中华人民共和国特种设备安全法》的电梯维修资质，提供证书扫描件。</w:t>
                  </w:r>
                </w:p>
                <w:p>
                  <w:pPr>
                    <w:pStyle w:val="NoSpacing"/>
                    <w:ind w:firstLine="420" w:firstLineChars="200"/>
                    <w:rPr>
                      <w:rFonts w:ascii="宋体" w:hAnsi="宋体" w:cs="宋体" w:hint="eastAsia"/>
                      <w:color w:val="FF0000"/>
                      <w:kern w:val="0"/>
                      <w:szCs w:val="21"/>
                    </w:rPr>
                  </w:pPr>
                  <w:r>
                    <w:rPr>
                      <w:rFonts w:ascii="宋体" w:hAnsi="宋体" w:cs="宋体" w:hint="eastAsia"/>
                      <w:color w:val="FF0000"/>
                      <w:kern w:val="0"/>
                      <w:szCs w:val="21"/>
                    </w:rPr>
                    <w:t>（2）若投标人选择分包的，分包承担主体不多于</w:t>
                  </w:r>
                  <w:r>
                    <w:rPr>
                      <w:rFonts w:ascii="宋体" w:hAnsi="宋体" w:cs="宋体" w:hint="eastAsia"/>
                      <w:color w:val="FF0000"/>
                      <w:kern w:val="0"/>
                      <w:szCs w:val="21"/>
                      <w:highlight w:val="yellow"/>
                      <w:lang w:val="en-US" w:eastAsia="zh-CN"/>
                    </w:rPr>
                    <w:t>1</w:t>
                  </w:r>
                  <w:r>
                    <w:rPr>
                      <w:rFonts w:ascii="宋体" w:hAnsi="宋体" w:cs="宋体" w:hint="eastAsia"/>
                      <w:color w:val="FF0000"/>
                      <w:kern w:val="0"/>
                      <w:szCs w:val="21"/>
                      <w:highlight w:val="yellow"/>
                    </w:rPr>
                    <w:t>家</w:t>
                  </w:r>
                  <w:r>
                    <w:rPr>
                      <w:rFonts w:ascii="宋体" w:hAnsi="宋体" w:cs="宋体" w:hint="eastAsia"/>
                      <w:color w:val="FF0000"/>
                      <w:kern w:val="0"/>
                      <w:szCs w:val="21"/>
                    </w:rPr>
                    <w:t>，且分包承担主体不得再次分包：</w:t>
                  </w:r>
                </w:p>
                <w:p>
                  <w:pPr>
                    <w:pStyle w:val="NoSpacing"/>
                    <w:ind w:firstLine="420" w:firstLineChars="200"/>
                    <w:rPr>
                      <w:rFonts w:ascii="宋体" w:hAnsi="宋体" w:cs="宋体" w:hint="eastAsia"/>
                      <w:color w:val="FF0000"/>
                      <w:kern w:val="0"/>
                      <w:szCs w:val="21"/>
                    </w:rPr>
                  </w:pPr>
                  <w:r>
                    <w:rPr>
                      <w:rFonts w:ascii="宋体" w:hAnsi="宋体" w:cs="宋体" w:hint="eastAsia"/>
                      <w:color w:val="FF0000"/>
                      <w:kern w:val="0"/>
                      <w:szCs w:val="21"/>
                    </w:rPr>
                    <w:t>①须提供《分包意向协议》加盖投标人与各分包承担主体的公章（格式自拟）（分包意向协议应载明分包承担主体名称，分包承担主体不得再次分包）；</w:t>
                  </w:r>
                </w:p>
                <w:p>
                  <w:pPr>
                    <w:pStyle w:val="NoSpacing"/>
                    <w:ind w:firstLine="420" w:firstLineChars="200"/>
                  </w:pPr>
                  <w:r>
                    <w:rPr>
                      <w:rFonts w:ascii="宋体" w:hAnsi="宋体" w:cs="宋体" w:hint="eastAsia"/>
                      <w:color w:val="FF0000"/>
                      <w:kern w:val="0"/>
                      <w:szCs w:val="21"/>
                    </w:rPr>
                    <w:t>②分包承担主体须具有符合《中华人民共和国特种设备安全法》的电梯维修资质，提供证书扫描件；</w:t>
                  </w:r>
                </w:p>
                <w:p>
                  <w:pPr>
                    <w:wordWrap w:val="0"/>
                    <w:ind w:firstLine="420" w:firstLineChars="200"/>
                    <w:rPr>
                      <w:rFonts w:ascii="宋体" w:hAnsi="宋体" w:cs="宋体" w:hint="eastAsia"/>
                      <w:kern w:val="0"/>
                      <w:szCs w:val="21"/>
                    </w:rPr>
                  </w:pPr>
                  <w:r>
                    <w:rPr>
                      <w:rFonts w:ascii="宋体" w:hAnsi="宋体" w:cs="宋体" w:hint="eastAsia"/>
                      <w:kern w:val="0"/>
                      <w:szCs w:val="21"/>
                    </w:rPr>
                    <w:t>注：（1）“信用中国”（www.creditchina.gov.cn，查询“信用服务”栏的“重大税收违法失信主体”“失信被执行人”或者下载信用信息报告），“中国政府采购网”（www.ccgp.gov.cn）中的“政府采购严重违法失信行为记录名单”，以及“深圳市政府采购监管网”（http://zfcg.sz.gov.cn）为供应商信用信息的查询渠道，相关信息以开标当日的查询结果为准；</w:t>
                  </w:r>
                </w:p>
                <w:p>
                  <w:pPr>
                    <w:ind w:firstLine="420" w:firstLineChars="200"/>
                    <w:rPr>
                      <w:rFonts w:ascii="宋体" w:hAnsi="宋体" w:hint="eastAsia"/>
                    </w:rPr>
                  </w:pPr>
                  <w:r>
                    <w:rPr>
                      <w:rFonts w:ascii="宋体" w:hAnsi="宋体" w:hint="eastAsia"/>
                    </w:rPr>
                    <w:t>（2）供应商投标（上传投标文件）必须先行办理注册手续，具体请按照本公告“六、其他补充事宜</w:t>
                  </w:r>
                  <w:r>
                    <w:rPr>
                      <w:rFonts w:ascii="宋体" w:hAnsi="宋体"/>
                    </w:rPr>
                    <w:t>”</w:t>
                  </w:r>
                  <w:r>
                    <w:rPr>
                      <w:rFonts w:ascii="宋体" w:hAnsi="宋体" w:hint="eastAsia"/>
                    </w:rPr>
                    <w:t>相关内容指引办理。</w:t>
                  </w:r>
                </w:p>
                <w:p>
                  <w:pPr>
                    <w:spacing w:beforeAutospacing="1" w:afterAutospacing="1"/>
                    <w:ind w:firstLine="420" w:firstLineChars="200"/>
                    <w:rPr>
                      <w:rFonts w:ascii="宋体" w:hAnsi="宋体" w:cs="宋体" w:hint="eastAsia"/>
                      <w:sz w:val="24"/>
                    </w:rPr>
                  </w:pPr>
                  <w:r>
                    <w:rPr>
                      <w:rFonts w:hint="eastAsia"/>
                      <w:b/>
                      <w:sz w:val="22"/>
                      <w:szCs w:val="18"/>
                    </w:rPr>
                    <w:t>完整公告内容详见：深圳公共资源交易网（</w:t>
                  </w:r>
                  <w:r>
                    <w:rPr>
                      <w:b/>
                      <w:sz w:val="22"/>
                      <w:szCs w:val="18"/>
                    </w:rPr>
                    <w:t>https://www.szggzy.com</w:t>
                  </w:r>
                  <w:r>
                    <w:rPr>
                      <w:rFonts w:hint="eastAsia"/>
                      <w:b/>
                      <w:sz w:val="22"/>
                      <w:szCs w:val="18"/>
                    </w:rPr>
                    <w:t>）</w:t>
                  </w:r>
                </w:p>
              </w:tc>
            </w:tr>
          </w:tbl>
          <w:p>
            <w:pPr>
              <w:rPr>
                <w:rFonts w:ascii="宋体" w:hAnsi="宋体" w:cs="宋体" w:hint="eastAsia"/>
                <w:sz w:val="24"/>
              </w:rPr>
            </w:pPr>
          </w:p>
        </w:tc>
      </w:tr>
    </w:tbl>
    <w:p>
      <w:r>
        <w:rPr>
          <w:rFonts w:hint="eastAsia"/>
        </w:rPr>
        <w:br w:type="page"/>
      </w:r>
    </w:p>
    <w:p>
      <w:pPr>
        <w:pStyle w:val="Heading2"/>
        <w:rPr>
          <w:rFonts w:hint="eastAsia"/>
          <w:sz w:val="28"/>
          <w:szCs w:val="28"/>
        </w:rPr>
      </w:pPr>
      <w:r>
        <w:rPr>
          <w:rFonts w:hint="eastAsia"/>
          <w:sz w:val="28"/>
          <w:szCs w:val="28"/>
        </w:rPr>
        <w:t>第二章 对通用条款的补充内容及其他关键信息</w:t>
      </w:r>
    </w:p>
    <w:p>
      <w:pPr>
        <w:pStyle w:val="Heading2"/>
        <w:spacing w:before="120" w:beforeLines="50" w:after="120" w:afterLines="50"/>
        <w:rPr>
          <w:rFonts w:hint="eastAsia"/>
          <w:sz w:val="28"/>
          <w:szCs w:val="28"/>
        </w:rPr>
      </w:pPr>
      <w:bookmarkStart w:id="27" w:name="_Toc73521635"/>
      <w:bookmarkStart w:id="28" w:name="_Toc73521547"/>
      <w:bookmarkStart w:id="29" w:name="_Toc101074876"/>
      <w:bookmarkStart w:id="30" w:name="_Toc60560625"/>
      <w:bookmarkStart w:id="31" w:name="_Toc60631620"/>
      <w:bookmarkStart w:id="32" w:name="_Toc73517639"/>
      <w:bookmarkStart w:id="33" w:name="_Toc73518117"/>
      <w:bookmarkStart w:id="34" w:name="_Toc100052364"/>
      <w:r>
        <w:rPr>
          <w:rFonts w:hint="eastAsia"/>
          <w:szCs w:val="24"/>
        </w:rPr>
        <w:t>一、对通用条款的补充内容</w:t>
      </w:r>
    </w:p>
    <w:tbl>
      <w:tblPr>
        <w:tblStyle w:val="TableNormal"/>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78"/>
        <w:gridCol w:w="2409"/>
        <w:gridCol w:w="4980"/>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b/>
                <w:bCs/>
              </w:rPr>
            </w:pPr>
            <w:bookmarkEnd w:id="27"/>
            <w:bookmarkEnd w:id="28"/>
            <w:bookmarkEnd w:id="29"/>
            <w:bookmarkEnd w:id="30"/>
            <w:bookmarkEnd w:id="31"/>
            <w:bookmarkEnd w:id="32"/>
            <w:bookmarkEnd w:id="33"/>
            <w:bookmarkEnd w:id="34"/>
            <w:r>
              <w:rPr>
                <w:rFonts w:ascii="宋体" w:hAnsi="宋体" w:hint="eastAsia"/>
                <w:b/>
                <w:bCs/>
              </w:rPr>
              <w:t>通用条款序号</w:t>
            </w:r>
          </w:p>
        </w:tc>
        <w:tc>
          <w:tcPr>
            <w:tcW w:w="2409" w:type="dxa"/>
            <w:vAlign w:val="center"/>
          </w:tcPr>
          <w:p>
            <w:pPr>
              <w:jc w:val="center"/>
              <w:rPr>
                <w:rFonts w:ascii="宋体" w:hAnsi="宋体" w:hint="eastAsia"/>
                <w:b/>
                <w:bCs/>
              </w:rPr>
            </w:pPr>
            <w:r>
              <w:rPr>
                <w:rFonts w:ascii="宋体" w:hAnsi="宋体" w:hint="eastAsia"/>
                <w:b/>
                <w:bCs/>
              </w:rPr>
              <w:t>涉及事项</w:t>
            </w:r>
          </w:p>
        </w:tc>
        <w:tc>
          <w:tcPr>
            <w:tcW w:w="4980" w:type="dxa"/>
            <w:vAlign w:val="center"/>
          </w:tcPr>
          <w:p>
            <w:pPr>
              <w:jc w:val="center"/>
              <w:rPr>
                <w:rFonts w:ascii="宋体" w:hAnsi="宋体" w:hint="eastAsia"/>
                <w:b/>
                <w:bCs/>
              </w:rPr>
            </w:pPr>
            <w:r>
              <w:rPr>
                <w:rFonts w:ascii="宋体" w:hAnsi="宋体" w:hint="eastAsia"/>
                <w:b/>
                <w:bCs/>
              </w:rPr>
              <w:t xml:space="preserve">具 </w:t>
            </w:r>
            <w:r>
              <w:rPr>
                <w:rFonts w:ascii="宋体" w:hAnsi="宋体"/>
                <w:b/>
                <w:bCs/>
              </w:rPr>
              <w:t xml:space="preserve"> </w:t>
            </w:r>
            <w:r>
              <w:rPr>
                <w:rFonts w:ascii="宋体" w:hAnsi="宋体" w:hint="eastAsia"/>
                <w:b/>
                <w:bCs/>
              </w:rPr>
              <w:t xml:space="preserve">体 </w:t>
            </w:r>
            <w:r>
              <w:rPr>
                <w:rFonts w:ascii="宋体" w:hAnsi="宋体"/>
                <w:b/>
                <w:bCs/>
              </w:rPr>
              <w:t xml:space="preserve"> </w:t>
            </w:r>
            <w:r>
              <w:rPr>
                <w:rFonts w:ascii="宋体" w:hAnsi="宋体" w:hint="eastAsia"/>
                <w:b/>
                <w:bCs/>
              </w:rPr>
              <w:t xml:space="preserve">补 </w:t>
            </w:r>
            <w:r>
              <w:rPr>
                <w:rFonts w:ascii="宋体" w:hAnsi="宋体"/>
                <w:b/>
                <w:bCs/>
              </w:rPr>
              <w:t xml:space="preserve"> </w:t>
            </w:r>
            <w:r>
              <w:rPr>
                <w:rFonts w:ascii="宋体" w:hAnsi="宋体" w:hint="eastAsia"/>
                <w:b/>
                <w:bCs/>
              </w:rPr>
              <w:t xml:space="preserve">充 </w:t>
            </w:r>
            <w:r>
              <w:rPr>
                <w:rFonts w:ascii="宋体" w:hAnsi="宋体"/>
                <w:b/>
                <w:bCs/>
              </w:rPr>
              <w:t xml:space="preserve"> </w:t>
            </w:r>
            <w:r>
              <w:rPr>
                <w:rFonts w:ascii="宋体" w:hAnsi="宋体" w:hint="eastAsia"/>
                <w:b/>
                <w:bCs/>
              </w:rPr>
              <w:t xml:space="preserve">内 </w:t>
            </w:r>
            <w:r>
              <w:rPr>
                <w:rFonts w:ascii="宋体" w:hAnsi="宋体"/>
                <w:b/>
                <w:bCs/>
              </w:rPr>
              <w:t xml:space="preserve"> </w:t>
            </w:r>
            <w:r>
              <w:rPr>
                <w:rFonts w:ascii="宋体" w:hAnsi="宋体" w:hint="eastAsia"/>
                <w:b/>
                <w:bCs/>
              </w:rPr>
              <w:t>容</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3</w:t>
            </w:r>
            <w:r>
              <w:rPr>
                <w:rFonts w:ascii="宋体" w:hAnsi="宋体"/>
              </w:rPr>
              <w:t>.1</w:t>
            </w:r>
          </w:p>
        </w:tc>
        <w:tc>
          <w:tcPr>
            <w:tcW w:w="2409" w:type="dxa"/>
            <w:vAlign w:val="center"/>
          </w:tcPr>
          <w:p>
            <w:pPr>
              <w:jc w:val="center"/>
            </w:pPr>
            <w:r>
              <w:rPr>
                <w:rFonts w:hint="eastAsia"/>
              </w:rPr>
              <w:t>采购人</w:t>
            </w:r>
          </w:p>
        </w:tc>
        <w:tc>
          <w:tcPr>
            <w:tcW w:w="4980" w:type="dxa"/>
            <w:vAlign w:val="center"/>
          </w:tcPr>
          <w:p>
            <w:pPr>
              <w:jc w:val="center"/>
              <w:rPr>
                <w:rFonts w:ascii="宋体" w:hAnsi="宋体" w:hint="eastAsia"/>
              </w:rPr>
            </w:pPr>
            <w:r>
              <w:rPr>
                <w:rFonts w:ascii="宋体" w:hAnsi="宋体" w:hint="eastAsia"/>
              </w:rPr>
              <w:t>清华大学深圳国际研究生院</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3</w:t>
            </w:r>
            <w:r>
              <w:rPr>
                <w:rFonts w:ascii="宋体" w:hAnsi="宋体"/>
              </w:rPr>
              <w:t>.2</w:t>
            </w:r>
          </w:p>
        </w:tc>
        <w:tc>
          <w:tcPr>
            <w:tcW w:w="2409" w:type="dxa"/>
            <w:vAlign w:val="center"/>
          </w:tcPr>
          <w:p>
            <w:pPr>
              <w:jc w:val="center"/>
              <w:rPr>
                <w:rFonts w:ascii="宋体" w:hAnsi="宋体" w:hint="eastAsia"/>
              </w:rPr>
            </w:pPr>
            <w:r>
              <w:rPr>
                <w:rFonts w:ascii="宋体" w:hAnsi="宋体" w:hint="eastAsia"/>
              </w:rPr>
              <w:t>政府集中采购机构</w:t>
            </w:r>
          </w:p>
        </w:tc>
        <w:tc>
          <w:tcPr>
            <w:tcW w:w="4980" w:type="dxa"/>
            <w:vAlign w:val="center"/>
          </w:tcPr>
          <w:p>
            <w:pPr>
              <w:jc w:val="center"/>
              <w:rPr>
                <w:rFonts w:ascii="宋体" w:hAnsi="宋体" w:hint="eastAsia"/>
              </w:rPr>
            </w:pPr>
            <w:r>
              <w:rPr>
                <w:rFonts w:ascii="宋体" w:hAnsi="宋体" w:hint="eastAsia"/>
              </w:rPr>
              <w:t>深圳公共资源交易中心</w:t>
            </w:r>
          </w:p>
          <w:p>
            <w:pPr>
              <w:jc w:val="center"/>
              <w:rPr>
                <w:rFonts w:ascii="宋体" w:hAnsi="宋体" w:hint="eastAsia"/>
              </w:rPr>
            </w:pPr>
            <w:r>
              <w:rPr>
                <w:rFonts w:ascii="宋体" w:hAnsi="宋体" w:hint="eastAsia"/>
              </w:rPr>
              <w:t>（深圳交易集团有限公司政府采购业务分公司）</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9</w:t>
            </w:r>
          </w:p>
        </w:tc>
        <w:tc>
          <w:tcPr>
            <w:tcW w:w="2409" w:type="dxa"/>
            <w:vAlign w:val="center"/>
          </w:tcPr>
          <w:p>
            <w:pPr>
              <w:jc w:val="center"/>
              <w:rPr>
                <w:rFonts w:ascii="宋体" w:hAnsi="宋体" w:hint="eastAsia"/>
              </w:rPr>
            </w:pPr>
            <w:r>
              <w:rPr>
                <w:rFonts w:ascii="宋体" w:hAnsi="宋体" w:hint="eastAsia"/>
              </w:rPr>
              <w:t>踏勘现场</w:t>
            </w:r>
          </w:p>
        </w:tc>
        <w:tc>
          <w:tcPr>
            <w:tcW w:w="4980" w:type="dxa"/>
            <w:vAlign w:val="center"/>
          </w:tcPr>
          <w:p>
            <w:pPr>
              <w:jc w:val="center"/>
              <w:rPr>
                <w:rFonts w:ascii="宋体" w:hAnsi="宋体" w:hint="eastAsia"/>
              </w:rPr>
            </w:pPr>
            <w:r>
              <w:rPr>
                <w:rFonts w:ascii="宋体" w:hAnsi="宋体" w:hint="eastAsia"/>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1</w:t>
            </w:r>
            <w:r>
              <w:rPr>
                <w:rFonts w:ascii="宋体" w:hAnsi="宋体"/>
              </w:rPr>
              <w:t>0</w:t>
            </w:r>
          </w:p>
        </w:tc>
        <w:tc>
          <w:tcPr>
            <w:tcW w:w="2409" w:type="dxa"/>
            <w:vAlign w:val="center"/>
          </w:tcPr>
          <w:p>
            <w:pPr>
              <w:jc w:val="center"/>
              <w:rPr>
                <w:rFonts w:ascii="宋体" w:hAnsi="宋体" w:hint="eastAsia"/>
              </w:rPr>
            </w:pPr>
            <w:r>
              <w:rPr>
                <w:rFonts w:ascii="宋体" w:hAnsi="宋体" w:hint="eastAsia"/>
              </w:rPr>
              <w:t>标前会议</w:t>
            </w:r>
          </w:p>
        </w:tc>
        <w:tc>
          <w:tcPr>
            <w:tcW w:w="4980" w:type="dxa"/>
            <w:vAlign w:val="center"/>
          </w:tcPr>
          <w:p>
            <w:pPr>
              <w:jc w:val="center"/>
              <w:rPr>
                <w:rFonts w:ascii="宋体" w:hAnsi="宋体" w:hint="eastAsia"/>
              </w:rPr>
            </w:pPr>
            <w:r>
              <w:rPr>
                <w:rFonts w:ascii="宋体" w:hAnsi="宋体" w:hint="eastAsia"/>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1</w:t>
            </w:r>
            <w:r>
              <w:rPr>
                <w:rFonts w:ascii="宋体" w:hAnsi="宋体"/>
              </w:rPr>
              <w:t>2</w:t>
            </w:r>
            <w:r>
              <w:rPr>
                <w:rFonts w:ascii="宋体" w:hAnsi="宋体" w:hint="eastAsia"/>
              </w:rPr>
              <w:t>/1</w:t>
            </w:r>
            <w:r>
              <w:rPr>
                <w:rFonts w:ascii="宋体" w:hAnsi="宋体"/>
              </w:rPr>
              <w:t>3</w:t>
            </w:r>
          </w:p>
        </w:tc>
        <w:tc>
          <w:tcPr>
            <w:tcW w:w="2409" w:type="dxa"/>
            <w:vAlign w:val="center"/>
          </w:tcPr>
          <w:p>
            <w:pPr>
              <w:jc w:val="center"/>
              <w:rPr>
                <w:rFonts w:ascii="宋体" w:hAnsi="宋体" w:hint="eastAsia"/>
              </w:rPr>
            </w:pPr>
            <w:r>
              <w:rPr>
                <w:rFonts w:ascii="宋体" w:hAnsi="宋体" w:hint="eastAsia"/>
              </w:rPr>
              <w:t>招标文件的澄清和修改</w:t>
            </w:r>
          </w:p>
        </w:tc>
        <w:tc>
          <w:tcPr>
            <w:tcW w:w="4980" w:type="dxa"/>
            <w:vAlign w:val="center"/>
          </w:tcPr>
          <w:p>
            <w:pPr>
              <w:jc w:val="center"/>
              <w:rPr>
                <w:rFonts w:ascii="宋体" w:hAnsi="宋体" w:hint="eastAsia"/>
              </w:rPr>
            </w:pPr>
            <w:r>
              <w:rPr>
                <w:rFonts w:ascii="宋体" w:hAnsi="宋体" w:hint="eastAsia"/>
              </w:rPr>
              <w:t>投标截止日三日前，投标人有义务在招标期间在政府集中采购机构网站浏览与本项目有关的澄清和修改信息</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2</w:t>
            </w:r>
            <w:r>
              <w:rPr>
                <w:rFonts w:ascii="宋体" w:hAnsi="宋体"/>
              </w:rPr>
              <w:t>0</w:t>
            </w:r>
          </w:p>
        </w:tc>
        <w:tc>
          <w:tcPr>
            <w:tcW w:w="2409" w:type="dxa"/>
            <w:vAlign w:val="center"/>
          </w:tcPr>
          <w:p>
            <w:pPr>
              <w:jc w:val="center"/>
              <w:rPr>
                <w:rFonts w:ascii="宋体" w:hAnsi="宋体" w:hint="eastAsia"/>
              </w:rPr>
            </w:pPr>
            <w:r>
              <w:rPr>
                <w:rFonts w:ascii="宋体" w:hAnsi="宋体" w:hint="eastAsia"/>
              </w:rPr>
              <w:t>投标有效期</w:t>
            </w:r>
          </w:p>
        </w:tc>
        <w:tc>
          <w:tcPr>
            <w:tcW w:w="4980" w:type="dxa"/>
            <w:vAlign w:val="center"/>
          </w:tcPr>
          <w:p>
            <w:pPr>
              <w:jc w:val="center"/>
              <w:rPr>
                <w:rFonts w:ascii="宋体" w:hAnsi="宋体" w:hint="eastAsia"/>
              </w:rPr>
            </w:pPr>
            <w:r>
              <w:rPr>
                <w:rFonts w:ascii="宋体" w:hAnsi="宋体" w:hint="eastAsia"/>
              </w:rPr>
              <w:t>120个日历日</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2</w:t>
            </w:r>
            <w:r>
              <w:rPr>
                <w:rFonts w:ascii="宋体" w:hAnsi="宋体"/>
              </w:rPr>
              <w:t>2</w:t>
            </w:r>
          </w:p>
        </w:tc>
        <w:tc>
          <w:tcPr>
            <w:tcW w:w="2409" w:type="dxa"/>
            <w:vAlign w:val="center"/>
          </w:tcPr>
          <w:p>
            <w:pPr>
              <w:jc w:val="center"/>
              <w:rPr>
                <w:rFonts w:ascii="宋体" w:hAnsi="宋体" w:hint="eastAsia"/>
              </w:rPr>
            </w:pPr>
            <w:r>
              <w:rPr>
                <w:rFonts w:ascii="宋体" w:hAnsi="宋体" w:hint="eastAsia"/>
              </w:rPr>
              <w:t>投标人的替代方案</w:t>
            </w:r>
          </w:p>
        </w:tc>
        <w:tc>
          <w:tcPr>
            <w:tcW w:w="4980" w:type="dxa"/>
            <w:vAlign w:val="center"/>
          </w:tcPr>
          <w:p>
            <w:pPr>
              <w:jc w:val="center"/>
              <w:rPr>
                <w:rFonts w:ascii="宋体" w:hAnsi="宋体" w:hint="eastAsia"/>
              </w:rPr>
            </w:pPr>
            <w:r>
              <w:rPr>
                <w:rFonts w:ascii="宋体" w:hAnsi="宋体" w:hint="eastAsia"/>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2</w:t>
            </w:r>
            <w:r>
              <w:rPr>
                <w:rFonts w:ascii="宋体" w:hAnsi="宋体"/>
              </w:rPr>
              <w:t>5</w:t>
            </w:r>
          </w:p>
        </w:tc>
        <w:tc>
          <w:tcPr>
            <w:tcW w:w="2409" w:type="dxa"/>
            <w:vAlign w:val="center"/>
          </w:tcPr>
          <w:p>
            <w:pPr>
              <w:jc w:val="center"/>
              <w:rPr>
                <w:rFonts w:ascii="宋体" w:hAnsi="宋体" w:hint="eastAsia"/>
              </w:rPr>
            </w:pPr>
            <w:r>
              <w:rPr>
                <w:rFonts w:ascii="宋体" w:hAnsi="宋体" w:hint="eastAsia"/>
              </w:rPr>
              <w:t>投标文件的大小</w:t>
            </w:r>
          </w:p>
        </w:tc>
        <w:tc>
          <w:tcPr>
            <w:tcW w:w="4980" w:type="dxa"/>
            <w:vAlign w:val="center"/>
          </w:tcPr>
          <w:p>
            <w:pPr>
              <w:jc w:val="center"/>
              <w:rPr>
                <w:rFonts w:ascii="宋体" w:hAnsi="宋体" w:hint="eastAsia"/>
              </w:rPr>
            </w:pPr>
            <w:r>
              <w:rPr>
                <w:rFonts w:ascii="宋体" w:hAnsi="宋体" w:hint="eastAsia"/>
              </w:rPr>
              <w:t>投标文件大小不得超过100MB</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2</w:t>
            </w:r>
            <w:r>
              <w:rPr>
                <w:rFonts w:ascii="宋体" w:hAnsi="宋体"/>
              </w:rPr>
              <w:t>6</w:t>
            </w:r>
          </w:p>
        </w:tc>
        <w:tc>
          <w:tcPr>
            <w:tcW w:w="2409" w:type="dxa"/>
            <w:vAlign w:val="center"/>
          </w:tcPr>
          <w:p>
            <w:pPr>
              <w:jc w:val="center"/>
              <w:rPr>
                <w:rFonts w:ascii="宋体" w:hAnsi="宋体" w:hint="eastAsia"/>
              </w:rPr>
            </w:pPr>
            <w:bookmarkStart w:id="35" w:name="_Hlk71664860"/>
            <w:r>
              <w:rPr>
                <w:rFonts w:ascii="宋体" w:hAnsi="宋体" w:hint="eastAsia"/>
              </w:rPr>
              <w:t>现场演示、方案讲解</w:t>
            </w:r>
            <w:bookmarkEnd w:id="35"/>
          </w:p>
        </w:tc>
        <w:tc>
          <w:tcPr>
            <w:tcW w:w="4980" w:type="dxa"/>
            <w:vAlign w:val="center"/>
          </w:tcPr>
          <w:p>
            <w:pPr>
              <w:jc w:val="center"/>
              <w:rPr>
                <w:rFonts w:ascii="宋体" w:hAnsi="宋体" w:hint="eastAsia"/>
              </w:rPr>
            </w:pPr>
            <w:r>
              <w:rPr>
                <w:rFonts w:ascii="宋体" w:hAnsi="宋体" w:hint="eastAsia"/>
              </w:rPr>
              <w:t>如有演示、方案讲解，具体安排见第三章 用户需求书相关要求</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3</w:t>
            </w:r>
            <w:r>
              <w:rPr>
                <w:rFonts w:ascii="宋体" w:hAnsi="宋体"/>
              </w:rPr>
              <w:t>7</w:t>
            </w:r>
          </w:p>
        </w:tc>
        <w:tc>
          <w:tcPr>
            <w:tcW w:w="2409" w:type="dxa"/>
            <w:vAlign w:val="center"/>
          </w:tcPr>
          <w:p>
            <w:pPr>
              <w:jc w:val="center"/>
              <w:rPr>
                <w:rFonts w:ascii="宋体" w:hAnsi="宋体" w:hint="eastAsia"/>
              </w:rPr>
            </w:pPr>
            <w:r>
              <w:rPr>
                <w:rFonts w:ascii="宋体" w:hAnsi="宋体" w:hint="eastAsia"/>
              </w:rPr>
              <w:t>评审方法</w:t>
            </w:r>
          </w:p>
        </w:tc>
        <w:tc>
          <w:tcPr>
            <w:tcW w:w="4980" w:type="dxa"/>
            <w:vAlign w:val="center"/>
          </w:tcPr>
          <w:p>
            <w:pPr>
              <w:jc w:val="left"/>
              <w:rPr>
                <w:rFonts w:ascii="宋体" w:hAnsi="宋体" w:hint="eastAsia"/>
              </w:rPr>
            </w:pPr>
            <w:r>
              <w:rPr>
                <w:rFonts w:ascii="宋体" w:hAnsi="宋体" w:hint="eastAsia"/>
              </w:rPr>
              <w:t>综合评分法</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3</w:t>
            </w:r>
            <w:r>
              <w:rPr>
                <w:rFonts w:ascii="宋体" w:hAnsi="宋体"/>
              </w:rPr>
              <w:t>8</w:t>
            </w:r>
          </w:p>
        </w:tc>
        <w:tc>
          <w:tcPr>
            <w:tcW w:w="2409" w:type="dxa"/>
            <w:vAlign w:val="center"/>
          </w:tcPr>
          <w:p>
            <w:pPr>
              <w:jc w:val="center"/>
              <w:rPr>
                <w:rFonts w:ascii="宋体" w:hAnsi="宋体" w:hint="eastAsia"/>
              </w:rPr>
            </w:pPr>
            <w:r>
              <w:rPr>
                <w:rFonts w:ascii="宋体" w:hAnsi="宋体" w:hint="eastAsia"/>
              </w:rPr>
              <w:t>定标方法</w:t>
            </w:r>
          </w:p>
        </w:tc>
        <w:tc>
          <w:tcPr>
            <w:tcW w:w="4980" w:type="dxa"/>
            <w:vAlign w:val="center"/>
          </w:tcPr>
          <w:p>
            <w:pPr>
              <w:jc w:val="left"/>
              <w:rPr>
                <w:rFonts w:ascii="宋体" w:hAnsi="宋体" w:hint="eastAsia"/>
              </w:rPr>
            </w:pPr>
            <w:r>
              <w:rPr>
                <w:rFonts w:ascii="宋体" w:hAnsi="宋体" w:hint="eastAsia"/>
              </w:rPr>
              <w:t>评定分离</w:t>
            </w:r>
          </w:p>
          <w:p>
            <w:pPr>
              <w:jc w:val="left"/>
              <w:rPr>
                <w:rFonts w:ascii="宋体" w:hAnsi="宋体" w:hint="eastAsia"/>
              </w:rPr>
            </w:pPr>
            <w:r>
              <w:rPr>
                <w:rFonts w:ascii="宋体" w:hAnsi="宋体" w:hint="eastAsia"/>
              </w:rPr>
              <w:t>本项目推荐的候选中标供应商不进行排名，且中标（成交）结果信息公示内容仅公示候选中标供应商名单，不公示得分和排名。</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4</w:t>
            </w:r>
            <w:r>
              <w:rPr>
                <w:rFonts w:ascii="宋体" w:hAnsi="宋体"/>
              </w:rPr>
              <w:t>6</w:t>
            </w:r>
          </w:p>
        </w:tc>
        <w:tc>
          <w:tcPr>
            <w:tcW w:w="2409" w:type="dxa"/>
            <w:vAlign w:val="center"/>
          </w:tcPr>
          <w:p>
            <w:pPr>
              <w:jc w:val="center"/>
              <w:rPr>
                <w:rFonts w:ascii="宋体" w:hAnsi="宋体" w:hint="eastAsia"/>
              </w:rPr>
            </w:pPr>
            <w:r>
              <w:rPr>
                <w:rFonts w:ascii="宋体" w:hAnsi="宋体" w:hint="eastAsia"/>
              </w:rPr>
              <w:t>履约担保</w:t>
            </w:r>
          </w:p>
        </w:tc>
        <w:tc>
          <w:tcPr>
            <w:tcW w:w="4980" w:type="dxa"/>
            <w:vAlign w:val="center"/>
          </w:tcPr>
          <w:p>
            <w:pPr>
              <w:jc w:val="left"/>
              <w:rPr>
                <w:rFonts w:ascii="宋体" w:eastAsia="宋体" w:hAnsi="宋体" w:hint="eastAsia"/>
                <w:lang w:eastAsia="zh-CN"/>
              </w:rPr>
            </w:pPr>
            <w:r>
              <w:rPr>
                <w:rFonts w:ascii="宋体" w:hAnsi="宋体" w:hint="eastAsia"/>
                <w:lang w:val="en-US" w:eastAsia="zh-CN"/>
              </w:rPr>
              <w:t>不需要</w:t>
            </w:r>
          </w:p>
        </w:tc>
      </w:tr>
    </w:tbl>
    <w:p>
      <w:pPr>
        <w:rPr>
          <w:b/>
        </w:rPr>
      </w:pPr>
      <w:r>
        <w:rPr>
          <w:rFonts w:hint="eastAsia"/>
          <w:szCs w:val="21"/>
        </w:rPr>
        <w:t>备注：本表是通用条款相关条款的补充和明确，如与通用条款内容相冲突的，以本表为准。</w:t>
      </w:r>
    </w:p>
    <w:p>
      <w:pPr>
        <w:rPr>
          <w:b/>
        </w:rPr>
      </w:pPr>
    </w:p>
    <w:p>
      <w:pPr>
        <w:pStyle w:val="Heading2"/>
        <w:spacing w:before="120" w:beforeLines="50" w:after="120" w:afterLines="50"/>
        <w:rPr>
          <w:rFonts w:hint="eastAsia"/>
          <w:szCs w:val="24"/>
        </w:rPr>
      </w:pPr>
      <w:r>
        <w:rPr>
          <w:rFonts w:hint="eastAsia"/>
          <w:szCs w:val="24"/>
        </w:rPr>
        <w:t>二、其他关键信息</w:t>
      </w:r>
    </w:p>
    <w:p>
      <w:pPr>
        <w:ind w:firstLine="420" w:firstLineChars="200"/>
        <w:rPr>
          <w:b/>
          <w:bCs/>
        </w:rPr>
      </w:pPr>
      <w:r>
        <w:rPr>
          <w:rFonts w:hint="eastAsia"/>
          <w:b/>
          <w:bCs/>
        </w:rPr>
        <w:t>（一）与“对通用条款的补充内容”章节相关的事项</w:t>
      </w:r>
    </w:p>
    <w:p>
      <w:pPr>
        <w:spacing w:line="276" w:lineRule="auto"/>
        <w:ind w:firstLine="420" w:firstLineChars="200"/>
        <w:jc w:val="left"/>
        <w:rPr>
          <w:rFonts w:asciiTheme="minorEastAsia" w:eastAsiaTheme="minorEastAsia" w:hAnsiTheme="minorEastAsia" w:hint="eastAsia"/>
          <w:b/>
          <w:kern w:val="0"/>
          <w:szCs w:val="20"/>
        </w:rPr>
      </w:pPr>
      <w:bookmarkStart w:id="36" w:name="_Hlk72579465"/>
      <w:r>
        <w:rPr>
          <w:rFonts w:asciiTheme="minorEastAsia" w:eastAsiaTheme="minorEastAsia" w:hAnsiTheme="minorEastAsia" w:hint="eastAsia"/>
          <w:b/>
          <w:kern w:val="0"/>
          <w:szCs w:val="20"/>
        </w:rPr>
        <w:t>1、评标定标信息</w:t>
      </w:r>
    </w:p>
    <w:p>
      <w:pPr>
        <w:jc w:val="center"/>
        <w:rPr>
          <w:b/>
        </w:rPr>
      </w:pPr>
      <w:r>
        <w:rPr>
          <w:rFonts w:hint="eastAsia"/>
          <w:b/>
        </w:rPr>
        <w:t>评定分离项目</w:t>
      </w:r>
    </w:p>
    <w:tbl>
      <w:tblPr>
        <w:tblStyle w:val="TableGrid"/>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132"/>
        <w:gridCol w:w="4397"/>
      </w:tblGrid>
      <w:tr>
        <w:tblPrEx>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132" w:type="dxa"/>
          </w:tcPr>
          <w:p>
            <w:pPr>
              <w:jc w:val="center"/>
            </w:pPr>
            <w:r>
              <w:rPr>
                <w:rFonts w:hint="eastAsia"/>
              </w:rPr>
              <w:t>评标方法</w:t>
            </w:r>
          </w:p>
        </w:tc>
        <w:tc>
          <w:tcPr>
            <w:tcW w:w="4397" w:type="dxa"/>
          </w:tcPr>
          <w:p>
            <w:pPr>
              <w:jc w:val="center"/>
            </w:pPr>
            <w:r>
              <w:rPr>
                <w:rFonts w:hint="eastAsia"/>
              </w:rPr>
              <w:t>综合评分法</w:t>
            </w:r>
          </w:p>
        </w:tc>
      </w:tr>
      <w:tr>
        <w:tblPrEx>
          <w:tblW w:w="8529" w:type="dxa"/>
          <w:tblInd w:w="0" w:type="dxa"/>
          <w:tblLayout w:type="fixed"/>
          <w:tblCellMar>
            <w:top w:w="0" w:type="dxa"/>
            <w:left w:w="108" w:type="dxa"/>
            <w:bottom w:w="0" w:type="dxa"/>
            <w:right w:w="108" w:type="dxa"/>
          </w:tblCellMar>
        </w:tblPrEx>
        <w:tc>
          <w:tcPr>
            <w:tcW w:w="4132" w:type="dxa"/>
          </w:tcPr>
          <w:p>
            <w:pPr>
              <w:jc w:val="center"/>
            </w:pPr>
            <w:r>
              <w:rPr>
                <w:rFonts w:hint="eastAsia"/>
              </w:rPr>
              <w:t>定标方法</w:t>
            </w:r>
          </w:p>
        </w:tc>
        <w:tc>
          <w:tcPr>
            <w:tcW w:w="4397" w:type="dxa"/>
          </w:tcPr>
          <w:p>
            <w:pPr>
              <w:jc w:val="center"/>
            </w:pPr>
            <w:r>
              <w:rPr>
                <w:rFonts w:hint="eastAsia"/>
              </w:rPr>
              <w:t>自定法</w:t>
            </w:r>
          </w:p>
        </w:tc>
      </w:tr>
      <w:tr>
        <w:tblPrEx>
          <w:tblW w:w="8529" w:type="dxa"/>
          <w:tblInd w:w="0" w:type="dxa"/>
          <w:tblLayout w:type="fixed"/>
          <w:tblCellMar>
            <w:top w:w="0" w:type="dxa"/>
            <w:left w:w="108" w:type="dxa"/>
            <w:bottom w:w="0" w:type="dxa"/>
            <w:right w:w="108" w:type="dxa"/>
          </w:tblCellMar>
        </w:tblPrEx>
        <w:tc>
          <w:tcPr>
            <w:tcW w:w="4132" w:type="dxa"/>
          </w:tcPr>
          <w:p>
            <w:pPr>
              <w:jc w:val="center"/>
            </w:pPr>
            <w:r>
              <w:rPr>
                <w:rFonts w:hint="eastAsia"/>
              </w:rPr>
              <w:t>推荐候选中标供应商家数</w:t>
            </w:r>
          </w:p>
        </w:tc>
        <w:tc>
          <w:tcPr>
            <w:tcW w:w="4397" w:type="dxa"/>
          </w:tcPr>
          <w:p>
            <w:pPr>
              <w:jc w:val="center"/>
            </w:pPr>
            <w:r>
              <w:rPr>
                <w:rFonts w:hint="eastAsia"/>
              </w:rPr>
              <w:t>3</w:t>
            </w:r>
          </w:p>
        </w:tc>
      </w:tr>
      <w:tr>
        <w:tblPrEx>
          <w:tblW w:w="8529" w:type="dxa"/>
          <w:tblInd w:w="0" w:type="dxa"/>
          <w:tblLayout w:type="fixed"/>
          <w:tblCellMar>
            <w:top w:w="0" w:type="dxa"/>
            <w:left w:w="108" w:type="dxa"/>
            <w:bottom w:w="0" w:type="dxa"/>
            <w:right w:w="108" w:type="dxa"/>
          </w:tblCellMar>
        </w:tblPrEx>
        <w:tc>
          <w:tcPr>
            <w:tcW w:w="4132" w:type="dxa"/>
          </w:tcPr>
          <w:p>
            <w:pPr>
              <w:jc w:val="center"/>
            </w:pPr>
            <w:r>
              <w:rPr>
                <w:rFonts w:hint="eastAsia"/>
              </w:rPr>
              <w:t>中标供应商家数</w:t>
            </w:r>
          </w:p>
        </w:tc>
        <w:tc>
          <w:tcPr>
            <w:tcW w:w="4397" w:type="dxa"/>
          </w:tcPr>
          <w:p>
            <w:pPr>
              <w:jc w:val="center"/>
            </w:pPr>
            <w:r>
              <w:rPr>
                <w:rFonts w:hint="eastAsia"/>
              </w:rPr>
              <w:t>1</w:t>
            </w:r>
          </w:p>
        </w:tc>
      </w:tr>
    </w:tbl>
    <w:p>
      <w:pPr>
        <w:ind w:firstLine="420" w:firstLineChars="200"/>
        <w:rPr>
          <w:rFonts w:ascii="宋体" w:hAnsi="宋体" w:hint="eastAsia"/>
          <w:b/>
        </w:rPr>
      </w:pPr>
    </w:p>
    <w:p>
      <w:pPr>
        <w:ind w:firstLine="420" w:firstLineChars="200"/>
        <w:rPr>
          <w:b/>
        </w:rPr>
      </w:pPr>
      <w:bookmarkEnd w:id="36"/>
      <w:r>
        <w:rPr>
          <w:rFonts w:hint="eastAsia"/>
          <w:b/>
        </w:rPr>
        <w:t>（二）其他事项</w:t>
      </w:r>
    </w:p>
    <w:p>
      <w:pPr>
        <w:ind w:firstLine="420" w:firstLineChars="200"/>
      </w:pPr>
      <w:r>
        <w:rPr>
          <w:b/>
          <w:bCs/>
        </w:rPr>
        <w:t>1</w:t>
      </w:r>
      <w:r>
        <w:rPr>
          <w:rFonts w:hint="eastAsia"/>
          <w:b/>
          <w:bCs/>
        </w:rPr>
        <w:t>、关于享受优惠政策的主体及价格扣除比例</w:t>
      </w:r>
    </w:p>
    <w:p>
      <w:pPr>
        <w:ind w:firstLine="420" w:firstLineChars="200"/>
      </w:pPr>
      <w:r>
        <w:rPr>
          <w:rFonts w:hint="eastAsia"/>
        </w:rPr>
        <w:t>（1）专门面向中小企业采购的项目，不再执行价格扣除比例。</w:t>
      </w:r>
    </w:p>
    <w:p>
      <w:pPr>
        <w:ind w:firstLine="420" w:firstLineChars="200"/>
      </w:pPr>
      <w:r>
        <w:rPr>
          <w:rFonts w:hint="eastAsia"/>
        </w:rPr>
        <w:t>（2）非专门面向中小企业采购的项目，应执行价格扣除比例：供应商提供的服务全部由优惠主体承接，则对其投标总价给予</w:t>
      </w:r>
      <w:r>
        <w:rPr>
          <w:rFonts w:hint="eastAsia"/>
          <w:color w:val="FF0000"/>
          <w:u w:val="single"/>
        </w:rPr>
        <w:t>10</w:t>
      </w:r>
      <w:r>
        <w:rPr>
          <w:color w:val="FF0000"/>
          <w:u w:val="single"/>
        </w:rPr>
        <w:t xml:space="preserve"> %</w:t>
      </w:r>
      <w:r>
        <w:rPr>
          <w:rFonts w:hint="eastAsia"/>
          <w:color w:val="000000" w:themeColor="text1"/>
          <w14:textFill>
            <w14:solidFill>
              <w14:schemeClr w14:val="tx1"/>
            </w14:solidFill>
          </w14:textFill>
        </w:rPr>
        <w:t>（10%~20%）</w:t>
      </w:r>
      <w:r>
        <w:rPr>
          <w:rFonts w:hint="eastAsia"/>
        </w:rPr>
        <w:t>的扣除，用扣除后的价格参与评审。满足多项优惠政策的企业，不重复享受多项价格扣除政策。</w:t>
      </w:r>
    </w:p>
    <w:p>
      <w:pPr>
        <w:ind w:firstLine="420" w:firstLineChars="200"/>
      </w:pPr>
      <w:r>
        <w:rPr>
          <w:rFonts w:hint="eastAsia"/>
        </w:rPr>
        <w:t>备注：（a）享受价格扣除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w:t>
      </w:r>
      <w:r>
        <w:t>b)</w:t>
      </w:r>
      <w:r>
        <w:rPr>
          <w:rFonts w:hint="eastAsia"/>
        </w:rPr>
        <w:t>优惠主体承接是指提供服务的人员为中小企业依照《中华人民共和国劳动合同法》订立劳动合同的从业人员。</w:t>
      </w:r>
    </w:p>
    <w:p>
      <w:pPr>
        <w:numPr>
          <w:ilvl w:val="0"/>
          <w:numId w:val="8"/>
        </w:numPr>
        <w:ind w:firstLine="420" w:firstLineChars="200"/>
        <w:rPr>
          <w:szCs w:val="21"/>
        </w:rPr>
      </w:pPr>
      <w:r>
        <w:rPr>
          <w:rFonts w:ascii="宋体" w:hAnsi="宋体" w:cs="宋体"/>
          <w:szCs w:val="21"/>
        </w:rPr>
        <w:t>中小企业参加政府采购活动，应当按照国务院批准的《中小企业划型标准规定》（工信部联企 业〔2011〕300号）、《金融业企业划型标准规定》（银发〔2015〕309号）和《财政部 工业和信息化部关于印发〈政府采购促进中小企业发展管理办法〉的通知》（财库〔2020〕46 号）的规定，出具《中小企业声明函》，</w:t>
      </w:r>
      <w:r>
        <w:rPr>
          <w:rFonts w:ascii="宋体" w:hAnsi="宋体" w:cs="宋体"/>
          <w:b/>
          <w:bCs/>
          <w:color w:val="FF0000"/>
          <w:szCs w:val="21"/>
        </w:rPr>
        <w:t>《中小企业声明函》中相关企业</w:t>
      </w:r>
      <w:r>
        <w:rPr>
          <w:rFonts w:ascii="宋体" w:hAnsi="宋体" w:cs="宋体" w:hint="eastAsia"/>
          <w:b/>
          <w:bCs/>
          <w:color w:val="FF0000"/>
          <w:szCs w:val="21"/>
        </w:rPr>
        <w:t>（服务承接商）</w:t>
      </w:r>
      <w:r>
        <w:rPr>
          <w:rFonts w:ascii="宋体" w:hAnsi="宋体" w:cs="宋体"/>
          <w:b/>
          <w:bCs/>
          <w:color w:val="FF0000"/>
          <w:szCs w:val="21"/>
        </w:rPr>
        <w:t>所属行业应当与采购标的所属行业相一致</w:t>
      </w:r>
      <w:r>
        <w:rPr>
          <w:rFonts w:hint="eastAsia"/>
          <w:b/>
          <w:bCs/>
          <w:color w:val="FF0000"/>
        </w:rPr>
        <w:t>，标的所属行业以招标文件第一册第三章用户需求书“服务需求明细”的“标的所属行业”一栏为准</w:t>
      </w:r>
      <w:r>
        <w:rPr>
          <w:rFonts w:ascii="宋体" w:hAnsi="宋体" w:cs="宋体"/>
          <w:b/>
          <w:bCs/>
          <w:color w:val="FF0000"/>
          <w:szCs w:val="21"/>
        </w:rPr>
        <w:t>。</w:t>
      </w:r>
    </w:p>
    <w:p>
      <w:pPr>
        <w:numPr>
          <w:ilvl w:val="0"/>
          <w:numId w:val="8"/>
        </w:numPr>
        <w:ind w:firstLine="420" w:firstLineChars="200"/>
      </w:pPr>
      <w:r>
        <w:rPr>
          <w:rFonts w:hint="eastAsia"/>
          <w:szCs w:val="21"/>
        </w:rPr>
        <w:t>小型企业、微</w:t>
      </w:r>
      <w:r>
        <w:rPr>
          <w:rFonts w:hint="eastAsia"/>
        </w:rPr>
        <w:t>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一册专用条款第四章“投标文件组成要求及格式”中“三、投标人情况介绍”章节提供的格式）。</w:t>
      </w:r>
    </w:p>
    <w:p>
      <w:pPr>
        <w:ind w:firstLine="420" w:firstLineChars="200"/>
        <w:rPr>
          <w:rFonts w:ascii="宋体" w:hAnsi="宋体" w:hint="eastAsia"/>
          <w:b/>
        </w:rPr>
      </w:pPr>
      <w:r>
        <w:rPr>
          <w:rFonts w:hint="eastAsia"/>
        </w:rPr>
        <w:t>（5）享受价格扣除获得政府采购合同的，小微企业不得将合同分包给大中型企业。</w:t>
      </w:r>
    </w:p>
    <w:p>
      <w:pPr>
        <w:ind w:firstLine="420" w:firstLineChars="200"/>
      </w:pPr>
      <w:r>
        <w:rPr>
          <w:rFonts w:hint="eastAsia"/>
        </w:rPr>
        <w:t>（6）分包投标的情况下：1、项目分包各方均为优惠主体的，该分包视同为优惠主体享受同比例价格扣除；2、分包协议中明确注明约定优惠主体的协议合同金额占到分包协议总金额30%以上的，对该分包的投标总价给予4%的扣除，用扣除后的价格参与评审。</w:t>
      </w:r>
    </w:p>
    <w:p>
      <w:pPr>
        <w:ind w:firstLine="420" w:firstLineChars="200"/>
        <w:rPr>
          <w:b/>
          <w:bCs/>
        </w:rPr>
      </w:pPr>
      <w:r>
        <w:rPr>
          <w:rFonts w:hint="eastAsia"/>
          <w:b/>
          <w:bCs/>
        </w:rPr>
        <w:t>2、本项目不向中标（成交）供应商收取代理服务费。</w:t>
      </w:r>
    </w:p>
    <w:p>
      <w:pPr>
        <w:ind w:firstLine="420" w:firstLineChars="200"/>
        <w:jc w:val="left"/>
        <w:rPr>
          <w:b/>
          <w:color w:val="000000" w:themeColor="text1"/>
          <w14:textFill>
            <w14:solidFill>
              <w14:schemeClr w14:val="tx1"/>
            </w14:solidFill>
          </w14:textFill>
        </w:rPr>
      </w:pPr>
    </w:p>
    <w:p>
      <w:pPr>
        <w:wordWrap w:val="0"/>
        <w:ind w:firstLine="420" w:firstLineChars="200"/>
        <w:rPr>
          <w:b/>
          <w:bCs/>
        </w:rPr>
      </w:pPr>
      <w:r>
        <w:rPr>
          <w:rFonts w:hint="eastAsia"/>
          <w:b/>
          <w:bCs/>
        </w:rPr>
        <w:t>3</w:t>
      </w:r>
      <w:r>
        <w:rPr>
          <w:b/>
          <w:bCs/>
        </w:rPr>
        <w:t>、长期服务采购项目</w:t>
      </w:r>
    </w:p>
    <w:p>
      <w:pPr>
        <w:ind w:firstLine="420" w:firstLineChars="200"/>
      </w:pPr>
      <w:r>
        <w:rPr>
          <w:rFonts w:hint="eastAsia"/>
        </w:rPr>
        <w:t>本项目为长期服务项目，合同期满可以续签，但合同履行期限最长不得超过三十六个月。如甲方对履约情况不满意，甲方不再续约。</w:t>
      </w:r>
    </w:p>
    <w:p>
      <w:pPr>
        <w:rPr>
          <w:b/>
        </w:rPr>
      </w:pPr>
    </w:p>
    <w:p>
      <w:pPr>
        <w:pStyle w:val="BodyText"/>
        <w:sectPr>
          <w:pgSz w:w="11907" w:h="16840"/>
          <w:pgMar w:top="1440" w:right="1797" w:bottom="1440" w:left="1797" w:header="851" w:footer="992" w:gutter="0"/>
          <w:cols w:num="1" w:space="425"/>
          <w:titlePg/>
          <w:docGrid w:linePitch="462" w:charSpace="0"/>
        </w:sectPr>
      </w:pPr>
    </w:p>
    <w:p>
      <w:pPr>
        <w:pStyle w:val="Heading2"/>
        <w:rPr>
          <w:rFonts w:hint="eastAsia"/>
          <w:sz w:val="28"/>
          <w:szCs w:val="28"/>
        </w:rPr>
      </w:pPr>
      <w:bookmarkStart w:id="37" w:name="_Toc128884461"/>
      <w:r>
        <w:rPr>
          <w:rFonts w:hint="eastAsia"/>
          <w:sz w:val="28"/>
          <w:szCs w:val="28"/>
        </w:rPr>
        <w:t>第三章 用户需求书</w:t>
      </w:r>
    </w:p>
    <w:p>
      <w:pPr>
        <w:pStyle w:val="Heading2"/>
        <w:spacing w:before="120" w:beforeLines="50" w:after="120" w:afterLines="50"/>
        <w:rPr>
          <w:rFonts w:hint="eastAsia"/>
          <w:szCs w:val="24"/>
        </w:rPr>
      </w:pPr>
      <w:r>
        <w:rPr>
          <w:rFonts w:hint="eastAsia"/>
          <w:szCs w:val="24"/>
        </w:rPr>
        <w:t>一、项目基本信息</w:t>
      </w:r>
    </w:p>
    <w:tbl>
      <w:tblPr>
        <w:tblStyle w:val="TableNormal"/>
        <w:tblpPr w:leftFromText="180" w:rightFromText="180" w:vertAnchor="text" w:horzAnchor="margin" w:tblpY="173"/>
        <w:tblW w:w="497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26"/>
        <w:gridCol w:w="3565"/>
        <w:gridCol w:w="2526"/>
        <w:gridCol w:w="1961"/>
      </w:tblGrid>
      <w:tr>
        <w:tblPrEx>
          <w:tblW w:w="497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56"/>
        </w:trPr>
        <w:tc>
          <w:tcPr>
            <w:tcW w:w="316" w:type="pct"/>
            <w:vAlign w:val="center"/>
          </w:tcPr>
          <w:p>
            <w:pPr>
              <w:jc w:val="center"/>
              <w:rPr>
                <w:bCs/>
                <w:szCs w:val="21"/>
              </w:rPr>
            </w:pPr>
            <w:r>
              <w:rPr>
                <w:rFonts w:hint="eastAsia"/>
                <w:bCs/>
                <w:szCs w:val="21"/>
              </w:rPr>
              <w:t>序号</w:t>
            </w:r>
          </w:p>
        </w:tc>
        <w:tc>
          <w:tcPr>
            <w:tcW w:w="1498" w:type="pct"/>
            <w:vAlign w:val="center"/>
          </w:tcPr>
          <w:p>
            <w:pPr>
              <w:jc w:val="center"/>
              <w:rPr>
                <w:bCs/>
                <w:szCs w:val="21"/>
              </w:rPr>
            </w:pPr>
            <w:r>
              <w:rPr>
                <w:rFonts w:hint="eastAsia"/>
                <w:szCs w:val="21"/>
              </w:rPr>
              <w:t>采购计划编号</w:t>
            </w:r>
          </w:p>
        </w:tc>
        <w:tc>
          <w:tcPr>
            <w:tcW w:w="1827" w:type="pct"/>
            <w:vAlign w:val="center"/>
          </w:tcPr>
          <w:p>
            <w:pPr>
              <w:jc w:val="center"/>
              <w:rPr>
                <w:bCs/>
                <w:szCs w:val="21"/>
              </w:rPr>
            </w:pPr>
            <w:r>
              <w:rPr>
                <w:rFonts w:hint="eastAsia"/>
                <w:bCs/>
                <w:szCs w:val="21"/>
              </w:rPr>
              <w:t>采购项目名称</w:t>
            </w:r>
          </w:p>
        </w:tc>
        <w:tc>
          <w:tcPr>
            <w:tcW w:w="1357" w:type="pct"/>
            <w:vAlign w:val="center"/>
          </w:tcPr>
          <w:p>
            <w:pPr>
              <w:jc w:val="center"/>
              <w:rPr>
                <w:b/>
                <w:bCs/>
                <w:color w:val="FF0000"/>
                <w:szCs w:val="21"/>
              </w:rPr>
            </w:pPr>
            <w:r>
              <w:rPr>
                <w:rFonts w:hint="eastAsia"/>
                <w:b/>
                <w:bCs/>
                <w:color w:val="FF0000"/>
                <w:szCs w:val="21"/>
              </w:rPr>
              <w:t>预算金额（元）</w:t>
            </w:r>
          </w:p>
        </w:tc>
      </w:tr>
      <w:tr>
        <w:tblPrEx>
          <w:tblW w:w="4970" w:type="pct"/>
          <w:tblInd w:w="0" w:type="dxa"/>
          <w:tblCellMar>
            <w:top w:w="0" w:type="dxa"/>
            <w:left w:w="108" w:type="dxa"/>
            <w:bottom w:w="0" w:type="dxa"/>
            <w:right w:w="108" w:type="dxa"/>
          </w:tblCellMar>
        </w:tblPrEx>
        <w:trPr>
          <w:trHeight w:val="243"/>
        </w:trPr>
        <w:tc>
          <w:tcPr>
            <w:tcW w:w="316" w:type="pct"/>
            <w:vAlign w:val="center"/>
          </w:tcPr>
          <w:p>
            <w:pPr>
              <w:jc w:val="center"/>
              <w:rPr>
                <w:bCs/>
                <w:color w:val="FF0000"/>
                <w:szCs w:val="21"/>
              </w:rPr>
            </w:pPr>
            <w:r>
              <w:rPr>
                <w:rFonts w:hint="eastAsia"/>
                <w:bCs/>
                <w:color w:val="FF0000"/>
                <w:szCs w:val="21"/>
              </w:rPr>
              <w:t>1</w:t>
            </w:r>
          </w:p>
        </w:tc>
        <w:tc>
          <w:tcPr>
            <w:tcW w:w="1498" w:type="pct"/>
            <w:vAlign w:val="center"/>
          </w:tcPr>
          <w:p>
            <w:pPr>
              <w:jc w:val="center"/>
              <w:rPr>
                <w:bCs/>
                <w:color w:val="FF0000"/>
                <w:szCs w:val="21"/>
              </w:rPr>
            </w:pPr>
            <w:r>
              <w:rPr>
                <w:rFonts w:hint="eastAsia"/>
                <w:bCs/>
                <w:color w:val="FF0000"/>
                <w:szCs w:val="21"/>
              </w:rPr>
              <w:t>PLAN-2025-440300000-103609-05756</w:t>
            </w:r>
          </w:p>
        </w:tc>
        <w:tc>
          <w:tcPr>
            <w:tcW w:w="1827" w:type="pct"/>
            <w:vAlign w:val="center"/>
          </w:tcPr>
          <w:p>
            <w:pPr>
              <w:jc w:val="center"/>
              <w:rPr>
                <w:b/>
                <w:bCs/>
                <w:color w:val="FF0000"/>
                <w:szCs w:val="21"/>
              </w:rPr>
            </w:pPr>
            <w:r>
              <w:rPr>
                <w:rFonts w:hint="eastAsia"/>
                <w:b/>
                <w:bCs/>
                <w:color w:val="FF0000"/>
                <w:szCs w:val="21"/>
              </w:rPr>
              <w:t>清华大学深圳国际研究生院国际一期物业管理服务项目</w:t>
            </w:r>
          </w:p>
        </w:tc>
        <w:tc>
          <w:tcPr>
            <w:tcW w:w="1357" w:type="pct"/>
            <w:vAlign w:val="center"/>
          </w:tcPr>
          <w:p>
            <w:pPr>
              <w:jc w:val="center"/>
              <w:rPr>
                <w:bCs/>
                <w:color w:val="FF0000"/>
                <w:szCs w:val="21"/>
              </w:rPr>
            </w:pPr>
            <w:r>
              <w:rPr>
                <w:rFonts w:hint="eastAsia"/>
                <w:bCs/>
                <w:color w:val="FF0000"/>
                <w:szCs w:val="21"/>
              </w:rPr>
              <w:t>13920000.00</w:t>
            </w:r>
          </w:p>
        </w:tc>
      </w:tr>
    </w:tbl>
    <w:p>
      <w:pPr>
        <w:rPr>
          <w:rFonts w:ascii="宋体" w:hAnsi="宋体" w:hint="eastAsia"/>
          <w:b/>
          <w:color w:val="FF0000"/>
          <w:szCs w:val="21"/>
        </w:rPr>
      </w:pPr>
    </w:p>
    <w:p>
      <w:pPr>
        <w:pStyle w:val="Heading2"/>
        <w:spacing w:before="120" w:beforeLines="50" w:after="120" w:afterLines="50"/>
        <w:rPr>
          <w:rFonts w:hint="eastAsia"/>
          <w:szCs w:val="24"/>
        </w:rPr>
      </w:pPr>
      <w:r>
        <w:rPr>
          <w:rFonts w:hint="eastAsia"/>
          <w:szCs w:val="24"/>
        </w:rPr>
        <w:t>二、项目概况</w:t>
      </w:r>
    </w:p>
    <w:p>
      <w:pPr>
        <w:ind w:firstLine="420" w:firstLineChars="200"/>
        <w:rPr>
          <w:rFonts w:asciiTheme="minorEastAsia" w:eastAsiaTheme="minorEastAsia" w:hAnsiTheme="minorEastAsia" w:hint="eastAsia"/>
        </w:rPr>
      </w:pPr>
      <w:r>
        <w:rPr>
          <w:rFonts w:asciiTheme="minorEastAsia" w:eastAsiaTheme="minorEastAsia" w:hAnsiTheme="minorEastAsia" w:hint="eastAsia"/>
        </w:rPr>
        <w:t>清华大学深圳国际研究生院国际校区（一期）项目位于深圳市南山区西丽大学城内，占地面积为2.3万平方米，建筑面积16.1万平方米（含地下面积3.3万平方米）。项目包括约6.4万平方米科研楼一栋，约4.19万平方米公寓楼一栋（专家及学生公寓），约2.27万平米教学及行政楼一栋（含阅览室和报告厅），约3.3万平方米地下室。本次物业管理服务采购范围为红线范围内所有建筑物、景观水体及道路广场等区域的管理服务，包括但不限于：设施设备维护管理、清洁服务、消杀服务、绿化养护服务、教室管理服务、</w:t>
      </w:r>
      <w:r>
        <w:rPr>
          <w:rFonts w:asciiTheme="minorEastAsia" w:eastAsiaTheme="minorEastAsia" w:hAnsiTheme="minorEastAsia" w:hint="eastAsia"/>
          <w:lang w:eastAsia="zh-CN"/>
        </w:rPr>
        <w:t>会务服务</w:t>
      </w:r>
      <w:r>
        <w:rPr>
          <w:rFonts w:asciiTheme="minorEastAsia" w:eastAsiaTheme="minorEastAsia" w:hAnsiTheme="minorEastAsia" w:hint="eastAsia"/>
        </w:rPr>
        <w:t>、场馆服务、公寓管理服务、安保服务、安防监控与消防设备维保服务以及协助学校大型活动，零星搬运，污水站管理及垃圾清运等一体化物业管理服务</w:t>
      </w:r>
    </w:p>
    <w:p>
      <w:pPr>
        <w:rPr>
          <w:rFonts w:ascii="宋体" w:hAnsi="宋体" w:hint="eastAsia"/>
          <w:b/>
          <w:color w:val="FF0000"/>
          <w:szCs w:val="21"/>
        </w:rPr>
      </w:pPr>
    </w:p>
    <w:p>
      <w:pPr>
        <w:pStyle w:val="Heading2"/>
        <w:spacing w:before="120" w:beforeLines="50" w:after="120" w:afterLines="50"/>
        <w:rPr>
          <w:rFonts w:hint="eastAsia"/>
          <w:szCs w:val="24"/>
        </w:rPr>
      </w:pPr>
      <w:r>
        <w:rPr>
          <w:rFonts w:hint="eastAsia"/>
          <w:szCs w:val="24"/>
        </w:rPr>
        <w:t>三、</w:t>
      </w:r>
      <w:bookmarkStart w:id="38" w:name="_Hlk72073432"/>
      <w:r>
        <w:rPr>
          <w:rFonts w:hint="eastAsia"/>
          <w:szCs w:val="24"/>
        </w:rPr>
        <w:t>服务需求明细</w:t>
      </w:r>
      <w:bookmarkEnd w:id="38"/>
    </w:p>
    <w:tbl>
      <w:tblPr>
        <w:tblStyle w:val="TableNormal"/>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4"/>
        <w:gridCol w:w="2461"/>
        <w:gridCol w:w="2464"/>
        <w:gridCol w:w="643"/>
        <w:gridCol w:w="546"/>
        <w:gridCol w:w="1145"/>
        <w:gridCol w:w="841"/>
      </w:tblGrid>
      <w:tr>
        <w:tblPrEx>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70"/>
          <w:jc w:val="center"/>
        </w:trPr>
        <w:tc>
          <w:tcPr>
            <w:tcW w:w="248" w:type="pct"/>
            <w:vAlign w:val="center"/>
          </w:tcPr>
          <w:p>
            <w:pPr>
              <w:jc w:val="center"/>
              <w:rPr>
                <w:bCs/>
                <w:szCs w:val="21"/>
              </w:rPr>
            </w:pPr>
            <w:r>
              <w:rPr>
                <w:rFonts w:hint="eastAsia"/>
                <w:bCs/>
                <w:szCs w:val="21"/>
              </w:rPr>
              <w:t>序号</w:t>
            </w:r>
          </w:p>
        </w:tc>
        <w:tc>
          <w:tcPr>
            <w:tcW w:w="1443" w:type="pct"/>
            <w:vAlign w:val="center"/>
          </w:tcPr>
          <w:p>
            <w:pPr>
              <w:jc w:val="center"/>
              <w:rPr>
                <w:bCs/>
                <w:szCs w:val="21"/>
              </w:rPr>
            </w:pPr>
            <w:r>
              <w:rPr>
                <w:rFonts w:hint="eastAsia"/>
                <w:szCs w:val="21"/>
              </w:rPr>
              <w:t>采购计划编号</w:t>
            </w:r>
          </w:p>
        </w:tc>
        <w:tc>
          <w:tcPr>
            <w:tcW w:w="1445" w:type="pct"/>
            <w:vAlign w:val="center"/>
          </w:tcPr>
          <w:p>
            <w:pPr>
              <w:jc w:val="center"/>
              <w:rPr>
                <w:bCs/>
                <w:szCs w:val="21"/>
              </w:rPr>
            </w:pPr>
            <w:r>
              <w:rPr>
                <w:rFonts w:hint="eastAsia"/>
                <w:bCs/>
                <w:szCs w:val="21"/>
              </w:rPr>
              <w:t>服务需求名称（标的名称）</w:t>
            </w:r>
          </w:p>
        </w:tc>
        <w:tc>
          <w:tcPr>
            <w:tcW w:w="377" w:type="pct"/>
            <w:vAlign w:val="center"/>
          </w:tcPr>
          <w:p>
            <w:pPr>
              <w:jc w:val="center"/>
              <w:rPr>
                <w:bCs/>
                <w:szCs w:val="21"/>
              </w:rPr>
            </w:pPr>
            <w:r>
              <w:rPr>
                <w:rFonts w:hint="eastAsia"/>
                <w:bCs/>
                <w:szCs w:val="21"/>
              </w:rPr>
              <w:t>数量</w:t>
            </w:r>
          </w:p>
        </w:tc>
        <w:tc>
          <w:tcPr>
            <w:tcW w:w="320" w:type="pct"/>
            <w:vAlign w:val="center"/>
          </w:tcPr>
          <w:p>
            <w:pPr>
              <w:jc w:val="center"/>
              <w:rPr>
                <w:bCs/>
                <w:szCs w:val="21"/>
              </w:rPr>
            </w:pPr>
            <w:r>
              <w:rPr>
                <w:rFonts w:hint="eastAsia"/>
                <w:bCs/>
                <w:szCs w:val="21"/>
              </w:rPr>
              <w:t>单位</w:t>
            </w:r>
          </w:p>
        </w:tc>
        <w:tc>
          <w:tcPr>
            <w:tcW w:w="671" w:type="pct"/>
            <w:vAlign w:val="center"/>
          </w:tcPr>
          <w:p>
            <w:pPr>
              <w:jc w:val="center"/>
              <w:rPr>
                <w:bCs/>
                <w:szCs w:val="21"/>
              </w:rPr>
            </w:pPr>
            <w:r>
              <w:rPr>
                <w:rFonts w:hint="eastAsia"/>
                <w:b/>
                <w:bCs/>
                <w:color w:val="FF0000"/>
                <w:szCs w:val="21"/>
              </w:rPr>
              <w:t>是否专门面向中小企业</w:t>
            </w:r>
          </w:p>
        </w:tc>
        <w:tc>
          <w:tcPr>
            <w:tcW w:w="493" w:type="pct"/>
            <w:vAlign w:val="center"/>
          </w:tcPr>
          <w:p>
            <w:pPr>
              <w:jc w:val="center"/>
              <w:rPr>
                <w:b/>
                <w:bCs/>
                <w:color w:val="FF0000"/>
                <w:szCs w:val="21"/>
              </w:rPr>
            </w:pPr>
            <w:r>
              <w:rPr>
                <w:rFonts w:hint="eastAsia"/>
                <w:b/>
                <w:bCs/>
                <w:color w:val="FF0000"/>
                <w:szCs w:val="21"/>
              </w:rPr>
              <w:t>标的所属行业</w:t>
            </w:r>
          </w:p>
        </w:tc>
      </w:tr>
      <w:tr>
        <w:tblPrEx>
          <w:tblW w:w="4997" w:type="pct"/>
          <w:jc w:val="center"/>
          <w:tblLayout w:type="fixed"/>
          <w:tblCellMar>
            <w:top w:w="0" w:type="dxa"/>
            <w:left w:w="108" w:type="dxa"/>
            <w:bottom w:w="0" w:type="dxa"/>
            <w:right w:w="108" w:type="dxa"/>
          </w:tblCellMar>
        </w:tblPrEx>
        <w:trPr>
          <w:trHeight w:val="170"/>
          <w:jc w:val="center"/>
        </w:trPr>
        <w:tc>
          <w:tcPr>
            <w:tcW w:w="248" w:type="pct"/>
            <w:vAlign w:val="center"/>
          </w:tcPr>
          <w:p>
            <w:pPr>
              <w:jc w:val="center"/>
              <w:rPr>
                <w:bCs/>
                <w:szCs w:val="21"/>
              </w:rPr>
            </w:pPr>
            <w:r>
              <w:rPr>
                <w:rFonts w:hint="eastAsia"/>
                <w:bCs/>
                <w:szCs w:val="21"/>
              </w:rPr>
              <w:t>1</w:t>
            </w:r>
          </w:p>
        </w:tc>
        <w:tc>
          <w:tcPr>
            <w:tcW w:w="1443" w:type="pct"/>
            <w:vAlign w:val="center"/>
          </w:tcPr>
          <w:p>
            <w:pPr>
              <w:jc w:val="center"/>
              <w:rPr>
                <w:bCs/>
                <w:szCs w:val="21"/>
              </w:rPr>
            </w:pPr>
            <w:r>
              <w:rPr>
                <w:rFonts w:hint="eastAsia"/>
                <w:bCs/>
                <w:szCs w:val="21"/>
              </w:rPr>
              <w:t>PLAN-2025-440300000-103609-05756</w:t>
            </w:r>
          </w:p>
        </w:tc>
        <w:tc>
          <w:tcPr>
            <w:tcW w:w="1445" w:type="pct"/>
            <w:vAlign w:val="center"/>
          </w:tcPr>
          <w:p>
            <w:pPr>
              <w:jc w:val="center"/>
              <w:rPr>
                <w:bCs/>
                <w:szCs w:val="21"/>
              </w:rPr>
            </w:pPr>
            <w:r>
              <w:rPr>
                <w:rFonts w:hint="eastAsia"/>
                <w:bCs/>
                <w:szCs w:val="21"/>
              </w:rPr>
              <w:t>清华大学深圳国际研究生院国际一期物业管理服务项目</w:t>
            </w:r>
          </w:p>
        </w:tc>
        <w:tc>
          <w:tcPr>
            <w:tcW w:w="377" w:type="pct"/>
            <w:vAlign w:val="center"/>
          </w:tcPr>
          <w:p>
            <w:pPr>
              <w:jc w:val="center"/>
              <w:rPr>
                <w:bCs/>
                <w:szCs w:val="21"/>
              </w:rPr>
            </w:pPr>
            <w:r>
              <w:rPr>
                <w:rFonts w:hint="eastAsia"/>
              </w:rPr>
              <w:t>1</w:t>
            </w:r>
          </w:p>
        </w:tc>
        <w:tc>
          <w:tcPr>
            <w:tcW w:w="320" w:type="pct"/>
            <w:vAlign w:val="center"/>
          </w:tcPr>
          <w:p>
            <w:pPr>
              <w:jc w:val="center"/>
              <w:rPr>
                <w:bCs/>
                <w:szCs w:val="21"/>
              </w:rPr>
            </w:pPr>
            <w:r>
              <w:rPr>
                <w:rFonts w:hint="eastAsia"/>
                <w:bCs/>
                <w:szCs w:val="21"/>
              </w:rPr>
              <w:t>项</w:t>
            </w:r>
          </w:p>
        </w:tc>
        <w:tc>
          <w:tcPr>
            <w:tcW w:w="671" w:type="pct"/>
            <w:vAlign w:val="center"/>
          </w:tcPr>
          <w:p>
            <w:pPr>
              <w:jc w:val="center"/>
              <w:rPr>
                <w:bCs/>
                <w:szCs w:val="21"/>
              </w:rPr>
            </w:pPr>
            <w:r>
              <w:rPr>
                <w:rFonts w:hint="eastAsia"/>
                <w:bCs/>
                <w:szCs w:val="21"/>
              </w:rPr>
              <w:t>否</w:t>
            </w:r>
          </w:p>
        </w:tc>
        <w:tc>
          <w:tcPr>
            <w:tcW w:w="493" w:type="pct"/>
            <w:vAlign w:val="center"/>
          </w:tcPr>
          <w:p>
            <w:pPr>
              <w:jc w:val="center"/>
              <w:rPr>
                <w:bCs/>
                <w:szCs w:val="21"/>
              </w:rPr>
            </w:pPr>
            <w:r>
              <w:rPr>
                <w:rFonts w:hint="eastAsia"/>
              </w:rPr>
              <w:t>物业管理</w:t>
            </w:r>
          </w:p>
        </w:tc>
      </w:tr>
    </w:tbl>
    <w:p>
      <w:pPr>
        <w:rPr>
          <w:rFonts w:ascii="宋体" w:hAnsi="宋体" w:hint="eastAsia"/>
          <w:b/>
          <w:color w:val="FF0000"/>
          <w:szCs w:val="21"/>
        </w:rPr>
      </w:pPr>
    </w:p>
    <w:p>
      <w:pPr>
        <w:pStyle w:val="Heading2"/>
        <w:spacing w:before="120" w:beforeLines="50" w:after="120" w:afterLines="50"/>
        <w:rPr>
          <w:rFonts w:hint="eastAsia"/>
          <w:szCs w:val="24"/>
        </w:rPr>
      </w:pPr>
      <w:r>
        <w:rPr>
          <w:rFonts w:hint="eastAsia"/>
          <w:szCs w:val="24"/>
        </w:rPr>
        <w:t>四、实质性条款</w:t>
      </w:r>
    </w:p>
    <w:tbl>
      <w:tblPr>
        <w:tblStyle w:val="TableNormal"/>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34"/>
        <w:gridCol w:w="7795"/>
      </w:tblGrid>
      <w:tr>
        <w:tblPrEx>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734" w:type="dxa"/>
          </w:tcPr>
          <w:p>
            <w:pPr>
              <w:adjustRightInd w:val="0"/>
              <w:snapToGrid w:val="0"/>
              <w:spacing w:line="360" w:lineRule="auto"/>
              <w:jc w:val="center"/>
              <w:rPr>
                <w:rFonts w:ascii="宋体" w:hAnsi="宋体" w:hint="eastAsia"/>
                <w:kern w:val="0"/>
                <w:szCs w:val="21"/>
              </w:rPr>
            </w:pPr>
            <w:r>
              <w:rPr>
                <w:rFonts w:ascii="宋体" w:hAnsi="宋体" w:hint="eastAsia"/>
                <w:kern w:val="0"/>
                <w:szCs w:val="21"/>
              </w:rPr>
              <w:t>序号</w:t>
            </w:r>
          </w:p>
        </w:tc>
        <w:tc>
          <w:tcPr>
            <w:tcW w:w="7795" w:type="dxa"/>
          </w:tcPr>
          <w:p>
            <w:pPr>
              <w:adjustRightInd w:val="0"/>
              <w:snapToGrid w:val="0"/>
              <w:spacing w:line="360" w:lineRule="auto"/>
              <w:jc w:val="center"/>
              <w:rPr>
                <w:rFonts w:ascii="宋体" w:hAnsi="宋体" w:hint="eastAsia"/>
                <w:kern w:val="0"/>
                <w:szCs w:val="21"/>
              </w:rPr>
            </w:pPr>
            <w:r>
              <w:rPr>
                <w:rFonts w:ascii="宋体" w:hAnsi="宋体" w:hint="eastAsia"/>
                <w:kern w:val="0"/>
                <w:szCs w:val="21"/>
              </w:rPr>
              <w:t>实质性条款具体内容</w:t>
            </w:r>
          </w:p>
        </w:tc>
      </w:tr>
      <w:tr>
        <w:tblPrEx>
          <w:tblW w:w="8529" w:type="dxa"/>
          <w:tblInd w:w="0" w:type="dxa"/>
          <w:tblLayout w:type="fixed"/>
          <w:tblCellMar>
            <w:top w:w="0" w:type="dxa"/>
            <w:left w:w="108" w:type="dxa"/>
            <w:bottom w:w="0" w:type="dxa"/>
            <w:right w:w="108" w:type="dxa"/>
          </w:tblCellMar>
        </w:tblPrEx>
        <w:tc>
          <w:tcPr>
            <w:tcW w:w="734" w:type="dxa"/>
          </w:tcPr>
          <w:p>
            <w:pPr>
              <w:adjustRightInd w:val="0"/>
              <w:snapToGrid w:val="0"/>
              <w:spacing w:line="360" w:lineRule="auto"/>
              <w:rPr>
                <w:rFonts w:ascii="宋体" w:hAnsi="宋体" w:hint="eastAsia"/>
                <w:kern w:val="0"/>
                <w:szCs w:val="21"/>
              </w:rPr>
            </w:pPr>
            <w:r>
              <w:rPr>
                <w:rFonts w:ascii="宋体" w:hAnsi="宋体" w:hint="eastAsia"/>
                <w:kern w:val="0"/>
                <w:szCs w:val="21"/>
              </w:rPr>
              <w:t>1</w:t>
            </w:r>
          </w:p>
        </w:tc>
        <w:tc>
          <w:tcPr>
            <w:tcW w:w="7795" w:type="dxa"/>
          </w:tcPr>
          <w:p>
            <w:pPr>
              <w:rPr>
                <w:rFonts w:hAnsi="宋体" w:eastAsiaTheme="minorEastAsia" w:hint="eastAsia"/>
                <w:kern w:val="0"/>
                <w:szCs w:val="21"/>
              </w:rPr>
            </w:pPr>
            <w:r>
              <w:rPr>
                <w:rFonts w:hAnsi="宋体" w:eastAsiaTheme="minorEastAsia" w:hint="eastAsia"/>
                <w:kern w:val="0"/>
                <w:szCs w:val="21"/>
              </w:rPr>
              <w:t>具体以采购文件第三章 用户需求书中带“★”的需求项为准。</w:t>
            </w:r>
          </w:p>
        </w:tc>
      </w:tr>
    </w:tbl>
    <w:p>
      <w:pPr>
        <w:pStyle w:val="Heading4"/>
        <w:tabs>
          <w:tab w:val="left" w:pos="765"/>
        </w:tabs>
        <w:rPr>
          <w:rFonts w:ascii="黑体"/>
          <w:b w:val="0"/>
          <w:kern w:val="0"/>
          <w:sz w:val="24"/>
          <w:szCs w:val="24"/>
        </w:rPr>
      </w:pPr>
      <w:r>
        <w:rPr>
          <w:rFonts w:ascii="黑体" w:hint="eastAsia"/>
          <w:b w:val="0"/>
          <w:kern w:val="0"/>
          <w:sz w:val="24"/>
          <w:szCs w:val="24"/>
        </w:rPr>
        <w:t>注：上表所列内容为不可负偏离条款，负偏离将视为未实质性满足招标文件要求作投标无效处理。</w:t>
      </w:r>
      <w:bookmarkEnd w:id="37"/>
    </w:p>
    <w:p>
      <w:pPr>
        <w:rPr>
          <w:b/>
          <w:bCs/>
          <w:sz w:val="24"/>
        </w:rPr>
      </w:pPr>
    </w:p>
    <w:p>
      <w:pPr>
        <w:pStyle w:val="Heading2"/>
        <w:spacing w:before="120" w:beforeLines="50" w:after="120" w:afterLines="50"/>
        <w:rPr>
          <w:rFonts w:hint="eastAsia"/>
          <w:szCs w:val="24"/>
        </w:rPr>
      </w:pPr>
      <w:r>
        <w:rPr>
          <w:rFonts w:hint="eastAsia"/>
          <w:szCs w:val="24"/>
        </w:rPr>
        <w:t>五、技术要求</w:t>
      </w:r>
    </w:p>
    <w:p>
      <w:pPr>
        <w:spacing w:line="360" w:lineRule="auto"/>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（一）项目基本情况</w:t>
      </w:r>
    </w:p>
    <w:p>
      <w:pPr>
        <w:spacing w:line="360" w:lineRule="auto"/>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清华大学深圳国际研究生院国际校区（一期）项目位于深圳市南山区西丽大学城内，占地面积为2.3万平方米，建筑面积16.1万平方米（含地下面积3.3万平方米）。项目包括约6.4万平方米科研楼一栋，约4.19万平方米公寓楼一栋（专家及学生公寓），约2.27万平米教学及行政楼一栋（含阅览室和报告厅），约3.3万平方米地下室。本次物业管理服务采购范围为红线范围内所有建筑物、景观水体及道路广场等区域的管理服务，包括但不限于：设施设备维护管理、清洁服务、消杀服务、绿化养护服务、教室管理服务、</w:t>
      </w:r>
      <w:r>
        <w:rPr>
          <w:rFonts w:asciiTheme="minorEastAsia" w:eastAsiaTheme="minorEastAsia" w:hAnsiTheme="minorEastAsia" w:hint="eastAsia"/>
          <w:szCs w:val="21"/>
          <w:lang w:eastAsia="zh-CN"/>
        </w:rPr>
        <w:t>会务服务</w:t>
      </w:r>
      <w:r>
        <w:rPr>
          <w:rFonts w:asciiTheme="minorEastAsia" w:eastAsiaTheme="minorEastAsia" w:hAnsiTheme="minorEastAsia" w:hint="eastAsia"/>
          <w:szCs w:val="21"/>
        </w:rPr>
        <w:t>、场馆服务、公寓管理服务、安保服务、安防监控与消防设备维保服务以及协助学校大型活动，零星搬运，污水站管理及垃圾清运等一体化物业管理服务。</w:t>
      </w:r>
    </w:p>
    <w:p>
      <w:pPr>
        <w:spacing w:line="360" w:lineRule="auto"/>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（二）服务内容</w:t>
      </w:r>
    </w:p>
    <w:p>
      <w:pPr>
        <w:spacing w:line="360" w:lineRule="auto"/>
        <w:ind w:firstLine="420" w:firstLineChars="200"/>
        <w:rPr>
          <w:rFonts w:asciiTheme="minorEastAsia" w:eastAsiaTheme="minorEastAsia" w:hAnsiTheme="minorEastAsia" w:hint="eastAsia"/>
          <w:szCs w:val="21"/>
          <w:lang w:val="zh-CN"/>
        </w:rPr>
      </w:pPr>
      <w:r>
        <w:rPr>
          <w:rFonts w:asciiTheme="minorEastAsia" w:eastAsiaTheme="minorEastAsia" w:hAnsiTheme="minorEastAsia" w:hint="eastAsia"/>
          <w:szCs w:val="21"/>
        </w:rPr>
        <w:t>1</w:t>
      </w:r>
      <w:r>
        <w:rPr>
          <w:rFonts w:asciiTheme="minorEastAsia" w:eastAsiaTheme="minorEastAsia" w:hAnsiTheme="minorEastAsia" w:hint="eastAsia"/>
          <w:szCs w:val="21"/>
          <w:lang w:val="zh-CN"/>
        </w:rPr>
        <w:t>、设施设备维护管理</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（1）房屋本体管理与维修养护</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房屋本体结构的维护，房屋承重结构部位(包括基础、梁、柱、板、屋顶等)、房屋的抗震结构部位(包括构造柱、梁、墙等)、房屋的内、外墙面、围墙、楼梯间、走廊通道、设备机房、门厅、门窗、屋面和地下室的检查、维修、养护和管理。</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（2）共用设备管理与维修养护</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一般包括道路、绿地、路灯、照明、沟渠、池、井、电梯、公益性文体设施和共用设施设备使用的房屋等。内容包括但不限于：</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1）供配电系统；</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2）给水系统；</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3）排水（污）系统；</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4）电梯的日常运行监管；</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5）空调设备的日常运行监管；</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6）防雷系统的日常巡查；</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7）公共照明；</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8）学生公寓热水系统的日常运行监管；</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9）学生公寓门禁系统；</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10）公共教学楼等公共场所饮用水设备日常管理；</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11）其他。</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（3）校园日常零星维修服务。</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日常维修服务应保证受理渠道畅通，并按照约定时间及时提供服务。详细服务内容见物业服务合同及其附件。</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（4）用水用电管理（节能管理）</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（5）公用设施（道路、室外管网、保安亭、护栏、停车场闸门、标识导向牌、沟渠、池井、路灯、吊顶、信箱等）的检查、维修、养护管理。</w:t>
      </w:r>
    </w:p>
    <w:p>
      <w:pPr>
        <w:spacing w:line="360" w:lineRule="auto"/>
        <w:ind w:firstLine="420" w:firstLineChars="200"/>
        <w:rPr>
          <w:rFonts w:asciiTheme="minorEastAsia" w:eastAsiaTheme="minorEastAsia" w:hAnsiTheme="minorEastAsia" w:hint="eastAsia"/>
          <w:szCs w:val="21"/>
          <w:lang w:val="zh-CN"/>
        </w:rPr>
      </w:pPr>
      <w:r>
        <w:rPr>
          <w:rFonts w:asciiTheme="minorEastAsia" w:eastAsiaTheme="minorEastAsia" w:hAnsiTheme="minorEastAsia" w:hint="eastAsia"/>
          <w:szCs w:val="21"/>
        </w:rPr>
        <w:t>2</w:t>
      </w:r>
      <w:r>
        <w:rPr>
          <w:rFonts w:asciiTheme="minorEastAsia" w:eastAsiaTheme="minorEastAsia" w:hAnsiTheme="minorEastAsia" w:hint="eastAsia"/>
          <w:szCs w:val="21"/>
          <w:lang w:val="zh-CN"/>
        </w:rPr>
        <w:t>、清洁服务</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（1）园区环境卫生：</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园区公共区域环境卫生：校园主干道、广场、绿化区、公共水域、停车场等校园公共区域的保洁。</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（2） 楼宇内环境卫生：</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1）楼宇内公共区域环境卫生：公共教学楼、行政办公楼宇公共区域、学生公寓公区、公开（地下）停车场等楼宇公共区域的保洁。</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2）室内环境卫生：</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公共教学场所、公共服务场馆等公共场所室内保洁。不含学生公寓区室内部分。</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（3）外墙清洗、化粪池清疏、沟渠沙井清疏等。</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（4）生活垃圾管理</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包括压缩站管理、公共卫生设施管理、各类垃圾分类处理以及校内转运，并协助采购人对垃圾外运工作进行监督等。按照政府部门要求实行垃圾分类处理并承担相应责任。</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（5）四害消杀管理</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定期对学生公寓、公共教学场所、公共服务场馆、公共卫生间、地沟、垃圾收集点以及校园公共设施及公用器具等部位实施消杀和消毒；流行病或蚊蝇高发时期应增加公共场所消杀频次或按学校要求进行消杀。</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四害消杀和白蚁、红火蚁防治、防蛇范围为校区范围内。</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（6）保证二次供水卫生。</w:t>
      </w:r>
    </w:p>
    <w:p>
      <w:pPr>
        <w:spacing w:line="360" w:lineRule="auto"/>
        <w:ind w:firstLine="420" w:firstLineChars="200"/>
        <w:rPr>
          <w:rFonts w:asciiTheme="minorEastAsia" w:eastAsiaTheme="minorEastAsia" w:hAnsiTheme="minorEastAsia" w:hint="eastAsia"/>
          <w:szCs w:val="21"/>
          <w:lang w:val="zh-CN"/>
        </w:rPr>
      </w:pPr>
      <w:r>
        <w:rPr>
          <w:rFonts w:asciiTheme="minorEastAsia" w:eastAsiaTheme="minorEastAsia" w:hAnsiTheme="minorEastAsia" w:hint="eastAsia"/>
          <w:szCs w:val="21"/>
        </w:rPr>
        <w:t>3</w:t>
      </w:r>
      <w:r>
        <w:rPr>
          <w:rFonts w:asciiTheme="minorEastAsia" w:eastAsiaTheme="minorEastAsia" w:hAnsiTheme="minorEastAsia" w:hint="eastAsia"/>
          <w:szCs w:val="21"/>
          <w:lang w:val="zh-CN"/>
        </w:rPr>
        <w:t>、消杀服务</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（1）负责国际校区（一期）红线范围内的“四害”消杀。消杀药品由乙方提出需求、方案，并实施。</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（2）负责红线范围内防蛇工作开展4次/年。</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3）有效控制老鼠、苍蝇、蟑螂、蚊子的密度,同时须对校园内（含绿地）的红火蚁、白蚁进行消杀处理。要求目视无苍蝇，无蝇阳性孽生物；目视无蚊、无鼠咬痕、鼠粪、鼠洞等鼠迹；在外围、垃圾堆放处、设备房、公共走道、楼梯间及室外角落等地目视无蟑螂。</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（4）根据甲方要求做好其它有关消杀的服务工作。</w:t>
      </w:r>
    </w:p>
    <w:p>
      <w:pPr>
        <w:spacing w:line="360" w:lineRule="auto"/>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4、绿化养护服务</w:t>
      </w:r>
    </w:p>
    <w:p>
      <w:pPr>
        <w:spacing w:line="360" w:lineRule="auto"/>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（1）负责红线范围内的室外绿化养护，包括但不限于中庭、露台、屋面等位置。</w:t>
      </w:r>
    </w:p>
    <w:p>
      <w:pPr>
        <w:spacing w:line="360" w:lineRule="auto"/>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（2）做好乔灌木修剪、植被除草，做到花草树木长势良好、整齐美观、无枯枝枯叶，绿化带无杂物垃圾。</w:t>
      </w:r>
    </w:p>
    <w:p>
      <w:pPr>
        <w:spacing w:line="360" w:lineRule="auto"/>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（3）做好苗木植被四季护理，及时施肥、杀虫。</w:t>
      </w:r>
    </w:p>
    <w:p>
      <w:pPr>
        <w:spacing w:line="360" w:lineRule="auto"/>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（4）及时清除已枯死的花草树木并安排零星补种，根据季节每日喷淋，定期喷洒农药。</w:t>
      </w:r>
    </w:p>
    <w:p>
      <w:pPr>
        <w:spacing w:line="360" w:lineRule="auto"/>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（5）维护绿化喷水灌溉设施完好。</w:t>
      </w:r>
    </w:p>
    <w:p>
      <w:pPr>
        <w:spacing w:line="360" w:lineRule="auto"/>
        <w:ind w:firstLine="420" w:firstLineChars="200"/>
        <w:rPr>
          <w:rFonts w:asciiTheme="minorEastAsia" w:eastAsiaTheme="minorEastAsia" w:hAnsiTheme="minorEastAsia" w:hint="eastAsia"/>
          <w:szCs w:val="21"/>
        </w:rPr>
      </w:pPr>
      <w:r>
        <w:rPr>
          <w:rFonts w:asciiTheme="minorEastAsia" w:eastAsiaTheme="minorEastAsia" w:hAnsiTheme="minorEastAsia"/>
          <w:szCs w:val="21"/>
        </w:rPr>
        <w:t>5</w:t>
      </w:r>
      <w:r>
        <w:rPr>
          <w:rFonts w:asciiTheme="minorEastAsia" w:eastAsiaTheme="minorEastAsia" w:hAnsiTheme="minorEastAsia" w:hint="eastAsia"/>
          <w:szCs w:val="21"/>
        </w:rPr>
        <w:t>、</w:t>
      </w:r>
      <w:bookmarkStart w:id="39" w:name="OLE_LINK5"/>
      <w:r>
        <w:rPr>
          <w:rFonts w:asciiTheme="minorEastAsia" w:eastAsiaTheme="minorEastAsia" w:hAnsiTheme="minorEastAsia" w:hint="eastAsia"/>
          <w:szCs w:val="21"/>
        </w:rPr>
        <w:t>教室</w:t>
      </w:r>
      <w:bookmarkEnd w:id="39"/>
      <w:r>
        <w:rPr>
          <w:rFonts w:asciiTheme="minorEastAsia" w:eastAsiaTheme="minorEastAsia" w:hAnsiTheme="minorEastAsia" w:hint="eastAsia"/>
          <w:szCs w:val="21"/>
        </w:rPr>
        <w:t>管理服务</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（1）为教室、休息室及其它教室功能用房提供教室服务。为师生提供方便、舒适的上课环境，认真检查教室电气设备及总电源情况。具备处理应急突发事件的能力。</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（2）每天上午、下午、晚上分别检查教室课桌椅并保证整齐摆放。</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（3）负责教学楼公共设施与设备的日常维护、零星维修及管理。负责教室、休息室及功能用房及教学楼公共区域的清洁保洁。</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（4）做好教学楼房间的门窗、屋檐、天花板、公告栏、标识牌、窗帘、各类灯光的日常维护维修和管理。</w:t>
      </w:r>
    </w:p>
    <w:p>
      <w:pPr>
        <w:ind w:firstLine="42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w:t>
      </w:r>
      <w:r>
        <w:rPr>
          <w:rFonts w:asciiTheme="minorEastAsia" w:eastAsiaTheme="minorEastAsia" w:hAnsiTheme="minorEastAsia"/>
          <w:szCs w:val="21"/>
          <w:lang w:val="zh-CN" w:bidi="zh-CN"/>
        </w:rPr>
        <w:t>5）根据学校要求做好有关教室管理的其它服务工作。</w:t>
      </w:r>
    </w:p>
    <w:p>
      <w:pPr>
        <w:spacing w:line="360" w:lineRule="auto"/>
        <w:ind w:firstLine="420" w:firstLineChars="200"/>
        <w:rPr>
          <w:rFonts w:asciiTheme="minorEastAsia" w:eastAsiaTheme="minorEastAsia" w:hAnsiTheme="minorEastAsia" w:hint="eastAsia"/>
          <w:szCs w:val="21"/>
          <w:lang w:val="zh-CN"/>
        </w:rPr>
      </w:pPr>
      <w:r>
        <w:rPr>
          <w:rFonts w:asciiTheme="minorEastAsia" w:eastAsiaTheme="minorEastAsia" w:hAnsiTheme="minorEastAsia"/>
          <w:szCs w:val="21"/>
        </w:rPr>
        <w:t>6</w:t>
      </w:r>
      <w:r>
        <w:rPr>
          <w:rFonts w:asciiTheme="minorEastAsia" w:eastAsiaTheme="minorEastAsia" w:hAnsiTheme="minorEastAsia" w:hint="eastAsia"/>
          <w:szCs w:val="21"/>
          <w:lang w:val="zh-CN"/>
        </w:rPr>
        <w:t>、会务服务</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（1）根据学校的安排，为公共会议室、行政楼、报告厅、会议中心提供会议接待服务。</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（2）负责各类接待参观的演示及专业讲解工作。</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（3）会议和接待活动的登记服务，及时向有关管理部门通报情况。</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（4）会议和接待横幅、卡座牌及欢迎指示牌的摆放。</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（5）会议或接待前清洁人员需对会场进行保洁处理工作。</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（6）会议或接待前做好会场安全巡查，技术人员对各类设施设备进行检测，对会议系统设备系统进行调试。</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 xml:space="preserve">（7）负责会议室全面检查、茶水茶歇服务、主席台布置、会前卫生检查准备、会后巡检；负责开灯光空调、灯光空调音响调控，熟悉报告厅/会议厅设备； </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（8）会议或接待结束后，及时清理、清洁和整理现场环境，恢复桌椅摆放，关闭设备仪器，发现异常情况及时报告。</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（9）重大会议、重大节日、校庆等活动景观布置。</w:t>
      </w:r>
    </w:p>
    <w:p>
      <w:pPr>
        <w:spacing w:line="360" w:lineRule="auto"/>
        <w:ind w:firstLine="420" w:firstLineChars="200"/>
        <w:rPr>
          <w:rFonts w:asciiTheme="minorEastAsia" w:eastAsiaTheme="minorEastAsia" w:hAnsiTheme="minorEastAsia" w:hint="eastAsia"/>
          <w:szCs w:val="21"/>
          <w:lang w:val="zh-CN"/>
        </w:rPr>
      </w:pPr>
      <w:r>
        <w:rPr>
          <w:rFonts w:asciiTheme="minorEastAsia" w:eastAsiaTheme="minorEastAsia" w:hAnsiTheme="minorEastAsia"/>
          <w:szCs w:val="21"/>
        </w:rPr>
        <w:t>7</w:t>
      </w:r>
      <w:r>
        <w:rPr>
          <w:rFonts w:asciiTheme="minorEastAsia" w:eastAsiaTheme="minorEastAsia" w:hAnsiTheme="minorEastAsia" w:hint="eastAsia"/>
          <w:szCs w:val="21"/>
          <w:lang w:val="zh-CN"/>
        </w:rPr>
        <w:t>、场馆服务</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（1）按照学校的课表安排、调课通知等使用计划准时开关舞蹈室、健身房，负责体育设施及空间环境维护管理工作。</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（2）场馆器材损坏应及时报学校相关部门进行维修，并跟进维修进度，确保教学工作的正常进行。</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（3）楼栋内自习室、阅览室环境保洁及秩序维护，认真做好门窗、天花板、标识牌、照明的日常维护维修和管理。</w:t>
      </w:r>
    </w:p>
    <w:p>
      <w:pPr>
        <w:spacing w:line="360" w:lineRule="auto"/>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4）报告</w:t>
      </w:r>
      <w:r>
        <w:rPr>
          <w:rFonts w:asciiTheme="minorEastAsia" w:eastAsiaTheme="minorEastAsia" w:hAnsiTheme="minorEastAsia" w:hint="eastAsia"/>
          <w:szCs w:val="21"/>
        </w:rPr>
        <w:t>厅环境保洁及设施维护，认真做好门窗、座椅、照明、空调的日常维护维修和管理。</w:t>
      </w:r>
    </w:p>
    <w:p>
      <w:pPr>
        <w:spacing w:line="360" w:lineRule="auto"/>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5）各场馆教学、文体活动结束后，及时安排人员清洁和整理恢复活动场所环境，关闭相关设备设施，发现异常情况及时报告。</w:t>
      </w:r>
    </w:p>
    <w:p>
      <w:pPr>
        <w:spacing w:line="360" w:lineRule="auto"/>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6）根据学校要求做好其它相关的场馆服务工作。</w:t>
      </w:r>
    </w:p>
    <w:p>
      <w:pPr>
        <w:spacing w:line="360" w:lineRule="auto"/>
        <w:ind w:firstLine="420" w:firstLineChars="200"/>
        <w:rPr>
          <w:rFonts w:asciiTheme="minorEastAsia" w:eastAsiaTheme="minorEastAsia" w:hAnsiTheme="minorEastAsia" w:hint="eastAsia"/>
          <w:szCs w:val="21"/>
        </w:rPr>
      </w:pPr>
      <w:r>
        <w:rPr>
          <w:rFonts w:asciiTheme="minorEastAsia" w:eastAsiaTheme="minorEastAsia" w:hAnsiTheme="minorEastAsia"/>
          <w:szCs w:val="21"/>
        </w:rPr>
        <w:t>8</w:t>
      </w:r>
      <w:r>
        <w:rPr>
          <w:rFonts w:asciiTheme="minorEastAsia" w:eastAsiaTheme="minorEastAsia" w:hAnsiTheme="minorEastAsia" w:hint="eastAsia"/>
          <w:szCs w:val="21"/>
        </w:rPr>
        <w:t>、公寓管理服务</w:t>
      </w:r>
    </w:p>
    <w:p>
      <w:pPr>
        <w:spacing w:line="360" w:lineRule="auto"/>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1）按工作需求，按照甲方要求设置值班岗位、配备足额人数。</w:t>
      </w:r>
    </w:p>
    <w:p>
      <w:pPr>
        <w:spacing w:line="360" w:lineRule="auto"/>
        <w:ind w:firstLine="420" w:firstLineChars="200"/>
        <w:rPr>
          <w:rFonts w:asciiTheme="minorEastAsia" w:eastAsiaTheme="minorEastAsia" w:hAnsiTheme="minorEastAsia" w:hint="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2）学生公寓管理人员作业期间着工装、带工牌，工作时间内按时上下班，实行24小时值班制度，无故不得擅自脱岗，保证上岗率，并严格遵守学校的各项规章制度以及各岗位的工作纪律。</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（3）严格执行《清华大学学生宿舍管理规定》，并作好日常管理记录。配合学校对学生的纪律约束、作息管理和行为引导。</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（4）对外来人员及可疑的出入公寓者，主动进行查询登记，发现疑点立即报告处理。有效管控师生财物安全，监控大件物品进出各出入口情况，做好进出登记。</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（5）维护公寓的正常生活秩序，劝导督促学生遵守学校规定，按照相关规定作息，对于不遵守规定的及时登记并上报，及时清理超时探访人员。</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（6）负责假期公寓管理，同时做好毕业生离校手续及迎接新生的工作。根据甲方需求做好其它相关宿舍管理服务工作。</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（7）协助学校对公寓进行门禁管理、安全巡查工作,及时反馈处理对物业维修、电梯及清洁服务管理的投诉问题。</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（8）每天对学生公寓公共区域进行检查，确保清除消防及安全隐患并作好相关记录，及时清查活动张贴栏、杜绝擅自摆摊。</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（9）定期配合学校相关部门对学生公寓进行安全及卫生大检查。</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（10）发现异常情况，突发事件应急处理及时向相关主管部门汇报。</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（11）负责宿舍热水系统、电控系统、消防系统、监控系统、门禁系统的日常使用和维护管理。</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（12）负责核查宿舍实际住宿人员与住宿名单是否相符。</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（13）检查宿舍内学生违规用电、违反作息纪律等行为。</w:t>
      </w:r>
    </w:p>
    <w:p>
      <w:pPr>
        <w:spacing w:line="360" w:lineRule="auto"/>
        <w:ind w:firstLine="420" w:firstLineChars="200"/>
        <w:rPr>
          <w:rFonts w:asciiTheme="minorEastAsia" w:eastAsiaTheme="minorEastAsia" w:hAnsiTheme="minorEastAsia" w:hint="eastAsia"/>
          <w:szCs w:val="21"/>
          <w:lang w:val="zh-CN"/>
        </w:rPr>
      </w:pPr>
      <w:r>
        <w:rPr>
          <w:rFonts w:asciiTheme="minorEastAsia" w:eastAsiaTheme="minorEastAsia" w:hAnsiTheme="minorEastAsia"/>
          <w:szCs w:val="21"/>
        </w:rPr>
        <w:t>9</w:t>
      </w:r>
      <w:r>
        <w:rPr>
          <w:rFonts w:asciiTheme="minorEastAsia" w:eastAsiaTheme="minorEastAsia" w:hAnsiTheme="minorEastAsia" w:hint="eastAsia"/>
          <w:szCs w:val="21"/>
          <w:lang w:val="zh-CN"/>
        </w:rPr>
        <w:t>、安保服务</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（1）实行封闭式管理，主出入口 24 小时值岗。</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（2）有专业秩序维护队伍，实行 24 小时值班及巡逻制度；安保人员熟悉教学楼的环境， 文明值勤，训练有素，言语规范，认真负责。</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（3）明确巡视工作职责，规范巡视工作流程，制定相对固定的巡视路线。对重点区域、重点部位、重点设备机房按规定巡视并记录。发现违法、违章行为应及时制止。</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（4）巡视应使用巡更设备，在监控中心保持巡更记录。</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（5）收到中央监控室发出的指令后，巡视人员应及时到达，并采取相应措施。</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（6）巡视中发现各区域内的异常情况，应立即通知有关部门并在现场采取必要措施，随时准备启动相应的应急预案。</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（7）结合项目特点，制定安全防范措施,对学校领导办公区、重点实验室重点巡逻值守，随时提防突发事件的发生。</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（8）确保外来人员必须经安检通道进入大楼，以防危险物品（爆炸品、易燃品、管制刀具等）带入教学楼内。外来人员走出大楼后，若需再次进入大楼，应重新通过安检进入。</w:t>
      </w:r>
    </w:p>
    <w:p>
      <w:pPr>
        <w:spacing w:line="360" w:lineRule="auto"/>
        <w:ind w:firstLine="420" w:firstLineChars="200"/>
        <w:rPr>
          <w:rFonts w:asciiTheme="minorEastAsia" w:eastAsiaTheme="minorEastAsia" w:hAnsiTheme="minorEastAsia" w:hint="eastAsia"/>
          <w:szCs w:val="21"/>
          <w:lang w:val="zh-CN"/>
        </w:rPr>
      </w:pPr>
      <w:r>
        <w:rPr>
          <w:rFonts w:asciiTheme="minorEastAsia" w:eastAsiaTheme="minorEastAsia" w:hAnsiTheme="minorEastAsia"/>
          <w:szCs w:val="21"/>
        </w:rPr>
        <w:t>10</w:t>
      </w:r>
      <w:r>
        <w:rPr>
          <w:rFonts w:asciiTheme="minorEastAsia" w:eastAsiaTheme="minorEastAsia" w:hAnsiTheme="minorEastAsia" w:hint="eastAsia"/>
          <w:szCs w:val="21"/>
          <w:lang w:val="zh-CN"/>
        </w:rPr>
        <w:t>、安防监控与消防设备维保服务以及协助学校大型活动</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（1）实行 24 小时消防监控管理。</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（2）定期维护保养消防设施设备，确保设备正常运行。</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（3）做好消防防范和日常巡查工作，及时发现和处理各种安全事故隐患，迅速有效处置突发事件。</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（4）制定突发性火灾等应急处理方案，协助采购单位设立消防疏散示意图，紧急疏散通道畅通，照明设备、引路标志完好。</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（5）协助学校开闸大型校园活动，提供安全保障服务。</w:t>
      </w:r>
    </w:p>
    <w:p>
      <w:pPr>
        <w:spacing w:line="360" w:lineRule="auto"/>
        <w:ind w:firstLine="420" w:firstLineChars="200"/>
        <w:rPr>
          <w:rFonts w:asciiTheme="minorEastAsia" w:eastAsiaTheme="minorEastAsia" w:hAnsiTheme="minorEastAsia" w:hint="eastAsia"/>
          <w:szCs w:val="21"/>
          <w:lang w:val="zh-CN"/>
        </w:rPr>
      </w:pPr>
      <w:r>
        <w:rPr>
          <w:rFonts w:asciiTheme="minorEastAsia" w:eastAsiaTheme="minorEastAsia" w:hAnsiTheme="minorEastAsia"/>
          <w:szCs w:val="21"/>
        </w:rPr>
        <w:t>11</w:t>
      </w:r>
      <w:r>
        <w:rPr>
          <w:rFonts w:asciiTheme="minorEastAsia" w:eastAsiaTheme="minorEastAsia" w:hAnsiTheme="minorEastAsia" w:hint="eastAsia"/>
          <w:szCs w:val="21"/>
          <w:lang w:val="zh-CN"/>
        </w:rPr>
        <w:t>、零星搬运</w:t>
      </w:r>
    </w:p>
    <w:p>
      <w:pPr>
        <w:ind w:firstLine="420" w:firstLineChars="200"/>
      </w:pPr>
      <w:r>
        <w:rPr>
          <w:rFonts w:asciiTheme="minorEastAsia" w:eastAsiaTheme="minorEastAsia" w:hAnsiTheme="minorEastAsia" w:hint="eastAsia"/>
          <w:szCs w:val="21"/>
          <w:lang w:val="zh-CN" w:bidi="zh-CN"/>
        </w:rPr>
        <w:t>负责按时完成甲方要求的校内小型及零星搬迁服务。配合学校迎新、毕业生离校及假期管理、如秩序维护、清洁、物品搬运。</w:t>
      </w:r>
    </w:p>
    <w:p>
      <w:pPr>
        <w:spacing w:line="360" w:lineRule="auto"/>
        <w:ind w:firstLine="420" w:firstLineChars="200"/>
        <w:rPr>
          <w:rFonts w:asciiTheme="minorEastAsia" w:eastAsiaTheme="minorEastAsia" w:hAnsiTheme="minorEastAsia" w:hint="eastAsia"/>
          <w:szCs w:val="21"/>
          <w:lang w:val="zh-CN"/>
        </w:rPr>
      </w:pPr>
      <w:r>
        <w:rPr>
          <w:rFonts w:asciiTheme="minorEastAsia" w:eastAsiaTheme="minorEastAsia" w:hAnsiTheme="minorEastAsia"/>
          <w:szCs w:val="21"/>
          <w:lang w:val="zh-CN"/>
        </w:rPr>
        <w:t>12</w:t>
      </w:r>
      <w:r>
        <w:rPr>
          <w:rFonts w:asciiTheme="minorEastAsia" w:eastAsiaTheme="minorEastAsia" w:hAnsiTheme="minorEastAsia" w:hint="eastAsia"/>
          <w:szCs w:val="21"/>
          <w:lang w:val="zh-CN"/>
        </w:rPr>
        <w:t>、</w:t>
      </w:r>
      <w:bookmarkStart w:id="40" w:name="OLE_LINK7"/>
      <w:r>
        <w:rPr>
          <w:rFonts w:asciiTheme="minorEastAsia" w:eastAsiaTheme="minorEastAsia" w:hAnsiTheme="minorEastAsia" w:hint="eastAsia"/>
          <w:szCs w:val="21"/>
          <w:lang w:val="zh-CN"/>
        </w:rPr>
        <w:t>污水</w:t>
      </w:r>
      <w:bookmarkEnd w:id="40"/>
      <w:r>
        <w:rPr>
          <w:rFonts w:asciiTheme="minorEastAsia" w:eastAsiaTheme="minorEastAsia" w:hAnsiTheme="minorEastAsia" w:hint="eastAsia"/>
          <w:szCs w:val="21"/>
          <w:lang w:val="zh-CN"/>
        </w:rPr>
        <w:t>站管理及垃圾清运</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w:t>
      </w:r>
      <w:r>
        <w:rPr>
          <w:rFonts w:asciiTheme="minorEastAsia" w:eastAsiaTheme="minorEastAsia" w:hAnsiTheme="minorEastAsia"/>
          <w:szCs w:val="21"/>
          <w:lang w:val="zh-CN" w:bidi="zh-CN"/>
        </w:rPr>
        <w:t>1</w:t>
      </w:r>
      <w:r>
        <w:rPr>
          <w:rFonts w:asciiTheme="minorEastAsia" w:eastAsiaTheme="minorEastAsia" w:hAnsiTheme="minorEastAsia" w:hint="eastAsia"/>
          <w:szCs w:val="21"/>
          <w:lang w:val="zh-CN" w:bidi="zh-CN"/>
        </w:rPr>
        <w:t>）污水站一体化设备池、风机、计量泵、出水阀门、多介质过滤器、电控系统等主要设备设施巡查，确保污水站设施正常运转，空间环境整洁。</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w:t>
      </w:r>
      <w:r>
        <w:rPr>
          <w:rFonts w:asciiTheme="minorEastAsia" w:eastAsiaTheme="minorEastAsia" w:hAnsiTheme="minorEastAsia"/>
          <w:szCs w:val="21"/>
          <w:lang w:val="zh-CN" w:bidi="zh-CN"/>
        </w:rPr>
        <w:t>2</w:t>
      </w:r>
      <w:r>
        <w:rPr>
          <w:rFonts w:asciiTheme="minorEastAsia" w:eastAsiaTheme="minorEastAsia" w:hAnsiTheme="minorEastAsia" w:hint="eastAsia"/>
          <w:szCs w:val="21"/>
          <w:lang w:val="zh-CN" w:bidi="zh-CN"/>
        </w:rPr>
        <w:t>）发现污水站设施损坏应及时报学校相关部门进行维修，并跟进维修进度。</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w:t>
      </w:r>
      <w:r>
        <w:rPr>
          <w:rFonts w:asciiTheme="minorEastAsia" w:eastAsiaTheme="minorEastAsia" w:hAnsiTheme="minorEastAsia"/>
          <w:szCs w:val="21"/>
          <w:lang w:val="zh-CN" w:bidi="zh-CN"/>
        </w:rPr>
        <w:t>3</w:t>
      </w:r>
      <w:r>
        <w:rPr>
          <w:rFonts w:asciiTheme="minorEastAsia" w:eastAsiaTheme="minorEastAsia" w:hAnsiTheme="minorEastAsia" w:hint="eastAsia"/>
          <w:szCs w:val="21"/>
          <w:lang w:val="zh-CN" w:bidi="zh-CN"/>
        </w:rPr>
        <w:t>）配合学校相关部门的污水检测工作，确保污水排放工作正常进行。</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w:t>
      </w:r>
      <w:r>
        <w:rPr>
          <w:rFonts w:asciiTheme="minorEastAsia" w:eastAsiaTheme="minorEastAsia" w:hAnsiTheme="minorEastAsia"/>
          <w:szCs w:val="21"/>
          <w:lang w:val="zh-CN" w:bidi="zh-CN"/>
        </w:rPr>
        <w:t>4</w:t>
      </w:r>
      <w:r>
        <w:rPr>
          <w:rFonts w:asciiTheme="minorEastAsia" w:eastAsiaTheme="minorEastAsia" w:hAnsiTheme="minorEastAsia" w:hint="eastAsia"/>
          <w:szCs w:val="21"/>
          <w:lang w:val="zh-CN" w:bidi="zh-CN"/>
        </w:rPr>
        <w:t>）对服务范围内产生的生活垃圾</w:t>
      </w:r>
      <w:r>
        <w:rPr>
          <w:rFonts w:asciiTheme="minorEastAsia" w:eastAsiaTheme="minorEastAsia" w:hAnsiTheme="minorEastAsia"/>
          <w:szCs w:val="21"/>
          <w:lang w:val="zh-CN" w:bidi="zh-CN"/>
        </w:rPr>
        <w:t>(</w:t>
      </w:r>
      <w:r>
        <w:rPr>
          <w:rFonts w:asciiTheme="minorEastAsia" w:eastAsiaTheme="minorEastAsia" w:hAnsiTheme="minorEastAsia" w:hint="eastAsia"/>
          <w:szCs w:val="21"/>
          <w:lang w:val="zh-CN" w:bidi="zh-CN"/>
        </w:rPr>
        <w:t>不含实验垃圾、建筑垃圾）分类处理后做好校内转运、垃圾外运工作。</w:t>
      </w:r>
    </w:p>
    <w:p>
      <w:pPr>
        <w:widowControl/>
        <w:spacing w:line="360" w:lineRule="auto"/>
        <w:ind w:firstLine="420" w:firstLineChars="200"/>
        <w:jc w:val="left"/>
        <w:rPr>
          <w:rFonts w:asciiTheme="minorEastAsia" w:eastAsiaTheme="minorEastAsia" w:hAnsiTheme="minorEastAsia" w:hint="eastAsia"/>
          <w:b/>
          <w:bCs/>
          <w:szCs w:val="21"/>
          <w:lang w:val="zh-CN" w:bidi="zh-CN"/>
        </w:rPr>
      </w:pPr>
      <w:r>
        <w:rPr>
          <w:rFonts w:asciiTheme="minorEastAsia" w:eastAsiaTheme="minorEastAsia" w:hAnsiTheme="minorEastAsia" w:hint="eastAsia"/>
          <w:b/>
          <w:bCs/>
          <w:szCs w:val="21"/>
          <w:lang w:val="zh-CN" w:bidi="zh-CN"/>
        </w:rPr>
        <w:t>附件</w:t>
      </w:r>
      <w:r>
        <w:rPr>
          <w:rFonts w:asciiTheme="minorEastAsia" w:eastAsiaTheme="minorEastAsia" w:hAnsiTheme="minorEastAsia" w:hint="eastAsia"/>
          <w:b/>
          <w:bCs/>
          <w:szCs w:val="21"/>
          <w:lang w:bidi="zh-CN"/>
        </w:rPr>
        <w:t>1</w:t>
      </w:r>
      <w:r>
        <w:rPr>
          <w:rFonts w:asciiTheme="minorEastAsia" w:eastAsiaTheme="minorEastAsia" w:hAnsiTheme="minorEastAsia" w:hint="eastAsia"/>
          <w:b/>
          <w:bCs/>
          <w:szCs w:val="21"/>
          <w:lang w:val="zh-CN" w:bidi="zh-CN"/>
        </w:rPr>
        <w:t>《管理目标及分项标准》</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（一）管理目标</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1、设备运行完好率：100%</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2、房屋本体完好率：99.5%</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3、房屋零修、急修及时率：99%</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4、维修保养质量合格率：100%</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5、突发事件处理及时率：100%</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6、火灾发生率：1‰以下</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 xml:space="preserve">7、月有效投诉：≤1 </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8、投诉处理率：100%</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9、电梯年检合格率：100%</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10、设备维修及时率：100%</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11、顾客满意率：≥95%</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12、技术工作人员持证上岗率：100%</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13、环境卫生、消杀达标率为 95%</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14、大楼内治安案件发案率为零，无任何重大事故发生。</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15、管理人员培训合格率：100%</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16、杜绝重大设备事故及人身伤亡事故，轻伤频次 1‰以下。</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（二）管理标准</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1.基础管理</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（1）设备管理制度健全（安全运行操作规程、岗位职责、值班、管理、交接班制度、设备保养与检修规程等）。</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（2）各种设备的资料、说明书、合格证、检验证等齐全。</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（3）相关责任人（各班长）挂牌上墙，熟悉设备基本情况、性能、操作规程。</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（4）维修人员身体健康，无妨碍工作的疾病和缺陷。</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（5）相关的人员应取得有效的上岗证，熟悉教学楼布局，熟悉相应流程。</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（6）相关的维修保养、保洁、安防记录齐全。</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（7）设备运行、保养、维修后产生的固体废弃物、废油、废气的处理符合环保标准。</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（8）维修人员的维修操作程序符合职业健康安全要求、操作无安全隐患，空调机房、发电机房内的作业场所噪音控制在规定值内，否则，应给操作人员配备安全防噪设施。</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2.房屋本体管理与维修养护</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（1）要求：公共设施配套完好，无随意改变用途；设施设备运行，使用及维护按规定要求有记录，无事故隐患；排水、排污管道通畅，无堵塞外溢现象；道路通畅， 路面平整， 井盖无缺损，无丢失。供水设备、阀门、管道工作正常，无跑、冒、滴、漏现象。供电设备运行正常，路灯、楼道灯等公共照明设备完好。</w:t>
      </w:r>
    </w:p>
    <w:p>
      <w:pPr>
        <w:spacing w:line="360" w:lineRule="auto"/>
        <w:ind w:firstLine="420" w:firstLineChars="200"/>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（2）物业管理托管范围内的所有项目（含设备）的维修，单项单价1000元（含）以下，由中标方承担和实施；1000元以上的维修费用由采购方承担。</w:t>
      </w:r>
    </w:p>
    <w:p>
      <w:pPr>
        <w:spacing w:line="360" w:lineRule="auto"/>
        <w:rPr>
          <w:rFonts w:asciiTheme="minorEastAsia" w:eastAsiaTheme="minorEastAsia" w:hAnsiTheme="minorEastAsia" w:hint="eastAsia"/>
          <w:szCs w:val="21"/>
          <w:lang w:val="zh-CN" w:bidi="zh-CN"/>
        </w:rPr>
      </w:pPr>
      <w:r>
        <w:rPr>
          <w:rFonts w:asciiTheme="minorEastAsia" w:eastAsiaTheme="minorEastAsia" w:hAnsiTheme="minorEastAsia" w:hint="eastAsia"/>
          <w:szCs w:val="21"/>
          <w:lang w:val="zh-CN" w:bidi="zh-CN"/>
        </w:rPr>
        <w:t>（3）房屋本体维修与养护标准如下：</w:t>
      </w:r>
    </w:p>
    <w:tbl>
      <w:tblPr>
        <w:tblStyle w:val="TableNormal"/>
        <w:tblW w:w="5000" w:type="pc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top w:w="0" w:type="dxa"/>
          <w:left w:w="0" w:type="dxa"/>
          <w:bottom w:w="0" w:type="dxa"/>
          <w:right w:w="0" w:type="dxa"/>
        </w:tblCellMar>
      </w:tblPr>
      <w:tblGrid>
        <w:gridCol w:w="506"/>
        <w:gridCol w:w="572"/>
        <w:gridCol w:w="574"/>
        <w:gridCol w:w="1065"/>
        <w:gridCol w:w="2189"/>
        <w:gridCol w:w="2471"/>
        <w:gridCol w:w="966"/>
      </w:tblGrid>
      <w:tr>
        <w:tblPrEx>
          <w:tblW w:w="5000" w:type="pc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top w:w="0" w:type="dxa"/>
            <w:left w:w="0" w:type="dxa"/>
            <w:bottom w:w="0" w:type="dxa"/>
            <w:right w:w="0" w:type="dxa"/>
          </w:tblCellMar>
        </w:tblPrEx>
        <w:trPr>
          <w:trHeight w:val="821"/>
        </w:trPr>
        <w:tc>
          <w:tcPr>
            <w:tcW w:w="303" w:type="pct"/>
            <w:tcBorders>
              <w:bottom w:val="single" w:sz="4" w:space="0" w:color="000000"/>
              <w:right w:val="single" w:sz="4"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序号</w:t>
            </w:r>
          </w:p>
        </w:tc>
        <w:tc>
          <w:tcPr>
            <w:tcW w:w="687" w:type="pct"/>
            <w:gridSpan w:val="2"/>
            <w:tcBorders>
              <w:left w:val="single" w:sz="4" w:space="0" w:color="000000"/>
              <w:bottom w:val="single" w:sz="4" w:space="0" w:color="000000"/>
              <w:right w:val="single" w:sz="4"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项 目</w:t>
            </w:r>
          </w:p>
        </w:tc>
        <w:tc>
          <w:tcPr>
            <w:tcW w:w="638" w:type="pct"/>
            <w:tcBorders>
              <w:left w:val="single" w:sz="4" w:space="0" w:color="000000"/>
              <w:bottom w:val="single" w:sz="4" w:space="0" w:color="000000"/>
              <w:right w:val="single" w:sz="4"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周期</w:t>
            </w:r>
          </w:p>
        </w:tc>
        <w:tc>
          <w:tcPr>
            <w:tcW w:w="1312" w:type="pct"/>
            <w:tcBorders>
              <w:left w:val="single" w:sz="4" w:space="0" w:color="000000"/>
              <w:bottom w:val="single" w:sz="4" w:space="0" w:color="000000"/>
              <w:right w:val="single" w:sz="4"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维修养护、检查内容</w:t>
            </w:r>
          </w:p>
        </w:tc>
        <w:tc>
          <w:tcPr>
            <w:tcW w:w="1481" w:type="pct"/>
            <w:tcBorders>
              <w:left w:val="single" w:sz="4" w:space="0" w:color="000000"/>
              <w:bottom w:val="single" w:sz="4" w:space="0" w:color="000000"/>
              <w:right w:val="single" w:sz="4" w:space="0" w:color="000000"/>
            </w:tcBorders>
            <w:shd w:val="clear" w:color="auto" w:fill="E6E6E6"/>
            <w:vAlign w:val="center"/>
          </w:tcPr>
          <w:p>
            <w:pPr>
              <w:pStyle w:val="TableParagraph"/>
              <w:tabs>
                <w:tab w:val="left" w:pos="1116"/>
              </w:tabs>
              <w:spacing w:line="360" w:lineRule="auto"/>
              <w:jc w:val="center"/>
              <w:rPr>
                <w:rFonts w:hint="eastAsia"/>
                <w:b/>
                <w:sz w:val="20"/>
                <w:szCs w:val="20"/>
              </w:rPr>
            </w:pPr>
            <w:r>
              <w:rPr>
                <w:b/>
                <w:sz w:val="20"/>
                <w:szCs w:val="20"/>
              </w:rPr>
              <w:t>内</w:t>
            </w:r>
            <w:r>
              <w:rPr>
                <w:b/>
                <w:sz w:val="20"/>
                <w:szCs w:val="20"/>
              </w:rPr>
              <w:tab/>
            </w:r>
            <w:r>
              <w:rPr>
                <w:b/>
                <w:sz w:val="20"/>
                <w:szCs w:val="20"/>
              </w:rPr>
              <w:t>容</w:t>
            </w:r>
          </w:p>
        </w:tc>
        <w:tc>
          <w:tcPr>
            <w:tcW w:w="579" w:type="pct"/>
            <w:tcBorders>
              <w:left w:val="single" w:sz="4" w:space="0" w:color="000000"/>
              <w:bottom w:val="single" w:sz="4"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标准及实施效果</w:t>
            </w:r>
          </w:p>
        </w:tc>
      </w:tr>
      <w:tr>
        <w:tblPrEx>
          <w:tblW w:w="5000" w:type="pct"/>
          <w:tblInd w:w="-15" w:type="dxa"/>
          <w:tblCellMar>
            <w:top w:w="0" w:type="dxa"/>
            <w:left w:w="0" w:type="dxa"/>
            <w:bottom w:w="0" w:type="dxa"/>
            <w:right w:w="0" w:type="dxa"/>
          </w:tblCellMar>
        </w:tblPrEx>
        <w:trPr>
          <w:trHeight w:val="1122"/>
        </w:trPr>
        <w:tc>
          <w:tcPr>
            <w:tcW w:w="303" w:type="pct"/>
            <w:tcBorders>
              <w:top w:val="single" w:sz="4" w:space="0" w:color="000000"/>
              <w:bottom w:val="single" w:sz="4" w:space="0" w:color="000000"/>
              <w:right w:val="single" w:sz="4" w:space="0" w:color="000000"/>
            </w:tcBorders>
            <w:vAlign w:val="center"/>
          </w:tcPr>
          <w:p>
            <w:pPr>
              <w:spacing w:line="360" w:lineRule="auto"/>
              <w:jc w:val="center"/>
              <w:rPr>
                <w:rFonts w:ascii="宋体" w:hAnsi="宋体" w:hint="eastAsia"/>
                <w:sz w:val="20"/>
                <w:szCs w:val="20"/>
              </w:rPr>
            </w:pPr>
            <w:r>
              <w:rPr>
                <w:rFonts w:ascii="宋体" w:hAnsi="宋体"/>
                <w:sz w:val="20"/>
                <w:szCs w:val="20"/>
              </w:rPr>
              <w:t>1</w:t>
            </w:r>
          </w:p>
        </w:tc>
        <w:tc>
          <w:tcPr>
            <w:tcW w:w="687" w:type="pct"/>
            <w:gridSpan w:val="2"/>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地基基础</w:t>
            </w:r>
          </w:p>
        </w:tc>
        <w:tc>
          <w:tcPr>
            <w:tcW w:w="638"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每年</w:t>
            </w:r>
          </w:p>
        </w:tc>
        <w:tc>
          <w:tcPr>
            <w:tcW w:w="1312"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1.检查地基有无超过允许 范围的不均匀沉降。</w:t>
            </w:r>
          </w:p>
          <w:p>
            <w:pPr>
              <w:pStyle w:val="TableParagraph"/>
              <w:spacing w:line="360" w:lineRule="auto"/>
              <w:jc w:val="both"/>
              <w:rPr>
                <w:rFonts w:hint="eastAsia"/>
                <w:sz w:val="20"/>
                <w:szCs w:val="20"/>
              </w:rPr>
            </w:pPr>
            <w:r>
              <w:rPr>
                <w:sz w:val="20"/>
                <w:szCs w:val="20"/>
              </w:rPr>
              <w:t>2.检查基础有无开裂、破损， 勒脚有无破损。</w:t>
            </w:r>
          </w:p>
        </w:tc>
        <w:tc>
          <w:tcPr>
            <w:tcW w:w="1481"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请专业单位对地基基础进行专门检测。</w:t>
            </w:r>
          </w:p>
        </w:tc>
        <w:tc>
          <w:tcPr>
            <w:tcW w:w="579" w:type="pct"/>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及 时 发现问题， 予 以 尽早解决。</w:t>
            </w:r>
          </w:p>
        </w:tc>
      </w:tr>
      <w:tr>
        <w:tblPrEx>
          <w:tblW w:w="5000" w:type="pct"/>
          <w:tblInd w:w="-15" w:type="dxa"/>
          <w:tblCellMar>
            <w:top w:w="0" w:type="dxa"/>
            <w:left w:w="0" w:type="dxa"/>
            <w:bottom w:w="0" w:type="dxa"/>
            <w:right w:w="0" w:type="dxa"/>
          </w:tblCellMar>
        </w:tblPrEx>
        <w:trPr>
          <w:trHeight w:val="860"/>
        </w:trPr>
        <w:tc>
          <w:tcPr>
            <w:tcW w:w="303" w:type="pct"/>
            <w:vMerge w:val="restart"/>
            <w:tcBorders>
              <w:top w:val="single" w:sz="4" w:space="0" w:color="000000"/>
              <w:bottom w:val="single" w:sz="4" w:space="0" w:color="000000"/>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2</w:t>
            </w:r>
          </w:p>
        </w:tc>
        <w:tc>
          <w:tcPr>
            <w:tcW w:w="343" w:type="pct"/>
            <w:vMerge w:val="restar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承重结构</w:t>
            </w:r>
          </w:p>
        </w:tc>
        <w:tc>
          <w:tcPr>
            <w:tcW w:w="343" w:type="pct"/>
            <w:vMerge w:val="restar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梁</w:t>
            </w:r>
          </w:p>
        </w:tc>
        <w:tc>
          <w:tcPr>
            <w:tcW w:w="638"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每季检查一次</w:t>
            </w:r>
          </w:p>
        </w:tc>
        <w:tc>
          <w:tcPr>
            <w:tcW w:w="1312" w:type="pct"/>
            <w:tcBorders>
              <w:top w:val="single" w:sz="4" w:space="0" w:color="000000"/>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检查有无变形、裂缝、腐蚀</w:t>
            </w:r>
          </w:p>
        </w:tc>
        <w:tc>
          <w:tcPr>
            <w:tcW w:w="1481" w:type="pct"/>
            <w:vMerge w:val="restart"/>
            <w:tcBorders>
              <w:top w:val="single" w:sz="4" w:space="0" w:color="000000"/>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结构局部受损较轻， 按房屋修缮</w:t>
            </w:r>
            <w:r>
              <w:rPr>
                <w:rFonts w:ascii="等线" w:hAnsi="等线" w:hint="eastAsia"/>
                <w:sz w:val="20"/>
                <w:szCs w:val="20"/>
              </w:rPr>
              <w:t>相关</w:t>
            </w:r>
            <w:r>
              <w:rPr>
                <w:rFonts w:ascii="等线" w:hAnsi="等线"/>
                <w:sz w:val="20"/>
                <w:szCs w:val="20"/>
              </w:rPr>
              <w:t xml:space="preserve">规定实施维修。结构局部受损较重， </w:t>
            </w:r>
            <w:r>
              <w:rPr>
                <w:rFonts w:ascii="等线" w:hAnsi="等线" w:hint="eastAsia"/>
                <w:sz w:val="20"/>
                <w:szCs w:val="20"/>
              </w:rPr>
              <w:t>需进行工程</w:t>
            </w:r>
            <w:r>
              <w:rPr>
                <w:rFonts w:ascii="等线" w:hAnsi="等线"/>
                <w:sz w:val="20"/>
                <w:szCs w:val="20"/>
              </w:rPr>
              <w:t>会诊，提出方案，报批准后，由专业队伍实施</w:t>
            </w:r>
            <w:r>
              <w:rPr>
                <w:rFonts w:ascii="等线" w:hAnsi="等线" w:hint="eastAsia"/>
                <w:sz w:val="20"/>
                <w:szCs w:val="20"/>
              </w:rPr>
              <w:t>；</w:t>
            </w:r>
            <w:r>
              <w:rPr>
                <w:rFonts w:ascii="等线" w:hAnsi="等线"/>
                <w:sz w:val="20"/>
                <w:szCs w:val="20"/>
              </w:rPr>
              <w:t>因施工质量造成的结构问题，</w:t>
            </w:r>
            <w:r>
              <w:rPr>
                <w:rFonts w:ascii="等线" w:hAnsi="等线" w:hint="eastAsia"/>
                <w:sz w:val="20"/>
                <w:szCs w:val="20"/>
              </w:rPr>
              <w:t>联系</w:t>
            </w:r>
            <w:r>
              <w:rPr>
                <w:rFonts w:ascii="等线" w:hAnsi="等线"/>
                <w:sz w:val="20"/>
                <w:szCs w:val="20"/>
              </w:rPr>
              <w:t>开发单位处理。 以下维修均按上述原则执行。</w:t>
            </w:r>
          </w:p>
        </w:tc>
        <w:tc>
          <w:tcPr>
            <w:tcW w:w="579" w:type="pct"/>
            <w:vMerge w:val="restart"/>
            <w:tcBorders>
              <w:top w:val="single" w:sz="4" w:space="0" w:color="000000"/>
              <w:left w:val="single" w:sz="4" w:space="0" w:color="000000"/>
              <w:bottom w:val="single" w:sz="4" w:space="0" w:color="000000"/>
            </w:tcBorders>
            <w:vAlign w:val="center"/>
          </w:tcPr>
          <w:p>
            <w:pPr>
              <w:spacing w:line="360" w:lineRule="auto"/>
              <w:jc w:val="center"/>
              <w:rPr>
                <w:rFonts w:ascii="等线" w:hAnsi="等线" w:hint="eastAsia"/>
                <w:sz w:val="20"/>
                <w:szCs w:val="20"/>
              </w:rPr>
            </w:pPr>
            <w:r>
              <w:rPr>
                <w:rFonts w:ascii="等线" w:hAnsi="等线"/>
                <w:sz w:val="20"/>
                <w:szCs w:val="20"/>
              </w:rPr>
              <w:t>安 全 牢固，正常使用，功 能 正常。</w:t>
            </w:r>
          </w:p>
        </w:tc>
      </w:tr>
      <w:tr>
        <w:tblPrEx>
          <w:tblW w:w="5000" w:type="pct"/>
          <w:tblInd w:w="-15" w:type="dxa"/>
          <w:tblCellMar>
            <w:top w:w="0" w:type="dxa"/>
            <w:left w:w="0" w:type="dxa"/>
            <w:bottom w:w="0" w:type="dxa"/>
            <w:right w:w="0" w:type="dxa"/>
          </w:tblCellMar>
        </w:tblPrEx>
        <w:trPr>
          <w:trHeight w:val="857"/>
        </w:trPr>
        <w:tc>
          <w:tcPr>
            <w:tcW w:w="303" w:type="pct"/>
            <w:vMerge/>
            <w:tcBorders>
              <w:top w:val="nil"/>
              <w:bottom w:val="single" w:sz="4" w:space="0" w:color="000000"/>
              <w:right w:val="single" w:sz="4" w:space="0" w:color="000000"/>
            </w:tcBorders>
            <w:vAlign w:val="center"/>
          </w:tcPr>
          <w:p>
            <w:pPr>
              <w:spacing w:line="360" w:lineRule="auto"/>
              <w:rPr>
                <w:rFonts w:ascii="等线" w:hAnsi="等线" w:hint="eastAsia"/>
                <w:sz w:val="20"/>
                <w:szCs w:val="20"/>
              </w:rPr>
            </w:pPr>
          </w:p>
        </w:tc>
        <w:tc>
          <w:tcPr>
            <w:tcW w:w="343" w:type="pct"/>
            <w:vMerge/>
            <w:tcBorders>
              <w:top w:val="nil"/>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p>
        </w:tc>
        <w:tc>
          <w:tcPr>
            <w:tcW w:w="343" w:type="pct"/>
            <w:vMerge/>
            <w:tcBorders>
              <w:top w:val="nil"/>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p>
        </w:tc>
        <w:tc>
          <w:tcPr>
            <w:tcW w:w="638"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每年检查一次</w:t>
            </w:r>
          </w:p>
        </w:tc>
        <w:tc>
          <w:tcPr>
            <w:tcW w:w="1312" w:type="pct"/>
            <w:tcBorders>
              <w:top w:val="single" w:sz="4" w:space="0" w:color="000000"/>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检查罄体结构性能是否完好</w:t>
            </w:r>
          </w:p>
        </w:tc>
        <w:tc>
          <w:tcPr>
            <w:tcW w:w="1481" w:type="pct"/>
            <w:vMerge/>
            <w:tcBorders>
              <w:top w:val="nil"/>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p>
        </w:tc>
        <w:tc>
          <w:tcPr>
            <w:tcW w:w="579" w:type="pct"/>
            <w:vMerge/>
            <w:tcBorders>
              <w:top w:val="nil"/>
              <w:left w:val="single" w:sz="4" w:space="0" w:color="000000"/>
              <w:bottom w:val="single" w:sz="4" w:space="0" w:color="000000"/>
            </w:tcBorders>
            <w:vAlign w:val="center"/>
          </w:tcPr>
          <w:p>
            <w:pPr>
              <w:spacing w:line="360" w:lineRule="auto"/>
              <w:rPr>
                <w:rFonts w:ascii="等线" w:hAnsi="等线" w:hint="eastAsia"/>
                <w:sz w:val="20"/>
                <w:szCs w:val="20"/>
              </w:rPr>
            </w:pPr>
          </w:p>
        </w:tc>
      </w:tr>
      <w:tr>
        <w:tblPrEx>
          <w:tblW w:w="5000" w:type="pct"/>
          <w:tblInd w:w="-15" w:type="dxa"/>
          <w:tblCellMar>
            <w:top w:w="0" w:type="dxa"/>
            <w:left w:w="0" w:type="dxa"/>
            <w:bottom w:w="0" w:type="dxa"/>
            <w:right w:w="0" w:type="dxa"/>
          </w:tblCellMar>
        </w:tblPrEx>
        <w:trPr>
          <w:trHeight w:val="667"/>
        </w:trPr>
        <w:tc>
          <w:tcPr>
            <w:tcW w:w="303" w:type="pct"/>
            <w:vMerge/>
            <w:tcBorders>
              <w:top w:val="nil"/>
              <w:bottom w:val="single" w:sz="4" w:space="0" w:color="000000"/>
              <w:right w:val="single" w:sz="4" w:space="0" w:color="000000"/>
            </w:tcBorders>
            <w:vAlign w:val="center"/>
          </w:tcPr>
          <w:p>
            <w:pPr>
              <w:spacing w:line="360" w:lineRule="auto"/>
              <w:rPr>
                <w:rFonts w:ascii="等线" w:hAnsi="等线" w:hint="eastAsia"/>
                <w:sz w:val="20"/>
                <w:szCs w:val="20"/>
              </w:rPr>
            </w:pPr>
          </w:p>
        </w:tc>
        <w:tc>
          <w:tcPr>
            <w:tcW w:w="343" w:type="pct"/>
            <w:vMerge/>
            <w:tcBorders>
              <w:top w:val="nil"/>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p>
        </w:tc>
        <w:tc>
          <w:tcPr>
            <w:tcW w:w="343" w:type="pct"/>
            <w:vMerge w:val="restar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板</w:t>
            </w:r>
          </w:p>
        </w:tc>
        <w:tc>
          <w:tcPr>
            <w:tcW w:w="638"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每季检查一次</w:t>
            </w:r>
          </w:p>
        </w:tc>
        <w:tc>
          <w:tcPr>
            <w:tcW w:w="1312" w:type="pct"/>
            <w:tcBorders>
              <w:top w:val="single" w:sz="4" w:space="0" w:color="000000"/>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检查有无弯曲变形、裂缝、腐蚀</w:t>
            </w:r>
          </w:p>
        </w:tc>
        <w:tc>
          <w:tcPr>
            <w:tcW w:w="1481" w:type="pct"/>
            <w:vMerge/>
            <w:tcBorders>
              <w:top w:val="nil"/>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p>
        </w:tc>
        <w:tc>
          <w:tcPr>
            <w:tcW w:w="579" w:type="pct"/>
            <w:vMerge/>
            <w:tcBorders>
              <w:top w:val="nil"/>
              <w:left w:val="single" w:sz="4" w:space="0" w:color="000000"/>
              <w:bottom w:val="single" w:sz="4" w:space="0" w:color="000000"/>
            </w:tcBorders>
            <w:vAlign w:val="center"/>
          </w:tcPr>
          <w:p>
            <w:pPr>
              <w:spacing w:line="360" w:lineRule="auto"/>
              <w:rPr>
                <w:rFonts w:ascii="等线" w:hAnsi="等线" w:hint="eastAsia"/>
                <w:sz w:val="20"/>
                <w:szCs w:val="20"/>
              </w:rPr>
            </w:pPr>
          </w:p>
        </w:tc>
      </w:tr>
      <w:tr>
        <w:tblPrEx>
          <w:tblW w:w="5000" w:type="pct"/>
          <w:tblInd w:w="-15" w:type="dxa"/>
          <w:tblCellMar>
            <w:top w:w="0" w:type="dxa"/>
            <w:left w:w="0" w:type="dxa"/>
            <w:bottom w:w="0" w:type="dxa"/>
            <w:right w:w="0" w:type="dxa"/>
          </w:tblCellMar>
        </w:tblPrEx>
        <w:trPr>
          <w:trHeight w:val="857"/>
        </w:trPr>
        <w:tc>
          <w:tcPr>
            <w:tcW w:w="303" w:type="pct"/>
            <w:vMerge/>
            <w:tcBorders>
              <w:top w:val="nil"/>
              <w:bottom w:val="single" w:sz="4" w:space="0" w:color="000000"/>
              <w:right w:val="single" w:sz="4" w:space="0" w:color="000000"/>
            </w:tcBorders>
            <w:vAlign w:val="center"/>
          </w:tcPr>
          <w:p>
            <w:pPr>
              <w:spacing w:line="360" w:lineRule="auto"/>
              <w:rPr>
                <w:rFonts w:ascii="等线" w:hAnsi="等线" w:hint="eastAsia"/>
                <w:sz w:val="20"/>
                <w:szCs w:val="20"/>
              </w:rPr>
            </w:pPr>
          </w:p>
        </w:tc>
        <w:tc>
          <w:tcPr>
            <w:tcW w:w="343" w:type="pct"/>
            <w:vMerge/>
            <w:tcBorders>
              <w:top w:val="nil"/>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p>
        </w:tc>
        <w:tc>
          <w:tcPr>
            <w:tcW w:w="343" w:type="pct"/>
            <w:vMerge/>
            <w:tcBorders>
              <w:top w:val="nil"/>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p>
        </w:tc>
        <w:tc>
          <w:tcPr>
            <w:tcW w:w="638"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每年检查一次</w:t>
            </w:r>
          </w:p>
        </w:tc>
        <w:tc>
          <w:tcPr>
            <w:tcW w:w="1312" w:type="pct"/>
            <w:tcBorders>
              <w:top w:val="single" w:sz="4" w:space="0" w:color="000000"/>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检查整体结构性能是否完好</w:t>
            </w:r>
          </w:p>
        </w:tc>
        <w:tc>
          <w:tcPr>
            <w:tcW w:w="1481" w:type="pct"/>
            <w:vMerge/>
            <w:tcBorders>
              <w:top w:val="nil"/>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p>
        </w:tc>
        <w:tc>
          <w:tcPr>
            <w:tcW w:w="579" w:type="pct"/>
            <w:vMerge/>
            <w:tcBorders>
              <w:top w:val="nil"/>
              <w:left w:val="single" w:sz="4" w:space="0" w:color="000000"/>
              <w:bottom w:val="single" w:sz="4" w:space="0" w:color="000000"/>
            </w:tcBorders>
            <w:vAlign w:val="center"/>
          </w:tcPr>
          <w:p>
            <w:pPr>
              <w:spacing w:line="360" w:lineRule="auto"/>
              <w:rPr>
                <w:rFonts w:ascii="等线" w:hAnsi="等线" w:hint="eastAsia"/>
                <w:sz w:val="20"/>
                <w:szCs w:val="20"/>
              </w:rPr>
            </w:pPr>
          </w:p>
        </w:tc>
      </w:tr>
      <w:tr>
        <w:tblPrEx>
          <w:tblW w:w="5000" w:type="pct"/>
          <w:tblInd w:w="-15" w:type="dxa"/>
          <w:tblCellMar>
            <w:top w:w="0" w:type="dxa"/>
            <w:left w:w="0" w:type="dxa"/>
            <w:bottom w:w="0" w:type="dxa"/>
            <w:right w:w="0" w:type="dxa"/>
          </w:tblCellMar>
        </w:tblPrEx>
        <w:trPr>
          <w:trHeight w:val="637"/>
        </w:trPr>
        <w:tc>
          <w:tcPr>
            <w:tcW w:w="303" w:type="pct"/>
            <w:vMerge/>
            <w:tcBorders>
              <w:top w:val="nil"/>
              <w:bottom w:val="single" w:sz="4" w:space="0" w:color="000000"/>
              <w:right w:val="single" w:sz="4" w:space="0" w:color="000000"/>
            </w:tcBorders>
            <w:vAlign w:val="center"/>
          </w:tcPr>
          <w:p>
            <w:pPr>
              <w:spacing w:line="360" w:lineRule="auto"/>
              <w:rPr>
                <w:rFonts w:ascii="等线" w:hAnsi="等线" w:hint="eastAsia"/>
                <w:sz w:val="20"/>
                <w:szCs w:val="20"/>
              </w:rPr>
            </w:pPr>
          </w:p>
        </w:tc>
        <w:tc>
          <w:tcPr>
            <w:tcW w:w="343" w:type="pct"/>
            <w:vMerge/>
            <w:tcBorders>
              <w:top w:val="nil"/>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p>
        </w:tc>
        <w:tc>
          <w:tcPr>
            <w:tcW w:w="343" w:type="pct"/>
            <w:vMerge w:val="restar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柱</w:t>
            </w:r>
          </w:p>
        </w:tc>
        <w:tc>
          <w:tcPr>
            <w:tcW w:w="638"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每季检查一次</w:t>
            </w:r>
          </w:p>
        </w:tc>
        <w:tc>
          <w:tcPr>
            <w:tcW w:w="1312" w:type="pct"/>
            <w:tcBorders>
              <w:top w:val="single" w:sz="4" w:space="0" w:color="000000"/>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检查有无倾斜，变形、裂缝、蚀</w:t>
            </w:r>
          </w:p>
        </w:tc>
        <w:tc>
          <w:tcPr>
            <w:tcW w:w="1481" w:type="pct"/>
            <w:vMerge/>
            <w:tcBorders>
              <w:top w:val="nil"/>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p>
        </w:tc>
        <w:tc>
          <w:tcPr>
            <w:tcW w:w="579" w:type="pct"/>
            <w:vMerge/>
            <w:tcBorders>
              <w:top w:val="nil"/>
              <w:left w:val="single" w:sz="4" w:space="0" w:color="000000"/>
              <w:bottom w:val="single" w:sz="4" w:space="0" w:color="000000"/>
            </w:tcBorders>
            <w:vAlign w:val="center"/>
          </w:tcPr>
          <w:p>
            <w:pPr>
              <w:spacing w:line="360" w:lineRule="auto"/>
              <w:rPr>
                <w:rFonts w:ascii="等线" w:hAnsi="等线" w:hint="eastAsia"/>
                <w:sz w:val="20"/>
                <w:szCs w:val="20"/>
              </w:rPr>
            </w:pPr>
          </w:p>
        </w:tc>
      </w:tr>
      <w:tr>
        <w:tblPrEx>
          <w:tblW w:w="5000" w:type="pct"/>
          <w:tblInd w:w="-15" w:type="dxa"/>
          <w:tblCellMar>
            <w:top w:w="0" w:type="dxa"/>
            <w:left w:w="0" w:type="dxa"/>
            <w:bottom w:w="0" w:type="dxa"/>
            <w:right w:w="0" w:type="dxa"/>
          </w:tblCellMar>
        </w:tblPrEx>
        <w:trPr>
          <w:trHeight w:val="860"/>
        </w:trPr>
        <w:tc>
          <w:tcPr>
            <w:tcW w:w="303" w:type="pct"/>
            <w:vMerge/>
            <w:tcBorders>
              <w:top w:val="nil"/>
              <w:bottom w:val="single" w:sz="4" w:space="0" w:color="000000"/>
              <w:right w:val="single" w:sz="4" w:space="0" w:color="000000"/>
            </w:tcBorders>
            <w:vAlign w:val="center"/>
          </w:tcPr>
          <w:p>
            <w:pPr>
              <w:spacing w:line="360" w:lineRule="auto"/>
              <w:rPr>
                <w:rFonts w:ascii="等线" w:hAnsi="等线" w:hint="eastAsia"/>
                <w:sz w:val="20"/>
                <w:szCs w:val="20"/>
              </w:rPr>
            </w:pPr>
          </w:p>
        </w:tc>
        <w:tc>
          <w:tcPr>
            <w:tcW w:w="343" w:type="pct"/>
            <w:vMerge/>
            <w:tcBorders>
              <w:top w:val="nil"/>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p>
        </w:tc>
        <w:tc>
          <w:tcPr>
            <w:tcW w:w="343" w:type="pct"/>
            <w:vMerge/>
            <w:tcBorders>
              <w:top w:val="nil"/>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p>
        </w:tc>
        <w:tc>
          <w:tcPr>
            <w:tcW w:w="638"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每年检查一次</w:t>
            </w:r>
          </w:p>
        </w:tc>
        <w:tc>
          <w:tcPr>
            <w:tcW w:w="1312" w:type="pct"/>
            <w:tcBorders>
              <w:top w:val="single" w:sz="4" w:space="0" w:color="000000"/>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检查整体结构性能是否完好</w:t>
            </w:r>
          </w:p>
        </w:tc>
        <w:tc>
          <w:tcPr>
            <w:tcW w:w="1481" w:type="pct"/>
            <w:vMerge/>
            <w:tcBorders>
              <w:top w:val="nil"/>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p>
        </w:tc>
        <w:tc>
          <w:tcPr>
            <w:tcW w:w="579" w:type="pct"/>
            <w:vMerge/>
            <w:tcBorders>
              <w:top w:val="nil"/>
              <w:left w:val="single" w:sz="4" w:space="0" w:color="000000"/>
              <w:bottom w:val="single" w:sz="4" w:space="0" w:color="000000"/>
            </w:tcBorders>
            <w:vAlign w:val="center"/>
          </w:tcPr>
          <w:p>
            <w:pPr>
              <w:spacing w:line="360" w:lineRule="auto"/>
              <w:rPr>
                <w:rFonts w:ascii="等线" w:hAnsi="等线" w:hint="eastAsia"/>
                <w:sz w:val="20"/>
                <w:szCs w:val="20"/>
              </w:rPr>
            </w:pPr>
          </w:p>
        </w:tc>
      </w:tr>
      <w:tr>
        <w:tblPrEx>
          <w:tblW w:w="5000" w:type="pct"/>
          <w:tblInd w:w="-15" w:type="dxa"/>
          <w:tblCellMar>
            <w:top w:w="0" w:type="dxa"/>
            <w:left w:w="0" w:type="dxa"/>
            <w:bottom w:w="0" w:type="dxa"/>
            <w:right w:w="0" w:type="dxa"/>
          </w:tblCellMar>
        </w:tblPrEx>
        <w:trPr>
          <w:trHeight w:val="606"/>
        </w:trPr>
        <w:tc>
          <w:tcPr>
            <w:tcW w:w="303" w:type="pct"/>
            <w:vMerge/>
            <w:tcBorders>
              <w:top w:val="nil"/>
              <w:bottom w:val="single" w:sz="4" w:space="0" w:color="000000"/>
              <w:right w:val="single" w:sz="4" w:space="0" w:color="000000"/>
            </w:tcBorders>
            <w:vAlign w:val="center"/>
          </w:tcPr>
          <w:p>
            <w:pPr>
              <w:spacing w:line="360" w:lineRule="auto"/>
              <w:rPr>
                <w:rFonts w:ascii="等线" w:hAnsi="等线" w:hint="eastAsia"/>
                <w:sz w:val="20"/>
                <w:szCs w:val="20"/>
              </w:rPr>
            </w:pPr>
          </w:p>
        </w:tc>
        <w:tc>
          <w:tcPr>
            <w:tcW w:w="343" w:type="pct"/>
            <w:vMerge/>
            <w:tcBorders>
              <w:top w:val="nil"/>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p>
        </w:tc>
        <w:tc>
          <w:tcPr>
            <w:tcW w:w="343" w:type="pct"/>
            <w:vMerge w:val="restar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承重墙</w:t>
            </w:r>
          </w:p>
        </w:tc>
        <w:tc>
          <w:tcPr>
            <w:tcW w:w="638"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每季检查一次</w:t>
            </w:r>
          </w:p>
        </w:tc>
        <w:tc>
          <w:tcPr>
            <w:tcW w:w="1312"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检查有无孔洞、裂缝、腐蚀</w:t>
            </w:r>
          </w:p>
        </w:tc>
        <w:tc>
          <w:tcPr>
            <w:tcW w:w="1481" w:type="pct"/>
            <w:vMerge/>
            <w:tcBorders>
              <w:top w:val="nil"/>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p>
        </w:tc>
        <w:tc>
          <w:tcPr>
            <w:tcW w:w="579" w:type="pct"/>
            <w:vMerge/>
            <w:tcBorders>
              <w:top w:val="nil"/>
              <w:left w:val="single" w:sz="4" w:space="0" w:color="000000"/>
              <w:bottom w:val="single" w:sz="4" w:space="0" w:color="000000"/>
            </w:tcBorders>
            <w:vAlign w:val="center"/>
          </w:tcPr>
          <w:p>
            <w:pPr>
              <w:spacing w:line="360" w:lineRule="auto"/>
              <w:rPr>
                <w:rFonts w:ascii="等线" w:hAnsi="等线" w:hint="eastAsia"/>
                <w:sz w:val="20"/>
                <w:szCs w:val="20"/>
              </w:rPr>
            </w:pPr>
          </w:p>
        </w:tc>
      </w:tr>
      <w:tr>
        <w:tblPrEx>
          <w:tblW w:w="5000" w:type="pct"/>
          <w:tblInd w:w="-15" w:type="dxa"/>
          <w:tblCellMar>
            <w:top w:w="0" w:type="dxa"/>
            <w:left w:w="0" w:type="dxa"/>
            <w:bottom w:w="0" w:type="dxa"/>
            <w:right w:w="0" w:type="dxa"/>
          </w:tblCellMar>
        </w:tblPrEx>
        <w:trPr>
          <w:trHeight w:val="591"/>
        </w:trPr>
        <w:tc>
          <w:tcPr>
            <w:tcW w:w="303" w:type="pct"/>
            <w:vMerge/>
            <w:tcBorders>
              <w:top w:val="nil"/>
              <w:bottom w:val="single" w:sz="4" w:space="0" w:color="000000"/>
              <w:right w:val="single" w:sz="4" w:space="0" w:color="000000"/>
            </w:tcBorders>
            <w:vAlign w:val="center"/>
          </w:tcPr>
          <w:p>
            <w:pPr>
              <w:spacing w:line="360" w:lineRule="auto"/>
              <w:rPr>
                <w:rFonts w:ascii="等线" w:hAnsi="等线" w:hint="eastAsia"/>
                <w:sz w:val="20"/>
                <w:szCs w:val="20"/>
              </w:rPr>
            </w:pPr>
          </w:p>
        </w:tc>
        <w:tc>
          <w:tcPr>
            <w:tcW w:w="343" w:type="pct"/>
            <w:vMerge/>
            <w:tcBorders>
              <w:top w:val="nil"/>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p>
        </w:tc>
        <w:tc>
          <w:tcPr>
            <w:tcW w:w="343" w:type="pct"/>
            <w:vMerge/>
            <w:tcBorders>
              <w:top w:val="nil"/>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p>
        </w:tc>
        <w:tc>
          <w:tcPr>
            <w:tcW w:w="638"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每年检查一次</w:t>
            </w:r>
          </w:p>
        </w:tc>
        <w:tc>
          <w:tcPr>
            <w:tcW w:w="1312"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检查整体结构性能是否完好</w:t>
            </w:r>
          </w:p>
        </w:tc>
        <w:tc>
          <w:tcPr>
            <w:tcW w:w="1481" w:type="pct"/>
            <w:vMerge/>
            <w:tcBorders>
              <w:top w:val="nil"/>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p>
        </w:tc>
        <w:tc>
          <w:tcPr>
            <w:tcW w:w="579" w:type="pct"/>
            <w:vMerge/>
            <w:tcBorders>
              <w:top w:val="nil"/>
              <w:left w:val="single" w:sz="4" w:space="0" w:color="000000"/>
              <w:bottom w:val="single" w:sz="4" w:space="0" w:color="000000"/>
            </w:tcBorders>
            <w:vAlign w:val="center"/>
          </w:tcPr>
          <w:p>
            <w:pPr>
              <w:spacing w:line="360" w:lineRule="auto"/>
              <w:rPr>
                <w:rFonts w:ascii="等线" w:hAnsi="等线" w:hint="eastAsia"/>
                <w:sz w:val="20"/>
                <w:szCs w:val="20"/>
              </w:rPr>
            </w:pPr>
          </w:p>
        </w:tc>
      </w:tr>
      <w:tr>
        <w:tblPrEx>
          <w:tblW w:w="5000" w:type="pct"/>
          <w:tblInd w:w="-15" w:type="dxa"/>
          <w:tblCellMar>
            <w:top w:w="0" w:type="dxa"/>
            <w:left w:w="0" w:type="dxa"/>
            <w:bottom w:w="0" w:type="dxa"/>
            <w:right w:w="0" w:type="dxa"/>
          </w:tblCellMar>
        </w:tblPrEx>
        <w:trPr>
          <w:trHeight w:val="716"/>
        </w:trPr>
        <w:tc>
          <w:tcPr>
            <w:tcW w:w="303" w:type="pct"/>
            <w:vMerge w:val="restart"/>
            <w:tcBorders>
              <w:top w:val="single" w:sz="4" w:space="0" w:color="000000"/>
              <w:bottom w:val="single" w:sz="4" w:space="0" w:color="000000"/>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3</w:t>
            </w:r>
          </w:p>
        </w:tc>
        <w:tc>
          <w:tcPr>
            <w:tcW w:w="687" w:type="pct"/>
            <w:gridSpan w:val="2"/>
            <w:vMerge w:val="restart"/>
            <w:tcBorders>
              <w:top w:val="single" w:sz="4" w:space="0" w:color="000000"/>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非承重墙</w:t>
            </w:r>
          </w:p>
        </w:tc>
        <w:tc>
          <w:tcPr>
            <w:tcW w:w="638" w:type="pct"/>
            <w:tcBorders>
              <w:top w:val="single" w:sz="4" w:space="0" w:color="000000"/>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每月巡查一次</w:t>
            </w:r>
          </w:p>
        </w:tc>
        <w:tc>
          <w:tcPr>
            <w:tcW w:w="1312" w:type="pct"/>
            <w:tcBorders>
              <w:top w:val="single" w:sz="4" w:space="0" w:color="000000"/>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检查墙体是否平直、有无裂缝、孔洞、风化等缺陷</w:t>
            </w:r>
          </w:p>
        </w:tc>
        <w:tc>
          <w:tcPr>
            <w:tcW w:w="1481" w:type="pct"/>
            <w:vMerge w:val="restart"/>
            <w:tcBorders>
              <w:top w:val="single" w:sz="4" w:space="0" w:color="000000"/>
              <w:left w:val="single" w:sz="4" w:space="0" w:color="000000"/>
              <w:bottom w:val="single" w:sz="4" w:space="0" w:color="000000"/>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发现问题及时维修。</w:t>
            </w:r>
          </w:p>
        </w:tc>
        <w:tc>
          <w:tcPr>
            <w:tcW w:w="579" w:type="pct"/>
            <w:vMerge w:val="restart"/>
            <w:tcBorders>
              <w:top w:val="single" w:sz="4" w:space="0" w:color="000000"/>
              <w:left w:val="single" w:sz="4" w:space="0" w:color="000000"/>
              <w:bottom w:val="single" w:sz="4" w:space="0" w:color="000000"/>
            </w:tcBorders>
            <w:vAlign w:val="center"/>
          </w:tcPr>
          <w:p>
            <w:pPr>
              <w:spacing w:line="360" w:lineRule="auto"/>
              <w:rPr>
                <w:rFonts w:ascii="等线" w:hAnsi="等线" w:hint="eastAsia"/>
                <w:sz w:val="20"/>
                <w:szCs w:val="20"/>
              </w:rPr>
            </w:pPr>
            <w:r>
              <w:rPr>
                <w:rFonts w:ascii="等线" w:hAnsi="等线"/>
                <w:sz w:val="20"/>
                <w:szCs w:val="20"/>
              </w:rPr>
              <w:t>墙体无裂 缝、孔洞、风化等缺陷。</w:t>
            </w:r>
          </w:p>
        </w:tc>
      </w:tr>
      <w:tr>
        <w:tblPrEx>
          <w:tblW w:w="5000" w:type="pct"/>
          <w:tblInd w:w="-15" w:type="dxa"/>
          <w:tblCellMar>
            <w:top w:w="0" w:type="dxa"/>
            <w:left w:w="0" w:type="dxa"/>
            <w:bottom w:w="0" w:type="dxa"/>
            <w:right w:w="0" w:type="dxa"/>
          </w:tblCellMar>
        </w:tblPrEx>
        <w:trPr>
          <w:trHeight w:val="702"/>
        </w:trPr>
        <w:tc>
          <w:tcPr>
            <w:tcW w:w="303" w:type="pct"/>
            <w:vMerge/>
            <w:tcBorders>
              <w:top w:val="nil"/>
              <w:bottom w:val="single" w:sz="4" w:space="0" w:color="auto"/>
              <w:right w:val="single" w:sz="4" w:space="0" w:color="000000"/>
            </w:tcBorders>
            <w:vAlign w:val="center"/>
          </w:tcPr>
          <w:p>
            <w:pPr>
              <w:spacing w:line="360" w:lineRule="auto"/>
              <w:rPr>
                <w:rFonts w:ascii="等线" w:hAnsi="等线" w:hint="eastAsia"/>
                <w:sz w:val="20"/>
                <w:szCs w:val="20"/>
              </w:rPr>
            </w:pPr>
          </w:p>
        </w:tc>
        <w:tc>
          <w:tcPr>
            <w:tcW w:w="687" w:type="pct"/>
            <w:gridSpan w:val="2"/>
            <w:vMerge/>
            <w:tcBorders>
              <w:top w:val="nil"/>
              <w:left w:val="single" w:sz="4" w:space="0" w:color="000000"/>
              <w:bottom w:val="single" w:sz="4" w:space="0" w:color="auto"/>
              <w:right w:val="single" w:sz="4" w:space="0" w:color="000000"/>
            </w:tcBorders>
            <w:vAlign w:val="center"/>
          </w:tcPr>
          <w:p>
            <w:pPr>
              <w:spacing w:line="360" w:lineRule="auto"/>
              <w:rPr>
                <w:rFonts w:ascii="等线" w:hAnsi="等线" w:hint="eastAsia"/>
                <w:sz w:val="20"/>
                <w:szCs w:val="20"/>
              </w:rPr>
            </w:pPr>
          </w:p>
        </w:tc>
        <w:tc>
          <w:tcPr>
            <w:tcW w:w="638" w:type="pct"/>
            <w:tcBorders>
              <w:top w:val="single" w:sz="4" w:space="0" w:color="000000"/>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cs="Times New Roman" w:hint="eastAsia"/>
                <w:kern w:val="2"/>
                <w:sz w:val="20"/>
                <w:szCs w:val="20"/>
                <w:lang w:val="en-US" w:bidi="ar-SA"/>
              </w:rPr>
            </w:pPr>
            <w:r>
              <w:rPr>
                <w:rFonts w:ascii="等线" w:hAnsi="等线" w:cs="Times New Roman"/>
                <w:kern w:val="2"/>
                <w:sz w:val="20"/>
                <w:szCs w:val="20"/>
                <w:lang w:val="en-US" w:bidi="ar-SA"/>
              </w:rPr>
              <w:t>每年巡查一次</w:t>
            </w:r>
          </w:p>
        </w:tc>
        <w:tc>
          <w:tcPr>
            <w:tcW w:w="1312" w:type="pct"/>
            <w:tcBorders>
              <w:top w:val="single" w:sz="4" w:space="0" w:color="000000"/>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cs="Times New Roman" w:hint="eastAsia"/>
                <w:kern w:val="2"/>
                <w:sz w:val="20"/>
                <w:szCs w:val="20"/>
                <w:lang w:val="en-US" w:bidi="ar-SA"/>
              </w:rPr>
            </w:pPr>
            <w:r>
              <w:rPr>
                <w:rFonts w:ascii="等线" w:hAnsi="等线" w:cs="Times New Roman"/>
                <w:kern w:val="2"/>
                <w:sz w:val="20"/>
                <w:szCs w:val="20"/>
                <w:lang w:val="en-US" w:bidi="ar-SA"/>
              </w:rPr>
              <w:t>检查墙体结构性能是否完好</w:t>
            </w:r>
          </w:p>
        </w:tc>
        <w:tc>
          <w:tcPr>
            <w:tcW w:w="1481" w:type="pct"/>
            <w:vMerge/>
            <w:tcBorders>
              <w:top w:val="nil"/>
              <w:left w:val="single" w:sz="4" w:space="0" w:color="000000"/>
              <w:bottom w:val="single" w:sz="4" w:space="0" w:color="auto"/>
              <w:right w:val="single" w:sz="4" w:space="0" w:color="000000"/>
            </w:tcBorders>
            <w:vAlign w:val="center"/>
          </w:tcPr>
          <w:p>
            <w:pPr>
              <w:spacing w:line="360" w:lineRule="auto"/>
              <w:rPr>
                <w:rFonts w:ascii="等线" w:hAnsi="等线" w:hint="eastAsia"/>
                <w:sz w:val="20"/>
                <w:szCs w:val="20"/>
              </w:rPr>
            </w:pPr>
          </w:p>
        </w:tc>
        <w:tc>
          <w:tcPr>
            <w:tcW w:w="579" w:type="pct"/>
            <w:vMerge/>
            <w:tcBorders>
              <w:top w:val="nil"/>
              <w:left w:val="single" w:sz="4" w:space="0" w:color="000000"/>
              <w:bottom w:val="single" w:sz="4" w:space="0" w:color="auto"/>
            </w:tcBorders>
            <w:vAlign w:val="center"/>
          </w:tcPr>
          <w:p>
            <w:pPr>
              <w:spacing w:line="360" w:lineRule="auto"/>
              <w:rPr>
                <w:rFonts w:ascii="等线" w:hAnsi="等线" w:hint="eastAsia"/>
                <w:sz w:val="20"/>
                <w:szCs w:val="20"/>
              </w:rPr>
            </w:pPr>
          </w:p>
        </w:tc>
      </w:tr>
      <w:tr>
        <w:tblPrEx>
          <w:tblW w:w="5000" w:type="pct"/>
          <w:tblInd w:w="-15" w:type="dxa"/>
          <w:tblCellMar>
            <w:top w:w="0" w:type="dxa"/>
            <w:left w:w="0" w:type="dxa"/>
            <w:bottom w:w="0" w:type="dxa"/>
            <w:right w:w="0" w:type="dxa"/>
          </w:tblCellMar>
        </w:tblPrEx>
        <w:trPr>
          <w:trHeight w:val="702"/>
        </w:trPr>
        <w:tc>
          <w:tcPr>
            <w:tcW w:w="303" w:type="pct"/>
            <w:vMerge w:val="restart"/>
            <w:tcBorders>
              <w:top w:val="single" w:sz="4" w:space="0" w:color="auto"/>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4</w:t>
            </w:r>
          </w:p>
        </w:tc>
        <w:tc>
          <w:tcPr>
            <w:tcW w:w="687" w:type="pct"/>
            <w:gridSpan w:val="2"/>
            <w:vMerge w:val="restart"/>
            <w:tcBorders>
              <w:top w:val="single" w:sz="4" w:space="0" w:color="auto"/>
              <w:left w:val="single" w:sz="4" w:space="0" w:color="000000"/>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屋面和防水涂层</w:t>
            </w:r>
          </w:p>
        </w:tc>
        <w:tc>
          <w:tcPr>
            <w:tcW w:w="638" w:type="pct"/>
            <w:tcBorders>
              <w:top w:val="single" w:sz="4" w:space="0" w:color="auto"/>
              <w:left w:val="single" w:sz="4" w:space="0" w:color="000000"/>
              <w:bottom w:val="single" w:sz="4" w:space="0" w:color="auto"/>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每周巡查一次</w:t>
            </w:r>
          </w:p>
        </w:tc>
        <w:tc>
          <w:tcPr>
            <w:tcW w:w="1312" w:type="pct"/>
            <w:tcBorders>
              <w:top w:val="single" w:sz="4" w:space="0" w:color="auto"/>
              <w:left w:val="single" w:sz="4" w:space="0" w:color="000000"/>
              <w:bottom w:val="single" w:sz="4" w:space="0" w:color="auto"/>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1.检查雨水口有无堵塞，发现异常及时疏通</w:t>
            </w:r>
          </w:p>
          <w:p>
            <w:pPr>
              <w:spacing w:line="360" w:lineRule="auto"/>
              <w:rPr>
                <w:rFonts w:ascii="等线" w:hAnsi="等线" w:hint="eastAsia"/>
                <w:sz w:val="20"/>
                <w:szCs w:val="20"/>
              </w:rPr>
            </w:pPr>
            <w:r>
              <w:rPr>
                <w:rFonts w:ascii="等线" w:hAnsi="等线"/>
                <w:sz w:val="20"/>
                <w:szCs w:val="20"/>
              </w:rPr>
              <w:t>2.检查隔热层，有无空洞、起鼓、渗漏，发现损坏及时修复</w:t>
            </w:r>
          </w:p>
          <w:p>
            <w:pPr>
              <w:spacing w:line="360" w:lineRule="auto"/>
              <w:rPr>
                <w:rFonts w:ascii="等线" w:hAnsi="等线" w:hint="eastAsia"/>
                <w:sz w:val="20"/>
                <w:szCs w:val="20"/>
              </w:rPr>
            </w:pPr>
            <w:r>
              <w:rPr>
                <w:rFonts w:ascii="等线" w:hAnsi="等线"/>
                <w:sz w:val="20"/>
                <w:szCs w:val="20"/>
              </w:rPr>
              <w:t>3.检查避雷网无间断、无缺损</w:t>
            </w:r>
          </w:p>
        </w:tc>
        <w:tc>
          <w:tcPr>
            <w:tcW w:w="1481" w:type="pct"/>
            <w:tcBorders>
              <w:top w:val="single" w:sz="4" w:space="0" w:color="auto"/>
              <w:left w:val="single" w:sz="4" w:space="0" w:color="000000"/>
              <w:bottom w:val="single" w:sz="4" w:space="0" w:color="auto"/>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1.如果隔热层板损坏，应及时全面修补隔热层板。</w:t>
            </w:r>
          </w:p>
          <w:p>
            <w:pPr>
              <w:spacing w:line="360" w:lineRule="auto"/>
              <w:rPr>
                <w:rFonts w:ascii="等线" w:hAnsi="等线" w:hint="eastAsia"/>
                <w:sz w:val="20"/>
                <w:szCs w:val="20"/>
              </w:rPr>
            </w:pPr>
            <w:r>
              <w:rPr>
                <w:rFonts w:ascii="等线" w:hAnsi="等线"/>
                <w:sz w:val="20"/>
                <w:szCs w:val="20"/>
              </w:rPr>
              <w:t>2.按房屋修缮</w:t>
            </w:r>
            <w:r>
              <w:rPr>
                <w:rFonts w:ascii="等线" w:hAnsi="等线" w:hint="eastAsia"/>
                <w:sz w:val="20"/>
                <w:szCs w:val="20"/>
              </w:rPr>
              <w:t>相关</w:t>
            </w:r>
            <w:r>
              <w:rPr>
                <w:rFonts w:ascii="等线" w:hAnsi="等线"/>
                <w:sz w:val="20"/>
                <w:szCs w:val="20"/>
              </w:rPr>
              <w:t>规定实施维修。</w:t>
            </w:r>
          </w:p>
        </w:tc>
        <w:tc>
          <w:tcPr>
            <w:tcW w:w="579" w:type="pct"/>
            <w:tcBorders>
              <w:top w:val="single" w:sz="4" w:space="0" w:color="auto"/>
              <w:left w:val="single" w:sz="4" w:space="0" w:color="000000"/>
              <w:bottom w:val="single" w:sz="4" w:space="0" w:color="auto"/>
            </w:tcBorders>
            <w:vAlign w:val="center"/>
          </w:tcPr>
          <w:p>
            <w:pPr>
              <w:spacing w:line="360" w:lineRule="auto"/>
              <w:rPr>
                <w:rFonts w:ascii="等线" w:hAnsi="等线" w:hint="eastAsia"/>
                <w:sz w:val="20"/>
                <w:szCs w:val="20"/>
              </w:rPr>
            </w:pPr>
            <w:r>
              <w:rPr>
                <w:rFonts w:ascii="等线" w:hAnsi="等线"/>
                <w:sz w:val="20"/>
                <w:szCs w:val="20"/>
              </w:rPr>
              <w:t>隔热层板无损坏；避雷网无间断、无缺损</w:t>
            </w:r>
          </w:p>
        </w:tc>
      </w:tr>
      <w:tr>
        <w:tblPrEx>
          <w:tblW w:w="5000" w:type="pct"/>
          <w:tblInd w:w="-15" w:type="dxa"/>
          <w:tblCellMar>
            <w:top w:w="0" w:type="dxa"/>
            <w:left w:w="0" w:type="dxa"/>
            <w:bottom w:w="0" w:type="dxa"/>
            <w:right w:w="0" w:type="dxa"/>
          </w:tblCellMar>
        </w:tblPrEx>
        <w:trPr>
          <w:trHeight w:val="702"/>
        </w:trPr>
        <w:tc>
          <w:tcPr>
            <w:tcW w:w="303" w:type="pct"/>
            <w:vMerge/>
            <w:tcBorders>
              <w:bottom w:val="single" w:sz="4" w:space="0" w:color="auto"/>
              <w:right w:val="single" w:sz="4" w:space="0" w:color="000000"/>
            </w:tcBorders>
            <w:vAlign w:val="center"/>
          </w:tcPr>
          <w:p>
            <w:pPr>
              <w:spacing w:line="360" w:lineRule="auto"/>
              <w:rPr>
                <w:rFonts w:ascii="等线" w:hAnsi="等线" w:hint="eastAsia"/>
                <w:sz w:val="20"/>
                <w:szCs w:val="20"/>
              </w:rPr>
            </w:pPr>
          </w:p>
        </w:tc>
        <w:tc>
          <w:tcPr>
            <w:tcW w:w="687" w:type="pct"/>
            <w:gridSpan w:val="2"/>
            <w:vMerge/>
            <w:tcBorders>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p>
        </w:tc>
        <w:tc>
          <w:tcPr>
            <w:tcW w:w="638" w:type="pct"/>
            <w:tcBorders>
              <w:top w:val="single" w:sz="4" w:space="0" w:color="auto"/>
              <w:left w:val="single" w:sz="4" w:space="0" w:color="000000"/>
              <w:bottom w:val="single" w:sz="4" w:space="0" w:color="auto"/>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每季度检查</w:t>
            </w:r>
          </w:p>
        </w:tc>
        <w:tc>
          <w:tcPr>
            <w:tcW w:w="1312" w:type="pct"/>
            <w:tcBorders>
              <w:top w:val="single" w:sz="4" w:space="0" w:color="auto"/>
              <w:left w:val="single" w:sz="4" w:space="0" w:color="000000"/>
              <w:bottom w:val="single" w:sz="4" w:space="0" w:color="auto"/>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全面检查屋面防水层。</w:t>
            </w:r>
          </w:p>
          <w:p>
            <w:pPr>
              <w:spacing w:line="360" w:lineRule="auto"/>
              <w:rPr>
                <w:rFonts w:ascii="等线" w:hAnsi="等线" w:hint="eastAsia"/>
                <w:sz w:val="20"/>
                <w:szCs w:val="20"/>
              </w:rPr>
            </w:pPr>
            <w:r>
              <w:rPr>
                <w:rFonts w:ascii="等线" w:hAnsi="等线"/>
                <w:sz w:val="20"/>
                <w:szCs w:val="20"/>
              </w:rPr>
              <w:t>检查伸缩缝嵌填油膏是否完整。</w:t>
            </w:r>
          </w:p>
          <w:p>
            <w:pPr>
              <w:spacing w:line="360" w:lineRule="auto"/>
              <w:rPr>
                <w:rFonts w:ascii="等线" w:hAnsi="等线" w:hint="eastAsia"/>
                <w:sz w:val="20"/>
                <w:szCs w:val="20"/>
              </w:rPr>
            </w:pPr>
            <w:r>
              <w:rPr>
                <w:rFonts w:ascii="等线" w:hAnsi="等线"/>
                <w:sz w:val="20"/>
                <w:szCs w:val="20"/>
              </w:rPr>
              <w:t>每年雨季对屋面进行仔细检查，及时发现防水层破损、老化的状况。</w:t>
            </w:r>
          </w:p>
        </w:tc>
        <w:tc>
          <w:tcPr>
            <w:tcW w:w="1481" w:type="pct"/>
            <w:tcBorders>
              <w:top w:val="single" w:sz="4" w:space="0" w:color="auto"/>
              <w:left w:val="single" w:sz="4" w:space="0" w:color="000000"/>
              <w:bottom w:val="single" w:sz="4" w:space="0" w:color="auto"/>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及时消除涂料防水层破损、老化的状况，及时更换破损玻璃的接缝密封 胶，以及沉降缝、伸缩缝的老化、渗漏情况。</w:t>
            </w:r>
          </w:p>
          <w:p>
            <w:pPr>
              <w:spacing w:line="360" w:lineRule="auto"/>
              <w:rPr>
                <w:rFonts w:ascii="等线" w:hAnsi="等线" w:hint="eastAsia"/>
                <w:sz w:val="20"/>
                <w:szCs w:val="20"/>
              </w:rPr>
            </w:pPr>
            <w:r>
              <w:rPr>
                <w:rFonts w:ascii="等线" w:hAnsi="等线"/>
                <w:sz w:val="20"/>
                <w:szCs w:val="20"/>
              </w:rPr>
              <w:t>发现涂料防水层破损、老化造成屋面渗漏的，及时修复或更换。</w:t>
            </w:r>
          </w:p>
          <w:p>
            <w:pPr>
              <w:spacing w:line="360" w:lineRule="auto"/>
              <w:rPr>
                <w:rFonts w:ascii="等线" w:hAnsi="等线" w:hint="eastAsia"/>
                <w:sz w:val="20"/>
                <w:szCs w:val="20"/>
              </w:rPr>
            </w:pPr>
            <w:r>
              <w:rPr>
                <w:rFonts w:ascii="等线" w:hAnsi="等线"/>
                <w:sz w:val="20"/>
                <w:szCs w:val="20"/>
              </w:rPr>
              <w:t>按房屋修缮</w:t>
            </w:r>
            <w:r>
              <w:rPr>
                <w:rFonts w:ascii="等线" w:hAnsi="等线" w:hint="eastAsia"/>
                <w:sz w:val="20"/>
                <w:szCs w:val="20"/>
              </w:rPr>
              <w:t>相关</w:t>
            </w:r>
            <w:r>
              <w:rPr>
                <w:rFonts w:ascii="等线" w:hAnsi="等线"/>
                <w:sz w:val="20"/>
                <w:szCs w:val="20"/>
              </w:rPr>
              <w:t>规定实施维修。</w:t>
            </w:r>
          </w:p>
        </w:tc>
        <w:tc>
          <w:tcPr>
            <w:tcW w:w="579" w:type="pct"/>
            <w:tcBorders>
              <w:top w:val="single" w:sz="4" w:space="0" w:color="auto"/>
              <w:left w:val="single" w:sz="4" w:space="0" w:color="000000"/>
              <w:bottom w:val="single" w:sz="4" w:space="0" w:color="auto"/>
            </w:tcBorders>
            <w:vAlign w:val="center"/>
          </w:tcPr>
          <w:p>
            <w:pPr>
              <w:spacing w:line="360" w:lineRule="auto"/>
              <w:rPr>
                <w:rFonts w:ascii="等线" w:hAnsi="等线" w:hint="eastAsia"/>
                <w:sz w:val="20"/>
                <w:szCs w:val="20"/>
              </w:rPr>
            </w:pPr>
            <w:r>
              <w:rPr>
                <w:rFonts w:ascii="等线" w:hAnsi="等线"/>
                <w:sz w:val="20"/>
                <w:szCs w:val="20"/>
              </w:rPr>
              <w:t>无渗漏，隔热层板无损坏</w:t>
            </w:r>
          </w:p>
        </w:tc>
      </w:tr>
      <w:tr>
        <w:tblPrEx>
          <w:tblW w:w="5000" w:type="pct"/>
          <w:tblInd w:w="-15" w:type="dxa"/>
          <w:tblCellMar>
            <w:top w:w="0" w:type="dxa"/>
            <w:left w:w="0" w:type="dxa"/>
            <w:bottom w:w="0" w:type="dxa"/>
            <w:right w:w="0" w:type="dxa"/>
          </w:tblCellMar>
        </w:tblPrEx>
        <w:trPr>
          <w:trHeight w:val="702"/>
        </w:trPr>
        <w:tc>
          <w:tcPr>
            <w:tcW w:w="303" w:type="pct"/>
            <w:tcBorders>
              <w:top w:val="single" w:sz="4" w:space="0" w:color="auto"/>
              <w:bottom w:val="single" w:sz="4" w:space="0" w:color="auto"/>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5</w:t>
            </w:r>
          </w:p>
        </w:tc>
        <w:tc>
          <w:tcPr>
            <w:tcW w:w="687" w:type="pct"/>
            <w:gridSpan w:val="2"/>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楼地面</w:t>
            </w:r>
          </w:p>
        </w:tc>
        <w:tc>
          <w:tcPr>
            <w:tcW w:w="638" w:type="pct"/>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每周巡查一次</w:t>
            </w:r>
          </w:p>
        </w:tc>
        <w:tc>
          <w:tcPr>
            <w:tcW w:w="1312" w:type="pct"/>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1.查楼地面是否平整完好， 有无空鼓和破裂。</w:t>
            </w:r>
          </w:p>
          <w:p>
            <w:pPr>
              <w:pStyle w:val="TableParagraph"/>
              <w:spacing w:line="360" w:lineRule="auto"/>
              <w:jc w:val="both"/>
              <w:rPr>
                <w:rFonts w:ascii="等线" w:hAnsi="等线" w:hint="eastAsia"/>
                <w:sz w:val="20"/>
                <w:szCs w:val="20"/>
              </w:rPr>
            </w:pPr>
            <w:r>
              <w:rPr>
                <w:rFonts w:ascii="等线" w:hAnsi="等线"/>
                <w:sz w:val="20"/>
                <w:szCs w:val="20"/>
              </w:rPr>
              <w:t>2.检查地面饰面材料有无松脱、空鼓、破损，发现问题及时处理。</w:t>
            </w:r>
          </w:p>
        </w:tc>
        <w:tc>
          <w:tcPr>
            <w:tcW w:w="1481" w:type="pct"/>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及时更换松脱、破损的地面饰面材料。</w:t>
            </w:r>
          </w:p>
          <w:p>
            <w:pPr>
              <w:pStyle w:val="TableParagraph"/>
              <w:spacing w:line="360" w:lineRule="auto"/>
              <w:jc w:val="both"/>
              <w:rPr>
                <w:rFonts w:ascii="等线" w:hAnsi="等线" w:hint="eastAsia"/>
                <w:sz w:val="20"/>
                <w:szCs w:val="20"/>
              </w:rPr>
            </w:pPr>
            <w:r>
              <w:rPr>
                <w:rFonts w:ascii="等线" w:hAnsi="等线"/>
                <w:sz w:val="20"/>
                <w:szCs w:val="20"/>
              </w:rPr>
              <w:t>按房屋修缮</w:t>
            </w:r>
            <w:r>
              <w:rPr>
                <w:rFonts w:ascii="等线" w:hAnsi="等线" w:hint="eastAsia"/>
                <w:sz w:val="20"/>
                <w:szCs w:val="20"/>
                <w:lang w:val="en-US"/>
              </w:rPr>
              <w:t>相关</w:t>
            </w:r>
            <w:r>
              <w:rPr>
                <w:rFonts w:ascii="等线" w:hAnsi="等线"/>
                <w:sz w:val="20"/>
                <w:szCs w:val="20"/>
              </w:rPr>
              <w:t>规定实施维修。</w:t>
            </w:r>
          </w:p>
        </w:tc>
        <w:tc>
          <w:tcPr>
            <w:tcW w:w="579" w:type="pct"/>
            <w:tcBorders>
              <w:top w:val="single" w:sz="4" w:space="0" w:color="auto"/>
              <w:left w:val="single" w:sz="4" w:space="0" w:color="000000"/>
              <w:bottom w:val="single" w:sz="4" w:space="0" w:color="auto"/>
            </w:tcBorders>
            <w:vAlign w:val="center"/>
          </w:tcPr>
          <w:p>
            <w:pPr>
              <w:pStyle w:val="TableParagraph"/>
              <w:spacing w:line="360" w:lineRule="auto"/>
              <w:jc w:val="both"/>
              <w:rPr>
                <w:rFonts w:ascii="等线" w:hAnsi="等线" w:hint="eastAsia"/>
                <w:sz w:val="20"/>
                <w:szCs w:val="20"/>
              </w:rPr>
            </w:pPr>
            <w:r>
              <w:rPr>
                <w:rFonts w:ascii="等线" w:hAnsi="等线"/>
                <w:sz w:val="20"/>
                <w:szCs w:val="20"/>
              </w:rPr>
              <w:t>楼地面无空鼓和破裂。地面饰面材料无松脱、空鼓、破损</w:t>
            </w:r>
          </w:p>
        </w:tc>
      </w:tr>
      <w:tr>
        <w:tblPrEx>
          <w:tblW w:w="5000" w:type="pct"/>
          <w:tblInd w:w="-15" w:type="dxa"/>
          <w:tblCellMar>
            <w:top w:w="0" w:type="dxa"/>
            <w:left w:w="0" w:type="dxa"/>
            <w:bottom w:w="0" w:type="dxa"/>
            <w:right w:w="0" w:type="dxa"/>
          </w:tblCellMar>
        </w:tblPrEx>
        <w:trPr>
          <w:trHeight w:val="702"/>
        </w:trPr>
        <w:tc>
          <w:tcPr>
            <w:tcW w:w="303" w:type="pct"/>
            <w:tcBorders>
              <w:top w:val="single" w:sz="4" w:space="0" w:color="auto"/>
              <w:bottom w:val="single" w:sz="4" w:space="0" w:color="auto"/>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6</w:t>
            </w:r>
          </w:p>
        </w:tc>
        <w:tc>
          <w:tcPr>
            <w:tcW w:w="687" w:type="pct"/>
            <w:gridSpan w:val="2"/>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楼梯及消防通道</w:t>
            </w:r>
          </w:p>
        </w:tc>
        <w:tc>
          <w:tcPr>
            <w:tcW w:w="638" w:type="pct"/>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每周巡查一次</w:t>
            </w:r>
          </w:p>
        </w:tc>
        <w:tc>
          <w:tcPr>
            <w:tcW w:w="1312" w:type="pct"/>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1.检查地面砖有无起砂、空鼓、开裂、松脱。</w:t>
            </w:r>
          </w:p>
          <w:p>
            <w:pPr>
              <w:pStyle w:val="TableParagraph"/>
              <w:spacing w:line="360" w:lineRule="auto"/>
              <w:jc w:val="both"/>
              <w:rPr>
                <w:rFonts w:ascii="等线" w:hAnsi="等线" w:hint="eastAsia"/>
                <w:sz w:val="20"/>
                <w:szCs w:val="20"/>
              </w:rPr>
            </w:pPr>
            <w:r>
              <w:rPr>
                <w:rFonts w:ascii="等线" w:hAnsi="等线"/>
                <w:sz w:val="20"/>
                <w:szCs w:val="20"/>
              </w:rPr>
              <w:t>2.公共通道及门厅的墙面有无污迹和剥落。</w:t>
            </w:r>
          </w:p>
          <w:p>
            <w:pPr>
              <w:pStyle w:val="TableParagraph"/>
              <w:spacing w:line="360" w:lineRule="auto"/>
              <w:jc w:val="both"/>
              <w:rPr>
                <w:rFonts w:ascii="等线" w:hAnsi="等线" w:hint="eastAsia"/>
                <w:sz w:val="20"/>
                <w:szCs w:val="20"/>
              </w:rPr>
            </w:pPr>
            <w:r>
              <w:rPr>
                <w:rFonts w:ascii="等线" w:hAnsi="等线"/>
                <w:sz w:val="20"/>
                <w:szCs w:val="20"/>
              </w:rPr>
              <w:t>3.检查中庭外廊护栏、支架、护栏网是否完好。</w:t>
            </w:r>
          </w:p>
          <w:p>
            <w:pPr>
              <w:pStyle w:val="TableParagraph"/>
              <w:spacing w:line="360" w:lineRule="auto"/>
              <w:jc w:val="both"/>
              <w:rPr>
                <w:rFonts w:ascii="等线" w:hAnsi="等线" w:hint="eastAsia"/>
                <w:sz w:val="20"/>
                <w:szCs w:val="20"/>
              </w:rPr>
            </w:pPr>
            <w:r>
              <w:rPr>
                <w:rFonts w:ascii="等线" w:hAnsi="等线"/>
                <w:sz w:val="20"/>
                <w:szCs w:val="20"/>
              </w:rPr>
              <w:t>4.检查扶手、踏步有无损坏。</w:t>
            </w:r>
          </w:p>
          <w:p>
            <w:pPr>
              <w:pStyle w:val="TableParagraph"/>
              <w:spacing w:line="360" w:lineRule="auto"/>
              <w:jc w:val="both"/>
              <w:rPr>
                <w:rFonts w:ascii="等线" w:hAnsi="等线" w:hint="eastAsia"/>
                <w:sz w:val="20"/>
                <w:szCs w:val="20"/>
              </w:rPr>
            </w:pPr>
            <w:r>
              <w:rPr>
                <w:rFonts w:ascii="等线" w:hAnsi="等线"/>
                <w:sz w:val="20"/>
                <w:szCs w:val="20"/>
              </w:rPr>
              <w:t>5.消防通道始终保持畅通。</w:t>
            </w:r>
          </w:p>
        </w:tc>
        <w:tc>
          <w:tcPr>
            <w:tcW w:w="1481" w:type="pct"/>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发现损坏的及时维修或油漆。房屋修缮</w:t>
            </w:r>
            <w:r>
              <w:rPr>
                <w:rFonts w:ascii="等线" w:hAnsi="等线" w:hint="eastAsia"/>
                <w:sz w:val="20"/>
                <w:szCs w:val="20"/>
                <w:lang w:val="en-US"/>
              </w:rPr>
              <w:t>相关</w:t>
            </w:r>
            <w:r>
              <w:rPr>
                <w:rFonts w:ascii="等线" w:hAnsi="等线"/>
                <w:sz w:val="20"/>
                <w:szCs w:val="20"/>
              </w:rPr>
              <w:t>规定实施维修。</w:t>
            </w:r>
          </w:p>
        </w:tc>
        <w:tc>
          <w:tcPr>
            <w:tcW w:w="579" w:type="pct"/>
            <w:tcBorders>
              <w:top w:val="single" w:sz="4" w:space="0" w:color="auto"/>
              <w:left w:val="single" w:sz="4" w:space="0" w:color="000000"/>
              <w:bottom w:val="single" w:sz="4" w:space="0" w:color="auto"/>
            </w:tcBorders>
            <w:vAlign w:val="center"/>
          </w:tcPr>
          <w:p>
            <w:pPr>
              <w:pStyle w:val="TableParagraph"/>
              <w:spacing w:line="360" w:lineRule="auto"/>
              <w:jc w:val="both"/>
              <w:rPr>
                <w:rFonts w:ascii="等线" w:hAnsi="等线" w:hint="eastAsia"/>
                <w:sz w:val="20"/>
                <w:szCs w:val="20"/>
              </w:rPr>
            </w:pPr>
            <w:r>
              <w:rPr>
                <w:rFonts w:ascii="等线" w:hAnsi="等线"/>
                <w:sz w:val="20"/>
                <w:szCs w:val="20"/>
              </w:rPr>
              <w:t>地面无空 鼓开裂、松脱。公共通道及门厅的墙面无剥落。 油漆完好、无损坏。</w:t>
            </w:r>
          </w:p>
        </w:tc>
      </w:tr>
      <w:tr>
        <w:tblPrEx>
          <w:tblW w:w="5000" w:type="pct"/>
          <w:tblInd w:w="-15" w:type="dxa"/>
          <w:tblCellMar>
            <w:top w:w="0" w:type="dxa"/>
            <w:left w:w="0" w:type="dxa"/>
            <w:bottom w:w="0" w:type="dxa"/>
            <w:right w:w="0" w:type="dxa"/>
          </w:tblCellMar>
        </w:tblPrEx>
        <w:trPr>
          <w:trHeight w:val="702"/>
        </w:trPr>
        <w:tc>
          <w:tcPr>
            <w:tcW w:w="303" w:type="pct"/>
            <w:tcBorders>
              <w:top w:val="single" w:sz="4" w:space="0" w:color="auto"/>
              <w:bottom w:val="single" w:sz="4" w:space="0" w:color="auto"/>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7</w:t>
            </w:r>
          </w:p>
        </w:tc>
        <w:tc>
          <w:tcPr>
            <w:tcW w:w="687" w:type="pct"/>
            <w:gridSpan w:val="2"/>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内墙面</w:t>
            </w:r>
          </w:p>
        </w:tc>
        <w:tc>
          <w:tcPr>
            <w:tcW w:w="638" w:type="pct"/>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每月检查</w:t>
            </w:r>
          </w:p>
        </w:tc>
        <w:tc>
          <w:tcPr>
            <w:tcW w:w="1312" w:type="pct"/>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1.检查有无裂缝、起鼓、脱落部分</w:t>
            </w:r>
          </w:p>
          <w:p>
            <w:pPr>
              <w:pStyle w:val="TableParagraph"/>
              <w:spacing w:line="360" w:lineRule="auto"/>
              <w:jc w:val="both"/>
              <w:rPr>
                <w:rFonts w:ascii="等线" w:hAnsi="等线" w:hint="eastAsia"/>
                <w:sz w:val="20"/>
                <w:szCs w:val="20"/>
              </w:rPr>
            </w:pPr>
            <w:r>
              <w:rPr>
                <w:rFonts w:ascii="等线" w:hAnsi="等线"/>
                <w:sz w:val="20"/>
                <w:szCs w:val="20"/>
              </w:rPr>
              <w:t>2.检查有无变色现象</w:t>
            </w:r>
          </w:p>
          <w:p>
            <w:pPr>
              <w:pStyle w:val="TableParagraph"/>
              <w:spacing w:line="360" w:lineRule="auto"/>
              <w:jc w:val="both"/>
              <w:rPr>
                <w:rFonts w:ascii="等线" w:hAnsi="等线" w:hint="eastAsia"/>
                <w:sz w:val="20"/>
                <w:szCs w:val="20"/>
              </w:rPr>
            </w:pPr>
            <w:r>
              <w:rPr>
                <w:rFonts w:ascii="等线" w:hAnsi="等线"/>
                <w:sz w:val="20"/>
                <w:szCs w:val="20"/>
              </w:rPr>
              <w:t>3.检查有无局部渗漏</w:t>
            </w:r>
          </w:p>
          <w:p>
            <w:pPr>
              <w:pStyle w:val="TableParagraph"/>
              <w:spacing w:line="360" w:lineRule="auto"/>
              <w:jc w:val="both"/>
              <w:rPr>
                <w:rFonts w:ascii="等线" w:hAnsi="等线" w:hint="eastAsia"/>
                <w:sz w:val="20"/>
                <w:szCs w:val="20"/>
              </w:rPr>
            </w:pPr>
            <w:r>
              <w:rPr>
                <w:rFonts w:ascii="等线" w:hAnsi="等线"/>
                <w:sz w:val="20"/>
                <w:szCs w:val="20"/>
              </w:rPr>
              <w:t>4.检查石土质块材是否有破损</w:t>
            </w:r>
          </w:p>
        </w:tc>
        <w:tc>
          <w:tcPr>
            <w:tcW w:w="1481" w:type="pct"/>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发现损坏的及时维修或粉刷。</w:t>
            </w:r>
          </w:p>
          <w:p>
            <w:pPr>
              <w:pStyle w:val="TableParagraph"/>
              <w:spacing w:line="360" w:lineRule="auto"/>
              <w:jc w:val="both"/>
              <w:rPr>
                <w:rFonts w:ascii="等线" w:hAnsi="等线" w:hint="eastAsia"/>
                <w:sz w:val="20"/>
                <w:szCs w:val="20"/>
              </w:rPr>
            </w:pPr>
            <w:r>
              <w:rPr>
                <w:rFonts w:ascii="等线" w:hAnsi="等线"/>
                <w:sz w:val="20"/>
                <w:szCs w:val="20"/>
              </w:rPr>
              <w:t>按房屋修缮</w:t>
            </w:r>
            <w:r>
              <w:rPr>
                <w:rFonts w:ascii="等线" w:hAnsi="等线" w:hint="eastAsia"/>
                <w:sz w:val="20"/>
                <w:szCs w:val="20"/>
                <w:lang w:val="en-US"/>
              </w:rPr>
              <w:t>相关</w:t>
            </w:r>
            <w:r>
              <w:rPr>
                <w:rFonts w:ascii="等线" w:hAnsi="等线"/>
                <w:sz w:val="20"/>
                <w:szCs w:val="20"/>
              </w:rPr>
              <w:t>规定实施维修。</w:t>
            </w:r>
          </w:p>
        </w:tc>
        <w:tc>
          <w:tcPr>
            <w:tcW w:w="579" w:type="pct"/>
            <w:tcBorders>
              <w:top w:val="single" w:sz="4" w:space="0" w:color="auto"/>
              <w:left w:val="single" w:sz="4" w:space="0" w:color="000000"/>
              <w:bottom w:val="single" w:sz="4" w:space="0" w:color="auto"/>
            </w:tcBorders>
            <w:vAlign w:val="center"/>
          </w:tcPr>
          <w:p>
            <w:pPr>
              <w:pStyle w:val="TableParagraph"/>
              <w:spacing w:line="360" w:lineRule="auto"/>
              <w:jc w:val="both"/>
              <w:rPr>
                <w:rFonts w:ascii="等线" w:hAnsi="等线" w:hint="eastAsia"/>
                <w:sz w:val="20"/>
                <w:szCs w:val="20"/>
              </w:rPr>
            </w:pPr>
            <w:r>
              <w:rPr>
                <w:rFonts w:ascii="等线" w:hAnsi="等线"/>
                <w:sz w:val="20"/>
                <w:szCs w:val="20"/>
              </w:rPr>
              <w:t>内墙面无裂 缝、起鼓、 脱落、破损。内墙面无局 部</w:t>
            </w:r>
          </w:p>
          <w:p>
            <w:pPr>
              <w:pStyle w:val="TableParagraph"/>
              <w:spacing w:line="360" w:lineRule="auto"/>
              <w:jc w:val="both"/>
              <w:rPr>
                <w:rFonts w:ascii="等线" w:hAnsi="等线" w:hint="eastAsia"/>
                <w:sz w:val="20"/>
                <w:szCs w:val="20"/>
              </w:rPr>
            </w:pPr>
            <w:r>
              <w:rPr>
                <w:rFonts w:ascii="等线" w:hAnsi="等线"/>
                <w:sz w:val="20"/>
                <w:szCs w:val="20"/>
              </w:rPr>
              <w:t>渗漏。</w:t>
            </w:r>
          </w:p>
        </w:tc>
      </w:tr>
      <w:tr>
        <w:tblPrEx>
          <w:tblW w:w="5000" w:type="pct"/>
          <w:tblInd w:w="-15" w:type="dxa"/>
          <w:tblCellMar>
            <w:top w:w="0" w:type="dxa"/>
            <w:left w:w="0" w:type="dxa"/>
            <w:bottom w:w="0" w:type="dxa"/>
            <w:right w:w="0" w:type="dxa"/>
          </w:tblCellMar>
        </w:tblPrEx>
        <w:trPr>
          <w:trHeight w:val="702"/>
        </w:trPr>
        <w:tc>
          <w:tcPr>
            <w:tcW w:w="303" w:type="pct"/>
            <w:vMerge w:val="restart"/>
            <w:tcBorders>
              <w:top w:val="single" w:sz="4" w:space="0" w:color="auto"/>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8</w:t>
            </w:r>
          </w:p>
        </w:tc>
        <w:tc>
          <w:tcPr>
            <w:tcW w:w="687" w:type="pct"/>
            <w:gridSpan w:val="2"/>
            <w:vMerge w:val="restart"/>
            <w:tcBorders>
              <w:top w:val="single" w:sz="4" w:space="0" w:color="auto"/>
              <w:left w:val="single" w:sz="4" w:space="0" w:color="000000"/>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hint="eastAsia"/>
                <w:sz w:val="20"/>
                <w:szCs w:val="20"/>
              </w:rPr>
              <w:t>外墙面</w:t>
            </w:r>
          </w:p>
        </w:tc>
        <w:tc>
          <w:tcPr>
            <w:tcW w:w="638" w:type="pct"/>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每周检查</w:t>
            </w:r>
          </w:p>
        </w:tc>
        <w:tc>
          <w:tcPr>
            <w:tcW w:w="1312" w:type="pct"/>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1.检查外墙饰面玻璃有否破损</w:t>
            </w:r>
          </w:p>
          <w:p>
            <w:pPr>
              <w:pStyle w:val="TableParagraph"/>
              <w:spacing w:line="360" w:lineRule="auto"/>
              <w:jc w:val="both"/>
              <w:rPr>
                <w:rFonts w:ascii="等线" w:hAnsi="等线" w:hint="eastAsia"/>
                <w:sz w:val="20"/>
                <w:szCs w:val="20"/>
              </w:rPr>
            </w:pPr>
            <w:r>
              <w:rPr>
                <w:rFonts w:ascii="等线" w:hAnsi="等线"/>
                <w:sz w:val="20"/>
                <w:szCs w:val="20"/>
              </w:rPr>
              <w:t>2.检查外墙饰面有否污染</w:t>
            </w:r>
          </w:p>
        </w:tc>
        <w:tc>
          <w:tcPr>
            <w:tcW w:w="1481" w:type="pct"/>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更换破损的外墙饰面玻璃。</w:t>
            </w:r>
          </w:p>
          <w:p>
            <w:pPr>
              <w:pStyle w:val="TableParagraph"/>
              <w:spacing w:line="360" w:lineRule="auto"/>
              <w:jc w:val="both"/>
              <w:rPr>
                <w:rFonts w:ascii="等线" w:hAnsi="等线" w:hint="eastAsia"/>
                <w:sz w:val="20"/>
                <w:szCs w:val="20"/>
              </w:rPr>
            </w:pPr>
            <w:r>
              <w:rPr>
                <w:rFonts w:ascii="等线" w:hAnsi="等线"/>
                <w:sz w:val="20"/>
                <w:szCs w:val="20"/>
              </w:rPr>
              <w:t>清冼外墙饰面人为造成的污染部分。</w:t>
            </w:r>
          </w:p>
        </w:tc>
        <w:tc>
          <w:tcPr>
            <w:tcW w:w="579" w:type="pct"/>
            <w:tcBorders>
              <w:top w:val="single" w:sz="4" w:space="0" w:color="auto"/>
              <w:left w:val="single" w:sz="4" w:space="0" w:color="000000"/>
              <w:bottom w:val="single" w:sz="4" w:space="0" w:color="auto"/>
            </w:tcBorders>
            <w:vAlign w:val="center"/>
          </w:tcPr>
          <w:p>
            <w:pPr>
              <w:pStyle w:val="TableParagraph"/>
              <w:spacing w:line="360" w:lineRule="auto"/>
              <w:jc w:val="both"/>
              <w:rPr>
                <w:rFonts w:ascii="等线" w:hAnsi="等线" w:hint="eastAsia"/>
                <w:sz w:val="20"/>
                <w:szCs w:val="20"/>
              </w:rPr>
            </w:pPr>
            <w:r>
              <w:rPr>
                <w:rFonts w:ascii="等线" w:hAnsi="等线"/>
                <w:sz w:val="20"/>
                <w:szCs w:val="20"/>
              </w:rPr>
              <w:t>保证大楼整洁、干净</w:t>
            </w:r>
          </w:p>
        </w:tc>
      </w:tr>
      <w:tr>
        <w:tblPrEx>
          <w:tblW w:w="5000" w:type="pct"/>
          <w:tblInd w:w="-15" w:type="dxa"/>
          <w:tblCellMar>
            <w:top w:w="0" w:type="dxa"/>
            <w:left w:w="0" w:type="dxa"/>
            <w:bottom w:w="0" w:type="dxa"/>
            <w:right w:w="0" w:type="dxa"/>
          </w:tblCellMar>
        </w:tblPrEx>
        <w:trPr>
          <w:trHeight w:val="702"/>
        </w:trPr>
        <w:tc>
          <w:tcPr>
            <w:tcW w:w="303" w:type="pct"/>
            <w:vMerge/>
            <w:tcBorders>
              <w:right w:val="single" w:sz="4" w:space="0" w:color="000000"/>
            </w:tcBorders>
            <w:vAlign w:val="center"/>
          </w:tcPr>
          <w:p>
            <w:pPr>
              <w:spacing w:line="360" w:lineRule="auto"/>
              <w:rPr>
                <w:rFonts w:ascii="等线" w:hAnsi="等线" w:hint="eastAsia"/>
                <w:sz w:val="20"/>
                <w:szCs w:val="20"/>
              </w:rPr>
            </w:pPr>
          </w:p>
        </w:tc>
        <w:tc>
          <w:tcPr>
            <w:tcW w:w="687" w:type="pct"/>
            <w:gridSpan w:val="2"/>
            <w:vMerge/>
            <w:tcBorders>
              <w:left w:val="single" w:sz="4" w:space="0" w:color="000000"/>
              <w:right w:val="single" w:sz="4" w:space="0" w:color="000000"/>
            </w:tcBorders>
            <w:vAlign w:val="center"/>
          </w:tcPr>
          <w:p>
            <w:pPr>
              <w:pStyle w:val="TableParagraph"/>
              <w:spacing w:line="360" w:lineRule="auto"/>
              <w:jc w:val="both"/>
              <w:rPr>
                <w:rFonts w:ascii="等线" w:hAnsi="等线" w:hint="eastAsia"/>
                <w:sz w:val="20"/>
                <w:szCs w:val="20"/>
              </w:rPr>
            </w:pPr>
          </w:p>
        </w:tc>
        <w:tc>
          <w:tcPr>
            <w:tcW w:w="638" w:type="pct"/>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每半年</w:t>
            </w:r>
          </w:p>
        </w:tc>
        <w:tc>
          <w:tcPr>
            <w:tcW w:w="1312" w:type="pct"/>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1.结合外墙清洗作业，一并检查外墙面的使用状况。</w:t>
            </w:r>
          </w:p>
          <w:p>
            <w:pPr>
              <w:pStyle w:val="TableParagraph"/>
              <w:spacing w:line="360" w:lineRule="auto"/>
              <w:jc w:val="both"/>
              <w:rPr>
                <w:rFonts w:ascii="等线" w:hAnsi="等线" w:hint="eastAsia"/>
                <w:sz w:val="20"/>
                <w:szCs w:val="20"/>
              </w:rPr>
            </w:pPr>
            <w:r>
              <w:rPr>
                <w:rFonts w:ascii="等线" w:hAnsi="等线"/>
                <w:sz w:val="20"/>
                <w:szCs w:val="20"/>
              </w:rPr>
              <w:t>2.台风暴雨天气及时发布信息，提醒用户关好、锁好门窗。</w:t>
            </w:r>
          </w:p>
        </w:tc>
        <w:tc>
          <w:tcPr>
            <w:tcW w:w="1481" w:type="pct"/>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1.发现损坏或漏水的及时维修或粉刷。</w:t>
            </w:r>
          </w:p>
          <w:p>
            <w:pPr>
              <w:pStyle w:val="TableParagraph"/>
              <w:spacing w:line="360" w:lineRule="auto"/>
              <w:jc w:val="both"/>
              <w:rPr>
                <w:rFonts w:ascii="等线" w:hAnsi="等线" w:hint="eastAsia"/>
                <w:sz w:val="20"/>
                <w:szCs w:val="20"/>
              </w:rPr>
            </w:pPr>
            <w:r>
              <w:rPr>
                <w:rFonts w:ascii="等线" w:hAnsi="等线"/>
                <w:sz w:val="20"/>
                <w:szCs w:val="20"/>
              </w:rPr>
              <w:t>2.按房屋修缮</w:t>
            </w:r>
            <w:r>
              <w:rPr>
                <w:rFonts w:ascii="等线" w:hAnsi="等线" w:hint="eastAsia"/>
                <w:sz w:val="20"/>
                <w:szCs w:val="20"/>
                <w:lang w:val="en-US"/>
              </w:rPr>
              <w:t>相关</w:t>
            </w:r>
            <w:r>
              <w:rPr>
                <w:rFonts w:ascii="等线" w:hAnsi="等线"/>
                <w:sz w:val="20"/>
                <w:szCs w:val="20"/>
              </w:rPr>
              <w:t>规定实施维修。</w:t>
            </w:r>
          </w:p>
          <w:p>
            <w:pPr>
              <w:pStyle w:val="TableParagraph"/>
              <w:spacing w:line="360" w:lineRule="auto"/>
              <w:jc w:val="both"/>
              <w:rPr>
                <w:rFonts w:ascii="等线" w:hAnsi="等线" w:hint="eastAsia"/>
                <w:sz w:val="20"/>
                <w:szCs w:val="20"/>
              </w:rPr>
            </w:pPr>
            <w:r>
              <w:rPr>
                <w:rFonts w:ascii="等线" w:hAnsi="等线"/>
                <w:sz w:val="20"/>
                <w:szCs w:val="20"/>
              </w:rPr>
              <w:t>3.对于外墙面大面积渗漏久修无效的，局部翻新以防止渗漏面积扩大。</w:t>
            </w:r>
          </w:p>
          <w:p>
            <w:pPr>
              <w:pStyle w:val="TableParagraph"/>
              <w:spacing w:line="360" w:lineRule="auto"/>
              <w:jc w:val="both"/>
              <w:rPr>
                <w:rFonts w:ascii="等线" w:hAnsi="等线" w:hint="eastAsia"/>
                <w:sz w:val="20"/>
                <w:szCs w:val="20"/>
              </w:rPr>
            </w:pPr>
            <w:r>
              <w:rPr>
                <w:rFonts w:ascii="等线" w:hAnsi="等线"/>
                <w:sz w:val="20"/>
                <w:szCs w:val="20"/>
              </w:rPr>
              <w:t>4. 外墙清洗必须使用绿色</w:t>
            </w:r>
          </w:p>
          <w:p>
            <w:pPr>
              <w:pStyle w:val="TableParagraph"/>
              <w:spacing w:line="360" w:lineRule="auto"/>
              <w:jc w:val="both"/>
              <w:rPr>
                <w:rFonts w:ascii="等线" w:hAnsi="等线" w:hint="eastAsia"/>
                <w:sz w:val="20"/>
                <w:szCs w:val="20"/>
              </w:rPr>
            </w:pPr>
            <w:r>
              <w:rPr>
                <w:rFonts w:ascii="等线" w:hAnsi="等线"/>
                <w:sz w:val="20"/>
                <w:szCs w:val="20"/>
              </w:rPr>
              <w:t>环保型清洁剂。</w:t>
            </w:r>
          </w:p>
        </w:tc>
        <w:tc>
          <w:tcPr>
            <w:tcW w:w="579" w:type="pct"/>
            <w:tcBorders>
              <w:top w:val="single" w:sz="4" w:space="0" w:color="auto"/>
              <w:left w:val="single" w:sz="4" w:space="0" w:color="000000"/>
              <w:bottom w:val="single" w:sz="4" w:space="0" w:color="auto"/>
            </w:tcBorders>
            <w:vAlign w:val="center"/>
          </w:tcPr>
          <w:p>
            <w:pPr>
              <w:pStyle w:val="TableParagraph"/>
              <w:spacing w:line="360" w:lineRule="auto"/>
              <w:jc w:val="both"/>
              <w:rPr>
                <w:rFonts w:ascii="等线" w:hAnsi="等线" w:hint="eastAsia"/>
                <w:sz w:val="20"/>
                <w:szCs w:val="20"/>
              </w:rPr>
            </w:pPr>
            <w:r>
              <w:rPr>
                <w:rFonts w:ascii="等线" w:hAnsi="等线"/>
                <w:sz w:val="20"/>
                <w:szCs w:val="20"/>
              </w:rPr>
              <w:t>无损坏和漏水。</w:t>
            </w:r>
          </w:p>
          <w:p>
            <w:pPr>
              <w:pStyle w:val="TableParagraph"/>
              <w:spacing w:line="360" w:lineRule="auto"/>
              <w:jc w:val="both"/>
              <w:rPr>
                <w:rFonts w:ascii="等线" w:hAnsi="等线" w:hint="eastAsia"/>
                <w:sz w:val="20"/>
                <w:szCs w:val="20"/>
              </w:rPr>
            </w:pPr>
            <w:r>
              <w:rPr>
                <w:rFonts w:ascii="等线" w:hAnsi="等线"/>
                <w:sz w:val="20"/>
                <w:szCs w:val="20"/>
              </w:rPr>
              <w:t>幕墙玻璃无损坏。</w:t>
            </w:r>
          </w:p>
        </w:tc>
      </w:tr>
      <w:tr>
        <w:tblPrEx>
          <w:tblW w:w="5000" w:type="pct"/>
          <w:tblInd w:w="-15" w:type="dxa"/>
          <w:tblCellMar>
            <w:top w:w="0" w:type="dxa"/>
            <w:left w:w="0" w:type="dxa"/>
            <w:bottom w:w="0" w:type="dxa"/>
            <w:right w:w="0" w:type="dxa"/>
          </w:tblCellMar>
        </w:tblPrEx>
        <w:trPr>
          <w:trHeight w:val="702"/>
        </w:trPr>
        <w:tc>
          <w:tcPr>
            <w:tcW w:w="303" w:type="pct"/>
            <w:vMerge/>
            <w:tcBorders>
              <w:right w:val="single" w:sz="4" w:space="0" w:color="000000"/>
            </w:tcBorders>
            <w:vAlign w:val="center"/>
          </w:tcPr>
          <w:p>
            <w:pPr>
              <w:spacing w:line="360" w:lineRule="auto"/>
              <w:rPr>
                <w:rFonts w:ascii="等线" w:hAnsi="等线" w:hint="eastAsia"/>
                <w:sz w:val="20"/>
                <w:szCs w:val="20"/>
              </w:rPr>
            </w:pPr>
          </w:p>
        </w:tc>
        <w:tc>
          <w:tcPr>
            <w:tcW w:w="687" w:type="pct"/>
            <w:gridSpan w:val="2"/>
            <w:vMerge/>
            <w:tcBorders>
              <w:left w:val="single" w:sz="4" w:space="0" w:color="000000"/>
              <w:right w:val="single" w:sz="4" w:space="0" w:color="000000"/>
            </w:tcBorders>
            <w:vAlign w:val="center"/>
          </w:tcPr>
          <w:p>
            <w:pPr>
              <w:spacing w:line="360" w:lineRule="auto"/>
              <w:rPr>
                <w:rFonts w:ascii="等线" w:hAnsi="等线" w:hint="eastAsia"/>
                <w:sz w:val="20"/>
                <w:szCs w:val="20"/>
              </w:rPr>
            </w:pPr>
          </w:p>
        </w:tc>
        <w:tc>
          <w:tcPr>
            <w:tcW w:w="638" w:type="pct"/>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每年</w:t>
            </w:r>
          </w:p>
        </w:tc>
        <w:tc>
          <w:tcPr>
            <w:tcW w:w="1312" w:type="pct"/>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对外墙作全面检查。</w:t>
            </w:r>
          </w:p>
        </w:tc>
        <w:tc>
          <w:tcPr>
            <w:tcW w:w="1481" w:type="pct"/>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1.雨季时期对用户窗台进行密封维护检查，杜绝雨水侵入。</w:t>
            </w:r>
          </w:p>
          <w:p>
            <w:pPr>
              <w:pStyle w:val="TableParagraph"/>
              <w:spacing w:line="360" w:lineRule="auto"/>
              <w:jc w:val="both"/>
              <w:rPr>
                <w:rFonts w:ascii="等线" w:hAnsi="等线" w:hint="eastAsia"/>
                <w:sz w:val="20"/>
                <w:szCs w:val="20"/>
              </w:rPr>
            </w:pPr>
            <w:r>
              <w:rPr>
                <w:rFonts w:ascii="等线" w:hAnsi="等线"/>
                <w:sz w:val="20"/>
                <w:szCs w:val="20"/>
              </w:rPr>
              <w:t>2.对于外墙面大面积渗漏久修无效的，局部翻新以防止渗漏面积扩大。</w:t>
            </w:r>
          </w:p>
        </w:tc>
        <w:tc>
          <w:tcPr>
            <w:tcW w:w="579" w:type="pct"/>
            <w:tcBorders>
              <w:top w:val="single" w:sz="4" w:space="0" w:color="auto"/>
              <w:left w:val="single" w:sz="4" w:space="0" w:color="000000"/>
              <w:bottom w:val="single" w:sz="4" w:space="0" w:color="auto"/>
            </w:tcBorders>
            <w:vAlign w:val="center"/>
          </w:tcPr>
          <w:p>
            <w:pPr>
              <w:pStyle w:val="TableParagraph"/>
              <w:spacing w:line="360" w:lineRule="auto"/>
              <w:jc w:val="both"/>
              <w:rPr>
                <w:rFonts w:ascii="等线" w:hAnsi="等线" w:hint="eastAsia"/>
                <w:sz w:val="20"/>
                <w:szCs w:val="20"/>
              </w:rPr>
            </w:pPr>
            <w:r>
              <w:rPr>
                <w:rFonts w:ascii="等线" w:hAnsi="等线"/>
                <w:sz w:val="20"/>
                <w:szCs w:val="20"/>
              </w:rPr>
              <w:t>保证大楼完好、整洁</w:t>
            </w:r>
          </w:p>
        </w:tc>
      </w:tr>
      <w:tr>
        <w:tblPrEx>
          <w:tblW w:w="5000" w:type="pct"/>
          <w:tblInd w:w="-15" w:type="dxa"/>
          <w:tblCellMar>
            <w:top w:w="0" w:type="dxa"/>
            <w:left w:w="0" w:type="dxa"/>
            <w:bottom w:w="0" w:type="dxa"/>
            <w:right w:w="0" w:type="dxa"/>
          </w:tblCellMar>
        </w:tblPrEx>
        <w:trPr>
          <w:trHeight w:val="702"/>
        </w:trPr>
        <w:tc>
          <w:tcPr>
            <w:tcW w:w="303" w:type="pct"/>
            <w:tcBorders>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9</w:t>
            </w:r>
          </w:p>
        </w:tc>
        <w:tc>
          <w:tcPr>
            <w:tcW w:w="687" w:type="pct"/>
            <w:gridSpan w:val="2"/>
            <w:tcBorders>
              <w:left w:val="single" w:sz="4" w:space="0" w:color="000000"/>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地下室</w:t>
            </w:r>
          </w:p>
        </w:tc>
        <w:tc>
          <w:tcPr>
            <w:tcW w:w="638" w:type="pct"/>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每周检查</w:t>
            </w:r>
          </w:p>
        </w:tc>
        <w:tc>
          <w:tcPr>
            <w:tcW w:w="1312" w:type="pct"/>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检查地下室天花、墙面和地板面有无起壳、脱落和渗漏水现象。</w:t>
            </w:r>
          </w:p>
        </w:tc>
        <w:tc>
          <w:tcPr>
            <w:tcW w:w="1481" w:type="pct"/>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发现问题及时修复。</w:t>
            </w:r>
          </w:p>
          <w:p>
            <w:pPr>
              <w:pStyle w:val="TableParagraph"/>
              <w:spacing w:line="360" w:lineRule="auto"/>
              <w:jc w:val="both"/>
              <w:rPr>
                <w:rFonts w:ascii="等线" w:hAnsi="等线" w:hint="eastAsia"/>
                <w:sz w:val="20"/>
                <w:szCs w:val="20"/>
              </w:rPr>
            </w:pPr>
            <w:r>
              <w:rPr>
                <w:rFonts w:ascii="等线" w:hAnsi="等线"/>
                <w:sz w:val="20"/>
                <w:szCs w:val="20"/>
              </w:rPr>
              <w:t>按房屋修缮</w:t>
            </w:r>
            <w:r>
              <w:rPr>
                <w:rFonts w:ascii="等线" w:hAnsi="等线" w:hint="eastAsia"/>
                <w:sz w:val="20"/>
                <w:szCs w:val="20"/>
                <w:lang w:val="en-US"/>
              </w:rPr>
              <w:t>相关</w:t>
            </w:r>
            <w:r>
              <w:rPr>
                <w:rFonts w:ascii="等线" w:hAnsi="等线"/>
                <w:sz w:val="20"/>
                <w:szCs w:val="20"/>
              </w:rPr>
              <w:t>规定实施维修。</w:t>
            </w:r>
          </w:p>
        </w:tc>
        <w:tc>
          <w:tcPr>
            <w:tcW w:w="579" w:type="pct"/>
            <w:tcBorders>
              <w:top w:val="single" w:sz="4" w:space="0" w:color="auto"/>
              <w:left w:val="single" w:sz="4" w:space="0" w:color="000000"/>
              <w:bottom w:val="single" w:sz="4" w:space="0" w:color="auto"/>
            </w:tcBorders>
            <w:vAlign w:val="center"/>
          </w:tcPr>
          <w:p>
            <w:pPr>
              <w:pStyle w:val="TableParagraph"/>
              <w:spacing w:line="360" w:lineRule="auto"/>
              <w:jc w:val="both"/>
              <w:rPr>
                <w:rFonts w:ascii="等线" w:hAnsi="等线" w:hint="eastAsia"/>
                <w:sz w:val="20"/>
                <w:szCs w:val="20"/>
              </w:rPr>
            </w:pPr>
            <w:r>
              <w:rPr>
                <w:rFonts w:ascii="等线" w:hAnsi="等线"/>
                <w:sz w:val="20"/>
                <w:szCs w:val="20"/>
              </w:rPr>
              <w:t>无渗漏水、 起壳、脱落现象。</w:t>
            </w:r>
          </w:p>
        </w:tc>
      </w:tr>
      <w:tr>
        <w:tblPrEx>
          <w:tblW w:w="5000" w:type="pct"/>
          <w:tblInd w:w="-15" w:type="dxa"/>
          <w:tblCellMar>
            <w:top w:w="0" w:type="dxa"/>
            <w:left w:w="0" w:type="dxa"/>
            <w:bottom w:w="0" w:type="dxa"/>
            <w:right w:w="0" w:type="dxa"/>
          </w:tblCellMar>
        </w:tblPrEx>
        <w:trPr>
          <w:trHeight w:val="702"/>
        </w:trPr>
        <w:tc>
          <w:tcPr>
            <w:tcW w:w="303" w:type="pct"/>
            <w:tcBorders>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10</w:t>
            </w:r>
          </w:p>
        </w:tc>
        <w:tc>
          <w:tcPr>
            <w:tcW w:w="687" w:type="pct"/>
            <w:gridSpan w:val="2"/>
            <w:tcBorders>
              <w:left w:val="single" w:sz="4" w:space="0" w:color="000000"/>
              <w:right w:val="single" w:sz="4" w:space="0" w:color="000000"/>
            </w:tcBorders>
            <w:vAlign w:val="center"/>
          </w:tcPr>
          <w:p>
            <w:pPr>
              <w:spacing w:line="360" w:lineRule="auto"/>
              <w:rPr>
                <w:rFonts w:ascii="等线" w:hAnsi="等线" w:hint="eastAsia"/>
                <w:sz w:val="20"/>
                <w:szCs w:val="20"/>
              </w:rPr>
            </w:pPr>
            <w:r>
              <w:rPr>
                <w:rFonts w:ascii="等线" w:hAnsi="等线"/>
                <w:sz w:val="20"/>
                <w:szCs w:val="20"/>
              </w:rPr>
              <w:t>门窗</w:t>
            </w:r>
          </w:p>
        </w:tc>
        <w:tc>
          <w:tcPr>
            <w:tcW w:w="638" w:type="pct"/>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每半月检查</w:t>
            </w:r>
          </w:p>
        </w:tc>
        <w:tc>
          <w:tcPr>
            <w:tcW w:w="1312" w:type="pct"/>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1．检查木门门扇有无松动、下垂、翘曲变形、霉变和腐朽。</w:t>
            </w:r>
          </w:p>
          <w:p>
            <w:pPr>
              <w:pStyle w:val="TableParagraph"/>
              <w:spacing w:line="360" w:lineRule="auto"/>
              <w:jc w:val="both"/>
              <w:rPr>
                <w:rFonts w:ascii="等线" w:hAnsi="等线" w:hint="eastAsia"/>
                <w:sz w:val="20"/>
                <w:szCs w:val="20"/>
              </w:rPr>
            </w:pPr>
            <w:r>
              <w:rPr>
                <w:rFonts w:ascii="等线" w:hAnsi="等线"/>
                <w:sz w:val="20"/>
                <w:szCs w:val="20"/>
              </w:rPr>
              <w:t>2．(塑)钢门窗、铝合金门窗有无变形、生锈。</w:t>
            </w:r>
          </w:p>
        </w:tc>
        <w:tc>
          <w:tcPr>
            <w:tcW w:w="1481" w:type="pct"/>
            <w:tcBorders>
              <w:top w:val="single" w:sz="4" w:space="0" w:color="auto"/>
              <w:left w:val="single" w:sz="4" w:space="0" w:color="000000"/>
              <w:bottom w:val="single" w:sz="4" w:space="0" w:color="auto"/>
              <w:right w:val="single" w:sz="4" w:space="0" w:color="000000"/>
            </w:tcBorders>
            <w:vAlign w:val="center"/>
          </w:tcPr>
          <w:p>
            <w:pPr>
              <w:pStyle w:val="TableParagraph"/>
              <w:spacing w:line="360" w:lineRule="auto"/>
              <w:jc w:val="both"/>
              <w:rPr>
                <w:rFonts w:ascii="等线" w:hAnsi="等线" w:hint="eastAsia"/>
                <w:sz w:val="20"/>
                <w:szCs w:val="20"/>
              </w:rPr>
            </w:pPr>
            <w:r>
              <w:rPr>
                <w:rFonts w:ascii="等线" w:hAnsi="等线"/>
                <w:sz w:val="20"/>
                <w:szCs w:val="20"/>
              </w:rPr>
              <w:t>1.门转轴或摩擦磨损部位加润滑油。</w:t>
            </w:r>
          </w:p>
          <w:p>
            <w:pPr>
              <w:pStyle w:val="TableParagraph"/>
              <w:spacing w:line="360" w:lineRule="auto"/>
              <w:jc w:val="both"/>
              <w:rPr>
                <w:rFonts w:ascii="等线" w:hAnsi="等线" w:hint="eastAsia"/>
                <w:sz w:val="20"/>
                <w:szCs w:val="20"/>
              </w:rPr>
            </w:pPr>
            <w:r>
              <w:rPr>
                <w:rFonts w:ascii="等线" w:hAnsi="等线"/>
                <w:sz w:val="20"/>
                <w:szCs w:val="20"/>
              </w:rPr>
              <w:t>2. 发现问题及时修复。</w:t>
            </w:r>
          </w:p>
        </w:tc>
        <w:tc>
          <w:tcPr>
            <w:tcW w:w="579" w:type="pct"/>
            <w:tcBorders>
              <w:top w:val="single" w:sz="4" w:space="0" w:color="auto"/>
              <w:left w:val="single" w:sz="4" w:space="0" w:color="000000"/>
              <w:bottom w:val="single" w:sz="4" w:space="0" w:color="auto"/>
            </w:tcBorders>
            <w:vAlign w:val="center"/>
          </w:tcPr>
          <w:p>
            <w:pPr>
              <w:pStyle w:val="TableParagraph"/>
              <w:spacing w:line="360" w:lineRule="auto"/>
              <w:jc w:val="both"/>
              <w:rPr>
                <w:rFonts w:ascii="等线" w:hAnsi="等线" w:hint="eastAsia"/>
                <w:sz w:val="20"/>
                <w:szCs w:val="20"/>
              </w:rPr>
            </w:pPr>
            <w:r>
              <w:rPr>
                <w:rFonts w:ascii="等线" w:hAnsi="等线"/>
                <w:sz w:val="20"/>
                <w:szCs w:val="20"/>
              </w:rPr>
              <w:t>木门无松 动下垂、霉变和腐 朽；门窗无</w:t>
            </w:r>
          </w:p>
          <w:p>
            <w:pPr>
              <w:pStyle w:val="TableParagraph"/>
              <w:spacing w:line="360" w:lineRule="auto"/>
              <w:jc w:val="both"/>
              <w:rPr>
                <w:rFonts w:ascii="等线" w:hAnsi="等线" w:hint="eastAsia"/>
                <w:sz w:val="20"/>
                <w:szCs w:val="20"/>
              </w:rPr>
            </w:pPr>
            <w:r>
              <w:rPr>
                <w:rFonts w:ascii="等线" w:hAnsi="等线"/>
                <w:sz w:val="20"/>
                <w:szCs w:val="20"/>
              </w:rPr>
              <w:t>变形、生锈。</w:t>
            </w:r>
          </w:p>
        </w:tc>
      </w:tr>
    </w:tbl>
    <w:p>
      <w:pPr>
        <w:autoSpaceDE w:val="0"/>
        <w:autoSpaceDN w:val="0"/>
        <w:spacing w:line="360" w:lineRule="auto"/>
        <w:rPr>
          <w:rFonts w:ascii="宋体" w:hAnsi="宋体" w:cs="宋体" w:hint="eastAsia"/>
          <w:b/>
          <w:szCs w:val="21"/>
          <w:lang w:val="zh-CN" w:bidi="zh-CN"/>
        </w:rPr>
      </w:pPr>
      <w:r>
        <w:rPr>
          <w:rFonts w:ascii="宋体" w:hAnsi="宋体" w:cs="宋体"/>
          <w:b/>
          <w:szCs w:val="21"/>
          <w:lang w:val="zh-CN" w:bidi="zh-CN"/>
        </w:rPr>
        <w:t>3.共用设备管理与维修养护标准</w:t>
      </w:r>
    </w:p>
    <w:p>
      <w:pPr>
        <w:autoSpaceDE w:val="0"/>
        <w:autoSpaceDN w:val="0"/>
        <w:spacing w:line="360" w:lineRule="auto"/>
        <w:rPr>
          <w:rFonts w:ascii="宋体" w:hAnsi="宋体" w:cs="宋体" w:hint="eastAsia"/>
          <w:szCs w:val="21"/>
          <w:lang w:val="zh-CN" w:bidi="zh-CN"/>
        </w:rPr>
      </w:pPr>
      <w:r>
        <w:rPr>
          <w:rFonts w:ascii="宋体" w:hAnsi="宋体" w:cs="宋体" w:hint="eastAsia"/>
          <w:szCs w:val="21"/>
          <w:lang w:val="zh-CN" w:bidi="zh-CN"/>
        </w:rPr>
        <w:t>（</w:t>
      </w:r>
      <w:r>
        <w:rPr>
          <w:rFonts w:ascii="宋体" w:hAnsi="宋体" w:cs="宋体"/>
          <w:szCs w:val="21"/>
          <w:lang w:val="zh-CN" w:bidi="zh-CN"/>
        </w:rPr>
        <w:t>1）供配电系统</w:t>
      </w:r>
    </w:p>
    <w:tbl>
      <w:tblPr>
        <w:tblStyle w:val="TableNormal"/>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top w:w="0" w:type="dxa"/>
          <w:left w:w="0" w:type="dxa"/>
          <w:bottom w:w="0" w:type="dxa"/>
          <w:right w:w="0" w:type="dxa"/>
        </w:tblCellMar>
      </w:tblPr>
      <w:tblGrid>
        <w:gridCol w:w="713"/>
        <w:gridCol w:w="567"/>
        <w:gridCol w:w="4869"/>
        <w:gridCol w:w="2011"/>
      </w:tblGrid>
      <w:tr>
        <w:tblPrEx>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top w:w="0" w:type="dxa"/>
            <w:left w:w="0" w:type="dxa"/>
            <w:bottom w:w="0" w:type="dxa"/>
            <w:right w:w="0" w:type="dxa"/>
          </w:tblCellMar>
        </w:tblPrEx>
        <w:trPr>
          <w:trHeight w:val="568"/>
        </w:trPr>
        <w:tc>
          <w:tcPr>
            <w:tcW w:w="713" w:type="dxa"/>
            <w:tcBorders>
              <w:bottom w:val="single" w:sz="4" w:space="0" w:color="000000"/>
              <w:right w:val="single" w:sz="4"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项目</w:t>
            </w:r>
          </w:p>
        </w:tc>
        <w:tc>
          <w:tcPr>
            <w:tcW w:w="567" w:type="dxa"/>
            <w:tcBorders>
              <w:left w:val="single" w:sz="4" w:space="0" w:color="000000"/>
              <w:bottom w:val="single" w:sz="4" w:space="0" w:color="000000"/>
              <w:right w:val="single" w:sz="4"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频次</w:t>
            </w:r>
          </w:p>
        </w:tc>
        <w:tc>
          <w:tcPr>
            <w:tcW w:w="4869" w:type="dxa"/>
            <w:tcBorders>
              <w:left w:val="single" w:sz="4" w:space="0" w:color="000000"/>
              <w:bottom w:val="single" w:sz="4" w:space="0" w:color="000000"/>
              <w:right w:val="single" w:sz="4"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内容</w:t>
            </w:r>
          </w:p>
        </w:tc>
        <w:tc>
          <w:tcPr>
            <w:tcW w:w="2011" w:type="dxa"/>
            <w:tcBorders>
              <w:left w:val="single" w:sz="4" w:space="0" w:color="000000"/>
              <w:bottom w:val="single" w:sz="4"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具体要求</w:t>
            </w:r>
          </w:p>
        </w:tc>
      </w:tr>
      <w:tr>
        <w:tblPrEx>
          <w:tblW w:w="0" w:type="auto"/>
          <w:tblInd w:w="108" w:type="dxa"/>
          <w:tblCellMar>
            <w:top w:w="0" w:type="dxa"/>
            <w:left w:w="0" w:type="dxa"/>
            <w:bottom w:w="0" w:type="dxa"/>
            <w:right w:w="0" w:type="dxa"/>
          </w:tblCellMar>
        </w:tblPrEx>
        <w:trPr>
          <w:trHeight w:val="1711"/>
        </w:trPr>
        <w:tc>
          <w:tcPr>
            <w:tcW w:w="713" w:type="dxa"/>
            <w:vMerge w:val="restart"/>
            <w:tcBorders>
              <w:top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高压环网柜</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每月一次</w:t>
            </w:r>
          </w:p>
        </w:tc>
        <w:tc>
          <w:tcPr>
            <w:tcW w:w="4869" w:type="dxa"/>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9"/>
              </w:numPr>
              <w:tabs>
                <w:tab w:val="left" w:pos="344"/>
              </w:tabs>
              <w:spacing w:line="360" w:lineRule="auto"/>
              <w:ind w:left="0" w:firstLine="0"/>
              <w:jc w:val="both"/>
              <w:rPr>
                <w:rFonts w:hint="eastAsia"/>
                <w:sz w:val="20"/>
                <w:szCs w:val="20"/>
              </w:rPr>
            </w:pPr>
            <w:r>
              <w:rPr>
                <w:sz w:val="20"/>
                <w:szCs w:val="20"/>
              </w:rPr>
              <w:t>每月清理外部灰尘；</w:t>
            </w:r>
          </w:p>
          <w:p>
            <w:pPr>
              <w:pStyle w:val="TableParagraph"/>
              <w:numPr>
                <w:ilvl w:val="0"/>
                <w:numId w:val="9"/>
              </w:numPr>
              <w:tabs>
                <w:tab w:val="left" w:pos="344"/>
              </w:tabs>
              <w:spacing w:line="360" w:lineRule="auto"/>
              <w:ind w:left="0" w:firstLine="0"/>
              <w:jc w:val="both"/>
              <w:rPr>
                <w:rFonts w:hint="eastAsia"/>
                <w:sz w:val="20"/>
                <w:szCs w:val="20"/>
              </w:rPr>
            </w:pPr>
            <w:r>
              <w:rPr>
                <w:sz w:val="20"/>
                <w:szCs w:val="20"/>
              </w:rPr>
              <w:t>每日检查外观是否良好，有无异声；</w:t>
            </w:r>
          </w:p>
          <w:p>
            <w:pPr>
              <w:pStyle w:val="TableParagraph"/>
              <w:numPr>
                <w:ilvl w:val="0"/>
                <w:numId w:val="9"/>
              </w:numPr>
              <w:tabs>
                <w:tab w:val="left" w:pos="344"/>
              </w:tabs>
              <w:spacing w:line="360" w:lineRule="auto"/>
              <w:ind w:left="0" w:firstLine="0"/>
              <w:jc w:val="both"/>
              <w:rPr>
                <w:rFonts w:hint="eastAsia"/>
                <w:sz w:val="20"/>
                <w:szCs w:val="20"/>
              </w:rPr>
            </w:pPr>
            <w:r>
              <w:rPr>
                <w:sz w:val="20"/>
                <w:szCs w:val="20"/>
              </w:rPr>
              <w:t>指示灯是否完好；</w:t>
            </w:r>
          </w:p>
          <w:p>
            <w:pPr>
              <w:pStyle w:val="TableParagraph"/>
              <w:numPr>
                <w:ilvl w:val="0"/>
                <w:numId w:val="9"/>
              </w:numPr>
              <w:tabs>
                <w:tab w:val="left" w:pos="237"/>
              </w:tabs>
              <w:spacing w:line="360" w:lineRule="auto"/>
              <w:ind w:left="0" w:firstLine="0"/>
              <w:jc w:val="both"/>
              <w:rPr>
                <w:rFonts w:hint="eastAsia"/>
                <w:sz w:val="20"/>
                <w:szCs w:val="20"/>
              </w:rPr>
            </w:pPr>
            <w:r>
              <w:rPr>
                <w:sz w:val="20"/>
                <w:szCs w:val="20"/>
              </w:rPr>
              <w:t>警示标识挂设位置是否正确。</w:t>
            </w:r>
          </w:p>
        </w:tc>
        <w:tc>
          <w:tcPr>
            <w:tcW w:w="2011" w:type="dxa"/>
            <w:tcBorders>
              <w:top w:val="single" w:sz="4" w:space="0" w:color="000000"/>
              <w:left w:val="single" w:sz="4" w:space="0" w:color="000000"/>
              <w:bottom w:val="single" w:sz="4" w:space="0" w:color="000000"/>
            </w:tcBorders>
            <w:vAlign w:val="center"/>
          </w:tcPr>
          <w:p>
            <w:pPr>
              <w:spacing w:line="360" w:lineRule="auto"/>
              <w:rPr>
                <w:rFonts w:ascii="宋体" w:hAnsi="宋体" w:hint="eastAsia"/>
                <w:sz w:val="20"/>
                <w:szCs w:val="20"/>
              </w:rPr>
            </w:pPr>
            <w:r>
              <w:rPr>
                <w:rFonts w:ascii="宋体" w:hAnsi="宋体"/>
                <w:sz w:val="20"/>
                <w:szCs w:val="20"/>
              </w:rPr>
              <w:t>外观整洁，指示灯完好标示位置正确</w:t>
            </w:r>
          </w:p>
        </w:tc>
      </w:tr>
      <w:tr>
        <w:tblPrEx>
          <w:tblW w:w="0" w:type="auto"/>
          <w:tblInd w:w="108" w:type="dxa"/>
          <w:tblCellMar>
            <w:top w:w="0" w:type="dxa"/>
            <w:left w:w="0" w:type="dxa"/>
            <w:bottom w:w="0" w:type="dxa"/>
            <w:right w:w="0" w:type="dxa"/>
          </w:tblCellMar>
        </w:tblPrEx>
        <w:trPr>
          <w:trHeight w:val="1137"/>
        </w:trPr>
        <w:tc>
          <w:tcPr>
            <w:tcW w:w="713" w:type="dxa"/>
            <w:vMerge/>
            <w:tcBorders>
              <w:top w:val="nil"/>
              <w:bottom w:val="single" w:sz="4" w:space="0" w:color="000000"/>
              <w:right w:val="single" w:sz="4" w:space="0" w:color="000000"/>
            </w:tcBorders>
            <w:vAlign w:val="center"/>
          </w:tcPr>
          <w:p>
            <w:pPr>
              <w:spacing w:line="360" w:lineRule="auto"/>
              <w:rPr>
                <w:rFonts w:ascii="宋体" w:hAnsi="宋体" w:hint="eastAsia"/>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每半年一次</w:t>
            </w:r>
          </w:p>
        </w:tc>
        <w:tc>
          <w:tcPr>
            <w:tcW w:w="4869" w:type="dxa"/>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10"/>
              </w:numPr>
              <w:tabs>
                <w:tab w:val="left" w:pos="237"/>
              </w:tabs>
              <w:spacing w:line="360" w:lineRule="auto"/>
              <w:ind w:left="0" w:firstLine="0"/>
              <w:jc w:val="both"/>
              <w:rPr>
                <w:rFonts w:hint="eastAsia"/>
                <w:sz w:val="20"/>
                <w:szCs w:val="20"/>
              </w:rPr>
            </w:pPr>
            <w:r>
              <w:rPr>
                <w:sz w:val="20"/>
                <w:szCs w:val="20"/>
              </w:rPr>
              <w:t>检查操作机构是否灵活、互锁机构是否正确；</w:t>
            </w:r>
          </w:p>
          <w:p>
            <w:pPr>
              <w:pStyle w:val="TableParagraph"/>
              <w:numPr>
                <w:ilvl w:val="0"/>
                <w:numId w:val="10"/>
              </w:numPr>
              <w:tabs>
                <w:tab w:val="left" w:pos="237"/>
              </w:tabs>
              <w:spacing w:line="360" w:lineRule="auto"/>
              <w:ind w:left="0" w:firstLine="0"/>
              <w:jc w:val="both"/>
              <w:rPr>
                <w:rFonts w:hint="eastAsia"/>
                <w:sz w:val="20"/>
                <w:szCs w:val="20"/>
              </w:rPr>
            </w:pPr>
            <w:r>
              <w:rPr>
                <w:sz w:val="20"/>
                <w:szCs w:val="20"/>
              </w:rPr>
              <w:t>检测接地电阻、连接点是否可靠；</w:t>
            </w:r>
          </w:p>
          <w:p>
            <w:pPr>
              <w:pStyle w:val="TableParagraph"/>
              <w:numPr>
                <w:ilvl w:val="0"/>
                <w:numId w:val="10"/>
              </w:numPr>
              <w:tabs>
                <w:tab w:val="left" w:pos="237"/>
              </w:tabs>
              <w:spacing w:line="360" w:lineRule="auto"/>
              <w:ind w:left="0" w:firstLine="0"/>
              <w:jc w:val="both"/>
              <w:rPr>
                <w:rFonts w:hint="eastAsia"/>
                <w:sz w:val="20"/>
                <w:szCs w:val="20"/>
              </w:rPr>
            </w:pPr>
            <w:r>
              <w:rPr>
                <w:sz w:val="20"/>
                <w:szCs w:val="20"/>
              </w:rPr>
              <w:t>检查电源接线装置，并紧固螺丝。</w:t>
            </w:r>
          </w:p>
        </w:tc>
        <w:tc>
          <w:tcPr>
            <w:tcW w:w="2011" w:type="dxa"/>
            <w:tcBorders>
              <w:top w:val="single" w:sz="4" w:space="0" w:color="000000"/>
              <w:left w:val="single" w:sz="4" w:space="0" w:color="000000"/>
              <w:bottom w:val="single" w:sz="4" w:space="0" w:color="000000"/>
            </w:tcBorders>
            <w:vAlign w:val="center"/>
          </w:tcPr>
          <w:p>
            <w:pPr>
              <w:spacing w:line="360" w:lineRule="auto"/>
              <w:rPr>
                <w:rFonts w:ascii="宋体" w:hAnsi="宋体" w:hint="eastAsia"/>
                <w:sz w:val="20"/>
                <w:szCs w:val="20"/>
              </w:rPr>
            </w:pPr>
            <w:r>
              <w:rPr>
                <w:rFonts w:ascii="宋体" w:hAnsi="宋体"/>
                <w:sz w:val="20"/>
                <w:szCs w:val="20"/>
              </w:rPr>
              <w:t>阻值符合规范，线头紧固，操作机构灵活</w:t>
            </w:r>
          </w:p>
        </w:tc>
      </w:tr>
      <w:tr>
        <w:tblPrEx>
          <w:tblW w:w="0" w:type="auto"/>
          <w:tblInd w:w="108" w:type="dxa"/>
          <w:tblCellMar>
            <w:top w:w="0" w:type="dxa"/>
            <w:left w:w="0" w:type="dxa"/>
            <w:bottom w:w="0" w:type="dxa"/>
            <w:right w:w="0" w:type="dxa"/>
          </w:tblCellMar>
        </w:tblPrEx>
        <w:trPr>
          <w:trHeight w:val="1125"/>
        </w:trPr>
        <w:tc>
          <w:tcPr>
            <w:tcW w:w="713" w:type="dxa"/>
            <w:vMerge w:val="restart"/>
            <w:tcBorders>
              <w:top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变压器</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每月一次</w:t>
            </w:r>
          </w:p>
        </w:tc>
        <w:tc>
          <w:tcPr>
            <w:tcW w:w="4869" w:type="dxa"/>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1.每日检查温控器显示、有无异声异味是否正常；</w:t>
            </w:r>
          </w:p>
          <w:p>
            <w:pPr>
              <w:pStyle w:val="TableParagraph"/>
              <w:spacing w:line="360" w:lineRule="auto"/>
              <w:jc w:val="both"/>
              <w:rPr>
                <w:rFonts w:hint="eastAsia"/>
                <w:sz w:val="20"/>
                <w:szCs w:val="20"/>
              </w:rPr>
            </w:pPr>
            <w:r>
              <w:rPr>
                <w:sz w:val="20"/>
                <w:szCs w:val="20"/>
              </w:rPr>
              <w:t>2. 检查变压器电压、电流是否在额定范围内；并作好运行记录，归档。</w:t>
            </w:r>
          </w:p>
        </w:tc>
        <w:tc>
          <w:tcPr>
            <w:tcW w:w="2011" w:type="dxa"/>
            <w:tcBorders>
              <w:top w:val="single" w:sz="4" w:space="0" w:color="000000"/>
              <w:left w:val="single" w:sz="4" w:space="0" w:color="000000"/>
              <w:bottom w:val="single" w:sz="4" w:space="0" w:color="000000"/>
            </w:tcBorders>
            <w:vAlign w:val="center"/>
          </w:tcPr>
          <w:p>
            <w:pPr>
              <w:spacing w:line="360" w:lineRule="auto"/>
              <w:jc w:val="center"/>
              <w:rPr>
                <w:rFonts w:ascii="宋体" w:hAnsi="宋体" w:hint="eastAsia"/>
                <w:sz w:val="20"/>
                <w:szCs w:val="20"/>
              </w:rPr>
            </w:pPr>
            <w:r>
              <w:rPr>
                <w:rFonts w:ascii="宋体" w:hAnsi="宋体"/>
                <w:sz w:val="20"/>
                <w:szCs w:val="20"/>
              </w:rPr>
              <w:t>各项正常</w:t>
            </w:r>
          </w:p>
        </w:tc>
      </w:tr>
      <w:tr>
        <w:tblPrEx>
          <w:tblW w:w="0" w:type="auto"/>
          <w:tblInd w:w="108" w:type="dxa"/>
          <w:tblCellMar>
            <w:top w:w="0" w:type="dxa"/>
            <w:left w:w="0" w:type="dxa"/>
            <w:bottom w:w="0" w:type="dxa"/>
            <w:right w:w="0" w:type="dxa"/>
          </w:tblCellMar>
        </w:tblPrEx>
        <w:trPr>
          <w:trHeight w:val="3623"/>
        </w:trPr>
        <w:tc>
          <w:tcPr>
            <w:tcW w:w="713" w:type="dxa"/>
            <w:vMerge/>
            <w:tcBorders>
              <w:right w:val="single" w:sz="4" w:space="0" w:color="000000"/>
            </w:tcBorders>
            <w:vAlign w:val="center"/>
          </w:tcPr>
          <w:p>
            <w:pPr>
              <w:pStyle w:val="TableParagraph"/>
              <w:spacing w:line="360" w:lineRule="auto"/>
              <w:jc w:val="both"/>
              <w:rPr>
                <w:rFonts w:hint="eastAsia"/>
                <w:sz w:val="20"/>
                <w:szCs w:val="20"/>
              </w:rPr>
            </w:pPr>
          </w:p>
        </w:tc>
        <w:tc>
          <w:tcPr>
            <w:tcW w:w="567" w:type="dxa"/>
            <w:tcBorders>
              <w:top w:val="single" w:sz="4" w:space="0" w:color="000000"/>
              <w:left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每半年一次</w:t>
            </w:r>
          </w:p>
        </w:tc>
        <w:tc>
          <w:tcPr>
            <w:tcW w:w="4869" w:type="dxa"/>
            <w:tcBorders>
              <w:top w:val="single" w:sz="4" w:space="0" w:color="000000"/>
              <w:left w:val="single" w:sz="4" w:space="0" w:color="000000"/>
              <w:right w:val="single" w:sz="4" w:space="0" w:color="000000"/>
            </w:tcBorders>
            <w:vAlign w:val="center"/>
          </w:tcPr>
          <w:p>
            <w:pPr>
              <w:spacing w:line="360" w:lineRule="auto"/>
              <w:rPr>
                <w:rFonts w:ascii="宋体" w:hAnsi="宋体" w:hint="eastAsia"/>
                <w:sz w:val="20"/>
                <w:szCs w:val="20"/>
              </w:rPr>
            </w:pPr>
            <w:r>
              <w:rPr>
                <w:rFonts w:ascii="宋体" w:hAnsi="宋体"/>
                <w:sz w:val="20"/>
                <w:szCs w:val="20"/>
              </w:rPr>
              <w:t>1.清扫变压器外壳；</w:t>
            </w:r>
          </w:p>
          <w:p>
            <w:pPr>
              <w:pStyle w:val="TableParagraph"/>
              <w:spacing w:line="360" w:lineRule="auto"/>
              <w:jc w:val="both"/>
              <w:rPr>
                <w:rFonts w:hint="eastAsia"/>
                <w:sz w:val="20"/>
                <w:szCs w:val="20"/>
              </w:rPr>
            </w:pPr>
            <w:r>
              <w:rPr>
                <w:sz w:val="20"/>
                <w:szCs w:val="20"/>
              </w:rPr>
              <w:t>2.紧固变压器引出线的接头，如发现接头烧伤或过热的痕迹，应进行整修处理并重新接好；</w:t>
            </w:r>
          </w:p>
          <w:p>
            <w:pPr>
              <w:pStyle w:val="TableParagraph"/>
              <w:spacing w:line="360" w:lineRule="auto"/>
              <w:jc w:val="both"/>
              <w:rPr>
                <w:rFonts w:hint="eastAsia"/>
                <w:sz w:val="20"/>
                <w:szCs w:val="20"/>
              </w:rPr>
            </w:pPr>
            <w:r>
              <w:rPr>
                <w:sz w:val="20"/>
                <w:szCs w:val="20"/>
              </w:rPr>
              <w:t>3.检查变压器的接地线是否良好，地线是否被腐蚀，腐蚀严重时应更换地线；</w:t>
            </w:r>
          </w:p>
          <w:p>
            <w:pPr>
              <w:pStyle w:val="TableParagraph"/>
              <w:spacing w:line="360" w:lineRule="auto"/>
              <w:jc w:val="both"/>
              <w:rPr>
                <w:rFonts w:hint="eastAsia"/>
                <w:sz w:val="20"/>
                <w:szCs w:val="20"/>
              </w:rPr>
            </w:pPr>
            <w:r>
              <w:rPr>
                <w:sz w:val="20"/>
                <w:szCs w:val="20"/>
              </w:rPr>
              <w:t>4.年初向采购方申报，委托供电公司对区内所有变压器进行测试、试验等项目的维修保养，并将结果记录并归档。</w:t>
            </w:r>
          </w:p>
        </w:tc>
        <w:tc>
          <w:tcPr>
            <w:tcW w:w="2011" w:type="dxa"/>
            <w:tcBorders>
              <w:top w:val="single" w:sz="4" w:space="0" w:color="000000"/>
              <w:left w:val="single" w:sz="4" w:space="0" w:color="000000"/>
            </w:tcBorders>
            <w:vAlign w:val="center"/>
          </w:tcPr>
          <w:p>
            <w:pPr>
              <w:spacing w:line="360" w:lineRule="auto"/>
              <w:rPr>
                <w:rFonts w:ascii="宋体" w:hAnsi="宋体" w:hint="eastAsia"/>
                <w:sz w:val="20"/>
                <w:szCs w:val="20"/>
              </w:rPr>
            </w:pPr>
            <w:r>
              <w:rPr>
                <w:rFonts w:ascii="宋体" w:hAnsi="宋体"/>
                <w:sz w:val="20"/>
                <w:szCs w:val="20"/>
              </w:rPr>
              <w:t>外观干净整洁；运行状态良好；</w:t>
            </w:r>
          </w:p>
          <w:p>
            <w:pPr>
              <w:spacing w:line="360" w:lineRule="auto"/>
              <w:rPr>
                <w:rFonts w:ascii="宋体" w:hAnsi="宋体" w:hint="eastAsia"/>
                <w:sz w:val="20"/>
                <w:szCs w:val="20"/>
              </w:rPr>
            </w:pPr>
            <w:r>
              <w:rPr>
                <w:rFonts w:ascii="宋体" w:hAnsi="宋体"/>
                <w:sz w:val="20"/>
                <w:szCs w:val="20"/>
              </w:rPr>
              <w:t>保证供电质量；</w:t>
            </w:r>
          </w:p>
          <w:p>
            <w:pPr>
              <w:spacing w:line="360" w:lineRule="auto"/>
              <w:rPr>
                <w:rFonts w:ascii="宋体" w:hAnsi="宋体" w:hint="eastAsia"/>
                <w:sz w:val="20"/>
                <w:szCs w:val="20"/>
              </w:rPr>
            </w:pPr>
            <w:r>
              <w:rPr>
                <w:rFonts w:ascii="宋体" w:hAnsi="宋体"/>
                <w:sz w:val="20"/>
                <w:szCs w:val="20"/>
              </w:rPr>
              <w:t>连接部位无松动、过热现象；</w:t>
            </w:r>
          </w:p>
          <w:p>
            <w:pPr>
              <w:spacing w:line="360" w:lineRule="auto"/>
              <w:rPr>
                <w:rFonts w:ascii="宋体" w:hAnsi="宋体" w:hint="eastAsia"/>
                <w:sz w:val="20"/>
                <w:szCs w:val="20"/>
              </w:rPr>
            </w:pPr>
            <w:r>
              <w:rPr>
                <w:rFonts w:ascii="宋体" w:hAnsi="宋体"/>
                <w:sz w:val="20"/>
                <w:szCs w:val="20"/>
              </w:rPr>
              <w:t>绝缘子无松动、破损</w:t>
            </w:r>
          </w:p>
        </w:tc>
      </w:tr>
      <w:tr>
        <w:tblPrEx>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38"/>
        </w:trPr>
        <w:tc>
          <w:tcPr>
            <w:tcW w:w="713" w:type="dxa"/>
            <w:vMerge w:val="restart"/>
            <w:tcBorders>
              <w:left w:val="single" w:sz="12" w:space="0" w:color="000000"/>
            </w:tcBorders>
            <w:vAlign w:val="center"/>
          </w:tcPr>
          <w:p>
            <w:pPr>
              <w:spacing w:line="360" w:lineRule="auto"/>
              <w:rPr>
                <w:rFonts w:ascii="宋体" w:hAnsi="宋体" w:hint="eastAsia"/>
                <w:sz w:val="20"/>
                <w:szCs w:val="20"/>
              </w:rPr>
            </w:pPr>
            <w:r>
              <w:rPr>
                <w:rFonts w:ascii="宋体" w:hAnsi="宋体"/>
                <w:sz w:val="20"/>
                <w:szCs w:val="20"/>
              </w:rPr>
              <w:t>配电屏电容器屏</w:t>
            </w:r>
          </w:p>
        </w:tc>
        <w:tc>
          <w:tcPr>
            <w:tcW w:w="567" w:type="dxa"/>
            <w:vAlign w:val="center"/>
          </w:tcPr>
          <w:p>
            <w:pPr>
              <w:spacing w:line="360" w:lineRule="auto"/>
              <w:rPr>
                <w:rFonts w:ascii="宋体" w:hAnsi="宋体" w:hint="eastAsia"/>
                <w:sz w:val="20"/>
                <w:szCs w:val="20"/>
              </w:rPr>
            </w:pPr>
            <w:r>
              <w:rPr>
                <w:rFonts w:ascii="宋体" w:hAnsi="宋体"/>
                <w:sz w:val="20"/>
                <w:szCs w:val="20"/>
              </w:rPr>
              <w:t>每月一次</w:t>
            </w:r>
          </w:p>
        </w:tc>
        <w:tc>
          <w:tcPr>
            <w:tcW w:w="4869" w:type="dxa"/>
            <w:vAlign w:val="center"/>
          </w:tcPr>
          <w:p>
            <w:pPr>
              <w:spacing w:line="360" w:lineRule="auto"/>
              <w:rPr>
                <w:rFonts w:ascii="宋体" w:hAnsi="宋体" w:hint="eastAsia"/>
                <w:sz w:val="20"/>
                <w:szCs w:val="20"/>
              </w:rPr>
            </w:pPr>
            <w:r>
              <w:rPr>
                <w:rFonts w:ascii="宋体" w:hAnsi="宋体"/>
                <w:sz w:val="20"/>
                <w:szCs w:val="20"/>
              </w:rPr>
              <w:t>1.清洁卫生；</w:t>
            </w:r>
          </w:p>
          <w:p>
            <w:pPr>
              <w:spacing w:line="360" w:lineRule="auto"/>
              <w:rPr>
                <w:rFonts w:ascii="宋体" w:hAnsi="宋体" w:hint="eastAsia"/>
                <w:sz w:val="20"/>
                <w:szCs w:val="20"/>
              </w:rPr>
            </w:pPr>
            <w:r>
              <w:rPr>
                <w:rFonts w:ascii="宋体" w:hAnsi="宋体"/>
                <w:sz w:val="20"/>
                <w:szCs w:val="20"/>
              </w:rPr>
              <w:t>2.检查外观是否完好，指示灯是否显示正常，电压、电流是否正常，三相负荷是否平衡，有无异声、异味。</w:t>
            </w:r>
          </w:p>
          <w:p>
            <w:pPr>
              <w:spacing w:line="360" w:lineRule="auto"/>
              <w:rPr>
                <w:rFonts w:ascii="宋体" w:hAnsi="宋体" w:hint="eastAsia"/>
                <w:sz w:val="20"/>
                <w:szCs w:val="20"/>
              </w:rPr>
            </w:pPr>
            <w:r>
              <w:rPr>
                <w:rFonts w:ascii="宋体" w:hAnsi="宋体"/>
                <w:sz w:val="20"/>
                <w:szCs w:val="20"/>
              </w:rPr>
              <w:t>3.检查开关是否在正确位置，标示是否清楚；</w:t>
            </w:r>
          </w:p>
          <w:p>
            <w:pPr>
              <w:spacing w:line="360" w:lineRule="auto"/>
              <w:rPr>
                <w:rFonts w:ascii="宋体" w:hAnsi="宋体" w:hint="eastAsia"/>
                <w:sz w:val="20"/>
                <w:szCs w:val="20"/>
              </w:rPr>
            </w:pPr>
            <w:r>
              <w:rPr>
                <w:rFonts w:ascii="宋体" w:hAnsi="宋体"/>
                <w:sz w:val="20"/>
                <w:szCs w:val="20"/>
              </w:rPr>
              <w:t>4.检查无功补偿设备工作是否正常，功率因数是否达到要求。</w:t>
            </w:r>
          </w:p>
          <w:p>
            <w:pPr>
              <w:spacing w:line="360" w:lineRule="auto"/>
              <w:rPr>
                <w:rFonts w:ascii="宋体" w:hAnsi="宋体" w:hint="eastAsia"/>
                <w:sz w:val="20"/>
                <w:szCs w:val="20"/>
              </w:rPr>
            </w:pPr>
            <w:r>
              <w:rPr>
                <w:rFonts w:ascii="宋体" w:hAnsi="宋体"/>
                <w:sz w:val="20"/>
                <w:szCs w:val="20"/>
              </w:rPr>
              <w:t>5.检查电容 器、熔断器是否过热，熔断；</w:t>
            </w:r>
          </w:p>
          <w:p>
            <w:pPr>
              <w:spacing w:line="360" w:lineRule="auto"/>
              <w:rPr>
                <w:rFonts w:ascii="宋体" w:hAnsi="宋体" w:hint="eastAsia"/>
                <w:sz w:val="20"/>
                <w:szCs w:val="20"/>
              </w:rPr>
            </w:pPr>
            <w:r>
              <w:rPr>
                <w:rFonts w:ascii="宋体" w:hAnsi="宋体"/>
                <w:sz w:val="20"/>
                <w:szCs w:val="20"/>
              </w:rPr>
              <w:t>6.检查开关触头接触是否良好，有无短路、过载现象；</w:t>
            </w:r>
          </w:p>
          <w:p>
            <w:pPr>
              <w:spacing w:line="360" w:lineRule="auto"/>
              <w:rPr>
                <w:rFonts w:ascii="宋体" w:hAnsi="宋体" w:hint="eastAsia"/>
                <w:sz w:val="20"/>
                <w:szCs w:val="20"/>
              </w:rPr>
            </w:pPr>
            <w:r>
              <w:rPr>
                <w:rFonts w:ascii="宋体" w:hAnsi="宋体"/>
                <w:sz w:val="20"/>
                <w:szCs w:val="20"/>
              </w:rPr>
              <w:t>7.检查电力监控系统监控模块工作是否正常。</w:t>
            </w:r>
          </w:p>
        </w:tc>
        <w:tc>
          <w:tcPr>
            <w:tcW w:w="2011" w:type="dxa"/>
            <w:tcBorders>
              <w:right w:val="single" w:sz="12" w:space="0" w:color="000000"/>
            </w:tcBorders>
            <w:vAlign w:val="center"/>
          </w:tcPr>
          <w:p>
            <w:pPr>
              <w:spacing w:line="360" w:lineRule="auto"/>
              <w:rPr>
                <w:rFonts w:ascii="宋体" w:hAnsi="宋体" w:hint="eastAsia"/>
                <w:sz w:val="20"/>
                <w:szCs w:val="20"/>
              </w:rPr>
            </w:pPr>
            <w:r>
              <w:rPr>
                <w:rFonts w:ascii="宋体" w:hAnsi="宋体"/>
                <w:sz w:val="20"/>
                <w:szCs w:val="20"/>
              </w:rPr>
              <w:t>设备卫生、标示清楚设备运行正常</w:t>
            </w:r>
          </w:p>
        </w:tc>
      </w:tr>
      <w:tr>
        <w:tblPrEx>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274"/>
        </w:trPr>
        <w:tc>
          <w:tcPr>
            <w:tcW w:w="713" w:type="dxa"/>
            <w:vMerge/>
            <w:tcBorders>
              <w:top w:val="nil"/>
              <w:left w:val="single" w:sz="12" w:space="0" w:color="000000"/>
            </w:tcBorders>
            <w:vAlign w:val="center"/>
          </w:tcPr>
          <w:p>
            <w:pPr>
              <w:spacing w:line="360" w:lineRule="auto"/>
              <w:rPr>
                <w:rFonts w:ascii="宋体" w:hAnsi="宋体" w:hint="eastAsia"/>
                <w:sz w:val="20"/>
                <w:szCs w:val="20"/>
              </w:rPr>
            </w:pPr>
          </w:p>
        </w:tc>
        <w:tc>
          <w:tcPr>
            <w:tcW w:w="567" w:type="dxa"/>
            <w:vAlign w:val="center"/>
          </w:tcPr>
          <w:p>
            <w:pPr>
              <w:pStyle w:val="TableParagraph"/>
              <w:spacing w:line="360" w:lineRule="auto"/>
              <w:jc w:val="both"/>
              <w:rPr>
                <w:rFonts w:cs="Times New Roman" w:hint="eastAsia"/>
                <w:kern w:val="2"/>
                <w:sz w:val="20"/>
                <w:szCs w:val="20"/>
                <w:lang w:val="en-US" w:bidi="ar-SA"/>
              </w:rPr>
            </w:pPr>
            <w:r>
              <w:rPr>
                <w:rFonts w:cs="Times New Roman"/>
                <w:kern w:val="2"/>
                <w:sz w:val="20"/>
                <w:szCs w:val="20"/>
                <w:lang w:val="en-US" w:bidi="ar-SA"/>
              </w:rPr>
              <w:t>每半年一次</w:t>
            </w:r>
          </w:p>
        </w:tc>
        <w:tc>
          <w:tcPr>
            <w:tcW w:w="4869" w:type="dxa"/>
            <w:vAlign w:val="center"/>
          </w:tcPr>
          <w:p>
            <w:pPr>
              <w:pStyle w:val="TableParagraph"/>
              <w:spacing w:line="360" w:lineRule="auto"/>
              <w:jc w:val="both"/>
              <w:rPr>
                <w:rFonts w:cs="Times New Roman" w:hint="eastAsia"/>
                <w:kern w:val="2"/>
                <w:sz w:val="20"/>
                <w:szCs w:val="20"/>
                <w:lang w:val="en-US" w:bidi="ar-SA"/>
              </w:rPr>
            </w:pPr>
            <w:r>
              <w:rPr>
                <w:rFonts w:cs="Times New Roman"/>
                <w:kern w:val="2"/>
                <w:sz w:val="20"/>
                <w:szCs w:val="20"/>
                <w:lang w:val="en-US" w:bidi="ar-SA"/>
              </w:rPr>
              <w:t>1.清洁卫生；</w:t>
            </w:r>
          </w:p>
          <w:p>
            <w:pPr>
              <w:pStyle w:val="TableParagraph"/>
              <w:spacing w:line="360" w:lineRule="auto"/>
              <w:jc w:val="both"/>
              <w:rPr>
                <w:rFonts w:cs="Times New Roman" w:hint="eastAsia"/>
                <w:kern w:val="2"/>
                <w:sz w:val="20"/>
                <w:szCs w:val="20"/>
                <w:lang w:val="en-US" w:bidi="ar-SA"/>
              </w:rPr>
            </w:pPr>
            <w:r>
              <w:rPr>
                <w:rFonts w:cs="Times New Roman"/>
                <w:kern w:val="2"/>
                <w:sz w:val="20"/>
                <w:szCs w:val="20"/>
                <w:lang w:val="en-US" w:bidi="ar-SA"/>
              </w:rPr>
              <w:t>2.紧固螺丝，调整接触点隙，更换打磨烧坏的动静触头；</w:t>
            </w:r>
          </w:p>
          <w:p>
            <w:pPr>
              <w:pStyle w:val="TableParagraph"/>
              <w:spacing w:line="360" w:lineRule="auto"/>
              <w:jc w:val="both"/>
              <w:rPr>
                <w:rFonts w:cs="Times New Roman" w:hint="eastAsia"/>
                <w:kern w:val="2"/>
                <w:sz w:val="20"/>
                <w:szCs w:val="20"/>
                <w:lang w:val="en-US" w:bidi="ar-SA"/>
              </w:rPr>
            </w:pPr>
            <w:r>
              <w:rPr>
                <w:rFonts w:cs="Times New Roman"/>
                <w:kern w:val="2"/>
                <w:sz w:val="20"/>
                <w:szCs w:val="20"/>
                <w:lang w:val="en-US" w:bidi="ar-SA"/>
              </w:rPr>
              <w:t>3.若有过载现象，应更换容量大的配电设备。</w:t>
            </w:r>
          </w:p>
        </w:tc>
        <w:tc>
          <w:tcPr>
            <w:tcW w:w="2011" w:type="dxa"/>
            <w:tcBorders>
              <w:right w:val="single" w:sz="12" w:space="0" w:color="000000"/>
            </w:tcBorders>
            <w:vAlign w:val="center"/>
          </w:tcPr>
          <w:p>
            <w:pPr>
              <w:pStyle w:val="TableParagraph"/>
              <w:spacing w:line="360" w:lineRule="auto"/>
              <w:jc w:val="both"/>
              <w:rPr>
                <w:rFonts w:cs="Times New Roman" w:hint="eastAsia"/>
                <w:kern w:val="2"/>
                <w:sz w:val="20"/>
                <w:szCs w:val="20"/>
                <w:lang w:val="en-US" w:bidi="ar-SA"/>
              </w:rPr>
            </w:pPr>
            <w:r>
              <w:rPr>
                <w:rFonts w:cs="Times New Roman"/>
                <w:kern w:val="2"/>
                <w:sz w:val="20"/>
                <w:szCs w:val="20"/>
                <w:lang w:val="en-US" w:bidi="ar-SA"/>
              </w:rPr>
              <w:t>设备卫生，开关状态良好。</w:t>
            </w:r>
          </w:p>
        </w:tc>
      </w:tr>
      <w:tr>
        <w:tblPrEx>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692"/>
        </w:trPr>
        <w:tc>
          <w:tcPr>
            <w:tcW w:w="713" w:type="dxa"/>
            <w:vMerge/>
            <w:tcBorders>
              <w:top w:val="nil"/>
              <w:left w:val="single" w:sz="12" w:space="0" w:color="000000"/>
            </w:tcBorders>
            <w:vAlign w:val="center"/>
          </w:tcPr>
          <w:p>
            <w:pPr>
              <w:spacing w:line="360" w:lineRule="auto"/>
              <w:rPr>
                <w:rFonts w:ascii="宋体" w:hAnsi="宋体" w:hint="eastAsia"/>
                <w:sz w:val="20"/>
                <w:szCs w:val="20"/>
              </w:rPr>
            </w:pPr>
          </w:p>
        </w:tc>
        <w:tc>
          <w:tcPr>
            <w:tcW w:w="567" w:type="dxa"/>
            <w:vAlign w:val="center"/>
          </w:tcPr>
          <w:p>
            <w:pPr>
              <w:spacing w:line="360" w:lineRule="auto"/>
              <w:rPr>
                <w:rFonts w:ascii="宋体" w:hAnsi="宋体" w:hint="eastAsia"/>
                <w:sz w:val="20"/>
                <w:szCs w:val="20"/>
              </w:rPr>
            </w:pPr>
            <w:r>
              <w:rPr>
                <w:rFonts w:ascii="宋体" w:hAnsi="宋体"/>
                <w:sz w:val="20"/>
                <w:szCs w:val="20"/>
              </w:rPr>
              <w:t>每年一次</w:t>
            </w:r>
          </w:p>
        </w:tc>
        <w:tc>
          <w:tcPr>
            <w:tcW w:w="4869" w:type="dxa"/>
            <w:vAlign w:val="center"/>
          </w:tcPr>
          <w:p>
            <w:pPr>
              <w:spacing w:line="360" w:lineRule="auto"/>
              <w:rPr>
                <w:rFonts w:ascii="宋体" w:hAnsi="宋体" w:hint="eastAsia"/>
                <w:sz w:val="20"/>
                <w:szCs w:val="20"/>
              </w:rPr>
            </w:pPr>
            <w:r>
              <w:rPr>
                <w:rFonts w:ascii="宋体" w:hAnsi="宋体"/>
                <w:sz w:val="20"/>
                <w:szCs w:val="20"/>
              </w:rPr>
              <w:t>1.重复上述检查；</w:t>
            </w:r>
          </w:p>
          <w:p>
            <w:pPr>
              <w:spacing w:line="360" w:lineRule="auto"/>
              <w:rPr>
                <w:rFonts w:ascii="宋体" w:hAnsi="宋体" w:hint="eastAsia"/>
                <w:sz w:val="20"/>
                <w:szCs w:val="20"/>
              </w:rPr>
            </w:pPr>
            <w:r>
              <w:rPr>
                <w:rFonts w:ascii="宋体" w:hAnsi="宋体"/>
                <w:sz w:val="20"/>
                <w:szCs w:val="20"/>
              </w:rPr>
              <w:t>2.检测接地电阻；</w:t>
            </w:r>
          </w:p>
          <w:p>
            <w:pPr>
              <w:spacing w:line="360" w:lineRule="auto"/>
              <w:rPr>
                <w:rFonts w:ascii="宋体" w:hAnsi="宋体" w:hint="eastAsia"/>
                <w:sz w:val="20"/>
                <w:szCs w:val="20"/>
              </w:rPr>
            </w:pPr>
            <w:r>
              <w:rPr>
                <w:rFonts w:ascii="宋体" w:hAnsi="宋体"/>
                <w:sz w:val="20"/>
                <w:szCs w:val="20"/>
              </w:rPr>
              <w:t>3.测试过流保护装置、联锁装置是否可靠。</w:t>
            </w:r>
          </w:p>
        </w:tc>
        <w:tc>
          <w:tcPr>
            <w:tcW w:w="2011" w:type="dxa"/>
            <w:tcBorders>
              <w:right w:val="single" w:sz="12" w:space="0" w:color="000000"/>
            </w:tcBorders>
            <w:vAlign w:val="center"/>
          </w:tcPr>
          <w:p>
            <w:pPr>
              <w:spacing w:line="360" w:lineRule="auto"/>
              <w:rPr>
                <w:rFonts w:ascii="宋体" w:hAnsi="宋体" w:hint="eastAsia"/>
                <w:sz w:val="20"/>
                <w:szCs w:val="20"/>
              </w:rPr>
            </w:pPr>
            <w:r>
              <w:rPr>
                <w:rFonts w:ascii="宋体" w:hAnsi="宋体"/>
                <w:sz w:val="20"/>
                <w:szCs w:val="20"/>
              </w:rPr>
              <w:t>屏内清洁无杂物, 连接件无松动,无发热变色,仪表等附件完好无损；</w:t>
            </w:r>
          </w:p>
          <w:p>
            <w:pPr>
              <w:spacing w:line="360" w:lineRule="auto"/>
              <w:rPr>
                <w:rFonts w:ascii="宋体" w:hAnsi="宋体" w:hint="eastAsia"/>
                <w:sz w:val="20"/>
                <w:szCs w:val="20"/>
              </w:rPr>
            </w:pPr>
            <w:r>
              <w:rPr>
                <w:rFonts w:ascii="宋体" w:hAnsi="宋体"/>
                <w:sz w:val="20"/>
                <w:szCs w:val="20"/>
              </w:rPr>
              <w:t>动力配电系统运行</w:t>
            </w:r>
          </w:p>
          <w:p>
            <w:pPr>
              <w:spacing w:line="360" w:lineRule="auto"/>
              <w:rPr>
                <w:rFonts w:ascii="宋体" w:hAnsi="宋体" w:hint="eastAsia"/>
                <w:sz w:val="20"/>
                <w:szCs w:val="20"/>
              </w:rPr>
            </w:pPr>
            <w:r>
              <w:rPr>
                <w:rFonts w:ascii="宋体" w:hAnsi="宋体"/>
                <w:sz w:val="20"/>
                <w:szCs w:val="20"/>
              </w:rPr>
              <w:t>安全可靠。</w:t>
            </w:r>
          </w:p>
        </w:tc>
      </w:tr>
      <w:tr>
        <w:tblPrEx>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2271"/>
        </w:trPr>
        <w:tc>
          <w:tcPr>
            <w:tcW w:w="713" w:type="dxa"/>
            <w:tcBorders>
              <w:left w:val="single" w:sz="12" w:space="0" w:color="000000"/>
              <w:bottom w:val="nil"/>
            </w:tcBorders>
            <w:vAlign w:val="center"/>
          </w:tcPr>
          <w:p>
            <w:pPr>
              <w:pStyle w:val="TableParagraph"/>
              <w:spacing w:line="360" w:lineRule="auto"/>
              <w:jc w:val="center"/>
              <w:rPr>
                <w:rFonts w:hint="eastAsia"/>
                <w:sz w:val="20"/>
                <w:szCs w:val="20"/>
              </w:rPr>
            </w:pPr>
            <w:r>
              <w:rPr>
                <w:sz w:val="20"/>
                <w:szCs w:val="20"/>
              </w:rPr>
              <w:t>照明器具</w:t>
            </w:r>
          </w:p>
        </w:tc>
        <w:tc>
          <w:tcPr>
            <w:tcW w:w="567" w:type="dxa"/>
            <w:tcBorders>
              <w:bottom w:val="nil"/>
            </w:tcBorders>
            <w:vAlign w:val="center"/>
          </w:tcPr>
          <w:p>
            <w:pPr>
              <w:spacing w:line="360" w:lineRule="auto"/>
              <w:jc w:val="center"/>
              <w:rPr>
                <w:rFonts w:ascii="宋体" w:hAnsi="宋体" w:hint="eastAsia"/>
                <w:sz w:val="20"/>
                <w:szCs w:val="20"/>
              </w:rPr>
            </w:pPr>
            <w:r>
              <w:rPr>
                <w:rFonts w:ascii="宋体" w:hAnsi="宋体"/>
                <w:sz w:val="20"/>
                <w:szCs w:val="20"/>
              </w:rPr>
              <w:t>每月一次</w:t>
            </w:r>
          </w:p>
        </w:tc>
        <w:tc>
          <w:tcPr>
            <w:tcW w:w="4869" w:type="dxa"/>
            <w:tcBorders>
              <w:bottom w:val="nil"/>
            </w:tcBorders>
            <w:vAlign w:val="center"/>
          </w:tcPr>
          <w:p>
            <w:pPr>
              <w:spacing w:line="360" w:lineRule="auto"/>
              <w:rPr>
                <w:rFonts w:ascii="宋体" w:hAnsi="宋体" w:hint="eastAsia"/>
                <w:sz w:val="20"/>
                <w:szCs w:val="20"/>
              </w:rPr>
            </w:pPr>
            <w:r>
              <w:rPr>
                <w:rFonts w:ascii="宋体" w:hAnsi="宋体"/>
                <w:sz w:val="20"/>
                <w:szCs w:val="20"/>
              </w:rPr>
              <w:t>1.照明器具的清洁卫生；</w:t>
            </w:r>
          </w:p>
          <w:p>
            <w:pPr>
              <w:spacing w:line="360" w:lineRule="auto"/>
              <w:rPr>
                <w:rFonts w:ascii="宋体" w:hAnsi="宋体" w:hint="eastAsia"/>
                <w:sz w:val="20"/>
                <w:szCs w:val="20"/>
              </w:rPr>
            </w:pPr>
            <w:r>
              <w:rPr>
                <w:rFonts w:ascii="宋体" w:hAnsi="宋体"/>
                <w:sz w:val="20"/>
                <w:szCs w:val="20"/>
              </w:rPr>
              <w:t>2.检查外观是否良好，有无异声；</w:t>
            </w:r>
          </w:p>
          <w:p>
            <w:pPr>
              <w:spacing w:line="360" w:lineRule="auto"/>
              <w:rPr>
                <w:rFonts w:ascii="宋体" w:hAnsi="宋体" w:hint="eastAsia"/>
                <w:sz w:val="20"/>
                <w:szCs w:val="20"/>
              </w:rPr>
            </w:pPr>
            <w:r>
              <w:rPr>
                <w:rFonts w:ascii="宋体" w:hAnsi="宋体"/>
                <w:sz w:val="20"/>
                <w:szCs w:val="20"/>
              </w:rPr>
              <w:t>3.检查灯具照度的均匀度</w:t>
            </w:r>
            <w:r>
              <w:rPr>
                <w:rFonts w:ascii="宋体" w:hAnsi="宋体" w:hint="eastAsia"/>
                <w:sz w:val="20"/>
                <w:szCs w:val="20"/>
              </w:rPr>
              <w:t>，</w:t>
            </w:r>
            <w:r>
              <w:rPr>
                <w:rFonts w:ascii="宋体" w:hAnsi="宋体"/>
                <w:sz w:val="20"/>
                <w:szCs w:val="20"/>
              </w:rPr>
              <w:t>如有异常，马上处理；</w:t>
            </w:r>
          </w:p>
          <w:p>
            <w:pPr>
              <w:spacing w:line="360" w:lineRule="auto"/>
              <w:rPr>
                <w:rFonts w:ascii="宋体" w:hAnsi="宋体" w:hint="eastAsia"/>
                <w:sz w:val="20"/>
                <w:szCs w:val="20"/>
              </w:rPr>
            </w:pPr>
            <w:r>
              <w:rPr>
                <w:rFonts w:ascii="宋体" w:hAnsi="宋体"/>
                <w:sz w:val="20"/>
                <w:szCs w:val="20"/>
              </w:rPr>
              <w:t>4.调整照明器具亮度，节约能源；</w:t>
            </w:r>
          </w:p>
          <w:p>
            <w:pPr>
              <w:spacing w:line="360" w:lineRule="auto"/>
              <w:rPr>
                <w:rFonts w:ascii="宋体" w:hAnsi="宋体" w:hint="eastAsia"/>
                <w:sz w:val="20"/>
                <w:szCs w:val="20"/>
              </w:rPr>
            </w:pPr>
            <w:r>
              <w:rPr>
                <w:rFonts w:ascii="宋体" w:hAnsi="宋体"/>
                <w:sz w:val="20"/>
                <w:szCs w:val="20"/>
              </w:rPr>
              <w:t>5.更换过热、故障配件、避免短路现象；</w:t>
            </w:r>
          </w:p>
          <w:p>
            <w:pPr>
              <w:spacing w:line="360" w:lineRule="auto"/>
              <w:rPr>
                <w:rFonts w:ascii="宋体" w:hAnsi="宋体" w:hint="eastAsia"/>
                <w:sz w:val="20"/>
                <w:szCs w:val="20"/>
              </w:rPr>
            </w:pPr>
            <w:r>
              <w:rPr>
                <w:rFonts w:ascii="宋体" w:hAnsi="宋体"/>
                <w:sz w:val="20"/>
                <w:szCs w:val="20"/>
              </w:rPr>
              <w:t>6.根据季节和要求合理调整灯光工</w:t>
            </w:r>
            <w:r>
              <w:rPr>
                <w:rFonts w:hint="eastAsia"/>
                <w:sz w:val="20"/>
                <w:szCs w:val="20"/>
              </w:rPr>
              <w:t>程的开机时间。</w:t>
            </w:r>
          </w:p>
        </w:tc>
        <w:tc>
          <w:tcPr>
            <w:tcW w:w="2011" w:type="dxa"/>
            <w:tcBorders>
              <w:bottom w:val="nil"/>
              <w:right w:val="single" w:sz="12" w:space="0" w:color="000000"/>
            </w:tcBorders>
            <w:vAlign w:val="center"/>
          </w:tcPr>
          <w:p>
            <w:pPr>
              <w:spacing w:line="360" w:lineRule="auto"/>
              <w:rPr>
                <w:rFonts w:ascii="宋体" w:hAnsi="宋体" w:hint="eastAsia"/>
                <w:sz w:val="20"/>
                <w:szCs w:val="20"/>
              </w:rPr>
            </w:pPr>
            <w:r>
              <w:rPr>
                <w:rFonts w:ascii="宋体" w:hAnsi="宋体"/>
                <w:sz w:val="20"/>
                <w:szCs w:val="20"/>
              </w:rPr>
              <w:t>灯具卫生，工作正常</w:t>
            </w:r>
          </w:p>
        </w:tc>
      </w:tr>
      <w:tr>
        <w:tblPrEx>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2344"/>
        </w:trPr>
        <w:tc>
          <w:tcPr>
            <w:tcW w:w="713" w:type="dxa"/>
            <w:vMerge w:val="restart"/>
            <w:tcBorders>
              <w:left w:val="single" w:sz="12" w:space="0" w:color="000000"/>
            </w:tcBorders>
            <w:vAlign w:val="center"/>
          </w:tcPr>
          <w:p>
            <w:pPr>
              <w:pStyle w:val="TableParagraph"/>
              <w:spacing w:line="360" w:lineRule="auto"/>
              <w:jc w:val="center"/>
              <w:rPr>
                <w:rFonts w:hint="eastAsia"/>
                <w:sz w:val="20"/>
                <w:szCs w:val="20"/>
              </w:rPr>
            </w:pPr>
            <w:r>
              <w:rPr>
                <w:sz w:val="20"/>
                <w:szCs w:val="20"/>
              </w:rPr>
              <w:t>供电线路</w:t>
            </w:r>
          </w:p>
        </w:tc>
        <w:tc>
          <w:tcPr>
            <w:tcW w:w="567" w:type="dxa"/>
            <w:tcBorders>
              <w:bottom w:val="nil"/>
            </w:tcBorders>
            <w:vAlign w:val="center"/>
          </w:tcPr>
          <w:p>
            <w:pPr>
              <w:spacing w:line="360" w:lineRule="auto"/>
              <w:jc w:val="center"/>
              <w:rPr>
                <w:rFonts w:ascii="宋体" w:hAnsi="宋体" w:hint="eastAsia"/>
                <w:sz w:val="20"/>
                <w:szCs w:val="20"/>
              </w:rPr>
            </w:pPr>
            <w:r>
              <w:rPr>
                <w:rFonts w:hint="eastAsia"/>
                <w:sz w:val="20"/>
                <w:szCs w:val="20"/>
              </w:rPr>
              <w:t>每月一次</w:t>
            </w:r>
          </w:p>
        </w:tc>
        <w:tc>
          <w:tcPr>
            <w:tcW w:w="4869" w:type="dxa"/>
            <w:tcBorders>
              <w:bottom w:val="nil"/>
            </w:tcBorders>
            <w:vAlign w:val="center"/>
          </w:tcPr>
          <w:p>
            <w:pPr>
              <w:pStyle w:val="TableParagraph"/>
              <w:spacing w:line="360" w:lineRule="auto"/>
              <w:jc w:val="both"/>
              <w:rPr>
                <w:rFonts w:hint="eastAsia"/>
                <w:sz w:val="20"/>
                <w:szCs w:val="20"/>
              </w:rPr>
            </w:pPr>
            <w:r>
              <w:rPr>
                <w:sz w:val="20"/>
                <w:szCs w:val="20"/>
              </w:rPr>
              <w:t>1.清洁卫生；</w:t>
            </w:r>
          </w:p>
          <w:p>
            <w:pPr>
              <w:pStyle w:val="TableParagraph"/>
              <w:spacing w:line="360" w:lineRule="auto"/>
              <w:jc w:val="both"/>
              <w:rPr>
                <w:rFonts w:hint="eastAsia"/>
                <w:sz w:val="20"/>
                <w:szCs w:val="20"/>
              </w:rPr>
            </w:pPr>
            <w:r>
              <w:rPr>
                <w:sz w:val="20"/>
                <w:szCs w:val="20"/>
              </w:rPr>
              <w:t>2.清楚环境无积水、杂物；</w:t>
            </w:r>
          </w:p>
          <w:p>
            <w:pPr>
              <w:pStyle w:val="TableParagraph"/>
              <w:spacing w:line="360" w:lineRule="auto"/>
              <w:jc w:val="both"/>
              <w:rPr>
                <w:rFonts w:hint="eastAsia"/>
                <w:sz w:val="20"/>
                <w:szCs w:val="20"/>
              </w:rPr>
            </w:pPr>
            <w:r>
              <w:rPr>
                <w:sz w:val="20"/>
                <w:szCs w:val="20"/>
              </w:rPr>
              <w:t>3.供电电缆标示是否清晰、脱落,如有马上处理；</w:t>
            </w:r>
          </w:p>
          <w:p>
            <w:pPr>
              <w:pStyle w:val="TableParagraph"/>
              <w:spacing w:line="360" w:lineRule="auto"/>
              <w:jc w:val="both"/>
              <w:rPr>
                <w:rFonts w:hint="eastAsia"/>
                <w:sz w:val="20"/>
                <w:szCs w:val="20"/>
              </w:rPr>
            </w:pPr>
            <w:r>
              <w:rPr>
                <w:sz w:val="20"/>
                <w:szCs w:val="20"/>
              </w:rPr>
              <w:t>4.检查线路有无过热现象、进出线路接线装置是否完好。</w:t>
            </w:r>
          </w:p>
        </w:tc>
        <w:tc>
          <w:tcPr>
            <w:tcW w:w="2011" w:type="dxa"/>
            <w:tcBorders>
              <w:bottom w:val="nil"/>
              <w:right w:val="single" w:sz="12" w:space="0" w:color="000000"/>
            </w:tcBorders>
            <w:vAlign w:val="center"/>
          </w:tcPr>
          <w:p>
            <w:pPr>
              <w:spacing w:line="360" w:lineRule="auto"/>
              <w:rPr>
                <w:rFonts w:ascii="宋体" w:hAnsi="宋体" w:hint="eastAsia"/>
                <w:sz w:val="20"/>
                <w:szCs w:val="20"/>
              </w:rPr>
            </w:pPr>
            <w:r>
              <w:rPr>
                <w:rFonts w:hint="eastAsia"/>
                <w:sz w:val="20"/>
                <w:szCs w:val="20"/>
              </w:rPr>
              <w:t>线路无过热现象，接线装置紧固，标示清晰。</w:t>
            </w:r>
          </w:p>
        </w:tc>
      </w:tr>
      <w:tr>
        <w:tblPrEx>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048"/>
        </w:trPr>
        <w:tc>
          <w:tcPr>
            <w:tcW w:w="713" w:type="dxa"/>
            <w:vMerge/>
            <w:tcBorders>
              <w:left w:val="single" w:sz="12" w:space="0" w:color="000000"/>
              <w:bottom w:val="nil"/>
            </w:tcBorders>
            <w:vAlign w:val="center"/>
          </w:tcPr>
          <w:p>
            <w:pPr>
              <w:pStyle w:val="TableParagraph"/>
              <w:spacing w:line="360" w:lineRule="auto"/>
              <w:jc w:val="center"/>
              <w:rPr>
                <w:rFonts w:hint="eastAsia"/>
                <w:sz w:val="20"/>
                <w:szCs w:val="20"/>
              </w:rPr>
            </w:pPr>
          </w:p>
        </w:tc>
        <w:tc>
          <w:tcPr>
            <w:tcW w:w="567" w:type="dxa"/>
            <w:tcBorders>
              <w:bottom w:val="nil"/>
            </w:tcBorders>
            <w:vAlign w:val="center"/>
          </w:tcPr>
          <w:p>
            <w:pPr>
              <w:spacing w:line="360" w:lineRule="auto"/>
              <w:jc w:val="center"/>
              <w:rPr>
                <w:rFonts w:ascii="宋体" w:hAnsi="宋体" w:hint="eastAsia"/>
                <w:sz w:val="20"/>
                <w:szCs w:val="20"/>
              </w:rPr>
            </w:pPr>
            <w:r>
              <w:rPr>
                <w:rFonts w:hint="eastAsia"/>
                <w:sz w:val="20"/>
                <w:szCs w:val="20"/>
              </w:rPr>
              <w:t>每年一次</w:t>
            </w:r>
          </w:p>
        </w:tc>
        <w:tc>
          <w:tcPr>
            <w:tcW w:w="4869" w:type="dxa"/>
            <w:tcBorders>
              <w:bottom w:val="nil"/>
            </w:tcBorders>
            <w:vAlign w:val="center"/>
          </w:tcPr>
          <w:p>
            <w:pPr>
              <w:pStyle w:val="TableParagraph"/>
              <w:spacing w:line="360" w:lineRule="auto"/>
              <w:jc w:val="both"/>
              <w:rPr>
                <w:rFonts w:hint="eastAsia"/>
                <w:sz w:val="20"/>
                <w:szCs w:val="20"/>
              </w:rPr>
            </w:pPr>
            <w:r>
              <w:rPr>
                <w:sz w:val="20"/>
                <w:szCs w:val="20"/>
              </w:rPr>
              <w:t>用仪表检测线路绝缘电阻；</w:t>
            </w:r>
          </w:p>
          <w:p>
            <w:pPr>
              <w:spacing w:line="360" w:lineRule="auto"/>
              <w:rPr>
                <w:rFonts w:ascii="宋体" w:hAnsi="宋体" w:hint="eastAsia"/>
                <w:sz w:val="20"/>
                <w:szCs w:val="20"/>
              </w:rPr>
            </w:pPr>
            <w:r>
              <w:rPr>
                <w:rFonts w:hint="eastAsia"/>
                <w:sz w:val="20"/>
                <w:szCs w:val="20"/>
              </w:rPr>
              <w:t>对金属支架、电缆套管涂防锈漆或沥青。</w:t>
            </w:r>
          </w:p>
        </w:tc>
        <w:tc>
          <w:tcPr>
            <w:tcW w:w="2011" w:type="dxa"/>
            <w:tcBorders>
              <w:bottom w:val="nil"/>
              <w:right w:val="single" w:sz="12" w:space="0" w:color="000000"/>
            </w:tcBorders>
            <w:vAlign w:val="center"/>
          </w:tcPr>
          <w:p>
            <w:pPr>
              <w:spacing w:line="360" w:lineRule="auto"/>
              <w:rPr>
                <w:rFonts w:ascii="宋体" w:hAnsi="宋体" w:hint="eastAsia"/>
                <w:sz w:val="20"/>
                <w:szCs w:val="20"/>
              </w:rPr>
            </w:pPr>
            <w:r>
              <w:rPr>
                <w:rFonts w:hint="eastAsia"/>
                <w:sz w:val="20"/>
                <w:szCs w:val="20"/>
              </w:rPr>
              <w:t>阻值符合规范，无锈蚀。</w:t>
            </w:r>
          </w:p>
        </w:tc>
      </w:tr>
      <w:tr>
        <w:tblPrEx>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2948"/>
        </w:trPr>
        <w:tc>
          <w:tcPr>
            <w:tcW w:w="713" w:type="dxa"/>
            <w:vMerge w:val="restart"/>
            <w:tcBorders>
              <w:left w:val="single" w:sz="12" w:space="0" w:color="000000"/>
            </w:tcBorders>
            <w:vAlign w:val="center"/>
          </w:tcPr>
          <w:p>
            <w:pPr>
              <w:pStyle w:val="TableParagraph"/>
              <w:spacing w:line="360" w:lineRule="auto"/>
              <w:jc w:val="center"/>
              <w:rPr>
                <w:rFonts w:hint="eastAsia"/>
                <w:sz w:val="20"/>
                <w:szCs w:val="20"/>
              </w:rPr>
            </w:pPr>
            <w:r>
              <w:rPr>
                <w:sz w:val="20"/>
                <w:szCs w:val="20"/>
              </w:rPr>
              <w:t>柴油发电机</w:t>
            </w:r>
          </w:p>
        </w:tc>
        <w:tc>
          <w:tcPr>
            <w:tcW w:w="567" w:type="dxa"/>
            <w:tcBorders>
              <w:bottom w:val="nil"/>
            </w:tcBorders>
            <w:vAlign w:val="center"/>
          </w:tcPr>
          <w:p>
            <w:pPr>
              <w:spacing w:line="360" w:lineRule="auto"/>
              <w:jc w:val="center"/>
              <w:rPr>
                <w:rFonts w:ascii="宋体" w:hAnsi="宋体" w:hint="eastAsia"/>
                <w:sz w:val="20"/>
                <w:szCs w:val="20"/>
              </w:rPr>
            </w:pPr>
            <w:r>
              <w:rPr>
                <w:rFonts w:hint="eastAsia"/>
                <w:sz w:val="20"/>
                <w:szCs w:val="20"/>
              </w:rPr>
              <w:t>每月一次</w:t>
            </w:r>
          </w:p>
        </w:tc>
        <w:tc>
          <w:tcPr>
            <w:tcW w:w="4869" w:type="dxa"/>
            <w:tcBorders>
              <w:bottom w:val="nil"/>
            </w:tcBorders>
            <w:vAlign w:val="center"/>
          </w:tcPr>
          <w:p>
            <w:pPr>
              <w:pStyle w:val="TableParagraph"/>
              <w:spacing w:line="360" w:lineRule="auto"/>
              <w:jc w:val="both"/>
              <w:rPr>
                <w:rFonts w:hint="eastAsia"/>
                <w:sz w:val="20"/>
                <w:szCs w:val="20"/>
              </w:rPr>
            </w:pPr>
            <w:r>
              <w:rPr>
                <w:sz w:val="20"/>
                <w:szCs w:val="20"/>
              </w:rPr>
              <w:t>1.保持机房、设备清洁；检查润滑油位、冷却水位、燃油量、蓄电池电位和传动皮带，排烟、空气系统、控制系统是否正常。</w:t>
            </w:r>
          </w:p>
          <w:p>
            <w:pPr>
              <w:pStyle w:val="TableParagraph"/>
              <w:spacing w:line="360" w:lineRule="auto"/>
              <w:jc w:val="both"/>
              <w:rPr>
                <w:rFonts w:hint="eastAsia"/>
                <w:sz w:val="20"/>
                <w:szCs w:val="20"/>
              </w:rPr>
            </w:pPr>
            <w:r>
              <w:rPr>
                <w:sz w:val="20"/>
                <w:szCs w:val="20"/>
              </w:rPr>
              <w:t>2.外观检查发动机有无损坏、渗漏、皮带是否</w:t>
            </w:r>
            <w:r>
              <w:rPr>
                <w:rFonts w:hint="eastAsia"/>
                <w:sz w:val="20"/>
                <w:szCs w:val="20"/>
              </w:rPr>
              <w:t>松弛</w:t>
            </w:r>
            <w:r>
              <w:rPr>
                <w:sz w:val="20"/>
                <w:szCs w:val="20"/>
              </w:rPr>
              <w:t>或磨损；</w:t>
            </w:r>
          </w:p>
          <w:p>
            <w:pPr>
              <w:pStyle w:val="TableParagraph"/>
              <w:spacing w:line="360" w:lineRule="auto"/>
              <w:jc w:val="both"/>
              <w:rPr>
                <w:rFonts w:hint="eastAsia"/>
                <w:sz w:val="20"/>
                <w:szCs w:val="20"/>
              </w:rPr>
            </w:pPr>
            <w:r>
              <w:rPr>
                <w:sz w:val="20"/>
                <w:szCs w:val="20"/>
              </w:rPr>
              <w:t>3.每月四次试运行，15-20 分钟/次观察油压、水温、电压等是否正常；</w:t>
            </w:r>
          </w:p>
          <w:p>
            <w:pPr>
              <w:pStyle w:val="TableParagraph"/>
              <w:spacing w:line="360" w:lineRule="auto"/>
              <w:jc w:val="both"/>
              <w:rPr>
                <w:rFonts w:hint="eastAsia"/>
                <w:sz w:val="20"/>
                <w:szCs w:val="20"/>
              </w:rPr>
            </w:pPr>
            <w:r>
              <w:rPr>
                <w:sz w:val="20"/>
                <w:szCs w:val="20"/>
              </w:rPr>
              <w:t>4.蓄电池电池液高于极板 15-20MM</w:t>
            </w:r>
            <w:r>
              <w:rPr>
                <w:rFonts w:hint="eastAsia"/>
                <w:sz w:val="20"/>
                <w:szCs w:val="20"/>
              </w:rPr>
              <w:t>，</w:t>
            </w:r>
            <w:r>
              <w:rPr>
                <w:sz w:val="20"/>
                <w:szCs w:val="20"/>
              </w:rPr>
              <w:t>节点螺丝紧固。</w:t>
            </w:r>
          </w:p>
        </w:tc>
        <w:tc>
          <w:tcPr>
            <w:tcW w:w="2011" w:type="dxa"/>
            <w:tcBorders>
              <w:bottom w:val="nil"/>
              <w:right w:val="single" w:sz="12" w:space="0" w:color="000000"/>
            </w:tcBorders>
            <w:vAlign w:val="center"/>
          </w:tcPr>
          <w:p>
            <w:pPr>
              <w:pStyle w:val="TableParagraph"/>
              <w:spacing w:line="360" w:lineRule="auto"/>
              <w:jc w:val="both"/>
              <w:rPr>
                <w:rFonts w:hint="eastAsia"/>
                <w:sz w:val="20"/>
                <w:szCs w:val="20"/>
              </w:rPr>
            </w:pPr>
            <w:r>
              <w:rPr>
                <w:sz w:val="20"/>
                <w:szCs w:val="20"/>
              </w:rPr>
              <w:t>设备清洁、正常有效</w:t>
            </w:r>
          </w:p>
        </w:tc>
      </w:tr>
      <w:tr>
        <w:tblPrEx>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541"/>
        </w:trPr>
        <w:tc>
          <w:tcPr>
            <w:tcW w:w="713" w:type="dxa"/>
            <w:vMerge/>
            <w:tcBorders>
              <w:left w:val="single" w:sz="12" w:space="0" w:color="000000"/>
            </w:tcBorders>
            <w:vAlign w:val="center"/>
          </w:tcPr>
          <w:p>
            <w:pPr>
              <w:pStyle w:val="TableParagraph"/>
              <w:spacing w:line="360" w:lineRule="auto"/>
              <w:jc w:val="center"/>
              <w:rPr>
                <w:rFonts w:hint="eastAsia"/>
                <w:sz w:val="20"/>
                <w:szCs w:val="20"/>
              </w:rPr>
            </w:pPr>
          </w:p>
        </w:tc>
        <w:tc>
          <w:tcPr>
            <w:tcW w:w="567" w:type="dxa"/>
            <w:tcBorders>
              <w:bottom w:val="nil"/>
            </w:tcBorders>
            <w:vAlign w:val="center"/>
          </w:tcPr>
          <w:p>
            <w:pPr>
              <w:spacing w:line="360" w:lineRule="auto"/>
              <w:jc w:val="center"/>
              <w:rPr>
                <w:rFonts w:ascii="宋体" w:hAnsi="宋体" w:hint="eastAsia"/>
                <w:sz w:val="20"/>
                <w:szCs w:val="20"/>
              </w:rPr>
            </w:pPr>
            <w:r>
              <w:rPr>
                <w:rFonts w:hint="eastAsia"/>
                <w:sz w:val="20"/>
                <w:szCs w:val="20"/>
              </w:rPr>
              <w:t>半年一次</w:t>
            </w:r>
          </w:p>
        </w:tc>
        <w:tc>
          <w:tcPr>
            <w:tcW w:w="4869" w:type="dxa"/>
            <w:tcBorders>
              <w:bottom w:val="nil"/>
            </w:tcBorders>
            <w:vAlign w:val="center"/>
          </w:tcPr>
          <w:p>
            <w:pPr>
              <w:pStyle w:val="TableParagraph"/>
              <w:spacing w:line="360" w:lineRule="auto"/>
              <w:jc w:val="both"/>
              <w:rPr>
                <w:rFonts w:hint="eastAsia"/>
                <w:sz w:val="20"/>
                <w:szCs w:val="20"/>
              </w:rPr>
            </w:pPr>
            <w:r>
              <w:rPr>
                <w:sz w:val="20"/>
                <w:szCs w:val="20"/>
              </w:rPr>
              <w:t>1.检查发动机绕组对地绝缘电阻；</w:t>
            </w:r>
          </w:p>
          <w:p>
            <w:pPr>
              <w:pStyle w:val="TableParagraph"/>
              <w:spacing w:line="360" w:lineRule="auto"/>
              <w:jc w:val="both"/>
              <w:rPr>
                <w:rFonts w:hint="eastAsia"/>
                <w:sz w:val="20"/>
                <w:szCs w:val="20"/>
              </w:rPr>
            </w:pPr>
            <w:r>
              <w:rPr>
                <w:sz w:val="20"/>
                <w:szCs w:val="20"/>
              </w:rPr>
              <w:t>2.检查配电柜、控制屏接头是否拧紧,各类传感信号正常；</w:t>
            </w:r>
          </w:p>
          <w:p>
            <w:pPr>
              <w:spacing w:line="360" w:lineRule="auto"/>
              <w:rPr>
                <w:rFonts w:ascii="宋体" w:hAnsi="宋体" w:hint="eastAsia"/>
                <w:sz w:val="20"/>
                <w:szCs w:val="20"/>
              </w:rPr>
            </w:pPr>
            <w:r>
              <w:rPr>
                <w:sz w:val="20"/>
                <w:szCs w:val="20"/>
              </w:rPr>
              <w:t>3.</w:t>
            </w:r>
            <w:r>
              <w:rPr>
                <w:rFonts w:hint="eastAsia"/>
                <w:sz w:val="20"/>
                <w:szCs w:val="20"/>
              </w:rPr>
              <w:t>设备整体除尘清洁。</w:t>
            </w:r>
          </w:p>
        </w:tc>
        <w:tc>
          <w:tcPr>
            <w:tcW w:w="2011" w:type="dxa"/>
            <w:tcBorders>
              <w:bottom w:val="nil"/>
              <w:right w:val="single" w:sz="12" w:space="0" w:color="000000"/>
            </w:tcBorders>
            <w:vAlign w:val="center"/>
          </w:tcPr>
          <w:p>
            <w:pPr>
              <w:spacing w:line="360" w:lineRule="auto"/>
              <w:rPr>
                <w:rFonts w:ascii="宋体" w:hAnsi="宋体" w:hint="eastAsia"/>
                <w:sz w:val="20"/>
                <w:szCs w:val="20"/>
              </w:rPr>
            </w:pPr>
            <w:r>
              <w:rPr>
                <w:rFonts w:hint="eastAsia"/>
                <w:sz w:val="20"/>
                <w:szCs w:val="20"/>
              </w:rPr>
              <w:t>阻值合格、接头无松动、信号正确。</w:t>
            </w:r>
          </w:p>
        </w:tc>
      </w:tr>
      <w:tr>
        <w:tblPrEx>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973"/>
        </w:trPr>
        <w:tc>
          <w:tcPr>
            <w:tcW w:w="713" w:type="dxa"/>
            <w:vMerge/>
            <w:tcBorders>
              <w:left w:val="single" w:sz="12" w:space="0" w:color="000000"/>
            </w:tcBorders>
            <w:vAlign w:val="center"/>
          </w:tcPr>
          <w:p>
            <w:pPr>
              <w:pStyle w:val="TableParagraph"/>
              <w:spacing w:line="360" w:lineRule="auto"/>
              <w:jc w:val="center"/>
              <w:rPr>
                <w:rFonts w:hint="eastAsia"/>
                <w:sz w:val="20"/>
                <w:szCs w:val="20"/>
              </w:rPr>
            </w:pPr>
          </w:p>
        </w:tc>
        <w:tc>
          <w:tcPr>
            <w:tcW w:w="567" w:type="dxa"/>
            <w:tcBorders>
              <w:bottom w:val="single" w:sz="4" w:space="0" w:color="auto"/>
            </w:tcBorders>
            <w:vAlign w:val="center"/>
          </w:tcPr>
          <w:p>
            <w:pPr>
              <w:spacing w:line="360" w:lineRule="auto"/>
              <w:jc w:val="center"/>
              <w:rPr>
                <w:rFonts w:ascii="宋体" w:hAnsi="宋体" w:hint="eastAsia"/>
                <w:sz w:val="20"/>
                <w:szCs w:val="20"/>
              </w:rPr>
            </w:pPr>
            <w:r>
              <w:rPr>
                <w:rFonts w:hint="eastAsia"/>
                <w:sz w:val="20"/>
                <w:szCs w:val="20"/>
              </w:rPr>
              <w:t>每年一次</w:t>
            </w:r>
          </w:p>
        </w:tc>
        <w:tc>
          <w:tcPr>
            <w:tcW w:w="4869" w:type="dxa"/>
            <w:tcBorders>
              <w:bottom w:val="single" w:sz="4" w:space="0" w:color="auto"/>
            </w:tcBorders>
            <w:vAlign w:val="center"/>
          </w:tcPr>
          <w:p>
            <w:pPr>
              <w:pStyle w:val="TableParagraph"/>
              <w:spacing w:line="360" w:lineRule="auto"/>
              <w:jc w:val="both"/>
              <w:rPr>
                <w:rFonts w:hint="eastAsia"/>
                <w:sz w:val="20"/>
                <w:szCs w:val="20"/>
              </w:rPr>
            </w:pPr>
            <w:r>
              <w:rPr>
                <w:sz w:val="20"/>
                <w:szCs w:val="20"/>
              </w:rPr>
              <w:t>1.清洗调整气门及喷油嘴，调整皮带张紧轮、水泵后部张紧轮；</w:t>
            </w:r>
          </w:p>
          <w:p>
            <w:pPr>
              <w:pStyle w:val="TableParagraph"/>
              <w:spacing w:line="360" w:lineRule="auto"/>
              <w:jc w:val="both"/>
              <w:rPr>
                <w:rFonts w:hint="eastAsia"/>
                <w:sz w:val="20"/>
                <w:szCs w:val="20"/>
              </w:rPr>
            </w:pPr>
            <w:r>
              <w:rPr>
                <w:sz w:val="20"/>
                <w:szCs w:val="20"/>
              </w:rPr>
              <w:t>2.视运行时间而定更换机油、润滑油、机油滤清器、燃油过滤器和空气过滤器。</w:t>
            </w:r>
          </w:p>
        </w:tc>
        <w:tc>
          <w:tcPr>
            <w:tcW w:w="2011" w:type="dxa"/>
            <w:tcBorders>
              <w:bottom w:val="single" w:sz="4" w:space="0" w:color="auto"/>
              <w:right w:val="single" w:sz="12" w:space="0" w:color="000000"/>
            </w:tcBorders>
            <w:vAlign w:val="center"/>
          </w:tcPr>
          <w:p>
            <w:pPr>
              <w:spacing w:line="360" w:lineRule="auto"/>
              <w:rPr>
                <w:rFonts w:ascii="宋体" w:hAnsi="宋体" w:hint="eastAsia"/>
                <w:sz w:val="20"/>
                <w:szCs w:val="20"/>
              </w:rPr>
            </w:pPr>
            <w:r>
              <w:rPr>
                <w:rFonts w:hint="eastAsia"/>
                <w:sz w:val="20"/>
                <w:szCs w:val="20"/>
              </w:rPr>
              <w:t>皮带无破损和打滑现象，更换存在缺陷的配件。</w:t>
            </w:r>
          </w:p>
        </w:tc>
      </w:tr>
      <w:tr>
        <w:tblPrEx>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548"/>
        </w:trPr>
        <w:tc>
          <w:tcPr>
            <w:tcW w:w="713" w:type="dxa"/>
            <w:vMerge/>
            <w:tcBorders>
              <w:left w:val="single" w:sz="12" w:space="0" w:color="000000"/>
              <w:bottom w:val="single" w:sz="4" w:space="0" w:color="auto"/>
            </w:tcBorders>
            <w:vAlign w:val="center"/>
          </w:tcPr>
          <w:p>
            <w:pPr>
              <w:pStyle w:val="TableParagraph"/>
              <w:spacing w:line="360" w:lineRule="auto"/>
              <w:jc w:val="center"/>
              <w:rPr>
                <w:rFonts w:hint="eastAsia"/>
                <w:sz w:val="20"/>
                <w:szCs w:val="20"/>
              </w:rPr>
            </w:pPr>
          </w:p>
        </w:tc>
        <w:tc>
          <w:tcPr>
            <w:tcW w:w="567" w:type="dxa"/>
            <w:tcBorders>
              <w:top w:val="single" w:sz="4" w:space="0" w:color="auto"/>
              <w:bottom w:val="single" w:sz="4" w:space="0" w:color="auto"/>
              <w:right w:val="single" w:sz="4" w:space="0" w:color="auto"/>
            </w:tcBorders>
            <w:vAlign w:val="center"/>
          </w:tcPr>
          <w:p>
            <w:pPr>
              <w:spacing w:line="360" w:lineRule="auto"/>
              <w:jc w:val="center"/>
              <w:rPr>
                <w:rFonts w:ascii="宋体" w:hAnsi="宋体" w:hint="eastAsia"/>
                <w:sz w:val="20"/>
                <w:szCs w:val="20"/>
              </w:rPr>
            </w:pPr>
            <w:r>
              <w:rPr>
                <w:rFonts w:hint="eastAsia"/>
                <w:sz w:val="20"/>
                <w:szCs w:val="20"/>
              </w:rPr>
              <w:t>二年一次</w:t>
            </w:r>
          </w:p>
        </w:tc>
        <w:tc>
          <w:tcPr>
            <w:tcW w:w="4869"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1.</w:t>
            </w:r>
            <w:r>
              <w:rPr>
                <w:rFonts w:hint="eastAsia"/>
                <w:sz w:val="20"/>
                <w:szCs w:val="20"/>
              </w:rPr>
              <w:t>清洗校准油嘴、燃油泵及控制器系</w:t>
            </w:r>
            <w:r>
              <w:rPr>
                <w:sz w:val="20"/>
                <w:szCs w:val="20"/>
              </w:rPr>
              <w:t>统；</w:t>
            </w:r>
          </w:p>
          <w:p>
            <w:pPr>
              <w:pStyle w:val="TableParagraph"/>
              <w:numPr>
                <w:ilvl w:val="0"/>
                <w:numId w:val="11"/>
              </w:numPr>
              <w:tabs>
                <w:tab w:val="left" w:pos="344"/>
              </w:tabs>
              <w:spacing w:line="360" w:lineRule="auto"/>
              <w:ind w:left="0" w:firstLine="0"/>
              <w:jc w:val="both"/>
              <w:rPr>
                <w:rFonts w:hint="eastAsia"/>
                <w:sz w:val="20"/>
                <w:szCs w:val="20"/>
              </w:rPr>
            </w:pPr>
            <w:r>
              <w:rPr>
                <w:sz w:val="20"/>
                <w:szCs w:val="20"/>
              </w:rPr>
              <w:t>检查风扇、水泵、皮带、轴承；</w:t>
            </w:r>
          </w:p>
          <w:p>
            <w:pPr>
              <w:pStyle w:val="TableParagraph"/>
              <w:spacing w:line="360" w:lineRule="auto"/>
              <w:jc w:val="both"/>
              <w:rPr>
                <w:rFonts w:hint="eastAsia"/>
                <w:sz w:val="20"/>
                <w:szCs w:val="20"/>
              </w:rPr>
            </w:pPr>
            <w:r>
              <w:rPr>
                <w:sz w:val="20"/>
                <w:szCs w:val="20"/>
              </w:rPr>
              <w:t>3.检查机油泵、燃油泵、冷却水泵，并清洗水箱；</w:t>
            </w:r>
          </w:p>
          <w:p>
            <w:pPr>
              <w:spacing w:line="360" w:lineRule="auto"/>
              <w:rPr>
                <w:rFonts w:ascii="宋体" w:hAnsi="宋体" w:hint="eastAsia"/>
                <w:sz w:val="20"/>
                <w:szCs w:val="20"/>
              </w:rPr>
            </w:pPr>
            <w:r>
              <w:rPr>
                <w:sz w:val="20"/>
                <w:szCs w:val="20"/>
              </w:rPr>
              <w:t>4.</w:t>
            </w:r>
            <w:r>
              <w:rPr>
                <w:rFonts w:hint="eastAsia"/>
                <w:sz w:val="20"/>
                <w:szCs w:val="20"/>
              </w:rPr>
              <w:t>更换各类易损件。</w:t>
            </w:r>
          </w:p>
        </w:tc>
        <w:tc>
          <w:tcPr>
            <w:tcW w:w="2011" w:type="dxa"/>
            <w:tcBorders>
              <w:top w:val="single" w:sz="4" w:space="0" w:color="auto"/>
              <w:left w:val="single" w:sz="4" w:space="0" w:color="auto"/>
              <w:bottom w:val="single" w:sz="4" w:space="0" w:color="auto"/>
              <w:right w:val="single" w:sz="4" w:space="0" w:color="auto"/>
            </w:tcBorders>
            <w:vAlign w:val="center"/>
          </w:tcPr>
          <w:p>
            <w:pPr>
              <w:spacing w:line="360" w:lineRule="auto"/>
              <w:rPr>
                <w:rFonts w:ascii="宋体" w:hAnsi="宋体" w:hint="eastAsia"/>
                <w:sz w:val="20"/>
                <w:szCs w:val="20"/>
              </w:rPr>
            </w:pPr>
            <w:r>
              <w:rPr>
                <w:rFonts w:hint="eastAsia"/>
                <w:sz w:val="20"/>
                <w:szCs w:val="20"/>
              </w:rPr>
              <w:t>保持设备运行正常。</w:t>
            </w:r>
          </w:p>
        </w:tc>
      </w:tr>
    </w:tbl>
    <w:p>
      <w:pPr>
        <w:pStyle w:val="BodyText"/>
        <w:rPr>
          <w:sz w:val="21"/>
          <w:szCs w:val="21"/>
        </w:rPr>
      </w:pPr>
    </w:p>
    <w:p>
      <w:pPr>
        <w:pStyle w:val="BodyText"/>
        <w:rPr>
          <w:sz w:val="21"/>
          <w:szCs w:val="21"/>
        </w:rPr>
      </w:pPr>
      <w:r>
        <w:rPr>
          <w:rFonts w:hint="eastAsia"/>
          <w:sz w:val="21"/>
          <w:szCs w:val="21"/>
        </w:rPr>
        <w:t>（</w:t>
      </w:r>
      <w:r>
        <w:rPr>
          <w:sz w:val="21"/>
          <w:szCs w:val="21"/>
        </w:rPr>
        <w:t>2</w:t>
      </w:r>
      <w:r>
        <w:rPr>
          <w:rFonts w:hint="eastAsia"/>
          <w:sz w:val="21"/>
          <w:szCs w:val="21"/>
        </w:rPr>
        <w:t>）给排水系统</w:t>
      </w:r>
    </w:p>
    <w:tbl>
      <w:tblPr>
        <w:tblStyle w:val="TableNormal"/>
        <w:tblW w:w="0" w:type="auto"/>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top w:w="0" w:type="dxa"/>
          <w:left w:w="0" w:type="dxa"/>
          <w:bottom w:w="0" w:type="dxa"/>
          <w:right w:w="0" w:type="dxa"/>
        </w:tblCellMar>
      </w:tblPr>
      <w:tblGrid>
        <w:gridCol w:w="932"/>
        <w:gridCol w:w="812"/>
        <w:gridCol w:w="4699"/>
        <w:gridCol w:w="1870"/>
      </w:tblGrid>
      <w:tr>
        <w:tblPrEx>
          <w:tblW w:w="0" w:type="auto"/>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top w:w="0" w:type="dxa"/>
            <w:left w:w="0" w:type="dxa"/>
            <w:bottom w:w="0" w:type="dxa"/>
            <w:right w:w="0" w:type="dxa"/>
          </w:tblCellMar>
        </w:tblPrEx>
        <w:trPr>
          <w:trHeight w:val="581"/>
        </w:trPr>
        <w:tc>
          <w:tcPr>
            <w:tcW w:w="973" w:type="dxa"/>
            <w:tcBorders>
              <w:bottom w:val="single" w:sz="4" w:space="0" w:color="000000"/>
              <w:right w:val="single" w:sz="4"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项目</w:t>
            </w:r>
          </w:p>
        </w:tc>
        <w:tc>
          <w:tcPr>
            <w:tcW w:w="861" w:type="dxa"/>
            <w:tcBorders>
              <w:left w:val="single" w:sz="4" w:space="0" w:color="000000"/>
              <w:bottom w:val="single" w:sz="4" w:space="0" w:color="000000"/>
              <w:right w:val="single" w:sz="4"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频次</w:t>
            </w:r>
          </w:p>
        </w:tc>
        <w:tc>
          <w:tcPr>
            <w:tcW w:w="5034" w:type="dxa"/>
            <w:tcBorders>
              <w:left w:val="single" w:sz="4" w:space="0" w:color="000000"/>
              <w:bottom w:val="single" w:sz="4" w:space="0" w:color="000000"/>
              <w:right w:val="single" w:sz="4"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内容</w:t>
            </w:r>
          </w:p>
        </w:tc>
        <w:tc>
          <w:tcPr>
            <w:tcW w:w="1987" w:type="dxa"/>
            <w:tcBorders>
              <w:left w:val="single" w:sz="4" w:space="0" w:color="000000"/>
              <w:bottom w:val="single" w:sz="4"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具体要求</w:t>
            </w:r>
          </w:p>
        </w:tc>
      </w:tr>
      <w:tr>
        <w:tblPrEx>
          <w:tblW w:w="0" w:type="auto"/>
          <w:tblInd w:w="15" w:type="dxa"/>
          <w:tblCellMar>
            <w:top w:w="0" w:type="dxa"/>
            <w:left w:w="0" w:type="dxa"/>
            <w:bottom w:w="0" w:type="dxa"/>
            <w:right w:w="0" w:type="dxa"/>
          </w:tblCellMar>
        </w:tblPrEx>
        <w:trPr>
          <w:trHeight w:val="3066"/>
        </w:trPr>
        <w:tc>
          <w:tcPr>
            <w:tcW w:w="973" w:type="dxa"/>
            <w:vMerge w:val="restart"/>
            <w:tcBorders>
              <w:top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生活泵排污泵</w:t>
            </w:r>
          </w:p>
        </w:tc>
        <w:tc>
          <w:tcPr>
            <w:tcW w:w="861" w:type="dxa"/>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每天一次</w:t>
            </w:r>
          </w:p>
        </w:tc>
        <w:tc>
          <w:tcPr>
            <w:tcW w:w="5034" w:type="dxa"/>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12"/>
              </w:numPr>
              <w:tabs>
                <w:tab w:val="left" w:pos="345"/>
              </w:tabs>
              <w:spacing w:line="360" w:lineRule="auto"/>
              <w:ind w:left="0" w:firstLine="0"/>
              <w:jc w:val="both"/>
              <w:rPr>
                <w:rFonts w:hint="eastAsia"/>
                <w:sz w:val="20"/>
                <w:szCs w:val="20"/>
              </w:rPr>
            </w:pPr>
            <w:r>
              <w:rPr>
                <w:sz w:val="20"/>
                <w:szCs w:val="20"/>
              </w:rPr>
              <w:t>保持设备房、机体卫生清洁；</w:t>
            </w:r>
          </w:p>
          <w:p>
            <w:pPr>
              <w:pStyle w:val="TableParagraph"/>
              <w:numPr>
                <w:ilvl w:val="0"/>
                <w:numId w:val="12"/>
              </w:numPr>
              <w:tabs>
                <w:tab w:val="left" w:pos="345"/>
              </w:tabs>
              <w:spacing w:line="360" w:lineRule="auto"/>
              <w:ind w:left="0" w:firstLine="0"/>
              <w:jc w:val="both"/>
              <w:rPr>
                <w:rFonts w:hint="eastAsia"/>
                <w:sz w:val="20"/>
                <w:szCs w:val="20"/>
              </w:rPr>
            </w:pPr>
            <w:r>
              <w:rPr>
                <w:sz w:val="20"/>
                <w:szCs w:val="20"/>
              </w:rPr>
              <w:t>每天每2小时观察其水位、水压等指示是否正常，运行时有无异声、异味；</w:t>
            </w:r>
          </w:p>
          <w:p>
            <w:pPr>
              <w:pStyle w:val="TableParagraph"/>
              <w:numPr>
                <w:ilvl w:val="0"/>
                <w:numId w:val="12"/>
              </w:numPr>
              <w:tabs>
                <w:tab w:val="left" w:pos="345"/>
              </w:tabs>
              <w:spacing w:line="360" w:lineRule="auto"/>
              <w:ind w:left="0" w:firstLine="0"/>
              <w:jc w:val="both"/>
              <w:rPr>
                <w:rFonts w:hint="eastAsia"/>
                <w:sz w:val="20"/>
                <w:szCs w:val="20"/>
              </w:rPr>
            </w:pPr>
            <w:r>
              <w:rPr>
                <w:sz w:val="20"/>
                <w:szCs w:val="20"/>
              </w:rPr>
              <w:t>检查盘根处滴水是否符合规范,如不规范,应及时处理；</w:t>
            </w:r>
          </w:p>
          <w:p>
            <w:pPr>
              <w:pStyle w:val="TableParagraph"/>
              <w:numPr>
                <w:ilvl w:val="0"/>
                <w:numId w:val="12"/>
              </w:numPr>
              <w:tabs>
                <w:tab w:val="left" w:pos="345"/>
              </w:tabs>
              <w:spacing w:line="360" w:lineRule="auto"/>
              <w:ind w:left="0" w:firstLine="0"/>
              <w:jc w:val="both"/>
              <w:rPr>
                <w:rFonts w:hint="eastAsia"/>
                <w:sz w:val="20"/>
                <w:szCs w:val="20"/>
              </w:rPr>
            </w:pPr>
            <w:r>
              <w:rPr>
                <w:sz w:val="20"/>
                <w:szCs w:val="20"/>
              </w:rPr>
              <w:t>检查水位深度指示是否清晰；</w:t>
            </w:r>
          </w:p>
          <w:p>
            <w:pPr>
              <w:pStyle w:val="TableParagraph"/>
              <w:numPr>
                <w:ilvl w:val="0"/>
                <w:numId w:val="12"/>
              </w:numPr>
              <w:tabs>
                <w:tab w:val="left" w:pos="345"/>
              </w:tabs>
              <w:spacing w:line="360" w:lineRule="auto"/>
              <w:ind w:left="0" w:firstLine="0"/>
              <w:jc w:val="both"/>
              <w:rPr>
                <w:rFonts w:hint="eastAsia"/>
                <w:sz w:val="20"/>
                <w:szCs w:val="20"/>
              </w:rPr>
            </w:pPr>
            <w:r>
              <w:rPr>
                <w:sz w:val="20"/>
                <w:szCs w:val="20"/>
              </w:rPr>
              <w:t>发现故障及故障隐患及时处理。</w:t>
            </w:r>
          </w:p>
        </w:tc>
        <w:tc>
          <w:tcPr>
            <w:tcW w:w="1987" w:type="dxa"/>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设备卫生，水位指示清晰。</w:t>
            </w:r>
          </w:p>
        </w:tc>
      </w:tr>
      <w:tr>
        <w:tblPrEx>
          <w:tblW w:w="0" w:type="auto"/>
          <w:tblInd w:w="15" w:type="dxa"/>
          <w:tblCellMar>
            <w:top w:w="0" w:type="dxa"/>
            <w:left w:w="0" w:type="dxa"/>
            <w:bottom w:w="0" w:type="dxa"/>
            <w:right w:w="0" w:type="dxa"/>
          </w:tblCellMar>
        </w:tblPrEx>
        <w:trPr>
          <w:trHeight w:val="1314"/>
        </w:trPr>
        <w:tc>
          <w:tcPr>
            <w:tcW w:w="973" w:type="dxa"/>
            <w:vMerge/>
            <w:tcBorders>
              <w:top w:val="nil"/>
              <w:bottom w:val="single" w:sz="4" w:space="0" w:color="000000"/>
              <w:right w:val="single" w:sz="4" w:space="0" w:color="000000"/>
            </w:tcBorders>
            <w:vAlign w:val="center"/>
          </w:tcPr>
          <w:p>
            <w:pPr>
              <w:spacing w:line="360" w:lineRule="auto"/>
              <w:rPr>
                <w:rFonts w:ascii="宋体" w:hAnsi="宋体" w:hint="eastAsia"/>
                <w:sz w:val="20"/>
                <w:szCs w:val="20"/>
              </w:rPr>
            </w:pPr>
          </w:p>
        </w:tc>
        <w:tc>
          <w:tcPr>
            <w:tcW w:w="861" w:type="dxa"/>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每年一次</w:t>
            </w:r>
          </w:p>
        </w:tc>
        <w:tc>
          <w:tcPr>
            <w:tcW w:w="5034" w:type="dxa"/>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13"/>
              </w:numPr>
              <w:tabs>
                <w:tab w:val="left" w:pos="345"/>
              </w:tabs>
              <w:spacing w:line="360" w:lineRule="auto"/>
              <w:ind w:left="0" w:firstLine="0"/>
              <w:jc w:val="both"/>
              <w:rPr>
                <w:rFonts w:hint="eastAsia"/>
                <w:sz w:val="20"/>
                <w:szCs w:val="20"/>
              </w:rPr>
            </w:pPr>
            <w:r>
              <w:rPr>
                <w:sz w:val="20"/>
                <w:szCs w:val="20"/>
              </w:rPr>
              <w:t>电机、轴承加注黄油：如有异响，应更换轴承；</w:t>
            </w:r>
          </w:p>
          <w:p>
            <w:pPr>
              <w:pStyle w:val="TableParagraph"/>
              <w:numPr>
                <w:ilvl w:val="0"/>
                <w:numId w:val="13"/>
              </w:numPr>
              <w:tabs>
                <w:tab w:val="left" w:pos="345"/>
              </w:tabs>
              <w:spacing w:line="360" w:lineRule="auto"/>
              <w:ind w:left="0" w:firstLine="0"/>
              <w:jc w:val="both"/>
              <w:rPr>
                <w:rFonts w:hint="eastAsia"/>
                <w:sz w:val="20"/>
                <w:szCs w:val="20"/>
              </w:rPr>
            </w:pPr>
            <w:r>
              <w:rPr>
                <w:sz w:val="20"/>
                <w:szCs w:val="20"/>
              </w:rPr>
              <w:t>泵体及管道阀门除锈刷漆；紧固柜各线路接头螺母，清扫柜内灰尘等。</w:t>
            </w:r>
          </w:p>
        </w:tc>
        <w:tc>
          <w:tcPr>
            <w:tcW w:w="1987" w:type="dxa"/>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润滑良好，线头紧固良好。</w:t>
            </w:r>
          </w:p>
        </w:tc>
      </w:tr>
      <w:tr>
        <w:tblPrEx>
          <w:tblW w:w="0" w:type="auto"/>
          <w:tblInd w:w="15" w:type="dxa"/>
          <w:tblCellMar>
            <w:top w:w="0" w:type="dxa"/>
            <w:left w:w="0" w:type="dxa"/>
            <w:bottom w:w="0" w:type="dxa"/>
            <w:right w:w="0" w:type="dxa"/>
          </w:tblCellMar>
        </w:tblPrEx>
        <w:trPr>
          <w:trHeight w:val="1313"/>
        </w:trPr>
        <w:tc>
          <w:tcPr>
            <w:tcW w:w="973" w:type="dxa"/>
            <w:vMerge w:val="restart"/>
            <w:tcBorders>
              <w:top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供水、排污管网</w:t>
            </w:r>
          </w:p>
        </w:tc>
        <w:tc>
          <w:tcPr>
            <w:tcW w:w="861" w:type="dxa"/>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每周一次</w:t>
            </w:r>
          </w:p>
        </w:tc>
        <w:tc>
          <w:tcPr>
            <w:tcW w:w="5034" w:type="dxa"/>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14"/>
              </w:numPr>
              <w:tabs>
                <w:tab w:val="left" w:pos="345"/>
              </w:tabs>
              <w:spacing w:line="360" w:lineRule="auto"/>
              <w:ind w:left="0" w:firstLine="0"/>
              <w:jc w:val="both"/>
              <w:rPr>
                <w:rFonts w:hint="eastAsia"/>
                <w:sz w:val="20"/>
                <w:szCs w:val="20"/>
              </w:rPr>
            </w:pPr>
            <w:r>
              <w:rPr>
                <w:sz w:val="20"/>
                <w:szCs w:val="20"/>
              </w:rPr>
              <w:t>检查外观是否完好，应无滴、漏现象；</w:t>
            </w:r>
          </w:p>
          <w:p>
            <w:pPr>
              <w:pStyle w:val="TableParagraph"/>
              <w:numPr>
                <w:ilvl w:val="0"/>
                <w:numId w:val="14"/>
              </w:numPr>
              <w:tabs>
                <w:tab w:val="left" w:pos="345"/>
              </w:tabs>
              <w:spacing w:line="360" w:lineRule="auto"/>
              <w:ind w:left="0" w:firstLine="0"/>
              <w:jc w:val="both"/>
              <w:rPr>
                <w:rFonts w:hint="eastAsia"/>
                <w:sz w:val="20"/>
                <w:szCs w:val="20"/>
              </w:rPr>
            </w:pPr>
            <w:r>
              <w:rPr>
                <w:sz w:val="20"/>
                <w:szCs w:val="20"/>
              </w:rPr>
              <w:t>检查闸阀，观察供压力表是否正常。阀门开启位置是否正确，标示是否清晰。</w:t>
            </w:r>
          </w:p>
        </w:tc>
        <w:tc>
          <w:tcPr>
            <w:tcW w:w="1987" w:type="dxa"/>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运行正常。</w:t>
            </w:r>
          </w:p>
        </w:tc>
      </w:tr>
      <w:tr>
        <w:tblPrEx>
          <w:tblW w:w="0" w:type="auto"/>
          <w:tblInd w:w="15" w:type="dxa"/>
          <w:tblCellMar>
            <w:top w:w="0" w:type="dxa"/>
            <w:left w:w="0" w:type="dxa"/>
            <w:bottom w:w="0" w:type="dxa"/>
            <w:right w:w="0" w:type="dxa"/>
          </w:tblCellMar>
        </w:tblPrEx>
        <w:trPr>
          <w:trHeight w:val="1751"/>
        </w:trPr>
        <w:tc>
          <w:tcPr>
            <w:tcW w:w="973" w:type="dxa"/>
            <w:vMerge/>
            <w:tcBorders>
              <w:right w:val="single" w:sz="4" w:space="0" w:color="000000"/>
            </w:tcBorders>
            <w:vAlign w:val="center"/>
          </w:tcPr>
          <w:p>
            <w:pPr>
              <w:pStyle w:val="TableParagraph"/>
              <w:spacing w:line="360" w:lineRule="auto"/>
              <w:jc w:val="both"/>
              <w:rPr>
                <w:rFonts w:hint="eastAsia"/>
                <w:sz w:val="20"/>
                <w:szCs w:val="20"/>
              </w:rPr>
            </w:pPr>
          </w:p>
        </w:tc>
        <w:tc>
          <w:tcPr>
            <w:tcW w:w="861" w:type="dxa"/>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每季一次</w:t>
            </w:r>
          </w:p>
        </w:tc>
        <w:tc>
          <w:tcPr>
            <w:tcW w:w="5034" w:type="dxa"/>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1.重复上述内；</w:t>
            </w:r>
          </w:p>
          <w:p>
            <w:pPr>
              <w:pStyle w:val="TableParagraph"/>
              <w:spacing w:line="360" w:lineRule="auto"/>
              <w:jc w:val="both"/>
              <w:rPr>
                <w:rFonts w:hint="eastAsia"/>
                <w:sz w:val="20"/>
                <w:szCs w:val="20"/>
              </w:rPr>
            </w:pPr>
            <w:r>
              <w:rPr>
                <w:sz w:val="20"/>
                <w:szCs w:val="20"/>
              </w:rPr>
              <w:t>2.清理管道内的杂物，疏通排污管道；</w:t>
            </w:r>
          </w:p>
          <w:p>
            <w:pPr>
              <w:pStyle w:val="TableParagraph"/>
              <w:spacing w:line="360" w:lineRule="auto"/>
              <w:jc w:val="both"/>
              <w:rPr>
                <w:rFonts w:hint="eastAsia"/>
                <w:sz w:val="20"/>
                <w:szCs w:val="20"/>
              </w:rPr>
            </w:pPr>
            <w:r>
              <w:rPr>
                <w:sz w:val="20"/>
                <w:szCs w:val="20"/>
              </w:rPr>
              <w:t>3.检查闸阀开启、关闭是否灵活，有无跑、冒、滴、漏现象。</w:t>
            </w:r>
          </w:p>
        </w:tc>
        <w:tc>
          <w:tcPr>
            <w:tcW w:w="1987" w:type="dxa"/>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管道内无杂 物阀门开启灵活，无泄漏。</w:t>
            </w:r>
          </w:p>
        </w:tc>
      </w:tr>
      <w:tr>
        <w:tblPrEx>
          <w:tblW w:w="0" w:type="auto"/>
          <w:tblInd w:w="15" w:type="dxa"/>
          <w:tblCellMar>
            <w:top w:w="0" w:type="dxa"/>
            <w:left w:w="0" w:type="dxa"/>
            <w:bottom w:w="0" w:type="dxa"/>
            <w:right w:w="0" w:type="dxa"/>
          </w:tblCellMar>
        </w:tblPrEx>
        <w:trPr>
          <w:trHeight w:val="1751"/>
        </w:trPr>
        <w:tc>
          <w:tcPr>
            <w:tcW w:w="973" w:type="dxa"/>
            <w:vMerge/>
            <w:tcBorders>
              <w:bottom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861" w:type="dxa"/>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每年一次</w:t>
            </w:r>
          </w:p>
        </w:tc>
        <w:tc>
          <w:tcPr>
            <w:tcW w:w="5034" w:type="dxa"/>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1.重复上述内容；</w:t>
            </w:r>
          </w:p>
          <w:p>
            <w:pPr>
              <w:pStyle w:val="TableParagraph"/>
              <w:spacing w:line="360" w:lineRule="auto"/>
              <w:jc w:val="both"/>
              <w:rPr>
                <w:rFonts w:hint="eastAsia"/>
                <w:sz w:val="20"/>
                <w:szCs w:val="20"/>
              </w:rPr>
            </w:pPr>
            <w:r>
              <w:rPr>
                <w:sz w:val="20"/>
                <w:szCs w:val="20"/>
              </w:rPr>
              <w:t>2.检查修整全部管架；</w:t>
            </w:r>
          </w:p>
          <w:p>
            <w:pPr>
              <w:pStyle w:val="TableParagraph"/>
              <w:spacing w:line="360" w:lineRule="auto"/>
              <w:jc w:val="both"/>
              <w:rPr>
                <w:rFonts w:hint="eastAsia"/>
                <w:sz w:val="20"/>
                <w:szCs w:val="20"/>
              </w:rPr>
            </w:pPr>
            <w:r>
              <w:rPr>
                <w:sz w:val="20"/>
                <w:szCs w:val="20"/>
              </w:rPr>
              <w:t>3.管道及支架除锈刷漆：</w:t>
            </w:r>
          </w:p>
          <w:p>
            <w:pPr>
              <w:pStyle w:val="TableParagraph"/>
              <w:spacing w:line="360" w:lineRule="auto"/>
              <w:jc w:val="both"/>
              <w:rPr>
                <w:rFonts w:hint="eastAsia"/>
                <w:sz w:val="20"/>
                <w:szCs w:val="20"/>
              </w:rPr>
            </w:pPr>
            <w:r>
              <w:rPr>
                <w:sz w:val="20"/>
                <w:szCs w:val="20"/>
              </w:rPr>
              <w:t>4.检查止回阀、浮球阀、液位控制器是否正常；管道内部清洗、作防腐处理；</w:t>
            </w:r>
          </w:p>
          <w:p>
            <w:pPr>
              <w:pStyle w:val="TableParagraph"/>
              <w:spacing w:line="360" w:lineRule="auto"/>
              <w:jc w:val="both"/>
              <w:rPr>
                <w:rFonts w:hint="eastAsia"/>
                <w:sz w:val="20"/>
                <w:szCs w:val="20"/>
              </w:rPr>
            </w:pPr>
            <w:r>
              <w:rPr>
                <w:sz w:val="20"/>
                <w:szCs w:val="20"/>
              </w:rPr>
              <w:t>5.更换各类阀门标示，并标注管内水流方向；各类阀</w:t>
            </w:r>
          </w:p>
          <w:p>
            <w:pPr>
              <w:pStyle w:val="TableParagraph"/>
              <w:spacing w:line="360" w:lineRule="auto"/>
              <w:jc w:val="both"/>
              <w:rPr>
                <w:rFonts w:hint="eastAsia"/>
                <w:sz w:val="20"/>
                <w:szCs w:val="20"/>
              </w:rPr>
            </w:pPr>
            <w:r>
              <w:rPr>
                <w:sz w:val="20"/>
                <w:szCs w:val="20"/>
              </w:rPr>
              <w:t>门丝杆上油并加装防护套。</w:t>
            </w:r>
          </w:p>
        </w:tc>
        <w:tc>
          <w:tcPr>
            <w:tcW w:w="1987" w:type="dxa"/>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管架防锈良 好阀门工作正常，标示清晰。</w:t>
            </w:r>
          </w:p>
        </w:tc>
      </w:tr>
      <w:tr>
        <w:tblPrEx>
          <w:tblW w:w="0" w:type="auto"/>
          <w:tblInd w:w="15" w:type="dxa"/>
          <w:tblCellMar>
            <w:top w:w="0" w:type="dxa"/>
            <w:left w:w="0" w:type="dxa"/>
            <w:bottom w:w="0" w:type="dxa"/>
            <w:right w:w="0" w:type="dxa"/>
          </w:tblCellMar>
        </w:tblPrEx>
        <w:trPr>
          <w:trHeight w:val="1397"/>
        </w:trPr>
        <w:tc>
          <w:tcPr>
            <w:tcW w:w="973" w:type="dxa"/>
            <w:vMerge w:val="restart"/>
            <w:tcBorders>
              <w:top w:val="nil"/>
              <w:right w:val="single" w:sz="4" w:space="0" w:color="000000"/>
            </w:tcBorders>
            <w:vAlign w:val="center"/>
          </w:tcPr>
          <w:p>
            <w:pPr>
              <w:pStyle w:val="TableParagraph"/>
              <w:spacing w:line="360" w:lineRule="auto"/>
              <w:jc w:val="both"/>
              <w:rPr>
                <w:rFonts w:hint="eastAsia"/>
                <w:sz w:val="20"/>
                <w:szCs w:val="20"/>
              </w:rPr>
            </w:pPr>
            <w:r>
              <w:rPr>
                <w:sz w:val="20"/>
                <w:szCs w:val="20"/>
              </w:rPr>
              <w:t>给水井雨水井污</w:t>
            </w:r>
          </w:p>
          <w:p>
            <w:pPr>
              <w:spacing w:line="360" w:lineRule="auto"/>
              <w:rPr>
                <w:rFonts w:ascii="宋体" w:hAnsi="宋体" w:cs="宋体" w:hint="eastAsia"/>
                <w:sz w:val="20"/>
                <w:szCs w:val="20"/>
                <w:lang w:val="zh-CN" w:bidi="zh-CN"/>
              </w:rPr>
            </w:pPr>
            <w:r>
              <w:rPr>
                <w:rFonts w:ascii="宋体" w:hAnsi="宋体" w:cs="宋体"/>
                <w:sz w:val="20"/>
                <w:szCs w:val="20"/>
                <w:lang w:val="zh-CN" w:bidi="zh-CN"/>
              </w:rPr>
              <w:t>水井</w:t>
            </w:r>
          </w:p>
        </w:tc>
        <w:tc>
          <w:tcPr>
            <w:tcW w:w="861" w:type="dxa"/>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每月一次</w:t>
            </w:r>
          </w:p>
        </w:tc>
        <w:tc>
          <w:tcPr>
            <w:tcW w:w="5034" w:type="dxa"/>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1.检查井盖是否盖严、完好，开盖检查井底是否有污物如有则清除干净；</w:t>
            </w:r>
          </w:p>
          <w:p>
            <w:pPr>
              <w:pStyle w:val="TableParagraph"/>
              <w:tabs>
                <w:tab w:val="left" w:pos="345"/>
              </w:tabs>
              <w:spacing w:line="360" w:lineRule="auto"/>
              <w:jc w:val="both"/>
              <w:rPr>
                <w:rFonts w:hint="eastAsia"/>
                <w:sz w:val="20"/>
                <w:szCs w:val="20"/>
              </w:rPr>
            </w:pPr>
            <w:r>
              <w:rPr>
                <w:sz w:val="20"/>
                <w:szCs w:val="20"/>
              </w:rPr>
              <w:t>2. 检查井盖铸造字迹是否清晰、正确。</w:t>
            </w:r>
          </w:p>
        </w:tc>
        <w:tc>
          <w:tcPr>
            <w:tcW w:w="1987" w:type="dxa"/>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无杂物，井盖盖严、完好。</w:t>
            </w:r>
          </w:p>
        </w:tc>
      </w:tr>
      <w:tr>
        <w:tblPrEx>
          <w:tblW w:w="0" w:type="auto"/>
          <w:tblInd w:w="15" w:type="dxa"/>
          <w:tblCellMar>
            <w:top w:w="0" w:type="dxa"/>
            <w:left w:w="0" w:type="dxa"/>
            <w:bottom w:w="0" w:type="dxa"/>
            <w:right w:w="0" w:type="dxa"/>
          </w:tblCellMar>
        </w:tblPrEx>
        <w:trPr>
          <w:trHeight w:val="1426"/>
        </w:trPr>
        <w:tc>
          <w:tcPr>
            <w:tcW w:w="973" w:type="dxa"/>
            <w:vMerge/>
            <w:tcBorders>
              <w:bottom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861" w:type="dxa"/>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每半年一次</w:t>
            </w:r>
          </w:p>
        </w:tc>
        <w:tc>
          <w:tcPr>
            <w:tcW w:w="5034" w:type="dxa"/>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1.重复上述检查；</w:t>
            </w:r>
          </w:p>
          <w:p>
            <w:pPr>
              <w:pStyle w:val="TableParagraph"/>
              <w:spacing w:line="360" w:lineRule="auto"/>
              <w:jc w:val="both"/>
              <w:rPr>
                <w:rFonts w:hint="eastAsia"/>
                <w:sz w:val="20"/>
                <w:szCs w:val="20"/>
              </w:rPr>
            </w:pPr>
            <w:r>
              <w:rPr>
                <w:sz w:val="20"/>
                <w:szCs w:val="20"/>
              </w:rPr>
              <w:t>2.清理污泥，疏通下水管道；</w:t>
            </w:r>
          </w:p>
          <w:p>
            <w:pPr>
              <w:pStyle w:val="TableParagraph"/>
              <w:spacing w:line="360" w:lineRule="auto"/>
              <w:jc w:val="both"/>
              <w:rPr>
                <w:rFonts w:hint="eastAsia"/>
                <w:sz w:val="20"/>
                <w:szCs w:val="20"/>
              </w:rPr>
            </w:pPr>
            <w:r>
              <w:rPr>
                <w:sz w:val="20"/>
                <w:szCs w:val="20"/>
              </w:rPr>
              <w:t>3.各类井盖及金属构件刷漆。</w:t>
            </w:r>
          </w:p>
        </w:tc>
        <w:tc>
          <w:tcPr>
            <w:tcW w:w="1987" w:type="dxa"/>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p>
        </w:tc>
      </w:tr>
    </w:tbl>
    <w:p>
      <w:pPr>
        <w:pStyle w:val="BodyText"/>
        <w:rPr>
          <w:sz w:val="21"/>
          <w:szCs w:val="21"/>
        </w:rPr>
      </w:pPr>
    </w:p>
    <w:p>
      <w:pPr>
        <w:pStyle w:val="BodyText"/>
        <w:rPr>
          <w:sz w:val="21"/>
          <w:szCs w:val="21"/>
        </w:rPr>
      </w:pPr>
      <w:r>
        <w:rPr>
          <w:rFonts w:hint="eastAsia"/>
          <w:sz w:val="21"/>
          <w:szCs w:val="21"/>
        </w:rPr>
        <w:t>（</w:t>
      </w:r>
      <w:r>
        <w:rPr>
          <w:sz w:val="21"/>
          <w:szCs w:val="21"/>
        </w:rPr>
        <w:t>3</w:t>
      </w:r>
      <w:r>
        <w:rPr>
          <w:rFonts w:hint="eastAsia"/>
          <w:sz w:val="21"/>
          <w:szCs w:val="21"/>
        </w:rPr>
        <w:t>）消防系统</w:t>
      </w:r>
    </w:p>
    <w:tbl>
      <w:tblPr>
        <w:tblStyle w:val="TableNormal"/>
        <w:tblW w:w="0" w:type="auto"/>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top w:w="0" w:type="dxa"/>
          <w:left w:w="0" w:type="dxa"/>
          <w:bottom w:w="0" w:type="dxa"/>
          <w:right w:w="0" w:type="dxa"/>
        </w:tblCellMar>
      </w:tblPr>
      <w:tblGrid>
        <w:gridCol w:w="942"/>
        <w:gridCol w:w="799"/>
        <w:gridCol w:w="4682"/>
        <w:gridCol w:w="1920"/>
      </w:tblGrid>
      <w:tr>
        <w:tblPrEx>
          <w:tblW w:w="0" w:type="auto"/>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top w:w="0" w:type="dxa"/>
            <w:left w:w="0" w:type="dxa"/>
            <w:bottom w:w="0" w:type="dxa"/>
            <w:right w:w="0" w:type="dxa"/>
          </w:tblCellMar>
        </w:tblPrEx>
        <w:trPr>
          <w:trHeight w:val="565"/>
        </w:trPr>
        <w:tc>
          <w:tcPr>
            <w:tcW w:w="1004" w:type="dxa"/>
            <w:tcBorders>
              <w:bottom w:val="single" w:sz="4" w:space="0" w:color="000000"/>
              <w:right w:val="single" w:sz="4"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项目</w:t>
            </w:r>
          </w:p>
        </w:tc>
        <w:tc>
          <w:tcPr>
            <w:tcW w:w="850" w:type="dxa"/>
            <w:tcBorders>
              <w:left w:val="single" w:sz="4" w:space="0" w:color="000000"/>
              <w:bottom w:val="single" w:sz="4" w:space="0" w:color="000000"/>
              <w:right w:val="single" w:sz="4"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频次</w:t>
            </w:r>
          </w:p>
        </w:tc>
        <w:tc>
          <w:tcPr>
            <w:tcW w:w="5028" w:type="dxa"/>
            <w:tcBorders>
              <w:left w:val="single" w:sz="4" w:space="0" w:color="000000"/>
              <w:bottom w:val="single" w:sz="4" w:space="0" w:color="000000"/>
              <w:right w:val="single" w:sz="4"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内容</w:t>
            </w:r>
          </w:p>
        </w:tc>
        <w:tc>
          <w:tcPr>
            <w:tcW w:w="2048" w:type="dxa"/>
            <w:tcBorders>
              <w:left w:val="single" w:sz="4" w:space="0" w:color="000000"/>
              <w:bottom w:val="single" w:sz="4"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具体要求</w:t>
            </w:r>
          </w:p>
        </w:tc>
      </w:tr>
      <w:tr>
        <w:tblPrEx>
          <w:tblW w:w="0" w:type="auto"/>
          <w:tblInd w:w="-15" w:type="dxa"/>
          <w:tblCellMar>
            <w:top w:w="0" w:type="dxa"/>
            <w:left w:w="0" w:type="dxa"/>
            <w:bottom w:w="0" w:type="dxa"/>
            <w:right w:w="0" w:type="dxa"/>
          </w:tblCellMar>
        </w:tblPrEx>
        <w:trPr>
          <w:trHeight w:val="1711"/>
        </w:trPr>
        <w:tc>
          <w:tcPr>
            <w:tcW w:w="1004" w:type="dxa"/>
            <w:vMerge w:val="restart"/>
            <w:tcBorders>
              <w:top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火 灾 自动 报 警系统</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每天一次</w:t>
            </w:r>
          </w:p>
        </w:tc>
        <w:tc>
          <w:tcPr>
            <w:tcW w:w="5028" w:type="dxa"/>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15"/>
              </w:numPr>
              <w:tabs>
                <w:tab w:val="left" w:pos="236"/>
              </w:tabs>
              <w:spacing w:line="360" w:lineRule="auto"/>
              <w:ind w:left="0" w:firstLine="0"/>
              <w:jc w:val="both"/>
              <w:rPr>
                <w:rFonts w:hint="eastAsia"/>
                <w:sz w:val="20"/>
                <w:szCs w:val="20"/>
              </w:rPr>
            </w:pPr>
            <w:r>
              <w:rPr>
                <w:sz w:val="20"/>
                <w:szCs w:val="20"/>
              </w:rPr>
              <w:t>每天对火灾自动报警系统控制器运行状态进行检查，着重检查火警功能及故障监视状态及动作监视状态，一有故障，及时处理，并进行主、备电源切换试验</w:t>
            </w:r>
            <w:r>
              <w:rPr>
                <w:rFonts w:hint="eastAsia"/>
                <w:sz w:val="20"/>
                <w:szCs w:val="20"/>
              </w:rPr>
              <w:t>；</w:t>
            </w:r>
          </w:p>
          <w:p>
            <w:pPr>
              <w:pStyle w:val="TableParagraph"/>
              <w:numPr>
                <w:ilvl w:val="0"/>
                <w:numId w:val="15"/>
              </w:numPr>
              <w:tabs>
                <w:tab w:val="left" w:pos="236"/>
              </w:tabs>
              <w:spacing w:line="360" w:lineRule="auto"/>
              <w:ind w:left="0" w:firstLine="0"/>
              <w:jc w:val="both"/>
              <w:rPr>
                <w:rFonts w:hint="eastAsia"/>
                <w:sz w:val="20"/>
                <w:szCs w:val="20"/>
              </w:rPr>
            </w:pPr>
            <w:r>
              <w:rPr>
                <w:sz w:val="20"/>
                <w:szCs w:val="20"/>
              </w:rPr>
              <w:t>对主机及联运柜外表进行清洁。</w:t>
            </w:r>
          </w:p>
        </w:tc>
        <w:tc>
          <w:tcPr>
            <w:tcW w:w="2048" w:type="dxa"/>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外观良好，功能正常。</w:t>
            </w:r>
          </w:p>
        </w:tc>
      </w:tr>
      <w:tr>
        <w:tblPrEx>
          <w:tblW w:w="0" w:type="auto"/>
          <w:tblInd w:w="-15" w:type="dxa"/>
          <w:tblCellMar>
            <w:top w:w="0" w:type="dxa"/>
            <w:left w:w="0" w:type="dxa"/>
            <w:bottom w:w="0" w:type="dxa"/>
            <w:right w:w="0" w:type="dxa"/>
          </w:tblCellMar>
        </w:tblPrEx>
        <w:trPr>
          <w:trHeight w:val="2647"/>
        </w:trPr>
        <w:tc>
          <w:tcPr>
            <w:tcW w:w="1004" w:type="dxa"/>
            <w:vMerge/>
            <w:tcBorders>
              <w:right w:val="single" w:sz="4" w:space="0" w:color="000000"/>
            </w:tcBorders>
            <w:vAlign w:val="center"/>
          </w:tcPr>
          <w:p>
            <w:pPr>
              <w:pStyle w:val="TableParagraph"/>
              <w:spacing w:line="360" w:lineRule="auto"/>
              <w:jc w:val="both"/>
              <w:rPr>
                <w:rFonts w:hint="eastAsia"/>
                <w:sz w:val="20"/>
                <w:szCs w:val="20"/>
              </w:rPr>
            </w:pPr>
          </w:p>
        </w:tc>
        <w:tc>
          <w:tcPr>
            <w:tcW w:w="850" w:type="dxa"/>
            <w:tcBorders>
              <w:top w:val="single" w:sz="4" w:space="0" w:color="000000"/>
              <w:left w:val="single" w:sz="4" w:space="0" w:color="000000"/>
              <w:bottom w:val="single" w:sz="4" w:space="0" w:color="auto"/>
              <w:right w:val="single" w:sz="4" w:space="0" w:color="000000"/>
            </w:tcBorders>
            <w:vAlign w:val="center"/>
          </w:tcPr>
          <w:p>
            <w:pPr>
              <w:pStyle w:val="TableParagraph"/>
              <w:spacing w:line="360" w:lineRule="auto"/>
              <w:jc w:val="both"/>
              <w:rPr>
                <w:rFonts w:hint="eastAsia"/>
                <w:sz w:val="20"/>
                <w:szCs w:val="20"/>
              </w:rPr>
            </w:pPr>
            <w:r>
              <w:rPr>
                <w:sz w:val="20"/>
                <w:szCs w:val="20"/>
              </w:rPr>
              <w:t>每月一次</w:t>
            </w:r>
          </w:p>
        </w:tc>
        <w:tc>
          <w:tcPr>
            <w:tcW w:w="5028" w:type="dxa"/>
            <w:tcBorders>
              <w:top w:val="single" w:sz="4" w:space="0" w:color="000000"/>
              <w:left w:val="single" w:sz="4" w:space="0" w:color="000000"/>
              <w:bottom w:val="single" w:sz="4" w:space="0" w:color="auto"/>
              <w:right w:val="single" w:sz="4" w:space="0" w:color="000000"/>
            </w:tcBorders>
            <w:vAlign w:val="center"/>
          </w:tcPr>
          <w:p>
            <w:pPr>
              <w:pStyle w:val="TableParagraph"/>
              <w:spacing w:line="360" w:lineRule="auto"/>
              <w:jc w:val="both"/>
              <w:rPr>
                <w:rFonts w:hint="eastAsia"/>
                <w:sz w:val="20"/>
                <w:szCs w:val="20"/>
              </w:rPr>
            </w:pPr>
            <w:r>
              <w:rPr>
                <w:sz w:val="20"/>
                <w:szCs w:val="20"/>
              </w:rPr>
              <w:t>1.完成日检查保养全部内容；</w:t>
            </w:r>
          </w:p>
          <w:p>
            <w:pPr>
              <w:pStyle w:val="TableParagraph"/>
              <w:spacing w:line="360" w:lineRule="auto"/>
              <w:jc w:val="both"/>
              <w:rPr>
                <w:rFonts w:hint="eastAsia"/>
                <w:sz w:val="20"/>
                <w:szCs w:val="20"/>
              </w:rPr>
            </w:pPr>
            <w:r>
              <w:rPr>
                <w:sz w:val="20"/>
                <w:szCs w:val="20"/>
              </w:rPr>
              <w:t>2.控制器主要工作电压测试；</w:t>
            </w:r>
          </w:p>
          <w:p>
            <w:pPr>
              <w:pStyle w:val="TableParagraph"/>
              <w:spacing w:line="360" w:lineRule="auto"/>
              <w:jc w:val="both"/>
              <w:rPr>
                <w:rFonts w:hint="eastAsia"/>
                <w:sz w:val="20"/>
                <w:szCs w:val="20"/>
              </w:rPr>
            </w:pPr>
            <w:r>
              <w:rPr>
                <w:sz w:val="20"/>
                <w:szCs w:val="20"/>
              </w:rPr>
              <w:t>3.烟感、温感探头安装倾斜度不大于 45 度，与底座接触是否良好，外观是否洁净完好；</w:t>
            </w:r>
          </w:p>
          <w:p>
            <w:pPr>
              <w:pStyle w:val="TableParagraph"/>
              <w:spacing w:line="360" w:lineRule="auto"/>
              <w:jc w:val="both"/>
              <w:rPr>
                <w:rFonts w:hint="eastAsia"/>
                <w:sz w:val="20"/>
                <w:szCs w:val="20"/>
              </w:rPr>
            </w:pPr>
            <w:r>
              <w:rPr>
                <w:sz w:val="20"/>
                <w:szCs w:val="20"/>
              </w:rPr>
              <w:t>4.随机抽取不低于 2％的温、烟感探头,检查报警是否正确；</w:t>
            </w:r>
          </w:p>
          <w:p>
            <w:pPr>
              <w:pStyle w:val="TableParagraph"/>
              <w:spacing w:line="360" w:lineRule="auto"/>
              <w:jc w:val="both"/>
              <w:rPr>
                <w:rFonts w:hint="eastAsia"/>
                <w:sz w:val="20"/>
                <w:szCs w:val="20"/>
              </w:rPr>
            </w:pPr>
            <w:r>
              <w:rPr>
                <w:sz w:val="20"/>
                <w:szCs w:val="20"/>
              </w:rPr>
              <w:t>5.手动报警按钮，检查安装是否牢固，有无破损及丢失：</w:t>
            </w:r>
          </w:p>
          <w:p>
            <w:pPr>
              <w:pStyle w:val="TableParagraph"/>
              <w:spacing w:line="360" w:lineRule="auto"/>
              <w:jc w:val="both"/>
              <w:rPr>
                <w:rFonts w:hint="eastAsia"/>
                <w:sz w:val="20"/>
                <w:szCs w:val="20"/>
              </w:rPr>
            </w:pPr>
            <w:r>
              <w:rPr>
                <w:sz w:val="20"/>
                <w:szCs w:val="20"/>
              </w:rPr>
              <w:t>6.任选手动报警按钮，进行模拟报警，测试报警功能</w:t>
            </w:r>
          </w:p>
          <w:p>
            <w:pPr>
              <w:pStyle w:val="TableParagraph"/>
              <w:spacing w:line="360" w:lineRule="auto"/>
              <w:jc w:val="both"/>
              <w:rPr>
                <w:rFonts w:hint="eastAsia"/>
                <w:sz w:val="20"/>
                <w:szCs w:val="20"/>
              </w:rPr>
            </w:pPr>
            <w:r>
              <w:rPr>
                <w:sz w:val="20"/>
                <w:szCs w:val="20"/>
              </w:rPr>
              <w:t>是否正常。</w:t>
            </w:r>
          </w:p>
        </w:tc>
        <w:tc>
          <w:tcPr>
            <w:tcW w:w="2048" w:type="dxa"/>
            <w:tcBorders>
              <w:top w:val="single" w:sz="4" w:space="0" w:color="000000"/>
              <w:left w:val="single" w:sz="4" w:space="0" w:color="000000"/>
              <w:bottom w:val="single" w:sz="4" w:space="0" w:color="auto"/>
            </w:tcBorders>
            <w:vAlign w:val="center"/>
          </w:tcPr>
          <w:p>
            <w:pPr>
              <w:pStyle w:val="TableParagraph"/>
              <w:spacing w:line="360" w:lineRule="auto"/>
              <w:jc w:val="both"/>
              <w:rPr>
                <w:rFonts w:hint="eastAsia"/>
                <w:sz w:val="20"/>
                <w:szCs w:val="20"/>
              </w:rPr>
            </w:pPr>
            <w:r>
              <w:rPr>
                <w:sz w:val="20"/>
                <w:szCs w:val="20"/>
              </w:rPr>
              <w:t>设备运行正常, 各项功能正常。</w:t>
            </w:r>
          </w:p>
        </w:tc>
      </w:tr>
      <w:tr>
        <w:tblPrEx>
          <w:tblW w:w="0" w:type="auto"/>
          <w:tblInd w:w="-15" w:type="dxa"/>
          <w:tblCellMar>
            <w:top w:w="0" w:type="dxa"/>
            <w:left w:w="0" w:type="dxa"/>
            <w:bottom w:w="0" w:type="dxa"/>
            <w:right w:w="0" w:type="dxa"/>
          </w:tblCellMar>
        </w:tblPrEx>
        <w:trPr>
          <w:trHeight w:val="2278"/>
        </w:trPr>
        <w:tc>
          <w:tcPr>
            <w:tcW w:w="1004" w:type="dxa"/>
            <w:vMerge/>
            <w:tcBorders>
              <w:bottom w:val="single" w:sz="4" w:space="0" w:color="auto"/>
              <w:right w:val="single" w:sz="4" w:space="0" w:color="000000"/>
            </w:tcBorders>
            <w:vAlign w:val="center"/>
          </w:tcPr>
          <w:p>
            <w:pPr>
              <w:pStyle w:val="TableParagraph"/>
              <w:spacing w:line="360" w:lineRule="auto"/>
              <w:jc w:val="both"/>
              <w:rPr>
                <w:rFonts w:hint="eastAsia"/>
                <w:sz w:val="20"/>
                <w:szCs w:val="20"/>
              </w:rPr>
            </w:pPr>
          </w:p>
        </w:tc>
        <w:tc>
          <w:tcPr>
            <w:tcW w:w="850" w:type="dxa"/>
            <w:tcBorders>
              <w:top w:val="single" w:sz="4" w:space="0" w:color="auto"/>
              <w:left w:val="single" w:sz="4" w:space="0" w:color="000000"/>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每年一次</w:t>
            </w:r>
          </w:p>
        </w:tc>
        <w:tc>
          <w:tcPr>
            <w:tcW w:w="5028" w:type="dxa"/>
            <w:tcBorders>
              <w:top w:val="single" w:sz="4" w:space="0" w:color="auto"/>
              <w:left w:val="single" w:sz="4" w:space="0" w:color="auto"/>
              <w:bottom w:val="single" w:sz="4" w:space="0" w:color="auto"/>
              <w:right w:val="single" w:sz="4" w:space="0" w:color="auto"/>
            </w:tcBorders>
            <w:vAlign w:val="center"/>
          </w:tcPr>
          <w:p>
            <w:pPr>
              <w:pStyle w:val="TableParagraph"/>
              <w:numPr>
                <w:ilvl w:val="0"/>
                <w:numId w:val="16"/>
              </w:numPr>
              <w:tabs>
                <w:tab w:val="left" w:pos="343"/>
              </w:tabs>
              <w:spacing w:line="360" w:lineRule="auto"/>
              <w:ind w:left="0" w:firstLine="0"/>
              <w:jc w:val="both"/>
              <w:rPr>
                <w:rFonts w:hint="eastAsia"/>
                <w:sz w:val="20"/>
                <w:szCs w:val="20"/>
              </w:rPr>
            </w:pPr>
            <w:r>
              <w:rPr>
                <w:sz w:val="20"/>
                <w:szCs w:val="20"/>
              </w:rPr>
              <w:t>重复每月一次的工作；</w:t>
            </w:r>
          </w:p>
          <w:p>
            <w:pPr>
              <w:pStyle w:val="TableParagraph"/>
              <w:numPr>
                <w:ilvl w:val="0"/>
                <w:numId w:val="16"/>
              </w:numPr>
              <w:tabs>
                <w:tab w:val="left" w:pos="343"/>
              </w:tabs>
              <w:spacing w:line="360" w:lineRule="auto"/>
              <w:ind w:left="0" w:firstLine="0"/>
              <w:jc w:val="both"/>
              <w:rPr>
                <w:rFonts w:hint="eastAsia"/>
                <w:sz w:val="20"/>
                <w:szCs w:val="20"/>
              </w:rPr>
            </w:pPr>
            <w:r>
              <w:rPr>
                <w:sz w:val="20"/>
                <w:szCs w:val="20"/>
              </w:rPr>
              <w:t>对楼层内弱电井中各模块箱进行外观检查，外接线是否固定良好；</w:t>
            </w:r>
          </w:p>
          <w:p>
            <w:pPr>
              <w:pStyle w:val="TableParagraph"/>
              <w:numPr>
                <w:ilvl w:val="0"/>
                <w:numId w:val="16"/>
              </w:numPr>
              <w:tabs>
                <w:tab w:val="left" w:pos="343"/>
              </w:tabs>
              <w:spacing w:line="360" w:lineRule="auto"/>
              <w:ind w:left="0" w:firstLine="0"/>
              <w:jc w:val="both"/>
              <w:rPr>
                <w:rFonts w:hint="eastAsia"/>
                <w:sz w:val="20"/>
                <w:szCs w:val="20"/>
              </w:rPr>
            </w:pPr>
            <w:r>
              <w:rPr>
                <w:sz w:val="20"/>
                <w:szCs w:val="20"/>
              </w:rPr>
              <w:t>火灾报警控制柜、联动柜等进行清扫除尘。</w:t>
            </w:r>
          </w:p>
          <w:p>
            <w:pPr>
              <w:pStyle w:val="TableParagraph"/>
              <w:numPr>
                <w:ilvl w:val="0"/>
                <w:numId w:val="16"/>
              </w:numPr>
              <w:tabs>
                <w:tab w:val="left" w:pos="343"/>
              </w:tabs>
              <w:spacing w:line="360" w:lineRule="auto"/>
              <w:ind w:left="0" w:firstLine="0"/>
              <w:jc w:val="both"/>
              <w:rPr>
                <w:rFonts w:hint="eastAsia"/>
                <w:sz w:val="20"/>
                <w:szCs w:val="20"/>
              </w:rPr>
            </w:pPr>
            <w:r>
              <w:rPr>
                <w:sz w:val="20"/>
                <w:szCs w:val="20"/>
              </w:rPr>
              <w:t>线路松动，应进行紧固。</w:t>
            </w:r>
          </w:p>
          <w:p>
            <w:pPr>
              <w:pStyle w:val="TableParagraph"/>
              <w:numPr>
                <w:ilvl w:val="0"/>
                <w:numId w:val="16"/>
              </w:numPr>
              <w:tabs>
                <w:tab w:val="left" w:pos="343"/>
              </w:tabs>
              <w:spacing w:line="360" w:lineRule="auto"/>
              <w:ind w:left="0" w:firstLine="0"/>
              <w:jc w:val="both"/>
              <w:rPr>
                <w:rFonts w:hint="eastAsia"/>
                <w:sz w:val="20"/>
                <w:szCs w:val="20"/>
              </w:rPr>
            </w:pPr>
            <w:r>
              <w:rPr>
                <w:sz w:val="20"/>
                <w:szCs w:val="20"/>
              </w:rPr>
              <w:t>对自检、消音、复位功能检查，主电源与备用电源切换、报警检查。</w:t>
            </w:r>
          </w:p>
        </w:tc>
        <w:tc>
          <w:tcPr>
            <w:tcW w:w="2048"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设备运行正常,各项功能正常。</w:t>
            </w:r>
          </w:p>
        </w:tc>
      </w:tr>
      <w:tr>
        <w:tblPrEx>
          <w:tblW w:w="0" w:type="auto"/>
          <w:tblInd w:w="-15" w:type="dxa"/>
          <w:tblCellMar>
            <w:top w:w="0" w:type="dxa"/>
            <w:left w:w="0" w:type="dxa"/>
            <w:bottom w:w="0" w:type="dxa"/>
            <w:right w:w="0" w:type="dxa"/>
          </w:tblCellMar>
        </w:tblPrEx>
        <w:trPr>
          <w:trHeight w:val="1640"/>
        </w:trPr>
        <w:tc>
          <w:tcPr>
            <w:tcW w:w="1004"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应急广播和消防对讲</w:t>
            </w:r>
            <w:r>
              <w:rPr>
                <w:rFonts w:hint="eastAsia"/>
                <w:sz w:val="20"/>
                <w:szCs w:val="20"/>
              </w:rPr>
              <w:t>电话</w:t>
            </w:r>
          </w:p>
        </w:tc>
        <w:tc>
          <w:tcPr>
            <w:tcW w:w="850"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每月一次</w:t>
            </w:r>
          </w:p>
        </w:tc>
        <w:tc>
          <w:tcPr>
            <w:tcW w:w="5028" w:type="dxa"/>
            <w:tcBorders>
              <w:top w:val="single" w:sz="4" w:space="0" w:color="auto"/>
              <w:left w:val="single" w:sz="4" w:space="0" w:color="auto"/>
              <w:bottom w:val="single" w:sz="4" w:space="0" w:color="auto"/>
              <w:right w:val="single" w:sz="4" w:space="0" w:color="auto"/>
            </w:tcBorders>
            <w:vAlign w:val="center"/>
          </w:tcPr>
          <w:p>
            <w:pPr>
              <w:pStyle w:val="TableParagraph"/>
              <w:numPr>
                <w:ilvl w:val="0"/>
                <w:numId w:val="17"/>
              </w:numPr>
              <w:tabs>
                <w:tab w:val="left" w:pos="343"/>
              </w:tabs>
              <w:spacing w:line="360" w:lineRule="auto"/>
              <w:ind w:left="0" w:firstLine="0"/>
              <w:jc w:val="both"/>
              <w:rPr>
                <w:rFonts w:hint="eastAsia"/>
                <w:sz w:val="20"/>
                <w:szCs w:val="20"/>
              </w:rPr>
            </w:pPr>
            <w:r>
              <w:rPr>
                <w:sz w:val="20"/>
                <w:szCs w:val="20"/>
              </w:rPr>
              <w:t>清洁设备：</w:t>
            </w:r>
          </w:p>
          <w:p>
            <w:pPr>
              <w:pStyle w:val="TableParagraph"/>
              <w:numPr>
                <w:ilvl w:val="0"/>
                <w:numId w:val="17"/>
              </w:numPr>
              <w:tabs>
                <w:tab w:val="left" w:pos="343"/>
              </w:tabs>
              <w:spacing w:line="360" w:lineRule="auto"/>
              <w:ind w:left="0" w:firstLine="0"/>
              <w:jc w:val="both"/>
              <w:rPr>
                <w:rFonts w:hint="eastAsia"/>
                <w:sz w:val="20"/>
                <w:szCs w:val="20"/>
              </w:rPr>
            </w:pPr>
            <w:r>
              <w:rPr>
                <w:sz w:val="20"/>
                <w:szCs w:val="20"/>
              </w:rPr>
              <w:t>检查外观是否良好，检查线路及设备是正常；</w:t>
            </w:r>
          </w:p>
          <w:p>
            <w:pPr>
              <w:pStyle w:val="TableParagraph"/>
              <w:numPr>
                <w:ilvl w:val="0"/>
                <w:numId w:val="17"/>
              </w:numPr>
              <w:tabs>
                <w:tab w:val="left" w:pos="343"/>
              </w:tabs>
              <w:spacing w:line="360" w:lineRule="auto"/>
              <w:ind w:left="0" w:firstLine="0"/>
              <w:jc w:val="both"/>
              <w:rPr>
                <w:rFonts w:hint="eastAsia"/>
                <w:sz w:val="20"/>
                <w:szCs w:val="20"/>
              </w:rPr>
            </w:pPr>
            <w:r>
              <w:rPr>
                <w:sz w:val="20"/>
                <w:szCs w:val="20"/>
              </w:rPr>
              <w:t>检测每层广播喇叭和电话的效果,有故障,马上更换。</w:t>
            </w:r>
          </w:p>
        </w:tc>
        <w:tc>
          <w:tcPr>
            <w:tcW w:w="2048"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通信畅通，音响效果达到要求</w:t>
            </w:r>
          </w:p>
        </w:tc>
      </w:tr>
      <w:tr>
        <w:tblPrEx>
          <w:tblW w:w="0" w:type="auto"/>
          <w:tblInd w:w="-15" w:type="dxa"/>
          <w:tblCellMar>
            <w:top w:w="0" w:type="dxa"/>
            <w:left w:w="0" w:type="dxa"/>
            <w:bottom w:w="0" w:type="dxa"/>
            <w:right w:w="0" w:type="dxa"/>
          </w:tblCellMar>
        </w:tblPrEx>
        <w:trPr>
          <w:trHeight w:val="1267"/>
        </w:trPr>
        <w:tc>
          <w:tcPr>
            <w:tcW w:w="1004" w:type="dxa"/>
            <w:vMerge w:val="restart"/>
            <w:tcBorders>
              <w:top w:val="single" w:sz="4" w:space="0" w:color="auto"/>
              <w:left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防排烟风机</w:t>
            </w:r>
          </w:p>
        </w:tc>
        <w:tc>
          <w:tcPr>
            <w:tcW w:w="850"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每月一次</w:t>
            </w:r>
          </w:p>
        </w:tc>
        <w:tc>
          <w:tcPr>
            <w:tcW w:w="5028" w:type="dxa"/>
            <w:tcBorders>
              <w:top w:val="single" w:sz="4" w:space="0" w:color="auto"/>
              <w:left w:val="single" w:sz="4" w:space="0" w:color="auto"/>
              <w:bottom w:val="single" w:sz="4" w:space="0" w:color="auto"/>
              <w:right w:val="single" w:sz="4" w:space="0" w:color="auto"/>
            </w:tcBorders>
            <w:vAlign w:val="center"/>
          </w:tcPr>
          <w:p>
            <w:pPr>
              <w:pStyle w:val="TableParagraph"/>
              <w:numPr>
                <w:ilvl w:val="0"/>
                <w:numId w:val="18"/>
              </w:numPr>
              <w:tabs>
                <w:tab w:val="left" w:pos="343"/>
              </w:tabs>
              <w:spacing w:line="360" w:lineRule="auto"/>
              <w:ind w:left="0" w:firstLine="0"/>
              <w:jc w:val="both"/>
              <w:rPr>
                <w:rFonts w:hint="eastAsia"/>
                <w:sz w:val="20"/>
                <w:szCs w:val="20"/>
              </w:rPr>
            </w:pPr>
            <w:r>
              <w:rPr>
                <w:sz w:val="20"/>
                <w:szCs w:val="20"/>
              </w:rPr>
              <w:t>清洁卫生；</w:t>
            </w:r>
          </w:p>
          <w:p>
            <w:pPr>
              <w:pStyle w:val="TableParagraph"/>
              <w:numPr>
                <w:ilvl w:val="0"/>
                <w:numId w:val="18"/>
              </w:numPr>
              <w:tabs>
                <w:tab w:val="left" w:pos="343"/>
              </w:tabs>
              <w:spacing w:line="360" w:lineRule="auto"/>
              <w:ind w:left="0" w:firstLine="0"/>
              <w:jc w:val="both"/>
              <w:rPr>
                <w:rFonts w:hint="eastAsia"/>
                <w:sz w:val="20"/>
                <w:szCs w:val="20"/>
              </w:rPr>
            </w:pPr>
            <w:r>
              <w:rPr>
                <w:sz w:val="20"/>
                <w:szCs w:val="20"/>
              </w:rPr>
              <w:t>手动运行一次；</w:t>
            </w:r>
          </w:p>
          <w:p>
            <w:pPr>
              <w:pStyle w:val="TableParagraph"/>
              <w:numPr>
                <w:ilvl w:val="0"/>
                <w:numId w:val="17"/>
              </w:numPr>
              <w:tabs>
                <w:tab w:val="left" w:pos="343"/>
              </w:tabs>
              <w:spacing w:line="360" w:lineRule="auto"/>
              <w:ind w:left="0" w:firstLine="0"/>
              <w:jc w:val="both"/>
              <w:rPr>
                <w:rFonts w:hint="eastAsia"/>
                <w:sz w:val="20"/>
                <w:szCs w:val="20"/>
              </w:rPr>
            </w:pPr>
            <w:r>
              <w:rPr>
                <w:sz w:val="20"/>
                <w:szCs w:val="20"/>
              </w:rPr>
              <w:t>设备标示。</w:t>
            </w:r>
          </w:p>
        </w:tc>
        <w:tc>
          <w:tcPr>
            <w:tcW w:w="2048"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外观良好、运行正常、标示清楚。</w:t>
            </w:r>
          </w:p>
        </w:tc>
      </w:tr>
      <w:tr>
        <w:tblPrEx>
          <w:tblW w:w="0" w:type="auto"/>
          <w:tblInd w:w="-15" w:type="dxa"/>
          <w:tblCellMar>
            <w:top w:w="0" w:type="dxa"/>
            <w:left w:w="0" w:type="dxa"/>
            <w:bottom w:w="0" w:type="dxa"/>
            <w:right w:w="0" w:type="dxa"/>
          </w:tblCellMar>
        </w:tblPrEx>
        <w:trPr>
          <w:trHeight w:val="665"/>
        </w:trPr>
        <w:tc>
          <w:tcPr>
            <w:tcW w:w="1004" w:type="dxa"/>
            <w:vMerge/>
            <w:tcBorders>
              <w:left w:val="single" w:sz="4" w:space="0" w:color="auto"/>
              <w:right w:val="single" w:sz="4" w:space="0" w:color="auto"/>
            </w:tcBorders>
            <w:vAlign w:val="center"/>
          </w:tcPr>
          <w:p>
            <w:pPr>
              <w:pStyle w:val="TableParagraph"/>
              <w:spacing w:line="360" w:lineRule="auto"/>
              <w:jc w:val="both"/>
              <w:rPr>
                <w:rFonts w:hint="eastAsia"/>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每半年一次</w:t>
            </w:r>
          </w:p>
        </w:tc>
        <w:tc>
          <w:tcPr>
            <w:tcW w:w="5028" w:type="dxa"/>
            <w:tcBorders>
              <w:top w:val="single" w:sz="4" w:space="0" w:color="auto"/>
              <w:left w:val="single" w:sz="4" w:space="0" w:color="auto"/>
              <w:bottom w:val="single" w:sz="4" w:space="0" w:color="auto"/>
              <w:right w:val="single" w:sz="4" w:space="0" w:color="auto"/>
            </w:tcBorders>
            <w:vAlign w:val="center"/>
          </w:tcPr>
          <w:p>
            <w:pPr>
              <w:pStyle w:val="TableParagraph"/>
              <w:numPr>
                <w:ilvl w:val="0"/>
                <w:numId w:val="19"/>
              </w:numPr>
              <w:tabs>
                <w:tab w:val="left" w:pos="236"/>
              </w:tabs>
              <w:spacing w:line="360" w:lineRule="auto"/>
              <w:ind w:left="0" w:firstLine="0"/>
              <w:jc w:val="both"/>
              <w:rPr>
                <w:rFonts w:hint="eastAsia"/>
                <w:sz w:val="20"/>
                <w:szCs w:val="20"/>
              </w:rPr>
            </w:pPr>
            <w:r>
              <w:rPr>
                <w:sz w:val="20"/>
                <w:szCs w:val="20"/>
              </w:rPr>
              <w:t>断开主电源，挂上标示牌，检查电机接地是否良好；</w:t>
            </w:r>
          </w:p>
          <w:p>
            <w:pPr>
              <w:pStyle w:val="TableParagraph"/>
              <w:numPr>
                <w:ilvl w:val="0"/>
                <w:numId w:val="19"/>
              </w:numPr>
              <w:tabs>
                <w:tab w:val="left" w:pos="343"/>
              </w:tabs>
              <w:spacing w:line="360" w:lineRule="auto"/>
              <w:ind w:left="0" w:firstLine="0"/>
              <w:jc w:val="both"/>
              <w:rPr>
                <w:rFonts w:hint="eastAsia"/>
                <w:sz w:val="20"/>
                <w:szCs w:val="20"/>
              </w:rPr>
            </w:pPr>
            <w:r>
              <w:rPr>
                <w:sz w:val="20"/>
                <w:szCs w:val="20"/>
              </w:rPr>
              <w:t>紧固各部分松动的螺丝及联轴器；</w:t>
            </w:r>
          </w:p>
          <w:p>
            <w:pPr>
              <w:pStyle w:val="TableParagraph"/>
              <w:numPr>
                <w:ilvl w:val="0"/>
                <w:numId w:val="19"/>
              </w:numPr>
              <w:tabs>
                <w:tab w:val="left" w:pos="343"/>
              </w:tabs>
              <w:spacing w:line="360" w:lineRule="auto"/>
              <w:ind w:left="0" w:firstLine="0"/>
              <w:jc w:val="both"/>
              <w:rPr>
                <w:rFonts w:hint="eastAsia"/>
                <w:sz w:val="20"/>
                <w:szCs w:val="20"/>
              </w:rPr>
            </w:pPr>
            <w:r>
              <w:rPr>
                <w:sz w:val="20"/>
                <w:szCs w:val="20"/>
              </w:rPr>
              <w:t>检测电动机的绝缘电阻，检查主回路接触点；</w:t>
            </w:r>
          </w:p>
          <w:p>
            <w:pPr>
              <w:pStyle w:val="TableParagraph"/>
              <w:numPr>
                <w:ilvl w:val="0"/>
                <w:numId w:val="19"/>
              </w:numPr>
              <w:tabs>
                <w:tab w:val="left" w:pos="343"/>
              </w:tabs>
              <w:spacing w:line="360" w:lineRule="auto"/>
              <w:ind w:left="0" w:firstLine="0"/>
              <w:jc w:val="both"/>
              <w:rPr>
                <w:rFonts w:hint="eastAsia"/>
                <w:sz w:val="20"/>
                <w:szCs w:val="20"/>
              </w:rPr>
            </w:pPr>
            <w:r>
              <w:rPr>
                <w:sz w:val="20"/>
                <w:szCs w:val="20"/>
              </w:rPr>
              <w:t>调整皮带松紧，手转皮带轮，观察转动是否良好；</w:t>
            </w:r>
          </w:p>
          <w:p>
            <w:pPr>
              <w:pStyle w:val="TableParagraph"/>
              <w:numPr>
                <w:ilvl w:val="0"/>
                <w:numId w:val="19"/>
              </w:numPr>
              <w:tabs>
                <w:tab w:val="left" w:pos="343"/>
              </w:tabs>
              <w:spacing w:line="360" w:lineRule="auto"/>
              <w:ind w:left="0" w:firstLine="0"/>
              <w:jc w:val="both"/>
              <w:rPr>
                <w:rFonts w:hint="eastAsia"/>
                <w:sz w:val="20"/>
                <w:szCs w:val="20"/>
              </w:rPr>
            </w:pPr>
            <w:r>
              <w:rPr>
                <w:sz w:val="20"/>
                <w:szCs w:val="20"/>
              </w:rPr>
              <w:t>清洁电机及风滤器和机壳内部；</w:t>
            </w:r>
          </w:p>
          <w:p>
            <w:pPr>
              <w:pStyle w:val="TableParagraph"/>
              <w:numPr>
                <w:ilvl w:val="0"/>
                <w:numId w:val="19"/>
              </w:numPr>
              <w:tabs>
                <w:tab w:val="left" w:pos="343"/>
              </w:tabs>
              <w:spacing w:line="360" w:lineRule="auto"/>
              <w:ind w:left="0" w:firstLine="0"/>
              <w:jc w:val="both"/>
              <w:rPr>
                <w:rFonts w:hint="eastAsia"/>
                <w:sz w:val="20"/>
                <w:szCs w:val="20"/>
              </w:rPr>
            </w:pPr>
            <w:r>
              <w:rPr>
                <w:sz w:val="20"/>
                <w:szCs w:val="20"/>
              </w:rPr>
              <w:t>向转动部位加润滑油，保证联轴器及轴承的灵活性及稳定性</w:t>
            </w:r>
            <w:r>
              <w:rPr>
                <w:rFonts w:hint="eastAsia"/>
                <w:sz w:val="20"/>
                <w:szCs w:val="20"/>
              </w:rPr>
              <w:t>；</w:t>
            </w:r>
          </w:p>
          <w:p>
            <w:pPr>
              <w:pStyle w:val="TableParagraph"/>
              <w:numPr>
                <w:ilvl w:val="0"/>
                <w:numId w:val="19"/>
              </w:numPr>
              <w:tabs>
                <w:tab w:val="left" w:pos="343"/>
              </w:tabs>
              <w:spacing w:line="360" w:lineRule="auto"/>
              <w:ind w:left="0" w:firstLine="0"/>
              <w:jc w:val="both"/>
              <w:rPr>
                <w:rFonts w:hint="eastAsia"/>
                <w:sz w:val="20"/>
                <w:szCs w:val="20"/>
              </w:rPr>
            </w:pPr>
            <w:r>
              <w:rPr>
                <w:sz w:val="20"/>
                <w:szCs w:val="20"/>
              </w:rPr>
              <w:t>检查防火阀的机械开闭动作、开闭角度标志：</w:t>
            </w:r>
          </w:p>
          <w:p>
            <w:pPr>
              <w:pStyle w:val="TableParagraph"/>
              <w:numPr>
                <w:ilvl w:val="0"/>
                <w:numId w:val="19"/>
              </w:numPr>
              <w:tabs>
                <w:tab w:val="left" w:pos="236"/>
              </w:tabs>
              <w:spacing w:line="360" w:lineRule="auto"/>
              <w:ind w:left="0" w:firstLine="0"/>
              <w:jc w:val="both"/>
              <w:rPr>
                <w:rFonts w:hint="eastAsia"/>
                <w:sz w:val="20"/>
                <w:szCs w:val="20"/>
              </w:rPr>
            </w:pPr>
            <w:r>
              <w:rPr>
                <w:sz w:val="20"/>
                <w:szCs w:val="20"/>
              </w:rPr>
              <w:t>手动开机测定三相电流值，检查指示灯电压、电流表，听查风机各部件运行声音；</w:t>
            </w:r>
          </w:p>
          <w:p>
            <w:pPr>
              <w:pStyle w:val="TableParagraph"/>
              <w:numPr>
                <w:ilvl w:val="0"/>
                <w:numId w:val="19"/>
              </w:numPr>
              <w:tabs>
                <w:tab w:val="left" w:pos="343"/>
              </w:tabs>
              <w:spacing w:line="360" w:lineRule="auto"/>
              <w:ind w:left="0" w:firstLine="0"/>
              <w:jc w:val="both"/>
              <w:rPr>
                <w:rFonts w:hint="eastAsia"/>
                <w:sz w:val="20"/>
                <w:szCs w:val="20"/>
              </w:rPr>
            </w:pPr>
            <w:r>
              <w:rPr>
                <w:sz w:val="20"/>
                <w:szCs w:val="20"/>
              </w:rPr>
              <w:t>各远控点的控制箱(含箱内元件)全面检查；</w:t>
            </w:r>
          </w:p>
          <w:p>
            <w:pPr>
              <w:pStyle w:val="TableParagraph"/>
              <w:numPr>
                <w:ilvl w:val="0"/>
                <w:numId w:val="19"/>
              </w:numPr>
              <w:tabs>
                <w:tab w:val="left" w:pos="451"/>
              </w:tabs>
              <w:spacing w:line="360" w:lineRule="auto"/>
              <w:ind w:left="0" w:firstLine="0"/>
              <w:jc w:val="both"/>
              <w:rPr>
                <w:rFonts w:hint="eastAsia"/>
                <w:sz w:val="20"/>
                <w:szCs w:val="20"/>
              </w:rPr>
            </w:pPr>
            <w:r>
              <w:rPr>
                <w:sz w:val="20"/>
                <w:szCs w:val="20"/>
              </w:rPr>
              <w:t>连续三次停开机检查手动各点远控的正确性、可靠性；</w:t>
            </w:r>
          </w:p>
          <w:p>
            <w:pPr>
              <w:pStyle w:val="TableParagraph"/>
              <w:tabs>
                <w:tab w:val="left" w:pos="343"/>
              </w:tabs>
              <w:spacing w:line="360" w:lineRule="auto"/>
              <w:jc w:val="both"/>
              <w:rPr>
                <w:rFonts w:hint="eastAsia"/>
                <w:sz w:val="20"/>
                <w:szCs w:val="20"/>
              </w:rPr>
            </w:pPr>
            <w:r>
              <w:rPr>
                <w:sz w:val="20"/>
                <w:szCs w:val="20"/>
              </w:rPr>
              <w:t>11.连续运转半小时验证风机运转正常。</w:t>
            </w:r>
          </w:p>
        </w:tc>
        <w:tc>
          <w:tcPr>
            <w:tcW w:w="2048"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润滑良好，运行正常。</w:t>
            </w:r>
          </w:p>
        </w:tc>
      </w:tr>
      <w:tr>
        <w:tblPrEx>
          <w:tblW w:w="0" w:type="auto"/>
          <w:tblInd w:w="-15" w:type="dxa"/>
          <w:tblCellMar>
            <w:top w:w="0" w:type="dxa"/>
            <w:left w:w="0" w:type="dxa"/>
            <w:bottom w:w="0" w:type="dxa"/>
            <w:right w:w="0" w:type="dxa"/>
          </w:tblCellMar>
        </w:tblPrEx>
        <w:trPr>
          <w:trHeight w:val="984"/>
        </w:trPr>
        <w:tc>
          <w:tcPr>
            <w:tcW w:w="1004" w:type="dxa"/>
            <w:vMerge/>
            <w:tcBorders>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每年一次</w:t>
            </w:r>
          </w:p>
        </w:tc>
        <w:tc>
          <w:tcPr>
            <w:tcW w:w="5028" w:type="dxa"/>
            <w:tcBorders>
              <w:top w:val="single" w:sz="4" w:space="0" w:color="auto"/>
              <w:left w:val="single" w:sz="4" w:space="0" w:color="auto"/>
              <w:bottom w:val="single" w:sz="4" w:space="0" w:color="auto"/>
              <w:right w:val="single" w:sz="4" w:space="0" w:color="auto"/>
            </w:tcBorders>
            <w:vAlign w:val="center"/>
          </w:tcPr>
          <w:p>
            <w:pPr>
              <w:pStyle w:val="TableParagraph"/>
              <w:numPr>
                <w:ilvl w:val="0"/>
                <w:numId w:val="20"/>
              </w:numPr>
              <w:tabs>
                <w:tab w:val="left" w:pos="343"/>
              </w:tabs>
              <w:spacing w:line="360" w:lineRule="auto"/>
              <w:ind w:left="0" w:firstLine="0"/>
              <w:jc w:val="both"/>
              <w:rPr>
                <w:rFonts w:hint="eastAsia"/>
                <w:sz w:val="20"/>
                <w:szCs w:val="20"/>
              </w:rPr>
            </w:pPr>
            <w:r>
              <w:rPr>
                <w:sz w:val="20"/>
                <w:szCs w:val="20"/>
              </w:rPr>
              <w:t>清洗、更换风机轴承，检测接地电阻；</w:t>
            </w:r>
          </w:p>
          <w:p>
            <w:pPr>
              <w:pStyle w:val="TableParagraph"/>
              <w:numPr>
                <w:ilvl w:val="0"/>
                <w:numId w:val="20"/>
              </w:numPr>
              <w:tabs>
                <w:tab w:val="left" w:pos="343"/>
              </w:tabs>
              <w:spacing w:line="360" w:lineRule="auto"/>
              <w:ind w:left="0" w:firstLine="0"/>
              <w:jc w:val="both"/>
              <w:rPr>
                <w:rFonts w:hint="eastAsia"/>
                <w:sz w:val="20"/>
                <w:szCs w:val="20"/>
              </w:rPr>
            </w:pPr>
            <w:r>
              <w:rPr>
                <w:sz w:val="20"/>
                <w:szCs w:val="20"/>
              </w:rPr>
              <w:t>风机外壳清锈、刷漆。</w:t>
            </w:r>
          </w:p>
        </w:tc>
        <w:tc>
          <w:tcPr>
            <w:tcW w:w="2048"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外观良好，标示清晰。</w:t>
            </w:r>
          </w:p>
        </w:tc>
      </w:tr>
      <w:tr>
        <w:tblPrEx>
          <w:tblW w:w="0" w:type="auto"/>
          <w:tblInd w:w="-15" w:type="dxa"/>
          <w:tblCellMar>
            <w:top w:w="0" w:type="dxa"/>
            <w:left w:w="0" w:type="dxa"/>
            <w:bottom w:w="0" w:type="dxa"/>
            <w:right w:w="0" w:type="dxa"/>
          </w:tblCellMar>
        </w:tblPrEx>
        <w:trPr>
          <w:trHeight w:val="1305"/>
        </w:trPr>
        <w:tc>
          <w:tcPr>
            <w:tcW w:w="1004" w:type="dxa"/>
            <w:vMerge w:val="restart"/>
            <w:tcBorders>
              <w:top w:val="single" w:sz="4" w:space="0" w:color="auto"/>
              <w:left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气体灭火系统</w:t>
            </w:r>
          </w:p>
        </w:tc>
        <w:tc>
          <w:tcPr>
            <w:tcW w:w="850"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每月一次</w:t>
            </w:r>
          </w:p>
        </w:tc>
        <w:tc>
          <w:tcPr>
            <w:tcW w:w="5028" w:type="dxa"/>
            <w:tcBorders>
              <w:top w:val="single" w:sz="4" w:space="0" w:color="auto"/>
              <w:left w:val="single" w:sz="4" w:space="0" w:color="auto"/>
              <w:bottom w:val="single" w:sz="4" w:space="0" w:color="auto"/>
              <w:right w:val="single" w:sz="4" w:space="0" w:color="auto"/>
            </w:tcBorders>
            <w:vAlign w:val="center"/>
          </w:tcPr>
          <w:p>
            <w:pPr>
              <w:pStyle w:val="TableParagraph"/>
              <w:numPr>
                <w:ilvl w:val="0"/>
                <w:numId w:val="21"/>
              </w:numPr>
              <w:tabs>
                <w:tab w:val="left" w:pos="343"/>
              </w:tabs>
              <w:spacing w:line="360" w:lineRule="auto"/>
              <w:ind w:left="0" w:firstLine="0"/>
              <w:jc w:val="both"/>
              <w:rPr>
                <w:rFonts w:hint="eastAsia"/>
                <w:sz w:val="20"/>
                <w:szCs w:val="20"/>
              </w:rPr>
            </w:pPr>
            <w:r>
              <w:rPr>
                <w:sz w:val="20"/>
                <w:szCs w:val="20"/>
              </w:rPr>
              <w:t>清洁卫生；</w:t>
            </w:r>
          </w:p>
          <w:p>
            <w:pPr>
              <w:pStyle w:val="TableParagraph"/>
              <w:numPr>
                <w:ilvl w:val="0"/>
                <w:numId w:val="21"/>
              </w:numPr>
              <w:tabs>
                <w:tab w:val="left" w:pos="343"/>
              </w:tabs>
              <w:spacing w:line="360" w:lineRule="auto"/>
              <w:ind w:left="0" w:firstLine="0"/>
              <w:jc w:val="both"/>
              <w:rPr>
                <w:rFonts w:hint="eastAsia"/>
                <w:sz w:val="20"/>
                <w:szCs w:val="20"/>
              </w:rPr>
            </w:pPr>
            <w:r>
              <w:rPr>
                <w:sz w:val="20"/>
                <w:szCs w:val="20"/>
              </w:rPr>
              <w:t>检查外观是否完好，有无泄漏气体现象；</w:t>
            </w:r>
          </w:p>
          <w:p>
            <w:pPr>
              <w:pStyle w:val="TableParagraph"/>
              <w:tabs>
                <w:tab w:val="left" w:pos="343"/>
              </w:tabs>
              <w:spacing w:line="360" w:lineRule="auto"/>
              <w:jc w:val="both"/>
              <w:rPr>
                <w:rFonts w:hint="eastAsia"/>
                <w:sz w:val="20"/>
                <w:szCs w:val="20"/>
              </w:rPr>
            </w:pPr>
            <w:r>
              <w:rPr>
                <w:sz w:val="20"/>
                <w:szCs w:val="20"/>
              </w:rPr>
              <w:t>3.检查气压表的完好情况。</w:t>
            </w:r>
          </w:p>
        </w:tc>
        <w:tc>
          <w:tcPr>
            <w:tcW w:w="2048"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外观良好，压力正常。</w:t>
            </w:r>
          </w:p>
        </w:tc>
      </w:tr>
      <w:tr>
        <w:tblPrEx>
          <w:tblW w:w="0" w:type="auto"/>
          <w:tblInd w:w="-15" w:type="dxa"/>
          <w:tblCellMar>
            <w:top w:w="0" w:type="dxa"/>
            <w:left w:w="0" w:type="dxa"/>
            <w:bottom w:w="0" w:type="dxa"/>
            <w:right w:w="0" w:type="dxa"/>
          </w:tblCellMar>
        </w:tblPrEx>
        <w:trPr>
          <w:trHeight w:val="1411"/>
        </w:trPr>
        <w:tc>
          <w:tcPr>
            <w:tcW w:w="1004" w:type="dxa"/>
            <w:vMerge/>
            <w:tcBorders>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每半年一次</w:t>
            </w:r>
          </w:p>
        </w:tc>
        <w:tc>
          <w:tcPr>
            <w:tcW w:w="5028" w:type="dxa"/>
            <w:tcBorders>
              <w:top w:val="single" w:sz="4" w:space="0" w:color="auto"/>
              <w:left w:val="single" w:sz="4" w:space="0" w:color="auto"/>
              <w:bottom w:val="single" w:sz="4" w:space="0" w:color="auto"/>
              <w:right w:val="single" w:sz="4" w:space="0" w:color="auto"/>
            </w:tcBorders>
            <w:vAlign w:val="center"/>
          </w:tcPr>
          <w:p>
            <w:pPr>
              <w:pStyle w:val="TableParagraph"/>
              <w:numPr>
                <w:ilvl w:val="0"/>
                <w:numId w:val="22"/>
              </w:numPr>
              <w:tabs>
                <w:tab w:val="left" w:pos="343"/>
              </w:tabs>
              <w:spacing w:line="360" w:lineRule="auto"/>
              <w:ind w:left="0" w:firstLine="0"/>
              <w:jc w:val="both"/>
              <w:rPr>
                <w:rFonts w:hint="eastAsia"/>
                <w:sz w:val="20"/>
                <w:szCs w:val="20"/>
              </w:rPr>
            </w:pPr>
            <w:r>
              <w:rPr>
                <w:sz w:val="20"/>
                <w:szCs w:val="20"/>
              </w:rPr>
              <w:t>检查气瓶压力；</w:t>
            </w:r>
          </w:p>
          <w:p>
            <w:pPr>
              <w:pStyle w:val="TableParagraph"/>
              <w:numPr>
                <w:ilvl w:val="0"/>
                <w:numId w:val="22"/>
              </w:numPr>
              <w:tabs>
                <w:tab w:val="left" w:pos="343"/>
              </w:tabs>
              <w:spacing w:line="360" w:lineRule="auto"/>
              <w:ind w:left="0" w:firstLine="0"/>
              <w:jc w:val="both"/>
              <w:rPr>
                <w:rFonts w:hint="eastAsia"/>
                <w:sz w:val="20"/>
                <w:szCs w:val="20"/>
              </w:rPr>
            </w:pPr>
            <w:r>
              <w:rPr>
                <w:sz w:val="20"/>
                <w:szCs w:val="20"/>
              </w:rPr>
              <w:t>气瓶外壳除锈，刷保护漆；</w:t>
            </w:r>
          </w:p>
          <w:p>
            <w:pPr>
              <w:pStyle w:val="TableParagraph"/>
              <w:tabs>
                <w:tab w:val="left" w:pos="343"/>
              </w:tabs>
              <w:spacing w:line="360" w:lineRule="auto"/>
              <w:jc w:val="both"/>
              <w:rPr>
                <w:rFonts w:hint="eastAsia"/>
                <w:sz w:val="20"/>
                <w:szCs w:val="20"/>
              </w:rPr>
            </w:pPr>
            <w:r>
              <w:rPr>
                <w:sz w:val="20"/>
                <w:szCs w:val="20"/>
              </w:rPr>
              <w:t>3.模拟测试气体消防灭火系统的动作情况。</w:t>
            </w:r>
          </w:p>
        </w:tc>
        <w:tc>
          <w:tcPr>
            <w:tcW w:w="2048"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压力正常、运行正常。</w:t>
            </w:r>
          </w:p>
        </w:tc>
      </w:tr>
      <w:tr>
        <w:tblPrEx>
          <w:tblW w:w="0" w:type="auto"/>
          <w:tblInd w:w="-15" w:type="dxa"/>
          <w:tblCellMar>
            <w:top w:w="0" w:type="dxa"/>
            <w:left w:w="0" w:type="dxa"/>
            <w:bottom w:w="0" w:type="dxa"/>
            <w:right w:w="0" w:type="dxa"/>
          </w:tblCellMar>
        </w:tblPrEx>
        <w:trPr>
          <w:trHeight w:val="1104"/>
        </w:trPr>
        <w:tc>
          <w:tcPr>
            <w:tcW w:w="1004" w:type="dxa"/>
            <w:vMerge w:val="restart"/>
            <w:tcBorders>
              <w:top w:val="single" w:sz="4" w:space="0" w:color="auto"/>
              <w:left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消火栓及管网</w:t>
            </w:r>
          </w:p>
        </w:tc>
        <w:tc>
          <w:tcPr>
            <w:tcW w:w="850"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每月一次</w:t>
            </w:r>
          </w:p>
        </w:tc>
        <w:tc>
          <w:tcPr>
            <w:tcW w:w="5028" w:type="dxa"/>
            <w:tcBorders>
              <w:top w:val="single" w:sz="4" w:space="0" w:color="auto"/>
              <w:left w:val="single" w:sz="4" w:space="0" w:color="auto"/>
              <w:bottom w:val="single" w:sz="4" w:space="0" w:color="auto"/>
              <w:right w:val="single" w:sz="4" w:space="0" w:color="auto"/>
            </w:tcBorders>
            <w:vAlign w:val="center"/>
          </w:tcPr>
          <w:p>
            <w:pPr>
              <w:pStyle w:val="TableParagraph"/>
              <w:numPr>
                <w:ilvl w:val="0"/>
                <w:numId w:val="23"/>
              </w:numPr>
              <w:tabs>
                <w:tab w:val="left" w:pos="343"/>
              </w:tabs>
              <w:spacing w:line="360" w:lineRule="auto"/>
              <w:ind w:left="0" w:firstLine="0"/>
              <w:jc w:val="both"/>
              <w:rPr>
                <w:rFonts w:hint="eastAsia"/>
                <w:sz w:val="20"/>
                <w:szCs w:val="20"/>
              </w:rPr>
            </w:pPr>
            <w:r>
              <w:rPr>
                <w:sz w:val="20"/>
                <w:szCs w:val="20"/>
              </w:rPr>
              <w:t>清洁箱内卫生；</w:t>
            </w:r>
          </w:p>
          <w:p>
            <w:pPr>
              <w:pStyle w:val="TableParagraph"/>
              <w:tabs>
                <w:tab w:val="left" w:pos="343"/>
              </w:tabs>
              <w:spacing w:line="360" w:lineRule="auto"/>
              <w:jc w:val="both"/>
              <w:rPr>
                <w:rFonts w:hint="eastAsia"/>
                <w:sz w:val="20"/>
                <w:szCs w:val="20"/>
              </w:rPr>
            </w:pPr>
            <w:r>
              <w:rPr>
                <w:sz w:val="20"/>
                <w:szCs w:val="20"/>
              </w:rPr>
              <w:t>2.检查箱件是否齐全。</w:t>
            </w:r>
          </w:p>
        </w:tc>
        <w:tc>
          <w:tcPr>
            <w:tcW w:w="2048"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卫生良好，配件齐全</w:t>
            </w:r>
          </w:p>
        </w:tc>
      </w:tr>
      <w:tr>
        <w:tblPrEx>
          <w:tblW w:w="0" w:type="auto"/>
          <w:tblInd w:w="-15" w:type="dxa"/>
          <w:tblCellMar>
            <w:top w:w="0" w:type="dxa"/>
            <w:left w:w="0" w:type="dxa"/>
            <w:bottom w:w="0" w:type="dxa"/>
            <w:right w:w="0" w:type="dxa"/>
          </w:tblCellMar>
        </w:tblPrEx>
        <w:trPr>
          <w:trHeight w:val="969"/>
        </w:trPr>
        <w:tc>
          <w:tcPr>
            <w:tcW w:w="1004" w:type="dxa"/>
            <w:vMerge/>
            <w:tcBorders>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每半年一次</w:t>
            </w:r>
          </w:p>
        </w:tc>
        <w:tc>
          <w:tcPr>
            <w:tcW w:w="5028" w:type="dxa"/>
            <w:tcBorders>
              <w:top w:val="single" w:sz="4" w:space="0" w:color="auto"/>
              <w:left w:val="single" w:sz="4" w:space="0" w:color="auto"/>
              <w:bottom w:val="single" w:sz="4" w:space="0" w:color="auto"/>
              <w:right w:val="single" w:sz="4" w:space="0" w:color="auto"/>
            </w:tcBorders>
            <w:vAlign w:val="center"/>
          </w:tcPr>
          <w:p>
            <w:pPr>
              <w:pStyle w:val="TableParagraph"/>
              <w:numPr>
                <w:ilvl w:val="0"/>
                <w:numId w:val="24"/>
              </w:numPr>
              <w:tabs>
                <w:tab w:val="left" w:pos="343"/>
              </w:tabs>
              <w:spacing w:line="360" w:lineRule="auto"/>
              <w:ind w:left="0" w:firstLine="0"/>
              <w:jc w:val="both"/>
              <w:rPr>
                <w:rFonts w:hint="eastAsia"/>
                <w:sz w:val="20"/>
                <w:szCs w:val="20"/>
              </w:rPr>
            </w:pPr>
            <w:r>
              <w:rPr>
                <w:sz w:val="20"/>
                <w:szCs w:val="20"/>
              </w:rPr>
              <w:t>消防栓水压测试射程在 13 米，能实现联动；</w:t>
            </w:r>
          </w:p>
          <w:p>
            <w:pPr>
              <w:pStyle w:val="TableParagraph"/>
              <w:tabs>
                <w:tab w:val="left" w:pos="343"/>
              </w:tabs>
              <w:spacing w:line="360" w:lineRule="auto"/>
              <w:jc w:val="both"/>
              <w:rPr>
                <w:rFonts w:hint="eastAsia"/>
                <w:sz w:val="20"/>
                <w:szCs w:val="20"/>
              </w:rPr>
            </w:pPr>
            <w:r>
              <w:rPr>
                <w:sz w:val="20"/>
                <w:szCs w:val="20"/>
              </w:rPr>
              <w:t>2.对水带进行防霉处理。</w:t>
            </w:r>
          </w:p>
        </w:tc>
        <w:tc>
          <w:tcPr>
            <w:tcW w:w="2048"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无滴漏、压力正常、工作正常。</w:t>
            </w:r>
          </w:p>
        </w:tc>
      </w:tr>
      <w:tr>
        <w:tblPrEx>
          <w:tblW w:w="0" w:type="auto"/>
          <w:tblInd w:w="-15" w:type="dxa"/>
          <w:tblCellMar>
            <w:top w:w="0" w:type="dxa"/>
            <w:left w:w="0" w:type="dxa"/>
            <w:bottom w:w="0" w:type="dxa"/>
            <w:right w:w="0" w:type="dxa"/>
          </w:tblCellMar>
        </w:tblPrEx>
        <w:trPr>
          <w:trHeight w:val="1027"/>
        </w:trPr>
        <w:tc>
          <w:tcPr>
            <w:tcW w:w="1004" w:type="dxa"/>
            <w:vMerge w:val="restart"/>
            <w:tcBorders>
              <w:top w:val="single" w:sz="4" w:space="0" w:color="auto"/>
              <w:left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疏散指示牌</w:t>
            </w:r>
          </w:p>
        </w:tc>
        <w:tc>
          <w:tcPr>
            <w:tcW w:w="850"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每天一次</w:t>
            </w:r>
          </w:p>
        </w:tc>
        <w:tc>
          <w:tcPr>
            <w:tcW w:w="5028" w:type="dxa"/>
            <w:tcBorders>
              <w:top w:val="single" w:sz="4" w:space="0" w:color="auto"/>
              <w:left w:val="single" w:sz="4" w:space="0" w:color="auto"/>
              <w:bottom w:val="single" w:sz="4" w:space="0" w:color="auto"/>
              <w:right w:val="single" w:sz="4" w:space="0" w:color="auto"/>
            </w:tcBorders>
            <w:vAlign w:val="center"/>
          </w:tcPr>
          <w:p>
            <w:pPr>
              <w:pStyle w:val="TableParagraph"/>
              <w:tabs>
                <w:tab w:val="left" w:pos="343"/>
              </w:tabs>
              <w:spacing w:line="360" w:lineRule="auto"/>
              <w:jc w:val="both"/>
              <w:rPr>
                <w:rFonts w:hint="eastAsia"/>
                <w:sz w:val="20"/>
                <w:szCs w:val="20"/>
              </w:rPr>
            </w:pPr>
            <w:r>
              <w:rPr>
                <w:sz w:val="20"/>
                <w:szCs w:val="20"/>
              </w:rPr>
              <w:t>检查外观有无破损及不亮，一旦发现及时维修。</w:t>
            </w:r>
          </w:p>
        </w:tc>
        <w:tc>
          <w:tcPr>
            <w:tcW w:w="2048"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设施完好。</w:t>
            </w:r>
          </w:p>
        </w:tc>
      </w:tr>
      <w:tr>
        <w:tblPrEx>
          <w:tblW w:w="0" w:type="auto"/>
          <w:tblInd w:w="-15" w:type="dxa"/>
          <w:tblCellMar>
            <w:top w:w="0" w:type="dxa"/>
            <w:left w:w="0" w:type="dxa"/>
            <w:bottom w:w="0" w:type="dxa"/>
            <w:right w:w="0" w:type="dxa"/>
          </w:tblCellMar>
        </w:tblPrEx>
        <w:trPr>
          <w:trHeight w:val="1824"/>
        </w:trPr>
        <w:tc>
          <w:tcPr>
            <w:tcW w:w="1004" w:type="dxa"/>
            <w:vMerge/>
            <w:tcBorders>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每半年一次</w:t>
            </w:r>
          </w:p>
        </w:tc>
        <w:tc>
          <w:tcPr>
            <w:tcW w:w="5028" w:type="dxa"/>
            <w:tcBorders>
              <w:top w:val="single" w:sz="4" w:space="0" w:color="auto"/>
              <w:left w:val="single" w:sz="4" w:space="0" w:color="auto"/>
              <w:bottom w:val="single" w:sz="4" w:space="0" w:color="auto"/>
              <w:right w:val="single" w:sz="4" w:space="0" w:color="auto"/>
            </w:tcBorders>
            <w:vAlign w:val="center"/>
          </w:tcPr>
          <w:p>
            <w:pPr>
              <w:pStyle w:val="TableParagraph"/>
              <w:numPr>
                <w:ilvl w:val="0"/>
                <w:numId w:val="25"/>
              </w:numPr>
              <w:tabs>
                <w:tab w:val="left" w:pos="343"/>
              </w:tabs>
              <w:spacing w:line="360" w:lineRule="auto"/>
              <w:ind w:left="0" w:firstLine="0"/>
              <w:jc w:val="both"/>
              <w:rPr>
                <w:rFonts w:hint="eastAsia"/>
                <w:sz w:val="20"/>
                <w:szCs w:val="20"/>
              </w:rPr>
            </w:pPr>
            <w:r>
              <w:rPr>
                <w:sz w:val="20"/>
                <w:szCs w:val="20"/>
              </w:rPr>
              <w:t>面板有无划伤或破裂现象；</w:t>
            </w:r>
          </w:p>
          <w:p>
            <w:pPr>
              <w:pStyle w:val="TableParagraph"/>
              <w:numPr>
                <w:ilvl w:val="0"/>
                <w:numId w:val="25"/>
              </w:numPr>
              <w:tabs>
                <w:tab w:val="left" w:pos="343"/>
              </w:tabs>
              <w:spacing w:line="360" w:lineRule="auto"/>
              <w:ind w:left="0" w:firstLine="0"/>
              <w:jc w:val="both"/>
              <w:rPr>
                <w:rFonts w:hint="eastAsia"/>
                <w:sz w:val="20"/>
                <w:szCs w:val="20"/>
              </w:rPr>
            </w:pPr>
            <w:r>
              <w:rPr>
                <w:sz w:val="20"/>
                <w:szCs w:val="20"/>
              </w:rPr>
              <w:t>检查安装是否牢固；</w:t>
            </w:r>
          </w:p>
          <w:p>
            <w:pPr>
              <w:pStyle w:val="TableParagraph"/>
              <w:numPr>
                <w:ilvl w:val="0"/>
                <w:numId w:val="25"/>
              </w:numPr>
              <w:tabs>
                <w:tab w:val="left" w:pos="343"/>
              </w:tabs>
              <w:spacing w:line="360" w:lineRule="auto"/>
              <w:ind w:left="0" w:firstLine="0"/>
              <w:jc w:val="both"/>
              <w:rPr>
                <w:rFonts w:hint="eastAsia"/>
                <w:sz w:val="20"/>
                <w:szCs w:val="20"/>
              </w:rPr>
            </w:pPr>
            <w:r>
              <w:rPr>
                <w:sz w:val="20"/>
                <w:szCs w:val="20"/>
              </w:rPr>
              <w:t>针对检查中发现的缺陷取下来进行修复，再装回原位：</w:t>
            </w:r>
          </w:p>
          <w:p>
            <w:pPr>
              <w:pStyle w:val="TableParagraph"/>
              <w:numPr>
                <w:ilvl w:val="0"/>
                <w:numId w:val="25"/>
              </w:numPr>
              <w:tabs>
                <w:tab w:val="left" w:pos="343"/>
              </w:tabs>
              <w:spacing w:line="360" w:lineRule="auto"/>
              <w:ind w:left="0" w:firstLine="0"/>
              <w:jc w:val="both"/>
              <w:rPr>
                <w:rFonts w:hint="eastAsia"/>
                <w:sz w:val="20"/>
                <w:szCs w:val="20"/>
              </w:rPr>
            </w:pPr>
            <w:r>
              <w:rPr>
                <w:sz w:val="20"/>
                <w:szCs w:val="20"/>
              </w:rPr>
              <w:t>面板擦拭干净。</w:t>
            </w:r>
          </w:p>
        </w:tc>
        <w:tc>
          <w:tcPr>
            <w:tcW w:w="2048"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设施完好，运行正常。</w:t>
            </w:r>
          </w:p>
        </w:tc>
      </w:tr>
      <w:tr>
        <w:tblPrEx>
          <w:tblW w:w="0" w:type="auto"/>
          <w:tblInd w:w="-15" w:type="dxa"/>
          <w:tblCellMar>
            <w:top w:w="0" w:type="dxa"/>
            <w:left w:w="0" w:type="dxa"/>
            <w:bottom w:w="0" w:type="dxa"/>
            <w:right w:w="0" w:type="dxa"/>
          </w:tblCellMar>
        </w:tblPrEx>
        <w:trPr>
          <w:trHeight w:val="969"/>
        </w:trPr>
        <w:tc>
          <w:tcPr>
            <w:tcW w:w="1004" w:type="dxa"/>
            <w:vMerge w:val="restart"/>
            <w:tcBorders>
              <w:top w:val="single" w:sz="4" w:space="0" w:color="auto"/>
              <w:left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消防泵喷淋泵</w:t>
            </w:r>
          </w:p>
        </w:tc>
        <w:tc>
          <w:tcPr>
            <w:tcW w:w="850"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每月一次</w:t>
            </w:r>
          </w:p>
        </w:tc>
        <w:tc>
          <w:tcPr>
            <w:tcW w:w="5028" w:type="dxa"/>
            <w:tcBorders>
              <w:top w:val="single" w:sz="4" w:space="0" w:color="auto"/>
              <w:left w:val="single" w:sz="4" w:space="0" w:color="auto"/>
              <w:bottom w:val="single" w:sz="4" w:space="0" w:color="auto"/>
              <w:right w:val="single" w:sz="4" w:space="0" w:color="auto"/>
            </w:tcBorders>
            <w:vAlign w:val="center"/>
          </w:tcPr>
          <w:p>
            <w:pPr>
              <w:pStyle w:val="TableParagraph"/>
              <w:numPr>
                <w:ilvl w:val="0"/>
                <w:numId w:val="26"/>
              </w:numPr>
              <w:tabs>
                <w:tab w:val="left" w:pos="343"/>
              </w:tabs>
              <w:spacing w:line="360" w:lineRule="auto"/>
              <w:ind w:left="0" w:firstLine="0"/>
              <w:jc w:val="both"/>
              <w:rPr>
                <w:rFonts w:hint="eastAsia"/>
                <w:sz w:val="20"/>
                <w:szCs w:val="20"/>
              </w:rPr>
            </w:pPr>
            <w:r>
              <w:rPr>
                <w:sz w:val="20"/>
                <w:szCs w:val="20"/>
              </w:rPr>
              <w:t>手动试运行，查看盘根滴水是否符合规范；</w:t>
            </w:r>
          </w:p>
          <w:p>
            <w:pPr>
              <w:pStyle w:val="TableParagraph"/>
              <w:numPr>
                <w:ilvl w:val="0"/>
                <w:numId w:val="26"/>
              </w:numPr>
              <w:tabs>
                <w:tab w:val="left" w:pos="343"/>
              </w:tabs>
              <w:spacing w:line="360" w:lineRule="auto"/>
              <w:ind w:left="0" w:firstLine="0"/>
              <w:jc w:val="both"/>
              <w:rPr>
                <w:rFonts w:hint="eastAsia"/>
                <w:sz w:val="20"/>
                <w:szCs w:val="20"/>
              </w:rPr>
            </w:pPr>
            <w:r>
              <w:rPr>
                <w:sz w:val="20"/>
                <w:szCs w:val="20"/>
              </w:rPr>
              <w:t>水压是否正常，是否有异声异味；</w:t>
            </w:r>
          </w:p>
          <w:p>
            <w:pPr>
              <w:pStyle w:val="TableParagraph"/>
              <w:numPr>
                <w:ilvl w:val="0"/>
                <w:numId w:val="26"/>
              </w:numPr>
              <w:tabs>
                <w:tab w:val="left" w:pos="343"/>
              </w:tabs>
              <w:spacing w:line="360" w:lineRule="auto"/>
              <w:ind w:left="0" w:firstLine="0"/>
              <w:jc w:val="both"/>
              <w:rPr>
                <w:rFonts w:hint="eastAsia"/>
                <w:sz w:val="20"/>
                <w:szCs w:val="20"/>
              </w:rPr>
            </w:pPr>
            <w:r>
              <w:rPr>
                <w:sz w:val="20"/>
                <w:szCs w:val="20"/>
              </w:rPr>
              <w:t>控制柜指示灯，柜内元器件工作是否正常。</w:t>
            </w:r>
          </w:p>
        </w:tc>
        <w:tc>
          <w:tcPr>
            <w:tcW w:w="2048"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外观良好，运行正常。</w:t>
            </w:r>
          </w:p>
        </w:tc>
      </w:tr>
      <w:tr>
        <w:tblPrEx>
          <w:tblW w:w="0" w:type="auto"/>
          <w:tblInd w:w="-15" w:type="dxa"/>
          <w:tblCellMar>
            <w:top w:w="0" w:type="dxa"/>
            <w:left w:w="0" w:type="dxa"/>
            <w:bottom w:w="0" w:type="dxa"/>
            <w:right w:w="0" w:type="dxa"/>
          </w:tblCellMar>
        </w:tblPrEx>
        <w:trPr>
          <w:trHeight w:val="1678"/>
        </w:trPr>
        <w:tc>
          <w:tcPr>
            <w:tcW w:w="1004" w:type="dxa"/>
            <w:vMerge/>
            <w:tcBorders>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每年一次</w:t>
            </w:r>
          </w:p>
        </w:tc>
        <w:tc>
          <w:tcPr>
            <w:tcW w:w="5028" w:type="dxa"/>
            <w:tcBorders>
              <w:top w:val="single" w:sz="4" w:space="0" w:color="auto"/>
              <w:left w:val="single" w:sz="4" w:space="0" w:color="auto"/>
              <w:bottom w:val="single" w:sz="4" w:space="0" w:color="auto"/>
              <w:right w:val="single" w:sz="4" w:space="0" w:color="auto"/>
            </w:tcBorders>
            <w:vAlign w:val="center"/>
          </w:tcPr>
          <w:p>
            <w:pPr>
              <w:pStyle w:val="TableParagraph"/>
              <w:numPr>
                <w:ilvl w:val="0"/>
                <w:numId w:val="27"/>
              </w:numPr>
              <w:tabs>
                <w:tab w:val="left" w:pos="343"/>
              </w:tabs>
              <w:spacing w:line="360" w:lineRule="auto"/>
              <w:ind w:left="0" w:firstLine="0"/>
              <w:jc w:val="both"/>
              <w:rPr>
                <w:rFonts w:hint="eastAsia"/>
                <w:sz w:val="20"/>
                <w:szCs w:val="20"/>
              </w:rPr>
            </w:pPr>
            <w:r>
              <w:rPr>
                <w:sz w:val="20"/>
                <w:szCs w:val="20"/>
              </w:rPr>
              <w:t>电机、轴承加注黄油；如有异响，应更换轴承；</w:t>
            </w:r>
          </w:p>
          <w:p>
            <w:pPr>
              <w:pStyle w:val="TableParagraph"/>
              <w:numPr>
                <w:ilvl w:val="0"/>
                <w:numId w:val="27"/>
              </w:numPr>
              <w:tabs>
                <w:tab w:val="left" w:pos="343"/>
              </w:tabs>
              <w:spacing w:line="360" w:lineRule="auto"/>
              <w:ind w:left="0" w:firstLine="0"/>
              <w:jc w:val="both"/>
              <w:rPr>
                <w:rFonts w:hint="eastAsia"/>
                <w:sz w:val="20"/>
                <w:szCs w:val="20"/>
              </w:rPr>
            </w:pPr>
            <w:r>
              <w:rPr>
                <w:sz w:val="20"/>
                <w:szCs w:val="20"/>
              </w:rPr>
              <w:t>泵体及管道阀门除锈刷漆：</w:t>
            </w:r>
          </w:p>
          <w:p>
            <w:pPr>
              <w:pStyle w:val="TableParagraph"/>
              <w:numPr>
                <w:ilvl w:val="0"/>
                <w:numId w:val="27"/>
              </w:numPr>
              <w:tabs>
                <w:tab w:val="left" w:pos="343"/>
              </w:tabs>
              <w:spacing w:line="360" w:lineRule="auto"/>
              <w:ind w:left="0" w:firstLine="0"/>
              <w:jc w:val="both"/>
              <w:rPr>
                <w:rFonts w:hint="eastAsia"/>
                <w:sz w:val="20"/>
                <w:szCs w:val="20"/>
              </w:rPr>
            </w:pPr>
            <w:r>
              <w:rPr>
                <w:sz w:val="20"/>
                <w:szCs w:val="20"/>
              </w:rPr>
              <w:t>喷淋泵应启动管网末端试水装置放水试验；</w:t>
            </w:r>
          </w:p>
          <w:p>
            <w:pPr>
              <w:pStyle w:val="TableParagraph"/>
              <w:numPr>
                <w:ilvl w:val="0"/>
                <w:numId w:val="27"/>
              </w:numPr>
              <w:tabs>
                <w:tab w:val="left" w:pos="343"/>
              </w:tabs>
              <w:spacing w:line="360" w:lineRule="auto"/>
              <w:ind w:left="0" w:firstLine="0"/>
              <w:jc w:val="both"/>
              <w:rPr>
                <w:rFonts w:hint="eastAsia"/>
                <w:sz w:val="20"/>
                <w:szCs w:val="20"/>
              </w:rPr>
            </w:pPr>
            <w:r>
              <w:rPr>
                <w:sz w:val="20"/>
                <w:szCs w:val="20"/>
              </w:rPr>
              <w:t>消防栓泵应启动消防栓按钮试验，是否联动。</w:t>
            </w:r>
          </w:p>
        </w:tc>
        <w:tc>
          <w:tcPr>
            <w:tcW w:w="2048"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润滑良好，运行正常。</w:t>
            </w:r>
          </w:p>
        </w:tc>
      </w:tr>
      <w:tr>
        <w:tblPrEx>
          <w:tblW w:w="0" w:type="auto"/>
          <w:tblInd w:w="-15" w:type="dxa"/>
          <w:tblCellMar>
            <w:top w:w="0" w:type="dxa"/>
            <w:left w:w="0" w:type="dxa"/>
            <w:bottom w:w="0" w:type="dxa"/>
            <w:right w:w="0" w:type="dxa"/>
          </w:tblCellMar>
        </w:tblPrEx>
        <w:trPr>
          <w:trHeight w:val="1133"/>
        </w:trPr>
        <w:tc>
          <w:tcPr>
            <w:tcW w:w="1004"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喷淋管网</w:t>
            </w:r>
          </w:p>
        </w:tc>
        <w:tc>
          <w:tcPr>
            <w:tcW w:w="850"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每月一次</w:t>
            </w:r>
          </w:p>
        </w:tc>
        <w:tc>
          <w:tcPr>
            <w:tcW w:w="5028" w:type="dxa"/>
            <w:tcBorders>
              <w:top w:val="single" w:sz="4" w:space="0" w:color="auto"/>
              <w:left w:val="single" w:sz="4" w:space="0" w:color="auto"/>
              <w:bottom w:val="single" w:sz="4" w:space="0" w:color="auto"/>
              <w:right w:val="single" w:sz="4" w:space="0" w:color="auto"/>
            </w:tcBorders>
            <w:vAlign w:val="center"/>
          </w:tcPr>
          <w:p>
            <w:pPr>
              <w:pStyle w:val="TableParagraph"/>
              <w:tabs>
                <w:tab w:val="left" w:pos="343"/>
              </w:tabs>
              <w:spacing w:line="360" w:lineRule="auto"/>
              <w:jc w:val="both"/>
              <w:rPr>
                <w:rFonts w:hint="eastAsia"/>
                <w:sz w:val="20"/>
                <w:szCs w:val="20"/>
              </w:rPr>
            </w:pPr>
            <w:r>
              <w:rPr>
                <w:sz w:val="20"/>
                <w:szCs w:val="20"/>
              </w:rPr>
              <w:t>检查喷淋头是否滴漏，喷淋管网压力是否正常。</w:t>
            </w:r>
          </w:p>
        </w:tc>
        <w:tc>
          <w:tcPr>
            <w:tcW w:w="2048" w:type="dxa"/>
            <w:tcBorders>
              <w:top w:val="single" w:sz="4" w:space="0" w:color="auto"/>
              <w:left w:val="single" w:sz="4" w:space="0" w:color="auto"/>
              <w:bottom w:val="single" w:sz="4" w:space="0" w:color="auto"/>
              <w:right w:val="single" w:sz="4" w:space="0" w:color="auto"/>
            </w:tcBorders>
            <w:vAlign w:val="center"/>
          </w:tcPr>
          <w:p>
            <w:pPr>
              <w:pStyle w:val="TableParagraph"/>
              <w:spacing w:line="360" w:lineRule="auto"/>
              <w:jc w:val="both"/>
              <w:rPr>
                <w:rFonts w:hint="eastAsia"/>
                <w:sz w:val="20"/>
                <w:szCs w:val="20"/>
              </w:rPr>
            </w:pPr>
            <w:r>
              <w:rPr>
                <w:sz w:val="20"/>
                <w:szCs w:val="20"/>
              </w:rPr>
              <w:t>无滴漏、压力正靠。</w:t>
            </w:r>
          </w:p>
        </w:tc>
      </w:tr>
    </w:tbl>
    <w:p>
      <w:pPr>
        <w:pStyle w:val="BodyText"/>
        <w:rPr>
          <w:sz w:val="21"/>
          <w:szCs w:val="21"/>
        </w:rPr>
      </w:pPr>
      <w:r>
        <w:rPr>
          <w:rFonts w:hint="eastAsia"/>
          <w:sz w:val="21"/>
          <w:szCs w:val="21"/>
        </w:rPr>
        <w:t>（</w:t>
      </w:r>
      <w:r>
        <w:rPr>
          <w:sz w:val="21"/>
          <w:szCs w:val="21"/>
        </w:rPr>
        <w:t>4</w:t>
      </w:r>
      <w:r>
        <w:rPr>
          <w:rFonts w:hint="eastAsia"/>
          <w:sz w:val="21"/>
          <w:szCs w:val="21"/>
        </w:rPr>
        <w:t>）空调系统</w:t>
      </w:r>
    </w:p>
    <w:tbl>
      <w:tblPr>
        <w:tblStyle w:val="TableNormal"/>
        <w:tblW w:w="5000" w:type="pct"/>
        <w:tblInd w:w="-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top w:w="0" w:type="dxa"/>
          <w:left w:w="0" w:type="dxa"/>
          <w:bottom w:w="0" w:type="dxa"/>
          <w:right w:w="0" w:type="dxa"/>
        </w:tblCellMar>
      </w:tblPr>
      <w:tblGrid>
        <w:gridCol w:w="1124"/>
        <w:gridCol w:w="990"/>
        <w:gridCol w:w="4233"/>
        <w:gridCol w:w="1976"/>
      </w:tblGrid>
      <w:tr>
        <w:tblPrEx>
          <w:tblW w:w="5000" w:type="pct"/>
          <w:tblInd w:w="-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top w:w="0" w:type="dxa"/>
            <w:left w:w="0" w:type="dxa"/>
            <w:bottom w:w="0" w:type="dxa"/>
            <w:right w:w="0" w:type="dxa"/>
          </w:tblCellMar>
        </w:tblPrEx>
        <w:trPr>
          <w:trHeight w:val="855"/>
        </w:trPr>
        <w:tc>
          <w:tcPr>
            <w:tcW w:w="675"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ableParagraph"/>
              <w:spacing w:line="360" w:lineRule="auto"/>
              <w:jc w:val="center"/>
              <w:rPr>
                <w:rFonts w:hint="eastAsia"/>
                <w:sz w:val="20"/>
                <w:szCs w:val="20"/>
              </w:rPr>
            </w:pPr>
            <w:r>
              <w:rPr>
                <w:b/>
                <w:sz w:val="20"/>
                <w:szCs w:val="20"/>
              </w:rPr>
              <w:t>项目</w:t>
            </w:r>
          </w:p>
        </w:tc>
        <w:tc>
          <w:tcPr>
            <w:tcW w:w="595"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ableParagraph"/>
              <w:spacing w:line="360" w:lineRule="auto"/>
              <w:jc w:val="center"/>
              <w:rPr>
                <w:rFonts w:hint="eastAsia"/>
                <w:sz w:val="20"/>
                <w:szCs w:val="20"/>
              </w:rPr>
            </w:pPr>
            <w:r>
              <w:rPr>
                <w:b/>
                <w:sz w:val="20"/>
                <w:szCs w:val="20"/>
              </w:rPr>
              <w:t>频次</w:t>
            </w:r>
          </w:p>
        </w:tc>
        <w:tc>
          <w:tcPr>
            <w:tcW w:w="2543"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ableParagraph"/>
              <w:tabs>
                <w:tab w:val="left" w:pos="343"/>
              </w:tabs>
              <w:spacing w:line="360" w:lineRule="auto"/>
              <w:jc w:val="center"/>
              <w:rPr>
                <w:rFonts w:hint="eastAsia"/>
                <w:sz w:val="20"/>
                <w:szCs w:val="20"/>
              </w:rPr>
            </w:pPr>
            <w:r>
              <w:rPr>
                <w:b/>
                <w:sz w:val="20"/>
                <w:szCs w:val="20"/>
              </w:rPr>
              <w:t>内容</w:t>
            </w:r>
          </w:p>
        </w:tc>
        <w:tc>
          <w:tcPr>
            <w:tcW w:w="1187" w:type="pct"/>
            <w:tcBorders>
              <w:top w:val="single" w:sz="4" w:space="0" w:color="auto"/>
              <w:left w:val="single" w:sz="4" w:space="0" w:color="auto"/>
              <w:bottom w:val="single" w:sz="4" w:space="0" w:color="auto"/>
              <w:right w:val="single" w:sz="4" w:space="0" w:color="auto"/>
            </w:tcBorders>
            <w:shd w:val="clear" w:color="auto" w:fill="D9D9D9"/>
            <w:vAlign w:val="center"/>
          </w:tcPr>
          <w:p>
            <w:pPr>
              <w:pStyle w:val="TableParagraph"/>
              <w:spacing w:line="360" w:lineRule="auto"/>
              <w:jc w:val="center"/>
              <w:rPr>
                <w:rFonts w:hint="eastAsia"/>
                <w:sz w:val="20"/>
                <w:szCs w:val="20"/>
              </w:rPr>
            </w:pPr>
            <w:r>
              <w:rPr>
                <w:b/>
                <w:sz w:val="20"/>
                <w:szCs w:val="20"/>
              </w:rPr>
              <w:t>具体要求</w:t>
            </w:r>
          </w:p>
        </w:tc>
      </w:tr>
      <w:tr>
        <w:tblPrEx>
          <w:tblW w:w="5000" w:type="pct"/>
          <w:tblInd w:w="-5" w:type="dxa"/>
          <w:tblCellMar>
            <w:top w:w="0" w:type="dxa"/>
            <w:left w:w="0" w:type="dxa"/>
            <w:bottom w:w="0" w:type="dxa"/>
            <w:right w:w="0" w:type="dxa"/>
          </w:tblCellMar>
        </w:tblPrEx>
        <w:trPr>
          <w:trHeight w:val="855"/>
        </w:trPr>
        <w:tc>
          <w:tcPr>
            <w:tcW w:w="675" w:type="pct"/>
            <w:tcBorders>
              <w:top w:val="single" w:sz="4" w:space="0" w:color="auto"/>
              <w:bottom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595" w:type="pct"/>
            <w:tcBorders>
              <w:top w:val="single" w:sz="4" w:space="0" w:color="auto"/>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日常维护</w:t>
            </w:r>
          </w:p>
        </w:tc>
        <w:tc>
          <w:tcPr>
            <w:tcW w:w="2543" w:type="pct"/>
            <w:tcBorders>
              <w:top w:val="single" w:sz="4" w:space="0" w:color="auto"/>
              <w:left w:val="single" w:sz="4" w:space="0" w:color="000000"/>
              <w:bottom w:val="single" w:sz="4" w:space="0" w:color="000000"/>
              <w:right w:val="single" w:sz="4" w:space="0" w:color="000000"/>
            </w:tcBorders>
            <w:vAlign w:val="center"/>
          </w:tcPr>
          <w:p>
            <w:pPr>
              <w:pStyle w:val="TableParagraph"/>
              <w:numPr>
                <w:ilvl w:val="0"/>
                <w:numId w:val="28"/>
              </w:numPr>
              <w:tabs>
                <w:tab w:val="left" w:pos="343"/>
              </w:tabs>
              <w:spacing w:line="360" w:lineRule="auto"/>
              <w:ind w:left="0" w:firstLine="0"/>
              <w:jc w:val="both"/>
              <w:rPr>
                <w:rFonts w:hint="eastAsia"/>
                <w:sz w:val="20"/>
                <w:szCs w:val="20"/>
              </w:rPr>
            </w:pPr>
            <w:r>
              <w:rPr>
                <w:sz w:val="20"/>
                <w:szCs w:val="20"/>
              </w:rPr>
              <w:t>检查电机电流、电压、温度，观察有无异常现象；</w:t>
            </w:r>
          </w:p>
          <w:p>
            <w:pPr>
              <w:pStyle w:val="TableParagraph"/>
              <w:numPr>
                <w:ilvl w:val="0"/>
                <w:numId w:val="29"/>
              </w:numPr>
              <w:tabs>
                <w:tab w:val="left" w:pos="343"/>
              </w:tabs>
              <w:spacing w:line="360" w:lineRule="auto"/>
              <w:ind w:left="0" w:firstLine="0"/>
              <w:jc w:val="both"/>
              <w:rPr>
                <w:rFonts w:hint="eastAsia"/>
                <w:sz w:val="20"/>
                <w:szCs w:val="20"/>
              </w:rPr>
            </w:pPr>
            <w:r>
              <w:rPr>
                <w:sz w:val="20"/>
                <w:szCs w:val="20"/>
              </w:rPr>
              <w:t>泵体盘根处滴水是否符合要求。</w:t>
            </w:r>
          </w:p>
        </w:tc>
        <w:tc>
          <w:tcPr>
            <w:tcW w:w="1187" w:type="pct"/>
            <w:tcBorders>
              <w:top w:val="single" w:sz="4" w:space="0" w:color="auto"/>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电压、电流等正常，盘根无漏水。</w:t>
            </w:r>
          </w:p>
        </w:tc>
      </w:tr>
      <w:tr>
        <w:tblPrEx>
          <w:tblW w:w="5000" w:type="pct"/>
          <w:tblInd w:w="-5" w:type="dxa"/>
          <w:tblCellMar>
            <w:top w:w="0" w:type="dxa"/>
            <w:left w:w="0" w:type="dxa"/>
            <w:bottom w:w="0" w:type="dxa"/>
            <w:right w:w="0" w:type="dxa"/>
          </w:tblCellMar>
        </w:tblPrEx>
        <w:trPr>
          <w:trHeight w:val="855"/>
        </w:trPr>
        <w:tc>
          <w:tcPr>
            <w:tcW w:w="675" w:type="pct"/>
            <w:vMerge w:val="restart"/>
            <w:tcBorders>
              <w:top w:val="nil"/>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冷却泵冷冻泵</w:t>
            </w:r>
          </w:p>
        </w:tc>
        <w:tc>
          <w:tcPr>
            <w:tcW w:w="595"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每季一次</w:t>
            </w:r>
          </w:p>
        </w:tc>
        <w:tc>
          <w:tcPr>
            <w:tcW w:w="2543" w:type="pct"/>
            <w:tcBorders>
              <w:top w:val="single" w:sz="4" w:space="0" w:color="000000"/>
              <w:left w:val="single" w:sz="4" w:space="0" w:color="000000"/>
              <w:bottom w:val="single" w:sz="4" w:space="0" w:color="000000"/>
              <w:right w:val="single" w:sz="4" w:space="0" w:color="000000"/>
            </w:tcBorders>
            <w:vAlign w:val="center"/>
          </w:tcPr>
          <w:p>
            <w:pPr>
              <w:pStyle w:val="TableParagraph"/>
              <w:tabs>
                <w:tab w:val="left" w:pos="343"/>
              </w:tabs>
              <w:spacing w:line="360" w:lineRule="auto"/>
              <w:jc w:val="both"/>
              <w:rPr>
                <w:rFonts w:hint="eastAsia"/>
                <w:sz w:val="20"/>
                <w:szCs w:val="20"/>
              </w:rPr>
            </w:pPr>
            <w:r>
              <w:rPr>
                <w:sz w:val="20"/>
                <w:szCs w:val="20"/>
              </w:rPr>
              <w:t>1.检查运行记录，检查联轴器及盘根的使用状况；</w:t>
            </w:r>
          </w:p>
          <w:p>
            <w:pPr>
              <w:pStyle w:val="TableParagraph"/>
              <w:tabs>
                <w:tab w:val="left" w:pos="343"/>
              </w:tabs>
              <w:spacing w:line="360" w:lineRule="auto"/>
              <w:jc w:val="both"/>
              <w:rPr>
                <w:rFonts w:hint="eastAsia"/>
                <w:sz w:val="20"/>
                <w:szCs w:val="20"/>
              </w:rPr>
            </w:pPr>
            <w:r>
              <w:rPr>
                <w:sz w:val="20"/>
                <w:szCs w:val="20"/>
              </w:rPr>
              <w:t>2.转动阀门，检查阀门能否灵活开启、关闭。</w:t>
            </w:r>
          </w:p>
        </w:tc>
        <w:tc>
          <w:tcPr>
            <w:tcW w:w="1187" w:type="pct"/>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联轴器、阀门正常有效。</w:t>
            </w:r>
          </w:p>
        </w:tc>
      </w:tr>
      <w:tr>
        <w:tblPrEx>
          <w:tblW w:w="5000" w:type="pct"/>
          <w:tblInd w:w="-5" w:type="dxa"/>
          <w:tblCellMar>
            <w:top w:w="0" w:type="dxa"/>
            <w:left w:w="0" w:type="dxa"/>
            <w:bottom w:w="0" w:type="dxa"/>
            <w:right w:w="0" w:type="dxa"/>
          </w:tblCellMar>
        </w:tblPrEx>
        <w:trPr>
          <w:trHeight w:val="1712"/>
        </w:trPr>
        <w:tc>
          <w:tcPr>
            <w:tcW w:w="675" w:type="pct"/>
            <w:vMerge/>
            <w:tcBorders>
              <w:top w:val="nil"/>
              <w:bottom w:val="single" w:sz="4" w:space="0" w:color="000000"/>
              <w:right w:val="single" w:sz="4" w:space="0" w:color="000000"/>
            </w:tcBorders>
            <w:vAlign w:val="center"/>
          </w:tcPr>
          <w:p>
            <w:pPr>
              <w:spacing w:line="360" w:lineRule="auto"/>
              <w:rPr>
                <w:rFonts w:ascii="宋体" w:hAnsi="宋体" w:hint="eastAsia"/>
                <w:sz w:val="20"/>
                <w:szCs w:val="20"/>
              </w:rPr>
            </w:pPr>
          </w:p>
        </w:tc>
        <w:tc>
          <w:tcPr>
            <w:tcW w:w="595"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每年一次</w:t>
            </w:r>
          </w:p>
        </w:tc>
        <w:tc>
          <w:tcPr>
            <w:tcW w:w="2543"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30"/>
              </w:numPr>
              <w:tabs>
                <w:tab w:val="left" w:pos="343"/>
              </w:tabs>
              <w:spacing w:line="360" w:lineRule="auto"/>
              <w:ind w:left="0" w:firstLine="0"/>
              <w:jc w:val="both"/>
              <w:rPr>
                <w:rFonts w:hint="eastAsia"/>
                <w:sz w:val="20"/>
                <w:szCs w:val="20"/>
              </w:rPr>
            </w:pPr>
            <w:r>
              <w:rPr>
                <w:sz w:val="20"/>
                <w:szCs w:val="20"/>
              </w:rPr>
              <w:t>清洗水泵及电机轴承并加注润滑油；</w:t>
            </w:r>
          </w:p>
          <w:p>
            <w:pPr>
              <w:pStyle w:val="TableParagraph"/>
              <w:numPr>
                <w:ilvl w:val="0"/>
                <w:numId w:val="30"/>
              </w:numPr>
              <w:tabs>
                <w:tab w:val="left" w:pos="343"/>
              </w:tabs>
              <w:spacing w:line="360" w:lineRule="auto"/>
              <w:ind w:left="0" w:firstLine="0"/>
              <w:jc w:val="both"/>
              <w:rPr>
                <w:rFonts w:hint="eastAsia"/>
                <w:sz w:val="20"/>
                <w:szCs w:val="20"/>
              </w:rPr>
            </w:pPr>
            <w:r>
              <w:rPr>
                <w:sz w:val="20"/>
                <w:szCs w:val="20"/>
              </w:rPr>
              <w:t>检测电机绕组对地绝缘电阻，并记录；</w:t>
            </w:r>
          </w:p>
          <w:p>
            <w:pPr>
              <w:pStyle w:val="TableParagraph"/>
              <w:numPr>
                <w:ilvl w:val="0"/>
                <w:numId w:val="30"/>
              </w:numPr>
              <w:tabs>
                <w:tab w:val="left" w:pos="343"/>
              </w:tabs>
              <w:spacing w:line="360" w:lineRule="auto"/>
              <w:ind w:left="0" w:firstLine="0"/>
              <w:jc w:val="both"/>
              <w:rPr>
                <w:rFonts w:hint="eastAsia"/>
                <w:sz w:val="20"/>
                <w:szCs w:val="20"/>
              </w:rPr>
            </w:pPr>
            <w:r>
              <w:rPr>
                <w:sz w:val="20"/>
                <w:szCs w:val="20"/>
              </w:rPr>
              <w:t>更换水泵轴衬套，重新加装填料；</w:t>
            </w:r>
          </w:p>
          <w:p>
            <w:pPr>
              <w:pStyle w:val="TableParagraph"/>
              <w:numPr>
                <w:ilvl w:val="0"/>
                <w:numId w:val="30"/>
              </w:numPr>
              <w:tabs>
                <w:tab w:val="left" w:pos="343"/>
              </w:tabs>
              <w:spacing w:line="360" w:lineRule="auto"/>
              <w:ind w:left="0" w:firstLine="0"/>
              <w:jc w:val="both"/>
              <w:rPr>
                <w:rFonts w:hint="eastAsia"/>
                <w:sz w:val="20"/>
                <w:szCs w:val="20"/>
              </w:rPr>
            </w:pPr>
            <w:r>
              <w:rPr>
                <w:sz w:val="20"/>
                <w:szCs w:val="20"/>
              </w:rPr>
              <w:t>泵体清洁除锈刷漆。</w:t>
            </w:r>
          </w:p>
        </w:tc>
        <w:tc>
          <w:tcPr>
            <w:tcW w:w="1187" w:type="pct"/>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外观良好,润滑良好, 阻值符合要求。</w:t>
            </w:r>
          </w:p>
        </w:tc>
      </w:tr>
      <w:tr>
        <w:tblPrEx>
          <w:tblW w:w="5000" w:type="pct"/>
          <w:tblInd w:w="-5" w:type="dxa"/>
          <w:tblCellMar>
            <w:top w:w="0" w:type="dxa"/>
            <w:left w:w="0" w:type="dxa"/>
            <w:bottom w:w="0" w:type="dxa"/>
            <w:right w:w="0" w:type="dxa"/>
          </w:tblCellMar>
        </w:tblPrEx>
        <w:trPr>
          <w:trHeight w:val="1283"/>
        </w:trPr>
        <w:tc>
          <w:tcPr>
            <w:tcW w:w="675" w:type="pct"/>
            <w:vMerge w:val="restart"/>
            <w:tcBorders>
              <w:top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冷却水塔</w:t>
            </w:r>
          </w:p>
        </w:tc>
        <w:tc>
          <w:tcPr>
            <w:tcW w:w="595"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日常维护</w:t>
            </w:r>
          </w:p>
        </w:tc>
        <w:tc>
          <w:tcPr>
            <w:tcW w:w="2543"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31"/>
              </w:numPr>
              <w:tabs>
                <w:tab w:val="left" w:pos="343"/>
              </w:tabs>
              <w:spacing w:line="360" w:lineRule="auto"/>
              <w:ind w:left="0" w:firstLine="0"/>
              <w:jc w:val="both"/>
              <w:rPr>
                <w:rFonts w:hint="eastAsia"/>
                <w:sz w:val="20"/>
                <w:szCs w:val="20"/>
              </w:rPr>
            </w:pPr>
            <w:r>
              <w:rPr>
                <w:sz w:val="20"/>
                <w:szCs w:val="20"/>
              </w:rPr>
              <w:t>检查水阀浮球阀是否正常；</w:t>
            </w:r>
          </w:p>
          <w:p>
            <w:pPr>
              <w:pStyle w:val="TableParagraph"/>
              <w:numPr>
                <w:ilvl w:val="0"/>
                <w:numId w:val="31"/>
              </w:numPr>
              <w:tabs>
                <w:tab w:val="left" w:pos="343"/>
              </w:tabs>
              <w:spacing w:line="360" w:lineRule="auto"/>
              <w:ind w:left="0" w:firstLine="0"/>
              <w:jc w:val="both"/>
              <w:rPr>
                <w:rFonts w:hint="eastAsia"/>
                <w:sz w:val="20"/>
                <w:szCs w:val="20"/>
              </w:rPr>
            </w:pPr>
            <w:r>
              <w:rPr>
                <w:sz w:val="20"/>
                <w:szCs w:val="20"/>
              </w:rPr>
              <w:t>观察电流、电压及布水器及冷却水塔供水运行情况。</w:t>
            </w:r>
          </w:p>
        </w:tc>
        <w:tc>
          <w:tcPr>
            <w:tcW w:w="1187" w:type="pct"/>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电流、电压正常，阀门开启正常有效。</w:t>
            </w:r>
          </w:p>
        </w:tc>
      </w:tr>
      <w:tr>
        <w:tblPrEx>
          <w:tblW w:w="5000" w:type="pct"/>
          <w:tblInd w:w="-5" w:type="dxa"/>
          <w:tblCellMar>
            <w:top w:w="0" w:type="dxa"/>
            <w:left w:w="0" w:type="dxa"/>
            <w:bottom w:w="0" w:type="dxa"/>
            <w:right w:w="0" w:type="dxa"/>
          </w:tblCellMar>
        </w:tblPrEx>
        <w:trPr>
          <w:trHeight w:val="1711"/>
        </w:trPr>
        <w:tc>
          <w:tcPr>
            <w:tcW w:w="675" w:type="pct"/>
            <w:vMerge/>
            <w:tcBorders>
              <w:top w:val="nil"/>
              <w:bottom w:val="single" w:sz="4" w:space="0" w:color="000000"/>
              <w:right w:val="single" w:sz="4" w:space="0" w:color="000000"/>
            </w:tcBorders>
            <w:vAlign w:val="center"/>
          </w:tcPr>
          <w:p>
            <w:pPr>
              <w:spacing w:line="360" w:lineRule="auto"/>
              <w:rPr>
                <w:rFonts w:ascii="宋体" w:hAnsi="宋体" w:hint="eastAsia"/>
                <w:sz w:val="20"/>
                <w:szCs w:val="20"/>
              </w:rPr>
            </w:pPr>
          </w:p>
        </w:tc>
        <w:tc>
          <w:tcPr>
            <w:tcW w:w="595" w:type="pct"/>
            <w:tcBorders>
              <w:top w:val="single" w:sz="4" w:space="0" w:color="000000"/>
              <w:left w:val="single" w:sz="4" w:space="0" w:color="000000"/>
              <w:bottom w:val="single" w:sz="8"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每季一次</w:t>
            </w:r>
          </w:p>
        </w:tc>
        <w:tc>
          <w:tcPr>
            <w:tcW w:w="2543" w:type="pct"/>
            <w:tcBorders>
              <w:top w:val="single" w:sz="4" w:space="0" w:color="000000"/>
              <w:left w:val="single" w:sz="4" w:space="0" w:color="000000"/>
              <w:bottom w:val="single" w:sz="8" w:space="0" w:color="000000"/>
              <w:right w:val="single" w:sz="4" w:space="0" w:color="000000"/>
            </w:tcBorders>
            <w:vAlign w:val="center"/>
          </w:tcPr>
          <w:p>
            <w:pPr>
              <w:pStyle w:val="TableParagraph"/>
              <w:numPr>
                <w:ilvl w:val="0"/>
                <w:numId w:val="32"/>
              </w:numPr>
              <w:tabs>
                <w:tab w:val="left" w:pos="343"/>
              </w:tabs>
              <w:spacing w:line="360" w:lineRule="auto"/>
              <w:ind w:left="0" w:firstLine="0"/>
              <w:jc w:val="both"/>
              <w:rPr>
                <w:rFonts w:hint="eastAsia"/>
                <w:sz w:val="20"/>
                <w:szCs w:val="20"/>
              </w:rPr>
            </w:pPr>
            <w:r>
              <w:rPr>
                <w:sz w:val="20"/>
                <w:szCs w:val="20"/>
              </w:rPr>
              <w:t>每季检查 2-3 次布水器，并进行水处理；</w:t>
            </w:r>
          </w:p>
          <w:p>
            <w:pPr>
              <w:pStyle w:val="TableParagraph"/>
              <w:numPr>
                <w:ilvl w:val="0"/>
                <w:numId w:val="32"/>
              </w:numPr>
              <w:tabs>
                <w:tab w:val="left" w:pos="343"/>
              </w:tabs>
              <w:spacing w:line="360" w:lineRule="auto"/>
              <w:ind w:left="0" w:firstLine="0"/>
              <w:jc w:val="both"/>
              <w:rPr>
                <w:rFonts w:hint="eastAsia"/>
                <w:sz w:val="20"/>
                <w:szCs w:val="20"/>
              </w:rPr>
            </w:pPr>
            <w:r>
              <w:rPr>
                <w:sz w:val="20"/>
                <w:szCs w:val="20"/>
              </w:rPr>
              <w:t>检查电机皮带是否正常，清洗冷却水塔和本体。</w:t>
            </w:r>
          </w:p>
        </w:tc>
        <w:tc>
          <w:tcPr>
            <w:tcW w:w="1187" w:type="pct"/>
            <w:tcBorders>
              <w:top w:val="single" w:sz="4" w:space="0" w:color="000000"/>
              <w:left w:val="single" w:sz="4" w:space="0" w:color="000000"/>
              <w:bottom w:val="single" w:sz="8" w:space="0" w:color="000000"/>
            </w:tcBorders>
            <w:vAlign w:val="center"/>
          </w:tcPr>
          <w:p>
            <w:pPr>
              <w:pStyle w:val="TableParagraph"/>
              <w:spacing w:line="360" w:lineRule="auto"/>
              <w:jc w:val="both"/>
              <w:rPr>
                <w:rFonts w:hint="eastAsia"/>
                <w:sz w:val="20"/>
                <w:szCs w:val="20"/>
              </w:rPr>
            </w:pPr>
            <w:r>
              <w:rPr>
                <w:sz w:val="20"/>
                <w:szCs w:val="20"/>
              </w:rPr>
              <w:t>皮带正常有 效，水质处理合格，冷却水塔外观良好</w:t>
            </w:r>
          </w:p>
        </w:tc>
      </w:tr>
      <w:tr>
        <w:tblPrEx>
          <w:tblW w:w="5000" w:type="pct"/>
          <w:tblInd w:w="-5" w:type="dxa"/>
          <w:tblCellMar>
            <w:top w:w="0" w:type="dxa"/>
            <w:left w:w="0" w:type="dxa"/>
            <w:bottom w:w="0" w:type="dxa"/>
            <w:right w:w="0" w:type="dxa"/>
          </w:tblCellMar>
        </w:tblPrEx>
        <w:trPr>
          <w:trHeight w:val="406"/>
        </w:trPr>
        <w:tc>
          <w:tcPr>
            <w:tcW w:w="675" w:type="pct"/>
            <w:tcBorders>
              <w:top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595" w:type="pct"/>
            <w:tcBorders>
              <w:top w:val="single" w:sz="8"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每年一次</w:t>
            </w:r>
          </w:p>
        </w:tc>
        <w:tc>
          <w:tcPr>
            <w:tcW w:w="2543" w:type="pct"/>
            <w:tcBorders>
              <w:top w:val="single" w:sz="8"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1.用500V摇表检测电机绕组绝缘对地电阻不低于0.5MΩ</w:t>
            </w:r>
            <w:r>
              <w:rPr>
                <w:rFonts w:hint="eastAsia"/>
                <w:sz w:val="20"/>
                <w:szCs w:val="20"/>
              </w:rPr>
              <w:t>，</w:t>
            </w:r>
            <w:r>
              <w:rPr>
                <w:sz w:val="20"/>
                <w:szCs w:val="20"/>
              </w:rPr>
              <w:t>否则应干燥处理，达到符合要求；</w:t>
            </w:r>
          </w:p>
          <w:p>
            <w:pPr>
              <w:pStyle w:val="TableParagraph"/>
              <w:numPr>
                <w:ilvl w:val="0"/>
                <w:numId w:val="33"/>
              </w:numPr>
              <w:tabs>
                <w:tab w:val="left" w:pos="343"/>
              </w:tabs>
              <w:spacing w:line="360" w:lineRule="auto"/>
              <w:ind w:left="0" w:firstLine="0"/>
              <w:jc w:val="both"/>
              <w:rPr>
                <w:rFonts w:hint="eastAsia"/>
                <w:sz w:val="20"/>
                <w:szCs w:val="20"/>
              </w:rPr>
            </w:pPr>
            <w:r>
              <w:rPr>
                <w:sz w:val="20"/>
                <w:szCs w:val="20"/>
              </w:rPr>
              <w:t>检查电机、风扇是否转动灵活，如轴承有阻滞现象应加润滑油；若有异常，则换新</w:t>
            </w:r>
            <w:r>
              <w:rPr>
                <w:rFonts w:hint="eastAsia"/>
                <w:sz w:val="20"/>
                <w:szCs w:val="20"/>
              </w:rPr>
              <w:t>；</w:t>
            </w:r>
          </w:p>
          <w:p>
            <w:pPr>
              <w:pStyle w:val="TableParagraph"/>
              <w:numPr>
                <w:ilvl w:val="0"/>
                <w:numId w:val="33"/>
              </w:numPr>
              <w:tabs>
                <w:tab w:val="left" w:pos="343"/>
              </w:tabs>
              <w:spacing w:line="360" w:lineRule="auto"/>
              <w:ind w:left="0" w:firstLine="0"/>
              <w:jc w:val="both"/>
              <w:rPr>
                <w:rFonts w:hint="eastAsia"/>
                <w:sz w:val="20"/>
                <w:szCs w:val="20"/>
              </w:rPr>
            </w:pPr>
            <w:r>
              <w:rPr>
                <w:sz w:val="20"/>
                <w:szCs w:val="20"/>
              </w:rPr>
              <w:t>检查皮带是否完好，如断裂则换新；</w:t>
            </w:r>
          </w:p>
          <w:p>
            <w:pPr>
              <w:pStyle w:val="TableParagraph"/>
              <w:numPr>
                <w:ilvl w:val="0"/>
                <w:numId w:val="33"/>
              </w:numPr>
              <w:tabs>
                <w:tab w:val="left" w:pos="343"/>
              </w:tabs>
              <w:spacing w:line="360" w:lineRule="auto"/>
              <w:ind w:left="0" w:firstLine="0"/>
              <w:jc w:val="both"/>
              <w:rPr>
                <w:rFonts w:hint="eastAsia"/>
                <w:sz w:val="20"/>
                <w:szCs w:val="20"/>
              </w:rPr>
            </w:pPr>
            <w:r>
              <w:rPr>
                <w:sz w:val="20"/>
                <w:szCs w:val="20"/>
              </w:rPr>
              <w:t>检查布水器是否出水均匀，否则管道应清理</w:t>
            </w:r>
            <w:r>
              <w:rPr>
                <w:rFonts w:hint="eastAsia"/>
                <w:sz w:val="20"/>
                <w:szCs w:val="20"/>
              </w:rPr>
              <w:t>；</w:t>
            </w:r>
          </w:p>
          <w:p>
            <w:pPr>
              <w:pStyle w:val="TableParagraph"/>
              <w:numPr>
                <w:ilvl w:val="0"/>
                <w:numId w:val="33"/>
              </w:numPr>
              <w:tabs>
                <w:tab w:val="left" w:pos="343"/>
              </w:tabs>
              <w:spacing w:line="360" w:lineRule="auto"/>
              <w:ind w:left="0" w:firstLine="0"/>
              <w:jc w:val="both"/>
              <w:rPr>
                <w:rFonts w:hint="eastAsia"/>
                <w:sz w:val="20"/>
                <w:szCs w:val="20"/>
              </w:rPr>
            </w:pPr>
            <w:r>
              <w:rPr>
                <w:sz w:val="20"/>
                <w:szCs w:val="20"/>
              </w:rPr>
              <w:t>清洗冷却水塔及风扇和叶片；</w:t>
            </w:r>
          </w:p>
          <w:p>
            <w:pPr>
              <w:pStyle w:val="TableParagraph"/>
              <w:numPr>
                <w:ilvl w:val="0"/>
                <w:numId w:val="33"/>
              </w:numPr>
              <w:tabs>
                <w:tab w:val="left" w:pos="343"/>
              </w:tabs>
              <w:spacing w:line="360" w:lineRule="auto"/>
              <w:ind w:left="0" w:firstLine="0"/>
              <w:jc w:val="both"/>
              <w:rPr>
                <w:rFonts w:hint="eastAsia"/>
                <w:sz w:val="20"/>
                <w:szCs w:val="20"/>
              </w:rPr>
            </w:pPr>
            <w:r>
              <w:rPr>
                <w:sz w:val="20"/>
                <w:szCs w:val="20"/>
              </w:rPr>
              <w:t>检查补水浮球阀开关是否有效，拧紧所有紧固件；</w:t>
            </w:r>
          </w:p>
          <w:p>
            <w:pPr>
              <w:pStyle w:val="TableParagraph"/>
              <w:numPr>
                <w:ilvl w:val="0"/>
                <w:numId w:val="33"/>
              </w:numPr>
              <w:tabs>
                <w:tab w:val="left" w:pos="343"/>
              </w:tabs>
              <w:spacing w:line="360" w:lineRule="auto"/>
              <w:ind w:left="0" w:firstLine="0"/>
              <w:jc w:val="both"/>
              <w:rPr>
                <w:rFonts w:hint="eastAsia"/>
                <w:sz w:val="20"/>
                <w:szCs w:val="20"/>
              </w:rPr>
            </w:pPr>
            <w:r>
              <w:rPr>
                <w:sz w:val="20"/>
                <w:szCs w:val="20"/>
              </w:rPr>
              <w:t>冷却水塔整体清洁。</w:t>
            </w:r>
          </w:p>
        </w:tc>
        <w:tc>
          <w:tcPr>
            <w:tcW w:w="1187" w:type="pct"/>
            <w:tcBorders>
              <w:top w:val="single" w:sz="8"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电机风扇连接良好,塔体整洁。</w:t>
            </w:r>
          </w:p>
        </w:tc>
      </w:tr>
      <w:tr>
        <w:tblPrEx>
          <w:tblW w:w="5000" w:type="pct"/>
          <w:tblInd w:w="-5" w:type="dxa"/>
          <w:tblCellMar>
            <w:top w:w="0" w:type="dxa"/>
            <w:left w:w="0" w:type="dxa"/>
            <w:bottom w:w="0" w:type="dxa"/>
            <w:right w:w="0" w:type="dxa"/>
          </w:tblCellMar>
        </w:tblPrEx>
        <w:trPr>
          <w:trHeight w:val="1284"/>
        </w:trPr>
        <w:tc>
          <w:tcPr>
            <w:tcW w:w="675" w:type="pct"/>
            <w:vMerge w:val="restart"/>
            <w:tcBorders>
              <w:top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595"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日常维护</w:t>
            </w:r>
          </w:p>
        </w:tc>
        <w:tc>
          <w:tcPr>
            <w:tcW w:w="2543"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34"/>
              </w:numPr>
              <w:tabs>
                <w:tab w:val="left" w:pos="343"/>
              </w:tabs>
              <w:spacing w:line="360" w:lineRule="auto"/>
              <w:ind w:left="0" w:firstLine="0"/>
              <w:jc w:val="both"/>
              <w:rPr>
                <w:rFonts w:hint="eastAsia"/>
                <w:sz w:val="20"/>
                <w:szCs w:val="20"/>
              </w:rPr>
            </w:pPr>
            <w:r>
              <w:rPr>
                <w:sz w:val="20"/>
                <w:szCs w:val="20"/>
              </w:rPr>
              <w:t>观察风机是否正常运行；</w:t>
            </w:r>
          </w:p>
          <w:p>
            <w:pPr>
              <w:pStyle w:val="TableParagraph"/>
              <w:numPr>
                <w:ilvl w:val="0"/>
                <w:numId w:val="34"/>
              </w:numPr>
              <w:tabs>
                <w:tab w:val="left" w:pos="343"/>
              </w:tabs>
              <w:spacing w:line="360" w:lineRule="auto"/>
              <w:ind w:left="0" w:firstLine="0"/>
              <w:jc w:val="both"/>
              <w:rPr>
                <w:rFonts w:hint="eastAsia"/>
                <w:sz w:val="20"/>
                <w:szCs w:val="20"/>
              </w:rPr>
            </w:pPr>
            <w:r>
              <w:rPr>
                <w:sz w:val="20"/>
                <w:szCs w:val="20"/>
              </w:rPr>
              <w:t>空调开关及电磁阀工作是否正常</w:t>
            </w:r>
            <w:r>
              <w:rPr>
                <w:rFonts w:hint="eastAsia"/>
                <w:sz w:val="20"/>
                <w:szCs w:val="20"/>
              </w:rPr>
              <w:t>；</w:t>
            </w:r>
          </w:p>
          <w:p>
            <w:pPr>
              <w:pStyle w:val="TableParagraph"/>
              <w:numPr>
                <w:ilvl w:val="0"/>
                <w:numId w:val="34"/>
              </w:numPr>
              <w:tabs>
                <w:tab w:val="left" w:pos="343"/>
              </w:tabs>
              <w:spacing w:line="360" w:lineRule="auto"/>
              <w:ind w:left="0" w:firstLine="0"/>
              <w:jc w:val="both"/>
              <w:rPr>
                <w:rFonts w:hint="eastAsia"/>
                <w:sz w:val="20"/>
                <w:szCs w:val="20"/>
              </w:rPr>
            </w:pPr>
            <w:r>
              <w:rPr>
                <w:sz w:val="20"/>
                <w:szCs w:val="20"/>
              </w:rPr>
              <w:t>每月清洗一次空气过滤网,不定期排除管内空气</w:t>
            </w:r>
          </w:p>
        </w:tc>
        <w:tc>
          <w:tcPr>
            <w:tcW w:w="1187" w:type="pct"/>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运行正常。</w:t>
            </w:r>
          </w:p>
        </w:tc>
      </w:tr>
      <w:tr>
        <w:tblPrEx>
          <w:tblW w:w="5000" w:type="pct"/>
          <w:tblInd w:w="-5" w:type="dxa"/>
          <w:tblCellMar>
            <w:top w:w="0" w:type="dxa"/>
            <w:left w:w="0" w:type="dxa"/>
            <w:bottom w:w="0" w:type="dxa"/>
            <w:right w:w="0" w:type="dxa"/>
          </w:tblCellMar>
        </w:tblPrEx>
        <w:trPr>
          <w:trHeight w:val="1100"/>
        </w:trPr>
        <w:tc>
          <w:tcPr>
            <w:tcW w:w="675" w:type="pct"/>
            <w:vMerge/>
            <w:tcBorders>
              <w:top w:val="nil"/>
              <w:bottom w:val="single" w:sz="4" w:space="0" w:color="000000"/>
              <w:right w:val="single" w:sz="4" w:space="0" w:color="000000"/>
            </w:tcBorders>
            <w:vAlign w:val="center"/>
          </w:tcPr>
          <w:p>
            <w:pPr>
              <w:spacing w:line="360" w:lineRule="auto"/>
              <w:rPr>
                <w:rFonts w:ascii="宋体" w:hAnsi="宋体" w:hint="eastAsia"/>
                <w:sz w:val="20"/>
                <w:szCs w:val="20"/>
              </w:rPr>
            </w:pPr>
          </w:p>
        </w:tc>
        <w:tc>
          <w:tcPr>
            <w:tcW w:w="595"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每季一次</w:t>
            </w:r>
          </w:p>
        </w:tc>
        <w:tc>
          <w:tcPr>
            <w:tcW w:w="2543"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35"/>
              </w:numPr>
              <w:tabs>
                <w:tab w:val="left" w:pos="343"/>
              </w:tabs>
              <w:spacing w:line="360" w:lineRule="auto"/>
              <w:ind w:left="0" w:firstLine="0"/>
              <w:jc w:val="both"/>
              <w:rPr>
                <w:rFonts w:hint="eastAsia"/>
                <w:sz w:val="20"/>
                <w:szCs w:val="20"/>
              </w:rPr>
            </w:pPr>
            <w:r>
              <w:rPr>
                <w:sz w:val="20"/>
                <w:szCs w:val="20"/>
              </w:rPr>
              <w:t>检查冷凝水接水盘管道是否畅通排水；</w:t>
            </w:r>
          </w:p>
          <w:p>
            <w:pPr>
              <w:pStyle w:val="TableParagraph"/>
              <w:numPr>
                <w:ilvl w:val="0"/>
                <w:numId w:val="35"/>
              </w:numPr>
              <w:tabs>
                <w:tab w:val="left" w:pos="343"/>
              </w:tabs>
              <w:spacing w:line="360" w:lineRule="auto"/>
              <w:ind w:left="0" w:firstLine="0"/>
              <w:jc w:val="both"/>
              <w:rPr>
                <w:rFonts w:hint="eastAsia"/>
                <w:sz w:val="20"/>
                <w:szCs w:val="20"/>
              </w:rPr>
            </w:pPr>
            <w:r>
              <w:rPr>
                <w:sz w:val="20"/>
                <w:szCs w:val="20"/>
              </w:rPr>
              <w:t>保温要求达到标准是否良好,自动排气阀工作有效。</w:t>
            </w:r>
          </w:p>
        </w:tc>
        <w:tc>
          <w:tcPr>
            <w:tcW w:w="1187" w:type="pct"/>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阀门工作正常，盘管畅通</w:t>
            </w:r>
          </w:p>
        </w:tc>
      </w:tr>
      <w:tr>
        <w:tblPrEx>
          <w:tblW w:w="5000" w:type="pct"/>
          <w:tblInd w:w="-5" w:type="dxa"/>
          <w:tblCellMar>
            <w:top w:w="0" w:type="dxa"/>
            <w:left w:w="0" w:type="dxa"/>
            <w:bottom w:w="0" w:type="dxa"/>
            <w:right w:w="0" w:type="dxa"/>
          </w:tblCellMar>
        </w:tblPrEx>
        <w:trPr>
          <w:trHeight w:val="1100"/>
        </w:trPr>
        <w:tc>
          <w:tcPr>
            <w:tcW w:w="675" w:type="pct"/>
            <w:tcBorders>
              <w:top w:val="nil"/>
              <w:bottom w:val="single" w:sz="4" w:space="0" w:color="000000"/>
              <w:right w:val="single" w:sz="4" w:space="0" w:color="000000"/>
            </w:tcBorders>
            <w:vAlign w:val="center"/>
          </w:tcPr>
          <w:p>
            <w:pPr>
              <w:spacing w:line="360" w:lineRule="auto"/>
              <w:rPr>
                <w:rFonts w:ascii="宋体" w:hAnsi="宋体" w:hint="eastAsia"/>
                <w:sz w:val="20"/>
                <w:szCs w:val="20"/>
              </w:rPr>
            </w:pPr>
            <w:r>
              <w:rPr>
                <w:rFonts w:hint="eastAsia"/>
                <w:sz w:val="20"/>
                <w:szCs w:val="20"/>
              </w:rPr>
              <w:t>风机盘管</w:t>
            </w:r>
          </w:p>
        </w:tc>
        <w:tc>
          <w:tcPr>
            <w:tcW w:w="595"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每年一次</w:t>
            </w:r>
          </w:p>
        </w:tc>
        <w:tc>
          <w:tcPr>
            <w:tcW w:w="2543"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1. 检查电机、风扇是否转动灵活，如轴承有阻滞现象应加润滑油；若有异常，则换新；</w:t>
            </w:r>
          </w:p>
          <w:p>
            <w:pPr>
              <w:pStyle w:val="TableParagraph"/>
              <w:tabs>
                <w:tab w:val="left" w:pos="342"/>
              </w:tabs>
              <w:spacing w:line="360" w:lineRule="auto"/>
              <w:jc w:val="both"/>
              <w:rPr>
                <w:rFonts w:hint="eastAsia"/>
                <w:sz w:val="20"/>
                <w:szCs w:val="20"/>
              </w:rPr>
            </w:pPr>
            <w:r>
              <w:rPr>
                <w:sz w:val="20"/>
                <w:szCs w:val="20"/>
              </w:rPr>
              <w:t>2.</w:t>
            </w:r>
            <w:r>
              <w:rPr>
                <w:sz w:val="20"/>
                <w:szCs w:val="20"/>
              </w:rPr>
              <w:tab/>
            </w:r>
            <w:r>
              <w:rPr>
                <w:sz w:val="20"/>
                <w:szCs w:val="20"/>
              </w:rPr>
              <w:t>用500V 摇表检测电机绕组绝缘对地电阻不低于0.5MΩ，否则应干燥处理，达到符合要求；</w:t>
            </w:r>
          </w:p>
          <w:p>
            <w:pPr>
              <w:pStyle w:val="TableParagraph"/>
              <w:numPr>
                <w:ilvl w:val="0"/>
                <w:numId w:val="36"/>
              </w:numPr>
              <w:tabs>
                <w:tab w:val="left" w:pos="343"/>
              </w:tabs>
              <w:spacing w:line="360" w:lineRule="auto"/>
              <w:ind w:left="0" w:firstLine="0"/>
              <w:jc w:val="both"/>
              <w:rPr>
                <w:rFonts w:hint="eastAsia"/>
                <w:sz w:val="20"/>
                <w:szCs w:val="20"/>
              </w:rPr>
            </w:pPr>
            <w:r>
              <w:rPr>
                <w:sz w:val="20"/>
                <w:szCs w:val="20"/>
              </w:rPr>
              <w:t>检查各节点螺栓紧固；</w:t>
            </w:r>
          </w:p>
          <w:p>
            <w:pPr>
              <w:pStyle w:val="TableParagraph"/>
              <w:numPr>
                <w:ilvl w:val="0"/>
                <w:numId w:val="36"/>
              </w:numPr>
              <w:tabs>
                <w:tab w:val="left" w:pos="343"/>
              </w:tabs>
              <w:spacing w:line="360" w:lineRule="auto"/>
              <w:ind w:left="0" w:firstLine="0"/>
              <w:jc w:val="both"/>
              <w:rPr>
                <w:rFonts w:hint="eastAsia"/>
                <w:sz w:val="20"/>
                <w:szCs w:val="20"/>
              </w:rPr>
            </w:pPr>
            <w:r>
              <w:rPr>
                <w:sz w:val="20"/>
                <w:szCs w:val="20"/>
              </w:rPr>
              <w:t>清洁风机叶片、盘管、积水盘上的污垢；</w:t>
            </w:r>
          </w:p>
          <w:p>
            <w:pPr>
              <w:pStyle w:val="TableParagraph"/>
              <w:numPr>
                <w:ilvl w:val="0"/>
                <w:numId w:val="35"/>
              </w:numPr>
              <w:tabs>
                <w:tab w:val="left" w:pos="343"/>
              </w:tabs>
              <w:spacing w:line="360" w:lineRule="auto"/>
              <w:ind w:left="0" w:firstLine="0"/>
              <w:jc w:val="both"/>
              <w:rPr>
                <w:rFonts w:hint="eastAsia"/>
                <w:sz w:val="20"/>
                <w:szCs w:val="20"/>
              </w:rPr>
            </w:pPr>
            <w:r>
              <w:rPr>
                <w:sz w:val="20"/>
                <w:szCs w:val="20"/>
              </w:rPr>
              <w:t>整体清洁。</w:t>
            </w:r>
          </w:p>
        </w:tc>
        <w:tc>
          <w:tcPr>
            <w:tcW w:w="1187" w:type="pct"/>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出口风速、温度达到要求；</w:t>
            </w:r>
          </w:p>
          <w:p>
            <w:pPr>
              <w:pStyle w:val="TableParagraph"/>
              <w:spacing w:line="360" w:lineRule="auto"/>
              <w:jc w:val="both"/>
              <w:rPr>
                <w:rFonts w:hint="eastAsia"/>
                <w:sz w:val="20"/>
                <w:szCs w:val="20"/>
              </w:rPr>
            </w:pPr>
            <w:r>
              <w:rPr>
                <w:sz w:val="20"/>
                <w:szCs w:val="20"/>
              </w:rPr>
              <w:t>电机运行无 噪声，设备无漏水</w:t>
            </w:r>
          </w:p>
        </w:tc>
      </w:tr>
      <w:tr>
        <w:tblPrEx>
          <w:tblW w:w="5000" w:type="pct"/>
          <w:tblInd w:w="-5" w:type="dxa"/>
          <w:tblCellMar>
            <w:top w:w="0" w:type="dxa"/>
            <w:left w:w="0" w:type="dxa"/>
            <w:bottom w:w="0" w:type="dxa"/>
            <w:right w:w="0" w:type="dxa"/>
          </w:tblCellMar>
        </w:tblPrEx>
        <w:trPr>
          <w:trHeight w:val="1100"/>
        </w:trPr>
        <w:tc>
          <w:tcPr>
            <w:tcW w:w="675" w:type="pct"/>
            <w:vMerge w:val="restart"/>
            <w:tcBorders>
              <w:top w:val="nil"/>
              <w:right w:val="single" w:sz="4" w:space="0" w:color="000000"/>
            </w:tcBorders>
            <w:vAlign w:val="center"/>
          </w:tcPr>
          <w:p>
            <w:pPr>
              <w:spacing w:line="360" w:lineRule="auto"/>
              <w:rPr>
                <w:sz w:val="20"/>
                <w:szCs w:val="20"/>
              </w:rPr>
            </w:pPr>
            <w:r>
              <w:rPr>
                <w:rFonts w:hint="eastAsia"/>
                <w:sz w:val="20"/>
                <w:szCs w:val="20"/>
              </w:rPr>
              <w:t>新风机柜</w:t>
            </w:r>
          </w:p>
        </w:tc>
        <w:tc>
          <w:tcPr>
            <w:tcW w:w="595"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日常维护</w:t>
            </w:r>
          </w:p>
        </w:tc>
        <w:tc>
          <w:tcPr>
            <w:tcW w:w="2543"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37"/>
              </w:numPr>
              <w:tabs>
                <w:tab w:val="left" w:pos="343"/>
              </w:tabs>
              <w:spacing w:line="360" w:lineRule="auto"/>
              <w:ind w:left="0" w:firstLine="0"/>
              <w:jc w:val="both"/>
              <w:rPr>
                <w:rFonts w:hint="eastAsia"/>
                <w:sz w:val="20"/>
                <w:szCs w:val="20"/>
              </w:rPr>
            </w:pPr>
            <w:r>
              <w:rPr>
                <w:sz w:val="20"/>
                <w:szCs w:val="20"/>
              </w:rPr>
              <w:t>机组外部清洁；</w:t>
            </w:r>
          </w:p>
          <w:p>
            <w:pPr>
              <w:pStyle w:val="TableParagraph"/>
              <w:spacing w:line="360" w:lineRule="auto"/>
              <w:jc w:val="both"/>
              <w:rPr>
                <w:rFonts w:hint="eastAsia"/>
                <w:sz w:val="20"/>
                <w:szCs w:val="20"/>
              </w:rPr>
            </w:pPr>
            <w:r>
              <w:rPr>
                <w:sz w:val="20"/>
                <w:szCs w:val="20"/>
              </w:rPr>
              <w:t>检查电磁阀、温控器工作是否正常、接水盘排水是否畅通。</w:t>
            </w:r>
          </w:p>
        </w:tc>
        <w:tc>
          <w:tcPr>
            <w:tcW w:w="1187" w:type="pct"/>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外观良好，设备运行正常。</w:t>
            </w:r>
          </w:p>
        </w:tc>
      </w:tr>
      <w:tr>
        <w:tblPrEx>
          <w:tblW w:w="5000" w:type="pct"/>
          <w:tblInd w:w="-5" w:type="dxa"/>
          <w:tblCellMar>
            <w:top w:w="0" w:type="dxa"/>
            <w:left w:w="0" w:type="dxa"/>
            <w:bottom w:w="0" w:type="dxa"/>
            <w:right w:w="0" w:type="dxa"/>
          </w:tblCellMar>
        </w:tblPrEx>
        <w:trPr>
          <w:trHeight w:val="1100"/>
        </w:trPr>
        <w:tc>
          <w:tcPr>
            <w:tcW w:w="675" w:type="pct"/>
            <w:vMerge/>
            <w:tcBorders>
              <w:right w:val="single" w:sz="4" w:space="0" w:color="000000"/>
            </w:tcBorders>
            <w:vAlign w:val="center"/>
          </w:tcPr>
          <w:p>
            <w:pPr>
              <w:spacing w:line="360" w:lineRule="auto"/>
              <w:rPr>
                <w:sz w:val="20"/>
                <w:szCs w:val="20"/>
              </w:rPr>
            </w:pPr>
          </w:p>
        </w:tc>
        <w:tc>
          <w:tcPr>
            <w:tcW w:w="595"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每季一次</w:t>
            </w:r>
          </w:p>
        </w:tc>
        <w:tc>
          <w:tcPr>
            <w:tcW w:w="2543"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38"/>
              </w:numPr>
              <w:tabs>
                <w:tab w:val="left" w:pos="343"/>
              </w:tabs>
              <w:spacing w:line="360" w:lineRule="auto"/>
              <w:ind w:left="0" w:firstLine="0"/>
              <w:jc w:val="both"/>
              <w:rPr>
                <w:rFonts w:hint="eastAsia"/>
                <w:sz w:val="20"/>
                <w:szCs w:val="20"/>
              </w:rPr>
            </w:pPr>
            <w:r>
              <w:rPr>
                <w:sz w:val="20"/>
                <w:szCs w:val="20"/>
              </w:rPr>
              <w:t>清洗风机过滤器；</w:t>
            </w:r>
          </w:p>
          <w:p>
            <w:pPr>
              <w:pStyle w:val="TableParagraph"/>
              <w:spacing w:line="360" w:lineRule="auto"/>
              <w:jc w:val="both"/>
              <w:rPr>
                <w:rFonts w:hint="eastAsia"/>
                <w:sz w:val="20"/>
                <w:szCs w:val="20"/>
              </w:rPr>
            </w:pPr>
            <w:r>
              <w:rPr>
                <w:sz w:val="20"/>
                <w:szCs w:val="20"/>
              </w:rPr>
              <w:t>风机轴承加注润滑油。</w:t>
            </w:r>
          </w:p>
        </w:tc>
        <w:tc>
          <w:tcPr>
            <w:tcW w:w="1187" w:type="pct"/>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过滤器干净，润滑良好。</w:t>
            </w:r>
          </w:p>
        </w:tc>
      </w:tr>
      <w:tr>
        <w:tblPrEx>
          <w:tblW w:w="5000" w:type="pct"/>
          <w:tblInd w:w="-5" w:type="dxa"/>
          <w:tblCellMar>
            <w:top w:w="0" w:type="dxa"/>
            <w:left w:w="0" w:type="dxa"/>
            <w:bottom w:w="0" w:type="dxa"/>
            <w:right w:w="0" w:type="dxa"/>
          </w:tblCellMar>
        </w:tblPrEx>
        <w:trPr>
          <w:trHeight w:val="1100"/>
        </w:trPr>
        <w:tc>
          <w:tcPr>
            <w:tcW w:w="675" w:type="pct"/>
            <w:vMerge/>
            <w:tcBorders>
              <w:bottom w:val="single" w:sz="4" w:space="0" w:color="000000"/>
              <w:right w:val="single" w:sz="4" w:space="0" w:color="000000"/>
            </w:tcBorders>
            <w:vAlign w:val="center"/>
          </w:tcPr>
          <w:p>
            <w:pPr>
              <w:spacing w:line="360" w:lineRule="auto"/>
              <w:rPr>
                <w:sz w:val="20"/>
                <w:szCs w:val="20"/>
              </w:rPr>
            </w:pPr>
          </w:p>
        </w:tc>
        <w:tc>
          <w:tcPr>
            <w:tcW w:w="595"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每年一次</w:t>
            </w:r>
          </w:p>
        </w:tc>
        <w:tc>
          <w:tcPr>
            <w:tcW w:w="2543"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39"/>
              </w:numPr>
              <w:tabs>
                <w:tab w:val="left" w:pos="343"/>
              </w:tabs>
              <w:spacing w:line="360" w:lineRule="auto"/>
              <w:ind w:left="0" w:firstLine="0"/>
              <w:jc w:val="both"/>
              <w:rPr>
                <w:rFonts w:hint="eastAsia"/>
                <w:sz w:val="20"/>
                <w:szCs w:val="20"/>
              </w:rPr>
            </w:pPr>
            <w:r>
              <w:rPr>
                <w:sz w:val="20"/>
                <w:szCs w:val="20"/>
              </w:rPr>
              <w:t>清洗风机及管道过滤网；</w:t>
            </w:r>
          </w:p>
          <w:p>
            <w:pPr>
              <w:pStyle w:val="TableParagraph"/>
              <w:numPr>
                <w:ilvl w:val="0"/>
                <w:numId w:val="39"/>
              </w:numPr>
              <w:tabs>
                <w:tab w:val="left" w:pos="343"/>
              </w:tabs>
              <w:spacing w:line="360" w:lineRule="auto"/>
              <w:ind w:left="0" w:firstLine="0"/>
              <w:jc w:val="both"/>
              <w:rPr>
                <w:rFonts w:hint="eastAsia"/>
                <w:sz w:val="20"/>
                <w:szCs w:val="20"/>
              </w:rPr>
            </w:pPr>
            <w:r>
              <w:rPr>
                <w:sz w:val="20"/>
                <w:szCs w:val="20"/>
              </w:rPr>
              <w:t>清洗公共场所风机出风口；</w:t>
            </w:r>
          </w:p>
          <w:p>
            <w:pPr>
              <w:pStyle w:val="TableParagraph"/>
              <w:numPr>
                <w:ilvl w:val="0"/>
                <w:numId w:val="39"/>
              </w:numPr>
              <w:tabs>
                <w:tab w:val="left" w:pos="343"/>
              </w:tabs>
              <w:spacing w:line="360" w:lineRule="auto"/>
              <w:ind w:left="0" w:firstLine="0"/>
              <w:jc w:val="both"/>
              <w:rPr>
                <w:rFonts w:hint="eastAsia"/>
                <w:sz w:val="20"/>
                <w:szCs w:val="20"/>
              </w:rPr>
            </w:pPr>
            <w:r>
              <w:rPr>
                <w:sz w:val="20"/>
                <w:szCs w:val="20"/>
              </w:rPr>
              <w:t>更换清洗电机轴承，并加注润滑油；</w:t>
            </w:r>
          </w:p>
          <w:p>
            <w:pPr>
              <w:pStyle w:val="TableParagraph"/>
              <w:numPr>
                <w:ilvl w:val="0"/>
                <w:numId w:val="39"/>
              </w:numPr>
              <w:tabs>
                <w:tab w:val="left" w:pos="343"/>
              </w:tabs>
              <w:spacing w:line="360" w:lineRule="auto"/>
              <w:ind w:left="0" w:firstLine="0"/>
              <w:jc w:val="both"/>
              <w:rPr>
                <w:rFonts w:hint="eastAsia"/>
                <w:sz w:val="20"/>
                <w:szCs w:val="20"/>
              </w:rPr>
            </w:pPr>
            <w:r>
              <w:rPr>
                <w:sz w:val="20"/>
                <w:szCs w:val="20"/>
              </w:rPr>
              <w:t>风机及风柜外壳除锈补刷油漆；</w:t>
            </w:r>
          </w:p>
          <w:p>
            <w:pPr>
              <w:pStyle w:val="TableParagraph"/>
              <w:spacing w:line="360" w:lineRule="auto"/>
              <w:jc w:val="both"/>
              <w:rPr>
                <w:rFonts w:hint="eastAsia"/>
                <w:sz w:val="20"/>
                <w:szCs w:val="20"/>
              </w:rPr>
            </w:pPr>
            <w:r>
              <w:rPr>
                <w:sz w:val="20"/>
                <w:szCs w:val="20"/>
              </w:rPr>
              <w:t>检查、测试控制线路节点螺栓紧固。</w:t>
            </w:r>
          </w:p>
        </w:tc>
        <w:tc>
          <w:tcPr>
            <w:tcW w:w="1187" w:type="pct"/>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制冷</w:t>
            </w:r>
            <w:r>
              <w:rPr>
                <w:rFonts w:hint="eastAsia"/>
                <w:sz w:val="20"/>
                <w:szCs w:val="20"/>
                <w:lang w:val="en-US"/>
              </w:rPr>
              <w:t>通风</w:t>
            </w:r>
            <w:r>
              <w:rPr>
                <w:sz w:val="20"/>
                <w:szCs w:val="20"/>
              </w:rPr>
              <w:t>效果良好、空气循环顺畅， 无泄漏。</w:t>
            </w:r>
          </w:p>
        </w:tc>
      </w:tr>
      <w:tr>
        <w:tblPrEx>
          <w:tblW w:w="5000" w:type="pct"/>
          <w:tblInd w:w="-5" w:type="dxa"/>
          <w:tblCellMar>
            <w:top w:w="0" w:type="dxa"/>
            <w:left w:w="0" w:type="dxa"/>
            <w:bottom w:w="0" w:type="dxa"/>
            <w:right w:w="0" w:type="dxa"/>
          </w:tblCellMar>
        </w:tblPrEx>
        <w:trPr>
          <w:trHeight w:val="1100"/>
        </w:trPr>
        <w:tc>
          <w:tcPr>
            <w:tcW w:w="675" w:type="pct"/>
            <w:tcBorders>
              <w:top w:val="nil"/>
              <w:bottom w:val="single" w:sz="4" w:space="0" w:color="000000"/>
              <w:right w:val="single" w:sz="4" w:space="0" w:color="000000"/>
            </w:tcBorders>
            <w:vAlign w:val="center"/>
          </w:tcPr>
          <w:p>
            <w:pPr>
              <w:spacing w:line="360" w:lineRule="auto"/>
              <w:rPr>
                <w:sz w:val="20"/>
                <w:szCs w:val="20"/>
              </w:rPr>
            </w:pPr>
            <w:r>
              <w:rPr>
                <w:rFonts w:hint="eastAsia"/>
                <w:sz w:val="20"/>
                <w:szCs w:val="20"/>
              </w:rPr>
              <w:t>阀类</w:t>
            </w:r>
          </w:p>
        </w:tc>
        <w:tc>
          <w:tcPr>
            <w:tcW w:w="595"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每半年一次</w:t>
            </w:r>
          </w:p>
        </w:tc>
        <w:tc>
          <w:tcPr>
            <w:tcW w:w="2543"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A、节制阀与调节阀的维修保养：</w:t>
            </w:r>
          </w:p>
          <w:p>
            <w:pPr>
              <w:pStyle w:val="TableParagraph"/>
              <w:numPr>
                <w:ilvl w:val="0"/>
                <w:numId w:val="40"/>
              </w:numPr>
              <w:tabs>
                <w:tab w:val="left" w:pos="343"/>
              </w:tabs>
              <w:spacing w:line="360" w:lineRule="auto"/>
              <w:ind w:left="0" w:firstLine="0"/>
              <w:jc w:val="both"/>
              <w:rPr>
                <w:rFonts w:hint="eastAsia"/>
                <w:sz w:val="20"/>
                <w:szCs w:val="20"/>
              </w:rPr>
            </w:pPr>
            <w:r>
              <w:rPr>
                <w:sz w:val="20"/>
                <w:szCs w:val="20"/>
              </w:rPr>
              <w:t>检查是否泄漏</w:t>
            </w:r>
            <w:r>
              <w:rPr>
                <w:rFonts w:hint="eastAsia"/>
                <w:sz w:val="20"/>
                <w:szCs w:val="20"/>
              </w:rPr>
              <w:t>水</w:t>
            </w:r>
            <w:r>
              <w:rPr>
                <w:sz w:val="20"/>
                <w:szCs w:val="20"/>
              </w:rPr>
              <w:t>，如是则应加压填料；</w:t>
            </w:r>
          </w:p>
          <w:p>
            <w:pPr>
              <w:pStyle w:val="TableParagraph"/>
              <w:numPr>
                <w:ilvl w:val="0"/>
                <w:numId w:val="40"/>
              </w:numPr>
              <w:tabs>
                <w:tab w:val="left" w:pos="343"/>
              </w:tabs>
              <w:spacing w:line="360" w:lineRule="auto"/>
              <w:ind w:left="0" w:firstLine="0"/>
              <w:jc w:val="both"/>
              <w:rPr>
                <w:rFonts w:hint="eastAsia"/>
                <w:sz w:val="20"/>
                <w:szCs w:val="20"/>
              </w:rPr>
            </w:pPr>
            <w:r>
              <w:rPr>
                <w:sz w:val="20"/>
                <w:szCs w:val="20"/>
              </w:rPr>
              <w:t>检查阀门开闭是否灵活，如有阻力则加注润滑油， 如有破损则应换新；</w:t>
            </w:r>
          </w:p>
          <w:p>
            <w:pPr>
              <w:pStyle w:val="TableParagraph"/>
              <w:spacing w:line="360" w:lineRule="auto"/>
              <w:jc w:val="both"/>
              <w:rPr>
                <w:rFonts w:hint="eastAsia"/>
                <w:sz w:val="20"/>
                <w:szCs w:val="20"/>
              </w:rPr>
            </w:pPr>
            <w:r>
              <w:rPr>
                <w:sz w:val="20"/>
                <w:szCs w:val="20"/>
              </w:rPr>
              <w:t>B、磁调节阀、压差调节阀：</w:t>
            </w:r>
          </w:p>
          <w:p>
            <w:pPr>
              <w:pStyle w:val="TableParagraph"/>
              <w:numPr>
                <w:ilvl w:val="0"/>
                <w:numId w:val="41"/>
              </w:numPr>
              <w:tabs>
                <w:tab w:val="left" w:pos="343"/>
              </w:tabs>
              <w:spacing w:line="360" w:lineRule="auto"/>
              <w:ind w:left="0" w:firstLine="0"/>
              <w:jc w:val="both"/>
              <w:rPr>
                <w:rFonts w:hint="eastAsia"/>
                <w:sz w:val="20"/>
                <w:szCs w:val="20"/>
              </w:rPr>
            </w:pPr>
            <w:r>
              <w:rPr>
                <w:sz w:val="20"/>
                <w:szCs w:val="20"/>
              </w:rPr>
              <w:t>检查干燥过滤器是否已脏堵或吸潮，如是则应作处理或更换；</w:t>
            </w:r>
          </w:p>
          <w:p>
            <w:pPr>
              <w:pStyle w:val="TableParagraph"/>
              <w:numPr>
                <w:ilvl w:val="0"/>
                <w:numId w:val="41"/>
              </w:numPr>
              <w:tabs>
                <w:tab w:val="left" w:pos="343"/>
              </w:tabs>
              <w:spacing w:line="360" w:lineRule="auto"/>
              <w:ind w:left="0" w:firstLine="0"/>
              <w:jc w:val="both"/>
              <w:rPr>
                <w:rFonts w:hint="eastAsia"/>
                <w:sz w:val="20"/>
                <w:szCs w:val="20"/>
              </w:rPr>
            </w:pPr>
            <w:r>
              <w:rPr>
                <w:sz w:val="20"/>
                <w:szCs w:val="20"/>
              </w:rPr>
              <w:t>能断电检查电磁调节阀、压差调节阀是否动作可靠，如有问题则更换新或进行维修处理；</w:t>
            </w:r>
          </w:p>
          <w:p>
            <w:pPr>
              <w:pStyle w:val="TableParagraph"/>
              <w:numPr>
                <w:ilvl w:val="0"/>
                <w:numId w:val="39"/>
              </w:numPr>
              <w:tabs>
                <w:tab w:val="left" w:pos="343"/>
              </w:tabs>
              <w:spacing w:line="360" w:lineRule="auto"/>
              <w:ind w:left="0" w:firstLine="0"/>
              <w:jc w:val="both"/>
              <w:rPr>
                <w:rFonts w:hint="eastAsia"/>
                <w:sz w:val="20"/>
                <w:szCs w:val="20"/>
              </w:rPr>
            </w:pPr>
            <w:r>
              <w:rPr>
                <w:sz w:val="20"/>
                <w:szCs w:val="20"/>
              </w:rPr>
              <w:t>阀门本体除锈，补刷油漆。</w:t>
            </w:r>
          </w:p>
        </w:tc>
        <w:tc>
          <w:tcPr>
            <w:tcW w:w="1187" w:type="pct"/>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开闭灵活，无破损和渗漏。</w:t>
            </w:r>
          </w:p>
        </w:tc>
      </w:tr>
      <w:tr>
        <w:tblPrEx>
          <w:tblW w:w="5000" w:type="pct"/>
          <w:tblInd w:w="-5" w:type="dxa"/>
          <w:tblCellMar>
            <w:top w:w="0" w:type="dxa"/>
            <w:left w:w="0" w:type="dxa"/>
            <w:bottom w:w="0" w:type="dxa"/>
            <w:right w:w="0" w:type="dxa"/>
          </w:tblCellMar>
        </w:tblPrEx>
        <w:trPr>
          <w:trHeight w:val="1100"/>
        </w:trPr>
        <w:tc>
          <w:tcPr>
            <w:tcW w:w="675" w:type="pct"/>
            <w:vMerge w:val="restart"/>
            <w:tcBorders>
              <w:top w:val="nil"/>
              <w:right w:val="single" w:sz="4" w:space="0" w:color="000000"/>
            </w:tcBorders>
            <w:vAlign w:val="center"/>
          </w:tcPr>
          <w:p>
            <w:pPr>
              <w:spacing w:line="360" w:lineRule="auto"/>
              <w:rPr>
                <w:sz w:val="20"/>
                <w:szCs w:val="20"/>
              </w:rPr>
            </w:pPr>
            <w:r>
              <w:rPr>
                <w:rFonts w:hint="eastAsia"/>
                <w:sz w:val="20"/>
                <w:szCs w:val="20"/>
              </w:rPr>
              <w:t>控制系统</w:t>
            </w:r>
          </w:p>
        </w:tc>
        <w:tc>
          <w:tcPr>
            <w:tcW w:w="595"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日常维护</w:t>
            </w:r>
          </w:p>
        </w:tc>
        <w:tc>
          <w:tcPr>
            <w:tcW w:w="2543"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2"/>
              </w:numPr>
              <w:tabs>
                <w:tab w:val="left" w:pos="343"/>
              </w:tabs>
              <w:spacing w:line="360" w:lineRule="auto"/>
              <w:ind w:left="0" w:firstLine="0"/>
              <w:jc w:val="both"/>
              <w:rPr>
                <w:rFonts w:hint="eastAsia"/>
                <w:sz w:val="20"/>
                <w:szCs w:val="20"/>
              </w:rPr>
            </w:pPr>
            <w:r>
              <w:rPr>
                <w:sz w:val="20"/>
                <w:szCs w:val="20"/>
              </w:rPr>
              <w:t>定期清洁；</w:t>
            </w:r>
          </w:p>
          <w:p>
            <w:pPr>
              <w:pStyle w:val="TableParagraph"/>
              <w:spacing w:line="360" w:lineRule="auto"/>
              <w:jc w:val="both"/>
              <w:rPr>
                <w:rFonts w:hint="eastAsia"/>
                <w:sz w:val="20"/>
                <w:szCs w:val="20"/>
              </w:rPr>
            </w:pPr>
            <w:r>
              <w:rPr>
                <w:sz w:val="20"/>
                <w:szCs w:val="20"/>
              </w:rPr>
              <w:t>检测电流、电压是否正常。</w:t>
            </w:r>
          </w:p>
        </w:tc>
        <w:tc>
          <w:tcPr>
            <w:tcW w:w="1187" w:type="pct"/>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运行正常。</w:t>
            </w:r>
          </w:p>
        </w:tc>
      </w:tr>
      <w:tr>
        <w:tblPrEx>
          <w:tblW w:w="5000" w:type="pct"/>
          <w:tblInd w:w="-5" w:type="dxa"/>
          <w:tblCellMar>
            <w:top w:w="0" w:type="dxa"/>
            <w:left w:w="0" w:type="dxa"/>
            <w:bottom w:w="0" w:type="dxa"/>
            <w:right w:w="0" w:type="dxa"/>
          </w:tblCellMar>
        </w:tblPrEx>
        <w:trPr>
          <w:trHeight w:val="1100"/>
        </w:trPr>
        <w:tc>
          <w:tcPr>
            <w:tcW w:w="675" w:type="pct"/>
            <w:vMerge/>
            <w:tcBorders>
              <w:right w:val="single" w:sz="4" w:space="0" w:color="000000"/>
            </w:tcBorders>
            <w:vAlign w:val="center"/>
          </w:tcPr>
          <w:p>
            <w:pPr>
              <w:spacing w:line="360" w:lineRule="auto"/>
              <w:rPr>
                <w:sz w:val="20"/>
                <w:szCs w:val="20"/>
              </w:rPr>
            </w:pPr>
          </w:p>
        </w:tc>
        <w:tc>
          <w:tcPr>
            <w:tcW w:w="595"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每季一次</w:t>
            </w:r>
          </w:p>
        </w:tc>
        <w:tc>
          <w:tcPr>
            <w:tcW w:w="2543"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3"/>
              </w:numPr>
              <w:tabs>
                <w:tab w:val="left" w:pos="343"/>
              </w:tabs>
              <w:spacing w:line="360" w:lineRule="auto"/>
              <w:ind w:left="0" w:firstLine="0"/>
              <w:jc w:val="both"/>
              <w:rPr>
                <w:rFonts w:hint="eastAsia"/>
                <w:sz w:val="20"/>
                <w:szCs w:val="20"/>
              </w:rPr>
            </w:pPr>
            <w:r>
              <w:rPr>
                <w:sz w:val="20"/>
                <w:szCs w:val="20"/>
              </w:rPr>
              <w:t>检查配电开关、线路等有无过热现象；</w:t>
            </w:r>
          </w:p>
          <w:p>
            <w:pPr>
              <w:pStyle w:val="TableParagraph"/>
              <w:spacing w:line="360" w:lineRule="auto"/>
              <w:jc w:val="both"/>
              <w:rPr>
                <w:rFonts w:hint="eastAsia"/>
                <w:sz w:val="20"/>
                <w:szCs w:val="20"/>
              </w:rPr>
            </w:pPr>
            <w:r>
              <w:rPr>
                <w:sz w:val="20"/>
                <w:szCs w:val="20"/>
              </w:rPr>
              <w:t>检查各节点螺栓紧固。</w:t>
            </w:r>
          </w:p>
        </w:tc>
        <w:tc>
          <w:tcPr>
            <w:tcW w:w="1187" w:type="pct"/>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线路接点无过热现象、控制装置良好。</w:t>
            </w:r>
          </w:p>
        </w:tc>
      </w:tr>
      <w:tr>
        <w:tblPrEx>
          <w:tblW w:w="5000" w:type="pct"/>
          <w:tblInd w:w="-5" w:type="dxa"/>
          <w:tblCellMar>
            <w:top w:w="0" w:type="dxa"/>
            <w:left w:w="0" w:type="dxa"/>
            <w:bottom w:w="0" w:type="dxa"/>
            <w:right w:w="0" w:type="dxa"/>
          </w:tblCellMar>
        </w:tblPrEx>
        <w:trPr>
          <w:trHeight w:val="1100"/>
        </w:trPr>
        <w:tc>
          <w:tcPr>
            <w:tcW w:w="675" w:type="pct"/>
            <w:vMerge/>
            <w:tcBorders>
              <w:bottom w:val="single" w:sz="4" w:space="0" w:color="000000"/>
              <w:right w:val="single" w:sz="4" w:space="0" w:color="000000"/>
            </w:tcBorders>
            <w:vAlign w:val="center"/>
          </w:tcPr>
          <w:p>
            <w:pPr>
              <w:spacing w:line="360" w:lineRule="auto"/>
              <w:rPr>
                <w:sz w:val="20"/>
                <w:szCs w:val="20"/>
              </w:rPr>
            </w:pPr>
          </w:p>
        </w:tc>
        <w:tc>
          <w:tcPr>
            <w:tcW w:w="595"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每年一次</w:t>
            </w:r>
          </w:p>
        </w:tc>
        <w:tc>
          <w:tcPr>
            <w:tcW w:w="2543" w:type="pct"/>
            <w:tcBorders>
              <w:top w:val="single" w:sz="4" w:space="0" w:color="000000"/>
              <w:left w:val="single" w:sz="4" w:space="0" w:color="000000"/>
              <w:bottom w:val="single" w:sz="4" w:space="0" w:color="000000"/>
              <w:right w:val="single" w:sz="4" w:space="0" w:color="000000"/>
            </w:tcBorders>
            <w:vAlign w:val="center"/>
          </w:tcPr>
          <w:p>
            <w:pPr>
              <w:pStyle w:val="TableParagraph"/>
              <w:tabs>
                <w:tab w:val="left" w:pos="343"/>
              </w:tabs>
              <w:spacing w:line="360" w:lineRule="auto"/>
              <w:jc w:val="both"/>
              <w:rPr>
                <w:rFonts w:hint="eastAsia"/>
                <w:sz w:val="20"/>
                <w:szCs w:val="20"/>
              </w:rPr>
            </w:pPr>
            <w:r>
              <w:rPr>
                <w:sz w:val="20"/>
                <w:szCs w:val="20"/>
              </w:rPr>
              <w:t>1.检测控制箱的接地电阻；</w:t>
            </w:r>
          </w:p>
          <w:p>
            <w:pPr>
              <w:pStyle w:val="TableParagraph"/>
              <w:spacing w:line="360" w:lineRule="auto"/>
              <w:jc w:val="both"/>
              <w:rPr>
                <w:rFonts w:hint="eastAsia"/>
                <w:sz w:val="20"/>
                <w:szCs w:val="20"/>
              </w:rPr>
            </w:pPr>
            <w:r>
              <w:rPr>
                <w:sz w:val="20"/>
                <w:szCs w:val="20"/>
              </w:rPr>
              <w:t>2.更换接触不良的配件。</w:t>
            </w:r>
          </w:p>
        </w:tc>
        <w:tc>
          <w:tcPr>
            <w:tcW w:w="1187" w:type="pct"/>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阻值符合规范要求。</w:t>
            </w:r>
          </w:p>
        </w:tc>
      </w:tr>
      <w:tr>
        <w:tblPrEx>
          <w:tblW w:w="5000" w:type="pct"/>
          <w:tblInd w:w="-5" w:type="dxa"/>
          <w:tblCellMar>
            <w:top w:w="0" w:type="dxa"/>
            <w:left w:w="0" w:type="dxa"/>
            <w:bottom w:w="0" w:type="dxa"/>
            <w:right w:w="0" w:type="dxa"/>
          </w:tblCellMar>
        </w:tblPrEx>
        <w:trPr>
          <w:trHeight w:val="1100"/>
        </w:trPr>
        <w:tc>
          <w:tcPr>
            <w:tcW w:w="675" w:type="pct"/>
            <w:tcBorders>
              <w:top w:val="nil"/>
              <w:bottom w:val="single" w:sz="4" w:space="0" w:color="000000"/>
              <w:right w:val="single" w:sz="4" w:space="0" w:color="000000"/>
            </w:tcBorders>
            <w:vAlign w:val="center"/>
          </w:tcPr>
          <w:p>
            <w:pPr>
              <w:spacing w:line="360" w:lineRule="auto"/>
              <w:rPr>
                <w:sz w:val="20"/>
                <w:szCs w:val="20"/>
              </w:rPr>
            </w:pPr>
            <w:r>
              <w:rPr>
                <w:rFonts w:ascii="宋体" w:hAnsi="宋体"/>
                <w:sz w:val="20"/>
                <w:szCs w:val="20"/>
              </w:rPr>
              <w:t>水处理</w:t>
            </w:r>
          </w:p>
        </w:tc>
        <w:tc>
          <w:tcPr>
            <w:tcW w:w="595"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每年一次</w:t>
            </w:r>
          </w:p>
        </w:tc>
        <w:tc>
          <w:tcPr>
            <w:tcW w:w="2543"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1.委托专业公司进行水质处理，达到相关规程规定；</w:t>
            </w:r>
          </w:p>
          <w:p>
            <w:pPr>
              <w:pStyle w:val="TableParagraph"/>
              <w:spacing w:line="360" w:lineRule="auto"/>
              <w:jc w:val="both"/>
              <w:rPr>
                <w:rFonts w:hint="eastAsia"/>
                <w:sz w:val="20"/>
                <w:szCs w:val="20"/>
              </w:rPr>
            </w:pPr>
            <w:r>
              <w:rPr>
                <w:sz w:val="20"/>
                <w:szCs w:val="20"/>
              </w:rPr>
              <w:t>2.并记录归档保存。</w:t>
            </w:r>
          </w:p>
        </w:tc>
        <w:tc>
          <w:tcPr>
            <w:tcW w:w="1187" w:type="pct"/>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合格。</w:t>
            </w:r>
          </w:p>
        </w:tc>
      </w:tr>
      <w:tr>
        <w:tblPrEx>
          <w:tblW w:w="5000" w:type="pct"/>
          <w:tblInd w:w="-5" w:type="dxa"/>
          <w:tblCellMar>
            <w:top w:w="0" w:type="dxa"/>
            <w:left w:w="0" w:type="dxa"/>
            <w:bottom w:w="0" w:type="dxa"/>
            <w:right w:w="0" w:type="dxa"/>
          </w:tblCellMar>
        </w:tblPrEx>
        <w:trPr>
          <w:trHeight w:val="1100"/>
        </w:trPr>
        <w:tc>
          <w:tcPr>
            <w:tcW w:w="675" w:type="pct"/>
            <w:tcBorders>
              <w:top w:val="nil"/>
              <w:bottom w:val="single" w:sz="4" w:space="0" w:color="000000"/>
              <w:right w:val="single" w:sz="4" w:space="0" w:color="000000"/>
            </w:tcBorders>
            <w:vAlign w:val="center"/>
          </w:tcPr>
          <w:p>
            <w:pPr>
              <w:spacing w:line="360" w:lineRule="auto"/>
              <w:rPr>
                <w:sz w:val="20"/>
                <w:szCs w:val="20"/>
              </w:rPr>
            </w:pPr>
            <w:r>
              <w:rPr>
                <w:rFonts w:hint="eastAsia"/>
                <w:sz w:val="20"/>
                <w:szCs w:val="20"/>
              </w:rPr>
              <w:t>变频多联空调</w:t>
            </w:r>
          </w:p>
        </w:tc>
        <w:tc>
          <w:tcPr>
            <w:tcW w:w="595"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每半年一次</w:t>
            </w:r>
          </w:p>
        </w:tc>
        <w:tc>
          <w:tcPr>
            <w:tcW w:w="2543"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清洗过滤网、检查室外机。</w:t>
            </w:r>
          </w:p>
        </w:tc>
        <w:tc>
          <w:tcPr>
            <w:tcW w:w="1187" w:type="pct"/>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r>
              <w:rPr>
                <w:sz w:val="20"/>
                <w:szCs w:val="20"/>
              </w:rPr>
              <w:t>运行正常。</w:t>
            </w:r>
          </w:p>
        </w:tc>
      </w:tr>
    </w:tbl>
    <w:p>
      <w:pPr>
        <w:pStyle w:val="BodyText"/>
        <w:rPr>
          <w:sz w:val="21"/>
          <w:szCs w:val="21"/>
        </w:rPr>
      </w:pPr>
      <w:r>
        <w:rPr>
          <w:rFonts w:hint="eastAsia"/>
          <w:sz w:val="21"/>
          <w:szCs w:val="21"/>
        </w:rPr>
        <w:t>（</w:t>
      </w:r>
      <w:r>
        <w:rPr>
          <w:sz w:val="21"/>
          <w:szCs w:val="21"/>
        </w:rPr>
        <w:t>5</w:t>
      </w:r>
      <w:r>
        <w:rPr>
          <w:rFonts w:hint="eastAsia"/>
          <w:sz w:val="21"/>
          <w:szCs w:val="21"/>
        </w:rPr>
        <w:t>）电梯系统</w:t>
      </w:r>
    </w:p>
    <w:tbl>
      <w:tblPr>
        <w:tblStyle w:val="TableNormal"/>
        <w:tblW w:w="5000" w:type="pct"/>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top w:w="0" w:type="dxa"/>
          <w:left w:w="0" w:type="dxa"/>
          <w:bottom w:w="0" w:type="dxa"/>
          <w:right w:w="0" w:type="dxa"/>
        </w:tblCellMar>
      </w:tblPr>
      <w:tblGrid>
        <w:gridCol w:w="320"/>
        <w:gridCol w:w="55"/>
        <w:gridCol w:w="502"/>
        <w:gridCol w:w="884"/>
        <w:gridCol w:w="4702"/>
        <w:gridCol w:w="1880"/>
      </w:tblGrid>
      <w:tr>
        <w:tblPrEx>
          <w:tblW w:w="5000" w:type="pct"/>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top w:w="0" w:type="dxa"/>
            <w:left w:w="0" w:type="dxa"/>
            <w:bottom w:w="0" w:type="dxa"/>
            <w:right w:w="0" w:type="dxa"/>
          </w:tblCellMar>
        </w:tblPrEx>
        <w:trPr>
          <w:trHeight w:val="856"/>
          <w:jc w:val="center"/>
        </w:trPr>
        <w:tc>
          <w:tcPr>
            <w:tcW w:w="225" w:type="pct"/>
            <w:gridSpan w:val="2"/>
            <w:tcBorders>
              <w:bottom w:val="single" w:sz="4" w:space="0" w:color="000000"/>
              <w:right w:val="single" w:sz="4"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序号</w:t>
            </w:r>
          </w:p>
        </w:tc>
        <w:tc>
          <w:tcPr>
            <w:tcW w:w="831" w:type="pct"/>
            <w:gridSpan w:val="2"/>
            <w:tcBorders>
              <w:left w:val="single" w:sz="4" w:space="0" w:color="000000"/>
              <w:bottom w:val="single" w:sz="4" w:space="0" w:color="000000"/>
              <w:right w:val="single" w:sz="4"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保养项目</w:t>
            </w:r>
          </w:p>
        </w:tc>
        <w:tc>
          <w:tcPr>
            <w:tcW w:w="2818" w:type="pct"/>
            <w:tcBorders>
              <w:left w:val="single" w:sz="4" w:space="0" w:color="000000"/>
              <w:bottom w:val="single" w:sz="4" w:space="0" w:color="000000"/>
              <w:right w:val="single" w:sz="4"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保养内容及要求</w:t>
            </w:r>
          </w:p>
        </w:tc>
        <w:tc>
          <w:tcPr>
            <w:tcW w:w="1126" w:type="pct"/>
            <w:tcBorders>
              <w:left w:val="single" w:sz="4" w:space="0" w:color="000000"/>
              <w:bottom w:val="single" w:sz="4"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保养周期</w:t>
            </w:r>
          </w:p>
        </w:tc>
      </w:tr>
      <w:tr>
        <w:tblPrEx>
          <w:tblW w:w="5000" w:type="pct"/>
          <w:jc w:val="center"/>
          <w:tblCellMar>
            <w:top w:w="0" w:type="dxa"/>
            <w:left w:w="0" w:type="dxa"/>
            <w:bottom w:w="0" w:type="dxa"/>
            <w:right w:w="0" w:type="dxa"/>
          </w:tblCellMar>
        </w:tblPrEx>
        <w:trPr>
          <w:trHeight w:val="1283"/>
          <w:jc w:val="center"/>
        </w:trPr>
        <w:tc>
          <w:tcPr>
            <w:tcW w:w="225" w:type="pct"/>
            <w:gridSpan w:val="2"/>
            <w:tcBorders>
              <w:top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1</w:t>
            </w:r>
          </w:p>
        </w:tc>
        <w:tc>
          <w:tcPr>
            <w:tcW w:w="831" w:type="pct"/>
            <w:gridSpan w:val="2"/>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机房的通道, 出入口门</w:t>
            </w:r>
          </w:p>
        </w:tc>
        <w:tc>
          <w:tcPr>
            <w:tcW w:w="2818"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4"/>
              </w:numPr>
              <w:tabs>
                <w:tab w:val="left" w:pos="349"/>
              </w:tabs>
              <w:spacing w:line="360" w:lineRule="auto"/>
              <w:ind w:left="0" w:firstLine="0"/>
              <w:jc w:val="both"/>
              <w:rPr>
                <w:rFonts w:hint="eastAsia"/>
                <w:sz w:val="20"/>
                <w:szCs w:val="20"/>
              </w:rPr>
            </w:pPr>
            <w:r>
              <w:rPr>
                <w:sz w:val="20"/>
                <w:szCs w:val="20"/>
              </w:rPr>
              <w:t>通道应通畅无障碍物、应有适当的照明设施且有效</w:t>
            </w:r>
          </w:p>
          <w:p>
            <w:pPr>
              <w:pStyle w:val="TableParagraph"/>
              <w:numPr>
                <w:ilvl w:val="0"/>
                <w:numId w:val="44"/>
              </w:numPr>
              <w:tabs>
                <w:tab w:val="left" w:pos="349"/>
              </w:tabs>
              <w:spacing w:line="360" w:lineRule="auto"/>
              <w:ind w:left="0" w:firstLine="0"/>
              <w:jc w:val="both"/>
              <w:rPr>
                <w:rFonts w:hint="eastAsia"/>
                <w:sz w:val="20"/>
                <w:szCs w:val="20"/>
              </w:rPr>
            </w:pPr>
            <w:r>
              <w:rPr>
                <w:sz w:val="20"/>
                <w:szCs w:val="20"/>
              </w:rPr>
              <w:t>机房门应有告示牌、出入口锁紧装置要良好</w:t>
            </w:r>
          </w:p>
          <w:p>
            <w:pPr>
              <w:pStyle w:val="TableParagraph"/>
              <w:numPr>
                <w:ilvl w:val="0"/>
                <w:numId w:val="44"/>
              </w:numPr>
              <w:tabs>
                <w:tab w:val="left" w:pos="349"/>
              </w:tabs>
              <w:spacing w:line="360" w:lineRule="auto"/>
              <w:ind w:left="0" w:firstLine="0"/>
              <w:jc w:val="both"/>
              <w:rPr>
                <w:rFonts w:hint="eastAsia"/>
                <w:sz w:val="20"/>
                <w:szCs w:val="20"/>
              </w:rPr>
            </w:pPr>
            <w:r>
              <w:rPr>
                <w:sz w:val="20"/>
                <w:szCs w:val="20"/>
              </w:rPr>
              <w:t>机房内应清洁卫生，不得堆放非电梯用物品</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7 天</w:t>
            </w:r>
          </w:p>
        </w:tc>
      </w:tr>
      <w:tr>
        <w:tblPrEx>
          <w:tblW w:w="5000" w:type="pct"/>
          <w:jc w:val="center"/>
          <w:tblCellMar>
            <w:top w:w="0" w:type="dxa"/>
            <w:left w:w="0" w:type="dxa"/>
            <w:bottom w:w="0" w:type="dxa"/>
            <w:right w:w="0" w:type="dxa"/>
          </w:tblCellMar>
        </w:tblPrEx>
        <w:trPr>
          <w:trHeight w:val="856"/>
          <w:jc w:val="center"/>
        </w:trPr>
        <w:tc>
          <w:tcPr>
            <w:tcW w:w="225" w:type="pct"/>
            <w:gridSpan w:val="2"/>
            <w:tcBorders>
              <w:top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2</w:t>
            </w:r>
          </w:p>
        </w:tc>
        <w:tc>
          <w:tcPr>
            <w:tcW w:w="831" w:type="pct"/>
            <w:gridSpan w:val="2"/>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机房设施</w:t>
            </w:r>
          </w:p>
        </w:tc>
        <w:tc>
          <w:tcPr>
            <w:tcW w:w="2818"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4"/>
              </w:numPr>
              <w:tabs>
                <w:tab w:val="left" w:pos="349"/>
              </w:tabs>
              <w:spacing w:line="360" w:lineRule="auto"/>
              <w:ind w:left="0" w:firstLine="0"/>
              <w:jc w:val="both"/>
              <w:rPr>
                <w:rFonts w:hint="eastAsia"/>
                <w:sz w:val="20"/>
                <w:szCs w:val="20"/>
              </w:rPr>
            </w:pPr>
            <w:r>
              <w:rPr>
                <w:sz w:val="20"/>
                <w:szCs w:val="20"/>
              </w:rPr>
              <w:t>机房内温度要维持 5℃~40℃、天花板或窗户不应漏水</w:t>
            </w:r>
          </w:p>
          <w:p>
            <w:pPr>
              <w:pStyle w:val="TableParagraph"/>
              <w:numPr>
                <w:ilvl w:val="0"/>
                <w:numId w:val="44"/>
              </w:numPr>
              <w:tabs>
                <w:tab w:val="left" w:pos="349"/>
              </w:tabs>
              <w:spacing w:line="360" w:lineRule="auto"/>
              <w:ind w:left="0" w:firstLine="0"/>
              <w:jc w:val="both"/>
              <w:rPr>
                <w:rFonts w:hint="eastAsia"/>
                <w:sz w:val="20"/>
                <w:szCs w:val="20"/>
              </w:rPr>
            </w:pPr>
            <w:r>
              <w:rPr>
                <w:sz w:val="20"/>
                <w:szCs w:val="20"/>
              </w:rPr>
              <w:t>消防器材在有效期内</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7 天</w:t>
            </w:r>
          </w:p>
        </w:tc>
      </w:tr>
      <w:tr>
        <w:tblPrEx>
          <w:tblW w:w="5000" w:type="pct"/>
          <w:jc w:val="center"/>
          <w:tblCellMar>
            <w:top w:w="0" w:type="dxa"/>
            <w:left w:w="0" w:type="dxa"/>
            <w:bottom w:w="0" w:type="dxa"/>
            <w:right w:w="0" w:type="dxa"/>
          </w:tblCellMar>
        </w:tblPrEx>
        <w:trPr>
          <w:trHeight w:val="1283"/>
          <w:jc w:val="center"/>
        </w:trPr>
        <w:tc>
          <w:tcPr>
            <w:tcW w:w="225" w:type="pct"/>
            <w:gridSpan w:val="2"/>
            <w:tcBorders>
              <w:top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3</w:t>
            </w:r>
          </w:p>
        </w:tc>
        <w:tc>
          <w:tcPr>
            <w:tcW w:w="831" w:type="pct"/>
            <w:gridSpan w:val="2"/>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滑轮间</w:t>
            </w:r>
          </w:p>
        </w:tc>
        <w:tc>
          <w:tcPr>
            <w:tcW w:w="2818"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4"/>
              </w:numPr>
              <w:tabs>
                <w:tab w:val="left" w:pos="349"/>
              </w:tabs>
              <w:spacing w:line="360" w:lineRule="auto"/>
              <w:ind w:left="0" w:firstLine="0"/>
              <w:jc w:val="both"/>
              <w:rPr>
                <w:rFonts w:hint="eastAsia"/>
                <w:sz w:val="20"/>
                <w:szCs w:val="20"/>
              </w:rPr>
            </w:pPr>
            <w:r>
              <w:rPr>
                <w:sz w:val="20"/>
                <w:szCs w:val="20"/>
              </w:rPr>
              <w:t>滑轮间应有足够的固定照明、电源插座</w:t>
            </w:r>
          </w:p>
          <w:p>
            <w:pPr>
              <w:pStyle w:val="TableParagraph"/>
              <w:numPr>
                <w:ilvl w:val="0"/>
                <w:numId w:val="44"/>
              </w:numPr>
              <w:tabs>
                <w:tab w:val="left" w:pos="349"/>
              </w:tabs>
              <w:spacing w:line="360" w:lineRule="auto"/>
              <w:ind w:left="0" w:firstLine="0"/>
              <w:jc w:val="both"/>
              <w:rPr>
                <w:rFonts w:hint="eastAsia"/>
                <w:sz w:val="20"/>
                <w:szCs w:val="20"/>
              </w:rPr>
            </w:pPr>
            <w:r>
              <w:rPr>
                <w:sz w:val="20"/>
                <w:szCs w:val="20"/>
              </w:rPr>
              <w:t>滑轮间入口，急停开关动作可靠</w:t>
            </w:r>
          </w:p>
          <w:p>
            <w:pPr>
              <w:pStyle w:val="TableParagraph"/>
              <w:numPr>
                <w:ilvl w:val="0"/>
                <w:numId w:val="44"/>
              </w:numPr>
              <w:tabs>
                <w:tab w:val="left" w:pos="349"/>
              </w:tabs>
              <w:spacing w:line="360" w:lineRule="auto"/>
              <w:ind w:left="0" w:firstLine="0"/>
              <w:jc w:val="both"/>
              <w:rPr>
                <w:rFonts w:hint="eastAsia"/>
                <w:sz w:val="20"/>
                <w:szCs w:val="20"/>
              </w:rPr>
            </w:pPr>
            <w:r>
              <w:rPr>
                <w:sz w:val="20"/>
                <w:szCs w:val="20"/>
              </w:rPr>
              <w:t>滑轮间地面清洁无油污</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3 个月</w:t>
            </w:r>
          </w:p>
        </w:tc>
      </w:tr>
      <w:tr>
        <w:tblPrEx>
          <w:tblW w:w="5000" w:type="pct"/>
          <w:jc w:val="center"/>
          <w:tblCellMar>
            <w:top w:w="0" w:type="dxa"/>
            <w:left w:w="0" w:type="dxa"/>
            <w:bottom w:w="0" w:type="dxa"/>
            <w:right w:w="0" w:type="dxa"/>
          </w:tblCellMar>
        </w:tblPrEx>
        <w:trPr>
          <w:trHeight w:val="856"/>
          <w:jc w:val="center"/>
        </w:trPr>
        <w:tc>
          <w:tcPr>
            <w:tcW w:w="225" w:type="pct"/>
            <w:gridSpan w:val="2"/>
            <w:tcBorders>
              <w:top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4</w:t>
            </w:r>
          </w:p>
        </w:tc>
        <w:tc>
          <w:tcPr>
            <w:tcW w:w="831" w:type="pct"/>
            <w:gridSpan w:val="2"/>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手动盘车装置</w:t>
            </w:r>
          </w:p>
        </w:tc>
        <w:tc>
          <w:tcPr>
            <w:tcW w:w="2818"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4"/>
              </w:numPr>
              <w:tabs>
                <w:tab w:val="left" w:pos="349"/>
              </w:tabs>
              <w:spacing w:line="360" w:lineRule="auto"/>
              <w:ind w:left="0" w:firstLine="0"/>
              <w:jc w:val="both"/>
              <w:rPr>
                <w:rFonts w:hint="eastAsia"/>
                <w:sz w:val="20"/>
                <w:szCs w:val="20"/>
              </w:rPr>
            </w:pPr>
            <w:r>
              <w:rPr>
                <w:sz w:val="20"/>
                <w:szCs w:val="20"/>
              </w:rPr>
              <w:t>手动盘车装置齐全,标识明确，操作说明清晰详细</w:t>
            </w:r>
          </w:p>
          <w:p>
            <w:pPr>
              <w:pStyle w:val="TableParagraph"/>
              <w:numPr>
                <w:ilvl w:val="0"/>
                <w:numId w:val="44"/>
              </w:numPr>
              <w:tabs>
                <w:tab w:val="left" w:pos="349"/>
              </w:tabs>
              <w:spacing w:line="360" w:lineRule="auto"/>
              <w:ind w:left="0" w:firstLine="0"/>
              <w:jc w:val="both"/>
              <w:rPr>
                <w:rFonts w:hint="eastAsia"/>
                <w:sz w:val="20"/>
                <w:szCs w:val="20"/>
              </w:rPr>
            </w:pPr>
            <w:r>
              <w:rPr>
                <w:sz w:val="20"/>
                <w:szCs w:val="20"/>
              </w:rPr>
              <w:t>制动器松闸板手应挂在制动器附近容易接近的墙上</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1 个月</w:t>
            </w:r>
          </w:p>
        </w:tc>
      </w:tr>
      <w:tr>
        <w:tblPrEx>
          <w:tblW w:w="5000" w:type="pct"/>
          <w:jc w:val="center"/>
          <w:tblCellMar>
            <w:top w:w="0" w:type="dxa"/>
            <w:left w:w="0" w:type="dxa"/>
            <w:bottom w:w="0" w:type="dxa"/>
            <w:right w:w="0" w:type="dxa"/>
          </w:tblCellMar>
        </w:tblPrEx>
        <w:trPr>
          <w:trHeight w:val="543"/>
          <w:jc w:val="center"/>
        </w:trPr>
        <w:tc>
          <w:tcPr>
            <w:tcW w:w="225" w:type="pct"/>
            <w:gridSpan w:val="2"/>
            <w:vMerge w:val="restart"/>
            <w:tcBorders>
              <w:top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5</w:t>
            </w:r>
          </w:p>
        </w:tc>
        <w:tc>
          <w:tcPr>
            <w:tcW w:w="831" w:type="pct"/>
            <w:gridSpan w:val="2"/>
            <w:vMerge w:val="restart"/>
            <w:tcBorders>
              <w:top w:val="single" w:sz="4" w:space="0" w:color="000000"/>
              <w:left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配电盘控制柜屏</w:t>
            </w:r>
          </w:p>
        </w:tc>
        <w:tc>
          <w:tcPr>
            <w:tcW w:w="2818"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4"/>
              </w:numPr>
              <w:tabs>
                <w:tab w:val="left" w:pos="349"/>
              </w:tabs>
              <w:spacing w:line="360" w:lineRule="auto"/>
              <w:ind w:left="0" w:firstLine="0"/>
              <w:jc w:val="both"/>
              <w:rPr>
                <w:rFonts w:hint="eastAsia"/>
                <w:sz w:val="20"/>
                <w:szCs w:val="20"/>
              </w:rPr>
            </w:pPr>
            <w:r>
              <w:rPr>
                <w:sz w:val="20"/>
                <w:szCs w:val="20"/>
              </w:rPr>
              <w:t>各开关装置及保险标识明确、工作可靠无异常</w:t>
            </w:r>
          </w:p>
          <w:p>
            <w:pPr>
              <w:pStyle w:val="TableParagraph"/>
              <w:numPr>
                <w:ilvl w:val="0"/>
                <w:numId w:val="44"/>
              </w:numPr>
              <w:tabs>
                <w:tab w:val="left" w:pos="349"/>
              </w:tabs>
              <w:spacing w:line="360" w:lineRule="auto"/>
              <w:ind w:left="0" w:firstLine="0"/>
              <w:jc w:val="both"/>
              <w:rPr>
                <w:rFonts w:hint="eastAsia"/>
                <w:sz w:val="20"/>
                <w:szCs w:val="20"/>
              </w:rPr>
            </w:pPr>
            <w:r>
              <w:rPr>
                <w:sz w:val="20"/>
                <w:szCs w:val="20"/>
              </w:rPr>
              <w:t>接触器、继电器等电器元件固定良好、工作可靠无异常</w:t>
            </w:r>
          </w:p>
          <w:p>
            <w:pPr>
              <w:pStyle w:val="TableParagraph"/>
              <w:numPr>
                <w:ilvl w:val="0"/>
                <w:numId w:val="44"/>
              </w:numPr>
              <w:tabs>
                <w:tab w:val="left" w:pos="349"/>
              </w:tabs>
              <w:spacing w:line="360" w:lineRule="auto"/>
              <w:ind w:left="0" w:firstLine="0"/>
              <w:jc w:val="both"/>
              <w:rPr>
                <w:rFonts w:hint="eastAsia"/>
                <w:sz w:val="20"/>
                <w:szCs w:val="20"/>
              </w:rPr>
            </w:pPr>
            <w:r>
              <w:rPr>
                <w:sz w:val="20"/>
                <w:szCs w:val="20"/>
              </w:rPr>
              <w:t>电子板插件固定要良好，表面无积尘，无异味</w:t>
            </w:r>
          </w:p>
          <w:p>
            <w:pPr>
              <w:pStyle w:val="TableParagraph"/>
              <w:numPr>
                <w:ilvl w:val="0"/>
                <w:numId w:val="44"/>
              </w:numPr>
              <w:tabs>
                <w:tab w:val="left" w:pos="349"/>
              </w:tabs>
              <w:spacing w:line="360" w:lineRule="auto"/>
              <w:ind w:left="0" w:firstLine="0"/>
              <w:jc w:val="both"/>
              <w:rPr>
                <w:rFonts w:hint="eastAsia"/>
                <w:sz w:val="20"/>
                <w:szCs w:val="20"/>
              </w:rPr>
            </w:pPr>
            <w:r>
              <w:rPr>
                <w:sz w:val="20"/>
                <w:szCs w:val="20"/>
              </w:rPr>
              <w:t>门锁及安全回路无短接线</w:t>
            </w:r>
          </w:p>
          <w:p>
            <w:pPr>
              <w:pStyle w:val="TableParagraph"/>
              <w:numPr>
                <w:ilvl w:val="0"/>
                <w:numId w:val="44"/>
              </w:numPr>
              <w:tabs>
                <w:tab w:val="left" w:pos="265"/>
              </w:tabs>
              <w:spacing w:line="360" w:lineRule="auto"/>
              <w:ind w:left="0" w:firstLine="0"/>
              <w:jc w:val="both"/>
              <w:rPr>
                <w:rFonts w:hint="eastAsia"/>
                <w:sz w:val="20"/>
                <w:szCs w:val="20"/>
              </w:rPr>
            </w:pPr>
            <w:r>
              <w:rPr>
                <w:sz w:val="20"/>
                <w:szCs w:val="20"/>
              </w:rPr>
              <w:t>设置有故障检测功能的微机电梯,需检查故障记录并做相应处理</w:t>
            </w:r>
          </w:p>
          <w:p>
            <w:pPr>
              <w:pStyle w:val="TableParagraph"/>
              <w:numPr>
                <w:ilvl w:val="0"/>
                <w:numId w:val="44"/>
              </w:numPr>
              <w:tabs>
                <w:tab w:val="left" w:pos="349"/>
              </w:tabs>
              <w:spacing w:line="360" w:lineRule="auto"/>
              <w:ind w:left="0" w:firstLine="0"/>
              <w:jc w:val="both"/>
              <w:rPr>
                <w:rFonts w:hint="eastAsia"/>
                <w:sz w:val="20"/>
                <w:szCs w:val="20"/>
              </w:rPr>
            </w:pPr>
            <w:r>
              <w:rPr>
                <w:sz w:val="20"/>
                <w:szCs w:val="20"/>
              </w:rPr>
              <w:t>布线整齐，线槽盖板齐全、严密，接地良好</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CellMar>
            <w:top w:w="0" w:type="dxa"/>
            <w:left w:w="0" w:type="dxa"/>
            <w:bottom w:w="0" w:type="dxa"/>
            <w:right w:w="0" w:type="dxa"/>
          </w:tblCellMar>
        </w:tblPrEx>
        <w:trPr>
          <w:trHeight w:val="855"/>
          <w:jc w:val="center"/>
        </w:trPr>
        <w:tc>
          <w:tcPr>
            <w:tcW w:w="225" w:type="pct"/>
            <w:gridSpan w:val="2"/>
            <w:vMerge/>
            <w:tcBorders>
              <w:right w:val="single" w:sz="4" w:space="0" w:color="000000"/>
            </w:tcBorders>
            <w:vAlign w:val="center"/>
          </w:tcPr>
          <w:p>
            <w:pPr>
              <w:spacing w:line="360" w:lineRule="auto"/>
              <w:rPr>
                <w:rFonts w:ascii="宋体" w:hAnsi="宋体" w:hint="eastAsia"/>
                <w:sz w:val="20"/>
                <w:szCs w:val="20"/>
              </w:rPr>
            </w:pPr>
          </w:p>
        </w:tc>
        <w:tc>
          <w:tcPr>
            <w:tcW w:w="831" w:type="pct"/>
            <w:gridSpan w:val="2"/>
            <w:vMerge/>
            <w:tcBorders>
              <w:left w:val="single" w:sz="4" w:space="0" w:color="000000"/>
              <w:right w:val="single" w:sz="4" w:space="0" w:color="000000"/>
            </w:tcBorders>
            <w:vAlign w:val="center"/>
          </w:tcPr>
          <w:p>
            <w:pPr>
              <w:spacing w:line="360" w:lineRule="auto"/>
              <w:rPr>
                <w:rFonts w:ascii="宋体" w:hAnsi="宋体" w:hint="eastAsia"/>
                <w:sz w:val="20"/>
                <w:szCs w:val="20"/>
              </w:rPr>
            </w:pPr>
          </w:p>
        </w:tc>
        <w:tc>
          <w:tcPr>
            <w:tcW w:w="2818"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5"/>
              </w:numPr>
              <w:tabs>
                <w:tab w:val="left" w:pos="349"/>
              </w:tabs>
              <w:spacing w:line="360" w:lineRule="auto"/>
              <w:ind w:left="0" w:firstLine="0"/>
              <w:jc w:val="both"/>
              <w:rPr>
                <w:rFonts w:hint="eastAsia"/>
                <w:sz w:val="20"/>
                <w:szCs w:val="20"/>
              </w:rPr>
            </w:pPr>
            <w:r>
              <w:rPr>
                <w:sz w:val="20"/>
                <w:szCs w:val="20"/>
              </w:rPr>
              <w:t>各接线端子标志编号清晰、并紧固，无氧化及接触不良</w:t>
            </w:r>
          </w:p>
          <w:p>
            <w:pPr>
              <w:pStyle w:val="TableParagraph"/>
              <w:numPr>
                <w:ilvl w:val="0"/>
                <w:numId w:val="45"/>
              </w:numPr>
              <w:tabs>
                <w:tab w:val="left" w:pos="349"/>
              </w:tabs>
              <w:spacing w:line="360" w:lineRule="auto"/>
              <w:ind w:left="0" w:firstLine="0"/>
              <w:jc w:val="both"/>
              <w:rPr>
                <w:rFonts w:hint="eastAsia"/>
                <w:sz w:val="20"/>
                <w:szCs w:val="20"/>
              </w:rPr>
            </w:pPr>
            <w:r>
              <w:rPr>
                <w:sz w:val="20"/>
                <w:szCs w:val="20"/>
              </w:rPr>
              <w:t>清洁卫生良好</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1 个月</w:t>
            </w:r>
          </w:p>
        </w:tc>
      </w:tr>
      <w:tr>
        <w:tblPrEx>
          <w:tblW w:w="5000" w:type="pct"/>
          <w:jc w:val="center"/>
          <w:tblCellMar>
            <w:top w:w="0" w:type="dxa"/>
            <w:left w:w="0" w:type="dxa"/>
            <w:bottom w:w="0" w:type="dxa"/>
            <w:right w:w="0" w:type="dxa"/>
          </w:tblCellMar>
        </w:tblPrEx>
        <w:trPr>
          <w:trHeight w:val="854"/>
          <w:jc w:val="center"/>
        </w:trPr>
        <w:tc>
          <w:tcPr>
            <w:tcW w:w="225" w:type="pct"/>
            <w:gridSpan w:val="2"/>
            <w:vMerge/>
            <w:tcBorders>
              <w:right w:val="single" w:sz="4" w:space="0" w:color="000000"/>
            </w:tcBorders>
            <w:vAlign w:val="center"/>
          </w:tcPr>
          <w:p>
            <w:pPr>
              <w:spacing w:line="360" w:lineRule="auto"/>
              <w:rPr>
                <w:rFonts w:ascii="宋体" w:hAnsi="宋体" w:hint="eastAsia"/>
                <w:sz w:val="20"/>
                <w:szCs w:val="20"/>
              </w:rPr>
            </w:pPr>
          </w:p>
        </w:tc>
        <w:tc>
          <w:tcPr>
            <w:tcW w:w="831" w:type="pct"/>
            <w:gridSpan w:val="2"/>
            <w:vMerge/>
            <w:tcBorders>
              <w:left w:val="single" w:sz="4" w:space="0" w:color="000000"/>
              <w:right w:val="single" w:sz="4" w:space="0" w:color="000000"/>
            </w:tcBorders>
            <w:vAlign w:val="center"/>
          </w:tcPr>
          <w:p>
            <w:pPr>
              <w:spacing w:line="360" w:lineRule="auto"/>
              <w:rPr>
                <w:rFonts w:ascii="宋体" w:hAnsi="宋体" w:hint="eastAsia"/>
                <w:sz w:val="20"/>
                <w:szCs w:val="20"/>
              </w:rPr>
            </w:pPr>
          </w:p>
        </w:tc>
        <w:tc>
          <w:tcPr>
            <w:tcW w:w="2818"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6"/>
              </w:numPr>
              <w:tabs>
                <w:tab w:val="left" w:pos="349"/>
              </w:tabs>
              <w:spacing w:line="360" w:lineRule="auto"/>
              <w:ind w:left="0" w:firstLine="0"/>
              <w:jc w:val="both"/>
              <w:rPr>
                <w:rFonts w:hint="eastAsia"/>
                <w:sz w:val="20"/>
                <w:szCs w:val="20"/>
              </w:rPr>
            </w:pPr>
            <w:r>
              <w:rPr>
                <w:sz w:val="20"/>
                <w:szCs w:val="20"/>
              </w:rPr>
              <w:t>各电气部件的工作状态及检测点的工作参数符合产品说明要求</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3 个月</w:t>
            </w:r>
          </w:p>
        </w:tc>
      </w:tr>
      <w:tr>
        <w:tblPrEx>
          <w:tblW w:w="5000" w:type="pct"/>
          <w:jc w:val="center"/>
          <w:tblCellMar>
            <w:top w:w="0" w:type="dxa"/>
            <w:left w:w="0" w:type="dxa"/>
            <w:bottom w:w="0" w:type="dxa"/>
            <w:right w:w="0" w:type="dxa"/>
          </w:tblCellMar>
        </w:tblPrEx>
        <w:trPr>
          <w:trHeight w:val="855"/>
          <w:jc w:val="center"/>
        </w:trPr>
        <w:tc>
          <w:tcPr>
            <w:tcW w:w="225" w:type="pct"/>
            <w:gridSpan w:val="2"/>
            <w:vMerge/>
            <w:tcBorders>
              <w:bottom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831" w:type="pct"/>
            <w:gridSpan w:val="2"/>
            <w:vMerge/>
            <w:tcBorders>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2818"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7"/>
              </w:numPr>
              <w:tabs>
                <w:tab w:val="left" w:pos="349"/>
              </w:tabs>
              <w:spacing w:line="360" w:lineRule="auto"/>
              <w:ind w:left="0" w:firstLine="0"/>
              <w:jc w:val="both"/>
              <w:rPr>
                <w:rFonts w:hint="eastAsia"/>
                <w:sz w:val="20"/>
                <w:szCs w:val="20"/>
              </w:rPr>
            </w:pPr>
            <w:r>
              <w:rPr>
                <w:sz w:val="20"/>
                <w:szCs w:val="20"/>
              </w:rPr>
              <w:t>断错相保护功能正常</w:t>
            </w:r>
          </w:p>
          <w:p>
            <w:pPr>
              <w:pStyle w:val="TableParagraph"/>
              <w:numPr>
                <w:ilvl w:val="0"/>
                <w:numId w:val="47"/>
              </w:numPr>
              <w:tabs>
                <w:tab w:val="left" w:pos="349"/>
              </w:tabs>
              <w:spacing w:line="360" w:lineRule="auto"/>
              <w:ind w:left="0" w:firstLine="0"/>
              <w:jc w:val="both"/>
              <w:rPr>
                <w:rFonts w:hint="eastAsia"/>
                <w:sz w:val="20"/>
                <w:szCs w:val="20"/>
              </w:rPr>
            </w:pPr>
            <w:r>
              <w:rPr>
                <w:sz w:val="20"/>
                <w:szCs w:val="20"/>
              </w:rPr>
              <w:t>动力和控制回路的电气绝缘符合标准要求</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12 个月</w:t>
            </w:r>
          </w:p>
        </w:tc>
      </w:tr>
      <w:tr>
        <w:tblPrEx>
          <w:tblW w:w="5000" w:type="pct"/>
          <w:jc w:val="center"/>
          <w:tblCellMar>
            <w:top w:w="0" w:type="dxa"/>
            <w:left w:w="0" w:type="dxa"/>
            <w:bottom w:w="0" w:type="dxa"/>
            <w:right w:w="0" w:type="dxa"/>
          </w:tblCellMar>
        </w:tblPrEx>
        <w:trPr>
          <w:trHeight w:val="942"/>
          <w:jc w:val="center"/>
        </w:trPr>
        <w:tc>
          <w:tcPr>
            <w:tcW w:w="225" w:type="pct"/>
            <w:gridSpan w:val="2"/>
            <w:vMerge w:val="restart"/>
            <w:tcBorders>
              <w:top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6</w:t>
            </w:r>
          </w:p>
        </w:tc>
        <w:tc>
          <w:tcPr>
            <w:tcW w:w="301" w:type="pct"/>
            <w:vMerge w:val="restar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曳引机</w:t>
            </w:r>
          </w:p>
        </w:tc>
        <w:tc>
          <w:tcPr>
            <w:tcW w:w="530" w:type="pct"/>
            <w:vMerge w:val="restar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减速箱</w:t>
            </w:r>
          </w:p>
        </w:tc>
        <w:tc>
          <w:tcPr>
            <w:tcW w:w="2818"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8"/>
              </w:numPr>
              <w:tabs>
                <w:tab w:val="left" w:pos="349"/>
              </w:tabs>
              <w:spacing w:line="360" w:lineRule="auto"/>
              <w:ind w:left="0" w:firstLine="0"/>
              <w:jc w:val="both"/>
              <w:rPr>
                <w:rFonts w:hint="eastAsia"/>
                <w:sz w:val="20"/>
                <w:szCs w:val="20"/>
              </w:rPr>
            </w:pPr>
            <w:r>
              <w:rPr>
                <w:sz w:val="20"/>
                <w:szCs w:val="20"/>
              </w:rPr>
              <w:t>表面无积尘及油污，油漆无剥落；箱体密封可靠，漏油无异常</w:t>
            </w:r>
          </w:p>
          <w:p>
            <w:pPr>
              <w:pStyle w:val="TableParagraph"/>
              <w:numPr>
                <w:ilvl w:val="0"/>
                <w:numId w:val="48"/>
              </w:numPr>
              <w:tabs>
                <w:tab w:val="left" w:pos="349"/>
              </w:tabs>
              <w:spacing w:line="360" w:lineRule="auto"/>
              <w:ind w:left="0" w:firstLine="0"/>
              <w:jc w:val="both"/>
              <w:rPr>
                <w:rFonts w:hint="eastAsia"/>
                <w:sz w:val="20"/>
                <w:szCs w:val="20"/>
              </w:rPr>
            </w:pPr>
            <w:r>
              <w:rPr>
                <w:sz w:val="20"/>
                <w:szCs w:val="20"/>
              </w:rPr>
              <w:t>运转时应无异常响声及振动</w:t>
            </w:r>
          </w:p>
          <w:p>
            <w:pPr>
              <w:pStyle w:val="TableParagraph"/>
              <w:numPr>
                <w:ilvl w:val="0"/>
                <w:numId w:val="48"/>
              </w:numPr>
              <w:tabs>
                <w:tab w:val="left" w:pos="349"/>
              </w:tabs>
              <w:spacing w:line="360" w:lineRule="auto"/>
              <w:ind w:left="0" w:firstLine="0"/>
              <w:jc w:val="both"/>
              <w:rPr>
                <w:rFonts w:hint="eastAsia"/>
                <w:sz w:val="20"/>
                <w:szCs w:val="20"/>
              </w:rPr>
            </w:pPr>
            <w:r>
              <w:rPr>
                <w:sz w:val="20"/>
                <w:szCs w:val="20"/>
              </w:rPr>
              <w:t>传动部件啮合状态良好，无异常温升</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CellMar>
            <w:top w:w="0" w:type="dxa"/>
            <w:left w:w="0" w:type="dxa"/>
            <w:bottom w:w="0" w:type="dxa"/>
            <w:right w:w="0" w:type="dxa"/>
          </w:tblCellMar>
        </w:tblPrEx>
        <w:trPr>
          <w:trHeight w:val="566"/>
          <w:jc w:val="center"/>
        </w:trPr>
        <w:tc>
          <w:tcPr>
            <w:tcW w:w="225" w:type="pct"/>
            <w:gridSpan w:val="2"/>
            <w:vMerge/>
            <w:tcBorders>
              <w:right w:val="single" w:sz="4" w:space="0" w:color="000000"/>
            </w:tcBorders>
            <w:vAlign w:val="center"/>
          </w:tcPr>
          <w:p>
            <w:pPr>
              <w:spacing w:line="360" w:lineRule="auto"/>
              <w:rPr>
                <w:rFonts w:ascii="宋体" w:hAnsi="宋体" w:hint="eastAsia"/>
                <w:sz w:val="20"/>
                <w:szCs w:val="20"/>
              </w:rPr>
            </w:pPr>
          </w:p>
        </w:tc>
        <w:tc>
          <w:tcPr>
            <w:tcW w:w="301" w:type="pct"/>
            <w:vMerge/>
            <w:tcBorders>
              <w:left w:val="single" w:sz="4" w:space="0" w:color="000000"/>
              <w:right w:val="single" w:sz="4" w:space="0" w:color="000000"/>
            </w:tcBorders>
            <w:vAlign w:val="center"/>
          </w:tcPr>
          <w:p>
            <w:pPr>
              <w:spacing w:line="360" w:lineRule="auto"/>
              <w:jc w:val="center"/>
              <w:rPr>
                <w:rFonts w:ascii="宋体" w:hAnsi="宋体" w:hint="eastAsia"/>
                <w:sz w:val="20"/>
                <w:szCs w:val="20"/>
              </w:rPr>
            </w:pPr>
          </w:p>
        </w:tc>
        <w:tc>
          <w:tcPr>
            <w:tcW w:w="530" w:type="pct"/>
            <w:vMerge/>
            <w:tcBorders>
              <w:top w:val="nil"/>
              <w:left w:val="single" w:sz="4" w:space="0" w:color="000000"/>
              <w:bottom w:val="single" w:sz="4" w:space="0" w:color="000000"/>
              <w:right w:val="single" w:sz="4" w:space="0" w:color="000000"/>
            </w:tcBorders>
            <w:vAlign w:val="center"/>
          </w:tcPr>
          <w:p>
            <w:pPr>
              <w:spacing w:line="360" w:lineRule="auto"/>
              <w:jc w:val="center"/>
              <w:rPr>
                <w:rFonts w:ascii="宋体" w:hAnsi="宋体" w:hint="eastAsia"/>
                <w:sz w:val="20"/>
                <w:szCs w:val="20"/>
              </w:rPr>
            </w:pPr>
          </w:p>
        </w:tc>
        <w:tc>
          <w:tcPr>
            <w:tcW w:w="2818"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4"/>
              </w:numPr>
              <w:tabs>
                <w:tab w:val="left" w:pos="349"/>
              </w:tabs>
              <w:spacing w:line="360" w:lineRule="auto"/>
              <w:ind w:left="0" w:firstLine="0"/>
              <w:jc w:val="both"/>
              <w:rPr>
                <w:rFonts w:hint="eastAsia"/>
                <w:sz w:val="20"/>
                <w:szCs w:val="20"/>
              </w:rPr>
            </w:pPr>
            <w:r>
              <w:rPr>
                <w:sz w:val="20"/>
                <w:szCs w:val="20"/>
              </w:rPr>
              <w:t>油位正常，无杂质，按厂家要求定期更换</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1 个月</w:t>
            </w:r>
          </w:p>
        </w:tc>
      </w:tr>
      <w:tr>
        <w:tblPrEx>
          <w:tblW w:w="5000" w:type="pct"/>
          <w:jc w:val="center"/>
          <w:tblCellMar>
            <w:top w:w="0" w:type="dxa"/>
            <w:left w:w="0" w:type="dxa"/>
            <w:bottom w:w="0" w:type="dxa"/>
            <w:right w:w="0" w:type="dxa"/>
          </w:tblCellMar>
        </w:tblPrEx>
        <w:trPr>
          <w:trHeight w:val="566"/>
          <w:jc w:val="center"/>
        </w:trPr>
        <w:tc>
          <w:tcPr>
            <w:tcW w:w="225" w:type="pct"/>
            <w:gridSpan w:val="2"/>
            <w:vMerge/>
            <w:tcBorders>
              <w:right w:val="single" w:sz="4" w:space="0" w:color="000000"/>
            </w:tcBorders>
            <w:vAlign w:val="center"/>
          </w:tcPr>
          <w:p>
            <w:pPr>
              <w:spacing w:line="360" w:lineRule="auto"/>
              <w:rPr>
                <w:rFonts w:ascii="宋体" w:hAnsi="宋体" w:hint="eastAsia"/>
                <w:sz w:val="20"/>
                <w:szCs w:val="20"/>
              </w:rPr>
            </w:pPr>
          </w:p>
        </w:tc>
        <w:tc>
          <w:tcPr>
            <w:tcW w:w="301" w:type="pct"/>
            <w:vMerge/>
            <w:tcBorders>
              <w:left w:val="single" w:sz="4" w:space="0" w:color="000000"/>
              <w:right w:val="single" w:sz="4" w:space="0" w:color="000000"/>
            </w:tcBorders>
            <w:vAlign w:val="center"/>
          </w:tcPr>
          <w:p>
            <w:pPr>
              <w:spacing w:line="360" w:lineRule="auto"/>
              <w:jc w:val="center"/>
              <w:rPr>
                <w:rFonts w:ascii="宋体" w:hAnsi="宋体" w:hint="eastAsia"/>
                <w:sz w:val="20"/>
                <w:szCs w:val="20"/>
              </w:rPr>
            </w:pPr>
          </w:p>
        </w:tc>
        <w:tc>
          <w:tcPr>
            <w:tcW w:w="530" w:type="pct"/>
            <w:vMerge w:val="restart"/>
            <w:tcBorders>
              <w:top w:val="nil"/>
              <w:left w:val="single" w:sz="4" w:space="0" w:color="000000"/>
              <w:right w:val="single" w:sz="4" w:space="0" w:color="000000"/>
            </w:tcBorders>
            <w:vAlign w:val="center"/>
          </w:tcPr>
          <w:p>
            <w:pPr>
              <w:spacing w:line="360" w:lineRule="auto"/>
              <w:jc w:val="center"/>
              <w:rPr>
                <w:rFonts w:ascii="宋体" w:hAnsi="宋体" w:hint="eastAsia"/>
                <w:sz w:val="20"/>
                <w:szCs w:val="20"/>
              </w:rPr>
            </w:pPr>
            <w:r>
              <w:rPr>
                <w:rFonts w:hint="eastAsia"/>
                <w:sz w:val="20"/>
                <w:szCs w:val="20"/>
              </w:rPr>
              <w:t>曳引轮</w:t>
            </w:r>
          </w:p>
        </w:tc>
        <w:tc>
          <w:tcPr>
            <w:tcW w:w="2818" w:type="pct"/>
            <w:vMerge w:val="restart"/>
            <w:tcBorders>
              <w:top w:val="single" w:sz="4" w:space="0" w:color="000000"/>
              <w:left w:val="single" w:sz="4" w:space="0" w:color="000000"/>
              <w:right w:val="single" w:sz="4" w:space="0" w:color="000000"/>
            </w:tcBorders>
            <w:vAlign w:val="center"/>
          </w:tcPr>
          <w:p>
            <w:pPr>
              <w:pStyle w:val="TableParagraph"/>
              <w:numPr>
                <w:ilvl w:val="0"/>
                <w:numId w:val="49"/>
              </w:numPr>
              <w:tabs>
                <w:tab w:val="left" w:pos="349"/>
              </w:tabs>
              <w:spacing w:line="360" w:lineRule="auto"/>
              <w:ind w:left="0" w:firstLine="0"/>
              <w:jc w:val="both"/>
              <w:rPr>
                <w:rFonts w:hint="eastAsia"/>
                <w:sz w:val="20"/>
                <w:szCs w:val="20"/>
              </w:rPr>
            </w:pPr>
            <w:r>
              <w:rPr>
                <w:sz w:val="20"/>
                <w:szCs w:val="20"/>
              </w:rPr>
              <w:t>曳引轮绳槽无严重油垢，磨损无异常</w:t>
            </w:r>
            <w:r>
              <w:rPr>
                <w:rFonts w:hint="eastAsia"/>
                <w:sz w:val="20"/>
                <w:szCs w:val="20"/>
              </w:rPr>
              <w:t>；</w:t>
            </w:r>
          </w:p>
          <w:p>
            <w:pPr>
              <w:pStyle w:val="TableParagraph"/>
              <w:numPr>
                <w:ilvl w:val="0"/>
                <w:numId w:val="49"/>
              </w:numPr>
              <w:tabs>
                <w:tab w:val="left" w:pos="349"/>
              </w:tabs>
              <w:spacing w:line="360" w:lineRule="auto"/>
              <w:ind w:left="0" w:firstLine="0"/>
              <w:jc w:val="both"/>
              <w:rPr>
                <w:rFonts w:hint="eastAsia"/>
                <w:sz w:val="20"/>
                <w:szCs w:val="20"/>
              </w:rPr>
            </w:pPr>
            <w:r>
              <w:rPr>
                <w:sz w:val="20"/>
                <w:szCs w:val="20"/>
              </w:rPr>
              <w:t>正常运行时曳引轮与钢丝绳之间无严重滑移现象</w:t>
            </w:r>
            <w:r>
              <w:rPr>
                <w:rFonts w:hint="eastAsia"/>
                <w:sz w:val="20"/>
                <w:szCs w:val="20"/>
              </w:rPr>
              <w:t>；</w:t>
            </w:r>
          </w:p>
          <w:p>
            <w:pPr>
              <w:pStyle w:val="TableParagraph"/>
              <w:numPr>
                <w:ilvl w:val="0"/>
                <w:numId w:val="49"/>
              </w:numPr>
              <w:tabs>
                <w:tab w:val="left" w:pos="349"/>
              </w:tabs>
              <w:spacing w:line="360" w:lineRule="auto"/>
              <w:ind w:left="0" w:firstLine="0"/>
              <w:jc w:val="both"/>
              <w:rPr>
                <w:rFonts w:hint="eastAsia"/>
                <w:sz w:val="20"/>
                <w:szCs w:val="20"/>
              </w:rPr>
            </w:pPr>
            <w:r>
              <w:rPr>
                <w:sz w:val="20"/>
                <w:szCs w:val="20"/>
              </w:rPr>
              <w:t>曳引轮线槽磨损严重时，需满足曳引条件要求，并确认更换或监控使用</w:t>
            </w:r>
            <w:r>
              <w:rPr>
                <w:rFonts w:hint="eastAsia"/>
                <w:sz w:val="20"/>
                <w:szCs w:val="20"/>
              </w:rPr>
              <w:t>；</w:t>
            </w:r>
          </w:p>
          <w:p>
            <w:pPr>
              <w:pStyle w:val="TableParagraph"/>
              <w:numPr>
                <w:ilvl w:val="0"/>
                <w:numId w:val="49"/>
              </w:numPr>
              <w:tabs>
                <w:tab w:val="left" w:pos="349"/>
              </w:tabs>
              <w:spacing w:line="360" w:lineRule="auto"/>
              <w:ind w:left="0" w:firstLine="0"/>
              <w:jc w:val="both"/>
              <w:rPr>
                <w:rFonts w:hint="eastAsia"/>
                <w:sz w:val="20"/>
                <w:szCs w:val="20"/>
              </w:rPr>
            </w:pPr>
            <w:r>
              <w:rPr>
                <w:sz w:val="20"/>
                <w:szCs w:val="20"/>
              </w:rPr>
              <w:t>所设置的防止机械伤害的安全装置固定可靠，警告标识清晰</w:t>
            </w:r>
            <w:r>
              <w:rPr>
                <w:rFonts w:hint="eastAsia"/>
                <w:sz w:val="20"/>
                <w:szCs w:val="20"/>
              </w:rPr>
              <w:t>；</w:t>
            </w:r>
          </w:p>
          <w:p>
            <w:pPr>
              <w:pStyle w:val="TableParagraph"/>
              <w:numPr>
                <w:ilvl w:val="0"/>
                <w:numId w:val="49"/>
              </w:numPr>
              <w:tabs>
                <w:tab w:val="left" w:pos="349"/>
              </w:tabs>
              <w:spacing w:line="360" w:lineRule="auto"/>
              <w:ind w:left="0" w:firstLine="0"/>
              <w:jc w:val="both"/>
              <w:rPr>
                <w:rFonts w:hint="eastAsia"/>
                <w:sz w:val="20"/>
                <w:szCs w:val="20"/>
              </w:rPr>
            </w:pPr>
            <w:r>
              <w:rPr>
                <w:sz w:val="20"/>
                <w:szCs w:val="20"/>
              </w:rPr>
              <w:t>所设置的防止钢丝绳脱离装置应稳固</w:t>
            </w:r>
            <w:r>
              <w:rPr>
                <w:rFonts w:hint="eastAsia"/>
                <w:sz w:val="20"/>
                <w:szCs w:val="20"/>
              </w:rPr>
              <w:t>；</w:t>
            </w:r>
          </w:p>
          <w:p>
            <w:pPr>
              <w:pStyle w:val="TableParagraph"/>
              <w:numPr>
                <w:ilvl w:val="0"/>
                <w:numId w:val="49"/>
              </w:numPr>
              <w:tabs>
                <w:tab w:val="left" w:pos="349"/>
              </w:tabs>
              <w:spacing w:line="360" w:lineRule="auto"/>
              <w:ind w:left="0" w:firstLine="0"/>
              <w:jc w:val="both"/>
              <w:rPr>
                <w:rFonts w:hint="eastAsia"/>
                <w:sz w:val="20"/>
                <w:szCs w:val="20"/>
              </w:rPr>
            </w:pPr>
            <w:r>
              <w:rPr>
                <w:sz w:val="20"/>
                <w:szCs w:val="20"/>
              </w:rPr>
              <w:t>曳引轮在各负荷状态下的垂直度偏差不大于 2mm</w:t>
            </w:r>
            <w:r>
              <w:rPr>
                <w:rFonts w:hint="eastAsia"/>
                <w:sz w:val="20"/>
                <w:szCs w:val="20"/>
              </w:rPr>
              <w:t>。</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1 个月</w:t>
            </w:r>
          </w:p>
        </w:tc>
      </w:tr>
      <w:tr>
        <w:tblPrEx>
          <w:tblW w:w="5000" w:type="pct"/>
          <w:jc w:val="center"/>
          <w:tblCellMar>
            <w:top w:w="0" w:type="dxa"/>
            <w:left w:w="0" w:type="dxa"/>
            <w:bottom w:w="0" w:type="dxa"/>
            <w:right w:w="0" w:type="dxa"/>
          </w:tblCellMar>
        </w:tblPrEx>
        <w:trPr>
          <w:trHeight w:val="566"/>
          <w:jc w:val="center"/>
        </w:trPr>
        <w:tc>
          <w:tcPr>
            <w:tcW w:w="225" w:type="pct"/>
            <w:gridSpan w:val="2"/>
            <w:vMerge/>
            <w:tcBorders>
              <w:right w:val="single" w:sz="4" w:space="0" w:color="000000"/>
            </w:tcBorders>
            <w:vAlign w:val="center"/>
          </w:tcPr>
          <w:p>
            <w:pPr>
              <w:spacing w:line="360" w:lineRule="auto"/>
              <w:rPr>
                <w:rFonts w:ascii="宋体" w:hAnsi="宋体" w:hint="eastAsia"/>
                <w:sz w:val="20"/>
                <w:szCs w:val="20"/>
              </w:rPr>
            </w:pPr>
          </w:p>
        </w:tc>
        <w:tc>
          <w:tcPr>
            <w:tcW w:w="301" w:type="pct"/>
            <w:vMerge/>
            <w:tcBorders>
              <w:left w:val="single" w:sz="4" w:space="0" w:color="000000"/>
              <w:right w:val="single" w:sz="4" w:space="0" w:color="000000"/>
            </w:tcBorders>
            <w:vAlign w:val="center"/>
          </w:tcPr>
          <w:p>
            <w:pPr>
              <w:spacing w:line="360" w:lineRule="auto"/>
              <w:jc w:val="center"/>
              <w:rPr>
                <w:rFonts w:ascii="宋体" w:hAnsi="宋体" w:hint="eastAsia"/>
                <w:sz w:val="20"/>
                <w:szCs w:val="20"/>
              </w:rPr>
            </w:pPr>
          </w:p>
        </w:tc>
        <w:tc>
          <w:tcPr>
            <w:tcW w:w="530" w:type="pct"/>
            <w:vMerge/>
            <w:tcBorders>
              <w:left w:val="single" w:sz="4" w:space="0" w:color="000000"/>
              <w:bottom w:val="single" w:sz="4" w:space="0" w:color="000000"/>
              <w:right w:val="single" w:sz="4" w:space="0" w:color="000000"/>
            </w:tcBorders>
            <w:vAlign w:val="center"/>
          </w:tcPr>
          <w:p>
            <w:pPr>
              <w:spacing w:line="360" w:lineRule="auto"/>
              <w:jc w:val="center"/>
              <w:rPr>
                <w:rFonts w:ascii="宋体" w:hAnsi="宋体" w:hint="eastAsia"/>
                <w:sz w:val="20"/>
                <w:szCs w:val="20"/>
              </w:rPr>
            </w:pPr>
          </w:p>
        </w:tc>
        <w:tc>
          <w:tcPr>
            <w:tcW w:w="2818" w:type="pct"/>
            <w:vMerge/>
            <w:tcBorders>
              <w:left w:val="single" w:sz="4" w:space="0" w:color="000000"/>
              <w:bottom w:val="single" w:sz="4" w:space="0" w:color="000000"/>
              <w:right w:val="single" w:sz="4" w:space="0" w:color="000000"/>
            </w:tcBorders>
            <w:vAlign w:val="center"/>
          </w:tcPr>
          <w:p>
            <w:pPr>
              <w:pStyle w:val="TableParagraph"/>
              <w:numPr>
                <w:ilvl w:val="0"/>
                <w:numId w:val="49"/>
              </w:numPr>
              <w:tabs>
                <w:tab w:val="left" w:pos="349"/>
              </w:tabs>
              <w:spacing w:line="360" w:lineRule="auto"/>
              <w:ind w:left="0" w:firstLine="0"/>
              <w:jc w:val="both"/>
              <w:rPr>
                <w:rFonts w:hint="eastAsia"/>
                <w:sz w:val="20"/>
                <w:szCs w:val="20"/>
              </w:rPr>
            </w:pP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12 个月</w:t>
            </w:r>
          </w:p>
        </w:tc>
      </w:tr>
      <w:tr>
        <w:tblPrEx>
          <w:tblW w:w="5000" w:type="pct"/>
          <w:jc w:val="center"/>
          <w:tblCellMar>
            <w:top w:w="0" w:type="dxa"/>
            <w:left w:w="0" w:type="dxa"/>
            <w:bottom w:w="0" w:type="dxa"/>
            <w:right w:w="0" w:type="dxa"/>
          </w:tblCellMar>
        </w:tblPrEx>
        <w:trPr>
          <w:trHeight w:val="308"/>
          <w:jc w:val="center"/>
        </w:trPr>
        <w:tc>
          <w:tcPr>
            <w:tcW w:w="225" w:type="pct"/>
            <w:gridSpan w:val="2"/>
            <w:vMerge/>
            <w:tcBorders>
              <w:right w:val="single" w:sz="4" w:space="0" w:color="000000"/>
            </w:tcBorders>
            <w:vAlign w:val="center"/>
          </w:tcPr>
          <w:p>
            <w:pPr>
              <w:spacing w:line="360" w:lineRule="auto"/>
              <w:rPr>
                <w:rFonts w:ascii="宋体" w:hAnsi="宋体" w:hint="eastAsia"/>
                <w:sz w:val="20"/>
                <w:szCs w:val="20"/>
              </w:rPr>
            </w:pPr>
          </w:p>
        </w:tc>
        <w:tc>
          <w:tcPr>
            <w:tcW w:w="301" w:type="pct"/>
            <w:vMerge/>
            <w:tcBorders>
              <w:left w:val="single" w:sz="4" w:space="0" w:color="000000"/>
              <w:right w:val="single" w:sz="4" w:space="0" w:color="000000"/>
            </w:tcBorders>
            <w:vAlign w:val="center"/>
          </w:tcPr>
          <w:p>
            <w:pPr>
              <w:spacing w:line="360" w:lineRule="auto"/>
              <w:rPr>
                <w:rFonts w:ascii="宋体" w:hAnsi="宋体" w:hint="eastAsia"/>
                <w:sz w:val="20"/>
                <w:szCs w:val="20"/>
              </w:rPr>
            </w:pPr>
          </w:p>
        </w:tc>
        <w:tc>
          <w:tcPr>
            <w:tcW w:w="530" w:type="pct"/>
            <w:tcBorders>
              <w:top w:val="nil"/>
              <w:left w:val="single" w:sz="4" w:space="0" w:color="000000"/>
              <w:bottom w:val="single" w:sz="4" w:space="0" w:color="000000"/>
              <w:right w:val="single" w:sz="4" w:space="0" w:color="000000"/>
            </w:tcBorders>
            <w:vAlign w:val="center"/>
          </w:tcPr>
          <w:p>
            <w:pPr>
              <w:spacing w:line="360" w:lineRule="auto"/>
              <w:jc w:val="center"/>
              <w:rPr>
                <w:rFonts w:ascii="宋体" w:hAnsi="宋体" w:hint="eastAsia"/>
                <w:sz w:val="20"/>
                <w:szCs w:val="20"/>
              </w:rPr>
            </w:pPr>
            <w:r>
              <w:rPr>
                <w:rFonts w:hint="eastAsia"/>
                <w:sz w:val="20"/>
                <w:szCs w:val="20"/>
              </w:rPr>
              <w:t>轴承</w:t>
            </w:r>
          </w:p>
        </w:tc>
        <w:tc>
          <w:tcPr>
            <w:tcW w:w="2818" w:type="pct"/>
            <w:tcBorders>
              <w:top w:val="nil"/>
              <w:left w:val="single" w:sz="4" w:space="0" w:color="000000"/>
              <w:bottom w:val="single" w:sz="4" w:space="0" w:color="000000"/>
              <w:right w:val="single" w:sz="4" w:space="0" w:color="000000"/>
            </w:tcBorders>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应无异常发热、无异常声音</w:t>
            </w:r>
          </w:p>
          <w:p>
            <w:pPr>
              <w:widowControl/>
              <w:numPr>
                <w:ilvl w:val="0"/>
                <w:numId w:val="49"/>
              </w:numPr>
              <w:tabs>
                <w:tab w:val="left" w:pos="350"/>
              </w:tabs>
              <w:spacing w:line="360" w:lineRule="auto"/>
              <w:ind w:left="0" w:firstLine="0"/>
              <w:jc w:val="left"/>
              <w:rPr>
                <w:rFonts w:ascii="宋体" w:hAnsi="宋体" w:cs="宋体" w:hint="eastAsia"/>
                <w:sz w:val="20"/>
                <w:szCs w:val="20"/>
                <w:lang w:val="zh-CN" w:bidi="zh-CN"/>
              </w:rPr>
            </w:pPr>
            <w:r>
              <w:rPr>
                <w:rFonts w:ascii="宋体" w:hAnsi="宋体" w:cs="宋体"/>
                <w:sz w:val="20"/>
                <w:szCs w:val="20"/>
                <w:lang w:val="zh-CN" w:bidi="zh-CN"/>
              </w:rPr>
              <w:t>按润滑要求定期加注</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CellMar>
            <w:top w:w="0" w:type="dxa"/>
            <w:left w:w="0" w:type="dxa"/>
            <w:bottom w:w="0" w:type="dxa"/>
            <w:right w:w="0" w:type="dxa"/>
          </w:tblCellMar>
        </w:tblPrEx>
        <w:trPr>
          <w:trHeight w:val="577"/>
          <w:jc w:val="center"/>
        </w:trPr>
        <w:tc>
          <w:tcPr>
            <w:tcW w:w="225" w:type="pct"/>
            <w:gridSpan w:val="2"/>
            <w:vMerge/>
            <w:tcBorders>
              <w:right w:val="single" w:sz="4" w:space="0" w:color="000000"/>
            </w:tcBorders>
            <w:vAlign w:val="center"/>
          </w:tcPr>
          <w:p>
            <w:pPr>
              <w:spacing w:line="360" w:lineRule="auto"/>
              <w:rPr>
                <w:rFonts w:ascii="宋体" w:hAnsi="宋体" w:hint="eastAsia"/>
                <w:sz w:val="20"/>
                <w:szCs w:val="20"/>
              </w:rPr>
            </w:pPr>
          </w:p>
        </w:tc>
        <w:tc>
          <w:tcPr>
            <w:tcW w:w="301" w:type="pct"/>
            <w:vMerge/>
            <w:tcBorders>
              <w:left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530" w:type="pct"/>
            <w:vMerge w:val="restar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制动器</w:t>
            </w:r>
          </w:p>
        </w:tc>
        <w:tc>
          <w:tcPr>
            <w:tcW w:w="2818" w:type="pct"/>
            <w:vMerge w:val="restar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制动器动作灵活、各部件齐全并可靠固定、所设置的电气触点接触良好</w:t>
            </w:r>
            <w:r>
              <w:rPr>
                <w:rFonts w:hint="eastAsia"/>
                <w:sz w:val="20"/>
                <w:szCs w:val="20"/>
              </w:rPr>
              <w:t>；</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制动轮光洁、无异常划痕，运行时无异响</w:t>
            </w:r>
            <w:r>
              <w:rPr>
                <w:rFonts w:hint="eastAsia"/>
                <w:sz w:val="20"/>
                <w:szCs w:val="20"/>
              </w:rPr>
              <w:t>；</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制动器线圈表面无异常发热、电气接线可靠</w:t>
            </w:r>
            <w:r>
              <w:rPr>
                <w:rFonts w:hint="eastAsia"/>
                <w:sz w:val="20"/>
                <w:szCs w:val="20"/>
              </w:rPr>
              <w:t>；</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制动器机械机构各相关尺寸按产品标准要求调整正确</w:t>
            </w:r>
            <w:r>
              <w:rPr>
                <w:rFonts w:hint="eastAsia"/>
                <w:sz w:val="20"/>
                <w:szCs w:val="20"/>
              </w:rPr>
              <w:t>；</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制动器闸瓦工作可靠、磨损无异常，接近使用期限时应更换制动器解体清理、各运动部件选用规定润滑剂</w:t>
            </w:r>
            <w:r>
              <w:rPr>
                <w:rFonts w:hint="eastAsia"/>
                <w:sz w:val="20"/>
                <w:szCs w:val="20"/>
              </w:rPr>
              <w:t>；</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解体清理装配完毕的制动器性能应满足相关制动要求</w:t>
            </w:r>
            <w:r>
              <w:rPr>
                <w:rFonts w:hint="eastAsia"/>
                <w:sz w:val="20"/>
                <w:szCs w:val="20"/>
              </w:rPr>
              <w:t>。</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6 个月</w:t>
            </w:r>
          </w:p>
        </w:tc>
      </w:tr>
      <w:tr>
        <w:tblPrEx>
          <w:tblW w:w="5000" w:type="pct"/>
          <w:jc w:val="center"/>
          <w:tblCellMar>
            <w:top w:w="0" w:type="dxa"/>
            <w:left w:w="0" w:type="dxa"/>
            <w:bottom w:w="0" w:type="dxa"/>
            <w:right w:w="0" w:type="dxa"/>
          </w:tblCellMar>
        </w:tblPrEx>
        <w:trPr>
          <w:trHeight w:val="1663"/>
          <w:jc w:val="center"/>
        </w:trPr>
        <w:tc>
          <w:tcPr>
            <w:tcW w:w="225" w:type="pct"/>
            <w:gridSpan w:val="2"/>
            <w:vMerge/>
            <w:tcBorders>
              <w:right w:val="single" w:sz="4" w:space="0" w:color="000000"/>
            </w:tcBorders>
            <w:vAlign w:val="center"/>
          </w:tcPr>
          <w:p>
            <w:pPr>
              <w:spacing w:line="360" w:lineRule="auto"/>
              <w:rPr>
                <w:rFonts w:ascii="宋体" w:hAnsi="宋体" w:hint="eastAsia"/>
                <w:sz w:val="20"/>
                <w:szCs w:val="20"/>
              </w:rPr>
            </w:pPr>
          </w:p>
        </w:tc>
        <w:tc>
          <w:tcPr>
            <w:tcW w:w="301" w:type="pct"/>
            <w:vMerge/>
            <w:tcBorders>
              <w:left w:val="single" w:sz="4" w:space="0" w:color="000000"/>
              <w:right w:val="single" w:sz="4" w:space="0" w:color="000000"/>
            </w:tcBorders>
            <w:vAlign w:val="center"/>
          </w:tcPr>
          <w:p>
            <w:pPr>
              <w:spacing w:line="360" w:lineRule="auto"/>
              <w:rPr>
                <w:rFonts w:ascii="宋体" w:hAnsi="宋体" w:hint="eastAsia"/>
                <w:sz w:val="20"/>
                <w:szCs w:val="20"/>
              </w:rPr>
            </w:pPr>
          </w:p>
        </w:tc>
        <w:tc>
          <w:tcPr>
            <w:tcW w:w="530" w:type="pct"/>
            <w:vMerge/>
            <w:tcBorders>
              <w:top w:val="nil"/>
              <w:left w:val="single" w:sz="4" w:space="0" w:color="000000"/>
              <w:bottom w:val="single" w:sz="4" w:space="0" w:color="000000"/>
              <w:right w:val="single" w:sz="4" w:space="0" w:color="000000"/>
            </w:tcBorders>
            <w:vAlign w:val="center"/>
          </w:tcPr>
          <w:p>
            <w:pPr>
              <w:spacing w:line="360" w:lineRule="auto"/>
              <w:jc w:val="center"/>
              <w:rPr>
                <w:rFonts w:ascii="宋体" w:hAnsi="宋体" w:hint="eastAsia"/>
                <w:sz w:val="20"/>
                <w:szCs w:val="20"/>
              </w:rPr>
            </w:pPr>
          </w:p>
        </w:tc>
        <w:tc>
          <w:tcPr>
            <w:tcW w:w="2818" w:type="pct"/>
            <w:vMerge/>
            <w:tcBorders>
              <w:top w:val="nil"/>
              <w:left w:val="single" w:sz="4" w:space="0" w:color="000000"/>
              <w:bottom w:val="single" w:sz="4" w:space="0" w:color="000000"/>
              <w:right w:val="single" w:sz="4" w:space="0" w:color="000000"/>
            </w:tcBorders>
            <w:vAlign w:val="center"/>
          </w:tcPr>
          <w:p>
            <w:pPr>
              <w:pStyle w:val="TableParagraph"/>
              <w:numPr>
                <w:ilvl w:val="0"/>
                <w:numId w:val="49"/>
              </w:numPr>
              <w:tabs>
                <w:tab w:val="left" w:pos="350"/>
              </w:tabs>
              <w:spacing w:line="360" w:lineRule="auto"/>
              <w:ind w:left="0" w:firstLine="0"/>
              <w:jc w:val="both"/>
              <w:rPr>
                <w:rFonts w:hint="eastAsia"/>
                <w:sz w:val="20"/>
                <w:szCs w:val="20"/>
              </w:rPr>
            </w:pP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CellMar>
            <w:top w:w="0" w:type="dxa"/>
            <w:left w:w="0" w:type="dxa"/>
            <w:bottom w:w="0" w:type="dxa"/>
            <w:right w:w="0" w:type="dxa"/>
          </w:tblCellMar>
        </w:tblPrEx>
        <w:trPr>
          <w:trHeight w:val="303"/>
          <w:jc w:val="center"/>
        </w:trPr>
        <w:tc>
          <w:tcPr>
            <w:tcW w:w="225" w:type="pct"/>
            <w:gridSpan w:val="2"/>
            <w:vMerge/>
            <w:tcBorders>
              <w:right w:val="single" w:sz="4" w:space="0" w:color="000000"/>
            </w:tcBorders>
            <w:vAlign w:val="center"/>
          </w:tcPr>
          <w:p>
            <w:pPr>
              <w:spacing w:line="360" w:lineRule="auto"/>
              <w:rPr>
                <w:rFonts w:ascii="宋体" w:hAnsi="宋体" w:hint="eastAsia"/>
                <w:sz w:val="20"/>
                <w:szCs w:val="20"/>
              </w:rPr>
            </w:pPr>
          </w:p>
        </w:tc>
        <w:tc>
          <w:tcPr>
            <w:tcW w:w="301" w:type="pct"/>
            <w:vMerge/>
            <w:tcBorders>
              <w:left w:val="single" w:sz="4" w:space="0" w:color="000000"/>
              <w:right w:val="single" w:sz="4" w:space="0" w:color="000000"/>
            </w:tcBorders>
            <w:vAlign w:val="center"/>
          </w:tcPr>
          <w:p>
            <w:pPr>
              <w:spacing w:line="360" w:lineRule="auto"/>
              <w:rPr>
                <w:rFonts w:ascii="宋体" w:hAnsi="宋体" w:hint="eastAsia"/>
                <w:sz w:val="20"/>
                <w:szCs w:val="20"/>
              </w:rPr>
            </w:pPr>
          </w:p>
        </w:tc>
        <w:tc>
          <w:tcPr>
            <w:tcW w:w="530" w:type="pct"/>
            <w:vMerge/>
            <w:tcBorders>
              <w:top w:val="nil"/>
              <w:left w:val="single" w:sz="4" w:space="0" w:color="000000"/>
              <w:bottom w:val="single" w:sz="4" w:space="0" w:color="000000"/>
              <w:right w:val="single" w:sz="4" w:space="0" w:color="000000"/>
            </w:tcBorders>
            <w:vAlign w:val="center"/>
          </w:tcPr>
          <w:p>
            <w:pPr>
              <w:spacing w:line="360" w:lineRule="auto"/>
              <w:jc w:val="center"/>
              <w:rPr>
                <w:rFonts w:ascii="宋体" w:hAnsi="宋体" w:hint="eastAsia"/>
                <w:sz w:val="20"/>
                <w:szCs w:val="20"/>
              </w:rPr>
            </w:pPr>
          </w:p>
        </w:tc>
        <w:tc>
          <w:tcPr>
            <w:tcW w:w="2818" w:type="pct"/>
            <w:vMerge/>
            <w:tcBorders>
              <w:top w:val="nil"/>
              <w:left w:val="single" w:sz="4" w:space="0" w:color="000000"/>
              <w:bottom w:val="single" w:sz="4" w:space="0" w:color="000000"/>
              <w:right w:val="single" w:sz="4" w:space="0" w:color="000000"/>
            </w:tcBorders>
            <w:vAlign w:val="center"/>
          </w:tcPr>
          <w:p>
            <w:pPr>
              <w:pStyle w:val="TableParagraph"/>
              <w:numPr>
                <w:ilvl w:val="0"/>
                <w:numId w:val="49"/>
              </w:numPr>
              <w:tabs>
                <w:tab w:val="left" w:pos="350"/>
              </w:tabs>
              <w:spacing w:line="360" w:lineRule="auto"/>
              <w:ind w:left="0" w:firstLine="0"/>
              <w:jc w:val="both"/>
              <w:rPr>
                <w:rFonts w:hint="eastAsia"/>
                <w:sz w:val="20"/>
                <w:szCs w:val="20"/>
              </w:rPr>
            </w:pP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12 个月</w:t>
            </w:r>
          </w:p>
        </w:tc>
      </w:tr>
      <w:tr>
        <w:tblPrEx>
          <w:tblW w:w="5000" w:type="pct"/>
          <w:jc w:val="center"/>
          <w:tblCellMar>
            <w:top w:w="0" w:type="dxa"/>
            <w:left w:w="0" w:type="dxa"/>
            <w:bottom w:w="0" w:type="dxa"/>
            <w:right w:w="0" w:type="dxa"/>
          </w:tblCellMar>
        </w:tblPrEx>
        <w:trPr>
          <w:trHeight w:val="393"/>
          <w:jc w:val="center"/>
        </w:trPr>
        <w:tc>
          <w:tcPr>
            <w:tcW w:w="225" w:type="pct"/>
            <w:gridSpan w:val="2"/>
            <w:vMerge/>
            <w:tcBorders>
              <w:right w:val="single" w:sz="4" w:space="0" w:color="000000"/>
            </w:tcBorders>
            <w:vAlign w:val="center"/>
          </w:tcPr>
          <w:p>
            <w:pPr>
              <w:spacing w:line="360" w:lineRule="auto"/>
              <w:rPr>
                <w:rFonts w:ascii="宋体" w:hAnsi="宋体" w:hint="eastAsia"/>
                <w:sz w:val="20"/>
                <w:szCs w:val="20"/>
              </w:rPr>
            </w:pPr>
          </w:p>
        </w:tc>
        <w:tc>
          <w:tcPr>
            <w:tcW w:w="301" w:type="pct"/>
            <w:vMerge/>
            <w:tcBorders>
              <w:left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530"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导向</w:t>
            </w:r>
          </w:p>
        </w:tc>
        <w:tc>
          <w:tcPr>
            <w:tcW w:w="2818"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旋转顺畅、无异常声响；绳槽无严重油垢，磨损无异常</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1 个月</w:t>
            </w:r>
          </w:p>
        </w:tc>
      </w:tr>
      <w:tr>
        <w:tblPrEx>
          <w:tblW w:w="5000" w:type="pct"/>
          <w:jc w:val="center"/>
          <w:tblCellMar>
            <w:top w:w="0" w:type="dxa"/>
            <w:left w:w="0" w:type="dxa"/>
            <w:bottom w:w="0" w:type="dxa"/>
            <w:right w:w="0" w:type="dxa"/>
          </w:tblCellMar>
        </w:tblPrEx>
        <w:trPr>
          <w:trHeight w:val="393"/>
          <w:jc w:val="center"/>
        </w:trPr>
        <w:tc>
          <w:tcPr>
            <w:tcW w:w="225" w:type="pct"/>
            <w:gridSpan w:val="2"/>
            <w:vMerge/>
            <w:tcBorders>
              <w:right w:val="single" w:sz="4" w:space="0" w:color="000000"/>
            </w:tcBorders>
            <w:vAlign w:val="center"/>
          </w:tcPr>
          <w:p>
            <w:pPr>
              <w:spacing w:line="360" w:lineRule="auto"/>
              <w:rPr>
                <w:rFonts w:ascii="宋体" w:hAnsi="宋体" w:hint="eastAsia"/>
                <w:sz w:val="20"/>
                <w:szCs w:val="20"/>
              </w:rPr>
            </w:pPr>
          </w:p>
        </w:tc>
        <w:tc>
          <w:tcPr>
            <w:tcW w:w="301" w:type="pct"/>
            <w:vMerge/>
            <w:tcBorders>
              <w:left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530"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轮复绕轮</w:t>
            </w:r>
          </w:p>
        </w:tc>
        <w:tc>
          <w:tcPr>
            <w:tcW w:w="2818"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所设置的防止机械伤害的安全装置固定可靠，警告标识清晰</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both"/>
              <w:rPr>
                <w:rFonts w:hint="eastAsia"/>
                <w:sz w:val="20"/>
                <w:szCs w:val="20"/>
              </w:rPr>
            </w:pPr>
          </w:p>
        </w:tc>
      </w:tr>
      <w:tr>
        <w:tblPrEx>
          <w:tblW w:w="5000" w:type="pct"/>
          <w:jc w:val="center"/>
          <w:tblCellMar>
            <w:top w:w="0" w:type="dxa"/>
            <w:left w:w="0" w:type="dxa"/>
            <w:bottom w:w="0" w:type="dxa"/>
            <w:right w:w="0" w:type="dxa"/>
          </w:tblCellMar>
        </w:tblPrEx>
        <w:trPr>
          <w:trHeight w:val="393"/>
          <w:jc w:val="center"/>
        </w:trPr>
        <w:tc>
          <w:tcPr>
            <w:tcW w:w="225" w:type="pct"/>
            <w:gridSpan w:val="2"/>
            <w:vMerge/>
            <w:tcBorders>
              <w:right w:val="single" w:sz="4" w:space="0" w:color="000000"/>
            </w:tcBorders>
            <w:vAlign w:val="center"/>
          </w:tcPr>
          <w:p>
            <w:pPr>
              <w:spacing w:line="360" w:lineRule="auto"/>
              <w:rPr>
                <w:rFonts w:ascii="宋体" w:hAnsi="宋体" w:hint="eastAsia"/>
                <w:sz w:val="20"/>
                <w:szCs w:val="20"/>
              </w:rPr>
            </w:pPr>
          </w:p>
        </w:tc>
        <w:tc>
          <w:tcPr>
            <w:tcW w:w="301" w:type="pct"/>
            <w:vMerge/>
            <w:tcBorders>
              <w:left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530" w:type="pct"/>
            <w:vMerge w:val="restar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电机</w:t>
            </w:r>
          </w:p>
        </w:tc>
        <w:tc>
          <w:tcPr>
            <w:tcW w:w="2818" w:type="pct"/>
            <w:vMerge w:val="restart"/>
            <w:tcBorders>
              <w:top w:val="single" w:sz="4" w:space="0" w:color="000000"/>
              <w:left w:val="single" w:sz="4" w:space="0" w:color="000000"/>
              <w:right w:val="single" w:sz="4" w:space="0" w:color="000000"/>
            </w:tcBorders>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工作无异常发热和异常声响、表面清洁卫生</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定子线圈应清洁、无积尘</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电机的接线端子固定可靠、接触良好，无明显氧化及锈蚀</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CellMar>
            <w:top w:w="0" w:type="dxa"/>
            <w:left w:w="0" w:type="dxa"/>
            <w:bottom w:w="0" w:type="dxa"/>
            <w:right w:w="0" w:type="dxa"/>
          </w:tblCellMar>
        </w:tblPrEx>
        <w:trPr>
          <w:trHeight w:val="393"/>
          <w:jc w:val="center"/>
        </w:trPr>
        <w:tc>
          <w:tcPr>
            <w:tcW w:w="225" w:type="pct"/>
            <w:gridSpan w:val="2"/>
            <w:vMerge/>
            <w:tcBorders>
              <w:right w:val="single" w:sz="4" w:space="0" w:color="000000"/>
            </w:tcBorders>
            <w:vAlign w:val="center"/>
          </w:tcPr>
          <w:p>
            <w:pPr>
              <w:spacing w:line="360" w:lineRule="auto"/>
              <w:rPr>
                <w:rFonts w:ascii="宋体" w:hAnsi="宋体" w:hint="eastAsia"/>
                <w:sz w:val="20"/>
                <w:szCs w:val="20"/>
              </w:rPr>
            </w:pPr>
          </w:p>
        </w:tc>
        <w:tc>
          <w:tcPr>
            <w:tcW w:w="301" w:type="pct"/>
            <w:vMerge/>
            <w:tcBorders>
              <w:left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530" w:type="pct"/>
            <w:vMerge/>
            <w:tcBorders>
              <w:left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2818" w:type="pct"/>
            <w:vMerge/>
            <w:tcBorders>
              <w:left w:val="single" w:sz="4" w:space="0" w:color="000000"/>
              <w:right w:val="single" w:sz="4" w:space="0" w:color="000000"/>
            </w:tcBorders>
            <w:vAlign w:val="center"/>
          </w:tcPr>
          <w:p>
            <w:pPr>
              <w:pStyle w:val="TableParagraph"/>
              <w:numPr>
                <w:ilvl w:val="0"/>
                <w:numId w:val="49"/>
              </w:numPr>
              <w:tabs>
                <w:tab w:val="left" w:pos="350"/>
              </w:tabs>
              <w:spacing w:line="360" w:lineRule="auto"/>
              <w:ind w:left="0" w:firstLine="0"/>
              <w:jc w:val="both"/>
              <w:rPr>
                <w:rFonts w:hint="eastAsia"/>
                <w:sz w:val="20"/>
                <w:szCs w:val="20"/>
              </w:rPr>
            </w:pP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3 个月</w:t>
            </w:r>
          </w:p>
        </w:tc>
      </w:tr>
      <w:tr>
        <w:tblPrEx>
          <w:tblW w:w="5000" w:type="pct"/>
          <w:jc w:val="center"/>
          <w:tblCellMar>
            <w:top w:w="0" w:type="dxa"/>
            <w:left w:w="0" w:type="dxa"/>
            <w:bottom w:w="0" w:type="dxa"/>
            <w:right w:w="0" w:type="dxa"/>
          </w:tblCellMar>
        </w:tblPrEx>
        <w:trPr>
          <w:trHeight w:val="393"/>
          <w:jc w:val="center"/>
        </w:trPr>
        <w:tc>
          <w:tcPr>
            <w:tcW w:w="225" w:type="pct"/>
            <w:gridSpan w:val="2"/>
            <w:vMerge/>
            <w:tcBorders>
              <w:right w:val="single" w:sz="4" w:space="0" w:color="000000"/>
            </w:tcBorders>
            <w:vAlign w:val="center"/>
          </w:tcPr>
          <w:p>
            <w:pPr>
              <w:spacing w:line="360" w:lineRule="auto"/>
              <w:rPr>
                <w:rFonts w:ascii="宋体" w:hAnsi="宋体" w:hint="eastAsia"/>
                <w:sz w:val="20"/>
                <w:szCs w:val="20"/>
              </w:rPr>
            </w:pPr>
          </w:p>
        </w:tc>
        <w:tc>
          <w:tcPr>
            <w:tcW w:w="301" w:type="pct"/>
            <w:vMerge/>
            <w:tcBorders>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530" w:type="pct"/>
            <w:vMerge/>
            <w:tcBorders>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2818" w:type="pct"/>
            <w:vMerge/>
            <w:tcBorders>
              <w:left w:val="single" w:sz="4" w:space="0" w:color="000000"/>
              <w:bottom w:val="single" w:sz="4" w:space="0" w:color="000000"/>
              <w:right w:val="single" w:sz="4" w:space="0" w:color="000000"/>
            </w:tcBorders>
            <w:vAlign w:val="center"/>
          </w:tcPr>
          <w:p>
            <w:pPr>
              <w:pStyle w:val="TableParagraph"/>
              <w:numPr>
                <w:ilvl w:val="0"/>
                <w:numId w:val="49"/>
              </w:numPr>
              <w:tabs>
                <w:tab w:val="left" w:pos="350"/>
              </w:tabs>
              <w:spacing w:line="360" w:lineRule="auto"/>
              <w:ind w:left="0" w:firstLine="0"/>
              <w:jc w:val="both"/>
              <w:rPr>
                <w:rFonts w:hint="eastAsia"/>
                <w:sz w:val="20"/>
                <w:szCs w:val="20"/>
              </w:rPr>
            </w:pP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6 个月</w:t>
            </w:r>
          </w:p>
        </w:tc>
      </w:tr>
      <w:tr>
        <w:tblPrEx>
          <w:tblW w:w="5000" w:type="pct"/>
          <w:jc w:val="center"/>
          <w:tblCellMar>
            <w:top w:w="0" w:type="dxa"/>
            <w:left w:w="0" w:type="dxa"/>
            <w:bottom w:w="0" w:type="dxa"/>
            <w:right w:w="0" w:type="dxa"/>
          </w:tblCellMar>
        </w:tblPrEx>
        <w:trPr>
          <w:trHeight w:val="361"/>
          <w:jc w:val="center"/>
        </w:trPr>
        <w:tc>
          <w:tcPr>
            <w:tcW w:w="192" w:type="pct"/>
            <w:vMerge w:val="restart"/>
            <w:tcBorders>
              <w:top w:val="single" w:sz="8"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7</w:t>
            </w:r>
          </w:p>
        </w:tc>
        <w:tc>
          <w:tcPr>
            <w:tcW w:w="864" w:type="pct"/>
            <w:gridSpan w:val="3"/>
            <w:vMerge w:val="restart"/>
            <w:tcBorders>
              <w:top w:val="single" w:sz="8"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编码器测速电机</w:t>
            </w:r>
          </w:p>
        </w:tc>
        <w:tc>
          <w:tcPr>
            <w:tcW w:w="2818" w:type="pct"/>
            <w:tcBorders>
              <w:top w:val="single" w:sz="8" w:space="0" w:color="000000"/>
              <w:left w:val="single" w:sz="4" w:space="0" w:color="000000"/>
              <w:bottom w:val="single" w:sz="4" w:space="0" w:color="000000"/>
              <w:right w:val="single" w:sz="4" w:space="0" w:color="000000"/>
            </w:tcBorders>
            <w:vAlign w:val="center"/>
          </w:tcPr>
          <w:p>
            <w:pPr>
              <w:pStyle w:val="TableParagraph"/>
              <w:numPr>
                <w:ilvl w:val="0"/>
                <w:numId w:val="49"/>
              </w:numPr>
              <w:tabs>
                <w:tab w:val="left" w:pos="349"/>
              </w:tabs>
              <w:spacing w:line="360" w:lineRule="auto"/>
              <w:ind w:left="0" w:firstLine="0"/>
              <w:jc w:val="both"/>
              <w:rPr>
                <w:rFonts w:hint="eastAsia"/>
                <w:sz w:val="20"/>
                <w:szCs w:val="20"/>
              </w:rPr>
            </w:pPr>
            <w:r>
              <w:rPr>
                <w:sz w:val="20"/>
                <w:szCs w:val="20"/>
              </w:rPr>
              <w:t>固定可靠、清洁卫生、转动灵活，无异常声响</w:t>
            </w:r>
          </w:p>
        </w:tc>
        <w:tc>
          <w:tcPr>
            <w:tcW w:w="1126" w:type="pct"/>
            <w:tcBorders>
              <w:top w:val="single" w:sz="8"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CellMar>
            <w:top w:w="0" w:type="dxa"/>
            <w:left w:w="0" w:type="dxa"/>
            <w:bottom w:w="0" w:type="dxa"/>
            <w:right w:w="0" w:type="dxa"/>
          </w:tblCellMar>
        </w:tblPrEx>
        <w:trPr>
          <w:trHeight w:val="407"/>
          <w:jc w:val="center"/>
        </w:trPr>
        <w:tc>
          <w:tcPr>
            <w:tcW w:w="192" w:type="pct"/>
            <w:vMerge/>
            <w:tcBorders>
              <w:top w:val="nil"/>
              <w:bottom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864" w:type="pct"/>
            <w:gridSpan w:val="3"/>
            <w:vMerge/>
            <w:tcBorders>
              <w:top w:val="nil"/>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2818"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接线端固定可靠、接触良好</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6 个月</w:t>
            </w:r>
          </w:p>
        </w:tc>
      </w:tr>
      <w:tr>
        <w:tblPrEx>
          <w:tblW w:w="5000" w:type="pct"/>
          <w:jc w:val="center"/>
          <w:tblCellMar>
            <w:top w:w="0" w:type="dxa"/>
            <w:left w:w="0" w:type="dxa"/>
            <w:bottom w:w="0" w:type="dxa"/>
            <w:right w:w="0" w:type="dxa"/>
          </w:tblCellMar>
        </w:tblPrEx>
        <w:trPr>
          <w:trHeight w:val="568"/>
          <w:jc w:val="center"/>
        </w:trPr>
        <w:tc>
          <w:tcPr>
            <w:tcW w:w="192" w:type="pct"/>
            <w:vMerge w:val="restart"/>
            <w:tcBorders>
              <w:top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8</w:t>
            </w:r>
          </w:p>
        </w:tc>
        <w:tc>
          <w:tcPr>
            <w:tcW w:w="864" w:type="pct"/>
            <w:gridSpan w:val="3"/>
            <w:vMerge w:val="restar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选层器</w:t>
            </w:r>
          </w:p>
        </w:tc>
        <w:tc>
          <w:tcPr>
            <w:tcW w:w="2818"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9"/>
              </w:numPr>
              <w:tabs>
                <w:tab w:val="left" w:pos="349"/>
              </w:tabs>
              <w:spacing w:line="360" w:lineRule="auto"/>
              <w:ind w:left="0" w:firstLine="0"/>
              <w:jc w:val="both"/>
              <w:rPr>
                <w:rFonts w:hint="eastAsia"/>
                <w:sz w:val="20"/>
                <w:szCs w:val="20"/>
              </w:rPr>
            </w:pPr>
            <w:r>
              <w:rPr>
                <w:sz w:val="20"/>
                <w:szCs w:val="20"/>
              </w:rPr>
              <w:t>所设置的传动钢带受力均匀无扭曲，无裂痕或破损现象</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CellMar>
            <w:top w:w="0" w:type="dxa"/>
            <w:left w:w="0" w:type="dxa"/>
            <w:bottom w:w="0" w:type="dxa"/>
            <w:right w:w="0" w:type="dxa"/>
          </w:tblCellMar>
        </w:tblPrEx>
        <w:trPr>
          <w:trHeight w:val="676"/>
          <w:jc w:val="center"/>
        </w:trPr>
        <w:tc>
          <w:tcPr>
            <w:tcW w:w="192" w:type="pct"/>
            <w:vMerge/>
            <w:tcBorders>
              <w:top w:val="nil"/>
              <w:bottom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864" w:type="pct"/>
            <w:gridSpan w:val="3"/>
            <w:vMerge/>
            <w:tcBorders>
              <w:top w:val="nil"/>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2818"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固定/运动各触点位置固定可靠、表面清洁、磨损值在允许范围内</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电气接线标志清晰、接触良好、无明显氧化</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 xml:space="preserve">1 </w:t>
            </w:r>
            <w:r>
              <w:rPr>
                <w:rFonts w:hint="eastAsia"/>
                <w:sz w:val="20"/>
                <w:szCs w:val="20"/>
              </w:rPr>
              <w:t>个</w:t>
            </w:r>
            <w:r>
              <w:rPr>
                <w:sz w:val="20"/>
                <w:szCs w:val="20"/>
              </w:rPr>
              <w:t>月</w:t>
            </w:r>
          </w:p>
        </w:tc>
      </w:tr>
      <w:tr>
        <w:tblPrEx>
          <w:tblW w:w="5000" w:type="pct"/>
          <w:jc w:val="center"/>
          <w:tblCellMar>
            <w:top w:w="0" w:type="dxa"/>
            <w:left w:w="0" w:type="dxa"/>
            <w:bottom w:w="0" w:type="dxa"/>
            <w:right w:w="0" w:type="dxa"/>
          </w:tblCellMar>
        </w:tblPrEx>
        <w:trPr>
          <w:trHeight w:val="856"/>
          <w:jc w:val="center"/>
        </w:trPr>
        <w:tc>
          <w:tcPr>
            <w:tcW w:w="192" w:type="pct"/>
            <w:vMerge w:val="restart"/>
            <w:tcBorders>
              <w:top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9</w:t>
            </w:r>
          </w:p>
        </w:tc>
        <w:tc>
          <w:tcPr>
            <w:tcW w:w="864" w:type="pct"/>
            <w:gridSpan w:val="3"/>
            <w:vMerge w:val="restar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限速器安全钳</w:t>
            </w:r>
          </w:p>
        </w:tc>
        <w:tc>
          <w:tcPr>
            <w:tcW w:w="2818"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9"/>
              </w:numPr>
              <w:tabs>
                <w:tab w:val="left" w:pos="349"/>
              </w:tabs>
              <w:spacing w:line="360" w:lineRule="auto"/>
              <w:ind w:left="0" w:firstLine="0"/>
              <w:jc w:val="both"/>
              <w:rPr>
                <w:rFonts w:hint="eastAsia"/>
                <w:sz w:val="20"/>
                <w:szCs w:val="20"/>
              </w:rPr>
            </w:pPr>
            <w:r>
              <w:rPr>
                <w:sz w:val="20"/>
                <w:szCs w:val="20"/>
              </w:rPr>
              <w:t>各运动部件转动灵活、无异常声响，铅封或漆封标记齐</w:t>
            </w:r>
          </w:p>
          <w:p>
            <w:pPr>
              <w:pStyle w:val="TableParagraph"/>
              <w:numPr>
                <w:ilvl w:val="0"/>
                <w:numId w:val="49"/>
              </w:numPr>
              <w:spacing w:line="360" w:lineRule="auto"/>
              <w:ind w:left="0" w:firstLine="0"/>
              <w:jc w:val="both"/>
              <w:rPr>
                <w:rFonts w:hint="eastAsia"/>
                <w:sz w:val="20"/>
                <w:szCs w:val="20"/>
              </w:rPr>
            </w:pPr>
            <w:r>
              <w:rPr>
                <w:sz w:val="20"/>
                <w:szCs w:val="20"/>
              </w:rPr>
              <w:t>全，无移动痕迹</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CellMar>
            <w:top w:w="0" w:type="dxa"/>
            <w:left w:w="0" w:type="dxa"/>
            <w:bottom w:w="0" w:type="dxa"/>
            <w:right w:w="0" w:type="dxa"/>
          </w:tblCellMar>
        </w:tblPrEx>
        <w:trPr>
          <w:trHeight w:val="855"/>
          <w:jc w:val="center"/>
        </w:trPr>
        <w:tc>
          <w:tcPr>
            <w:tcW w:w="192" w:type="pct"/>
            <w:vMerge/>
            <w:tcBorders>
              <w:top w:val="nil"/>
              <w:bottom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864" w:type="pct"/>
            <w:gridSpan w:val="3"/>
            <w:vMerge/>
            <w:tcBorders>
              <w:top w:val="nil"/>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2818"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钢丝绳及绳槽无严重油垢，磨损无异常</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所设置的电气开关及触点工作可靠，接线良好</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1 个月</w:t>
            </w:r>
          </w:p>
        </w:tc>
      </w:tr>
      <w:tr>
        <w:tblPrEx>
          <w:tblW w:w="5000" w:type="pct"/>
          <w:jc w:val="center"/>
          <w:tblCellMar>
            <w:top w:w="0" w:type="dxa"/>
            <w:left w:w="0" w:type="dxa"/>
            <w:bottom w:w="0" w:type="dxa"/>
            <w:right w:w="0" w:type="dxa"/>
          </w:tblCellMar>
        </w:tblPrEx>
        <w:trPr>
          <w:trHeight w:val="856"/>
          <w:jc w:val="center"/>
        </w:trPr>
        <w:tc>
          <w:tcPr>
            <w:tcW w:w="192" w:type="pct"/>
            <w:vMerge/>
            <w:tcBorders>
              <w:top w:val="nil"/>
              <w:bottom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864" w:type="pct"/>
            <w:gridSpan w:val="3"/>
            <w:vMerge/>
            <w:tcBorders>
              <w:top w:val="nil"/>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2818"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限速器、安全钳联动试验可靠；限速器可靠固定、垂直</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度偏差不大于 0.5mm</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12 个月</w:t>
            </w:r>
          </w:p>
        </w:tc>
      </w:tr>
      <w:tr>
        <w:tblPrEx>
          <w:tblW w:w="5000" w:type="pct"/>
          <w:jc w:val="center"/>
          <w:tblCellMar>
            <w:top w:w="0" w:type="dxa"/>
            <w:left w:w="0" w:type="dxa"/>
            <w:bottom w:w="0" w:type="dxa"/>
            <w:right w:w="0" w:type="dxa"/>
          </w:tblCellMar>
        </w:tblPrEx>
        <w:trPr>
          <w:trHeight w:val="566"/>
          <w:jc w:val="center"/>
        </w:trPr>
        <w:tc>
          <w:tcPr>
            <w:tcW w:w="192" w:type="pct"/>
            <w:vMerge/>
            <w:tcBorders>
              <w:top w:val="nil"/>
              <w:bottom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864" w:type="pct"/>
            <w:gridSpan w:val="3"/>
            <w:vMerge/>
            <w:tcBorders>
              <w:top w:val="nil"/>
              <w:left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p>
        </w:tc>
        <w:tc>
          <w:tcPr>
            <w:tcW w:w="2818"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定期现场检测限速器各动作速度符合铭牌及标准要求</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24 个月</w:t>
            </w:r>
          </w:p>
        </w:tc>
      </w:tr>
      <w:tr>
        <w:tblPrEx>
          <w:tblW w:w="5000" w:type="pct"/>
          <w:jc w:val="center"/>
          <w:tblCellMar>
            <w:top w:w="0" w:type="dxa"/>
            <w:left w:w="0" w:type="dxa"/>
            <w:bottom w:w="0" w:type="dxa"/>
            <w:right w:w="0" w:type="dxa"/>
          </w:tblCellMar>
        </w:tblPrEx>
        <w:trPr>
          <w:trHeight w:val="855"/>
          <w:jc w:val="center"/>
        </w:trPr>
        <w:tc>
          <w:tcPr>
            <w:tcW w:w="192" w:type="pct"/>
            <w:tcBorders>
              <w:top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10</w:t>
            </w:r>
          </w:p>
        </w:tc>
        <w:tc>
          <w:tcPr>
            <w:tcW w:w="864" w:type="pct"/>
            <w:gridSpan w:val="3"/>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曳引机减震装置</w:t>
            </w:r>
          </w:p>
        </w:tc>
        <w:tc>
          <w:tcPr>
            <w:tcW w:w="2818"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9"/>
              </w:numPr>
              <w:tabs>
                <w:tab w:val="left" w:pos="349"/>
              </w:tabs>
              <w:spacing w:line="360" w:lineRule="auto"/>
              <w:ind w:left="0" w:firstLine="0"/>
              <w:jc w:val="both"/>
              <w:rPr>
                <w:rFonts w:hint="eastAsia"/>
                <w:sz w:val="20"/>
                <w:szCs w:val="20"/>
              </w:rPr>
            </w:pPr>
            <w:r>
              <w:rPr>
                <w:sz w:val="20"/>
                <w:szCs w:val="20"/>
              </w:rPr>
              <w:t>限位挡块及缓冲橡胶齐全并固定可靠；橡胶表面无裂痕老化现象</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6个月</w:t>
            </w:r>
          </w:p>
        </w:tc>
      </w:tr>
      <w:tr>
        <w:tblPrEx>
          <w:tblW w:w="5000" w:type="pct"/>
          <w:jc w:val="center"/>
          <w:tblCellMar>
            <w:top w:w="0" w:type="dxa"/>
            <w:left w:w="0" w:type="dxa"/>
            <w:bottom w:w="0" w:type="dxa"/>
            <w:right w:w="0" w:type="dxa"/>
          </w:tblCellMar>
        </w:tblPrEx>
        <w:trPr>
          <w:trHeight w:val="565"/>
          <w:jc w:val="center"/>
        </w:trPr>
        <w:tc>
          <w:tcPr>
            <w:tcW w:w="192" w:type="pct"/>
            <w:vMerge w:val="restart"/>
            <w:tcBorders>
              <w:top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11</w:t>
            </w:r>
          </w:p>
        </w:tc>
        <w:tc>
          <w:tcPr>
            <w:tcW w:w="864" w:type="pct"/>
            <w:gridSpan w:val="3"/>
            <w:vMerge w:val="restar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停电自动救援装置</w:t>
            </w:r>
          </w:p>
        </w:tc>
        <w:tc>
          <w:tcPr>
            <w:tcW w:w="2818"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9"/>
              </w:numPr>
              <w:tabs>
                <w:tab w:val="left" w:pos="349"/>
              </w:tabs>
              <w:spacing w:line="360" w:lineRule="auto"/>
              <w:ind w:left="0" w:firstLine="0"/>
              <w:jc w:val="both"/>
              <w:rPr>
                <w:rFonts w:hint="eastAsia"/>
                <w:sz w:val="20"/>
                <w:szCs w:val="20"/>
              </w:rPr>
            </w:pPr>
            <w:r>
              <w:rPr>
                <w:sz w:val="20"/>
                <w:szCs w:val="20"/>
              </w:rPr>
              <w:t>所使用的蓄电池接线端子无明显的氧化腐蚀</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1 个月</w:t>
            </w:r>
          </w:p>
        </w:tc>
      </w:tr>
      <w:tr>
        <w:tblPrEx>
          <w:tblW w:w="5000" w:type="pct"/>
          <w:jc w:val="center"/>
          <w:tblCellMar>
            <w:top w:w="0" w:type="dxa"/>
            <w:left w:w="0" w:type="dxa"/>
            <w:bottom w:w="0" w:type="dxa"/>
            <w:right w:w="0" w:type="dxa"/>
          </w:tblCellMar>
        </w:tblPrEx>
        <w:trPr>
          <w:trHeight w:val="856"/>
          <w:jc w:val="center"/>
        </w:trPr>
        <w:tc>
          <w:tcPr>
            <w:tcW w:w="192" w:type="pct"/>
            <w:vMerge/>
            <w:tcBorders>
              <w:top w:val="nil"/>
              <w:bottom w:val="single" w:sz="4" w:space="0" w:color="000000"/>
              <w:right w:val="single" w:sz="4" w:space="0" w:color="000000"/>
            </w:tcBorders>
            <w:vAlign w:val="center"/>
          </w:tcPr>
          <w:p>
            <w:pPr>
              <w:spacing w:line="360" w:lineRule="auto"/>
              <w:rPr>
                <w:rFonts w:ascii="宋体" w:hAnsi="宋体" w:hint="eastAsia"/>
                <w:sz w:val="20"/>
                <w:szCs w:val="20"/>
              </w:rPr>
            </w:pPr>
          </w:p>
        </w:tc>
        <w:tc>
          <w:tcPr>
            <w:tcW w:w="864" w:type="pct"/>
            <w:gridSpan w:val="3"/>
            <w:vMerge/>
            <w:tcBorders>
              <w:top w:val="nil"/>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p>
        </w:tc>
        <w:tc>
          <w:tcPr>
            <w:tcW w:w="2818"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定期检查其功能正常。如需停电检修,应采取措施,防止误动作</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CellMar>
            <w:top w:w="0" w:type="dxa"/>
            <w:left w:w="0" w:type="dxa"/>
            <w:bottom w:w="0" w:type="dxa"/>
            <w:right w:w="0" w:type="dxa"/>
          </w:tblCellMar>
        </w:tblPrEx>
        <w:trPr>
          <w:trHeight w:val="1282"/>
          <w:jc w:val="center"/>
        </w:trPr>
        <w:tc>
          <w:tcPr>
            <w:tcW w:w="192" w:type="pct"/>
            <w:tcBorders>
              <w:top w:val="single" w:sz="4" w:space="0" w:color="000000"/>
              <w:bottom w:val="single" w:sz="4" w:space="0" w:color="000000"/>
              <w:right w:val="single" w:sz="4" w:space="0" w:color="000000"/>
            </w:tcBorders>
            <w:vAlign w:val="center"/>
          </w:tcPr>
          <w:p>
            <w:pPr>
              <w:pStyle w:val="TableParagraph"/>
              <w:spacing w:line="360" w:lineRule="auto"/>
              <w:jc w:val="both"/>
              <w:rPr>
                <w:rFonts w:hint="eastAsia"/>
                <w:sz w:val="20"/>
                <w:szCs w:val="20"/>
              </w:rPr>
            </w:pPr>
            <w:r>
              <w:rPr>
                <w:sz w:val="20"/>
                <w:szCs w:val="20"/>
              </w:rPr>
              <w:t>12</w:t>
            </w:r>
          </w:p>
        </w:tc>
        <w:tc>
          <w:tcPr>
            <w:tcW w:w="864" w:type="pct"/>
            <w:gridSpan w:val="3"/>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轿内标示牌</w:t>
            </w:r>
          </w:p>
        </w:tc>
        <w:tc>
          <w:tcPr>
            <w:tcW w:w="2818" w:type="pct"/>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49"/>
              </w:numPr>
              <w:tabs>
                <w:tab w:val="left" w:pos="349"/>
              </w:tabs>
              <w:spacing w:line="360" w:lineRule="auto"/>
              <w:ind w:left="0" w:firstLine="0"/>
              <w:jc w:val="both"/>
              <w:rPr>
                <w:rFonts w:hint="eastAsia"/>
                <w:sz w:val="20"/>
                <w:szCs w:val="20"/>
              </w:rPr>
            </w:pPr>
            <w:r>
              <w:rPr>
                <w:sz w:val="20"/>
                <w:szCs w:val="20"/>
              </w:rPr>
              <w:t>轿内应有标明额定载重量、人数和制造单位的铭牌</w:t>
            </w:r>
          </w:p>
          <w:p>
            <w:pPr>
              <w:pStyle w:val="TableParagraph"/>
              <w:numPr>
                <w:ilvl w:val="0"/>
                <w:numId w:val="49"/>
              </w:numPr>
              <w:tabs>
                <w:tab w:val="left" w:pos="349"/>
              </w:tabs>
              <w:spacing w:line="360" w:lineRule="auto"/>
              <w:ind w:left="0" w:firstLine="0"/>
              <w:jc w:val="both"/>
              <w:rPr>
                <w:rFonts w:hint="eastAsia"/>
                <w:sz w:val="20"/>
                <w:szCs w:val="20"/>
              </w:rPr>
            </w:pPr>
            <w:r>
              <w:rPr>
                <w:sz w:val="20"/>
                <w:szCs w:val="20"/>
              </w:rPr>
              <w:t>电梯使用守则、紧急情况时联络电话</w:t>
            </w:r>
          </w:p>
          <w:p>
            <w:pPr>
              <w:pStyle w:val="TableParagraph"/>
              <w:numPr>
                <w:ilvl w:val="0"/>
                <w:numId w:val="49"/>
              </w:numPr>
              <w:tabs>
                <w:tab w:val="left" w:pos="349"/>
              </w:tabs>
              <w:spacing w:line="360" w:lineRule="auto"/>
              <w:ind w:left="0" w:firstLine="0"/>
              <w:jc w:val="both"/>
              <w:rPr>
                <w:rFonts w:hint="eastAsia"/>
                <w:sz w:val="20"/>
                <w:szCs w:val="20"/>
              </w:rPr>
            </w:pPr>
            <w:r>
              <w:rPr>
                <w:sz w:val="20"/>
                <w:szCs w:val="20"/>
              </w:rPr>
              <w:t>电梯注册登记标志</w:t>
            </w:r>
          </w:p>
        </w:tc>
        <w:tc>
          <w:tcPr>
            <w:tcW w:w="1126"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100"/>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13</w:t>
            </w:r>
          </w:p>
        </w:tc>
        <w:tc>
          <w:tcPr>
            <w:tcW w:w="864" w:type="pct"/>
            <w:gridSpan w:val="3"/>
            <w:vAlign w:val="center"/>
          </w:tcPr>
          <w:p>
            <w:pPr>
              <w:pStyle w:val="TableParagraph"/>
              <w:spacing w:line="360" w:lineRule="auto"/>
              <w:jc w:val="both"/>
              <w:rPr>
                <w:rFonts w:hint="eastAsia"/>
                <w:sz w:val="20"/>
                <w:szCs w:val="20"/>
              </w:rPr>
            </w:pPr>
            <w:r>
              <w:rPr>
                <w:sz w:val="20"/>
                <w:szCs w:val="20"/>
              </w:rPr>
              <w:t>轿厢壁、天花板及地板</w:t>
            </w:r>
          </w:p>
        </w:tc>
        <w:tc>
          <w:tcPr>
            <w:tcW w:w="2818" w:type="pct"/>
            <w:vAlign w:val="center"/>
          </w:tcPr>
          <w:p>
            <w:pPr>
              <w:pStyle w:val="TableParagraph"/>
              <w:numPr>
                <w:ilvl w:val="0"/>
                <w:numId w:val="49"/>
              </w:numPr>
              <w:tabs>
                <w:tab w:val="left" w:pos="351"/>
              </w:tabs>
              <w:spacing w:line="360" w:lineRule="auto"/>
              <w:ind w:left="0" w:firstLine="0"/>
              <w:jc w:val="both"/>
              <w:rPr>
                <w:rFonts w:hint="eastAsia"/>
                <w:sz w:val="20"/>
                <w:szCs w:val="20"/>
              </w:rPr>
            </w:pPr>
            <w:r>
              <w:rPr>
                <w:sz w:val="20"/>
                <w:szCs w:val="20"/>
              </w:rPr>
              <w:t>不应存在严重的变形、磨损、生锈、腐蚀</w:t>
            </w:r>
          </w:p>
          <w:p>
            <w:pPr>
              <w:pStyle w:val="TableParagraph"/>
              <w:numPr>
                <w:ilvl w:val="0"/>
                <w:numId w:val="49"/>
              </w:numPr>
              <w:tabs>
                <w:tab w:val="left" w:pos="351"/>
              </w:tabs>
              <w:spacing w:line="360" w:lineRule="auto"/>
              <w:ind w:left="0" w:firstLine="0"/>
              <w:jc w:val="both"/>
              <w:rPr>
                <w:rFonts w:hint="eastAsia"/>
                <w:sz w:val="20"/>
                <w:szCs w:val="20"/>
              </w:rPr>
            </w:pPr>
            <w:r>
              <w:rPr>
                <w:sz w:val="20"/>
                <w:szCs w:val="20"/>
              </w:rPr>
              <w:t>如轿厢重新装修,不应使用易燃材料,且需检查及调整平衡系数</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399"/>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14</w:t>
            </w:r>
          </w:p>
        </w:tc>
        <w:tc>
          <w:tcPr>
            <w:tcW w:w="864" w:type="pct"/>
            <w:gridSpan w:val="3"/>
            <w:vAlign w:val="center"/>
          </w:tcPr>
          <w:p>
            <w:pPr>
              <w:pStyle w:val="TableParagraph"/>
              <w:spacing w:line="360" w:lineRule="auto"/>
              <w:jc w:val="both"/>
              <w:rPr>
                <w:rFonts w:hint="eastAsia"/>
                <w:sz w:val="20"/>
                <w:szCs w:val="20"/>
              </w:rPr>
            </w:pPr>
            <w:r>
              <w:rPr>
                <w:sz w:val="20"/>
                <w:szCs w:val="20"/>
              </w:rPr>
              <w:t>轿内操纵箱及显示器</w:t>
            </w:r>
          </w:p>
        </w:tc>
        <w:tc>
          <w:tcPr>
            <w:tcW w:w="2818" w:type="pct"/>
            <w:vAlign w:val="center"/>
          </w:tcPr>
          <w:p>
            <w:pPr>
              <w:pStyle w:val="TableParagraph"/>
              <w:numPr>
                <w:ilvl w:val="0"/>
                <w:numId w:val="49"/>
              </w:numPr>
              <w:tabs>
                <w:tab w:val="left" w:pos="351"/>
              </w:tabs>
              <w:spacing w:line="360" w:lineRule="auto"/>
              <w:ind w:left="0" w:firstLine="0"/>
              <w:jc w:val="both"/>
              <w:rPr>
                <w:rFonts w:hint="eastAsia"/>
                <w:sz w:val="20"/>
                <w:szCs w:val="20"/>
              </w:rPr>
            </w:pPr>
            <w:r>
              <w:rPr>
                <w:sz w:val="20"/>
                <w:szCs w:val="20"/>
              </w:rPr>
              <w:t>按钮、开关无明显的老化、损伤，标记清晰、功能正常</w:t>
            </w:r>
          </w:p>
          <w:p>
            <w:pPr>
              <w:pStyle w:val="TableParagraph"/>
              <w:numPr>
                <w:ilvl w:val="0"/>
                <w:numId w:val="49"/>
              </w:numPr>
              <w:tabs>
                <w:tab w:val="left" w:pos="351"/>
              </w:tabs>
              <w:spacing w:line="360" w:lineRule="auto"/>
              <w:ind w:left="0" w:firstLine="0"/>
              <w:jc w:val="both"/>
              <w:rPr>
                <w:rFonts w:hint="eastAsia"/>
                <w:sz w:val="20"/>
                <w:szCs w:val="20"/>
              </w:rPr>
            </w:pPr>
            <w:r>
              <w:rPr>
                <w:sz w:val="20"/>
                <w:szCs w:val="20"/>
              </w:rPr>
              <w:t>所设置的轿内检修盒面板锁有效，检修盒内各开关功能正常</w:t>
            </w:r>
          </w:p>
          <w:p>
            <w:pPr>
              <w:pStyle w:val="TableParagraph"/>
              <w:numPr>
                <w:ilvl w:val="0"/>
                <w:numId w:val="49"/>
              </w:numPr>
              <w:tabs>
                <w:tab w:val="left" w:pos="351"/>
              </w:tabs>
              <w:spacing w:line="360" w:lineRule="auto"/>
              <w:ind w:left="0" w:firstLine="0"/>
              <w:jc w:val="both"/>
              <w:rPr>
                <w:rFonts w:hint="eastAsia"/>
                <w:sz w:val="20"/>
                <w:szCs w:val="20"/>
              </w:rPr>
            </w:pPr>
            <w:r>
              <w:rPr>
                <w:sz w:val="20"/>
                <w:szCs w:val="20"/>
              </w:rPr>
              <w:t>显示器表面无破损，显示状态正确无误</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817"/>
          <w:jc w:val="center"/>
        </w:trPr>
        <w:tc>
          <w:tcPr>
            <w:tcW w:w="192" w:type="pct"/>
            <w:vMerge w:val="restart"/>
            <w:tcBorders>
              <w:left w:val="single" w:sz="12" w:space="0" w:color="000000"/>
            </w:tcBorders>
            <w:vAlign w:val="center"/>
          </w:tcPr>
          <w:p>
            <w:pPr>
              <w:pStyle w:val="TableParagraph"/>
              <w:spacing w:line="360" w:lineRule="auto"/>
              <w:jc w:val="both"/>
              <w:rPr>
                <w:rFonts w:hint="eastAsia"/>
                <w:sz w:val="20"/>
                <w:szCs w:val="20"/>
              </w:rPr>
            </w:pPr>
            <w:r>
              <w:rPr>
                <w:sz w:val="20"/>
                <w:szCs w:val="20"/>
              </w:rPr>
              <w:t>15</w:t>
            </w:r>
          </w:p>
        </w:tc>
        <w:tc>
          <w:tcPr>
            <w:tcW w:w="864" w:type="pct"/>
            <w:gridSpan w:val="3"/>
            <w:vMerge w:val="restart"/>
            <w:vAlign w:val="center"/>
          </w:tcPr>
          <w:p>
            <w:pPr>
              <w:pStyle w:val="TableParagraph"/>
              <w:spacing w:line="360" w:lineRule="auto"/>
              <w:jc w:val="both"/>
              <w:rPr>
                <w:rFonts w:hint="eastAsia"/>
                <w:sz w:val="20"/>
                <w:szCs w:val="20"/>
              </w:rPr>
            </w:pPr>
            <w:r>
              <w:rPr>
                <w:sz w:val="20"/>
                <w:szCs w:val="20"/>
              </w:rPr>
              <w:t>轿厢照明和通风装置</w:t>
            </w:r>
          </w:p>
        </w:tc>
        <w:tc>
          <w:tcPr>
            <w:tcW w:w="2818" w:type="pct"/>
            <w:vMerge w:val="restart"/>
            <w:vAlign w:val="center"/>
          </w:tcPr>
          <w:p>
            <w:pPr>
              <w:pStyle w:val="TableParagraph"/>
              <w:numPr>
                <w:ilvl w:val="0"/>
                <w:numId w:val="49"/>
              </w:numPr>
              <w:tabs>
                <w:tab w:val="left" w:pos="351"/>
              </w:tabs>
              <w:spacing w:line="360" w:lineRule="auto"/>
              <w:ind w:left="0" w:firstLine="0"/>
              <w:jc w:val="both"/>
              <w:rPr>
                <w:rFonts w:hint="eastAsia"/>
                <w:sz w:val="20"/>
                <w:szCs w:val="20"/>
              </w:rPr>
            </w:pPr>
            <w:r>
              <w:rPr>
                <w:sz w:val="20"/>
                <w:szCs w:val="20"/>
              </w:rPr>
              <w:t>轿厢内照明和通风装置工作应正常,轿内地板的照明度要在 50Lx 以上</w:t>
            </w:r>
          </w:p>
          <w:p>
            <w:pPr>
              <w:pStyle w:val="TableParagraph"/>
              <w:numPr>
                <w:ilvl w:val="0"/>
                <w:numId w:val="49"/>
              </w:numPr>
              <w:tabs>
                <w:tab w:val="left" w:pos="351"/>
              </w:tabs>
              <w:spacing w:line="360" w:lineRule="auto"/>
              <w:ind w:left="0" w:firstLine="0"/>
              <w:jc w:val="both"/>
              <w:rPr>
                <w:rFonts w:hint="eastAsia"/>
                <w:sz w:val="20"/>
                <w:szCs w:val="20"/>
              </w:rPr>
            </w:pPr>
            <w:r>
              <w:rPr>
                <w:sz w:val="20"/>
                <w:szCs w:val="20"/>
              </w:rPr>
              <w:t>应定期检查及清洁轿厢风扇，风扇轴承应定期注油润滑</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594"/>
          <w:jc w:val="center"/>
        </w:trPr>
        <w:tc>
          <w:tcPr>
            <w:tcW w:w="192" w:type="pct"/>
            <w:vMerge/>
            <w:tcBorders>
              <w:top w:val="nil"/>
              <w:left w:val="single" w:sz="12" w:space="0" w:color="000000"/>
            </w:tcBorders>
            <w:vAlign w:val="center"/>
          </w:tcPr>
          <w:p>
            <w:pPr>
              <w:spacing w:line="360" w:lineRule="auto"/>
              <w:rPr>
                <w:rFonts w:ascii="宋体" w:hAnsi="宋体" w:hint="eastAsia"/>
                <w:sz w:val="20"/>
                <w:szCs w:val="20"/>
              </w:rPr>
            </w:pPr>
          </w:p>
        </w:tc>
        <w:tc>
          <w:tcPr>
            <w:tcW w:w="864" w:type="pct"/>
            <w:gridSpan w:val="3"/>
            <w:vMerge/>
            <w:tcBorders>
              <w:top w:val="nil"/>
            </w:tcBorders>
            <w:vAlign w:val="center"/>
          </w:tcPr>
          <w:p>
            <w:pPr>
              <w:spacing w:line="360" w:lineRule="auto"/>
              <w:rPr>
                <w:rFonts w:ascii="宋体" w:hAnsi="宋体" w:hint="eastAsia"/>
                <w:sz w:val="20"/>
                <w:szCs w:val="20"/>
              </w:rPr>
            </w:pPr>
          </w:p>
        </w:tc>
        <w:tc>
          <w:tcPr>
            <w:tcW w:w="2818" w:type="pct"/>
            <w:vMerge/>
            <w:tcBorders>
              <w:top w:val="nil"/>
            </w:tcBorders>
            <w:vAlign w:val="center"/>
          </w:tcPr>
          <w:p>
            <w:pPr>
              <w:pStyle w:val="TableParagraph"/>
              <w:numPr>
                <w:ilvl w:val="0"/>
                <w:numId w:val="49"/>
              </w:numPr>
              <w:tabs>
                <w:tab w:val="left" w:pos="350"/>
              </w:tabs>
              <w:spacing w:line="360" w:lineRule="auto"/>
              <w:ind w:left="0" w:firstLine="0"/>
              <w:jc w:val="both"/>
              <w:rPr>
                <w:rFonts w:hint="eastAsia"/>
                <w:sz w:val="20"/>
                <w:szCs w:val="20"/>
              </w:rPr>
            </w:pP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3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290"/>
          <w:jc w:val="center"/>
        </w:trPr>
        <w:tc>
          <w:tcPr>
            <w:tcW w:w="192" w:type="pct"/>
            <w:vMerge w:val="restart"/>
            <w:tcBorders>
              <w:left w:val="single" w:sz="12" w:space="0" w:color="000000"/>
            </w:tcBorders>
            <w:vAlign w:val="center"/>
          </w:tcPr>
          <w:p>
            <w:pPr>
              <w:pStyle w:val="TableParagraph"/>
              <w:spacing w:line="360" w:lineRule="auto"/>
              <w:jc w:val="both"/>
              <w:rPr>
                <w:rFonts w:hint="eastAsia"/>
                <w:sz w:val="20"/>
                <w:szCs w:val="20"/>
              </w:rPr>
            </w:pPr>
            <w:r>
              <w:rPr>
                <w:sz w:val="20"/>
                <w:szCs w:val="20"/>
              </w:rPr>
              <w:t>16</w:t>
            </w:r>
          </w:p>
        </w:tc>
        <w:tc>
          <w:tcPr>
            <w:tcW w:w="864" w:type="pct"/>
            <w:gridSpan w:val="3"/>
            <w:vMerge w:val="restart"/>
            <w:vAlign w:val="center"/>
          </w:tcPr>
          <w:p>
            <w:pPr>
              <w:pStyle w:val="TableParagraph"/>
              <w:spacing w:line="360" w:lineRule="auto"/>
              <w:jc w:val="both"/>
              <w:rPr>
                <w:rFonts w:hint="eastAsia"/>
                <w:sz w:val="20"/>
                <w:szCs w:val="20"/>
              </w:rPr>
            </w:pPr>
            <w:r>
              <w:rPr>
                <w:sz w:val="20"/>
                <w:szCs w:val="20"/>
              </w:rPr>
              <w:t>轿厢门、地坎、护脚板</w:t>
            </w:r>
          </w:p>
        </w:tc>
        <w:tc>
          <w:tcPr>
            <w:tcW w:w="2818" w:type="pct"/>
            <w:vAlign w:val="center"/>
          </w:tcPr>
          <w:p>
            <w:pPr>
              <w:pStyle w:val="TableParagraph"/>
              <w:numPr>
                <w:ilvl w:val="0"/>
                <w:numId w:val="49"/>
              </w:numPr>
              <w:tabs>
                <w:tab w:val="left" w:pos="351"/>
              </w:tabs>
              <w:spacing w:line="360" w:lineRule="auto"/>
              <w:ind w:left="0" w:firstLine="0"/>
              <w:jc w:val="both"/>
              <w:rPr>
                <w:rFonts w:hint="eastAsia"/>
                <w:sz w:val="20"/>
                <w:szCs w:val="20"/>
              </w:rPr>
            </w:pPr>
            <w:r>
              <w:rPr>
                <w:sz w:val="20"/>
                <w:szCs w:val="20"/>
              </w:rPr>
              <w:t>不应存在严重的变形、磨损、生锈、腐蚀</w:t>
            </w:r>
          </w:p>
          <w:p>
            <w:pPr>
              <w:pStyle w:val="TableParagraph"/>
              <w:numPr>
                <w:ilvl w:val="0"/>
                <w:numId w:val="49"/>
              </w:numPr>
              <w:tabs>
                <w:tab w:val="left" w:pos="351"/>
              </w:tabs>
              <w:spacing w:line="360" w:lineRule="auto"/>
              <w:ind w:left="0" w:firstLine="0"/>
              <w:jc w:val="both"/>
              <w:rPr>
                <w:rFonts w:hint="eastAsia"/>
                <w:sz w:val="20"/>
                <w:szCs w:val="20"/>
              </w:rPr>
            </w:pPr>
            <w:r>
              <w:rPr>
                <w:sz w:val="20"/>
                <w:szCs w:val="20"/>
              </w:rPr>
              <w:t>轿厢地坎及上坎清洁无积尘</w:t>
            </w:r>
          </w:p>
          <w:p>
            <w:pPr>
              <w:pStyle w:val="TableParagraph"/>
              <w:numPr>
                <w:ilvl w:val="0"/>
                <w:numId w:val="49"/>
              </w:numPr>
              <w:tabs>
                <w:tab w:val="left" w:pos="351"/>
              </w:tabs>
              <w:spacing w:line="360" w:lineRule="auto"/>
              <w:ind w:left="0" w:firstLine="0"/>
              <w:jc w:val="both"/>
              <w:rPr>
                <w:rFonts w:hint="eastAsia"/>
                <w:sz w:val="20"/>
                <w:szCs w:val="20"/>
              </w:rPr>
            </w:pPr>
            <w:r>
              <w:rPr>
                <w:sz w:val="20"/>
                <w:szCs w:val="20"/>
              </w:rPr>
              <w:t>轿门门门滑块齐全，无脱落</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544"/>
          <w:jc w:val="center"/>
        </w:trPr>
        <w:tc>
          <w:tcPr>
            <w:tcW w:w="192" w:type="pct"/>
            <w:vMerge/>
            <w:tcBorders>
              <w:top w:val="nil"/>
              <w:left w:val="single" w:sz="12" w:space="0" w:color="000000"/>
            </w:tcBorders>
            <w:vAlign w:val="center"/>
          </w:tcPr>
          <w:p>
            <w:pPr>
              <w:spacing w:line="360" w:lineRule="auto"/>
              <w:rPr>
                <w:rFonts w:ascii="宋体" w:hAnsi="宋体" w:hint="eastAsia"/>
                <w:sz w:val="20"/>
                <w:szCs w:val="20"/>
              </w:rPr>
            </w:pPr>
          </w:p>
        </w:tc>
        <w:tc>
          <w:tcPr>
            <w:tcW w:w="864" w:type="pct"/>
            <w:gridSpan w:val="3"/>
            <w:vMerge/>
            <w:tcBorders>
              <w:top w:val="nil"/>
            </w:tcBorders>
            <w:vAlign w:val="center"/>
          </w:tcPr>
          <w:p>
            <w:pPr>
              <w:pStyle w:val="TableParagraph"/>
              <w:spacing w:line="360" w:lineRule="auto"/>
              <w:jc w:val="both"/>
              <w:rPr>
                <w:rFonts w:hint="eastAsia"/>
                <w:sz w:val="20"/>
                <w:szCs w:val="20"/>
              </w:rPr>
            </w:pP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护脚板符合标准要求并固定可靠</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阻止关门所需的力不应大于 150N</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门扇与门扇，门扇与门框、地坎之间的间隙符合标准要求</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轿门门滑块、轿门门挂轮、门挂板偏心轮检查磨损及间隙调整</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不应出现因轿门滑块磨损而产生噪音</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3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685"/>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17</w:t>
            </w:r>
          </w:p>
        </w:tc>
        <w:tc>
          <w:tcPr>
            <w:tcW w:w="864" w:type="pct"/>
            <w:gridSpan w:val="3"/>
            <w:vAlign w:val="center"/>
          </w:tcPr>
          <w:p>
            <w:pPr>
              <w:pStyle w:val="TableParagraph"/>
              <w:spacing w:line="360" w:lineRule="auto"/>
              <w:jc w:val="both"/>
              <w:rPr>
                <w:rFonts w:hint="eastAsia"/>
                <w:sz w:val="20"/>
                <w:szCs w:val="20"/>
              </w:rPr>
            </w:pPr>
            <w:r>
              <w:rPr>
                <w:sz w:val="20"/>
                <w:szCs w:val="20"/>
              </w:rPr>
              <w:t>轿门开关</w:t>
            </w:r>
          </w:p>
        </w:tc>
        <w:tc>
          <w:tcPr>
            <w:tcW w:w="2818" w:type="pct"/>
            <w:vAlign w:val="center"/>
          </w:tcPr>
          <w:p>
            <w:pPr>
              <w:pStyle w:val="TableParagraph"/>
              <w:numPr>
                <w:ilvl w:val="0"/>
                <w:numId w:val="49"/>
              </w:numPr>
              <w:tabs>
                <w:tab w:val="left" w:pos="351"/>
              </w:tabs>
              <w:spacing w:line="360" w:lineRule="auto"/>
              <w:ind w:left="0" w:firstLine="0"/>
              <w:jc w:val="both"/>
              <w:rPr>
                <w:rFonts w:hint="eastAsia"/>
                <w:sz w:val="20"/>
                <w:szCs w:val="20"/>
              </w:rPr>
            </w:pPr>
            <w:r>
              <w:rPr>
                <w:sz w:val="20"/>
                <w:szCs w:val="20"/>
              </w:rPr>
              <w:t>开关安装应紧固、无松动</w:t>
            </w:r>
          </w:p>
          <w:p>
            <w:pPr>
              <w:pStyle w:val="TableParagraph"/>
              <w:numPr>
                <w:ilvl w:val="0"/>
                <w:numId w:val="49"/>
              </w:numPr>
              <w:tabs>
                <w:tab w:val="left" w:pos="351"/>
              </w:tabs>
              <w:spacing w:line="360" w:lineRule="auto"/>
              <w:ind w:left="0" w:firstLine="0"/>
              <w:jc w:val="both"/>
              <w:rPr>
                <w:rFonts w:hint="eastAsia"/>
                <w:sz w:val="20"/>
                <w:szCs w:val="20"/>
              </w:rPr>
            </w:pPr>
            <w:r>
              <w:rPr>
                <w:sz w:val="20"/>
                <w:szCs w:val="20"/>
              </w:rPr>
              <w:t>开关动作位置应适当，开关动作时电梯不能启动或停止运行</w:t>
            </w:r>
          </w:p>
          <w:p>
            <w:pPr>
              <w:pStyle w:val="TableParagraph"/>
              <w:numPr>
                <w:ilvl w:val="0"/>
                <w:numId w:val="49"/>
              </w:numPr>
              <w:tabs>
                <w:tab w:val="left" w:pos="351"/>
              </w:tabs>
              <w:spacing w:line="360" w:lineRule="auto"/>
              <w:ind w:left="0" w:firstLine="0"/>
              <w:jc w:val="both"/>
              <w:rPr>
                <w:rFonts w:hint="eastAsia"/>
                <w:sz w:val="20"/>
                <w:szCs w:val="20"/>
              </w:rPr>
            </w:pPr>
            <w:r>
              <w:rPr>
                <w:sz w:val="20"/>
                <w:szCs w:val="20"/>
              </w:rPr>
              <w:t>如两扇轿门不是直接连接，副门锁也应正常动作</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792"/>
          <w:jc w:val="center"/>
        </w:trPr>
        <w:tc>
          <w:tcPr>
            <w:tcW w:w="192" w:type="pct"/>
            <w:vMerge w:val="restart"/>
            <w:tcBorders>
              <w:left w:val="single" w:sz="12" w:space="0" w:color="000000"/>
            </w:tcBorders>
            <w:vAlign w:val="center"/>
          </w:tcPr>
          <w:p>
            <w:pPr>
              <w:pStyle w:val="TableParagraph"/>
              <w:spacing w:line="360" w:lineRule="auto"/>
              <w:jc w:val="both"/>
              <w:rPr>
                <w:rFonts w:hint="eastAsia"/>
                <w:sz w:val="20"/>
                <w:szCs w:val="20"/>
              </w:rPr>
            </w:pPr>
            <w:r>
              <w:rPr>
                <w:sz w:val="20"/>
                <w:szCs w:val="20"/>
              </w:rPr>
              <w:t>18</w:t>
            </w:r>
          </w:p>
        </w:tc>
        <w:tc>
          <w:tcPr>
            <w:tcW w:w="864" w:type="pct"/>
            <w:gridSpan w:val="3"/>
            <w:vMerge w:val="restart"/>
            <w:vAlign w:val="center"/>
          </w:tcPr>
          <w:p>
            <w:pPr>
              <w:pStyle w:val="TableParagraph"/>
              <w:spacing w:line="360" w:lineRule="auto"/>
              <w:jc w:val="both"/>
              <w:rPr>
                <w:rFonts w:hint="eastAsia"/>
                <w:sz w:val="20"/>
                <w:szCs w:val="20"/>
              </w:rPr>
            </w:pPr>
            <w:r>
              <w:rPr>
                <w:sz w:val="20"/>
                <w:szCs w:val="20"/>
              </w:rPr>
              <w:t>门机系统</w:t>
            </w:r>
          </w:p>
        </w:tc>
        <w:tc>
          <w:tcPr>
            <w:tcW w:w="2818" w:type="pct"/>
            <w:vAlign w:val="center"/>
          </w:tcPr>
          <w:p>
            <w:pPr>
              <w:pStyle w:val="TableParagraph"/>
              <w:numPr>
                <w:ilvl w:val="0"/>
                <w:numId w:val="49"/>
              </w:numPr>
              <w:tabs>
                <w:tab w:val="left" w:pos="351"/>
              </w:tabs>
              <w:spacing w:line="360" w:lineRule="auto"/>
              <w:ind w:left="0" w:firstLine="0"/>
              <w:jc w:val="both"/>
              <w:rPr>
                <w:rFonts w:hint="eastAsia"/>
                <w:sz w:val="20"/>
                <w:szCs w:val="20"/>
              </w:rPr>
            </w:pPr>
            <w:r>
              <w:rPr>
                <w:sz w:val="20"/>
                <w:szCs w:val="20"/>
              </w:rPr>
              <w:t>各部件固定可靠、运动机构传动灵活、润滑良好</w:t>
            </w:r>
          </w:p>
          <w:p>
            <w:pPr>
              <w:pStyle w:val="TableParagraph"/>
              <w:numPr>
                <w:ilvl w:val="0"/>
                <w:numId w:val="49"/>
              </w:numPr>
              <w:tabs>
                <w:tab w:val="left" w:pos="351"/>
              </w:tabs>
              <w:spacing w:line="360" w:lineRule="auto"/>
              <w:ind w:left="0" w:firstLine="0"/>
              <w:jc w:val="both"/>
              <w:rPr>
                <w:rFonts w:hint="eastAsia"/>
                <w:sz w:val="20"/>
                <w:szCs w:val="20"/>
              </w:rPr>
            </w:pPr>
            <w:r>
              <w:rPr>
                <w:sz w:val="20"/>
                <w:szCs w:val="20"/>
              </w:rPr>
              <w:t>开关门顺畅，无异响及卡阻</w:t>
            </w:r>
          </w:p>
          <w:p>
            <w:pPr>
              <w:pStyle w:val="TableParagraph"/>
              <w:numPr>
                <w:ilvl w:val="0"/>
                <w:numId w:val="49"/>
              </w:numPr>
              <w:tabs>
                <w:tab w:val="left" w:pos="351"/>
              </w:tabs>
              <w:spacing w:line="360" w:lineRule="auto"/>
              <w:ind w:left="0" w:firstLine="0"/>
              <w:jc w:val="both"/>
              <w:rPr>
                <w:rFonts w:hint="eastAsia"/>
                <w:sz w:val="20"/>
                <w:szCs w:val="20"/>
              </w:rPr>
            </w:pPr>
            <w:r>
              <w:rPr>
                <w:sz w:val="20"/>
                <w:szCs w:val="20"/>
              </w:rPr>
              <w:t>开、关门装置的传动链、带不应</w:t>
            </w:r>
            <w:r>
              <w:rPr>
                <w:rFonts w:hint="eastAsia"/>
                <w:sz w:val="20"/>
                <w:szCs w:val="20"/>
              </w:rPr>
              <w:t>松弛</w:t>
            </w:r>
            <w:r>
              <w:rPr>
                <w:sz w:val="20"/>
                <w:szCs w:val="20"/>
              </w:rPr>
              <w:t>和过度磨损</w:t>
            </w:r>
          </w:p>
          <w:p>
            <w:pPr>
              <w:pStyle w:val="TableParagraph"/>
              <w:numPr>
                <w:ilvl w:val="0"/>
                <w:numId w:val="49"/>
              </w:numPr>
              <w:tabs>
                <w:tab w:val="left" w:pos="351"/>
              </w:tabs>
              <w:spacing w:line="360" w:lineRule="auto"/>
              <w:ind w:left="0" w:firstLine="0"/>
              <w:jc w:val="both"/>
              <w:rPr>
                <w:rFonts w:hint="eastAsia"/>
                <w:sz w:val="20"/>
                <w:szCs w:val="20"/>
              </w:rPr>
            </w:pPr>
            <w:r>
              <w:rPr>
                <w:sz w:val="20"/>
                <w:szCs w:val="20"/>
              </w:rPr>
              <w:t>所设置的光电安全触板清洁无积尘，发射接收准确无误动作</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543"/>
          <w:jc w:val="center"/>
        </w:trPr>
        <w:tc>
          <w:tcPr>
            <w:tcW w:w="192" w:type="pct"/>
            <w:vMerge/>
            <w:tcBorders>
              <w:left w:val="single" w:sz="12" w:space="0" w:color="000000"/>
            </w:tcBorders>
            <w:vAlign w:val="center"/>
          </w:tcPr>
          <w:p>
            <w:pPr>
              <w:pStyle w:val="TableParagraph"/>
              <w:spacing w:line="360" w:lineRule="auto"/>
              <w:jc w:val="both"/>
              <w:rPr>
                <w:rFonts w:hint="eastAsia"/>
                <w:sz w:val="20"/>
                <w:szCs w:val="20"/>
              </w:rPr>
            </w:pPr>
          </w:p>
        </w:tc>
        <w:tc>
          <w:tcPr>
            <w:tcW w:w="864" w:type="pct"/>
            <w:gridSpan w:val="3"/>
            <w:vMerge/>
            <w:vAlign w:val="center"/>
          </w:tcPr>
          <w:p>
            <w:pPr>
              <w:pStyle w:val="TableParagraph"/>
              <w:spacing w:line="360" w:lineRule="auto"/>
              <w:jc w:val="both"/>
              <w:rPr>
                <w:rFonts w:hint="eastAsia"/>
                <w:sz w:val="20"/>
                <w:szCs w:val="20"/>
              </w:rPr>
            </w:pP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接线端子标记清晰、固定可靠、接触良好，无明显氧化及锈蚀</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机械安全触板相关尺寸调整符合产品要求</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安全装置动作应迅速可靠；安全装置动作时轿门应反向开门，运转应平稳</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开关门位置、速度传感装置工作正常</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3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428"/>
          <w:jc w:val="center"/>
        </w:trPr>
        <w:tc>
          <w:tcPr>
            <w:tcW w:w="192" w:type="pct"/>
            <w:vMerge w:val="restart"/>
            <w:tcBorders>
              <w:left w:val="single" w:sz="12" w:space="0" w:color="000000"/>
            </w:tcBorders>
            <w:vAlign w:val="center"/>
          </w:tcPr>
          <w:p>
            <w:pPr>
              <w:pStyle w:val="TableParagraph"/>
              <w:spacing w:line="360" w:lineRule="auto"/>
              <w:jc w:val="both"/>
              <w:rPr>
                <w:rFonts w:hint="eastAsia"/>
                <w:sz w:val="20"/>
                <w:szCs w:val="20"/>
              </w:rPr>
            </w:pPr>
            <w:r>
              <w:rPr>
                <w:sz w:val="20"/>
                <w:szCs w:val="20"/>
              </w:rPr>
              <w:t>19</w:t>
            </w:r>
          </w:p>
        </w:tc>
        <w:tc>
          <w:tcPr>
            <w:tcW w:w="864" w:type="pct"/>
            <w:gridSpan w:val="3"/>
            <w:vMerge w:val="restart"/>
            <w:vAlign w:val="center"/>
          </w:tcPr>
          <w:p>
            <w:pPr>
              <w:pStyle w:val="TableParagraph"/>
              <w:spacing w:line="360" w:lineRule="auto"/>
              <w:jc w:val="both"/>
              <w:rPr>
                <w:rFonts w:hint="eastAsia"/>
                <w:sz w:val="20"/>
                <w:szCs w:val="20"/>
              </w:rPr>
            </w:pPr>
            <w:r>
              <w:rPr>
                <w:sz w:val="20"/>
                <w:szCs w:val="20"/>
              </w:rPr>
              <w:t>轿厢地坎轿门边缘与井 道壁之间的 距离</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不能超越规定尺寸 150mm</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12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006"/>
          <w:jc w:val="center"/>
        </w:trPr>
        <w:tc>
          <w:tcPr>
            <w:tcW w:w="192" w:type="pct"/>
            <w:vMerge/>
            <w:tcBorders>
              <w:top w:val="nil"/>
              <w:left w:val="single" w:sz="12" w:space="0" w:color="000000"/>
            </w:tcBorders>
            <w:vAlign w:val="center"/>
          </w:tcPr>
          <w:p>
            <w:pPr>
              <w:pStyle w:val="TableParagraph"/>
              <w:spacing w:line="360" w:lineRule="auto"/>
              <w:jc w:val="both"/>
              <w:rPr>
                <w:rFonts w:hint="eastAsia"/>
                <w:sz w:val="20"/>
                <w:szCs w:val="20"/>
              </w:rPr>
            </w:pPr>
          </w:p>
        </w:tc>
        <w:tc>
          <w:tcPr>
            <w:tcW w:w="864" w:type="pct"/>
            <w:gridSpan w:val="3"/>
            <w:vMerge/>
            <w:tcBorders>
              <w:top w:val="nil"/>
            </w:tcBorders>
            <w:vAlign w:val="center"/>
          </w:tcPr>
          <w:p>
            <w:pPr>
              <w:pStyle w:val="TableParagraph"/>
              <w:spacing w:line="360" w:lineRule="auto"/>
              <w:jc w:val="both"/>
              <w:rPr>
                <w:rFonts w:hint="eastAsia"/>
                <w:sz w:val="20"/>
                <w:szCs w:val="20"/>
              </w:rPr>
            </w:pP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轿厢地坎与厅门地坎间隙、轿厢地坎与厅门门锁轮间隙检查符合标准</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6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714"/>
          <w:jc w:val="center"/>
        </w:trPr>
        <w:tc>
          <w:tcPr>
            <w:tcW w:w="192" w:type="pct"/>
            <w:vMerge/>
            <w:tcBorders>
              <w:top w:val="nil"/>
              <w:left w:val="single" w:sz="12" w:space="0" w:color="000000"/>
            </w:tcBorders>
            <w:vAlign w:val="center"/>
          </w:tcPr>
          <w:p>
            <w:pPr>
              <w:pStyle w:val="TableParagraph"/>
              <w:spacing w:line="360" w:lineRule="auto"/>
              <w:jc w:val="both"/>
              <w:rPr>
                <w:rFonts w:hint="eastAsia"/>
                <w:sz w:val="20"/>
                <w:szCs w:val="20"/>
              </w:rPr>
            </w:pPr>
          </w:p>
        </w:tc>
        <w:tc>
          <w:tcPr>
            <w:tcW w:w="864" w:type="pct"/>
            <w:gridSpan w:val="3"/>
            <w:vMerge/>
            <w:tcBorders>
              <w:top w:val="nil"/>
            </w:tcBorders>
            <w:vAlign w:val="center"/>
          </w:tcPr>
          <w:p>
            <w:pPr>
              <w:pStyle w:val="TableParagraph"/>
              <w:spacing w:line="360" w:lineRule="auto"/>
              <w:jc w:val="both"/>
              <w:rPr>
                <w:rFonts w:hint="eastAsia"/>
                <w:sz w:val="20"/>
                <w:szCs w:val="20"/>
              </w:rPr>
            </w:pP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如装有井道壁防护网或防护板，防护网（板）不应松脱或损坏</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3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608"/>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20</w:t>
            </w:r>
          </w:p>
        </w:tc>
        <w:tc>
          <w:tcPr>
            <w:tcW w:w="864" w:type="pct"/>
            <w:gridSpan w:val="3"/>
            <w:vAlign w:val="center"/>
          </w:tcPr>
          <w:p>
            <w:pPr>
              <w:pStyle w:val="TableParagraph"/>
              <w:spacing w:line="360" w:lineRule="auto"/>
              <w:jc w:val="both"/>
              <w:rPr>
                <w:rFonts w:hint="eastAsia"/>
                <w:sz w:val="20"/>
                <w:szCs w:val="20"/>
              </w:rPr>
            </w:pPr>
            <w:r>
              <w:rPr>
                <w:sz w:val="20"/>
                <w:szCs w:val="20"/>
              </w:rPr>
              <w:t>紧急出口（安全窗、安全 门、检修门、活板门）</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出口门（窗）开、关顺畅，锁紧装置可靠有效并符合标准要求</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出口门（窗）应附带开关，打开出口时电梯停止</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出口门（窗）强度足够，不应破损</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852"/>
          <w:jc w:val="center"/>
        </w:trPr>
        <w:tc>
          <w:tcPr>
            <w:tcW w:w="192" w:type="pct"/>
            <w:tcBorders>
              <w:left w:val="single" w:sz="12" w:space="0" w:color="000000"/>
              <w:bottom w:val="single" w:sz="8" w:space="0" w:color="000000"/>
            </w:tcBorders>
            <w:vAlign w:val="center"/>
          </w:tcPr>
          <w:p>
            <w:pPr>
              <w:pStyle w:val="TableParagraph"/>
              <w:spacing w:line="360" w:lineRule="auto"/>
              <w:jc w:val="both"/>
              <w:rPr>
                <w:rFonts w:hint="eastAsia"/>
                <w:sz w:val="20"/>
                <w:szCs w:val="20"/>
              </w:rPr>
            </w:pPr>
            <w:r>
              <w:rPr>
                <w:sz w:val="20"/>
                <w:szCs w:val="20"/>
              </w:rPr>
              <w:t>21</w:t>
            </w:r>
          </w:p>
        </w:tc>
        <w:tc>
          <w:tcPr>
            <w:tcW w:w="864" w:type="pct"/>
            <w:gridSpan w:val="3"/>
            <w:tcBorders>
              <w:bottom w:val="single" w:sz="8" w:space="0" w:color="000000"/>
            </w:tcBorders>
            <w:vAlign w:val="center"/>
          </w:tcPr>
          <w:p>
            <w:pPr>
              <w:pStyle w:val="TableParagraph"/>
              <w:spacing w:line="360" w:lineRule="auto"/>
              <w:jc w:val="both"/>
              <w:rPr>
                <w:rFonts w:hint="eastAsia"/>
                <w:sz w:val="20"/>
                <w:szCs w:val="20"/>
              </w:rPr>
            </w:pPr>
            <w:r>
              <w:rPr>
                <w:sz w:val="20"/>
                <w:szCs w:val="20"/>
              </w:rPr>
              <w:t>轿门机械锁装置</w:t>
            </w:r>
          </w:p>
        </w:tc>
        <w:tc>
          <w:tcPr>
            <w:tcW w:w="2818" w:type="pct"/>
            <w:tcBorders>
              <w:bottom w:val="single" w:sz="8" w:space="0" w:color="000000"/>
            </w:tcBorders>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应符合相关的动作条件，动作应灵活、可靠</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如依靠电磁装置动作，电磁装置动作正常，温升不应过高</w:t>
            </w:r>
          </w:p>
        </w:tc>
        <w:tc>
          <w:tcPr>
            <w:tcW w:w="1126" w:type="pct"/>
            <w:tcBorders>
              <w:bottom w:val="single" w:sz="8" w:space="0" w:color="000000"/>
              <w:right w:val="single" w:sz="12" w:space="0" w:color="000000"/>
            </w:tcBorders>
            <w:vAlign w:val="center"/>
          </w:tcPr>
          <w:p>
            <w:pPr>
              <w:pStyle w:val="TableParagraph"/>
              <w:spacing w:line="360" w:lineRule="auto"/>
              <w:jc w:val="center"/>
              <w:rPr>
                <w:rFonts w:hint="eastAsia"/>
                <w:sz w:val="20"/>
                <w:szCs w:val="20"/>
              </w:rPr>
            </w:pPr>
            <w:r>
              <w:rPr>
                <w:sz w:val="20"/>
                <w:szCs w:val="20"/>
              </w:rPr>
              <w:t>1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817"/>
          <w:jc w:val="center"/>
        </w:trPr>
        <w:tc>
          <w:tcPr>
            <w:tcW w:w="192" w:type="pct"/>
            <w:tcBorders>
              <w:top w:val="single" w:sz="8" w:space="0" w:color="000000"/>
              <w:left w:val="single" w:sz="12" w:space="0" w:color="000000"/>
            </w:tcBorders>
            <w:vAlign w:val="center"/>
          </w:tcPr>
          <w:p>
            <w:pPr>
              <w:pStyle w:val="TableParagraph"/>
              <w:spacing w:line="360" w:lineRule="auto"/>
              <w:jc w:val="both"/>
              <w:rPr>
                <w:rFonts w:hint="eastAsia"/>
                <w:sz w:val="20"/>
                <w:szCs w:val="20"/>
              </w:rPr>
            </w:pPr>
            <w:r>
              <w:rPr>
                <w:sz w:val="20"/>
                <w:szCs w:val="20"/>
              </w:rPr>
              <w:t>22</w:t>
            </w:r>
          </w:p>
        </w:tc>
        <w:tc>
          <w:tcPr>
            <w:tcW w:w="864" w:type="pct"/>
            <w:gridSpan w:val="3"/>
            <w:tcBorders>
              <w:top w:val="single" w:sz="8" w:space="0" w:color="000000"/>
            </w:tcBorders>
            <w:vAlign w:val="center"/>
          </w:tcPr>
          <w:p>
            <w:pPr>
              <w:pStyle w:val="TableParagraph"/>
              <w:spacing w:line="360" w:lineRule="auto"/>
              <w:jc w:val="both"/>
              <w:rPr>
                <w:rFonts w:hint="eastAsia"/>
                <w:sz w:val="20"/>
                <w:szCs w:val="20"/>
              </w:rPr>
            </w:pPr>
            <w:r>
              <w:rPr>
                <w:sz w:val="20"/>
                <w:szCs w:val="20"/>
              </w:rPr>
              <w:t>应急照明、警铃和电话</w:t>
            </w:r>
          </w:p>
        </w:tc>
        <w:tc>
          <w:tcPr>
            <w:tcW w:w="2818" w:type="pct"/>
            <w:tcBorders>
              <w:top w:val="single" w:sz="8" w:space="0" w:color="000000"/>
            </w:tcBorders>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停电后应急照明装置应正常，</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报警装置、通话装置的按钮标记清晰、功能正常</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外部警铃及电话等设置在管理员常驻的消防中心或值班室</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为方便紧急救援、检修，机房与轿厢间应设置电话联络装置</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设置在轿内的紧急联络装置要使用方便。</w:t>
            </w:r>
          </w:p>
        </w:tc>
        <w:tc>
          <w:tcPr>
            <w:tcW w:w="1126" w:type="pct"/>
            <w:tcBorders>
              <w:top w:val="single" w:sz="8" w:space="0" w:color="000000"/>
              <w:right w:val="single" w:sz="12"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870"/>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23</w:t>
            </w:r>
          </w:p>
        </w:tc>
        <w:tc>
          <w:tcPr>
            <w:tcW w:w="864" w:type="pct"/>
            <w:gridSpan w:val="3"/>
            <w:vAlign w:val="center"/>
          </w:tcPr>
          <w:p>
            <w:pPr>
              <w:pStyle w:val="TableParagraph"/>
              <w:spacing w:line="360" w:lineRule="auto"/>
              <w:jc w:val="both"/>
              <w:rPr>
                <w:rFonts w:hint="eastAsia"/>
                <w:sz w:val="20"/>
                <w:szCs w:val="20"/>
              </w:rPr>
            </w:pPr>
            <w:r>
              <w:rPr>
                <w:sz w:val="20"/>
                <w:szCs w:val="20"/>
              </w:rPr>
              <w:t>轿顶检修装置</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轿顶检修装置应优先于其他一切检修装置</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检修开关动作应灵活可靠</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573"/>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24</w:t>
            </w:r>
          </w:p>
        </w:tc>
        <w:tc>
          <w:tcPr>
            <w:tcW w:w="864" w:type="pct"/>
            <w:gridSpan w:val="3"/>
            <w:vAlign w:val="center"/>
          </w:tcPr>
          <w:p>
            <w:pPr>
              <w:pStyle w:val="TableParagraph"/>
              <w:spacing w:line="360" w:lineRule="auto"/>
              <w:jc w:val="both"/>
              <w:rPr>
                <w:rFonts w:hint="eastAsia"/>
                <w:sz w:val="20"/>
                <w:szCs w:val="20"/>
              </w:rPr>
            </w:pPr>
            <w:r>
              <w:rPr>
                <w:sz w:val="20"/>
                <w:szCs w:val="20"/>
              </w:rPr>
              <w:t>轿顶停止开关</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停止开关的动作要良好</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677"/>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25</w:t>
            </w:r>
          </w:p>
        </w:tc>
        <w:tc>
          <w:tcPr>
            <w:tcW w:w="864" w:type="pct"/>
            <w:gridSpan w:val="3"/>
            <w:vAlign w:val="center"/>
          </w:tcPr>
          <w:p>
            <w:pPr>
              <w:pStyle w:val="TableParagraph"/>
              <w:spacing w:line="360" w:lineRule="auto"/>
              <w:jc w:val="both"/>
              <w:rPr>
                <w:rFonts w:hint="eastAsia"/>
                <w:sz w:val="20"/>
                <w:szCs w:val="20"/>
              </w:rPr>
            </w:pPr>
            <w:r>
              <w:rPr>
                <w:sz w:val="20"/>
                <w:szCs w:val="20"/>
              </w:rPr>
              <w:t>停层、平层装置</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各平层感应器表面清洁无积尘，感应器与感应片的各相关尺寸符合要求</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确认轿厢运行时产生的位移不会导致感应器与感应片碰撞</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电气连线固定可靠，接触良好</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868"/>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26</w:t>
            </w:r>
          </w:p>
        </w:tc>
        <w:tc>
          <w:tcPr>
            <w:tcW w:w="864" w:type="pct"/>
            <w:gridSpan w:val="3"/>
            <w:vAlign w:val="center"/>
          </w:tcPr>
          <w:p>
            <w:pPr>
              <w:pStyle w:val="TableParagraph"/>
              <w:spacing w:line="360" w:lineRule="auto"/>
              <w:jc w:val="both"/>
              <w:rPr>
                <w:rFonts w:hint="eastAsia"/>
                <w:sz w:val="20"/>
                <w:szCs w:val="20"/>
              </w:rPr>
            </w:pPr>
            <w:r>
              <w:rPr>
                <w:sz w:val="20"/>
                <w:szCs w:val="20"/>
              </w:rPr>
              <w:t>轿顶照明</w:t>
            </w:r>
          </w:p>
          <w:p>
            <w:pPr>
              <w:pStyle w:val="TableParagraph"/>
              <w:spacing w:line="360" w:lineRule="auto"/>
              <w:jc w:val="both"/>
              <w:rPr>
                <w:rFonts w:hint="eastAsia"/>
                <w:sz w:val="20"/>
                <w:szCs w:val="20"/>
              </w:rPr>
            </w:pPr>
            <w:r>
              <w:rPr>
                <w:sz w:val="20"/>
                <w:szCs w:val="20"/>
              </w:rPr>
              <w:t>及开关</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轿顶照明、照明开关及防护罩应齐全并良好，有备用灯泡</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008"/>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27</w:t>
            </w:r>
          </w:p>
        </w:tc>
        <w:tc>
          <w:tcPr>
            <w:tcW w:w="864" w:type="pct"/>
            <w:gridSpan w:val="3"/>
            <w:vAlign w:val="center"/>
          </w:tcPr>
          <w:p>
            <w:pPr>
              <w:pStyle w:val="TableParagraph"/>
              <w:spacing w:line="360" w:lineRule="auto"/>
              <w:jc w:val="both"/>
              <w:rPr>
                <w:rFonts w:hint="eastAsia"/>
                <w:sz w:val="20"/>
                <w:szCs w:val="20"/>
              </w:rPr>
            </w:pPr>
            <w:r>
              <w:rPr>
                <w:sz w:val="20"/>
                <w:szCs w:val="20"/>
              </w:rPr>
              <w:t>轿顶面、防护栏</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轿顶面清洁无油污，防护栏应有足够强度和合适的尺寸</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轿顶面各装置电气布线整齐</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6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286"/>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28</w:t>
            </w:r>
          </w:p>
        </w:tc>
        <w:tc>
          <w:tcPr>
            <w:tcW w:w="864" w:type="pct"/>
            <w:gridSpan w:val="3"/>
            <w:vAlign w:val="center"/>
          </w:tcPr>
          <w:p>
            <w:pPr>
              <w:pStyle w:val="TableParagraph"/>
              <w:spacing w:line="360" w:lineRule="auto"/>
              <w:jc w:val="both"/>
              <w:rPr>
                <w:rFonts w:hint="eastAsia"/>
                <w:sz w:val="20"/>
                <w:szCs w:val="20"/>
              </w:rPr>
            </w:pPr>
            <w:r>
              <w:rPr>
                <w:sz w:val="20"/>
                <w:szCs w:val="20"/>
              </w:rPr>
              <w:t>轿顶反绳轮</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钢丝绳槽无严重油污，不应有过度磨损，绳轮转动灵活轴承润滑良好，无异响</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绳轮应有防护罩和挡绳装置，挡绳装置的位置合适</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3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890"/>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29</w:t>
            </w:r>
          </w:p>
        </w:tc>
        <w:tc>
          <w:tcPr>
            <w:tcW w:w="864" w:type="pct"/>
            <w:gridSpan w:val="3"/>
            <w:vAlign w:val="center"/>
          </w:tcPr>
          <w:p>
            <w:pPr>
              <w:pStyle w:val="TableParagraph"/>
              <w:spacing w:line="360" w:lineRule="auto"/>
              <w:jc w:val="both"/>
              <w:rPr>
                <w:rFonts w:hint="eastAsia"/>
                <w:sz w:val="20"/>
                <w:szCs w:val="20"/>
              </w:rPr>
            </w:pPr>
            <w:r>
              <w:rPr>
                <w:sz w:val="20"/>
                <w:szCs w:val="20"/>
              </w:rPr>
              <w:t>导靴(滚轮)</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运行时无异响，接触部(转动部)的磨损不应太大、润滑良好</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导靴（滚轮）安装尺寸符合产品要求</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轿顶、对重上油杯内油量充足且油杯不漏油不破损</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006"/>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30</w:t>
            </w:r>
          </w:p>
        </w:tc>
        <w:tc>
          <w:tcPr>
            <w:tcW w:w="864" w:type="pct"/>
            <w:gridSpan w:val="3"/>
            <w:vAlign w:val="center"/>
          </w:tcPr>
          <w:p>
            <w:pPr>
              <w:pStyle w:val="TableParagraph"/>
              <w:spacing w:line="360" w:lineRule="auto"/>
              <w:jc w:val="both"/>
              <w:rPr>
                <w:rFonts w:hint="eastAsia"/>
                <w:sz w:val="20"/>
                <w:szCs w:val="20"/>
              </w:rPr>
            </w:pPr>
            <w:r>
              <w:rPr>
                <w:sz w:val="20"/>
                <w:szCs w:val="20"/>
              </w:rPr>
              <w:t>机械选层器</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机械选层器的钢带应张紧，接头固定良好</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断带安全保护开关位置正确，功能正常</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730"/>
          <w:jc w:val="center"/>
        </w:trPr>
        <w:tc>
          <w:tcPr>
            <w:tcW w:w="192" w:type="pct"/>
            <w:vMerge w:val="restart"/>
            <w:tcBorders>
              <w:left w:val="single" w:sz="12" w:space="0" w:color="000000"/>
            </w:tcBorders>
            <w:vAlign w:val="center"/>
          </w:tcPr>
          <w:p>
            <w:pPr>
              <w:pStyle w:val="TableParagraph"/>
              <w:spacing w:line="360" w:lineRule="auto"/>
              <w:jc w:val="both"/>
              <w:rPr>
                <w:rFonts w:hint="eastAsia"/>
                <w:sz w:val="20"/>
                <w:szCs w:val="20"/>
              </w:rPr>
            </w:pPr>
            <w:r>
              <w:rPr>
                <w:sz w:val="20"/>
                <w:szCs w:val="20"/>
              </w:rPr>
              <w:t>31</w:t>
            </w:r>
          </w:p>
        </w:tc>
        <w:tc>
          <w:tcPr>
            <w:tcW w:w="864" w:type="pct"/>
            <w:gridSpan w:val="3"/>
            <w:vMerge w:val="restart"/>
            <w:vAlign w:val="center"/>
          </w:tcPr>
          <w:p>
            <w:pPr>
              <w:pStyle w:val="TableParagraph"/>
              <w:spacing w:line="360" w:lineRule="auto"/>
              <w:jc w:val="both"/>
              <w:rPr>
                <w:rFonts w:hint="eastAsia"/>
                <w:sz w:val="20"/>
                <w:szCs w:val="20"/>
              </w:rPr>
            </w:pPr>
            <w:r>
              <w:rPr>
                <w:sz w:val="20"/>
                <w:szCs w:val="20"/>
              </w:rPr>
              <w:t>称重装置</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称重装置的安装位置正确,动作状态应良好</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满载、超载信号所对应的电梯控制功能及相关声光信号正常</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对于连续检测载重量变化的称重装置，应定期通过电脑数据检查是否正确</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3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575"/>
          <w:jc w:val="center"/>
        </w:trPr>
        <w:tc>
          <w:tcPr>
            <w:tcW w:w="192" w:type="pct"/>
            <w:vMerge/>
            <w:tcBorders>
              <w:top w:val="nil"/>
              <w:left w:val="single" w:sz="12" w:space="0" w:color="000000"/>
            </w:tcBorders>
            <w:vAlign w:val="center"/>
          </w:tcPr>
          <w:p>
            <w:pPr>
              <w:spacing w:line="360" w:lineRule="auto"/>
              <w:rPr>
                <w:rFonts w:ascii="宋体" w:hAnsi="宋体" w:hint="eastAsia"/>
                <w:sz w:val="20"/>
                <w:szCs w:val="20"/>
              </w:rPr>
            </w:pPr>
          </w:p>
        </w:tc>
        <w:tc>
          <w:tcPr>
            <w:tcW w:w="864" w:type="pct"/>
            <w:gridSpan w:val="3"/>
            <w:vMerge/>
            <w:tcBorders>
              <w:top w:val="nil"/>
            </w:tcBorders>
            <w:vAlign w:val="center"/>
          </w:tcPr>
          <w:p>
            <w:pPr>
              <w:spacing w:line="360" w:lineRule="auto"/>
              <w:rPr>
                <w:rFonts w:ascii="宋体" w:hAnsi="宋体" w:hint="eastAsia"/>
                <w:sz w:val="20"/>
                <w:szCs w:val="20"/>
              </w:rPr>
            </w:pP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应定期调整称重装置的初始状态</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12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2247"/>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32</w:t>
            </w:r>
          </w:p>
        </w:tc>
        <w:tc>
          <w:tcPr>
            <w:tcW w:w="864" w:type="pct"/>
            <w:gridSpan w:val="3"/>
            <w:vAlign w:val="center"/>
          </w:tcPr>
          <w:p>
            <w:pPr>
              <w:pStyle w:val="TableParagraph"/>
              <w:spacing w:line="360" w:lineRule="auto"/>
              <w:jc w:val="both"/>
              <w:rPr>
                <w:rFonts w:hint="eastAsia"/>
                <w:sz w:val="20"/>
                <w:szCs w:val="20"/>
              </w:rPr>
            </w:pPr>
            <w:r>
              <w:rPr>
                <w:sz w:val="20"/>
                <w:szCs w:val="20"/>
              </w:rPr>
              <w:t>对重</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对重架的连接螺栓不应松动和生锈腐蚀</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对重如有反绳轮，其绳槽磨损不应太大，轴承润滑良好无异常噪音</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绳轮应有防护罩和挡绳装置，挡绳装置的位置合适</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对重块应固定可靠，运行无异响</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绳头连接装置应固定可靠；如用螺杆连接，应至少用两个并紧螺母，并用开口销锁紧</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3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578"/>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33</w:t>
            </w:r>
          </w:p>
        </w:tc>
        <w:tc>
          <w:tcPr>
            <w:tcW w:w="864" w:type="pct"/>
            <w:gridSpan w:val="3"/>
            <w:vAlign w:val="center"/>
          </w:tcPr>
          <w:p>
            <w:pPr>
              <w:pStyle w:val="TableParagraph"/>
              <w:spacing w:line="360" w:lineRule="auto"/>
              <w:jc w:val="both"/>
              <w:rPr>
                <w:rFonts w:hint="eastAsia"/>
                <w:sz w:val="20"/>
                <w:szCs w:val="20"/>
              </w:rPr>
            </w:pPr>
            <w:r>
              <w:rPr>
                <w:sz w:val="20"/>
                <w:szCs w:val="20"/>
              </w:rPr>
              <w:t>井道照明</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井道照明应齐全</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2148"/>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34</w:t>
            </w:r>
          </w:p>
        </w:tc>
        <w:tc>
          <w:tcPr>
            <w:tcW w:w="864" w:type="pct"/>
            <w:gridSpan w:val="3"/>
            <w:vAlign w:val="center"/>
          </w:tcPr>
          <w:p>
            <w:pPr>
              <w:pStyle w:val="TableParagraph"/>
              <w:spacing w:line="360" w:lineRule="auto"/>
              <w:jc w:val="both"/>
              <w:rPr>
                <w:rFonts w:hint="eastAsia"/>
                <w:sz w:val="20"/>
                <w:szCs w:val="20"/>
              </w:rPr>
            </w:pPr>
            <w:r>
              <w:rPr>
                <w:sz w:val="20"/>
                <w:szCs w:val="20"/>
              </w:rPr>
              <w:t>限速器钢丝绳</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钢丝绳槽磨损在规定值以内</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钢丝绳不应有断股现象，不应有过量的断丝和磨损</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与安全钳拉杆的连接部位材料不应有过量的磨损、锈蚀</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端接部组装应良好，应使用三个绳夹夹紧，夹绳方向应正确</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6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2148"/>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35</w:t>
            </w:r>
          </w:p>
        </w:tc>
        <w:tc>
          <w:tcPr>
            <w:tcW w:w="864" w:type="pct"/>
            <w:gridSpan w:val="3"/>
            <w:vAlign w:val="center"/>
          </w:tcPr>
          <w:p>
            <w:pPr>
              <w:pStyle w:val="TableParagraph"/>
              <w:spacing w:line="360" w:lineRule="auto"/>
              <w:jc w:val="both"/>
              <w:rPr>
                <w:rFonts w:hint="eastAsia"/>
                <w:sz w:val="20"/>
                <w:szCs w:val="20"/>
              </w:rPr>
            </w:pPr>
            <w:r>
              <w:rPr>
                <w:sz w:val="20"/>
                <w:szCs w:val="20"/>
              </w:rPr>
              <w:t>主钢丝绳</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钢丝绳的张力应均等，与平均值偏差不超过 5%</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钢丝绳不应有过多油污;不应有断股现象，断丝数不超过标准，不应有过量磨损</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绳头连接装置的各部件齐全、固定可靠，紧固件无松动</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3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394"/>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36</w:t>
            </w:r>
          </w:p>
        </w:tc>
        <w:tc>
          <w:tcPr>
            <w:tcW w:w="864" w:type="pct"/>
            <w:gridSpan w:val="3"/>
            <w:vAlign w:val="center"/>
          </w:tcPr>
          <w:p>
            <w:pPr>
              <w:pStyle w:val="TableParagraph"/>
              <w:spacing w:line="360" w:lineRule="auto"/>
              <w:jc w:val="both"/>
              <w:rPr>
                <w:rFonts w:hint="eastAsia"/>
                <w:sz w:val="20"/>
                <w:szCs w:val="20"/>
              </w:rPr>
            </w:pPr>
            <w:r>
              <w:rPr>
                <w:sz w:val="20"/>
                <w:szCs w:val="20"/>
              </w:rPr>
              <w:t>导轨及支架</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限速器、安全钳联动试验后，应将安全钳动作痕迹打磨平整</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导轨及支架表面清洁，无严重油污及锈蚀，</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导轨撑架、压板的紧固件不应松动</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12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651"/>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37</w:t>
            </w:r>
          </w:p>
        </w:tc>
        <w:tc>
          <w:tcPr>
            <w:tcW w:w="864" w:type="pct"/>
            <w:gridSpan w:val="3"/>
            <w:vAlign w:val="center"/>
          </w:tcPr>
          <w:p>
            <w:pPr>
              <w:pStyle w:val="TableParagraph"/>
              <w:spacing w:line="360" w:lineRule="auto"/>
              <w:jc w:val="both"/>
              <w:rPr>
                <w:rFonts w:hint="eastAsia"/>
                <w:sz w:val="20"/>
                <w:szCs w:val="20"/>
              </w:rPr>
            </w:pPr>
            <w:r>
              <w:rPr>
                <w:sz w:val="20"/>
                <w:szCs w:val="20"/>
              </w:rPr>
              <w:t>强迫换速、限位、极限开关</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开关紧固可靠，开关动作部位不应生锈，滚轮无严重磨损</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开关动作位置要适当，符合产品要求</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电气触点接触良好，各开关相应功能应正常</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轿厢或对重接触缓冲器前极限开关应动作</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3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044"/>
          <w:jc w:val="center"/>
        </w:trPr>
        <w:tc>
          <w:tcPr>
            <w:tcW w:w="192" w:type="pct"/>
            <w:vMerge w:val="restart"/>
            <w:tcBorders>
              <w:left w:val="single" w:sz="12" w:space="0" w:color="000000"/>
            </w:tcBorders>
            <w:vAlign w:val="center"/>
          </w:tcPr>
          <w:p>
            <w:pPr>
              <w:pStyle w:val="TableParagraph"/>
              <w:spacing w:line="360" w:lineRule="auto"/>
              <w:jc w:val="both"/>
              <w:rPr>
                <w:rFonts w:hint="eastAsia"/>
                <w:sz w:val="20"/>
                <w:szCs w:val="20"/>
              </w:rPr>
            </w:pPr>
            <w:r>
              <w:rPr>
                <w:sz w:val="20"/>
                <w:szCs w:val="20"/>
              </w:rPr>
              <w:t>38</w:t>
            </w:r>
          </w:p>
        </w:tc>
        <w:tc>
          <w:tcPr>
            <w:tcW w:w="864" w:type="pct"/>
            <w:gridSpan w:val="3"/>
            <w:vMerge w:val="restart"/>
            <w:vAlign w:val="center"/>
          </w:tcPr>
          <w:p>
            <w:pPr>
              <w:pStyle w:val="TableParagraph"/>
              <w:spacing w:line="360" w:lineRule="auto"/>
              <w:jc w:val="both"/>
              <w:rPr>
                <w:rFonts w:hint="eastAsia"/>
                <w:sz w:val="20"/>
                <w:szCs w:val="20"/>
              </w:rPr>
            </w:pPr>
            <w:r>
              <w:rPr>
                <w:sz w:val="20"/>
                <w:szCs w:val="20"/>
              </w:rPr>
              <w:t>厅门</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门头清洁,无垃圾杂物，厅门不应严重变形、磨损、生锈腐蚀。</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门开关动作应顺畅良好，无卡阻、异响</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2148"/>
          <w:jc w:val="center"/>
        </w:trPr>
        <w:tc>
          <w:tcPr>
            <w:tcW w:w="192" w:type="pct"/>
            <w:vMerge/>
            <w:tcBorders>
              <w:left w:val="single" w:sz="12" w:space="0" w:color="000000"/>
            </w:tcBorders>
            <w:vAlign w:val="center"/>
          </w:tcPr>
          <w:p>
            <w:pPr>
              <w:pStyle w:val="TableParagraph"/>
              <w:spacing w:line="360" w:lineRule="auto"/>
              <w:jc w:val="both"/>
              <w:rPr>
                <w:rFonts w:hint="eastAsia"/>
                <w:sz w:val="20"/>
                <w:szCs w:val="20"/>
              </w:rPr>
            </w:pPr>
          </w:p>
        </w:tc>
        <w:tc>
          <w:tcPr>
            <w:tcW w:w="864" w:type="pct"/>
            <w:gridSpan w:val="3"/>
            <w:vMerge/>
            <w:vAlign w:val="center"/>
          </w:tcPr>
          <w:p>
            <w:pPr>
              <w:pStyle w:val="TableParagraph"/>
              <w:spacing w:line="360" w:lineRule="auto"/>
              <w:jc w:val="both"/>
              <w:rPr>
                <w:rFonts w:hint="eastAsia"/>
                <w:sz w:val="20"/>
                <w:szCs w:val="20"/>
              </w:rPr>
            </w:pP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厅门关门到位的电气保护装置功能正常</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门扇采用间接机械联动时，被动门电气连锁保护装置功能可靠</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在层门最不利位置，施加外力，门扇之间的间隙不超过30mm，且无停梯现象</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775"/>
          <w:jc w:val="center"/>
        </w:trPr>
        <w:tc>
          <w:tcPr>
            <w:tcW w:w="192" w:type="pct"/>
            <w:vMerge/>
            <w:tcBorders>
              <w:left w:val="single" w:sz="12" w:space="0" w:color="000000"/>
            </w:tcBorders>
            <w:vAlign w:val="center"/>
          </w:tcPr>
          <w:p>
            <w:pPr>
              <w:pStyle w:val="TableParagraph"/>
              <w:spacing w:line="360" w:lineRule="auto"/>
              <w:jc w:val="both"/>
              <w:rPr>
                <w:rFonts w:hint="eastAsia"/>
                <w:sz w:val="20"/>
                <w:szCs w:val="20"/>
              </w:rPr>
            </w:pPr>
          </w:p>
        </w:tc>
        <w:tc>
          <w:tcPr>
            <w:tcW w:w="864" w:type="pct"/>
            <w:gridSpan w:val="3"/>
            <w:vMerge/>
            <w:vAlign w:val="center"/>
          </w:tcPr>
          <w:p>
            <w:pPr>
              <w:pStyle w:val="TableParagraph"/>
              <w:spacing w:line="360" w:lineRule="auto"/>
              <w:jc w:val="both"/>
              <w:rPr>
                <w:rFonts w:hint="eastAsia"/>
                <w:sz w:val="20"/>
                <w:szCs w:val="20"/>
              </w:rPr>
            </w:pP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厅门三角锁动作、复位灵活，开锁钥匙应经授权使用</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厅门验证锁紧的电气保护装置功能正常，锁紧元件的最小啮合尺寸为 7mm</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门扇与门扇、门扇与门框、地坎之间的间隙符合</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3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235"/>
          <w:jc w:val="center"/>
        </w:trPr>
        <w:tc>
          <w:tcPr>
            <w:tcW w:w="192" w:type="pct"/>
            <w:vMerge/>
            <w:tcBorders>
              <w:left w:val="single" w:sz="12" w:space="0" w:color="000000"/>
            </w:tcBorders>
            <w:vAlign w:val="center"/>
          </w:tcPr>
          <w:p>
            <w:pPr>
              <w:pStyle w:val="TableParagraph"/>
              <w:spacing w:line="360" w:lineRule="auto"/>
              <w:jc w:val="both"/>
              <w:rPr>
                <w:rFonts w:hint="eastAsia"/>
                <w:sz w:val="20"/>
                <w:szCs w:val="20"/>
              </w:rPr>
            </w:pPr>
          </w:p>
        </w:tc>
        <w:tc>
          <w:tcPr>
            <w:tcW w:w="864" w:type="pct"/>
            <w:gridSpan w:val="3"/>
            <w:vMerge/>
            <w:vAlign w:val="center"/>
          </w:tcPr>
          <w:p>
            <w:pPr>
              <w:pStyle w:val="TableParagraph"/>
              <w:spacing w:line="360" w:lineRule="auto"/>
              <w:jc w:val="both"/>
              <w:rPr>
                <w:rFonts w:hint="eastAsia"/>
                <w:sz w:val="20"/>
                <w:szCs w:val="20"/>
              </w:rPr>
            </w:pP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标准要求</w:t>
            </w:r>
          </w:p>
          <w:p>
            <w:pPr>
              <w:pStyle w:val="TableParagraph"/>
              <w:numPr>
                <w:ilvl w:val="0"/>
                <w:numId w:val="49"/>
              </w:numPr>
              <w:tabs>
                <w:tab w:val="left" w:pos="350"/>
                <w:tab w:val="left" w:pos="853"/>
                <w:tab w:val="left" w:pos="854"/>
              </w:tabs>
              <w:spacing w:line="360" w:lineRule="auto"/>
              <w:ind w:left="0" w:firstLine="0"/>
              <w:jc w:val="both"/>
              <w:rPr>
                <w:rFonts w:hint="eastAsia"/>
                <w:sz w:val="20"/>
                <w:szCs w:val="20"/>
              </w:rPr>
            </w:pPr>
            <w:r>
              <w:rPr>
                <w:sz w:val="20"/>
                <w:szCs w:val="20"/>
              </w:rPr>
              <w:t>门锁滚轮的间隙及与开门刀的配合尺寸符合产品说明要求</w:t>
            </w:r>
          </w:p>
          <w:p>
            <w:pPr>
              <w:pStyle w:val="TableParagraph"/>
              <w:numPr>
                <w:ilvl w:val="0"/>
                <w:numId w:val="49"/>
              </w:numPr>
              <w:tabs>
                <w:tab w:val="left" w:pos="350"/>
                <w:tab w:val="left" w:pos="853"/>
                <w:tab w:val="left" w:pos="854"/>
              </w:tabs>
              <w:spacing w:line="360" w:lineRule="auto"/>
              <w:ind w:left="0" w:firstLine="0"/>
              <w:jc w:val="both"/>
              <w:rPr>
                <w:rFonts w:hint="eastAsia"/>
                <w:sz w:val="20"/>
                <w:szCs w:val="20"/>
              </w:rPr>
            </w:pPr>
            <w:r>
              <w:rPr>
                <w:sz w:val="20"/>
                <w:szCs w:val="20"/>
              </w:rPr>
              <w:t>门偏心轮检查及调整、门挂轮磨损检查</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闭门器功能在各层工作正常</w:t>
            </w:r>
          </w:p>
        </w:tc>
        <w:tc>
          <w:tcPr>
            <w:tcW w:w="1126" w:type="pct"/>
            <w:tcBorders>
              <w:right w:val="single" w:sz="12" w:space="0" w:color="000000"/>
            </w:tcBorders>
            <w:vAlign w:val="center"/>
          </w:tcPr>
          <w:p>
            <w:pPr>
              <w:pStyle w:val="TableParagraph"/>
              <w:spacing w:line="360" w:lineRule="auto"/>
              <w:rPr>
                <w:rFonts w:hint="eastAsia"/>
                <w:sz w:val="20"/>
                <w:szCs w:val="20"/>
              </w:rPr>
            </w:pP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543"/>
          <w:jc w:val="center"/>
        </w:trPr>
        <w:tc>
          <w:tcPr>
            <w:tcW w:w="192" w:type="pct"/>
            <w:vMerge w:val="restart"/>
            <w:tcBorders>
              <w:left w:val="single" w:sz="12" w:space="0" w:color="000000"/>
            </w:tcBorders>
            <w:vAlign w:val="center"/>
          </w:tcPr>
          <w:p>
            <w:pPr>
              <w:pStyle w:val="TableParagraph"/>
              <w:spacing w:line="360" w:lineRule="auto"/>
              <w:jc w:val="both"/>
              <w:rPr>
                <w:rFonts w:hint="eastAsia"/>
                <w:sz w:val="20"/>
                <w:szCs w:val="20"/>
              </w:rPr>
            </w:pPr>
            <w:r>
              <w:rPr>
                <w:sz w:val="20"/>
                <w:szCs w:val="20"/>
              </w:rPr>
              <w:t>39</w:t>
            </w:r>
          </w:p>
        </w:tc>
        <w:tc>
          <w:tcPr>
            <w:tcW w:w="864" w:type="pct"/>
            <w:gridSpan w:val="3"/>
            <w:vMerge w:val="restart"/>
            <w:vAlign w:val="center"/>
          </w:tcPr>
          <w:p>
            <w:pPr>
              <w:pStyle w:val="TableParagraph"/>
              <w:spacing w:line="360" w:lineRule="auto"/>
              <w:jc w:val="both"/>
              <w:rPr>
                <w:rFonts w:hint="eastAsia"/>
                <w:sz w:val="20"/>
                <w:szCs w:val="20"/>
              </w:rPr>
            </w:pPr>
            <w:r>
              <w:rPr>
                <w:sz w:val="20"/>
                <w:szCs w:val="20"/>
              </w:rPr>
              <w:t>厅门地坎</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厅门门脚胶齐全，无脱离</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658"/>
          <w:jc w:val="center"/>
        </w:trPr>
        <w:tc>
          <w:tcPr>
            <w:tcW w:w="192" w:type="pct"/>
            <w:vMerge/>
            <w:tcBorders>
              <w:left w:val="single" w:sz="12" w:space="0" w:color="000000"/>
            </w:tcBorders>
            <w:vAlign w:val="center"/>
          </w:tcPr>
          <w:p>
            <w:pPr>
              <w:pStyle w:val="TableParagraph"/>
              <w:spacing w:line="360" w:lineRule="auto"/>
              <w:jc w:val="both"/>
              <w:rPr>
                <w:rFonts w:hint="eastAsia"/>
                <w:sz w:val="20"/>
                <w:szCs w:val="20"/>
              </w:rPr>
            </w:pPr>
          </w:p>
        </w:tc>
        <w:tc>
          <w:tcPr>
            <w:tcW w:w="864" w:type="pct"/>
            <w:gridSpan w:val="3"/>
            <w:vMerge/>
            <w:vAlign w:val="center"/>
          </w:tcPr>
          <w:p>
            <w:pPr>
              <w:pStyle w:val="TableParagraph"/>
              <w:spacing w:line="360" w:lineRule="auto"/>
              <w:jc w:val="both"/>
              <w:rPr>
                <w:rFonts w:hint="eastAsia"/>
                <w:sz w:val="20"/>
                <w:szCs w:val="20"/>
              </w:rPr>
            </w:pP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厅门护脚板可靠固定，运行时不得与轿厢部件相摩擦</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不应出现因厅门门脚胶磨损而发生的噪音</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3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754"/>
          <w:jc w:val="center"/>
        </w:trPr>
        <w:tc>
          <w:tcPr>
            <w:tcW w:w="192" w:type="pct"/>
            <w:vMerge/>
            <w:tcBorders>
              <w:left w:val="single" w:sz="12" w:space="0" w:color="000000"/>
            </w:tcBorders>
            <w:vAlign w:val="center"/>
          </w:tcPr>
          <w:p>
            <w:pPr>
              <w:pStyle w:val="TableParagraph"/>
              <w:spacing w:line="360" w:lineRule="auto"/>
              <w:jc w:val="both"/>
              <w:rPr>
                <w:rFonts w:hint="eastAsia"/>
                <w:sz w:val="20"/>
                <w:szCs w:val="20"/>
              </w:rPr>
            </w:pPr>
          </w:p>
        </w:tc>
        <w:tc>
          <w:tcPr>
            <w:tcW w:w="864" w:type="pct"/>
            <w:gridSpan w:val="3"/>
            <w:vMerge/>
            <w:vAlign w:val="center"/>
          </w:tcPr>
          <w:p>
            <w:pPr>
              <w:pStyle w:val="TableParagraph"/>
              <w:spacing w:line="360" w:lineRule="auto"/>
              <w:jc w:val="both"/>
              <w:rPr>
                <w:rFonts w:hint="eastAsia"/>
                <w:sz w:val="20"/>
                <w:szCs w:val="20"/>
              </w:rPr>
            </w:pP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轿厢开门刀与厅门地坎间隙应在 5-10mm</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厅门地坎和轿厢地坎之间的间隙应符合产品及标准要求</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12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2148"/>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40</w:t>
            </w:r>
          </w:p>
        </w:tc>
        <w:tc>
          <w:tcPr>
            <w:tcW w:w="864" w:type="pct"/>
            <w:gridSpan w:val="3"/>
            <w:vAlign w:val="center"/>
          </w:tcPr>
          <w:p>
            <w:pPr>
              <w:pStyle w:val="TableParagraph"/>
              <w:spacing w:line="360" w:lineRule="auto"/>
              <w:jc w:val="both"/>
              <w:rPr>
                <w:rFonts w:hint="eastAsia"/>
                <w:sz w:val="20"/>
                <w:szCs w:val="20"/>
              </w:rPr>
            </w:pPr>
            <w:r>
              <w:rPr>
                <w:sz w:val="20"/>
                <w:szCs w:val="20"/>
              </w:rPr>
              <w:t>随行电缆及附件</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随行电缆两端应可靠固定，不应有打结及波浪扭曲现象</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运行时随行电缆不应触及其他部件而导致磨损或损坏</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轿厢完全压缩缓冲器后，电缆不得与底坑地面及其他部件接触</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轿厢监控线与随行电缆同步捆绑时，必须确保不产生大的晃动和表面破损</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6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406"/>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41</w:t>
            </w:r>
          </w:p>
        </w:tc>
        <w:tc>
          <w:tcPr>
            <w:tcW w:w="864" w:type="pct"/>
            <w:gridSpan w:val="3"/>
            <w:vAlign w:val="center"/>
          </w:tcPr>
          <w:p>
            <w:pPr>
              <w:pStyle w:val="TableParagraph"/>
              <w:spacing w:line="360" w:lineRule="auto"/>
              <w:jc w:val="both"/>
              <w:rPr>
                <w:rFonts w:hint="eastAsia"/>
                <w:sz w:val="20"/>
                <w:szCs w:val="20"/>
              </w:rPr>
            </w:pPr>
            <w:r>
              <w:rPr>
                <w:sz w:val="20"/>
                <w:szCs w:val="20"/>
              </w:rPr>
              <w:t>大厅按钮及显示器</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按钮、开关功能正常，且不应有显著的老化、损坏、卡阻现象</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显示器的显示应正确、没有缺划、错划的现象</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候梯厅应有足够照明（须与业主明确责任）</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130"/>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42</w:t>
            </w:r>
          </w:p>
        </w:tc>
        <w:tc>
          <w:tcPr>
            <w:tcW w:w="864" w:type="pct"/>
            <w:gridSpan w:val="3"/>
            <w:vAlign w:val="center"/>
          </w:tcPr>
          <w:p>
            <w:pPr>
              <w:pStyle w:val="TableParagraph"/>
              <w:spacing w:line="360" w:lineRule="auto"/>
              <w:jc w:val="both"/>
              <w:rPr>
                <w:rFonts w:hint="eastAsia"/>
                <w:sz w:val="20"/>
                <w:szCs w:val="20"/>
              </w:rPr>
            </w:pPr>
            <w:r>
              <w:rPr>
                <w:sz w:val="20"/>
                <w:szCs w:val="20"/>
              </w:rPr>
              <w:t>消防功能</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消防迫降和消防员专用各项功能应正常，基站消防开关应有适当防护</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3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409"/>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43</w:t>
            </w:r>
          </w:p>
        </w:tc>
        <w:tc>
          <w:tcPr>
            <w:tcW w:w="864" w:type="pct"/>
            <w:gridSpan w:val="3"/>
            <w:vAlign w:val="center"/>
          </w:tcPr>
          <w:p>
            <w:pPr>
              <w:pStyle w:val="TableParagraph"/>
              <w:spacing w:line="360" w:lineRule="auto"/>
              <w:jc w:val="both"/>
              <w:rPr>
                <w:rFonts w:hint="eastAsia"/>
                <w:sz w:val="20"/>
                <w:szCs w:val="20"/>
              </w:rPr>
            </w:pPr>
            <w:r>
              <w:rPr>
                <w:sz w:val="20"/>
                <w:szCs w:val="20"/>
              </w:rPr>
              <w:t>底坑停止</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不应有显著的生锈、腐蚀现象，开关动作应正常</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557"/>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44</w:t>
            </w:r>
          </w:p>
        </w:tc>
        <w:tc>
          <w:tcPr>
            <w:tcW w:w="864" w:type="pct"/>
            <w:gridSpan w:val="3"/>
            <w:vAlign w:val="center"/>
          </w:tcPr>
          <w:p>
            <w:pPr>
              <w:pStyle w:val="TableParagraph"/>
              <w:spacing w:line="360" w:lineRule="auto"/>
              <w:jc w:val="both"/>
              <w:rPr>
                <w:rFonts w:hint="eastAsia"/>
                <w:sz w:val="20"/>
                <w:szCs w:val="20"/>
              </w:rPr>
            </w:pPr>
            <w:r>
              <w:rPr>
                <w:sz w:val="20"/>
                <w:szCs w:val="20"/>
              </w:rPr>
              <w:t>底坑爬梯</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底坑爬梯固定可靠并方便人员安全进出</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12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274"/>
          <w:jc w:val="center"/>
        </w:trPr>
        <w:tc>
          <w:tcPr>
            <w:tcW w:w="192" w:type="pct"/>
            <w:vMerge w:val="restart"/>
            <w:tcBorders>
              <w:left w:val="single" w:sz="12" w:space="0" w:color="000000"/>
            </w:tcBorders>
            <w:vAlign w:val="center"/>
          </w:tcPr>
          <w:p>
            <w:pPr>
              <w:pStyle w:val="TableParagraph"/>
              <w:spacing w:line="360" w:lineRule="auto"/>
              <w:jc w:val="both"/>
              <w:rPr>
                <w:rFonts w:hint="eastAsia"/>
                <w:sz w:val="20"/>
                <w:szCs w:val="20"/>
              </w:rPr>
            </w:pPr>
            <w:r>
              <w:rPr>
                <w:sz w:val="20"/>
                <w:szCs w:val="20"/>
              </w:rPr>
              <w:t>45</w:t>
            </w:r>
          </w:p>
        </w:tc>
        <w:tc>
          <w:tcPr>
            <w:tcW w:w="864" w:type="pct"/>
            <w:gridSpan w:val="3"/>
            <w:vMerge w:val="restart"/>
            <w:vAlign w:val="center"/>
          </w:tcPr>
          <w:p>
            <w:pPr>
              <w:pStyle w:val="TableParagraph"/>
              <w:spacing w:line="360" w:lineRule="auto"/>
              <w:jc w:val="both"/>
              <w:rPr>
                <w:rFonts w:hint="eastAsia"/>
                <w:sz w:val="20"/>
                <w:szCs w:val="20"/>
              </w:rPr>
            </w:pPr>
            <w:r>
              <w:rPr>
                <w:sz w:val="20"/>
                <w:szCs w:val="20"/>
              </w:rPr>
              <w:t>缓冲器</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液压缓冲器被压缩后应能自动复位，完全复位后开关才能恢复正常</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液压缓冲器的电气保护开关动作灵活，功能可靠</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121"/>
          <w:jc w:val="center"/>
        </w:trPr>
        <w:tc>
          <w:tcPr>
            <w:tcW w:w="192" w:type="pct"/>
            <w:vMerge/>
            <w:tcBorders>
              <w:left w:val="single" w:sz="12" w:space="0" w:color="000000"/>
            </w:tcBorders>
            <w:vAlign w:val="center"/>
          </w:tcPr>
          <w:p>
            <w:pPr>
              <w:pStyle w:val="TableParagraph"/>
              <w:spacing w:line="360" w:lineRule="auto"/>
              <w:jc w:val="both"/>
              <w:rPr>
                <w:rFonts w:hint="eastAsia"/>
                <w:sz w:val="20"/>
                <w:szCs w:val="20"/>
              </w:rPr>
            </w:pPr>
          </w:p>
        </w:tc>
        <w:tc>
          <w:tcPr>
            <w:tcW w:w="864" w:type="pct"/>
            <w:gridSpan w:val="3"/>
            <w:vMerge/>
            <w:vAlign w:val="center"/>
          </w:tcPr>
          <w:p>
            <w:pPr>
              <w:pStyle w:val="TableParagraph"/>
              <w:spacing w:line="360" w:lineRule="auto"/>
              <w:jc w:val="both"/>
              <w:rPr>
                <w:rFonts w:hint="eastAsia"/>
                <w:sz w:val="20"/>
                <w:szCs w:val="20"/>
              </w:rPr>
            </w:pP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液压式缓冲器的液量应正确</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缓冲器顶面至轿厢、对重的距离应符合标准要求</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3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544"/>
          <w:jc w:val="center"/>
        </w:trPr>
        <w:tc>
          <w:tcPr>
            <w:tcW w:w="192" w:type="pct"/>
            <w:vMerge/>
            <w:tcBorders>
              <w:left w:val="single" w:sz="12" w:space="0" w:color="000000"/>
            </w:tcBorders>
            <w:vAlign w:val="center"/>
          </w:tcPr>
          <w:p>
            <w:pPr>
              <w:pStyle w:val="TableParagraph"/>
              <w:spacing w:line="360" w:lineRule="auto"/>
              <w:jc w:val="both"/>
              <w:rPr>
                <w:rFonts w:hint="eastAsia"/>
                <w:sz w:val="20"/>
                <w:szCs w:val="20"/>
              </w:rPr>
            </w:pPr>
          </w:p>
        </w:tc>
        <w:tc>
          <w:tcPr>
            <w:tcW w:w="864" w:type="pct"/>
            <w:gridSpan w:val="3"/>
            <w:vMerge/>
            <w:vAlign w:val="center"/>
          </w:tcPr>
          <w:p>
            <w:pPr>
              <w:pStyle w:val="TableParagraph"/>
              <w:spacing w:line="360" w:lineRule="auto"/>
              <w:jc w:val="both"/>
              <w:rPr>
                <w:rFonts w:hint="eastAsia"/>
                <w:sz w:val="20"/>
                <w:szCs w:val="20"/>
              </w:rPr>
            </w:pP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缓冲器固定可靠，无生锈、腐蚀现象</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6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509"/>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46</w:t>
            </w:r>
          </w:p>
        </w:tc>
        <w:tc>
          <w:tcPr>
            <w:tcW w:w="864" w:type="pct"/>
            <w:gridSpan w:val="3"/>
            <w:vAlign w:val="center"/>
          </w:tcPr>
          <w:p>
            <w:pPr>
              <w:pStyle w:val="TableParagraph"/>
              <w:spacing w:line="360" w:lineRule="auto"/>
              <w:jc w:val="both"/>
              <w:rPr>
                <w:rFonts w:hint="eastAsia"/>
                <w:sz w:val="20"/>
                <w:szCs w:val="20"/>
              </w:rPr>
            </w:pPr>
            <w:r>
              <w:rPr>
                <w:sz w:val="20"/>
                <w:szCs w:val="20"/>
              </w:rPr>
              <w:t>安 全 钳</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安全钳及联动机构各部件齐全，无过量磨损及损坏</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安全钳各楔块与导轨间隙均匀并符合产品要求，夹紧位置正确</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安全钳各部件无过多油污，应定期清洁</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3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110"/>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47</w:t>
            </w:r>
          </w:p>
        </w:tc>
        <w:tc>
          <w:tcPr>
            <w:tcW w:w="864" w:type="pct"/>
            <w:gridSpan w:val="3"/>
            <w:vAlign w:val="center"/>
          </w:tcPr>
          <w:p>
            <w:pPr>
              <w:pStyle w:val="TableParagraph"/>
              <w:spacing w:line="360" w:lineRule="auto"/>
              <w:jc w:val="both"/>
              <w:rPr>
                <w:rFonts w:hint="eastAsia"/>
                <w:sz w:val="20"/>
                <w:szCs w:val="20"/>
              </w:rPr>
            </w:pPr>
            <w:r>
              <w:rPr>
                <w:sz w:val="20"/>
                <w:szCs w:val="20"/>
              </w:rPr>
              <w:t>限速器钢丝绳张紧轮、坠</w:t>
            </w:r>
            <w:r>
              <w:rPr>
                <w:rFonts w:hint="eastAsia"/>
                <w:sz w:val="20"/>
                <w:szCs w:val="20"/>
              </w:rPr>
              <w:t>砣</w:t>
            </w:r>
            <w:r>
              <w:rPr>
                <w:sz w:val="20"/>
                <w:szCs w:val="20"/>
              </w:rPr>
              <w:t>及保护开关</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限速器钢丝绳张紧轮坠</w:t>
            </w:r>
            <w:r>
              <w:rPr>
                <w:rFonts w:hint="eastAsia"/>
                <w:sz w:val="20"/>
                <w:szCs w:val="20"/>
              </w:rPr>
              <w:t>砣</w:t>
            </w:r>
            <w:r>
              <w:rPr>
                <w:sz w:val="20"/>
                <w:szCs w:val="20"/>
              </w:rPr>
              <w:t>不应离地过低</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钢丝绳断裂或松弛时应确保能使保护开关正确动作</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电梯运行中不应存在显著的振动、噪音现象</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687"/>
          <w:jc w:val="center"/>
        </w:trPr>
        <w:tc>
          <w:tcPr>
            <w:tcW w:w="192" w:type="pct"/>
            <w:tcBorders>
              <w:left w:val="single" w:sz="12" w:space="0" w:color="000000"/>
            </w:tcBorders>
            <w:vAlign w:val="center"/>
          </w:tcPr>
          <w:p>
            <w:pPr>
              <w:pStyle w:val="TableParagraph"/>
              <w:spacing w:line="360" w:lineRule="auto"/>
              <w:jc w:val="both"/>
              <w:rPr>
                <w:rFonts w:hint="eastAsia"/>
                <w:sz w:val="20"/>
                <w:szCs w:val="20"/>
              </w:rPr>
            </w:pPr>
            <w:r>
              <w:rPr>
                <w:sz w:val="20"/>
                <w:szCs w:val="20"/>
              </w:rPr>
              <w:t>48</w:t>
            </w:r>
          </w:p>
        </w:tc>
        <w:tc>
          <w:tcPr>
            <w:tcW w:w="864" w:type="pct"/>
            <w:gridSpan w:val="3"/>
            <w:vAlign w:val="center"/>
          </w:tcPr>
          <w:p>
            <w:pPr>
              <w:pStyle w:val="TableParagraph"/>
              <w:spacing w:line="360" w:lineRule="auto"/>
              <w:jc w:val="both"/>
              <w:rPr>
                <w:rFonts w:hint="eastAsia"/>
                <w:sz w:val="20"/>
                <w:szCs w:val="20"/>
              </w:rPr>
            </w:pPr>
            <w:r>
              <w:rPr>
                <w:sz w:val="20"/>
                <w:szCs w:val="20"/>
              </w:rPr>
              <w:t>底坑地面</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应保持良好的清洁状态，防水良好、无渗水漏水现象或消防水倒灌现象</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207"/>
          <w:jc w:val="center"/>
        </w:trPr>
        <w:tc>
          <w:tcPr>
            <w:tcW w:w="192" w:type="pct"/>
            <w:vMerge w:val="restart"/>
            <w:tcBorders>
              <w:left w:val="single" w:sz="12" w:space="0" w:color="000000"/>
            </w:tcBorders>
            <w:vAlign w:val="center"/>
          </w:tcPr>
          <w:p>
            <w:pPr>
              <w:pStyle w:val="TableParagraph"/>
              <w:spacing w:line="360" w:lineRule="auto"/>
              <w:jc w:val="both"/>
              <w:rPr>
                <w:rFonts w:hint="eastAsia"/>
                <w:sz w:val="20"/>
                <w:szCs w:val="20"/>
              </w:rPr>
            </w:pPr>
            <w:r>
              <w:rPr>
                <w:sz w:val="20"/>
                <w:szCs w:val="20"/>
              </w:rPr>
              <w:t>49</w:t>
            </w:r>
          </w:p>
        </w:tc>
        <w:tc>
          <w:tcPr>
            <w:tcW w:w="864" w:type="pct"/>
            <w:gridSpan w:val="3"/>
            <w:vMerge w:val="restart"/>
            <w:vAlign w:val="center"/>
          </w:tcPr>
          <w:p>
            <w:pPr>
              <w:pStyle w:val="TableParagraph"/>
              <w:spacing w:line="360" w:lineRule="auto"/>
              <w:jc w:val="both"/>
              <w:rPr>
                <w:rFonts w:hint="eastAsia"/>
                <w:sz w:val="20"/>
                <w:szCs w:val="20"/>
              </w:rPr>
            </w:pPr>
            <w:r>
              <w:rPr>
                <w:sz w:val="20"/>
                <w:szCs w:val="20"/>
              </w:rPr>
              <w:t>补偿链或补偿绳</w:t>
            </w: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补偿绳的张紧轮装置及行程限制开关固定，位置正确， 开关功能可靠</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补偿链或补偿绳无破损及断裂，无生锈和腐蚀现象</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15 天</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405"/>
          <w:jc w:val="center"/>
        </w:trPr>
        <w:tc>
          <w:tcPr>
            <w:tcW w:w="192" w:type="pct"/>
            <w:vMerge/>
            <w:tcBorders>
              <w:left w:val="single" w:sz="12" w:space="0" w:color="000000"/>
            </w:tcBorders>
            <w:vAlign w:val="center"/>
          </w:tcPr>
          <w:p>
            <w:pPr>
              <w:pStyle w:val="TableParagraph"/>
              <w:spacing w:line="360" w:lineRule="auto"/>
              <w:jc w:val="both"/>
              <w:rPr>
                <w:rFonts w:hint="eastAsia"/>
                <w:sz w:val="20"/>
                <w:szCs w:val="20"/>
              </w:rPr>
            </w:pPr>
          </w:p>
        </w:tc>
        <w:tc>
          <w:tcPr>
            <w:tcW w:w="864" w:type="pct"/>
            <w:gridSpan w:val="3"/>
            <w:vMerge/>
            <w:vAlign w:val="center"/>
          </w:tcPr>
          <w:p>
            <w:pPr>
              <w:pStyle w:val="TableParagraph"/>
              <w:spacing w:line="360" w:lineRule="auto"/>
              <w:jc w:val="both"/>
              <w:rPr>
                <w:rFonts w:hint="eastAsia"/>
                <w:sz w:val="20"/>
                <w:szCs w:val="20"/>
              </w:rPr>
            </w:pP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补偿绳张紧力要充分、均匀；电梯运行时补偿链或补偿绳不应离地过低</w:t>
            </w:r>
          </w:p>
          <w:p>
            <w:pPr>
              <w:pStyle w:val="TableParagraph"/>
              <w:numPr>
                <w:ilvl w:val="0"/>
                <w:numId w:val="49"/>
              </w:numPr>
              <w:tabs>
                <w:tab w:val="left" w:pos="350"/>
              </w:tabs>
              <w:spacing w:line="360" w:lineRule="auto"/>
              <w:ind w:left="0" w:firstLine="0"/>
              <w:jc w:val="both"/>
              <w:rPr>
                <w:rFonts w:hint="eastAsia"/>
                <w:sz w:val="20"/>
                <w:szCs w:val="20"/>
              </w:rPr>
            </w:pPr>
            <w:r>
              <w:rPr>
                <w:sz w:val="20"/>
                <w:szCs w:val="20"/>
              </w:rPr>
              <w:t>补偿绳的张紧轮不应离地过低，也不应脱出导向轨道</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3 个月</w:t>
            </w:r>
          </w:p>
        </w:tc>
      </w:tr>
      <w:tr>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999"/>
          <w:jc w:val="center"/>
        </w:trPr>
        <w:tc>
          <w:tcPr>
            <w:tcW w:w="192" w:type="pct"/>
            <w:vMerge/>
            <w:tcBorders>
              <w:left w:val="single" w:sz="12" w:space="0" w:color="000000"/>
            </w:tcBorders>
            <w:vAlign w:val="center"/>
          </w:tcPr>
          <w:p>
            <w:pPr>
              <w:pStyle w:val="TableParagraph"/>
              <w:spacing w:line="360" w:lineRule="auto"/>
              <w:jc w:val="both"/>
              <w:rPr>
                <w:rFonts w:hint="eastAsia"/>
                <w:sz w:val="20"/>
                <w:szCs w:val="20"/>
              </w:rPr>
            </w:pPr>
          </w:p>
        </w:tc>
        <w:tc>
          <w:tcPr>
            <w:tcW w:w="864" w:type="pct"/>
            <w:gridSpan w:val="3"/>
            <w:vMerge/>
            <w:vAlign w:val="center"/>
          </w:tcPr>
          <w:p>
            <w:pPr>
              <w:pStyle w:val="TableParagraph"/>
              <w:spacing w:line="360" w:lineRule="auto"/>
              <w:jc w:val="both"/>
              <w:rPr>
                <w:rFonts w:hint="eastAsia"/>
                <w:sz w:val="20"/>
                <w:szCs w:val="20"/>
              </w:rPr>
            </w:pPr>
          </w:p>
        </w:tc>
        <w:tc>
          <w:tcPr>
            <w:tcW w:w="2818" w:type="pct"/>
            <w:vAlign w:val="center"/>
          </w:tcPr>
          <w:p>
            <w:pPr>
              <w:pStyle w:val="TableParagraph"/>
              <w:numPr>
                <w:ilvl w:val="0"/>
                <w:numId w:val="49"/>
              </w:numPr>
              <w:tabs>
                <w:tab w:val="left" w:pos="350"/>
              </w:tabs>
              <w:spacing w:line="360" w:lineRule="auto"/>
              <w:ind w:left="0" w:firstLine="0"/>
              <w:jc w:val="both"/>
              <w:rPr>
                <w:rFonts w:hint="eastAsia"/>
                <w:sz w:val="20"/>
                <w:szCs w:val="20"/>
              </w:rPr>
            </w:pPr>
            <w:r>
              <w:rPr>
                <w:sz w:val="20"/>
                <w:szCs w:val="20"/>
              </w:rPr>
              <w:t>补偿链或补偿绳两端固定可靠，补偿链的二次保护装置正确可靠</w:t>
            </w:r>
          </w:p>
        </w:tc>
        <w:tc>
          <w:tcPr>
            <w:tcW w:w="1126"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6 个月</w:t>
            </w:r>
          </w:p>
        </w:tc>
      </w:tr>
    </w:tbl>
    <w:p>
      <w:pPr>
        <w:autoSpaceDE w:val="0"/>
        <w:autoSpaceDN w:val="0"/>
        <w:spacing w:line="360" w:lineRule="auto"/>
        <w:rPr>
          <w:rFonts w:ascii="宋体" w:hAnsi="宋体" w:cs="宋体" w:hint="eastAsia"/>
          <w:b/>
          <w:szCs w:val="21"/>
          <w:lang w:val="zh-CN" w:bidi="zh-CN"/>
        </w:rPr>
      </w:pPr>
      <w:r>
        <w:rPr>
          <w:rFonts w:ascii="宋体" w:hAnsi="宋体" w:cs="宋体"/>
          <w:b/>
          <w:szCs w:val="21"/>
          <w:lang w:val="zh-CN" w:bidi="zh-CN"/>
        </w:rPr>
        <w:t>4.共用设施管理与维修养护标准</w:t>
      </w:r>
    </w:p>
    <w:tbl>
      <w:tblPr>
        <w:tblStyle w:val="TableNormal"/>
        <w:tblW w:w="5000" w:type="pc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top w:w="0" w:type="dxa"/>
          <w:left w:w="0" w:type="dxa"/>
          <w:bottom w:w="0" w:type="dxa"/>
          <w:right w:w="0" w:type="dxa"/>
        </w:tblCellMar>
      </w:tblPr>
      <w:tblGrid>
        <w:gridCol w:w="556"/>
        <w:gridCol w:w="831"/>
        <w:gridCol w:w="1126"/>
        <w:gridCol w:w="584"/>
        <w:gridCol w:w="264"/>
        <w:gridCol w:w="4982"/>
      </w:tblGrid>
      <w:tr>
        <w:tblPrEx>
          <w:tblW w:w="5000" w:type="pc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top w:w="0" w:type="dxa"/>
            <w:left w:w="0" w:type="dxa"/>
            <w:bottom w:w="0" w:type="dxa"/>
            <w:right w:w="0" w:type="dxa"/>
          </w:tblCellMar>
        </w:tblPrEx>
        <w:trPr>
          <w:trHeight w:val="543"/>
        </w:trPr>
        <w:tc>
          <w:tcPr>
            <w:tcW w:w="333" w:type="pct"/>
            <w:tcBorders>
              <w:bottom w:val="single" w:sz="6" w:space="0" w:color="000000"/>
              <w:right w:val="single" w:sz="6"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序号</w:t>
            </w:r>
          </w:p>
        </w:tc>
        <w:tc>
          <w:tcPr>
            <w:tcW w:w="498" w:type="pct"/>
            <w:tcBorders>
              <w:left w:val="single" w:sz="6" w:space="0" w:color="000000"/>
              <w:bottom w:val="single" w:sz="6" w:space="0" w:color="000000"/>
              <w:right w:val="single" w:sz="6"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项目</w:t>
            </w:r>
          </w:p>
        </w:tc>
        <w:tc>
          <w:tcPr>
            <w:tcW w:w="675" w:type="pct"/>
            <w:tcBorders>
              <w:left w:val="single" w:sz="6" w:space="0" w:color="000000"/>
              <w:bottom w:val="single" w:sz="6" w:space="0" w:color="000000"/>
              <w:right w:val="single" w:sz="6"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时间</w:t>
            </w:r>
          </w:p>
        </w:tc>
        <w:tc>
          <w:tcPr>
            <w:tcW w:w="350" w:type="pct"/>
            <w:tcBorders>
              <w:left w:val="single" w:sz="6" w:space="0" w:color="000000"/>
              <w:bottom w:val="single" w:sz="6" w:space="0" w:color="000000"/>
              <w:right w:val="single" w:sz="6"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次数</w:t>
            </w:r>
          </w:p>
        </w:tc>
        <w:tc>
          <w:tcPr>
            <w:tcW w:w="3144" w:type="pct"/>
            <w:gridSpan w:val="2"/>
            <w:tcBorders>
              <w:left w:val="single" w:sz="6" w:space="0" w:color="000000"/>
              <w:bottom w:val="single" w:sz="6" w:space="0" w:color="000000"/>
            </w:tcBorders>
            <w:shd w:val="clear" w:color="auto" w:fill="E6E6E6"/>
            <w:vAlign w:val="center"/>
          </w:tcPr>
          <w:p>
            <w:pPr>
              <w:pStyle w:val="TableParagraph"/>
              <w:spacing w:line="360" w:lineRule="auto"/>
              <w:jc w:val="center"/>
              <w:rPr>
                <w:rFonts w:hint="eastAsia"/>
                <w:b/>
                <w:sz w:val="20"/>
                <w:szCs w:val="20"/>
              </w:rPr>
            </w:pPr>
            <w:r>
              <w:rPr>
                <w:b/>
                <w:sz w:val="20"/>
                <w:szCs w:val="20"/>
              </w:rPr>
              <w:t>维修养护内容</w:t>
            </w:r>
          </w:p>
        </w:tc>
      </w:tr>
      <w:tr>
        <w:tblPrEx>
          <w:tblW w:w="5000" w:type="pct"/>
          <w:tblInd w:w="-15" w:type="dxa"/>
          <w:tblCellMar>
            <w:top w:w="0" w:type="dxa"/>
            <w:left w:w="0" w:type="dxa"/>
            <w:bottom w:w="0" w:type="dxa"/>
            <w:right w:w="0" w:type="dxa"/>
          </w:tblCellMar>
        </w:tblPrEx>
        <w:trPr>
          <w:trHeight w:val="336"/>
        </w:trPr>
        <w:tc>
          <w:tcPr>
            <w:tcW w:w="333" w:type="pct"/>
            <w:vMerge w:val="restart"/>
            <w:tcBorders>
              <w:top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1</w:t>
            </w:r>
          </w:p>
        </w:tc>
        <w:tc>
          <w:tcPr>
            <w:tcW w:w="498" w:type="pct"/>
            <w:vMerge w:val="restart"/>
            <w:tcBorders>
              <w:top w:val="single" w:sz="6" w:space="0" w:color="000000"/>
              <w:left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路面路基</w:t>
            </w:r>
          </w:p>
        </w:tc>
        <w:tc>
          <w:tcPr>
            <w:tcW w:w="675" w:type="pct"/>
            <w:vMerge w:val="restart"/>
            <w:tcBorders>
              <w:top w:val="single" w:sz="6" w:space="0" w:color="000000"/>
              <w:left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每周</w:t>
            </w:r>
          </w:p>
        </w:tc>
        <w:tc>
          <w:tcPr>
            <w:tcW w:w="350" w:type="pct"/>
            <w:vMerge w:val="restart"/>
            <w:tcBorders>
              <w:top w:val="single" w:sz="6" w:space="0" w:color="000000"/>
              <w:left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1</w:t>
            </w:r>
          </w:p>
        </w:tc>
        <w:tc>
          <w:tcPr>
            <w:tcW w:w="158" w:type="pct"/>
            <w:tcBorders>
              <w:top w:val="single" w:sz="6" w:space="0" w:color="000000"/>
              <w:left w:val="single" w:sz="6" w:space="0" w:color="000000"/>
              <w:bottom w:val="nil"/>
              <w:right w:val="nil"/>
            </w:tcBorders>
            <w:vAlign w:val="center"/>
          </w:tcPr>
          <w:p>
            <w:pPr>
              <w:pStyle w:val="TableParagraph"/>
              <w:spacing w:line="360" w:lineRule="auto"/>
              <w:jc w:val="both"/>
              <w:rPr>
                <w:rFonts w:hint="eastAsia"/>
                <w:sz w:val="20"/>
                <w:szCs w:val="20"/>
              </w:rPr>
            </w:pPr>
            <w:r>
              <w:rPr>
                <w:sz w:val="20"/>
                <w:szCs w:val="20"/>
              </w:rPr>
              <w:t>1.</w:t>
            </w:r>
          </w:p>
        </w:tc>
        <w:tc>
          <w:tcPr>
            <w:tcW w:w="2987" w:type="pct"/>
            <w:tcBorders>
              <w:top w:val="single" w:sz="6" w:space="0" w:color="000000"/>
              <w:left w:val="nil"/>
              <w:bottom w:val="nil"/>
            </w:tcBorders>
            <w:vAlign w:val="center"/>
          </w:tcPr>
          <w:p>
            <w:pPr>
              <w:pStyle w:val="TableParagraph"/>
              <w:spacing w:line="360" w:lineRule="auto"/>
              <w:jc w:val="both"/>
              <w:rPr>
                <w:rFonts w:hint="eastAsia"/>
                <w:sz w:val="20"/>
                <w:szCs w:val="20"/>
              </w:rPr>
            </w:pPr>
            <w:r>
              <w:rPr>
                <w:sz w:val="20"/>
                <w:szCs w:val="20"/>
              </w:rPr>
              <w:t>检查路面有无积水。</w:t>
            </w:r>
          </w:p>
        </w:tc>
      </w:tr>
      <w:tr>
        <w:tblPrEx>
          <w:tblW w:w="5000" w:type="pct"/>
          <w:tblInd w:w="-15" w:type="dxa"/>
          <w:tblCellMar>
            <w:top w:w="0" w:type="dxa"/>
            <w:left w:w="0" w:type="dxa"/>
            <w:bottom w:w="0" w:type="dxa"/>
            <w:right w:w="0" w:type="dxa"/>
          </w:tblCellMar>
        </w:tblPrEx>
        <w:trPr>
          <w:trHeight w:val="428"/>
        </w:trPr>
        <w:tc>
          <w:tcPr>
            <w:tcW w:w="333" w:type="pct"/>
            <w:vMerge/>
            <w:tcBorders>
              <w:right w:val="single" w:sz="6" w:space="0" w:color="000000"/>
            </w:tcBorders>
            <w:vAlign w:val="center"/>
          </w:tcPr>
          <w:p>
            <w:pPr>
              <w:pStyle w:val="TableParagraph"/>
              <w:spacing w:line="360" w:lineRule="auto"/>
              <w:jc w:val="center"/>
              <w:rPr>
                <w:rFonts w:hint="eastAsia"/>
                <w:sz w:val="20"/>
                <w:szCs w:val="20"/>
              </w:rPr>
            </w:pPr>
          </w:p>
        </w:tc>
        <w:tc>
          <w:tcPr>
            <w:tcW w:w="498" w:type="pct"/>
            <w:vMerge/>
            <w:tcBorders>
              <w:left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675" w:type="pct"/>
            <w:vMerge/>
            <w:tcBorders>
              <w:left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350" w:type="pct"/>
            <w:vMerge/>
            <w:tcBorders>
              <w:left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158" w:type="pct"/>
            <w:tcBorders>
              <w:top w:val="nil"/>
              <w:left w:val="single" w:sz="6" w:space="0" w:color="000000"/>
              <w:bottom w:val="nil"/>
              <w:right w:val="nil"/>
            </w:tcBorders>
            <w:vAlign w:val="center"/>
          </w:tcPr>
          <w:p>
            <w:pPr>
              <w:pStyle w:val="TableParagraph"/>
              <w:spacing w:line="360" w:lineRule="auto"/>
              <w:jc w:val="both"/>
              <w:rPr>
                <w:rFonts w:hint="eastAsia"/>
                <w:sz w:val="20"/>
                <w:szCs w:val="20"/>
              </w:rPr>
            </w:pPr>
            <w:r>
              <w:rPr>
                <w:sz w:val="20"/>
                <w:szCs w:val="20"/>
              </w:rPr>
              <w:t>2.</w:t>
            </w:r>
          </w:p>
        </w:tc>
        <w:tc>
          <w:tcPr>
            <w:tcW w:w="2987" w:type="pct"/>
            <w:tcBorders>
              <w:top w:val="nil"/>
              <w:left w:val="nil"/>
              <w:bottom w:val="nil"/>
            </w:tcBorders>
            <w:vAlign w:val="center"/>
          </w:tcPr>
          <w:p>
            <w:pPr>
              <w:pStyle w:val="TableParagraph"/>
              <w:spacing w:line="360" w:lineRule="auto"/>
              <w:jc w:val="both"/>
              <w:rPr>
                <w:rFonts w:hint="eastAsia"/>
                <w:sz w:val="20"/>
                <w:szCs w:val="20"/>
              </w:rPr>
            </w:pPr>
            <w:r>
              <w:rPr>
                <w:sz w:val="20"/>
                <w:szCs w:val="20"/>
              </w:rPr>
              <w:t>检查道路路面有无起壳、地鼓、裂缝。</w:t>
            </w:r>
          </w:p>
        </w:tc>
      </w:tr>
      <w:tr>
        <w:tblPrEx>
          <w:tblW w:w="5000" w:type="pct"/>
          <w:tblInd w:w="-15" w:type="dxa"/>
          <w:tblCellMar>
            <w:top w:w="0" w:type="dxa"/>
            <w:left w:w="0" w:type="dxa"/>
            <w:bottom w:w="0" w:type="dxa"/>
            <w:right w:w="0" w:type="dxa"/>
          </w:tblCellMar>
        </w:tblPrEx>
        <w:trPr>
          <w:trHeight w:val="446"/>
        </w:trPr>
        <w:tc>
          <w:tcPr>
            <w:tcW w:w="333" w:type="pct"/>
            <w:vMerge/>
            <w:tcBorders>
              <w:right w:val="single" w:sz="6" w:space="0" w:color="000000"/>
            </w:tcBorders>
            <w:vAlign w:val="center"/>
          </w:tcPr>
          <w:p>
            <w:pPr>
              <w:pStyle w:val="TableParagraph"/>
              <w:spacing w:line="360" w:lineRule="auto"/>
              <w:jc w:val="center"/>
              <w:rPr>
                <w:rFonts w:hint="eastAsia"/>
                <w:sz w:val="20"/>
                <w:szCs w:val="20"/>
              </w:rPr>
            </w:pPr>
          </w:p>
        </w:tc>
        <w:tc>
          <w:tcPr>
            <w:tcW w:w="498" w:type="pct"/>
            <w:vMerge/>
            <w:tcBorders>
              <w:left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675" w:type="pct"/>
            <w:vMerge/>
            <w:tcBorders>
              <w:left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350" w:type="pct"/>
            <w:vMerge/>
            <w:tcBorders>
              <w:left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158" w:type="pct"/>
            <w:tcBorders>
              <w:top w:val="nil"/>
              <w:left w:val="single" w:sz="6" w:space="0" w:color="000000"/>
              <w:bottom w:val="nil"/>
              <w:right w:val="nil"/>
            </w:tcBorders>
            <w:vAlign w:val="center"/>
          </w:tcPr>
          <w:p>
            <w:pPr>
              <w:pStyle w:val="TableParagraph"/>
              <w:spacing w:line="360" w:lineRule="auto"/>
              <w:jc w:val="both"/>
              <w:rPr>
                <w:rFonts w:hint="eastAsia"/>
                <w:sz w:val="20"/>
                <w:szCs w:val="20"/>
              </w:rPr>
            </w:pPr>
            <w:r>
              <w:rPr>
                <w:sz w:val="20"/>
                <w:szCs w:val="20"/>
              </w:rPr>
              <w:t>3.</w:t>
            </w:r>
          </w:p>
        </w:tc>
        <w:tc>
          <w:tcPr>
            <w:tcW w:w="2987" w:type="pct"/>
            <w:tcBorders>
              <w:top w:val="nil"/>
              <w:left w:val="nil"/>
              <w:bottom w:val="nil"/>
            </w:tcBorders>
            <w:vAlign w:val="center"/>
          </w:tcPr>
          <w:p>
            <w:pPr>
              <w:pStyle w:val="TableParagraph"/>
              <w:spacing w:line="360" w:lineRule="auto"/>
              <w:jc w:val="both"/>
              <w:rPr>
                <w:rFonts w:hint="eastAsia"/>
                <w:sz w:val="20"/>
                <w:szCs w:val="20"/>
              </w:rPr>
            </w:pPr>
            <w:r>
              <w:rPr>
                <w:sz w:val="20"/>
                <w:szCs w:val="20"/>
              </w:rPr>
              <w:t>检查路基有无塌陷。</w:t>
            </w:r>
          </w:p>
        </w:tc>
      </w:tr>
      <w:tr>
        <w:tblPrEx>
          <w:tblW w:w="5000" w:type="pct"/>
          <w:tblInd w:w="-15" w:type="dxa"/>
          <w:tblCellMar>
            <w:top w:w="0" w:type="dxa"/>
            <w:left w:w="0" w:type="dxa"/>
            <w:bottom w:w="0" w:type="dxa"/>
            <w:right w:w="0" w:type="dxa"/>
          </w:tblCellMar>
        </w:tblPrEx>
        <w:trPr>
          <w:trHeight w:val="500"/>
        </w:trPr>
        <w:tc>
          <w:tcPr>
            <w:tcW w:w="333" w:type="pct"/>
            <w:vMerge/>
            <w:tcBorders>
              <w:bottom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498" w:type="pct"/>
            <w:vMerge/>
            <w:tcBorders>
              <w:left w:val="single" w:sz="6" w:space="0" w:color="000000"/>
              <w:bottom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675" w:type="pct"/>
            <w:vMerge/>
            <w:tcBorders>
              <w:left w:val="single" w:sz="6" w:space="0" w:color="000000"/>
              <w:bottom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350" w:type="pct"/>
            <w:vMerge/>
            <w:tcBorders>
              <w:left w:val="single" w:sz="6" w:space="0" w:color="000000"/>
              <w:bottom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158" w:type="pct"/>
            <w:tcBorders>
              <w:top w:val="nil"/>
              <w:left w:val="single" w:sz="6" w:space="0" w:color="000000"/>
              <w:bottom w:val="single" w:sz="6" w:space="0" w:color="000000"/>
              <w:right w:val="nil"/>
            </w:tcBorders>
            <w:vAlign w:val="center"/>
          </w:tcPr>
          <w:p>
            <w:pPr>
              <w:pStyle w:val="TableParagraph"/>
              <w:spacing w:line="360" w:lineRule="auto"/>
              <w:jc w:val="both"/>
              <w:rPr>
                <w:rFonts w:hint="eastAsia"/>
                <w:sz w:val="20"/>
                <w:szCs w:val="20"/>
              </w:rPr>
            </w:pPr>
            <w:r>
              <w:rPr>
                <w:sz w:val="20"/>
                <w:szCs w:val="20"/>
              </w:rPr>
              <w:t>4.</w:t>
            </w:r>
          </w:p>
        </w:tc>
        <w:tc>
          <w:tcPr>
            <w:tcW w:w="2987" w:type="pct"/>
            <w:tcBorders>
              <w:top w:val="nil"/>
              <w:left w:val="nil"/>
              <w:bottom w:val="single" w:sz="6" w:space="0" w:color="000000"/>
            </w:tcBorders>
            <w:vAlign w:val="center"/>
          </w:tcPr>
          <w:p>
            <w:pPr>
              <w:pStyle w:val="TableParagraph"/>
              <w:spacing w:line="360" w:lineRule="auto"/>
              <w:jc w:val="both"/>
              <w:rPr>
                <w:rFonts w:hint="eastAsia"/>
                <w:sz w:val="20"/>
                <w:szCs w:val="20"/>
              </w:rPr>
            </w:pPr>
            <w:r>
              <w:rPr>
                <w:sz w:val="20"/>
                <w:szCs w:val="20"/>
              </w:rPr>
              <w:t>发现异常及时处理或修复。</w:t>
            </w:r>
          </w:p>
        </w:tc>
      </w:tr>
      <w:tr>
        <w:tblPrEx>
          <w:tblW w:w="5000" w:type="pct"/>
          <w:tblInd w:w="-15" w:type="dxa"/>
          <w:tblCellMar>
            <w:top w:w="0" w:type="dxa"/>
            <w:left w:w="0" w:type="dxa"/>
            <w:bottom w:w="0" w:type="dxa"/>
            <w:right w:w="0" w:type="dxa"/>
          </w:tblCellMar>
        </w:tblPrEx>
        <w:trPr>
          <w:trHeight w:val="537"/>
        </w:trPr>
        <w:tc>
          <w:tcPr>
            <w:tcW w:w="333" w:type="pct"/>
            <w:vMerge w:val="restart"/>
            <w:tcBorders>
              <w:top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2</w:t>
            </w:r>
          </w:p>
        </w:tc>
        <w:tc>
          <w:tcPr>
            <w:tcW w:w="498" w:type="pct"/>
            <w:vMerge w:val="restart"/>
            <w:tcBorders>
              <w:top w:val="single" w:sz="6" w:space="0" w:color="000000"/>
              <w:left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楼道灯及线路</w:t>
            </w:r>
          </w:p>
        </w:tc>
        <w:tc>
          <w:tcPr>
            <w:tcW w:w="675" w:type="pct"/>
            <w:tcBorders>
              <w:top w:val="single" w:sz="6" w:space="0" w:color="000000"/>
              <w:left w:val="single" w:sz="6" w:space="0" w:color="000000"/>
              <w:bottom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每日</w:t>
            </w:r>
          </w:p>
        </w:tc>
        <w:tc>
          <w:tcPr>
            <w:tcW w:w="350" w:type="pct"/>
            <w:tcBorders>
              <w:top w:val="single" w:sz="6" w:space="0" w:color="000000"/>
              <w:left w:val="single" w:sz="6" w:space="0" w:color="000000"/>
              <w:bottom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1</w:t>
            </w:r>
          </w:p>
        </w:tc>
        <w:tc>
          <w:tcPr>
            <w:tcW w:w="3144" w:type="pct"/>
            <w:gridSpan w:val="2"/>
            <w:tcBorders>
              <w:top w:val="single" w:sz="6" w:space="0" w:color="000000"/>
              <w:left w:val="single" w:sz="6" w:space="0" w:color="000000"/>
              <w:bottom w:val="single" w:sz="6" w:space="0" w:color="000000"/>
            </w:tcBorders>
            <w:vAlign w:val="center"/>
          </w:tcPr>
          <w:p>
            <w:pPr>
              <w:pStyle w:val="TableParagraph"/>
              <w:spacing w:line="360" w:lineRule="auto"/>
              <w:jc w:val="both"/>
              <w:rPr>
                <w:rFonts w:hint="eastAsia"/>
                <w:sz w:val="20"/>
                <w:szCs w:val="20"/>
              </w:rPr>
            </w:pPr>
            <w:r>
              <w:rPr>
                <w:sz w:val="20"/>
                <w:szCs w:val="20"/>
              </w:rPr>
              <w:t>1．检查灯具完好情况，即坏即修。</w:t>
            </w:r>
          </w:p>
        </w:tc>
      </w:tr>
      <w:tr>
        <w:tblPrEx>
          <w:tblW w:w="5000" w:type="pct"/>
          <w:tblInd w:w="-15" w:type="dxa"/>
          <w:tblCellMar>
            <w:top w:w="0" w:type="dxa"/>
            <w:left w:w="0" w:type="dxa"/>
            <w:bottom w:w="0" w:type="dxa"/>
            <w:right w:w="0" w:type="dxa"/>
          </w:tblCellMar>
        </w:tblPrEx>
        <w:trPr>
          <w:trHeight w:val="354"/>
        </w:trPr>
        <w:tc>
          <w:tcPr>
            <w:tcW w:w="333" w:type="pct"/>
            <w:vMerge/>
            <w:tcBorders>
              <w:right w:val="single" w:sz="6" w:space="0" w:color="000000"/>
            </w:tcBorders>
            <w:vAlign w:val="center"/>
          </w:tcPr>
          <w:p>
            <w:pPr>
              <w:pStyle w:val="TableParagraph"/>
              <w:spacing w:line="360" w:lineRule="auto"/>
              <w:jc w:val="center"/>
              <w:rPr>
                <w:rFonts w:hint="eastAsia"/>
                <w:sz w:val="20"/>
                <w:szCs w:val="20"/>
              </w:rPr>
            </w:pPr>
          </w:p>
        </w:tc>
        <w:tc>
          <w:tcPr>
            <w:tcW w:w="498" w:type="pct"/>
            <w:vMerge/>
            <w:tcBorders>
              <w:left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675" w:type="pct"/>
            <w:vMerge w:val="restart"/>
            <w:tcBorders>
              <w:top w:val="single" w:sz="6" w:space="0" w:color="000000"/>
              <w:left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每周</w:t>
            </w:r>
          </w:p>
        </w:tc>
        <w:tc>
          <w:tcPr>
            <w:tcW w:w="350" w:type="pct"/>
            <w:vMerge w:val="restart"/>
            <w:tcBorders>
              <w:top w:val="single" w:sz="6" w:space="0" w:color="000000"/>
              <w:left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1</w:t>
            </w:r>
          </w:p>
        </w:tc>
        <w:tc>
          <w:tcPr>
            <w:tcW w:w="158" w:type="pct"/>
            <w:tcBorders>
              <w:top w:val="single" w:sz="6" w:space="0" w:color="000000"/>
              <w:left w:val="single" w:sz="6" w:space="0" w:color="000000"/>
              <w:bottom w:val="nil"/>
              <w:right w:val="nil"/>
            </w:tcBorders>
            <w:vAlign w:val="center"/>
          </w:tcPr>
          <w:p>
            <w:pPr>
              <w:pStyle w:val="TableParagraph"/>
              <w:spacing w:line="360" w:lineRule="auto"/>
              <w:jc w:val="both"/>
              <w:rPr>
                <w:rFonts w:hint="eastAsia"/>
                <w:sz w:val="20"/>
                <w:szCs w:val="20"/>
              </w:rPr>
            </w:pPr>
            <w:r>
              <w:rPr>
                <w:sz w:val="20"/>
                <w:szCs w:val="20"/>
              </w:rPr>
              <w:t>1.</w:t>
            </w:r>
          </w:p>
        </w:tc>
        <w:tc>
          <w:tcPr>
            <w:tcW w:w="2987" w:type="pct"/>
            <w:tcBorders>
              <w:top w:val="single" w:sz="6" w:space="0" w:color="000000"/>
              <w:left w:val="nil"/>
              <w:bottom w:val="nil"/>
            </w:tcBorders>
            <w:vAlign w:val="center"/>
          </w:tcPr>
          <w:p>
            <w:pPr>
              <w:pStyle w:val="TableParagraph"/>
              <w:spacing w:line="360" w:lineRule="auto"/>
              <w:jc w:val="both"/>
              <w:rPr>
                <w:rFonts w:hint="eastAsia"/>
                <w:sz w:val="20"/>
                <w:szCs w:val="20"/>
              </w:rPr>
            </w:pPr>
            <w:r>
              <w:rPr>
                <w:sz w:val="20"/>
                <w:szCs w:val="20"/>
              </w:rPr>
              <w:t>检查玻璃灯罩有无破损。</w:t>
            </w:r>
          </w:p>
        </w:tc>
      </w:tr>
      <w:tr>
        <w:tblPrEx>
          <w:tblW w:w="5000" w:type="pct"/>
          <w:tblInd w:w="-15" w:type="dxa"/>
          <w:tblCellMar>
            <w:top w:w="0" w:type="dxa"/>
            <w:left w:w="0" w:type="dxa"/>
            <w:bottom w:w="0" w:type="dxa"/>
            <w:right w:w="0" w:type="dxa"/>
          </w:tblCellMar>
        </w:tblPrEx>
        <w:trPr>
          <w:trHeight w:val="346"/>
        </w:trPr>
        <w:tc>
          <w:tcPr>
            <w:tcW w:w="333" w:type="pct"/>
            <w:vMerge/>
            <w:tcBorders>
              <w:right w:val="single" w:sz="6" w:space="0" w:color="000000"/>
            </w:tcBorders>
            <w:vAlign w:val="center"/>
          </w:tcPr>
          <w:p>
            <w:pPr>
              <w:pStyle w:val="TableParagraph"/>
              <w:spacing w:line="360" w:lineRule="auto"/>
              <w:jc w:val="center"/>
              <w:rPr>
                <w:rFonts w:hint="eastAsia"/>
                <w:sz w:val="20"/>
                <w:szCs w:val="20"/>
              </w:rPr>
            </w:pPr>
          </w:p>
        </w:tc>
        <w:tc>
          <w:tcPr>
            <w:tcW w:w="498" w:type="pct"/>
            <w:vMerge/>
            <w:tcBorders>
              <w:left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675" w:type="pct"/>
            <w:vMerge/>
            <w:tcBorders>
              <w:left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350" w:type="pct"/>
            <w:vMerge/>
            <w:tcBorders>
              <w:left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158" w:type="pct"/>
            <w:tcBorders>
              <w:top w:val="nil"/>
              <w:left w:val="single" w:sz="6" w:space="0" w:color="000000"/>
              <w:bottom w:val="nil"/>
              <w:right w:val="nil"/>
            </w:tcBorders>
            <w:vAlign w:val="center"/>
          </w:tcPr>
          <w:p>
            <w:pPr>
              <w:pStyle w:val="TableParagraph"/>
              <w:spacing w:line="360" w:lineRule="auto"/>
              <w:jc w:val="both"/>
              <w:rPr>
                <w:rFonts w:hint="eastAsia"/>
                <w:sz w:val="20"/>
                <w:szCs w:val="20"/>
              </w:rPr>
            </w:pPr>
            <w:r>
              <w:rPr>
                <w:sz w:val="20"/>
                <w:szCs w:val="20"/>
              </w:rPr>
              <w:t>2.</w:t>
            </w:r>
          </w:p>
        </w:tc>
        <w:tc>
          <w:tcPr>
            <w:tcW w:w="2987" w:type="pct"/>
            <w:tcBorders>
              <w:top w:val="nil"/>
              <w:left w:val="nil"/>
              <w:bottom w:val="nil"/>
            </w:tcBorders>
            <w:vAlign w:val="center"/>
          </w:tcPr>
          <w:p>
            <w:pPr>
              <w:pStyle w:val="TableParagraph"/>
              <w:spacing w:line="360" w:lineRule="auto"/>
              <w:jc w:val="both"/>
              <w:rPr>
                <w:rFonts w:hint="eastAsia"/>
                <w:sz w:val="20"/>
                <w:szCs w:val="20"/>
              </w:rPr>
            </w:pPr>
            <w:r>
              <w:rPr>
                <w:sz w:val="20"/>
                <w:szCs w:val="20"/>
              </w:rPr>
              <w:t>有无金属灯架松脱现象。</w:t>
            </w:r>
          </w:p>
        </w:tc>
      </w:tr>
      <w:tr>
        <w:tblPrEx>
          <w:tblW w:w="5000" w:type="pct"/>
          <w:tblInd w:w="-15" w:type="dxa"/>
          <w:tblCellMar>
            <w:top w:w="0" w:type="dxa"/>
            <w:left w:w="0" w:type="dxa"/>
            <w:bottom w:w="0" w:type="dxa"/>
            <w:right w:w="0" w:type="dxa"/>
          </w:tblCellMar>
        </w:tblPrEx>
        <w:trPr>
          <w:trHeight w:val="582"/>
        </w:trPr>
        <w:tc>
          <w:tcPr>
            <w:tcW w:w="333" w:type="pct"/>
            <w:vMerge/>
            <w:tcBorders>
              <w:right w:val="single" w:sz="6" w:space="0" w:color="000000"/>
            </w:tcBorders>
            <w:vAlign w:val="center"/>
          </w:tcPr>
          <w:p>
            <w:pPr>
              <w:pStyle w:val="TableParagraph"/>
              <w:spacing w:line="360" w:lineRule="auto"/>
              <w:jc w:val="center"/>
              <w:rPr>
                <w:rFonts w:hint="eastAsia"/>
                <w:sz w:val="20"/>
                <w:szCs w:val="20"/>
              </w:rPr>
            </w:pPr>
          </w:p>
        </w:tc>
        <w:tc>
          <w:tcPr>
            <w:tcW w:w="498" w:type="pct"/>
            <w:vMerge/>
            <w:tcBorders>
              <w:left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675" w:type="pct"/>
            <w:vMerge/>
            <w:tcBorders>
              <w:left w:val="single" w:sz="6" w:space="0" w:color="000000"/>
              <w:bottom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350" w:type="pct"/>
            <w:vMerge/>
            <w:tcBorders>
              <w:left w:val="single" w:sz="6" w:space="0" w:color="000000"/>
              <w:bottom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158" w:type="pct"/>
            <w:tcBorders>
              <w:top w:val="nil"/>
              <w:left w:val="single" w:sz="6" w:space="0" w:color="000000"/>
              <w:bottom w:val="single" w:sz="6" w:space="0" w:color="000000"/>
              <w:right w:val="nil"/>
            </w:tcBorders>
            <w:vAlign w:val="center"/>
          </w:tcPr>
          <w:p>
            <w:pPr>
              <w:pStyle w:val="TableParagraph"/>
              <w:spacing w:line="360" w:lineRule="auto"/>
              <w:jc w:val="both"/>
              <w:rPr>
                <w:rFonts w:hint="eastAsia"/>
                <w:sz w:val="20"/>
                <w:szCs w:val="20"/>
              </w:rPr>
            </w:pPr>
          </w:p>
          <w:p>
            <w:pPr>
              <w:pStyle w:val="TableParagraph"/>
              <w:spacing w:line="360" w:lineRule="auto"/>
              <w:jc w:val="both"/>
              <w:rPr>
                <w:rFonts w:hint="eastAsia"/>
                <w:sz w:val="20"/>
                <w:szCs w:val="20"/>
              </w:rPr>
            </w:pPr>
            <w:r>
              <w:rPr>
                <w:sz w:val="20"/>
                <w:szCs w:val="20"/>
              </w:rPr>
              <w:t>3.</w:t>
            </w:r>
          </w:p>
        </w:tc>
        <w:tc>
          <w:tcPr>
            <w:tcW w:w="2987" w:type="pct"/>
            <w:tcBorders>
              <w:top w:val="nil"/>
              <w:left w:val="nil"/>
              <w:bottom w:val="single" w:sz="6" w:space="0" w:color="000000"/>
            </w:tcBorders>
            <w:vAlign w:val="center"/>
          </w:tcPr>
          <w:p>
            <w:pPr>
              <w:pStyle w:val="TableParagraph"/>
              <w:spacing w:line="360" w:lineRule="auto"/>
              <w:jc w:val="both"/>
              <w:rPr>
                <w:rFonts w:hint="eastAsia"/>
                <w:sz w:val="20"/>
                <w:szCs w:val="20"/>
              </w:rPr>
            </w:pPr>
            <w:r>
              <w:rPr>
                <w:sz w:val="20"/>
                <w:szCs w:val="20"/>
              </w:rPr>
              <w:t>灯口、灯栅有无损坏。</w:t>
            </w:r>
          </w:p>
        </w:tc>
      </w:tr>
      <w:tr>
        <w:tblPrEx>
          <w:tblW w:w="5000" w:type="pct"/>
          <w:tblInd w:w="-15" w:type="dxa"/>
          <w:tblCellMar>
            <w:top w:w="0" w:type="dxa"/>
            <w:left w:w="0" w:type="dxa"/>
            <w:bottom w:w="0" w:type="dxa"/>
            <w:right w:w="0" w:type="dxa"/>
          </w:tblCellMar>
        </w:tblPrEx>
        <w:trPr>
          <w:trHeight w:val="355"/>
        </w:trPr>
        <w:tc>
          <w:tcPr>
            <w:tcW w:w="333" w:type="pct"/>
            <w:vMerge/>
            <w:tcBorders>
              <w:right w:val="single" w:sz="6" w:space="0" w:color="000000"/>
            </w:tcBorders>
            <w:vAlign w:val="center"/>
          </w:tcPr>
          <w:p>
            <w:pPr>
              <w:pStyle w:val="TableParagraph"/>
              <w:spacing w:line="360" w:lineRule="auto"/>
              <w:jc w:val="center"/>
              <w:rPr>
                <w:rFonts w:hint="eastAsia"/>
                <w:sz w:val="20"/>
                <w:szCs w:val="20"/>
              </w:rPr>
            </w:pPr>
          </w:p>
        </w:tc>
        <w:tc>
          <w:tcPr>
            <w:tcW w:w="498" w:type="pct"/>
            <w:vMerge/>
            <w:tcBorders>
              <w:left w:val="single" w:sz="6" w:space="0" w:color="000000"/>
              <w:right w:val="single" w:sz="6" w:space="0" w:color="000000"/>
            </w:tcBorders>
            <w:vAlign w:val="center"/>
          </w:tcPr>
          <w:p>
            <w:pPr>
              <w:spacing w:line="360" w:lineRule="auto"/>
              <w:jc w:val="center"/>
              <w:rPr>
                <w:rFonts w:ascii="宋体" w:hAnsi="宋体" w:hint="eastAsia"/>
                <w:sz w:val="20"/>
                <w:szCs w:val="20"/>
              </w:rPr>
            </w:pPr>
          </w:p>
        </w:tc>
        <w:tc>
          <w:tcPr>
            <w:tcW w:w="675" w:type="pct"/>
            <w:vMerge w:val="restart"/>
            <w:tcBorders>
              <w:top w:val="single" w:sz="6" w:space="0" w:color="000000"/>
              <w:left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每季</w:t>
            </w:r>
          </w:p>
        </w:tc>
        <w:tc>
          <w:tcPr>
            <w:tcW w:w="350" w:type="pct"/>
            <w:vMerge w:val="restart"/>
            <w:tcBorders>
              <w:top w:val="single" w:sz="6" w:space="0" w:color="000000"/>
              <w:left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1</w:t>
            </w:r>
          </w:p>
        </w:tc>
        <w:tc>
          <w:tcPr>
            <w:tcW w:w="158" w:type="pct"/>
            <w:tcBorders>
              <w:top w:val="single" w:sz="6" w:space="0" w:color="000000"/>
              <w:left w:val="single" w:sz="6" w:space="0" w:color="000000"/>
              <w:bottom w:val="nil"/>
              <w:right w:val="nil"/>
            </w:tcBorders>
            <w:vAlign w:val="center"/>
          </w:tcPr>
          <w:p>
            <w:pPr>
              <w:pStyle w:val="TableParagraph"/>
              <w:spacing w:line="360" w:lineRule="auto"/>
              <w:jc w:val="both"/>
              <w:rPr>
                <w:rFonts w:hint="eastAsia"/>
                <w:sz w:val="20"/>
                <w:szCs w:val="20"/>
              </w:rPr>
            </w:pPr>
            <w:r>
              <w:rPr>
                <w:sz w:val="20"/>
                <w:szCs w:val="20"/>
              </w:rPr>
              <w:t>1.</w:t>
            </w:r>
          </w:p>
        </w:tc>
        <w:tc>
          <w:tcPr>
            <w:tcW w:w="2987" w:type="pct"/>
            <w:tcBorders>
              <w:top w:val="single" w:sz="6" w:space="0" w:color="000000"/>
              <w:left w:val="nil"/>
              <w:bottom w:val="nil"/>
            </w:tcBorders>
            <w:vAlign w:val="center"/>
          </w:tcPr>
          <w:p>
            <w:pPr>
              <w:pStyle w:val="TableParagraph"/>
              <w:spacing w:line="360" w:lineRule="auto"/>
              <w:jc w:val="both"/>
              <w:rPr>
                <w:rFonts w:hint="eastAsia"/>
                <w:sz w:val="20"/>
                <w:szCs w:val="20"/>
              </w:rPr>
            </w:pPr>
            <w:r>
              <w:rPr>
                <w:sz w:val="20"/>
                <w:szCs w:val="20"/>
              </w:rPr>
              <w:t>检查路灯线路有无漏电、短路烧毁现象。</w:t>
            </w:r>
          </w:p>
        </w:tc>
      </w:tr>
      <w:tr>
        <w:tblPrEx>
          <w:tblW w:w="5000" w:type="pct"/>
          <w:tblInd w:w="-15" w:type="dxa"/>
          <w:tblCellMar>
            <w:top w:w="0" w:type="dxa"/>
            <w:left w:w="0" w:type="dxa"/>
            <w:bottom w:w="0" w:type="dxa"/>
            <w:right w:w="0" w:type="dxa"/>
          </w:tblCellMar>
        </w:tblPrEx>
        <w:trPr>
          <w:trHeight w:val="427"/>
        </w:trPr>
        <w:tc>
          <w:tcPr>
            <w:tcW w:w="333" w:type="pct"/>
            <w:vMerge/>
            <w:tcBorders>
              <w:right w:val="single" w:sz="6" w:space="0" w:color="000000"/>
            </w:tcBorders>
            <w:vAlign w:val="center"/>
          </w:tcPr>
          <w:p>
            <w:pPr>
              <w:pStyle w:val="TableParagraph"/>
              <w:spacing w:line="360" w:lineRule="auto"/>
              <w:jc w:val="center"/>
              <w:rPr>
                <w:rFonts w:hint="eastAsia"/>
                <w:sz w:val="20"/>
                <w:szCs w:val="20"/>
              </w:rPr>
            </w:pPr>
          </w:p>
        </w:tc>
        <w:tc>
          <w:tcPr>
            <w:tcW w:w="498" w:type="pct"/>
            <w:vMerge/>
            <w:tcBorders>
              <w:left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675" w:type="pct"/>
            <w:vMerge/>
            <w:tcBorders>
              <w:left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350" w:type="pct"/>
            <w:vMerge/>
            <w:tcBorders>
              <w:left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158" w:type="pct"/>
            <w:tcBorders>
              <w:top w:val="nil"/>
              <w:left w:val="single" w:sz="6" w:space="0" w:color="000000"/>
              <w:bottom w:val="nil"/>
              <w:right w:val="nil"/>
            </w:tcBorders>
            <w:vAlign w:val="center"/>
          </w:tcPr>
          <w:p>
            <w:pPr>
              <w:pStyle w:val="TableParagraph"/>
              <w:spacing w:line="360" w:lineRule="auto"/>
              <w:jc w:val="both"/>
              <w:rPr>
                <w:rFonts w:hint="eastAsia"/>
                <w:sz w:val="20"/>
                <w:szCs w:val="20"/>
              </w:rPr>
            </w:pPr>
            <w:r>
              <w:rPr>
                <w:sz w:val="20"/>
                <w:szCs w:val="20"/>
              </w:rPr>
              <w:t>2.</w:t>
            </w:r>
          </w:p>
        </w:tc>
        <w:tc>
          <w:tcPr>
            <w:tcW w:w="2987" w:type="pct"/>
            <w:tcBorders>
              <w:top w:val="nil"/>
              <w:left w:val="nil"/>
              <w:bottom w:val="nil"/>
            </w:tcBorders>
            <w:vAlign w:val="center"/>
          </w:tcPr>
          <w:p>
            <w:pPr>
              <w:pStyle w:val="TableParagraph"/>
              <w:spacing w:line="360" w:lineRule="auto"/>
              <w:jc w:val="both"/>
              <w:rPr>
                <w:rFonts w:hint="eastAsia"/>
                <w:sz w:val="20"/>
                <w:szCs w:val="20"/>
              </w:rPr>
            </w:pPr>
            <w:r>
              <w:rPr>
                <w:sz w:val="20"/>
                <w:szCs w:val="20"/>
              </w:rPr>
              <w:t>金属灯架有无锈蚀。</w:t>
            </w:r>
          </w:p>
        </w:tc>
      </w:tr>
      <w:tr>
        <w:tblPrEx>
          <w:tblW w:w="5000" w:type="pct"/>
          <w:tblInd w:w="-15" w:type="dxa"/>
          <w:tblCellMar>
            <w:top w:w="0" w:type="dxa"/>
            <w:left w:w="0" w:type="dxa"/>
            <w:bottom w:w="0" w:type="dxa"/>
            <w:right w:w="0" w:type="dxa"/>
          </w:tblCellMar>
        </w:tblPrEx>
        <w:trPr>
          <w:trHeight w:val="501"/>
        </w:trPr>
        <w:tc>
          <w:tcPr>
            <w:tcW w:w="333" w:type="pct"/>
            <w:vMerge/>
            <w:tcBorders>
              <w:bottom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498" w:type="pct"/>
            <w:vMerge/>
            <w:tcBorders>
              <w:left w:val="single" w:sz="6" w:space="0" w:color="000000"/>
              <w:bottom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675" w:type="pct"/>
            <w:vMerge/>
            <w:tcBorders>
              <w:left w:val="single" w:sz="6" w:space="0" w:color="000000"/>
              <w:bottom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350" w:type="pct"/>
            <w:vMerge/>
            <w:tcBorders>
              <w:left w:val="single" w:sz="6" w:space="0" w:color="000000"/>
              <w:bottom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158" w:type="pct"/>
            <w:tcBorders>
              <w:top w:val="nil"/>
              <w:left w:val="single" w:sz="6" w:space="0" w:color="000000"/>
              <w:bottom w:val="single" w:sz="6" w:space="0" w:color="000000"/>
              <w:right w:val="nil"/>
            </w:tcBorders>
            <w:vAlign w:val="center"/>
          </w:tcPr>
          <w:p>
            <w:pPr>
              <w:pStyle w:val="TableParagraph"/>
              <w:spacing w:line="360" w:lineRule="auto"/>
              <w:jc w:val="both"/>
              <w:rPr>
                <w:rFonts w:hint="eastAsia"/>
                <w:sz w:val="20"/>
                <w:szCs w:val="20"/>
              </w:rPr>
            </w:pPr>
            <w:r>
              <w:rPr>
                <w:sz w:val="20"/>
                <w:szCs w:val="20"/>
              </w:rPr>
              <w:t>3.</w:t>
            </w:r>
          </w:p>
        </w:tc>
        <w:tc>
          <w:tcPr>
            <w:tcW w:w="2987" w:type="pct"/>
            <w:tcBorders>
              <w:top w:val="nil"/>
              <w:left w:val="nil"/>
              <w:bottom w:val="single" w:sz="6" w:space="0" w:color="000000"/>
            </w:tcBorders>
            <w:vAlign w:val="center"/>
          </w:tcPr>
          <w:p>
            <w:pPr>
              <w:pStyle w:val="TableParagraph"/>
              <w:spacing w:line="360" w:lineRule="auto"/>
              <w:jc w:val="both"/>
              <w:rPr>
                <w:rFonts w:hint="eastAsia"/>
                <w:sz w:val="20"/>
                <w:szCs w:val="20"/>
              </w:rPr>
            </w:pPr>
            <w:r>
              <w:rPr>
                <w:sz w:val="20"/>
                <w:szCs w:val="20"/>
              </w:rPr>
              <w:t>发现异常即时处理或修复</w:t>
            </w:r>
          </w:p>
        </w:tc>
      </w:tr>
      <w:tr>
        <w:tblPrEx>
          <w:tblW w:w="5000" w:type="pct"/>
          <w:tblInd w:w="-15" w:type="dxa"/>
          <w:tblCellMar>
            <w:top w:w="0" w:type="dxa"/>
            <w:left w:w="0" w:type="dxa"/>
            <w:bottom w:w="0" w:type="dxa"/>
            <w:right w:w="0" w:type="dxa"/>
          </w:tblCellMar>
        </w:tblPrEx>
        <w:trPr>
          <w:trHeight w:val="355"/>
        </w:trPr>
        <w:tc>
          <w:tcPr>
            <w:tcW w:w="333" w:type="pct"/>
            <w:vMerge w:val="restart"/>
            <w:tcBorders>
              <w:top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3</w:t>
            </w:r>
          </w:p>
        </w:tc>
        <w:tc>
          <w:tcPr>
            <w:tcW w:w="498" w:type="pct"/>
            <w:vMerge w:val="restart"/>
            <w:tcBorders>
              <w:top w:val="single" w:sz="6" w:space="0" w:color="000000"/>
              <w:left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沟渠池井</w:t>
            </w:r>
          </w:p>
        </w:tc>
        <w:tc>
          <w:tcPr>
            <w:tcW w:w="675" w:type="pct"/>
            <w:vMerge w:val="restart"/>
            <w:tcBorders>
              <w:top w:val="single" w:sz="6" w:space="0" w:color="000000"/>
              <w:left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每周</w:t>
            </w:r>
          </w:p>
        </w:tc>
        <w:tc>
          <w:tcPr>
            <w:tcW w:w="350" w:type="pct"/>
            <w:vMerge w:val="restart"/>
            <w:tcBorders>
              <w:top w:val="single" w:sz="6" w:space="0" w:color="000000"/>
              <w:left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1</w:t>
            </w:r>
          </w:p>
        </w:tc>
        <w:tc>
          <w:tcPr>
            <w:tcW w:w="158" w:type="pct"/>
            <w:tcBorders>
              <w:top w:val="single" w:sz="6" w:space="0" w:color="000000"/>
              <w:left w:val="single" w:sz="6" w:space="0" w:color="000000"/>
              <w:bottom w:val="nil"/>
              <w:right w:val="nil"/>
            </w:tcBorders>
            <w:vAlign w:val="center"/>
          </w:tcPr>
          <w:p>
            <w:pPr>
              <w:pStyle w:val="TableParagraph"/>
              <w:spacing w:line="360" w:lineRule="auto"/>
              <w:jc w:val="both"/>
              <w:rPr>
                <w:rFonts w:hint="eastAsia"/>
                <w:sz w:val="20"/>
                <w:szCs w:val="20"/>
              </w:rPr>
            </w:pPr>
            <w:r>
              <w:rPr>
                <w:sz w:val="20"/>
                <w:szCs w:val="20"/>
              </w:rPr>
              <w:t>1.</w:t>
            </w:r>
          </w:p>
        </w:tc>
        <w:tc>
          <w:tcPr>
            <w:tcW w:w="2987" w:type="pct"/>
            <w:tcBorders>
              <w:top w:val="single" w:sz="6" w:space="0" w:color="000000"/>
              <w:left w:val="nil"/>
              <w:bottom w:val="nil"/>
            </w:tcBorders>
            <w:vAlign w:val="center"/>
          </w:tcPr>
          <w:p>
            <w:pPr>
              <w:pStyle w:val="TableParagraph"/>
              <w:spacing w:line="360" w:lineRule="auto"/>
              <w:jc w:val="both"/>
              <w:rPr>
                <w:rFonts w:hint="eastAsia"/>
                <w:sz w:val="20"/>
                <w:szCs w:val="20"/>
              </w:rPr>
            </w:pPr>
            <w:r>
              <w:rPr>
                <w:sz w:val="20"/>
                <w:szCs w:val="20"/>
              </w:rPr>
              <w:t>检查沟、渠有无堵塞现象，如有异常及时疏通。</w:t>
            </w:r>
          </w:p>
        </w:tc>
      </w:tr>
      <w:tr>
        <w:tblPrEx>
          <w:tblW w:w="5000" w:type="pct"/>
          <w:tblInd w:w="-15" w:type="dxa"/>
          <w:tblCellMar>
            <w:top w:w="0" w:type="dxa"/>
            <w:left w:w="0" w:type="dxa"/>
            <w:bottom w:w="0" w:type="dxa"/>
            <w:right w:w="0" w:type="dxa"/>
          </w:tblCellMar>
        </w:tblPrEx>
        <w:trPr>
          <w:trHeight w:val="500"/>
        </w:trPr>
        <w:tc>
          <w:tcPr>
            <w:tcW w:w="333" w:type="pct"/>
            <w:vMerge/>
            <w:tcBorders>
              <w:right w:val="single" w:sz="6" w:space="0" w:color="000000"/>
            </w:tcBorders>
            <w:vAlign w:val="center"/>
          </w:tcPr>
          <w:p>
            <w:pPr>
              <w:pStyle w:val="TableParagraph"/>
              <w:spacing w:line="360" w:lineRule="auto"/>
              <w:jc w:val="center"/>
              <w:rPr>
                <w:rFonts w:hint="eastAsia"/>
                <w:sz w:val="20"/>
                <w:szCs w:val="20"/>
              </w:rPr>
            </w:pPr>
          </w:p>
        </w:tc>
        <w:tc>
          <w:tcPr>
            <w:tcW w:w="498" w:type="pct"/>
            <w:vMerge/>
            <w:tcBorders>
              <w:left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675" w:type="pct"/>
            <w:vMerge/>
            <w:tcBorders>
              <w:left w:val="single" w:sz="6" w:space="0" w:color="000000"/>
              <w:bottom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350" w:type="pct"/>
            <w:vMerge/>
            <w:tcBorders>
              <w:left w:val="single" w:sz="6" w:space="0" w:color="000000"/>
              <w:bottom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158" w:type="pct"/>
            <w:tcBorders>
              <w:top w:val="nil"/>
              <w:left w:val="single" w:sz="6" w:space="0" w:color="000000"/>
              <w:bottom w:val="single" w:sz="6" w:space="0" w:color="000000"/>
              <w:right w:val="nil"/>
            </w:tcBorders>
            <w:vAlign w:val="center"/>
          </w:tcPr>
          <w:p>
            <w:pPr>
              <w:pStyle w:val="TableParagraph"/>
              <w:spacing w:line="360" w:lineRule="auto"/>
              <w:jc w:val="both"/>
              <w:rPr>
                <w:rFonts w:hint="eastAsia"/>
                <w:sz w:val="20"/>
                <w:szCs w:val="20"/>
              </w:rPr>
            </w:pPr>
            <w:r>
              <w:rPr>
                <w:sz w:val="20"/>
                <w:szCs w:val="20"/>
              </w:rPr>
              <w:t>2.</w:t>
            </w:r>
          </w:p>
        </w:tc>
        <w:tc>
          <w:tcPr>
            <w:tcW w:w="2987" w:type="pct"/>
            <w:tcBorders>
              <w:top w:val="nil"/>
              <w:left w:val="nil"/>
              <w:bottom w:val="single" w:sz="6" w:space="0" w:color="000000"/>
            </w:tcBorders>
            <w:vAlign w:val="center"/>
          </w:tcPr>
          <w:p>
            <w:pPr>
              <w:pStyle w:val="TableParagraph"/>
              <w:spacing w:line="360" w:lineRule="auto"/>
              <w:jc w:val="both"/>
              <w:rPr>
                <w:rFonts w:hint="eastAsia"/>
                <w:sz w:val="20"/>
                <w:szCs w:val="20"/>
              </w:rPr>
            </w:pPr>
            <w:r>
              <w:rPr>
                <w:sz w:val="20"/>
                <w:szCs w:val="20"/>
              </w:rPr>
              <w:t>检查雨水篦有无异常。</w:t>
            </w:r>
          </w:p>
        </w:tc>
      </w:tr>
      <w:tr>
        <w:tblPrEx>
          <w:tblW w:w="5000" w:type="pct"/>
          <w:tblInd w:w="-15" w:type="dxa"/>
          <w:tblCellMar>
            <w:top w:w="0" w:type="dxa"/>
            <w:left w:w="0" w:type="dxa"/>
            <w:bottom w:w="0" w:type="dxa"/>
            <w:right w:w="0" w:type="dxa"/>
          </w:tblCellMar>
        </w:tblPrEx>
        <w:trPr>
          <w:trHeight w:val="348"/>
        </w:trPr>
        <w:tc>
          <w:tcPr>
            <w:tcW w:w="333" w:type="pct"/>
            <w:vMerge/>
            <w:tcBorders>
              <w:right w:val="single" w:sz="6" w:space="0" w:color="000000"/>
            </w:tcBorders>
            <w:vAlign w:val="center"/>
          </w:tcPr>
          <w:p>
            <w:pPr>
              <w:pStyle w:val="TableParagraph"/>
              <w:spacing w:line="360" w:lineRule="auto"/>
              <w:jc w:val="center"/>
              <w:rPr>
                <w:rFonts w:hint="eastAsia"/>
                <w:sz w:val="20"/>
                <w:szCs w:val="20"/>
              </w:rPr>
            </w:pPr>
          </w:p>
        </w:tc>
        <w:tc>
          <w:tcPr>
            <w:tcW w:w="498" w:type="pct"/>
            <w:vMerge/>
            <w:tcBorders>
              <w:left w:val="single" w:sz="6" w:space="0" w:color="000000"/>
              <w:right w:val="single" w:sz="6" w:space="0" w:color="000000"/>
            </w:tcBorders>
            <w:vAlign w:val="center"/>
          </w:tcPr>
          <w:p>
            <w:pPr>
              <w:pStyle w:val="TableParagraph"/>
              <w:spacing w:line="360" w:lineRule="auto"/>
              <w:jc w:val="center"/>
              <w:rPr>
                <w:rFonts w:hint="eastAsia"/>
                <w:sz w:val="20"/>
                <w:szCs w:val="20"/>
              </w:rPr>
            </w:pPr>
          </w:p>
        </w:tc>
        <w:tc>
          <w:tcPr>
            <w:tcW w:w="675" w:type="pct"/>
            <w:vMerge w:val="restart"/>
            <w:tcBorders>
              <w:top w:val="single" w:sz="6" w:space="0" w:color="000000"/>
              <w:left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每季</w:t>
            </w:r>
          </w:p>
        </w:tc>
        <w:tc>
          <w:tcPr>
            <w:tcW w:w="350" w:type="pct"/>
            <w:vMerge w:val="restart"/>
            <w:tcBorders>
              <w:top w:val="single" w:sz="6" w:space="0" w:color="000000"/>
              <w:left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1</w:t>
            </w:r>
          </w:p>
        </w:tc>
        <w:tc>
          <w:tcPr>
            <w:tcW w:w="158" w:type="pct"/>
            <w:tcBorders>
              <w:top w:val="single" w:sz="6" w:space="0" w:color="000000"/>
              <w:left w:val="single" w:sz="6" w:space="0" w:color="000000"/>
              <w:bottom w:val="nil"/>
              <w:right w:val="nil"/>
            </w:tcBorders>
            <w:vAlign w:val="center"/>
          </w:tcPr>
          <w:p>
            <w:pPr>
              <w:pStyle w:val="TableParagraph"/>
              <w:spacing w:line="360" w:lineRule="auto"/>
              <w:jc w:val="both"/>
              <w:rPr>
                <w:rFonts w:hint="eastAsia"/>
                <w:sz w:val="20"/>
                <w:szCs w:val="20"/>
              </w:rPr>
            </w:pPr>
            <w:r>
              <w:rPr>
                <w:sz w:val="20"/>
                <w:szCs w:val="20"/>
              </w:rPr>
              <w:t>1.</w:t>
            </w:r>
          </w:p>
        </w:tc>
        <w:tc>
          <w:tcPr>
            <w:tcW w:w="2987" w:type="pct"/>
            <w:vMerge w:val="restart"/>
            <w:tcBorders>
              <w:top w:val="single" w:sz="6" w:space="0" w:color="000000"/>
              <w:left w:val="nil"/>
            </w:tcBorders>
            <w:vAlign w:val="center"/>
          </w:tcPr>
          <w:p>
            <w:pPr>
              <w:pStyle w:val="TableParagraph"/>
              <w:spacing w:line="360" w:lineRule="auto"/>
              <w:jc w:val="both"/>
              <w:rPr>
                <w:rFonts w:hint="eastAsia"/>
                <w:sz w:val="20"/>
                <w:szCs w:val="20"/>
              </w:rPr>
            </w:pPr>
            <w:r>
              <w:rPr>
                <w:sz w:val="20"/>
                <w:szCs w:val="20"/>
              </w:rPr>
              <w:t>检查井底及池底是否有污物沉积，如有沉积及时清污</w:t>
            </w:r>
          </w:p>
          <w:p>
            <w:pPr>
              <w:pStyle w:val="TableParagraph"/>
              <w:spacing w:line="360" w:lineRule="auto"/>
              <w:jc w:val="both"/>
              <w:rPr>
                <w:rFonts w:hint="eastAsia"/>
                <w:sz w:val="20"/>
                <w:szCs w:val="20"/>
              </w:rPr>
            </w:pPr>
            <w:r>
              <w:rPr>
                <w:sz w:val="20"/>
                <w:szCs w:val="20"/>
              </w:rPr>
              <w:t>检查井壁有无裂缝及塌陷，如有异常及时修复。</w:t>
            </w:r>
          </w:p>
          <w:p>
            <w:pPr>
              <w:pStyle w:val="TableParagraph"/>
              <w:spacing w:line="360" w:lineRule="auto"/>
              <w:jc w:val="both"/>
              <w:rPr>
                <w:rFonts w:hint="eastAsia"/>
                <w:sz w:val="20"/>
                <w:szCs w:val="20"/>
              </w:rPr>
            </w:pPr>
            <w:r>
              <w:rPr>
                <w:sz w:val="20"/>
                <w:szCs w:val="20"/>
              </w:rPr>
              <w:t>检查沟、渠是否完好，如有异常及时修复。</w:t>
            </w:r>
          </w:p>
          <w:p>
            <w:pPr>
              <w:pStyle w:val="TableParagraph"/>
              <w:spacing w:line="360" w:lineRule="auto"/>
              <w:jc w:val="both"/>
              <w:rPr>
                <w:rFonts w:hint="eastAsia"/>
                <w:sz w:val="20"/>
                <w:szCs w:val="20"/>
              </w:rPr>
            </w:pPr>
            <w:r>
              <w:rPr>
                <w:sz w:val="20"/>
                <w:szCs w:val="20"/>
              </w:rPr>
              <w:t>井盖及雨水篦刷漆。</w:t>
            </w:r>
          </w:p>
          <w:p>
            <w:pPr>
              <w:pStyle w:val="TableParagraph"/>
              <w:spacing w:line="360" w:lineRule="auto"/>
              <w:jc w:val="both"/>
              <w:rPr>
                <w:rFonts w:hint="eastAsia"/>
                <w:sz w:val="20"/>
                <w:szCs w:val="20"/>
              </w:rPr>
            </w:pPr>
            <w:r>
              <w:rPr>
                <w:sz w:val="20"/>
                <w:szCs w:val="20"/>
              </w:rPr>
              <w:t>检查井盖完好程度，发现损坏及时修复或更换。</w:t>
            </w:r>
          </w:p>
        </w:tc>
      </w:tr>
      <w:tr>
        <w:tblPrEx>
          <w:tblW w:w="5000" w:type="pct"/>
          <w:tblInd w:w="-15" w:type="dxa"/>
          <w:tblCellMar>
            <w:top w:w="0" w:type="dxa"/>
            <w:left w:w="0" w:type="dxa"/>
            <w:bottom w:w="0" w:type="dxa"/>
            <w:right w:w="0" w:type="dxa"/>
          </w:tblCellMar>
        </w:tblPrEx>
        <w:trPr>
          <w:trHeight w:val="412"/>
        </w:trPr>
        <w:tc>
          <w:tcPr>
            <w:tcW w:w="333" w:type="pct"/>
            <w:vMerge/>
            <w:tcBorders>
              <w:right w:val="single" w:sz="6" w:space="0" w:color="000000"/>
            </w:tcBorders>
            <w:vAlign w:val="center"/>
          </w:tcPr>
          <w:p>
            <w:pPr>
              <w:spacing w:line="360" w:lineRule="auto"/>
              <w:rPr>
                <w:rFonts w:ascii="宋体" w:hAnsi="宋体" w:hint="eastAsia"/>
                <w:sz w:val="20"/>
                <w:szCs w:val="20"/>
              </w:rPr>
            </w:pPr>
          </w:p>
        </w:tc>
        <w:tc>
          <w:tcPr>
            <w:tcW w:w="498" w:type="pct"/>
            <w:vMerge/>
            <w:tcBorders>
              <w:left w:val="single" w:sz="6" w:space="0" w:color="000000"/>
              <w:right w:val="single" w:sz="6" w:space="0" w:color="000000"/>
            </w:tcBorders>
            <w:vAlign w:val="center"/>
          </w:tcPr>
          <w:p>
            <w:pPr>
              <w:spacing w:line="360" w:lineRule="auto"/>
              <w:rPr>
                <w:rFonts w:ascii="宋体" w:hAnsi="宋体" w:hint="eastAsia"/>
                <w:sz w:val="20"/>
                <w:szCs w:val="20"/>
              </w:rPr>
            </w:pPr>
          </w:p>
        </w:tc>
        <w:tc>
          <w:tcPr>
            <w:tcW w:w="675" w:type="pct"/>
            <w:vMerge/>
            <w:tcBorders>
              <w:left w:val="single" w:sz="6" w:space="0" w:color="000000"/>
              <w:right w:val="single" w:sz="6" w:space="0" w:color="000000"/>
            </w:tcBorders>
            <w:vAlign w:val="center"/>
          </w:tcPr>
          <w:p>
            <w:pPr>
              <w:pStyle w:val="TableParagraph"/>
              <w:spacing w:line="360" w:lineRule="auto"/>
              <w:jc w:val="both"/>
              <w:rPr>
                <w:rFonts w:hint="eastAsia"/>
                <w:sz w:val="20"/>
                <w:szCs w:val="20"/>
              </w:rPr>
            </w:pPr>
          </w:p>
        </w:tc>
        <w:tc>
          <w:tcPr>
            <w:tcW w:w="350" w:type="pct"/>
            <w:vMerge/>
            <w:tcBorders>
              <w:left w:val="single" w:sz="6" w:space="0" w:color="000000"/>
              <w:right w:val="single" w:sz="6" w:space="0" w:color="000000"/>
            </w:tcBorders>
            <w:vAlign w:val="center"/>
          </w:tcPr>
          <w:p>
            <w:pPr>
              <w:pStyle w:val="TableParagraph"/>
              <w:spacing w:line="360" w:lineRule="auto"/>
              <w:jc w:val="both"/>
              <w:rPr>
                <w:rFonts w:hint="eastAsia"/>
                <w:sz w:val="20"/>
                <w:szCs w:val="20"/>
              </w:rPr>
            </w:pPr>
          </w:p>
        </w:tc>
        <w:tc>
          <w:tcPr>
            <w:tcW w:w="158" w:type="pct"/>
            <w:tcBorders>
              <w:top w:val="nil"/>
              <w:left w:val="single" w:sz="6" w:space="0" w:color="000000"/>
              <w:bottom w:val="nil"/>
              <w:right w:val="nil"/>
            </w:tcBorders>
            <w:vAlign w:val="center"/>
          </w:tcPr>
          <w:p>
            <w:pPr>
              <w:pStyle w:val="TableParagraph"/>
              <w:spacing w:line="360" w:lineRule="auto"/>
              <w:jc w:val="both"/>
              <w:rPr>
                <w:rFonts w:hint="eastAsia"/>
                <w:sz w:val="20"/>
                <w:szCs w:val="20"/>
              </w:rPr>
            </w:pPr>
            <w:r>
              <w:rPr>
                <w:sz w:val="20"/>
                <w:szCs w:val="20"/>
              </w:rPr>
              <w:t>2.</w:t>
            </w:r>
          </w:p>
        </w:tc>
        <w:tc>
          <w:tcPr>
            <w:tcW w:w="2987" w:type="pct"/>
            <w:vMerge/>
            <w:tcBorders>
              <w:left w:val="nil"/>
            </w:tcBorders>
            <w:vAlign w:val="center"/>
          </w:tcPr>
          <w:p>
            <w:pPr>
              <w:pStyle w:val="TableParagraph"/>
              <w:spacing w:line="360" w:lineRule="auto"/>
              <w:jc w:val="both"/>
              <w:rPr>
                <w:rFonts w:hint="eastAsia"/>
                <w:sz w:val="20"/>
                <w:szCs w:val="20"/>
              </w:rPr>
            </w:pPr>
          </w:p>
        </w:tc>
      </w:tr>
      <w:tr>
        <w:tblPrEx>
          <w:tblW w:w="5000" w:type="pct"/>
          <w:tblInd w:w="-15" w:type="dxa"/>
          <w:tblCellMar>
            <w:top w:w="0" w:type="dxa"/>
            <w:left w:w="0" w:type="dxa"/>
            <w:bottom w:w="0" w:type="dxa"/>
            <w:right w:w="0" w:type="dxa"/>
          </w:tblCellMar>
        </w:tblPrEx>
        <w:trPr>
          <w:trHeight w:val="315"/>
        </w:trPr>
        <w:tc>
          <w:tcPr>
            <w:tcW w:w="333" w:type="pct"/>
            <w:vMerge/>
            <w:tcBorders>
              <w:right w:val="single" w:sz="6" w:space="0" w:color="000000"/>
            </w:tcBorders>
            <w:vAlign w:val="center"/>
          </w:tcPr>
          <w:p>
            <w:pPr>
              <w:spacing w:line="360" w:lineRule="auto"/>
              <w:rPr>
                <w:rFonts w:ascii="宋体" w:hAnsi="宋体" w:hint="eastAsia"/>
                <w:sz w:val="20"/>
                <w:szCs w:val="20"/>
              </w:rPr>
            </w:pPr>
          </w:p>
        </w:tc>
        <w:tc>
          <w:tcPr>
            <w:tcW w:w="498" w:type="pct"/>
            <w:vMerge/>
            <w:tcBorders>
              <w:left w:val="single" w:sz="6" w:space="0" w:color="000000"/>
              <w:right w:val="single" w:sz="6" w:space="0" w:color="000000"/>
            </w:tcBorders>
            <w:vAlign w:val="center"/>
          </w:tcPr>
          <w:p>
            <w:pPr>
              <w:spacing w:line="360" w:lineRule="auto"/>
              <w:rPr>
                <w:rFonts w:ascii="宋体" w:hAnsi="宋体" w:hint="eastAsia"/>
                <w:sz w:val="20"/>
                <w:szCs w:val="20"/>
              </w:rPr>
            </w:pPr>
          </w:p>
        </w:tc>
        <w:tc>
          <w:tcPr>
            <w:tcW w:w="675" w:type="pct"/>
            <w:vMerge/>
            <w:tcBorders>
              <w:left w:val="single" w:sz="6" w:space="0" w:color="000000"/>
              <w:right w:val="single" w:sz="6" w:space="0" w:color="000000"/>
            </w:tcBorders>
            <w:vAlign w:val="center"/>
          </w:tcPr>
          <w:p>
            <w:pPr>
              <w:pStyle w:val="TableParagraph"/>
              <w:spacing w:line="360" w:lineRule="auto"/>
              <w:jc w:val="both"/>
              <w:rPr>
                <w:rFonts w:hint="eastAsia"/>
                <w:sz w:val="20"/>
                <w:szCs w:val="20"/>
              </w:rPr>
            </w:pPr>
          </w:p>
        </w:tc>
        <w:tc>
          <w:tcPr>
            <w:tcW w:w="350" w:type="pct"/>
            <w:vMerge/>
            <w:tcBorders>
              <w:left w:val="single" w:sz="6" w:space="0" w:color="000000"/>
              <w:right w:val="single" w:sz="6" w:space="0" w:color="000000"/>
            </w:tcBorders>
            <w:vAlign w:val="center"/>
          </w:tcPr>
          <w:p>
            <w:pPr>
              <w:pStyle w:val="TableParagraph"/>
              <w:spacing w:line="360" w:lineRule="auto"/>
              <w:jc w:val="both"/>
              <w:rPr>
                <w:rFonts w:hint="eastAsia"/>
                <w:sz w:val="20"/>
                <w:szCs w:val="20"/>
              </w:rPr>
            </w:pPr>
          </w:p>
        </w:tc>
        <w:tc>
          <w:tcPr>
            <w:tcW w:w="158" w:type="pct"/>
            <w:tcBorders>
              <w:top w:val="nil"/>
              <w:left w:val="single" w:sz="6" w:space="0" w:color="000000"/>
              <w:bottom w:val="nil"/>
              <w:right w:val="nil"/>
            </w:tcBorders>
            <w:vAlign w:val="center"/>
          </w:tcPr>
          <w:p>
            <w:pPr>
              <w:pStyle w:val="TableParagraph"/>
              <w:spacing w:line="360" w:lineRule="auto"/>
              <w:jc w:val="both"/>
              <w:rPr>
                <w:rFonts w:hint="eastAsia"/>
                <w:sz w:val="20"/>
                <w:szCs w:val="20"/>
              </w:rPr>
            </w:pPr>
            <w:r>
              <w:rPr>
                <w:sz w:val="20"/>
                <w:szCs w:val="20"/>
              </w:rPr>
              <w:t>3.</w:t>
            </w:r>
          </w:p>
        </w:tc>
        <w:tc>
          <w:tcPr>
            <w:tcW w:w="2987" w:type="pct"/>
            <w:vMerge/>
            <w:tcBorders>
              <w:left w:val="nil"/>
            </w:tcBorders>
            <w:vAlign w:val="center"/>
          </w:tcPr>
          <w:p>
            <w:pPr>
              <w:pStyle w:val="TableParagraph"/>
              <w:spacing w:line="360" w:lineRule="auto"/>
              <w:jc w:val="both"/>
              <w:rPr>
                <w:rFonts w:hint="eastAsia"/>
                <w:sz w:val="20"/>
                <w:szCs w:val="20"/>
              </w:rPr>
            </w:pPr>
          </w:p>
        </w:tc>
      </w:tr>
      <w:tr>
        <w:tblPrEx>
          <w:tblW w:w="5000" w:type="pct"/>
          <w:tblInd w:w="-15" w:type="dxa"/>
          <w:tblCellMar>
            <w:top w:w="0" w:type="dxa"/>
            <w:left w:w="0" w:type="dxa"/>
            <w:bottom w:w="0" w:type="dxa"/>
            <w:right w:w="0" w:type="dxa"/>
          </w:tblCellMar>
        </w:tblPrEx>
        <w:trPr>
          <w:trHeight w:val="510"/>
        </w:trPr>
        <w:tc>
          <w:tcPr>
            <w:tcW w:w="333" w:type="pct"/>
            <w:vMerge/>
            <w:tcBorders>
              <w:right w:val="single" w:sz="6" w:space="0" w:color="000000"/>
            </w:tcBorders>
            <w:vAlign w:val="center"/>
          </w:tcPr>
          <w:p>
            <w:pPr>
              <w:spacing w:line="360" w:lineRule="auto"/>
              <w:rPr>
                <w:rFonts w:ascii="宋体" w:hAnsi="宋体" w:hint="eastAsia"/>
                <w:sz w:val="20"/>
                <w:szCs w:val="20"/>
              </w:rPr>
            </w:pPr>
          </w:p>
        </w:tc>
        <w:tc>
          <w:tcPr>
            <w:tcW w:w="498" w:type="pct"/>
            <w:vMerge/>
            <w:tcBorders>
              <w:left w:val="single" w:sz="6" w:space="0" w:color="000000"/>
              <w:right w:val="single" w:sz="6" w:space="0" w:color="000000"/>
            </w:tcBorders>
            <w:vAlign w:val="center"/>
          </w:tcPr>
          <w:p>
            <w:pPr>
              <w:spacing w:line="360" w:lineRule="auto"/>
              <w:rPr>
                <w:rFonts w:ascii="宋体" w:hAnsi="宋体" w:hint="eastAsia"/>
                <w:sz w:val="20"/>
                <w:szCs w:val="20"/>
              </w:rPr>
            </w:pPr>
          </w:p>
        </w:tc>
        <w:tc>
          <w:tcPr>
            <w:tcW w:w="675" w:type="pct"/>
            <w:vMerge/>
            <w:tcBorders>
              <w:left w:val="single" w:sz="6" w:space="0" w:color="000000"/>
              <w:right w:val="single" w:sz="6" w:space="0" w:color="000000"/>
            </w:tcBorders>
            <w:vAlign w:val="center"/>
          </w:tcPr>
          <w:p>
            <w:pPr>
              <w:pStyle w:val="TableParagraph"/>
              <w:spacing w:line="360" w:lineRule="auto"/>
              <w:jc w:val="both"/>
              <w:rPr>
                <w:rFonts w:hint="eastAsia"/>
                <w:sz w:val="20"/>
                <w:szCs w:val="20"/>
              </w:rPr>
            </w:pPr>
          </w:p>
        </w:tc>
        <w:tc>
          <w:tcPr>
            <w:tcW w:w="350" w:type="pct"/>
            <w:vMerge/>
            <w:tcBorders>
              <w:left w:val="single" w:sz="6" w:space="0" w:color="000000"/>
              <w:right w:val="single" w:sz="6" w:space="0" w:color="000000"/>
            </w:tcBorders>
            <w:vAlign w:val="center"/>
          </w:tcPr>
          <w:p>
            <w:pPr>
              <w:pStyle w:val="TableParagraph"/>
              <w:spacing w:line="360" w:lineRule="auto"/>
              <w:jc w:val="both"/>
              <w:rPr>
                <w:rFonts w:hint="eastAsia"/>
                <w:sz w:val="20"/>
                <w:szCs w:val="20"/>
              </w:rPr>
            </w:pPr>
          </w:p>
        </w:tc>
        <w:tc>
          <w:tcPr>
            <w:tcW w:w="158" w:type="pct"/>
            <w:tcBorders>
              <w:top w:val="nil"/>
              <w:left w:val="single" w:sz="6" w:space="0" w:color="000000"/>
              <w:bottom w:val="nil"/>
              <w:right w:val="nil"/>
            </w:tcBorders>
            <w:vAlign w:val="center"/>
          </w:tcPr>
          <w:p>
            <w:pPr>
              <w:pStyle w:val="TableParagraph"/>
              <w:spacing w:line="360" w:lineRule="auto"/>
              <w:jc w:val="both"/>
              <w:rPr>
                <w:rFonts w:hint="eastAsia"/>
                <w:sz w:val="20"/>
                <w:szCs w:val="20"/>
              </w:rPr>
            </w:pPr>
            <w:r>
              <w:rPr>
                <w:sz w:val="20"/>
                <w:szCs w:val="20"/>
              </w:rPr>
              <w:t>4.</w:t>
            </w:r>
          </w:p>
        </w:tc>
        <w:tc>
          <w:tcPr>
            <w:tcW w:w="2987" w:type="pct"/>
            <w:vMerge/>
            <w:tcBorders>
              <w:left w:val="nil"/>
            </w:tcBorders>
            <w:vAlign w:val="center"/>
          </w:tcPr>
          <w:p>
            <w:pPr>
              <w:pStyle w:val="TableParagraph"/>
              <w:spacing w:line="360" w:lineRule="auto"/>
              <w:jc w:val="both"/>
              <w:rPr>
                <w:rFonts w:hint="eastAsia"/>
                <w:sz w:val="20"/>
                <w:szCs w:val="20"/>
              </w:rPr>
            </w:pPr>
          </w:p>
        </w:tc>
      </w:tr>
      <w:tr>
        <w:tblPrEx>
          <w:tblW w:w="5000" w:type="pct"/>
          <w:tblInd w:w="-15" w:type="dxa"/>
          <w:tblCellMar>
            <w:top w:w="0" w:type="dxa"/>
            <w:left w:w="0" w:type="dxa"/>
            <w:bottom w:w="0" w:type="dxa"/>
            <w:right w:w="0" w:type="dxa"/>
          </w:tblCellMar>
        </w:tblPrEx>
        <w:trPr>
          <w:trHeight w:val="492"/>
        </w:trPr>
        <w:tc>
          <w:tcPr>
            <w:tcW w:w="333" w:type="pct"/>
            <w:vMerge/>
            <w:tcBorders>
              <w:bottom w:val="single" w:sz="6" w:space="0" w:color="000000"/>
              <w:right w:val="single" w:sz="6" w:space="0" w:color="000000"/>
            </w:tcBorders>
            <w:vAlign w:val="center"/>
          </w:tcPr>
          <w:p>
            <w:pPr>
              <w:spacing w:line="360" w:lineRule="auto"/>
              <w:rPr>
                <w:rFonts w:ascii="宋体" w:hAnsi="宋体" w:hint="eastAsia"/>
                <w:sz w:val="20"/>
                <w:szCs w:val="20"/>
              </w:rPr>
            </w:pPr>
          </w:p>
        </w:tc>
        <w:tc>
          <w:tcPr>
            <w:tcW w:w="498" w:type="pct"/>
            <w:vMerge/>
            <w:tcBorders>
              <w:left w:val="single" w:sz="6" w:space="0" w:color="000000"/>
              <w:bottom w:val="single" w:sz="6" w:space="0" w:color="000000"/>
              <w:right w:val="single" w:sz="6" w:space="0" w:color="000000"/>
            </w:tcBorders>
            <w:vAlign w:val="center"/>
          </w:tcPr>
          <w:p>
            <w:pPr>
              <w:spacing w:line="360" w:lineRule="auto"/>
              <w:rPr>
                <w:rFonts w:ascii="宋体" w:hAnsi="宋体" w:hint="eastAsia"/>
                <w:sz w:val="20"/>
                <w:szCs w:val="20"/>
              </w:rPr>
            </w:pPr>
          </w:p>
        </w:tc>
        <w:tc>
          <w:tcPr>
            <w:tcW w:w="675" w:type="pct"/>
            <w:vMerge/>
            <w:tcBorders>
              <w:left w:val="single" w:sz="6" w:space="0" w:color="000000"/>
              <w:bottom w:val="single" w:sz="6" w:space="0" w:color="000000"/>
              <w:right w:val="single" w:sz="6" w:space="0" w:color="000000"/>
            </w:tcBorders>
            <w:vAlign w:val="center"/>
          </w:tcPr>
          <w:p>
            <w:pPr>
              <w:pStyle w:val="TableParagraph"/>
              <w:spacing w:line="360" w:lineRule="auto"/>
              <w:jc w:val="both"/>
              <w:rPr>
                <w:rFonts w:hint="eastAsia"/>
                <w:sz w:val="20"/>
                <w:szCs w:val="20"/>
              </w:rPr>
            </w:pPr>
          </w:p>
        </w:tc>
        <w:tc>
          <w:tcPr>
            <w:tcW w:w="350" w:type="pct"/>
            <w:vMerge/>
            <w:tcBorders>
              <w:left w:val="single" w:sz="6" w:space="0" w:color="000000"/>
              <w:bottom w:val="single" w:sz="6" w:space="0" w:color="000000"/>
              <w:right w:val="single" w:sz="6" w:space="0" w:color="000000"/>
            </w:tcBorders>
            <w:vAlign w:val="center"/>
          </w:tcPr>
          <w:p>
            <w:pPr>
              <w:pStyle w:val="TableParagraph"/>
              <w:spacing w:line="360" w:lineRule="auto"/>
              <w:jc w:val="both"/>
              <w:rPr>
                <w:rFonts w:hint="eastAsia"/>
                <w:sz w:val="20"/>
                <w:szCs w:val="20"/>
              </w:rPr>
            </w:pPr>
          </w:p>
        </w:tc>
        <w:tc>
          <w:tcPr>
            <w:tcW w:w="158" w:type="pct"/>
            <w:tcBorders>
              <w:top w:val="nil"/>
              <w:left w:val="single" w:sz="6" w:space="0" w:color="000000"/>
              <w:bottom w:val="single" w:sz="6" w:space="0" w:color="000000"/>
              <w:right w:val="nil"/>
            </w:tcBorders>
            <w:vAlign w:val="center"/>
          </w:tcPr>
          <w:p>
            <w:pPr>
              <w:pStyle w:val="TableParagraph"/>
              <w:spacing w:line="360" w:lineRule="auto"/>
              <w:jc w:val="both"/>
              <w:rPr>
                <w:rFonts w:hint="eastAsia"/>
                <w:sz w:val="20"/>
                <w:szCs w:val="20"/>
              </w:rPr>
            </w:pPr>
            <w:r>
              <w:rPr>
                <w:sz w:val="20"/>
                <w:szCs w:val="20"/>
              </w:rPr>
              <w:t>5.</w:t>
            </w:r>
          </w:p>
        </w:tc>
        <w:tc>
          <w:tcPr>
            <w:tcW w:w="2987" w:type="pct"/>
            <w:vMerge/>
            <w:tcBorders>
              <w:left w:val="nil"/>
              <w:bottom w:val="single" w:sz="6" w:space="0" w:color="000000"/>
            </w:tcBorders>
            <w:vAlign w:val="center"/>
          </w:tcPr>
          <w:p>
            <w:pPr>
              <w:pStyle w:val="TableParagraph"/>
              <w:spacing w:line="360" w:lineRule="auto"/>
              <w:jc w:val="both"/>
              <w:rPr>
                <w:rFonts w:hint="eastAsia"/>
                <w:sz w:val="20"/>
                <w:szCs w:val="20"/>
              </w:rPr>
            </w:pPr>
          </w:p>
        </w:tc>
      </w:tr>
      <w:tr>
        <w:tblPrEx>
          <w:tblW w:w="5000" w:type="pct"/>
          <w:tblInd w:w="-15" w:type="dxa"/>
          <w:tblCellMar>
            <w:top w:w="0" w:type="dxa"/>
            <w:left w:w="0" w:type="dxa"/>
            <w:bottom w:w="0" w:type="dxa"/>
            <w:right w:w="0" w:type="dxa"/>
          </w:tblCellMar>
        </w:tblPrEx>
        <w:trPr>
          <w:trHeight w:val="1203"/>
        </w:trPr>
        <w:tc>
          <w:tcPr>
            <w:tcW w:w="333" w:type="pct"/>
            <w:vMerge w:val="restart"/>
            <w:tcBorders>
              <w:top w:val="single" w:sz="6" w:space="0" w:color="000000"/>
              <w:bottom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4</w:t>
            </w:r>
          </w:p>
        </w:tc>
        <w:tc>
          <w:tcPr>
            <w:tcW w:w="498" w:type="pct"/>
            <w:vMerge w:val="restart"/>
            <w:tcBorders>
              <w:top w:val="single" w:sz="6" w:space="0" w:color="000000"/>
              <w:left w:val="single" w:sz="6" w:space="0" w:color="000000"/>
              <w:bottom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公用标志设施</w:t>
            </w:r>
          </w:p>
        </w:tc>
        <w:tc>
          <w:tcPr>
            <w:tcW w:w="675" w:type="pct"/>
            <w:tcBorders>
              <w:top w:val="single" w:sz="6" w:space="0" w:color="000000"/>
              <w:left w:val="single" w:sz="6" w:space="0" w:color="000000"/>
              <w:bottom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每周</w:t>
            </w:r>
          </w:p>
        </w:tc>
        <w:tc>
          <w:tcPr>
            <w:tcW w:w="350" w:type="pct"/>
            <w:tcBorders>
              <w:top w:val="single" w:sz="6" w:space="0" w:color="000000"/>
              <w:left w:val="single" w:sz="6" w:space="0" w:color="000000"/>
              <w:bottom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1</w:t>
            </w:r>
          </w:p>
        </w:tc>
        <w:tc>
          <w:tcPr>
            <w:tcW w:w="3144" w:type="pct"/>
            <w:gridSpan w:val="2"/>
            <w:tcBorders>
              <w:top w:val="single" w:sz="6" w:space="0" w:color="000000"/>
              <w:left w:val="single" w:sz="6" w:space="0" w:color="000000"/>
              <w:bottom w:val="single" w:sz="6" w:space="0" w:color="000000"/>
            </w:tcBorders>
            <w:vAlign w:val="center"/>
          </w:tcPr>
          <w:p>
            <w:pPr>
              <w:pStyle w:val="TableParagraph"/>
              <w:numPr>
                <w:ilvl w:val="0"/>
                <w:numId w:val="50"/>
              </w:numPr>
              <w:tabs>
                <w:tab w:val="left" w:pos="348"/>
              </w:tabs>
              <w:spacing w:line="360" w:lineRule="auto"/>
              <w:ind w:left="0" w:firstLine="0"/>
              <w:jc w:val="both"/>
              <w:rPr>
                <w:rFonts w:hint="eastAsia"/>
                <w:sz w:val="20"/>
                <w:szCs w:val="20"/>
              </w:rPr>
            </w:pPr>
            <w:r>
              <w:rPr>
                <w:sz w:val="20"/>
                <w:szCs w:val="20"/>
              </w:rPr>
              <w:t>保证标识清晰、无污迹、无脱落、无破损，发现异常及时处理。</w:t>
            </w:r>
          </w:p>
          <w:p>
            <w:pPr>
              <w:pStyle w:val="TableParagraph"/>
              <w:numPr>
                <w:ilvl w:val="0"/>
                <w:numId w:val="50"/>
              </w:numPr>
              <w:tabs>
                <w:tab w:val="left" w:pos="348"/>
              </w:tabs>
              <w:spacing w:line="360" w:lineRule="auto"/>
              <w:ind w:left="0" w:firstLine="0"/>
              <w:jc w:val="both"/>
              <w:rPr>
                <w:rFonts w:hint="eastAsia"/>
                <w:sz w:val="20"/>
                <w:szCs w:val="20"/>
              </w:rPr>
            </w:pPr>
            <w:r>
              <w:rPr>
                <w:sz w:val="20"/>
                <w:szCs w:val="20"/>
              </w:rPr>
              <w:t>检查牢固程度，如有松脱，及时恢复。</w:t>
            </w:r>
          </w:p>
        </w:tc>
      </w:tr>
      <w:tr>
        <w:tblPrEx>
          <w:tblW w:w="5000" w:type="pct"/>
          <w:tblInd w:w="-15" w:type="dxa"/>
          <w:tblCellMar>
            <w:top w:w="0" w:type="dxa"/>
            <w:left w:w="0" w:type="dxa"/>
            <w:bottom w:w="0" w:type="dxa"/>
            <w:right w:w="0" w:type="dxa"/>
          </w:tblCellMar>
        </w:tblPrEx>
        <w:trPr>
          <w:trHeight w:val="621"/>
        </w:trPr>
        <w:tc>
          <w:tcPr>
            <w:tcW w:w="333" w:type="pct"/>
            <w:vMerge/>
            <w:tcBorders>
              <w:top w:val="nil"/>
              <w:bottom w:val="single" w:sz="6" w:space="0" w:color="000000"/>
              <w:right w:val="single" w:sz="6" w:space="0" w:color="000000"/>
            </w:tcBorders>
            <w:vAlign w:val="center"/>
          </w:tcPr>
          <w:p>
            <w:pPr>
              <w:spacing w:line="360" w:lineRule="auto"/>
              <w:jc w:val="center"/>
              <w:rPr>
                <w:rFonts w:ascii="宋体" w:hAnsi="宋体" w:hint="eastAsia"/>
                <w:sz w:val="20"/>
                <w:szCs w:val="20"/>
              </w:rPr>
            </w:pPr>
          </w:p>
        </w:tc>
        <w:tc>
          <w:tcPr>
            <w:tcW w:w="498" w:type="pct"/>
            <w:vMerge/>
            <w:tcBorders>
              <w:top w:val="nil"/>
              <w:left w:val="single" w:sz="6" w:space="0" w:color="000000"/>
              <w:bottom w:val="single" w:sz="6" w:space="0" w:color="000000"/>
              <w:right w:val="single" w:sz="6" w:space="0" w:color="000000"/>
            </w:tcBorders>
            <w:vAlign w:val="center"/>
          </w:tcPr>
          <w:p>
            <w:pPr>
              <w:spacing w:line="360" w:lineRule="auto"/>
              <w:jc w:val="center"/>
              <w:rPr>
                <w:rFonts w:ascii="宋体" w:hAnsi="宋体" w:hint="eastAsia"/>
                <w:sz w:val="20"/>
                <w:szCs w:val="20"/>
              </w:rPr>
            </w:pPr>
          </w:p>
        </w:tc>
        <w:tc>
          <w:tcPr>
            <w:tcW w:w="675" w:type="pct"/>
            <w:tcBorders>
              <w:top w:val="single" w:sz="6" w:space="0" w:color="000000"/>
              <w:left w:val="single" w:sz="6" w:space="0" w:color="000000"/>
              <w:bottom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每半年</w:t>
            </w:r>
          </w:p>
        </w:tc>
        <w:tc>
          <w:tcPr>
            <w:tcW w:w="350" w:type="pct"/>
            <w:tcBorders>
              <w:top w:val="single" w:sz="6" w:space="0" w:color="000000"/>
              <w:left w:val="single" w:sz="6" w:space="0" w:color="000000"/>
              <w:bottom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1</w:t>
            </w:r>
          </w:p>
        </w:tc>
        <w:tc>
          <w:tcPr>
            <w:tcW w:w="3144" w:type="pct"/>
            <w:gridSpan w:val="2"/>
            <w:tcBorders>
              <w:top w:val="single" w:sz="6" w:space="0" w:color="000000"/>
              <w:left w:val="single" w:sz="6" w:space="0" w:color="000000"/>
              <w:bottom w:val="single" w:sz="6" w:space="0" w:color="000000"/>
            </w:tcBorders>
            <w:vAlign w:val="center"/>
          </w:tcPr>
          <w:p>
            <w:pPr>
              <w:pStyle w:val="TableParagraph"/>
              <w:spacing w:line="360" w:lineRule="auto"/>
              <w:jc w:val="both"/>
              <w:rPr>
                <w:rFonts w:hint="eastAsia"/>
                <w:sz w:val="20"/>
                <w:szCs w:val="20"/>
              </w:rPr>
            </w:pPr>
            <w:r>
              <w:rPr>
                <w:sz w:val="20"/>
                <w:szCs w:val="20"/>
              </w:rPr>
              <w:t>1．检查完好程度，加固。</w:t>
            </w:r>
          </w:p>
        </w:tc>
      </w:tr>
      <w:tr>
        <w:tblPrEx>
          <w:tblW w:w="5000" w:type="pct"/>
          <w:tblInd w:w="-15" w:type="dxa"/>
          <w:tblCellMar>
            <w:top w:w="0" w:type="dxa"/>
            <w:left w:w="0" w:type="dxa"/>
            <w:bottom w:w="0" w:type="dxa"/>
            <w:right w:w="0" w:type="dxa"/>
          </w:tblCellMar>
        </w:tblPrEx>
        <w:trPr>
          <w:trHeight w:val="621"/>
        </w:trPr>
        <w:tc>
          <w:tcPr>
            <w:tcW w:w="333" w:type="pct"/>
            <w:tcBorders>
              <w:top w:val="nil"/>
              <w:bottom w:val="single" w:sz="6" w:space="0" w:color="000000"/>
              <w:right w:val="single" w:sz="6" w:space="0" w:color="000000"/>
            </w:tcBorders>
            <w:vAlign w:val="center"/>
          </w:tcPr>
          <w:p>
            <w:pPr>
              <w:spacing w:line="360" w:lineRule="auto"/>
              <w:jc w:val="center"/>
              <w:rPr>
                <w:rFonts w:ascii="宋体" w:hAnsi="宋体" w:hint="eastAsia"/>
                <w:sz w:val="20"/>
                <w:szCs w:val="20"/>
              </w:rPr>
            </w:pPr>
            <w:r>
              <w:rPr>
                <w:rFonts w:ascii="宋体" w:hAnsi="宋体"/>
                <w:sz w:val="20"/>
                <w:szCs w:val="20"/>
              </w:rPr>
              <w:t>5</w:t>
            </w:r>
          </w:p>
        </w:tc>
        <w:tc>
          <w:tcPr>
            <w:tcW w:w="498" w:type="pct"/>
            <w:tcBorders>
              <w:top w:val="nil"/>
              <w:left w:val="single" w:sz="6" w:space="0" w:color="000000"/>
              <w:bottom w:val="single" w:sz="6" w:space="0" w:color="000000"/>
              <w:right w:val="single" w:sz="6" w:space="0" w:color="000000"/>
            </w:tcBorders>
            <w:vAlign w:val="center"/>
          </w:tcPr>
          <w:p>
            <w:pPr>
              <w:spacing w:line="360" w:lineRule="auto"/>
              <w:jc w:val="center"/>
              <w:rPr>
                <w:rFonts w:ascii="宋体" w:hAnsi="宋体" w:hint="eastAsia"/>
                <w:sz w:val="20"/>
                <w:szCs w:val="20"/>
              </w:rPr>
            </w:pPr>
            <w:r>
              <w:rPr>
                <w:rFonts w:ascii="宋体" w:hAnsi="宋体"/>
                <w:sz w:val="20"/>
                <w:szCs w:val="20"/>
              </w:rPr>
              <w:t>地下管网</w:t>
            </w:r>
          </w:p>
        </w:tc>
        <w:tc>
          <w:tcPr>
            <w:tcW w:w="675" w:type="pct"/>
            <w:tcBorders>
              <w:top w:val="single" w:sz="6" w:space="0" w:color="000000"/>
              <w:left w:val="single" w:sz="6" w:space="0" w:color="000000"/>
              <w:bottom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每半年</w:t>
            </w:r>
          </w:p>
        </w:tc>
        <w:tc>
          <w:tcPr>
            <w:tcW w:w="350" w:type="pct"/>
            <w:tcBorders>
              <w:top w:val="single" w:sz="6" w:space="0" w:color="000000"/>
              <w:left w:val="single" w:sz="6" w:space="0" w:color="000000"/>
              <w:bottom w:val="single" w:sz="6" w:space="0" w:color="000000"/>
              <w:right w:val="single" w:sz="6" w:space="0" w:color="000000"/>
            </w:tcBorders>
            <w:vAlign w:val="center"/>
          </w:tcPr>
          <w:p>
            <w:pPr>
              <w:pStyle w:val="TableParagraph"/>
              <w:spacing w:line="360" w:lineRule="auto"/>
              <w:jc w:val="center"/>
              <w:rPr>
                <w:rFonts w:hint="eastAsia"/>
                <w:sz w:val="20"/>
                <w:szCs w:val="20"/>
              </w:rPr>
            </w:pPr>
            <w:r>
              <w:rPr>
                <w:sz w:val="20"/>
                <w:szCs w:val="20"/>
              </w:rPr>
              <w:t>1</w:t>
            </w:r>
          </w:p>
        </w:tc>
        <w:tc>
          <w:tcPr>
            <w:tcW w:w="3144" w:type="pct"/>
            <w:gridSpan w:val="2"/>
            <w:tcBorders>
              <w:top w:val="single" w:sz="6" w:space="0" w:color="000000"/>
              <w:left w:val="single" w:sz="6" w:space="0" w:color="000000"/>
              <w:bottom w:val="single" w:sz="6" w:space="0" w:color="000000"/>
            </w:tcBorders>
            <w:vAlign w:val="center"/>
          </w:tcPr>
          <w:p>
            <w:pPr>
              <w:pStyle w:val="TableParagraph"/>
              <w:numPr>
                <w:ilvl w:val="0"/>
                <w:numId w:val="51"/>
              </w:numPr>
              <w:tabs>
                <w:tab w:val="left" w:pos="348"/>
              </w:tabs>
              <w:spacing w:line="360" w:lineRule="auto"/>
              <w:ind w:left="0" w:firstLine="0"/>
              <w:jc w:val="both"/>
              <w:rPr>
                <w:rFonts w:hint="eastAsia"/>
                <w:sz w:val="20"/>
                <w:szCs w:val="20"/>
              </w:rPr>
            </w:pPr>
            <w:r>
              <w:rPr>
                <w:sz w:val="20"/>
                <w:szCs w:val="20"/>
              </w:rPr>
              <w:t>管道刷漆。</w:t>
            </w:r>
          </w:p>
          <w:p>
            <w:pPr>
              <w:pStyle w:val="TableParagraph"/>
              <w:numPr>
                <w:ilvl w:val="0"/>
                <w:numId w:val="51"/>
              </w:numPr>
              <w:tabs>
                <w:tab w:val="left" w:pos="348"/>
              </w:tabs>
              <w:spacing w:line="360" w:lineRule="auto"/>
              <w:ind w:left="0" w:firstLine="0"/>
              <w:jc w:val="both"/>
              <w:rPr>
                <w:rFonts w:hint="eastAsia"/>
                <w:sz w:val="20"/>
                <w:szCs w:val="20"/>
              </w:rPr>
            </w:pPr>
            <w:r>
              <w:rPr>
                <w:sz w:val="20"/>
                <w:szCs w:val="20"/>
              </w:rPr>
              <w:t>检查管道保温层有无损坏。</w:t>
            </w:r>
          </w:p>
          <w:p>
            <w:pPr>
              <w:pStyle w:val="TableParagraph"/>
              <w:numPr>
                <w:ilvl w:val="0"/>
                <w:numId w:val="51"/>
              </w:numPr>
              <w:tabs>
                <w:tab w:val="left" w:pos="348"/>
              </w:tabs>
              <w:spacing w:line="360" w:lineRule="auto"/>
              <w:ind w:left="0" w:firstLine="0"/>
              <w:jc w:val="both"/>
              <w:rPr>
                <w:rFonts w:hint="eastAsia"/>
                <w:sz w:val="20"/>
                <w:szCs w:val="20"/>
              </w:rPr>
            </w:pPr>
            <w:r>
              <w:rPr>
                <w:sz w:val="20"/>
                <w:szCs w:val="20"/>
              </w:rPr>
              <w:t>管网支架完好。</w:t>
            </w:r>
          </w:p>
          <w:p>
            <w:pPr>
              <w:pStyle w:val="TableParagraph"/>
              <w:numPr>
                <w:ilvl w:val="0"/>
                <w:numId w:val="51"/>
              </w:numPr>
              <w:tabs>
                <w:tab w:val="left" w:pos="348"/>
              </w:tabs>
              <w:spacing w:line="360" w:lineRule="auto"/>
              <w:ind w:left="0" w:firstLine="0"/>
              <w:jc w:val="both"/>
              <w:rPr>
                <w:rFonts w:hint="eastAsia"/>
                <w:sz w:val="20"/>
                <w:szCs w:val="20"/>
              </w:rPr>
            </w:pPr>
            <w:r>
              <w:rPr>
                <w:sz w:val="20"/>
                <w:szCs w:val="20"/>
              </w:rPr>
              <w:t>检查或更换管网。</w:t>
            </w:r>
          </w:p>
          <w:p>
            <w:pPr>
              <w:pStyle w:val="TableParagraph"/>
              <w:spacing w:line="360" w:lineRule="auto"/>
              <w:jc w:val="both"/>
              <w:rPr>
                <w:rFonts w:hint="eastAsia"/>
                <w:sz w:val="20"/>
                <w:szCs w:val="20"/>
              </w:rPr>
            </w:pPr>
            <w:r>
              <w:rPr>
                <w:sz w:val="20"/>
                <w:szCs w:val="20"/>
              </w:rPr>
              <w:t>发现异常及时修复。</w:t>
            </w:r>
          </w:p>
        </w:tc>
      </w:tr>
    </w:tbl>
    <w:p>
      <w:pPr>
        <w:autoSpaceDE w:val="0"/>
        <w:autoSpaceDN w:val="0"/>
        <w:spacing w:line="360" w:lineRule="auto"/>
        <w:rPr>
          <w:rFonts w:ascii="宋体" w:hAnsi="宋体" w:cs="宋体" w:hint="eastAsia"/>
          <w:b/>
          <w:szCs w:val="21"/>
          <w:lang w:val="zh-CN" w:bidi="zh-CN"/>
        </w:rPr>
      </w:pPr>
      <w:r>
        <w:rPr>
          <w:rFonts w:ascii="宋体" w:hAnsi="宋体" w:cs="宋体"/>
          <w:b/>
          <w:szCs w:val="21"/>
          <w:lang w:val="zh-CN" w:bidi="zh-CN"/>
        </w:rPr>
        <w:t>5.清洁卫生服务内容及标准</w:t>
      </w:r>
    </w:p>
    <w:tbl>
      <w:tblPr>
        <w:tblStyle w:val="TableNormal"/>
        <w:tblW w:w="5000" w:type="pct"/>
        <w:tblInd w:w="-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top w:w="0" w:type="dxa"/>
          <w:left w:w="0" w:type="dxa"/>
          <w:bottom w:w="0" w:type="dxa"/>
          <w:right w:w="0" w:type="dxa"/>
        </w:tblCellMar>
      </w:tblPr>
      <w:tblGrid>
        <w:gridCol w:w="7"/>
        <w:gridCol w:w="548"/>
        <w:gridCol w:w="1364"/>
        <w:gridCol w:w="1892"/>
        <w:gridCol w:w="2402"/>
        <w:gridCol w:w="2120"/>
      </w:tblGrid>
      <w:tr>
        <w:tblPrEx>
          <w:tblW w:w="5000" w:type="pct"/>
          <w:tblInd w:w="-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top w:w="0" w:type="dxa"/>
            <w:left w:w="0" w:type="dxa"/>
            <w:bottom w:w="0" w:type="dxa"/>
            <w:right w:w="0" w:type="dxa"/>
          </w:tblCellMar>
        </w:tblPrEx>
        <w:trPr>
          <w:gridBefore w:val="1"/>
          <w:wBefore w:w="7" w:type="dxa"/>
          <w:trHeight w:val="463"/>
        </w:trPr>
        <w:tc>
          <w:tcPr>
            <w:tcW w:w="329" w:type="pct"/>
            <w:tcBorders>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序号</w:t>
            </w:r>
          </w:p>
        </w:tc>
        <w:tc>
          <w:tcPr>
            <w:tcW w:w="818" w:type="pct"/>
            <w:tcBorders>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项目</w:t>
            </w:r>
          </w:p>
        </w:tc>
        <w:tc>
          <w:tcPr>
            <w:tcW w:w="1135" w:type="pct"/>
            <w:tcBorders>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清洁项目</w:t>
            </w:r>
          </w:p>
        </w:tc>
        <w:tc>
          <w:tcPr>
            <w:tcW w:w="1441" w:type="pct"/>
            <w:tcBorders>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工作内容</w:t>
            </w:r>
          </w:p>
        </w:tc>
        <w:tc>
          <w:tcPr>
            <w:tcW w:w="1272" w:type="pct"/>
            <w:tcBorders>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清洁标准</w:t>
            </w:r>
          </w:p>
        </w:tc>
      </w:tr>
      <w:tr>
        <w:tblPrEx>
          <w:tblW w:w="5000" w:type="pct"/>
          <w:tblInd w:w="-5" w:type="dxa"/>
          <w:tblCellMar>
            <w:top w:w="0" w:type="dxa"/>
            <w:left w:w="0" w:type="dxa"/>
            <w:bottom w:w="0" w:type="dxa"/>
            <w:right w:w="0" w:type="dxa"/>
          </w:tblCellMar>
        </w:tblPrEx>
        <w:trPr>
          <w:gridBefore w:val="1"/>
          <w:wBefore w:w="7" w:type="dxa"/>
          <w:trHeight w:val="751"/>
        </w:trPr>
        <w:tc>
          <w:tcPr>
            <w:tcW w:w="329" w:type="pc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1</w:t>
            </w:r>
          </w:p>
        </w:tc>
        <w:tc>
          <w:tcPr>
            <w:tcW w:w="818" w:type="pct"/>
            <w:vMerge w:val="restar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公共场所、房屋公共部位的保洁</w:t>
            </w:r>
          </w:p>
        </w:tc>
        <w:tc>
          <w:tcPr>
            <w:tcW w:w="1135" w:type="pc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硬化地面</w:t>
            </w:r>
          </w:p>
        </w:tc>
        <w:tc>
          <w:tcPr>
            <w:tcW w:w="1441" w:type="pc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2 次/天清扫，并进行保洁巡查</w:t>
            </w:r>
          </w:p>
        </w:tc>
        <w:tc>
          <w:tcPr>
            <w:tcW w:w="1272" w:type="pct"/>
            <w:tcBorders>
              <w:top w:val="single" w:sz="4" w:space="0" w:color="000000"/>
              <w:left w:val="single" w:sz="4" w:space="0" w:color="000000"/>
            </w:tcBorders>
            <w:vAlign w:val="center"/>
          </w:tcPr>
          <w:p>
            <w:pPr>
              <w:pStyle w:val="TableParagraph"/>
              <w:spacing w:line="360" w:lineRule="auto"/>
              <w:jc w:val="center"/>
              <w:rPr>
                <w:rFonts w:hint="eastAsia"/>
                <w:sz w:val="20"/>
                <w:szCs w:val="20"/>
              </w:rPr>
            </w:pPr>
            <w:r>
              <w:rPr>
                <w:sz w:val="20"/>
                <w:szCs w:val="20"/>
              </w:rPr>
              <w:t>无垃圾、杂物、无水渍</w:t>
            </w:r>
          </w:p>
        </w:tc>
      </w:tr>
      <w:tr>
        <w:tblPrEx>
          <w:tblW w:w="5000" w:type="pct"/>
          <w:tblInd w:w="-5" w:type="dxa"/>
          <w:tblCellMar>
            <w:top w:w="0" w:type="dxa"/>
            <w:left w:w="0" w:type="dxa"/>
            <w:bottom w:w="0" w:type="dxa"/>
            <w:right w:w="0" w:type="dxa"/>
          </w:tblCellMar>
        </w:tblPrEx>
        <w:trPr>
          <w:gridBefore w:val="1"/>
          <w:wBefore w:w="7" w:type="dxa"/>
          <w:trHeight w:val="770"/>
        </w:trPr>
        <w:tc>
          <w:tcPr>
            <w:tcW w:w="329" w:type="pc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2</w:t>
            </w:r>
          </w:p>
        </w:tc>
        <w:tc>
          <w:tcPr>
            <w:tcW w:w="818" w:type="pct"/>
            <w:vMerge/>
            <w:tcBorders>
              <w:left w:val="single" w:sz="4" w:space="0" w:color="000000"/>
              <w:right w:val="single" w:sz="4" w:space="0" w:color="000000"/>
            </w:tcBorders>
            <w:vAlign w:val="center"/>
          </w:tcPr>
          <w:p>
            <w:pPr>
              <w:pStyle w:val="TableParagraph"/>
              <w:spacing w:line="360" w:lineRule="auto"/>
              <w:jc w:val="center"/>
              <w:rPr>
                <w:rFonts w:hint="eastAsia"/>
                <w:sz w:val="20"/>
                <w:szCs w:val="20"/>
              </w:rPr>
            </w:pPr>
          </w:p>
        </w:tc>
        <w:tc>
          <w:tcPr>
            <w:tcW w:w="1135" w:type="pc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主次干道</w:t>
            </w:r>
          </w:p>
        </w:tc>
        <w:tc>
          <w:tcPr>
            <w:tcW w:w="1441" w:type="pc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2 次/天清扫，并进行保洁巡查</w:t>
            </w:r>
          </w:p>
        </w:tc>
        <w:tc>
          <w:tcPr>
            <w:tcW w:w="1272" w:type="pct"/>
            <w:tcBorders>
              <w:top w:val="single" w:sz="4" w:space="0" w:color="000000"/>
              <w:left w:val="single" w:sz="4" w:space="0" w:color="000000"/>
            </w:tcBorders>
            <w:vAlign w:val="center"/>
          </w:tcPr>
          <w:p>
            <w:pPr>
              <w:pStyle w:val="TableParagraph"/>
              <w:spacing w:line="360" w:lineRule="auto"/>
              <w:jc w:val="center"/>
              <w:rPr>
                <w:rFonts w:hint="eastAsia"/>
                <w:sz w:val="20"/>
                <w:szCs w:val="20"/>
              </w:rPr>
            </w:pPr>
            <w:r>
              <w:rPr>
                <w:sz w:val="20"/>
                <w:szCs w:val="20"/>
              </w:rPr>
              <w:t>无垃圾、无污渍、无水渍</w:t>
            </w:r>
          </w:p>
        </w:tc>
      </w:tr>
      <w:tr>
        <w:tblPrEx>
          <w:tblW w:w="5000" w:type="pct"/>
          <w:tblInd w:w="-5" w:type="dxa"/>
          <w:tblCellMar>
            <w:top w:w="0" w:type="dxa"/>
            <w:left w:w="0" w:type="dxa"/>
            <w:bottom w:w="0" w:type="dxa"/>
            <w:right w:w="0" w:type="dxa"/>
          </w:tblCellMar>
        </w:tblPrEx>
        <w:trPr>
          <w:gridBefore w:val="1"/>
          <w:wBefore w:w="7" w:type="dxa"/>
          <w:trHeight w:val="745"/>
        </w:trPr>
        <w:tc>
          <w:tcPr>
            <w:tcW w:w="329" w:type="pc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3</w:t>
            </w:r>
          </w:p>
        </w:tc>
        <w:tc>
          <w:tcPr>
            <w:tcW w:w="818" w:type="pct"/>
            <w:vMerge/>
            <w:tcBorders>
              <w:left w:val="single" w:sz="4" w:space="0" w:color="000000"/>
              <w:right w:val="single" w:sz="4" w:space="0" w:color="000000"/>
            </w:tcBorders>
            <w:vAlign w:val="center"/>
          </w:tcPr>
          <w:p>
            <w:pPr>
              <w:pStyle w:val="TableParagraph"/>
              <w:spacing w:line="360" w:lineRule="auto"/>
              <w:jc w:val="center"/>
              <w:rPr>
                <w:rFonts w:hint="eastAsia"/>
                <w:sz w:val="20"/>
                <w:szCs w:val="20"/>
              </w:rPr>
            </w:pPr>
          </w:p>
        </w:tc>
        <w:tc>
          <w:tcPr>
            <w:tcW w:w="1135" w:type="pc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室外标识、宣传栏、信报箱</w:t>
            </w:r>
          </w:p>
        </w:tc>
        <w:tc>
          <w:tcPr>
            <w:tcW w:w="1441" w:type="pc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1 次/周擦拭</w:t>
            </w:r>
          </w:p>
        </w:tc>
        <w:tc>
          <w:tcPr>
            <w:tcW w:w="1272" w:type="pct"/>
            <w:tcBorders>
              <w:top w:val="single" w:sz="4" w:space="0" w:color="000000"/>
              <w:left w:val="single" w:sz="4" w:space="0" w:color="000000"/>
            </w:tcBorders>
            <w:vAlign w:val="center"/>
          </w:tcPr>
          <w:p>
            <w:pPr>
              <w:pStyle w:val="TableParagraph"/>
              <w:spacing w:line="360" w:lineRule="auto"/>
              <w:jc w:val="center"/>
              <w:rPr>
                <w:rFonts w:hint="eastAsia"/>
                <w:sz w:val="20"/>
                <w:szCs w:val="20"/>
              </w:rPr>
            </w:pPr>
            <w:r>
              <w:rPr>
                <w:sz w:val="20"/>
                <w:szCs w:val="20"/>
              </w:rPr>
              <w:t>干净、明亮、无污渍</w:t>
            </w:r>
          </w:p>
        </w:tc>
      </w:tr>
      <w:tr>
        <w:tblPrEx>
          <w:tblW w:w="5000" w:type="pct"/>
          <w:tblInd w:w="-5" w:type="dxa"/>
          <w:tblCellMar>
            <w:top w:w="0" w:type="dxa"/>
            <w:left w:w="0" w:type="dxa"/>
            <w:bottom w:w="0" w:type="dxa"/>
            <w:right w:w="0" w:type="dxa"/>
          </w:tblCellMar>
        </w:tblPrEx>
        <w:trPr>
          <w:gridBefore w:val="1"/>
          <w:wBefore w:w="7" w:type="dxa"/>
          <w:trHeight w:val="1011"/>
        </w:trPr>
        <w:tc>
          <w:tcPr>
            <w:tcW w:w="329" w:type="pc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4</w:t>
            </w:r>
          </w:p>
        </w:tc>
        <w:tc>
          <w:tcPr>
            <w:tcW w:w="818" w:type="pct"/>
            <w:vMerge/>
            <w:tcBorders>
              <w:left w:val="single" w:sz="4" w:space="0" w:color="000000"/>
              <w:right w:val="single" w:sz="4" w:space="0" w:color="000000"/>
            </w:tcBorders>
            <w:vAlign w:val="center"/>
          </w:tcPr>
          <w:p>
            <w:pPr>
              <w:pStyle w:val="TableParagraph"/>
              <w:spacing w:line="360" w:lineRule="auto"/>
              <w:jc w:val="center"/>
              <w:rPr>
                <w:rFonts w:hint="eastAsia"/>
                <w:sz w:val="20"/>
                <w:szCs w:val="20"/>
              </w:rPr>
            </w:pPr>
          </w:p>
        </w:tc>
        <w:tc>
          <w:tcPr>
            <w:tcW w:w="1135" w:type="pc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楼内通道、楼梯</w:t>
            </w:r>
          </w:p>
        </w:tc>
        <w:tc>
          <w:tcPr>
            <w:tcW w:w="1441" w:type="pc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2 次/天拖扫，并进行保洁巡查</w:t>
            </w:r>
          </w:p>
        </w:tc>
        <w:tc>
          <w:tcPr>
            <w:tcW w:w="1272" w:type="pct"/>
            <w:tcBorders>
              <w:top w:val="single" w:sz="4" w:space="0" w:color="000000"/>
              <w:left w:val="single" w:sz="4" w:space="0" w:color="000000"/>
            </w:tcBorders>
            <w:vAlign w:val="center"/>
          </w:tcPr>
          <w:p>
            <w:pPr>
              <w:pStyle w:val="TableParagraph"/>
              <w:spacing w:line="360" w:lineRule="auto"/>
              <w:jc w:val="center"/>
              <w:rPr>
                <w:rFonts w:hint="eastAsia"/>
                <w:sz w:val="20"/>
                <w:szCs w:val="20"/>
              </w:rPr>
            </w:pPr>
            <w:r>
              <w:rPr>
                <w:sz w:val="20"/>
                <w:szCs w:val="20"/>
              </w:rPr>
              <w:t>洁净、无污渍、水渍、灰尘</w:t>
            </w:r>
          </w:p>
        </w:tc>
      </w:tr>
      <w:tr>
        <w:tblPrEx>
          <w:tblW w:w="5000" w:type="pct"/>
          <w:tblInd w:w="-5" w:type="dxa"/>
          <w:tblCellMar>
            <w:top w:w="0" w:type="dxa"/>
            <w:left w:w="0" w:type="dxa"/>
            <w:bottom w:w="0" w:type="dxa"/>
            <w:right w:w="0" w:type="dxa"/>
          </w:tblCellMar>
        </w:tblPrEx>
        <w:trPr>
          <w:gridBefore w:val="1"/>
          <w:wBefore w:w="7" w:type="dxa"/>
          <w:trHeight w:val="771"/>
        </w:trPr>
        <w:tc>
          <w:tcPr>
            <w:tcW w:w="329" w:type="pc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5</w:t>
            </w:r>
          </w:p>
        </w:tc>
        <w:tc>
          <w:tcPr>
            <w:tcW w:w="818" w:type="pct"/>
            <w:vMerge/>
            <w:tcBorders>
              <w:left w:val="single" w:sz="4" w:space="0" w:color="000000"/>
              <w:right w:val="single" w:sz="4" w:space="0" w:color="000000"/>
            </w:tcBorders>
            <w:vAlign w:val="center"/>
          </w:tcPr>
          <w:p>
            <w:pPr>
              <w:pStyle w:val="TableParagraph"/>
              <w:spacing w:line="360" w:lineRule="auto"/>
              <w:jc w:val="center"/>
              <w:rPr>
                <w:rFonts w:hint="eastAsia"/>
                <w:sz w:val="20"/>
                <w:szCs w:val="20"/>
              </w:rPr>
            </w:pPr>
          </w:p>
        </w:tc>
        <w:tc>
          <w:tcPr>
            <w:tcW w:w="1135" w:type="pc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电梯厅</w:t>
            </w:r>
          </w:p>
        </w:tc>
        <w:tc>
          <w:tcPr>
            <w:tcW w:w="1441" w:type="pc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1次/4小时拖扫，并进行保洁巡查</w:t>
            </w:r>
          </w:p>
        </w:tc>
        <w:tc>
          <w:tcPr>
            <w:tcW w:w="1272" w:type="pct"/>
            <w:tcBorders>
              <w:top w:val="single" w:sz="4" w:space="0" w:color="000000"/>
              <w:left w:val="single" w:sz="4" w:space="0" w:color="000000"/>
            </w:tcBorders>
            <w:vAlign w:val="center"/>
          </w:tcPr>
          <w:p>
            <w:pPr>
              <w:pStyle w:val="TableParagraph"/>
              <w:spacing w:line="360" w:lineRule="auto"/>
              <w:jc w:val="center"/>
              <w:rPr>
                <w:rFonts w:hint="eastAsia"/>
                <w:sz w:val="20"/>
                <w:szCs w:val="20"/>
              </w:rPr>
            </w:pPr>
            <w:r>
              <w:rPr>
                <w:sz w:val="20"/>
                <w:szCs w:val="20"/>
              </w:rPr>
              <w:t>干净、无杂物、无积水</w:t>
            </w:r>
          </w:p>
          <w:p>
            <w:pPr>
              <w:pStyle w:val="TableParagraph"/>
              <w:spacing w:line="360" w:lineRule="auto"/>
              <w:jc w:val="center"/>
              <w:rPr>
                <w:rFonts w:hint="eastAsia"/>
                <w:sz w:val="20"/>
                <w:szCs w:val="20"/>
              </w:rPr>
            </w:pPr>
            <w:r>
              <w:rPr>
                <w:sz w:val="20"/>
                <w:szCs w:val="20"/>
              </w:rPr>
              <w:t>无灰尘</w:t>
            </w:r>
          </w:p>
        </w:tc>
      </w:tr>
      <w:tr>
        <w:tblPrEx>
          <w:tblW w:w="5000" w:type="pct"/>
          <w:tblInd w:w="-5" w:type="dxa"/>
          <w:tblCellMar>
            <w:top w:w="0" w:type="dxa"/>
            <w:left w:w="0" w:type="dxa"/>
            <w:bottom w:w="0" w:type="dxa"/>
            <w:right w:w="0" w:type="dxa"/>
          </w:tblCellMar>
        </w:tblPrEx>
        <w:trPr>
          <w:gridBefore w:val="1"/>
          <w:wBefore w:w="7" w:type="dxa"/>
          <w:trHeight w:val="2044"/>
        </w:trPr>
        <w:tc>
          <w:tcPr>
            <w:tcW w:w="329" w:type="pc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6</w:t>
            </w:r>
          </w:p>
        </w:tc>
        <w:tc>
          <w:tcPr>
            <w:tcW w:w="818" w:type="pct"/>
            <w:vMerge/>
            <w:tcBorders>
              <w:left w:val="single" w:sz="4" w:space="0" w:color="000000"/>
              <w:right w:val="single" w:sz="4" w:space="0" w:color="000000"/>
            </w:tcBorders>
            <w:vAlign w:val="center"/>
          </w:tcPr>
          <w:p>
            <w:pPr>
              <w:spacing w:line="360" w:lineRule="auto"/>
              <w:jc w:val="center"/>
              <w:rPr>
                <w:rFonts w:ascii="宋体" w:hAnsi="宋体" w:hint="eastAsia"/>
                <w:sz w:val="20"/>
                <w:szCs w:val="20"/>
              </w:rPr>
            </w:pPr>
          </w:p>
        </w:tc>
        <w:tc>
          <w:tcPr>
            <w:tcW w:w="1135" w:type="pc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电梯内</w:t>
            </w:r>
          </w:p>
        </w:tc>
        <w:tc>
          <w:tcPr>
            <w:tcW w:w="1441" w:type="pc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4 次/天全面清洁</w:t>
            </w:r>
          </w:p>
        </w:tc>
        <w:tc>
          <w:tcPr>
            <w:tcW w:w="1272" w:type="pct"/>
            <w:tcBorders>
              <w:top w:val="single" w:sz="4" w:space="0" w:color="000000"/>
              <w:left w:val="single" w:sz="4" w:space="0" w:color="000000"/>
            </w:tcBorders>
            <w:vAlign w:val="center"/>
          </w:tcPr>
          <w:p>
            <w:pPr>
              <w:pStyle w:val="TableParagraph"/>
              <w:spacing w:line="360" w:lineRule="auto"/>
              <w:jc w:val="center"/>
              <w:rPr>
                <w:rFonts w:hint="eastAsia"/>
                <w:sz w:val="20"/>
                <w:szCs w:val="20"/>
              </w:rPr>
            </w:pPr>
            <w:r>
              <w:rPr>
                <w:sz w:val="20"/>
                <w:szCs w:val="20"/>
              </w:rPr>
              <w:t>光亮、无手印、污迹； 不锈钢表面光亮，无灰尘、污迹轿箱四壁干净无灰尘、无污迹； 地毯干净无污迹</w:t>
            </w:r>
          </w:p>
        </w:tc>
      </w:tr>
      <w:tr>
        <w:tblPrEx>
          <w:tblW w:w="5000" w:type="pct"/>
          <w:tblInd w:w="-5" w:type="dxa"/>
          <w:tblCellMar>
            <w:top w:w="0" w:type="dxa"/>
            <w:left w:w="0" w:type="dxa"/>
            <w:bottom w:w="0" w:type="dxa"/>
            <w:right w:w="0" w:type="dxa"/>
          </w:tblCellMar>
        </w:tblPrEx>
        <w:trPr>
          <w:gridBefore w:val="1"/>
          <w:wBefore w:w="7" w:type="dxa"/>
          <w:trHeight w:val="771"/>
        </w:trPr>
        <w:tc>
          <w:tcPr>
            <w:tcW w:w="329" w:type="pc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7</w:t>
            </w:r>
          </w:p>
        </w:tc>
        <w:tc>
          <w:tcPr>
            <w:tcW w:w="818" w:type="pct"/>
            <w:vMerge/>
            <w:tcBorders>
              <w:left w:val="single" w:sz="4" w:space="0" w:color="000000"/>
              <w:right w:val="single" w:sz="4" w:space="0" w:color="000000"/>
            </w:tcBorders>
            <w:vAlign w:val="center"/>
          </w:tcPr>
          <w:p>
            <w:pPr>
              <w:pStyle w:val="TableParagraph"/>
              <w:spacing w:line="360" w:lineRule="auto"/>
              <w:jc w:val="center"/>
              <w:rPr>
                <w:rFonts w:hint="eastAsia"/>
                <w:sz w:val="20"/>
                <w:szCs w:val="20"/>
              </w:rPr>
            </w:pPr>
          </w:p>
        </w:tc>
        <w:tc>
          <w:tcPr>
            <w:tcW w:w="1135" w:type="pc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消防通道</w:t>
            </w:r>
          </w:p>
        </w:tc>
        <w:tc>
          <w:tcPr>
            <w:tcW w:w="1441" w:type="pc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1 次/日拖擦，并进行保洁巡查</w:t>
            </w:r>
          </w:p>
        </w:tc>
        <w:tc>
          <w:tcPr>
            <w:tcW w:w="1272" w:type="pct"/>
            <w:tcBorders>
              <w:top w:val="single" w:sz="4" w:space="0" w:color="000000"/>
              <w:left w:val="single" w:sz="4" w:space="0" w:color="000000"/>
            </w:tcBorders>
            <w:vAlign w:val="center"/>
          </w:tcPr>
          <w:p>
            <w:pPr>
              <w:pStyle w:val="TableParagraph"/>
              <w:spacing w:line="360" w:lineRule="auto"/>
              <w:jc w:val="center"/>
              <w:rPr>
                <w:rFonts w:hint="eastAsia"/>
                <w:sz w:val="20"/>
                <w:szCs w:val="20"/>
              </w:rPr>
            </w:pPr>
            <w:r>
              <w:rPr>
                <w:sz w:val="20"/>
                <w:szCs w:val="20"/>
              </w:rPr>
              <w:t>干净、无杂物、无积水、无灰尘</w:t>
            </w:r>
          </w:p>
        </w:tc>
      </w:tr>
      <w:tr>
        <w:tblPrEx>
          <w:tblW w:w="5000" w:type="pct"/>
          <w:tblInd w:w="-5" w:type="dxa"/>
          <w:tblCellMar>
            <w:top w:w="0" w:type="dxa"/>
            <w:left w:w="0" w:type="dxa"/>
            <w:bottom w:w="0" w:type="dxa"/>
            <w:right w:w="0" w:type="dxa"/>
          </w:tblCellMar>
        </w:tblPrEx>
        <w:trPr>
          <w:gridBefore w:val="1"/>
          <w:wBefore w:w="7" w:type="dxa"/>
          <w:trHeight w:val="802"/>
        </w:trPr>
        <w:tc>
          <w:tcPr>
            <w:tcW w:w="329" w:type="pc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8</w:t>
            </w:r>
          </w:p>
        </w:tc>
        <w:tc>
          <w:tcPr>
            <w:tcW w:w="818" w:type="pct"/>
            <w:vMerge/>
            <w:tcBorders>
              <w:left w:val="single" w:sz="4" w:space="0" w:color="000000"/>
              <w:right w:val="single" w:sz="4" w:space="0" w:color="000000"/>
            </w:tcBorders>
            <w:vAlign w:val="center"/>
          </w:tcPr>
          <w:p>
            <w:pPr>
              <w:pStyle w:val="TableParagraph"/>
              <w:spacing w:line="360" w:lineRule="auto"/>
              <w:jc w:val="center"/>
              <w:rPr>
                <w:rFonts w:hint="eastAsia"/>
                <w:sz w:val="20"/>
                <w:szCs w:val="20"/>
              </w:rPr>
            </w:pPr>
          </w:p>
        </w:tc>
        <w:tc>
          <w:tcPr>
            <w:tcW w:w="1135" w:type="pc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楼道玻璃窗</w:t>
            </w:r>
          </w:p>
        </w:tc>
        <w:tc>
          <w:tcPr>
            <w:tcW w:w="1441" w:type="pc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2 次/周擦试</w:t>
            </w:r>
          </w:p>
        </w:tc>
        <w:tc>
          <w:tcPr>
            <w:tcW w:w="1272" w:type="pct"/>
            <w:tcBorders>
              <w:top w:val="single" w:sz="4" w:space="0" w:color="000000"/>
              <w:left w:val="single" w:sz="4" w:space="0" w:color="000000"/>
            </w:tcBorders>
            <w:vAlign w:val="center"/>
          </w:tcPr>
          <w:p>
            <w:pPr>
              <w:pStyle w:val="TableParagraph"/>
              <w:spacing w:line="360" w:lineRule="auto"/>
              <w:jc w:val="center"/>
              <w:rPr>
                <w:rFonts w:hint="eastAsia"/>
                <w:sz w:val="20"/>
                <w:szCs w:val="20"/>
              </w:rPr>
            </w:pPr>
            <w:r>
              <w:rPr>
                <w:sz w:val="20"/>
                <w:szCs w:val="20"/>
              </w:rPr>
              <w:t>光洁明亮、无污渍、干净</w:t>
            </w:r>
          </w:p>
        </w:tc>
      </w:tr>
      <w:tr>
        <w:tblPrEx>
          <w:tblW w:w="5000" w:type="pct"/>
          <w:tblInd w:w="-5" w:type="dxa"/>
          <w:tblCellMar>
            <w:top w:w="0" w:type="dxa"/>
            <w:left w:w="0" w:type="dxa"/>
            <w:bottom w:w="0" w:type="dxa"/>
            <w:right w:w="0" w:type="dxa"/>
          </w:tblCellMar>
        </w:tblPrEx>
        <w:trPr>
          <w:gridBefore w:val="1"/>
          <w:wBefore w:w="7" w:type="dxa"/>
          <w:trHeight w:val="326"/>
        </w:trPr>
        <w:tc>
          <w:tcPr>
            <w:tcW w:w="329" w:type="pct"/>
            <w:vMerge w:val="restar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9</w:t>
            </w:r>
          </w:p>
        </w:tc>
        <w:tc>
          <w:tcPr>
            <w:tcW w:w="818" w:type="pct"/>
            <w:vMerge/>
            <w:tcBorders>
              <w:left w:val="single" w:sz="4" w:space="0" w:color="000000"/>
              <w:right w:val="single" w:sz="4" w:space="0" w:color="000000"/>
            </w:tcBorders>
            <w:vAlign w:val="center"/>
          </w:tcPr>
          <w:p>
            <w:pPr>
              <w:pStyle w:val="TableParagraph"/>
              <w:spacing w:line="360" w:lineRule="auto"/>
              <w:jc w:val="center"/>
              <w:rPr>
                <w:rFonts w:hint="eastAsia"/>
                <w:sz w:val="20"/>
                <w:szCs w:val="20"/>
              </w:rPr>
            </w:pPr>
          </w:p>
        </w:tc>
        <w:tc>
          <w:tcPr>
            <w:tcW w:w="1135" w:type="pct"/>
            <w:vMerge w:val="restart"/>
            <w:tcBorders>
              <w:top w:val="single" w:sz="4" w:space="0" w:color="000000"/>
              <w:left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室内公共区域</w:t>
            </w:r>
          </w:p>
        </w:tc>
        <w:tc>
          <w:tcPr>
            <w:tcW w:w="1441" w:type="pct"/>
            <w:tcBorders>
              <w:top w:val="single" w:sz="4" w:space="0" w:color="000000"/>
              <w:left w:val="single" w:sz="4" w:space="0" w:color="000000"/>
              <w:bottom w:val="nil"/>
              <w:right w:val="single" w:sz="4" w:space="0" w:color="000000"/>
            </w:tcBorders>
            <w:vAlign w:val="center"/>
          </w:tcPr>
          <w:p>
            <w:pPr>
              <w:pStyle w:val="TableParagraph"/>
              <w:spacing w:line="360" w:lineRule="auto"/>
              <w:jc w:val="center"/>
              <w:rPr>
                <w:rFonts w:hint="eastAsia"/>
                <w:sz w:val="20"/>
                <w:szCs w:val="20"/>
              </w:rPr>
            </w:pPr>
            <w:r>
              <w:rPr>
                <w:sz w:val="20"/>
                <w:szCs w:val="20"/>
              </w:rPr>
              <w:t>1次/4 小时全面拖洗；</w:t>
            </w:r>
          </w:p>
        </w:tc>
        <w:tc>
          <w:tcPr>
            <w:tcW w:w="1272" w:type="pct"/>
            <w:vMerge w:val="restart"/>
            <w:tcBorders>
              <w:top w:val="single" w:sz="4" w:space="0" w:color="000000"/>
              <w:left w:val="single" w:sz="4" w:space="0" w:color="000000"/>
            </w:tcBorders>
            <w:vAlign w:val="center"/>
          </w:tcPr>
          <w:p>
            <w:pPr>
              <w:pStyle w:val="TableParagraph"/>
              <w:spacing w:line="360" w:lineRule="auto"/>
              <w:jc w:val="center"/>
              <w:rPr>
                <w:rFonts w:hint="eastAsia"/>
                <w:sz w:val="20"/>
                <w:szCs w:val="20"/>
              </w:rPr>
            </w:pPr>
            <w:r>
              <w:rPr>
                <w:sz w:val="20"/>
                <w:szCs w:val="20"/>
              </w:rPr>
              <w:t>光洁明亮、无污渍、干净、无杂物</w:t>
            </w:r>
          </w:p>
        </w:tc>
      </w:tr>
      <w:tr>
        <w:tblPrEx>
          <w:tblW w:w="5000" w:type="pct"/>
          <w:tblInd w:w="-5" w:type="dxa"/>
          <w:tblCellMar>
            <w:top w:w="0" w:type="dxa"/>
            <w:left w:w="0" w:type="dxa"/>
            <w:bottom w:w="0" w:type="dxa"/>
            <w:right w:w="0" w:type="dxa"/>
          </w:tblCellMar>
        </w:tblPrEx>
        <w:trPr>
          <w:gridBefore w:val="1"/>
          <w:wBefore w:w="7" w:type="dxa"/>
          <w:trHeight w:val="415"/>
        </w:trPr>
        <w:tc>
          <w:tcPr>
            <w:tcW w:w="329" w:type="pct"/>
            <w:vMerge/>
            <w:tcBorders>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p>
        </w:tc>
        <w:tc>
          <w:tcPr>
            <w:tcW w:w="818" w:type="pct"/>
            <w:vMerge/>
            <w:tcBorders>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p>
        </w:tc>
        <w:tc>
          <w:tcPr>
            <w:tcW w:w="1135" w:type="pct"/>
            <w:vMerge/>
            <w:tcBorders>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p>
        </w:tc>
        <w:tc>
          <w:tcPr>
            <w:tcW w:w="1441" w:type="pct"/>
            <w:tcBorders>
              <w:top w:val="nil"/>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1次/月专业石材清洗</w:t>
            </w:r>
          </w:p>
        </w:tc>
        <w:tc>
          <w:tcPr>
            <w:tcW w:w="1272" w:type="pct"/>
            <w:vMerge/>
            <w:tcBorders>
              <w:left w:val="single" w:sz="4" w:space="0" w:color="000000"/>
              <w:bottom w:val="single" w:sz="4" w:space="0" w:color="000000"/>
            </w:tcBorders>
            <w:vAlign w:val="center"/>
          </w:tcPr>
          <w:p>
            <w:pPr>
              <w:pStyle w:val="TableParagraph"/>
              <w:spacing w:line="360" w:lineRule="auto"/>
              <w:jc w:val="center"/>
              <w:rPr>
                <w:rFonts w:hint="eastAsia"/>
                <w:sz w:val="20"/>
                <w:szCs w:val="20"/>
              </w:rPr>
            </w:pPr>
          </w:p>
        </w:tc>
      </w:tr>
      <w:tr>
        <w:tblPrEx>
          <w:tblW w:w="5000" w:type="pct"/>
          <w:tblInd w:w="-5" w:type="dxa"/>
          <w:tblCellMar>
            <w:top w:w="0" w:type="dxa"/>
            <w:left w:w="0" w:type="dxa"/>
            <w:bottom w:w="0" w:type="dxa"/>
            <w:right w:w="0" w:type="dxa"/>
          </w:tblCellMar>
        </w:tblPrEx>
        <w:trPr>
          <w:gridBefore w:val="1"/>
          <w:wBefore w:w="7" w:type="dxa"/>
          <w:trHeight w:val="808"/>
        </w:trPr>
        <w:tc>
          <w:tcPr>
            <w:tcW w:w="329"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10</w:t>
            </w:r>
          </w:p>
        </w:tc>
        <w:tc>
          <w:tcPr>
            <w:tcW w:w="818"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各楼层多功能教室</w:t>
            </w:r>
          </w:p>
        </w:tc>
        <w:tc>
          <w:tcPr>
            <w:tcW w:w="1135"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桌面、椅面、地面、物品整理</w:t>
            </w:r>
          </w:p>
        </w:tc>
        <w:tc>
          <w:tcPr>
            <w:tcW w:w="1441"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各楼层教室2次/天</w:t>
            </w:r>
          </w:p>
        </w:tc>
        <w:tc>
          <w:tcPr>
            <w:tcW w:w="1272"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整洁、无灰尘、光洁无杂物</w:t>
            </w:r>
          </w:p>
        </w:tc>
      </w:tr>
      <w:tr>
        <w:tblPrEx>
          <w:tblW w:w="5000" w:type="pct"/>
          <w:tblInd w:w="-5" w:type="dxa"/>
          <w:tblCellMar>
            <w:top w:w="0" w:type="dxa"/>
            <w:left w:w="0" w:type="dxa"/>
            <w:bottom w:w="0" w:type="dxa"/>
            <w:right w:w="0" w:type="dxa"/>
          </w:tblCellMar>
        </w:tblPrEx>
        <w:trPr>
          <w:gridBefore w:val="1"/>
          <w:wBefore w:w="7" w:type="dxa"/>
          <w:trHeight w:val="1110"/>
        </w:trPr>
        <w:tc>
          <w:tcPr>
            <w:tcW w:w="329"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11</w:t>
            </w:r>
          </w:p>
        </w:tc>
        <w:tc>
          <w:tcPr>
            <w:tcW w:w="818"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各楼层公共设施</w:t>
            </w:r>
          </w:p>
        </w:tc>
        <w:tc>
          <w:tcPr>
            <w:tcW w:w="1135"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室内信报箱、消防栓、过道门、扶手等</w:t>
            </w:r>
          </w:p>
        </w:tc>
        <w:tc>
          <w:tcPr>
            <w:tcW w:w="1441" w:type="pct"/>
            <w:tcBorders>
              <w:top w:val="single" w:sz="4" w:space="0" w:color="000000"/>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1 次/2 天全面擦拭</w:t>
            </w:r>
          </w:p>
        </w:tc>
        <w:tc>
          <w:tcPr>
            <w:tcW w:w="1272" w:type="pct"/>
            <w:tcBorders>
              <w:top w:val="single" w:sz="4" w:space="0" w:color="000000"/>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干净、无灰尘</w:t>
            </w:r>
          </w:p>
        </w:tc>
      </w:tr>
      <w:tr>
        <w:tblPrEx>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2225"/>
        </w:trPr>
        <w:tc>
          <w:tcPr>
            <w:tcW w:w="333" w:type="pct"/>
            <w:gridSpan w:val="2"/>
            <w:vAlign w:val="center"/>
          </w:tcPr>
          <w:p>
            <w:pPr>
              <w:pStyle w:val="TableParagraph"/>
              <w:spacing w:line="360" w:lineRule="auto"/>
              <w:jc w:val="center"/>
              <w:rPr>
                <w:rFonts w:hint="eastAsia"/>
                <w:sz w:val="20"/>
                <w:szCs w:val="20"/>
              </w:rPr>
            </w:pPr>
            <w:r>
              <w:rPr>
                <w:sz w:val="20"/>
                <w:szCs w:val="20"/>
              </w:rPr>
              <w:t>12</w:t>
            </w:r>
          </w:p>
        </w:tc>
        <w:tc>
          <w:tcPr>
            <w:tcW w:w="818" w:type="pct"/>
            <w:vAlign w:val="center"/>
          </w:tcPr>
          <w:p>
            <w:pPr>
              <w:pStyle w:val="TableParagraph"/>
              <w:spacing w:line="360" w:lineRule="auto"/>
              <w:jc w:val="center"/>
              <w:rPr>
                <w:rFonts w:hint="eastAsia"/>
                <w:sz w:val="20"/>
                <w:szCs w:val="20"/>
              </w:rPr>
            </w:pPr>
            <w:r>
              <w:rPr>
                <w:sz w:val="20"/>
                <w:szCs w:val="20"/>
              </w:rPr>
              <w:t>各楼层公共卫生间</w:t>
            </w:r>
          </w:p>
        </w:tc>
        <w:tc>
          <w:tcPr>
            <w:tcW w:w="1135" w:type="pct"/>
            <w:vAlign w:val="center"/>
          </w:tcPr>
          <w:p>
            <w:pPr>
              <w:pStyle w:val="TableParagraph"/>
              <w:spacing w:line="360" w:lineRule="auto"/>
              <w:jc w:val="center"/>
              <w:rPr>
                <w:rFonts w:hint="eastAsia"/>
                <w:sz w:val="20"/>
                <w:szCs w:val="20"/>
              </w:rPr>
            </w:pPr>
            <w:r>
              <w:rPr>
                <w:sz w:val="20"/>
                <w:szCs w:val="20"/>
              </w:rPr>
              <w:t>墙面、台面、开关、门牌、玻璃、镜面、地面、洁具、垃圾篓、小便器</w:t>
            </w:r>
          </w:p>
        </w:tc>
        <w:tc>
          <w:tcPr>
            <w:tcW w:w="1441" w:type="pct"/>
            <w:vAlign w:val="center"/>
          </w:tcPr>
          <w:p>
            <w:pPr>
              <w:pStyle w:val="TableParagraph"/>
              <w:spacing w:line="360" w:lineRule="auto"/>
              <w:jc w:val="center"/>
              <w:rPr>
                <w:rFonts w:hint="eastAsia"/>
                <w:sz w:val="20"/>
                <w:szCs w:val="20"/>
              </w:rPr>
            </w:pPr>
            <w:r>
              <w:rPr>
                <w:sz w:val="20"/>
                <w:szCs w:val="20"/>
              </w:rPr>
              <w:t>1 次/天全面清洁，每次巡查间隔时间为 1 小时。</w:t>
            </w:r>
          </w:p>
        </w:tc>
        <w:tc>
          <w:tcPr>
            <w:tcW w:w="1272"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室内无异味、臭味； 地面无烟头、纸屑、污渍、积水、天花板、墙面无灰尘、蜘蛛网，墙壁干净便器</w:t>
            </w:r>
            <w:r>
              <w:rPr>
                <w:rFonts w:hint="eastAsia"/>
                <w:sz w:val="20"/>
                <w:szCs w:val="20"/>
              </w:rPr>
              <w:t>、</w:t>
            </w:r>
            <w:r>
              <w:rPr>
                <w:sz w:val="20"/>
                <w:szCs w:val="20"/>
              </w:rPr>
              <w:t>洁净无黄渍。</w:t>
            </w:r>
          </w:p>
        </w:tc>
      </w:tr>
      <w:tr>
        <w:tblPrEx>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483"/>
        </w:trPr>
        <w:tc>
          <w:tcPr>
            <w:tcW w:w="333" w:type="pct"/>
            <w:gridSpan w:val="2"/>
            <w:vAlign w:val="center"/>
          </w:tcPr>
          <w:p>
            <w:pPr>
              <w:pStyle w:val="TableParagraph"/>
              <w:spacing w:line="360" w:lineRule="auto"/>
              <w:jc w:val="center"/>
              <w:rPr>
                <w:rFonts w:hint="eastAsia"/>
                <w:sz w:val="20"/>
                <w:szCs w:val="20"/>
              </w:rPr>
            </w:pPr>
            <w:r>
              <w:rPr>
                <w:sz w:val="20"/>
                <w:szCs w:val="20"/>
              </w:rPr>
              <w:t>13</w:t>
            </w:r>
          </w:p>
        </w:tc>
        <w:tc>
          <w:tcPr>
            <w:tcW w:w="818" w:type="pct"/>
            <w:vAlign w:val="center"/>
          </w:tcPr>
          <w:p>
            <w:pPr>
              <w:pStyle w:val="TableParagraph"/>
              <w:spacing w:line="360" w:lineRule="auto"/>
              <w:jc w:val="center"/>
              <w:rPr>
                <w:rFonts w:hint="eastAsia"/>
                <w:sz w:val="20"/>
                <w:szCs w:val="20"/>
              </w:rPr>
            </w:pPr>
            <w:r>
              <w:rPr>
                <w:sz w:val="20"/>
                <w:szCs w:val="20"/>
              </w:rPr>
              <w:t>楼层会议室</w:t>
            </w:r>
          </w:p>
        </w:tc>
        <w:tc>
          <w:tcPr>
            <w:tcW w:w="1135" w:type="pct"/>
            <w:vAlign w:val="center"/>
          </w:tcPr>
          <w:p>
            <w:pPr>
              <w:pStyle w:val="TableParagraph"/>
              <w:spacing w:line="360" w:lineRule="auto"/>
              <w:jc w:val="center"/>
              <w:rPr>
                <w:rFonts w:hint="eastAsia"/>
                <w:sz w:val="20"/>
                <w:szCs w:val="20"/>
              </w:rPr>
            </w:pPr>
            <w:r>
              <w:rPr>
                <w:sz w:val="20"/>
                <w:szCs w:val="20"/>
              </w:rPr>
              <w:t>桌面、椅面、地面、物品整理</w:t>
            </w:r>
          </w:p>
        </w:tc>
        <w:tc>
          <w:tcPr>
            <w:tcW w:w="1441" w:type="pct"/>
            <w:vAlign w:val="center"/>
          </w:tcPr>
          <w:p>
            <w:pPr>
              <w:pStyle w:val="TableParagraph"/>
              <w:spacing w:line="360" w:lineRule="auto"/>
              <w:jc w:val="center"/>
              <w:rPr>
                <w:rFonts w:hint="eastAsia"/>
                <w:sz w:val="20"/>
                <w:szCs w:val="20"/>
              </w:rPr>
            </w:pPr>
            <w:r>
              <w:rPr>
                <w:sz w:val="20"/>
                <w:szCs w:val="20"/>
              </w:rPr>
              <w:t>会议室清洁 1 次/天。但每天若有多次会议 ， 则每次会议后都要清洁干净。</w:t>
            </w:r>
          </w:p>
        </w:tc>
        <w:tc>
          <w:tcPr>
            <w:tcW w:w="1272"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整洁、无灰尘、光洁无杂物</w:t>
            </w:r>
          </w:p>
        </w:tc>
      </w:tr>
      <w:tr>
        <w:tblPrEx>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821"/>
        </w:trPr>
        <w:tc>
          <w:tcPr>
            <w:tcW w:w="333" w:type="pct"/>
            <w:gridSpan w:val="2"/>
            <w:vAlign w:val="center"/>
          </w:tcPr>
          <w:p>
            <w:pPr>
              <w:pStyle w:val="TableParagraph"/>
              <w:spacing w:line="360" w:lineRule="auto"/>
              <w:jc w:val="center"/>
              <w:rPr>
                <w:rFonts w:hint="eastAsia"/>
                <w:sz w:val="20"/>
                <w:szCs w:val="20"/>
              </w:rPr>
            </w:pPr>
            <w:r>
              <w:rPr>
                <w:sz w:val="20"/>
                <w:szCs w:val="20"/>
              </w:rPr>
              <w:t>14</w:t>
            </w:r>
          </w:p>
        </w:tc>
        <w:tc>
          <w:tcPr>
            <w:tcW w:w="818" w:type="pct"/>
            <w:vAlign w:val="center"/>
          </w:tcPr>
          <w:p>
            <w:pPr>
              <w:pStyle w:val="TableParagraph"/>
              <w:spacing w:line="360" w:lineRule="auto"/>
              <w:jc w:val="center"/>
              <w:rPr>
                <w:rFonts w:hint="eastAsia"/>
                <w:sz w:val="20"/>
                <w:szCs w:val="20"/>
              </w:rPr>
            </w:pPr>
            <w:r>
              <w:rPr>
                <w:sz w:val="20"/>
                <w:szCs w:val="20"/>
              </w:rPr>
              <w:t>地下室</w:t>
            </w:r>
          </w:p>
        </w:tc>
        <w:tc>
          <w:tcPr>
            <w:tcW w:w="1135" w:type="pct"/>
            <w:vAlign w:val="center"/>
          </w:tcPr>
          <w:p>
            <w:pPr>
              <w:pStyle w:val="TableParagraph"/>
              <w:spacing w:line="360" w:lineRule="auto"/>
              <w:jc w:val="center"/>
              <w:rPr>
                <w:rFonts w:hint="eastAsia"/>
                <w:sz w:val="20"/>
                <w:szCs w:val="20"/>
              </w:rPr>
            </w:pPr>
            <w:r>
              <w:rPr>
                <w:sz w:val="20"/>
                <w:szCs w:val="20"/>
              </w:rPr>
              <w:t>两层地下室清洁</w:t>
            </w:r>
          </w:p>
        </w:tc>
        <w:tc>
          <w:tcPr>
            <w:tcW w:w="1441" w:type="pct"/>
            <w:vAlign w:val="center"/>
          </w:tcPr>
          <w:p>
            <w:pPr>
              <w:pStyle w:val="TableParagraph"/>
              <w:spacing w:line="360" w:lineRule="auto"/>
              <w:jc w:val="center"/>
              <w:rPr>
                <w:rFonts w:hint="eastAsia"/>
                <w:sz w:val="20"/>
                <w:szCs w:val="20"/>
              </w:rPr>
            </w:pPr>
            <w:r>
              <w:rPr>
                <w:sz w:val="20"/>
                <w:szCs w:val="20"/>
              </w:rPr>
              <w:t>2 次/天</w:t>
            </w:r>
          </w:p>
        </w:tc>
        <w:tc>
          <w:tcPr>
            <w:tcW w:w="1272"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干净、无积水、少蚊子、杜鼠患</w:t>
            </w:r>
          </w:p>
        </w:tc>
      </w:tr>
      <w:tr>
        <w:tblPrEx>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112"/>
        </w:trPr>
        <w:tc>
          <w:tcPr>
            <w:tcW w:w="333" w:type="pct"/>
            <w:gridSpan w:val="2"/>
            <w:vAlign w:val="center"/>
          </w:tcPr>
          <w:p>
            <w:pPr>
              <w:pStyle w:val="TableParagraph"/>
              <w:spacing w:line="360" w:lineRule="auto"/>
              <w:jc w:val="center"/>
              <w:rPr>
                <w:rFonts w:hint="eastAsia"/>
                <w:sz w:val="20"/>
                <w:szCs w:val="20"/>
              </w:rPr>
            </w:pPr>
            <w:r>
              <w:rPr>
                <w:sz w:val="20"/>
                <w:szCs w:val="20"/>
              </w:rPr>
              <w:t>15</w:t>
            </w:r>
          </w:p>
        </w:tc>
        <w:tc>
          <w:tcPr>
            <w:tcW w:w="818" w:type="pct"/>
            <w:vAlign w:val="center"/>
          </w:tcPr>
          <w:p>
            <w:pPr>
              <w:pStyle w:val="TableParagraph"/>
              <w:spacing w:line="360" w:lineRule="auto"/>
              <w:jc w:val="center"/>
              <w:rPr>
                <w:rFonts w:hint="eastAsia"/>
                <w:sz w:val="20"/>
                <w:szCs w:val="20"/>
              </w:rPr>
            </w:pPr>
            <w:r>
              <w:rPr>
                <w:sz w:val="20"/>
                <w:szCs w:val="20"/>
              </w:rPr>
              <w:t>垃圾收集和清运</w:t>
            </w:r>
          </w:p>
        </w:tc>
        <w:tc>
          <w:tcPr>
            <w:tcW w:w="1135" w:type="pct"/>
            <w:vAlign w:val="center"/>
          </w:tcPr>
          <w:p>
            <w:pPr>
              <w:pStyle w:val="TableParagraph"/>
              <w:spacing w:line="360" w:lineRule="auto"/>
              <w:jc w:val="center"/>
              <w:rPr>
                <w:rFonts w:hint="eastAsia"/>
                <w:sz w:val="20"/>
                <w:szCs w:val="20"/>
              </w:rPr>
            </w:pPr>
            <w:r>
              <w:rPr>
                <w:sz w:val="20"/>
                <w:szCs w:val="20"/>
              </w:rPr>
              <w:t>垃圾收集</w:t>
            </w:r>
          </w:p>
        </w:tc>
        <w:tc>
          <w:tcPr>
            <w:tcW w:w="1441" w:type="pct"/>
            <w:vAlign w:val="center"/>
          </w:tcPr>
          <w:p>
            <w:pPr>
              <w:pStyle w:val="TableParagraph"/>
              <w:spacing w:line="360" w:lineRule="auto"/>
              <w:jc w:val="center"/>
              <w:rPr>
                <w:rFonts w:hint="eastAsia"/>
                <w:sz w:val="20"/>
                <w:szCs w:val="20"/>
              </w:rPr>
            </w:pPr>
            <w:r>
              <w:rPr>
                <w:sz w:val="20"/>
                <w:szCs w:val="20"/>
              </w:rPr>
              <w:t>垃圾每日收集 1 次， 定点配合校区保洁团队</w:t>
            </w:r>
          </w:p>
        </w:tc>
        <w:tc>
          <w:tcPr>
            <w:tcW w:w="1272"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除异味； 有效控制蝇蚊等害虫孽生</w:t>
            </w:r>
          </w:p>
        </w:tc>
      </w:tr>
      <w:tr>
        <w:tblPrEx>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821"/>
        </w:trPr>
        <w:tc>
          <w:tcPr>
            <w:tcW w:w="333" w:type="pct"/>
            <w:gridSpan w:val="2"/>
            <w:vAlign w:val="center"/>
          </w:tcPr>
          <w:p>
            <w:pPr>
              <w:pStyle w:val="TableParagraph"/>
              <w:spacing w:line="360" w:lineRule="auto"/>
              <w:jc w:val="center"/>
              <w:rPr>
                <w:rFonts w:hint="eastAsia"/>
                <w:sz w:val="20"/>
                <w:szCs w:val="20"/>
              </w:rPr>
            </w:pPr>
            <w:r>
              <w:rPr>
                <w:sz w:val="20"/>
                <w:szCs w:val="20"/>
              </w:rPr>
              <w:t>16</w:t>
            </w:r>
          </w:p>
        </w:tc>
        <w:tc>
          <w:tcPr>
            <w:tcW w:w="818" w:type="pct"/>
            <w:vMerge w:val="restart"/>
            <w:vAlign w:val="center"/>
          </w:tcPr>
          <w:p>
            <w:pPr>
              <w:pStyle w:val="TableParagraph"/>
              <w:spacing w:line="360" w:lineRule="auto"/>
              <w:jc w:val="center"/>
              <w:rPr>
                <w:rFonts w:hint="eastAsia"/>
                <w:sz w:val="20"/>
                <w:szCs w:val="20"/>
              </w:rPr>
            </w:pPr>
            <w:r>
              <w:rPr>
                <w:sz w:val="20"/>
                <w:szCs w:val="20"/>
              </w:rPr>
              <w:t>排水、排污管道</w:t>
            </w:r>
          </w:p>
        </w:tc>
        <w:tc>
          <w:tcPr>
            <w:tcW w:w="1135" w:type="pct"/>
            <w:vAlign w:val="center"/>
          </w:tcPr>
          <w:p>
            <w:pPr>
              <w:pStyle w:val="TableParagraph"/>
              <w:spacing w:line="360" w:lineRule="auto"/>
              <w:jc w:val="center"/>
              <w:rPr>
                <w:rFonts w:hint="eastAsia"/>
                <w:sz w:val="20"/>
                <w:szCs w:val="20"/>
              </w:rPr>
            </w:pPr>
            <w:r>
              <w:rPr>
                <w:sz w:val="20"/>
                <w:szCs w:val="20"/>
              </w:rPr>
              <w:t>辖区内公共雨、污水管道</w:t>
            </w:r>
          </w:p>
        </w:tc>
        <w:tc>
          <w:tcPr>
            <w:tcW w:w="1441" w:type="pct"/>
            <w:vAlign w:val="center"/>
          </w:tcPr>
          <w:p>
            <w:pPr>
              <w:pStyle w:val="TableParagraph"/>
              <w:spacing w:line="360" w:lineRule="auto"/>
              <w:jc w:val="center"/>
              <w:rPr>
                <w:rFonts w:hint="eastAsia"/>
                <w:sz w:val="20"/>
                <w:szCs w:val="20"/>
              </w:rPr>
            </w:pPr>
            <w:r>
              <w:rPr>
                <w:sz w:val="20"/>
                <w:szCs w:val="20"/>
              </w:rPr>
              <w:t>1 次/季全面疏通</w:t>
            </w:r>
          </w:p>
        </w:tc>
        <w:tc>
          <w:tcPr>
            <w:tcW w:w="1272"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无堵塞、无满溢、无异味</w:t>
            </w:r>
          </w:p>
        </w:tc>
      </w:tr>
      <w:tr>
        <w:tblPrEx>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821"/>
        </w:trPr>
        <w:tc>
          <w:tcPr>
            <w:tcW w:w="333" w:type="pct"/>
            <w:gridSpan w:val="2"/>
            <w:vAlign w:val="center"/>
          </w:tcPr>
          <w:p>
            <w:pPr>
              <w:pStyle w:val="TableParagraph"/>
              <w:spacing w:line="360" w:lineRule="auto"/>
              <w:jc w:val="center"/>
              <w:rPr>
                <w:rFonts w:hint="eastAsia"/>
                <w:sz w:val="20"/>
                <w:szCs w:val="20"/>
              </w:rPr>
            </w:pPr>
            <w:r>
              <w:rPr>
                <w:sz w:val="20"/>
                <w:szCs w:val="20"/>
              </w:rPr>
              <w:t>17</w:t>
            </w:r>
          </w:p>
        </w:tc>
        <w:tc>
          <w:tcPr>
            <w:tcW w:w="818" w:type="pct"/>
            <w:vMerge/>
            <w:vAlign w:val="center"/>
          </w:tcPr>
          <w:p>
            <w:pPr>
              <w:pStyle w:val="TableParagraph"/>
              <w:spacing w:line="360" w:lineRule="auto"/>
              <w:jc w:val="center"/>
              <w:rPr>
                <w:rFonts w:hint="eastAsia"/>
                <w:sz w:val="20"/>
                <w:szCs w:val="20"/>
              </w:rPr>
            </w:pPr>
          </w:p>
        </w:tc>
        <w:tc>
          <w:tcPr>
            <w:tcW w:w="1135" w:type="pct"/>
            <w:vAlign w:val="center"/>
          </w:tcPr>
          <w:p>
            <w:pPr>
              <w:pStyle w:val="TableParagraph"/>
              <w:spacing w:line="360" w:lineRule="auto"/>
              <w:jc w:val="center"/>
              <w:rPr>
                <w:rFonts w:hint="eastAsia"/>
                <w:sz w:val="20"/>
                <w:szCs w:val="20"/>
              </w:rPr>
            </w:pPr>
            <w:r>
              <w:rPr>
                <w:sz w:val="20"/>
                <w:szCs w:val="20"/>
              </w:rPr>
              <w:t>雨、污水井</w:t>
            </w:r>
          </w:p>
        </w:tc>
        <w:tc>
          <w:tcPr>
            <w:tcW w:w="1441" w:type="pct"/>
            <w:vAlign w:val="center"/>
          </w:tcPr>
          <w:p>
            <w:pPr>
              <w:pStyle w:val="TableParagraph"/>
              <w:spacing w:line="360" w:lineRule="auto"/>
              <w:jc w:val="center"/>
              <w:rPr>
                <w:rFonts w:hint="eastAsia"/>
                <w:sz w:val="20"/>
                <w:szCs w:val="20"/>
              </w:rPr>
            </w:pPr>
            <w:r>
              <w:rPr>
                <w:sz w:val="20"/>
                <w:szCs w:val="20"/>
              </w:rPr>
              <w:t>1 次/月检查，并视情况及时清掏</w:t>
            </w:r>
          </w:p>
        </w:tc>
        <w:tc>
          <w:tcPr>
            <w:tcW w:w="1272"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无堵塞、无满溢、无异味</w:t>
            </w:r>
          </w:p>
        </w:tc>
      </w:tr>
      <w:tr>
        <w:tblPrEx>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821"/>
        </w:trPr>
        <w:tc>
          <w:tcPr>
            <w:tcW w:w="333" w:type="pct"/>
            <w:gridSpan w:val="2"/>
            <w:vAlign w:val="center"/>
          </w:tcPr>
          <w:p>
            <w:pPr>
              <w:pStyle w:val="TableParagraph"/>
              <w:spacing w:line="360" w:lineRule="auto"/>
              <w:jc w:val="center"/>
              <w:rPr>
                <w:rFonts w:hint="eastAsia"/>
                <w:sz w:val="20"/>
                <w:szCs w:val="20"/>
              </w:rPr>
            </w:pPr>
            <w:r>
              <w:rPr>
                <w:sz w:val="20"/>
                <w:szCs w:val="20"/>
              </w:rPr>
              <w:t>18</w:t>
            </w:r>
          </w:p>
        </w:tc>
        <w:tc>
          <w:tcPr>
            <w:tcW w:w="818" w:type="pct"/>
            <w:vMerge/>
            <w:vAlign w:val="center"/>
          </w:tcPr>
          <w:p>
            <w:pPr>
              <w:pStyle w:val="TableParagraph"/>
              <w:spacing w:line="360" w:lineRule="auto"/>
              <w:jc w:val="center"/>
              <w:rPr>
                <w:rFonts w:hint="eastAsia"/>
                <w:sz w:val="20"/>
                <w:szCs w:val="20"/>
              </w:rPr>
            </w:pPr>
          </w:p>
        </w:tc>
        <w:tc>
          <w:tcPr>
            <w:tcW w:w="1135" w:type="pct"/>
            <w:vAlign w:val="center"/>
          </w:tcPr>
          <w:p>
            <w:pPr>
              <w:pStyle w:val="TableParagraph"/>
              <w:spacing w:line="360" w:lineRule="auto"/>
              <w:jc w:val="center"/>
              <w:rPr>
                <w:rFonts w:hint="eastAsia"/>
                <w:sz w:val="20"/>
                <w:szCs w:val="20"/>
              </w:rPr>
            </w:pPr>
            <w:r>
              <w:rPr>
                <w:sz w:val="20"/>
                <w:szCs w:val="20"/>
              </w:rPr>
              <w:t>化粪池</w:t>
            </w:r>
          </w:p>
        </w:tc>
        <w:tc>
          <w:tcPr>
            <w:tcW w:w="1441" w:type="pct"/>
            <w:vAlign w:val="center"/>
          </w:tcPr>
          <w:p>
            <w:pPr>
              <w:pStyle w:val="TableParagraph"/>
              <w:spacing w:line="360" w:lineRule="auto"/>
              <w:jc w:val="center"/>
              <w:rPr>
                <w:rFonts w:hint="eastAsia"/>
                <w:sz w:val="20"/>
                <w:szCs w:val="20"/>
              </w:rPr>
            </w:pPr>
            <w:r>
              <w:rPr>
                <w:sz w:val="20"/>
                <w:szCs w:val="20"/>
              </w:rPr>
              <w:t>1 次/月检查；2 次/年清掏</w:t>
            </w:r>
          </w:p>
        </w:tc>
        <w:tc>
          <w:tcPr>
            <w:tcW w:w="1272"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无堵塞、无满溢、无异味</w:t>
            </w:r>
          </w:p>
        </w:tc>
      </w:tr>
      <w:tr>
        <w:tblPrEx>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1113"/>
        </w:trPr>
        <w:tc>
          <w:tcPr>
            <w:tcW w:w="333" w:type="pct"/>
            <w:gridSpan w:val="2"/>
            <w:vAlign w:val="center"/>
          </w:tcPr>
          <w:p>
            <w:pPr>
              <w:pStyle w:val="TableParagraph"/>
              <w:spacing w:line="360" w:lineRule="auto"/>
              <w:jc w:val="center"/>
              <w:rPr>
                <w:rFonts w:hint="eastAsia"/>
                <w:sz w:val="20"/>
                <w:szCs w:val="20"/>
              </w:rPr>
            </w:pPr>
            <w:r>
              <w:rPr>
                <w:sz w:val="20"/>
                <w:szCs w:val="20"/>
              </w:rPr>
              <w:t>19</w:t>
            </w:r>
          </w:p>
        </w:tc>
        <w:tc>
          <w:tcPr>
            <w:tcW w:w="818" w:type="pct"/>
            <w:vAlign w:val="center"/>
          </w:tcPr>
          <w:p>
            <w:pPr>
              <w:pStyle w:val="TableParagraph"/>
              <w:spacing w:line="360" w:lineRule="auto"/>
              <w:jc w:val="center"/>
              <w:rPr>
                <w:rFonts w:hint="eastAsia"/>
                <w:sz w:val="20"/>
                <w:szCs w:val="20"/>
              </w:rPr>
            </w:pPr>
            <w:r>
              <w:rPr>
                <w:sz w:val="20"/>
                <w:szCs w:val="20"/>
              </w:rPr>
              <w:t>全部区域</w:t>
            </w:r>
          </w:p>
        </w:tc>
        <w:tc>
          <w:tcPr>
            <w:tcW w:w="1135" w:type="pct"/>
            <w:vAlign w:val="center"/>
          </w:tcPr>
          <w:p>
            <w:pPr>
              <w:pStyle w:val="TableParagraph"/>
              <w:spacing w:line="360" w:lineRule="auto"/>
              <w:jc w:val="center"/>
              <w:rPr>
                <w:rFonts w:hint="eastAsia"/>
                <w:sz w:val="20"/>
                <w:szCs w:val="20"/>
              </w:rPr>
            </w:pPr>
            <w:r>
              <w:rPr>
                <w:sz w:val="20"/>
                <w:szCs w:val="20"/>
              </w:rPr>
              <w:t>大扫除/ 消杀大楼公共区域</w:t>
            </w:r>
          </w:p>
        </w:tc>
        <w:tc>
          <w:tcPr>
            <w:tcW w:w="1441" w:type="pct"/>
            <w:vAlign w:val="center"/>
          </w:tcPr>
          <w:p>
            <w:pPr>
              <w:pStyle w:val="TableParagraph"/>
              <w:spacing w:line="360" w:lineRule="auto"/>
              <w:jc w:val="center"/>
              <w:rPr>
                <w:rFonts w:hint="eastAsia"/>
                <w:sz w:val="20"/>
                <w:szCs w:val="20"/>
              </w:rPr>
            </w:pPr>
            <w:r>
              <w:rPr>
                <w:sz w:val="20"/>
                <w:szCs w:val="20"/>
              </w:rPr>
              <w:t>每周一次/每两周一次， 视环境卫生可适</w:t>
            </w:r>
          </w:p>
          <w:p>
            <w:pPr>
              <w:pStyle w:val="TableParagraph"/>
              <w:spacing w:line="360" w:lineRule="auto"/>
              <w:jc w:val="center"/>
              <w:rPr>
                <w:rFonts w:hint="eastAsia"/>
                <w:sz w:val="20"/>
                <w:szCs w:val="20"/>
              </w:rPr>
            </w:pPr>
            <w:r>
              <w:rPr>
                <w:sz w:val="20"/>
                <w:szCs w:val="20"/>
              </w:rPr>
              <w:t>时增加</w:t>
            </w:r>
          </w:p>
        </w:tc>
        <w:tc>
          <w:tcPr>
            <w:tcW w:w="1272" w:type="pct"/>
            <w:tcBorders>
              <w:right w:val="single" w:sz="12" w:space="0" w:color="000000"/>
            </w:tcBorders>
            <w:vAlign w:val="center"/>
          </w:tcPr>
          <w:p>
            <w:pPr>
              <w:pStyle w:val="TableParagraph"/>
              <w:spacing w:line="360" w:lineRule="auto"/>
              <w:jc w:val="center"/>
              <w:rPr>
                <w:rFonts w:hint="eastAsia"/>
                <w:sz w:val="20"/>
                <w:szCs w:val="20"/>
              </w:rPr>
            </w:pPr>
            <w:r>
              <w:rPr>
                <w:sz w:val="20"/>
                <w:szCs w:val="20"/>
              </w:rPr>
              <w:t>全面清洁，不留死角</w:t>
            </w:r>
          </w:p>
          <w:p>
            <w:pPr>
              <w:pStyle w:val="TableParagraph"/>
              <w:spacing w:line="360" w:lineRule="auto"/>
              <w:jc w:val="center"/>
              <w:rPr>
                <w:rFonts w:hint="eastAsia"/>
                <w:sz w:val="20"/>
                <w:szCs w:val="20"/>
              </w:rPr>
            </w:pPr>
            <w:r>
              <w:rPr>
                <w:sz w:val="20"/>
                <w:szCs w:val="20"/>
              </w:rPr>
              <w:t>/无蝇，少蚊，杜鼠患</w:t>
            </w:r>
          </w:p>
        </w:tc>
      </w:tr>
    </w:tbl>
    <w:p>
      <w:pPr>
        <w:autoSpaceDE w:val="0"/>
        <w:autoSpaceDN w:val="0"/>
        <w:spacing w:line="360" w:lineRule="auto"/>
        <w:rPr>
          <w:rFonts w:ascii="宋体" w:hAnsi="宋体" w:cs="宋体" w:hint="eastAsia"/>
          <w:b/>
          <w:szCs w:val="21"/>
          <w:lang w:val="zh-CN" w:bidi="zh-CN"/>
        </w:rPr>
      </w:pPr>
      <w:r>
        <w:rPr>
          <w:rFonts w:ascii="宋体" w:hAnsi="宋体" w:cs="宋体" w:hint="eastAsia"/>
          <w:b/>
          <w:szCs w:val="21"/>
          <w:lang w:val="zh-CN" w:bidi="zh-CN"/>
        </w:rPr>
        <w:t>6.绿化养护服务标准</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blGrid>
        <w:gridCol w:w="543"/>
        <w:gridCol w:w="1142"/>
        <w:gridCol w:w="1135"/>
        <w:gridCol w:w="2207"/>
        <w:gridCol w:w="3296"/>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Ex>
        <w:trPr>
          <w:trHeight w:val="463"/>
        </w:trPr>
        <w:tc>
          <w:tcPr>
            <w:tcW w:w="326" w:type="pct"/>
            <w:vAlign w:val="center"/>
          </w:tcPr>
          <w:p>
            <w:pPr>
              <w:pStyle w:val="TableParagraph"/>
              <w:spacing w:line="360" w:lineRule="auto"/>
              <w:jc w:val="center"/>
              <w:rPr>
                <w:rFonts w:cs="Times New Roman" w:hint="eastAsia"/>
                <w:kern w:val="2"/>
                <w:sz w:val="20"/>
                <w:szCs w:val="20"/>
              </w:rPr>
            </w:pPr>
            <w:r>
              <w:rPr>
                <w:rFonts w:cs="Times New Roman" w:hint="eastAsia"/>
                <w:sz w:val="20"/>
                <w:szCs w:val="20"/>
              </w:rPr>
              <w:t>序号</w:t>
            </w:r>
          </w:p>
        </w:tc>
        <w:tc>
          <w:tcPr>
            <w:tcW w:w="686" w:type="pct"/>
            <w:vAlign w:val="center"/>
          </w:tcPr>
          <w:p>
            <w:pPr>
              <w:pStyle w:val="TableParagraph"/>
              <w:spacing w:line="360" w:lineRule="auto"/>
              <w:jc w:val="center"/>
              <w:rPr>
                <w:rFonts w:cs="Times New Roman" w:hint="eastAsia"/>
                <w:sz w:val="20"/>
                <w:szCs w:val="20"/>
              </w:rPr>
            </w:pPr>
            <w:r>
              <w:rPr>
                <w:rFonts w:cs="Times New Roman" w:hint="eastAsia"/>
                <w:sz w:val="20"/>
                <w:szCs w:val="20"/>
              </w:rPr>
              <w:t>项目</w:t>
            </w:r>
          </w:p>
        </w:tc>
        <w:tc>
          <w:tcPr>
            <w:tcW w:w="682" w:type="pct"/>
            <w:vAlign w:val="center"/>
          </w:tcPr>
          <w:p>
            <w:pPr>
              <w:pStyle w:val="TableParagraph"/>
              <w:spacing w:line="360" w:lineRule="auto"/>
              <w:jc w:val="center"/>
              <w:rPr>
                <w:rFonts w:cs="Times New Roman" w:hint="eastAsia"/>
                <w:sz w:val="20"/>
                <w:szCs w:val="20"/>
              </w:rPr>
            </w:pPr>
            <w:r>
              <w:rPr>
                <w:rFonts w:cs="Times New Roman" w:hint="eastAsia"/>
                <w:sz w:val="20"/>
                <w:szCs w:val="20"/>
              </w:rPr>
              <w:t>养护项目</w:t>
            </w:r>
          </w:p>
        </w:tc>
        <w:tc>
          <w:tcPr>
            <w:tcW w:w="1326" w:type="pct"/>
            <w:vAlign w:val="center"/>
          </w:tcPr>
          <w:p>
            <w:pPr>
              <w:pStyle w:val="TableParagraph"/>
              <w:spacing w:line="360" w:lineRule="auto"/>
              <w:jc w:val="center"/>
              <w:rPr>
                <w:rFonts w:cs="Times New Roman" w:hint="eastAsia"/>
                <w:sz w:val="20"/>
                <w:szCs w:val="20"/>
              </w:rPr>
            </w:pPr>
            <w:r>
              <w:rPr>
                <w:rFonts w:cs="Times New Roman" w:hint="eastAsia"/>
                <w:sz w:val="20"/>
                <w:szCs w:val="20"/>
              </w:rPr>
              <w:t>工作内容</w:t>
            </w:r>
          </w:p>
        </w:tc>
        <w:tc>
          <w:tcPr>
            <w:tcW w:w="1980" w:type="pct"/>
            <w:vAlign w:val="center"/>
          </w:tcPr>
          <w:p>
            <w:pPr>
              <w:pStyle w:val="TableParagraph"/>
              <w:spacing w:line="360" w:lineRule="auto"/>
              <w:jc w:val="center"/>
              <w:rPr>
                <w:rFonts w:cs="Times New Roman" w:hint="eastAsia"/>
                <w:sz w:val="20"/>
                <w:szCs w:val="20"/>
              </w:rPr>
            </w:pPr>
            <w:r>
              <w:rPr>
                <w:rFonts w:cs="Times New Roman" w:hint="eastAsia"/>
                <w:sz w:val="20"/>
                <w:szCs w:val="20"/>
              </w:rPr>
              <w:t>服务标准</w:t>
            </w:r>
          </w:p>
        </w:tc>
      </w:tr>
      <w:tr>
        <w:tblPrEx>
          <w:tblW w:w="5000" w:type="pct"/>
          <w:tblInd w:w="0" w:type="dxa"/>
          <w:tblCellMar>
            <w:top w:w="0" w:type="dxa"/>
            <w:left w:w="0" w:type="dxa"/>
            <w:bottom w:w="0" w:type="dxa"/>
            <w:right w:w="0" w:type="dxa"/>
          </w:tblCellMar>
        </w:tblPrEx>
        <w:trPr>
          <w:trHeight w:val="751"/>
        </w:trPr>
        <w:tc>
          <w:tcPr>
            <w:tcW w:w="326" w:type="pct"/>
            <w:vAlign w:val="center"/>
          </w:tcPr>
          <w:p>
            <w:pPr>
              <w:pStyle w:val="TableParagraph"/>
              <w:spacing w:line="360" w:lineRule="auto"/>
              <w:jc w:val="center"/>
              <w:rPr>
                <w:rFonts w:cs="Times New Roman" w:hint="eastAsia"/>
                <w:sz w:val="20"/>
                <w:szCs w:val="20"/>
              </w:rPr>
            </w:pPr>
            <w:r>
              <w:rPr>
                <w:rFonts w:cs="Times New Roman" w:hint="eastAsia"/>
                <w:sz w:val="20"/>
                <w:szCs w:val="20"/>
              </w:rPr>
              <w:t>1</w:t>
            </w:r>
          </w:p>
        </w:tc>
        <w:tc>
          <w:tcPr>
            <w:tcW w:w="686" w:type="pct"/>
            <w:vMerge w:val="restart"/>
            <w:vAlign w:val="center"/>
          </w:tcPr>
          <w:p>
            <w:pPr>
              <w:pStyle w:val="TableParagraph"/>
              <w:spacing w:line="360" w:lineRule="auto"/>
              <w:jc w:val="center"/>
              <w:rPr>
                <w:rFonts w:cs="Times New Roman" w:hint="eastAsia"/>
                <w:sz w:val="20"/>
                <w:szCs w:val="20"/>
              </w:rPr>
            </w:pPr>
            <w:r>
              <w:rPr>
                <w:rFonts w:cs="Times New Roman" w:hint="eastAsia"/>
                <w:sz w:val="20"/>
                <w:szCs w:val="20"/>
              </w:rPr>
              <w:t>绿化养护</w:t>
            </w:r>
          </w:p>
        </w:tc>
        <w:tc>
          <w:tcPr>
            <w:tcW w:w="682" w:type="pct"/>
            <w:vAlign w:val="center"/>
          </w:tcPr>
          <w:p>
            <w:pPr>
              <w:widowControl/>
              <w:jc w:val="center"/>
              <w:textAlignment w:val="bottom"/>
              <w:rPr>
                <w:rFonts w:ascii="宋体" w:hAnsi="宋体" w:hint="eastAsia"/>
                <w:sz w:val="20"/>
                <w:szCs w:val="20"/>
              </w:rPr>
            </w:pPr>
            <w:r>
              <w:rPr>
                <w:rFonts w:ascii="宋体" w:hAnsi="宋体" w:hint="eastAsia"/>
                <w:sz w:val="20"/>
                <w:szCs w:val="20"/>
              </w:rPr>
              <w:t>景观状态</w:t>
            </w:r>
          </w:p>
        </w:tc>
        <w:tc>
          <w:tcPr>
            <w:tcW w:w="1326" w:type="pct"/>
            <w:vAlign w:val="center"/>
          </w:tcPr>
          <w:p>
            <w:pPr>
              <w:pStyle w:val="TableParagraph"/>
              <w:spacing w:line="360" w:lineRule="auto"/>
              <w:jc w:val="center"/>
              <w:rPr>
                <w:rFonts w:cs="Times New Roman" w:hint="eastAsia"/>
                <w:sz w:val="20"/>
                <w:szCs w:val="20"/>
              </w:rPr>
            </w:pPr>
            <w:r>
              <w:rPr>
                <w:rFonts w:cs="Times New Roman" w:hint="eastAsia"/>
                <w:sz w:val="20"/>
                <w:szCs w:val="20"/>
              </w:rPr>
              <w:t>及时修剪苗木/植被、枯死植物补植，绿化带清除杂草，保持绿化美观</w:t>
            </w:r>
          </w:p>
        </w:tc>
        <w:tc>
          <w:tcPr>
            <w:tcW w:w="1980" w:type="pct"/>
            <w:vAlign w:val="center"/>
          </w:tcPr>
          <w:p>
            <w:pPr>
              <w:pStyle w:val="TableParagraph"/>
              <w:spacing w:line="360" w:lineRule="auto"/>
              <w:rPr>
                <w:rFonts w:cs="Times New Roman" w:hint="eastAsia"/>
                <w:sz w:val="20"/>
                <w:szCs w:val="20"/>
              </w:rPr>
            </w:pPr>
            <w:r>
              <w:rPr>
                <w:rFonts w:cs="Times New Roman" w:hint="eastAsia"/>
                <w:sz w:val="20"/>
                <w:szCs w:val="20"/>
              </w:rPr>
              <w:t>植物外形美观，无黄土裸露，枯死草地及地被植物及时补种。绿化带少杂草</w:t>
            </w:r>
          </w:p>
        </w:tc>
      </w:tr>
      <w:tr>
        <w:tblPrEx>
          <w:tblW w:w="5000" w:type="pct"/>
          <w:tblInd w:w="0" w:type="dxa"/>
          <w:tblCellMar>
            <w:top w:w="0" w:type="dxa"/>
            <w:left w:w="0" w:type="dxa"/>
            <w:bottom w:w="0" w:type="dxa"/>
            <w:right w:w="0" w:type="dxa"/>
          </w:tblCellMar>
        </w:tblPrEx>
        <w:trPr>
          <w:trHeight w:val="770"/>
        </w:trPr>
        <w:tc>
          <w:tcPr>
            <w:tcW w:w="326" w:type="pct"/>
            <w:vAlign w:val="center"/>
          </w:tcPr>
          <w:p>
            <w:pPr>
              <w:pStyle w:val="TableParagraph"/>
              <w:spacing w:line="360" w:lineRule="auto"/>
              <w:jc w:val="center"/>
              <w:rPr>
                <w:rFonts w:cs="Times New Roman" w:hint="eastAsia"/>
                <w:sz w:val="20"/>
                <w:szCs w:val="20"/>
              </w:rPr>
            </w:pPr>
            <w:r>
              <w:rPr>
                <w:rFonts w:cs="Times New Roman" w:hint="eastAsia"/>
                <w:sz w:val="20"/>
                <w:szCs w:val="20"/>
              </w:rPr>
              <w:t>2</w:t>
            </w:r>
          </w:p>
        </w:tc>
        <w:tc>
          <w:tcPr>
            <w:tcW w:w="686" w:type="pct"/>
            <w:vMerge/>
            <w:vAlign w:val="center"/>
          </w:tcPr>
          <w:p>
            <w:pPr>
              <w:widowControl/>
              <w:jc w:val="left"/>
              <w:rPr>
                <w:rFonts w:ascii="宋体" w:hAnsi="宋体" w:hint="eastAsia"/>
                <w:sz w:val="20"/>
                <w:szCs w:val="20"/>
              </w:rPr>
            </w:pPr>
          </w:p>
        </w:tc>
        <w:tc>
          <w:tcPr>
            <w:tcW w:w="682" w:type="pct"/>
            <w:vAlign w:val="center"/>
          </w:tcPr>
          <w:p>
            <w:pPr>
              <w:widowControl/>
              <w:jc w:val="center"/>
              <w:textAlignment w:val="bottom"/>
              <w:rPr>
                <w:rFonts w:ascii="宋体" w:hAnsi="宋体" w:hint="eastAsia"/>
                <w:sz w:val="20"/>
                <w:szCs w:val="20"/>
              </w:rPr>
            </w:pPr>
            <w:r>
              <w:rPr>
                <w:rFonts w:ascii="宋体" w:hAnsi="宋体" w:hint="eastAsia"/>
                <w:sz w:val="20"/>
                <w:szCs w:val="20"/>
              </w:rPr>
              <w:t>病虫害防治</w:t>
            </w:r>
          </w:p>
        </w:tc>
        <w:tc>
          <w:tcPr>
            <w:tcW w:w="1326" w:type="pct"/>
            <w:vAlign w:val="center"/>
          </w:tcPr>
          <w:p>
            <w:pPr>
              <w:pStyle w:val="TableParagraph"/>
              <w:spacing w:line="360" w:lineRule="auto"/>
              <w:jc w:val="center"/>
              <w:rPr>
                <w:rFonts w:cs="Times New Roman" w:hint="eastAsia"/>
                <w:sz w:val="20"/>
                <w:szCs w:val="20"/>
              </w:rPr>
            </w:pPr>
            <w:r>
              <w:rPr>
                <w:rFonts w:cs="Times New Roman" w:hint="eastAsia"/>
                <w:sz w:val="20"/>
                <w:szCs w:val="20"/>
              </w:rPr>
              <w:t>预防病虫害保持植物健康生长；绿化带蚊虫消杀避免疾病传播</w:t>
            </w:r>
          </w:p>
        </w:tc>
        <w:tc>
          <w:tcPr>
            <w:tcW w:w="1980" w:type="pct"/>
            <w:vAlign w:val="center"/>
          </w:tcPr>
          <w:p>
            <w:pPr>
              <w:pStyle w:val="TableParagraph"/>
              <w:spacing w:line="360" w:lineRule="auto"/>
              <w:jc w:val="center"/>
              <w:rPr>
                <w:rFonts w:cs="Times New Roman" w:hint="eastAsia"/>
                <w:sz w:val="20"/>
                <w:szCs w:val="20"/>
              </w:rPr>
            </w:pPr>
            <w:r>
              <w:rPr>
                <w:rFonts w:cs="Times New Roman" w:hint="eastAsia"/>
                <w:sz w:val="20"/>
                <w:szCs w:val="20"/>
              </w:rPr>
              <w:t>无因病虫害导致的大量黄叶/焦叶/卷叶情况；无叶片霉病/虫害大面积啃咬/活虫活卵情况。</w:t>
            </w:r>
          </w:p>
        </w:tc>
      </w:tr>
      <w:tr>
        <w:tblPrEx>
          <w:tblW w:w="5000" w:type="pct"/>
          <w:tblInd w:w="0" w:type="dxa"/>
          <w:tblCellMar>
            <w:top w:w="0" w:type="dxa"/>
            <w:left w:w="0" w:type="dxa"/>
            <w:bottom w:w="0" w:type="dxa"/>
            <w:right w:w="0" w:type="dxa"/>
          </w:tblCellMar>
        </w:tblPrEx>
        <w:trPr>
          <w:trHeight w:val="745"/>
        </w:trPr>
        <w:tc>
          <w:tcPr>
            <w:tcW w:w="326" w:type="pct"/>
            <w:vAlign w:val="center"/>
          </w:tcPr>
          <w:p>
            <w:pPr>
              <w:pStyle w:val="TableParagraph"/>
              <w:spacing w:line="360" w:lineRule="auto"/>
              <w:jc w:val="center"/>
              <w:rPr>
                <w:rFonts w:cs="Times New Roman" w:hint="eastAsia"/>
                <w:sz w:val="20"/>
                <w:szCs w:val="20"/>
              </w:rPr>
            </w:pPr>
            <w:r>
              <w:rPr>
                <w:rFonts w:cs="Times New Roman" w:hint="eastAsia"/>
                <w:sz w:val="20"/>
                <w:szCs w:val="20"/>
              </w:rPr>
              <w:t>3</w:t>
            </w:r>
          </w:p>
        </w:tc>
        <w:tc>
          <w:tcPr>
            <w:tcW w:w="686" w:type="pct"/>
            <w:vMerge/>
            <w:vAlign w:val="center"/>
          </w:tcPr>
          <w:p>
            <w:pPr>
              <w:widowControl/>
              <w:jc w:val="left"/>
              <w:rPr>
                <w:rFonts w:ascii="宋体" w:hAnsi="宋体" w:hint="eastAsia"/>
                <w:sz w:val="20"/>
                <w:szCs w:val="20"/>
              </w:rPr>
            </w:pPr>
          </w:p>
        </w:tc>
        <w:tc>
          <w:tcPr>
            <w:tcW w:w="682" w:type="pct"/>
            <w:vAlign w:val="center"/>
          </w:tcPr>
          <w:p>
            <w:pPr>
              <w:widowControl/>
              <w:jc w:val="center"/>
              <w:textAlignment w:val="bottom"/>
              <w:rPr>
                <w:rFonts w:ascii="宋体" w:hAnsi="宋体" w:hint="eastAsia"/>
                <w:sz w:val="20"/>
                <w:szCs w:val="20"/>
              </w:rPr>
            </w:pPr>
            <w:r>
              <w:rPr>
                <w:rFonts w:ascii="宋体" w:hAnsi="宋体" w:hint="eastAsia"/>
                <w:sz w:val="20"/>
                <w:szCs w:val="20"/>
              </w:rPr>
              <w:t>药剂管理</w:t>
            </w:r>
          </w:p>
        </w:tc>
        <w:tc>
          <w:tcPr>
            <w:tcW w:w="1326" w:type="pct"/>
            <w:vAlign w:val="center"/>
          </w:tcPr>
          <w:p>
            <w:pPr>
              <w:pStyle w:val="TableParagraph"/>
              <w:spacing w:line="360" w:lineRule="auto"/>
              <w:jc w:val="center"/>
              <w:rPr>
                <w:rFonts w:cs="Times New Roman" w:hint="eastAsia"/>
                <w:sz w:val="20"/>
                <w:szCs w:val="20"/>
              </w:rPr>
            </w:pPr>
            <w:r>
              <w:rPr>
                <w:rFonts w:cs="Times New Roman" w:hint="eastAsia"/>
                <w:sz w:val="20"/>
                <w:szCs w:val="20"/>
              </w:rPr>
              <w:t>科学喷洒药剂，合理作业计划，避免环境危害</w:t>
            </w:r>
          </w:p>
        </w:tc>
        <w:tc>
          <w:tcPr>
            <w:tcW w:w="1980" w:type="pct"/>
            <w:vAlign w:val="center"/>
          </w:tcPr>
          <w:p>
            <w:pPr>
              <w:pStyle w:val="TableParagraph"/>
              <w:spacing w:line="360" w:lineRule="auto"/>
              <w:jc w:val="center"/>
              <w:rPr>
                <w:rFonts w:cs="Times New Roman" w:hint="eastAsia"/>
                <w:sz w:val="20"/>
                <w:szCs w:val="20"/>
              </w:rPr>
            </w:pPr>
            <w:r>
              <w:rPr>
                <w:rFonts w:cs="Times New Roman" w:hint="eastAsia"/>
                <w:sz w:val="20"/>
                <w:szCs w:val="20"/>
              </w:rPr>
              <w:t>提前发布温馨提示告知撒药时间及范围，严禁使用违禁药剂，避免药剂造成环境污染。</w:t>
            </w:r>
          </w:p>
        </w:tc>
      </w:tr>
      <w:tr>
        <w:tblPrEx>
          <w:tblW w:w="5000" w:type="pct"/>
          <w:tblInd w:w="0" w:type="dxa"/>
          <w:tblCellMar>
            <w:top w:w="0" w:type="dxa"/>
            <w:left w:w="0" w:type="dxa"/>
            <w:bottom w:w="0" w:type="dxa"/>
            <w:right w:w="0" w:type="dxa"/>
          </w:tblCellMar>
        </w:tblPrEx>
        <w:trPr>
          <w:trHeight w:val="1011"/>
        </w:trPr>
        <w:tc>
          <w:tcPr>
            <w:tcW w:w="326" w:type="pct"/>
            <w:vAlign w:val="center"/>
          </w:tcPr>
          <w:p>
            <w:pPr>
              <w:pStyle w:val="TableParagraph"/>
              <w:spacing w:line="360" w:lineRule="auto"/>
              <w:jc w:val="center"/>
              <w:rPr>
                <w:rFonts w:cs="Times New Roman" w:hint="eastAsia"/>
                <w:sz w:val="20"/>
                <w:szCs w:val="20"/>
              </w:rPr>
            </w:pPr>
            <w:r>
              <w:rPr>
                <w:rFonts w:cs="Times New Roman" w:hint="eastAsia"/>
                <w:sz w:val="20"/>
                <w:szCs w:val="20"/>
              </w:rPr>
              <w:t>4</w:t>
            </w:r>
          </w:p>
        </w:tc>
        <w:tc>
          <w:tcPr>
            <w:tcW w:w="686" w:type="pct"/>
            <w:vMerge/>
            <w:vAlign w:val="center"/>
          </w:tcPr>
          <w:p>
            <w:pPr>
              <w:widowControl/>
              <w:jc w:val="left"/>
              <w:rPr>
                <w:rFonts w:ascii="宋体" w:hAnsi="宋体" w:hint="eastAsia"/>
                <w:sz w:val="20"/>
                <w:szCs w:val="20"/>
              </w:rPr>
            </w:pPr>
          </w:p>
        </w:tc>
        <w:tc>
          <w:tcPr>
            <w:tcW w:w="682" w:type="pct"/>
            <w:vAlign w:val="center"/>
          </w:tcPr>
          <w:p>
            <w:pPr>
              <w:widowControl/>
              <w:jc w:val="center"/>
              <w:textAlignment w:val="bottom"/>
              <w:rPr>
                <w:rFonts w:ascii="宋体" w:hAnsi="宋体" w:hint="eastAsia"/>
                <w:sz w:val="20"/>
                <w:szCs w:val="20"/>
              </w:rPr>
            </w:pPr>
            <w:r>
              <w:rPr>
                <w:rFonts w:ascii="宋体" w:hAnsi="宋体" w:hint="eastAsia"/>
                <w:sz w:val="20"/>
                <w:szCs w:val="20"/>
              </w:rPr>
              <w:t>施肥管理</w:t>
            </w:r>
          </w:p>
        </w:tc>
        <w:tc>
          <w:tcPr>
            <w:tcW w:w="1326" w:type="pct"/>
            <w:vAlign w:val="center"/>
          </w:tcPr>
          <w:p>
            <w:pPr>
              <w:pStyle w:val="TableParagraph"/>
              <w:spacing w:line="360" w:lineRule="auto"/>
              <w:jc w:val="center"/>
              <w:rPr>
                <w:rFonts w:cs="Times New Roman" w:hint="eastAsia"/>
                <w:sz w:val="20"/>
                <w:szCs w:val="20"/>
              </w:rPr>
            </w:pPr>
            <w:r>
              <w:rPr>
                <w:rFonts w:cs="Times New Roman" w:hint="eastAsia"/>
                <w:sz w:val="20"/>
                <w:szCs w:val="20"/>
              </w:rPr>
              <w:t>依季节变化对乔灌木、草坪科学施肥保持绿化良好状态。</w:t>
            </w:r>
          </w:p>
        </w:tc>
        <w:tc>
          <w:tcPr>
            <w:tcW w:w="1980" w:type="pct"/>
            <w:vAlign w:val="center"/>
          </w:tcPr>
          <w:p>
            <w:pPr>
              <w:pStyle w:val="TableParagraph"/>
              <w:spacing w:line="360" w:lineRule="auto"/>
              <w:jc w:val="center"/>
              <w:rPr>
                <w:rFonts w:cs="Times New Roman" w:hint="eastAsia"/>
                <w:sz w:val="20"/>
                <w:szCs w:val="20"/>
              </w:rPr>
            </w:pPr>
            <w:r>
              <w:rPr>
                <w:rFonts w:cs="Times New Roman" w:hint="eastAsia"/>
                <w:sz w:val="20"/>
                <w:szCs w:val="20"/>
              </w:rPr>
              <w:t>按植物种类、用途、生长习性、气候条件、土壤质地等因素合理施肥满足植物正常生长需要，采用土壤施肥/根外施肥/适量速效肥料等恰当方法，施肥后及时浇水处理。</w:t>
            </w:r>
          </w:p>
        </w:tc>
      </w:tr>
      <w:tr>
        <w:tblPrEx>
          <w:tblW w:w="5000" w:type="pct"/>
          <w:tblInd w:w="0" w:type="dxa"/>
          <w:tblCellMar>
            <w:top w:w="0" w:type="dxa"/>
            <w:left w:w="0" w:type="dxa"/>
            <w:bottom w:w="0" w:type="dxa"/>
            <w:right w:w="0" w:type="dxa"/>
          </w:tblCellMar>
        </w:tblPrEx>
        <w:trPr>
          <w:trHeight w:val="771"/>
        </w:trPr>
        <w:tc>
          <w:tcPr>
            <w:tcW w:w="326" w:type="pct"/>
            <w:vAlign w:val="center"/>
          </w:tcPr>
          <w:p>
            <w:pPr>
              <w:pStyle w:val="TableParagraph"/>
              <w:spacing w:line="360" w:lineRule="auto"/>
              <w:jc w:val="center"/>
              <w:rPr>
                <w:rFonts w:cs="Times New Roman" w:hint="eastAsia"/>
                <w:sz w:val="20"/>
                <w:szCs w:val="20"/>
              </w:rPr>
            </w:pPr>
            <w:r>
              <w:rPr>
                <w:rFonts w:cs="Times New Roman" w:hint="eastAsia"/>
                <w:sz w:val="20"/>
                <w:szCs w:val="20"/>
              </w:rPr>
              <w:t>5</w:t>
            </w:r>
          </w:p>
        </w:tc>
        <w:tc>
          <w:tcPr>
            <w:tcW w:w="686" w:type="pct"/>
            <w:vMerge/>
            <w:vAlign w:val="center"/>
          </w:tcPr>
          <w:p>
            <w:pPr>
              <w:widowControl/>
              <w:jc w:val="left"/>
              <w:rPr>
                <w:rFonts w:ascii="宋体" w:hAnsi="宋体" w:hint="eastAsia"/>
                <w:sz w:val="20"/>
                <w:szCs w:val="20"/>
              </w:rPr>
            </w:pPr>
          </w:p>
        </w:tc>
        <w:tc>
          <w:tcPr>
            <w:tcW w:w="682" w:type="pct"/>
            <w:vAlign w:val="center"/>
          </w:tcPr>
          <w:p>
            <w:pPr>
              <w:pStyle w:val="TableParagraph"/>
              <w:spacing w:line="360" w:lineRule="auto"/>
              <w:jc w:val="center"/>
              <w:rPr>
                <w:rFonts w:cs="Times New Roman" w:hint="eastAsia"/>
                <w:sz w:val="20"/>
                <w:szCs w:val="20"/>
              </w:rPr>
            </w:pPr>
            <w:r>
              <w:rPr>
                <w:rFonts w:cs="Times New Roman" w:hint="eastAsia"/>
                <w:sz w:val="20"/>
                <w:szCs w:val="20"/>
              </w:rPr>
              <w:t>乔灌木修剪</w:t>
            </w:r>
          </w:p>
        </w:tc>
        <w:tc>
          <w:tcPr>
            <w:tcW w:w="1326" w:type="pct"/>
            <w:vAlign w:val="center"/>
          </w:tcPr>
          <w:p>
            <w:pPr>
              <w:pStyle w:val="TableParagraph"/>
              <w:spacing w:line="360" w:lineRule="auto"/>
              <w:jc w:val="center"/>
              <w:rPr>
                <w:rFonts w:cs="Times New Roman" w:hint="eastAsia"/>
                <w:sz w:val="20"/>
                <w:szCs w:val="20"/>
              </w:rPr>
            </w:pPr>
            <w:r>
              <w:rPr>
                <w:rFonts w:cs="Times New Roman" w:hint="eastAsia"/>
                <w:sz w:val="20"/>
                <w:szCs w:val="20"/>
              </w:rPr>
              <w:t>及时修剪乔灌木保持植物外形美观。</w:t>
            </w:r>
          </w:p>
        </w:tc>
        <w:tc>
          <w:tcPr>
            <w:tcW w:w="1980" w:type="pct"/>
            <w:vAlign w:val="center"/>
          </w:tcPr>
          <w:p>
            <w:pPr>
              <w:pStyle w:val="TableParagraph"/>
              <w:spacing w:line="360" w:lineRule="auto"/>
              <w:jc w:val="center"/>
              <w:rPr>
                <w:rFonts w:cs="Times New Roman" w:hint="eastAsia"/>
                <w:sz w:val="20"/>
                <w:szCs w:val="20"/>
              </w:rPr>
            </w:pPr>
            <w:r>
              <w:rPr>
                <w:rFonts w:cs="Times New Roman" w:hint="eastAsia"/>
                <w:sz w:val="20"/>
                <w:szCs w:val="20"/>
              </w:rPr>
              <w:t>保护中心干的生长优势。对徒长枝、病虫枝、细弱枝、干枯枝、交叉枝、重叠枝等进行修剪。开花小乔木根据花芽着生的部位进行科学修剪。</w:t>
            </w:r>
          </w:p>
        </w:tc>
      </w:tr>
      <w:tr>
        <w:tblPrEx>
          <w:tblW w:w="5000" w:type="pct"/>
          <w:tblInd w:w="0" w:type="dxa"/>
          <w:tblCellMar>
            <w:top w:w="0" w:type="dxa"/>
            <w:left w:w="0" w:type="dxa"/>
            <w:bottom w:w="0" w:type="dxa"/>
            <w:right w:w="0" w:type="dxa"/>
          </w:tblCellMar>
        </w:tblPrEx>
        <w:trPr>
          <w:trHeight w:val="415"/>
        </w:trPr>
        <w:tc>
          <w:tcPr>
            <w:tcW w:w="326" w:type="pct"/>
            <w:vAlign w:val="center"/>
          </w:tcPr>
          <w:p>
            <w:pPr>
              <w:pStyle w:val="TableParagraph"/>
              <w:spacing w:line="360" w:lineRule="auto"/>
              <w:jc w:val="center"/>
              <w:rPr>
                <w:rFonts w:cs="Times New Roman" w:hint="eastAsia"/>
                <w:sz w:val="20"/>
                <w:szCs w:val="20"/>
              </w:rPr>
            </w:pPr>
          </w:p>
        </w:tc>
        <w:tc>
          <w:tcPr>
            <w:tcW w:w="686" w:type="pct"/>
            <w:vMerge/>
            <w:vAlign w:val="center"/>
          </w:tcPr>
          <w:p>
            <w:pPr>
              <w:widowControl/>
              <w:jc w:val="left"/>
              <w:rPr>
                <w:rFonts w:ascii="宋体" w:hAnsi="宋体" w:hint="eastAsia"/>
                <w:sz w:val="20"/>
                <w:szCs w:val="20"/>
              </w:rPr>
            </w:pPr>
          </w:p>
        </w:tc>
        <w:tc>
          <w:tcPr>
            <w:tcW w:w="682" w:type="pct"/>
            <w:vAlign w:val="center"/>
          </w:tcPr>
          <w:p>
            <w:pPr>
              <w:pStyle w:val="TableParagraph"/>
              <w:spacing w:line="360" w:lineRule="auto"/>
              <w:jc w:val="center"/>
              <w:rPr>
                <w:rFonts w:cs="Times New Roman" w:hint="eastAsia"/>
                <w:sz w:val="20"/>
                <w:szCs w:val="20"/>
              </w:rPr>
            </w:pPr>
            <w:r>
              <w:rPr>
                <w:rFonts w:cs="Times New Roman" w:hint="eastAsia"/>
                <w:sz w:val="20"/>
                <w:szCs w:val="20"/>
              </w:rPr>
              <w:t>垃圾收集</w:t>
            </w:r>
          </w:p>
        </w:tc>
        <w:tc>
          <w:tcPr>
            <w:tcW w:w="1326" w:type="pct"/>
            <w:vAlign w:val="center"/>
          </w:tcPr>
          <w:p>
            <w:pPr>
              <w:pStyle w:val="TableParagraph"/>
              <w:spacing w:line="360" w:lineRule="auto"/>
              <w:jc w:val="center"/>
              <w:rPr>
                <w:rFonts w:cs="Times New Roman" w:hint="eastAsia"/>
                <w:sz w:val="20"/>
                <w:szCs w:val="20"/>
              </w:rPr>
            </w:pPr>
            <w:r>
              <w:rPr>
                <w:rFonts w:cs="Times New Roman" w:hint="eastAsia"/>
                <w:sz w:val="20"/>
                <w:szCs w:val="20"/>
              </w:rPr>
              <w:t>及时清理绿化垃圾及绿化带杂物</w:t>
            </w:r>
          </w:p>
        </w:tc>
        <w:tc>
          <w:tcPr>
            <w:tcW w:w="1980" w:type="pct"/>
            <w:vAlign w:val="center"/>
          </w:tcPr>
          <w:p>
            <w:pPr>
              <w:pStyle w:val="TableParagraph"/>
              <w:spacing w:line="360" w:lineRule="auto"/>
              <w:jc w:val="center"/>
              <w:rPr>
                <w:rFonts w:cs="Times New Roman" w:hint="eastAsia"/>
                <w:sz w:val="20"/>
                <w:szCs w:val="20"/>
              </w:rPr>
            </w:pPr>
            <w:r>
              <w:rPr>
                <w:rFonts w:cs="Times New Roman" w:hint="eastAsia"/>
                <w:sz w:val="20"/>
                <w:szCs w:val="20"/>
              </w:rPr>
              <w:t>绿化带无杂物垃圾</w:t>
            </w:r>
          </w:p>
        </w:tc>
      </w:tr>
    </w:tbl>
    <w:p>
      <w:pPr>
        <w:autoSpaceDE w:val="0"/>
        <w:autoSpaceDN w:val="0"/>
        <w:spacing w:line="360" w:lineRule="auto"/>
        <w:rPr>
          <w:rFonts w:ascii="宋体" w:hAnsi="宋体" w:cs="宋体" w:hint="eastAsia"/>
          <w:b/>
          <w:szCs w:val="21"/>
          <w:lang w:val="zh-CN" w:bidi="zh-CN"/>
        </w:rPr>
      </w:pPr>
      <w:r>
        <w:rPr>
          <w:rFonts w:ascii="宋体" w:hAnsi="宋体" w:cs="宋体"/>
          <w:b/>
          <w:szCs w:val="21"/>
          <w:lang w:val="zh-CN" w:bidi="zh-CN"/>
        </w:rPr>
        <w:t>7</w:t>
      </w:r>
      <w:r>
        <w:rPr>
          <w:rFonts w:ascii="宋体" w:hAnsi="宋体" w:cs="宋体" w:hint="eastAsia"/>
          <w:b/>
          <w:szCs w:val="21"/>
          <w:lang w:val="zh-CN" w:bidi="zh-CN"/>
        </w:rPr>
        <w:t>.污水站管理标准</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096"/>
        <w:gridCol w:w="713"/>
        <w:gridCol w:w="3801"/>
        <w:gridCol w:w="1919"/>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91"/>
        </w:trPr>
        <w:tc>
          <w:tcPr>
            <w:tcW w:w="0" w:type="auto"/>
            <w:shd w:val="clear" w:color="auto" w:fill="auto"/>
            <w:vAlign w:val="center"/>
          </w:tcPr>
          <w:p>
            <w:pPr>
              <w:pStyle w:val="TableParagraph"/>
              <w:spacing w:line="360" w:lineRule="auto"/>
              <w:jc w:val="center"/>
              <w:rPr>
                <w:rFonts w:hint="eastAsia"/>
                <w:sz w:val="20"/>
                <w:szCs w:val="20"/>
              </w:rPr>
            </w:pPr>
            <w:r>
              <w:rPr>
                <w:sz w:val="20"/>
                <w:szCs w:val="20"/>
              </w:rPr>
              <w:t>项目</w:t>
            </w:r>
          </w:p>
        </w:tc>
        <w:tc>
          <w:tcPr>
            <w:tcW w:w="713" w:type="dxa"/>
            <w:shd w:val="clear" w:color="auto" w:fill="auto"/>
            <w:vAlign w:val="center"/>
          </w:tcPr>
          <w:p>
            <w:pPr>
              <w:pStyle w:val="TableParagraph"/>
              <w:spacing w:line="360" w:lineRule="auto"/>
              <w:jc w:val="center"/>
              <w:rPr>
                <w:rFonts w:hint="eastAsia"/>
                <w:sz w:val="20"/>
                <w:szCs w:val="20"/>
              </w:rPr>
            </w:pPr>
            <w:r>
              <w:rPr>
                <w:sz w:val="20"/>
                <w:szCs w:val="20"/>
              </w:rPr>
              <w:t>频次</w:t>
            </w:r>
          </w:p>
        </w:tc>
        <w:tc>
          <w:tcPr>
            <w:tcW w:w="3801" w:type="dxa"/>
            <w:shd w:val="clear" w:color="auto" w:fill="auto"/>
            <w:vAlign w:val="center"/>
          </w:tcPr>
          <w:p>
            <w:pPr>
              <w:pStyle w:val="TableParagraph"/>
              <w:spacing w:line="360" w:lineRule="auto"/>
              <w:jc w:val="center"/>
              <w:rPr>
                <w:rFonts w:hint="eastAsia"/>
                <w:sz w:val="20"/>
                <w:szCs w:val="20"/>
              </w:rPr>
            </w:pPr>
            <w:r>
              <w:rPr>
                <w:sz w:val="20"/>
                <w:szCs w:val="20"/>
              </w:rPr>
              <w:t>内容</w:t>
            </w:r>
          </w:p>
        </w:tc>
        <w:tc>
          <w:tcPr>
            <w:tcW w:w="0" w:type="auto"/>
            <w:shd w:val="clear" w:color="auto" w:fill="auto"/>
            <w:vAlign w:val="center"/>
          </w:tcPr>
          <w:p>
            <w:pPr>
              <w:pStyle w:val="TableParagraph"/>
              <w:spacing w:line="360" w:lineRule="auto"/>
              <w:jc w:val="center"/>
              <w:rPr>
                <w:rFonts w:hint="eastAsia"/>
                <w:sz w:val="20"/>
                <w:szCs w:val="20"/>
              </w:rPr>
            </w:pPr>
            <w:r>
              <w:rPr>
                <w:sz w:val="20"/>
                <w:szCs w:val="20"/>
              </w:rPr>
              <w:t>具体要求</w:t>
            </w:r>
          </w:p>
        </w:tc>
      </w:tr>
      <w:tr>
        <w:tblPrEx>
          <w:tblW w:w="0" w:type="auto"/>
          <w:tblInd w:w="0" w:type="dxa"/>
          <w:tblCellMar>
            <w:top w:w="0" w:type="dxa"/>
            <w:left w:w="108" w:type="dxa"/>
            <w:bottom w:w="0" w:type="dxa"/>
            <w:right w:w="108" w:type="dxa"/>
          </w:tblCellMar>
        </w:tblPrEx>
        <w:tc>
          <w:tcPr>
            <w:tcW w:w="0" w:type="auto"/>
            <w:vAlign w:val="center"/>
          </w:tcPr>
          <w:p>
            <w:pPr>
              <w:pStyle w:val="TableParagraph"/>
              <w:spacing w:line="360" w:lineRule="auto"/>
              <w:jc w:val="center"/>
              <w:rPr>
                <w:rFonts w:hint="eastAsia"/>
                <w:sz w:val="20"/>
                <w:szCs w:val="20"/>
              </w:rPr>
            </w:pPr>
            <w:r>
              <w:rPr>
                <w:rFonts w:hint="eastAsia"/>
                <w:sz w:val="20"/>
                <w:szCs w:val="20"/>
              </w:rPr>
              <w:t>一体化设备池</w:t>
            </w:r>
          </w:p>
        </w:tc>
        <w:tc>
          <w:tcPr>
            <w:tcW w:w="713" w:type="dxa"/>
            <w:vAlign w:val="center"/>
          </w:tcPr>
          <w:p>
            <w:pPr>
              <w:pStyle w:val="TableParagraph"/>
              <w:spacing w:line="360" w:lineRule="auto"/>
              <w:jc w:val="center"/>
              <w:rPr>
                <w:rFonts w:hint="eastAsia"/>
                <w:sz w:val="20"/>
                <w:szCs w:val="20"/>
              </w:rPr>
            </w:pPr>
            <w:r>
              <w:rPr>
                <w:rFonts w:hint="eastAsia"/>
                <w:sz w:val="20"/>
                <w:szCs w:val="20"/>
              </w:rPr>
              <w:t>每天</w:t>
            </w:r>
          </w:p>
        </w:tc>
        <w:tc>
          <w:tcPr>
            <w:tcW w:w="3801" w:type="dxa"/>
            <w:vAlign w:val="center"/>
          </w:tcPr>
          <w:p>
            <w:pPr>
              <w:pStyle w:val="TableParagraph"/>
              <w:spacing w:line="360" w:lineRule="auto"/>
              <w:rPr>
                <w:rFonts w:hint="eastAsia"/>
                <w:sz w:val="20"/>
                <w:szCs w:val="20"/>
              </w:rPr>
            </w:pPr>
            <w:r>
              <w:rPr>
                <w:sz w:val="20"/>
                <w:szCs w:val="20"/>
              </w:rPr>
              <w:t>检查外观是否完好，应无滴、漏现象；</w:t>
            </w:r>
          </w:p>
          <w:p>
            <w:pPr>
              <w:pStyle w:val="TableParagraph"/>
              <w:spacing w:line="360" w:lineRule="auto"/>
              <w:jc w:val="center"/>
              <w:rPr>
                <w:rFonts w:hint="eastAsia"/>
                <w:sz w:val="20"/>
                <w:szCs w:val="20"/>
              </w:rPr>
            </w:pPr>
          </w:p>
        </w:tc>
        <w:tc>
          <w:tcPr>
            <w:tcW w:w="0" w:type="auto"/>
            <w:vAlign w:val="center"/>
          </w:tcPr>
          <w:p>
            <w:pPr>
              <w:pStyle w:val="TableParagraph"/>
              <w:spacing w:line="360" w:lineRule="auto"/>
              <w:jc w:val="center"/>
              <w:rPr>
                <w:rFonts w:hint="eastAsia"/>
                <w:sz w:val="20"/>
                <w:szCs w:val="20"/>
              </w:rPr>
            </w:pPr>
            <w:r>
              <w:rPr>
                <w:rFonts w:hint="eastAsia"/>
                <w:sz w:val="20"/>
                <w:szCs w:val="20"/>
              </w:rPr>
              <w:t>无滴、漏现象</w:t>
            </w:r>
          </w:p>
        </w:tc>
      </w:tr>
      <w:tr>
        <w:tblPrEx>
          <w:tblW w:w="0" w:type="auto"/>
          <w:tblInd w:w="0" w:type="dxa"/>
          <w:tblCellMar>
            <w:top w:w="0" w:type="dxa"/>
            <w:left w:w="108" w:type="dxa"/>
            <w:bottom w:w="0" w:type="dxa"/>
            <w:right w:w="108" w:type="dxa"/>
          </w:tblCellMar>
        </w:tblPrEx>
        <w:tc>
          <w:tcPr>
            <w:tcW w:w="0" w:type="auto"/>
            <w:vAlign w:val="center"/>
          </w:tcPr>
          <w:p>
            <w:pPr>
              <w:pStyle w:val="TableParagraph"/>
              <w:spacing w:line="360" w:lineRule="auto"/>
              <w:jc w:val="center"/>
              <w:rPr>
                <w:rFonts w:hint="eastAsia"/>
                <w:sz w:val="20"/>
                <w:szCs w:val="20"/>
              </w:rPr>
            </w:pPr>
            <w:r>
              <w:rPr>
                <w:rFonts w:hint="eastAsia"/>
                <w:sz w:val="20"/>
                <w:szCs w:val="20"/>
              </w:rPr>
              <w:t>罗茨风机、螺杆泵、板框压滤机、搅拌机、机械隔膜计量泵、</w:t>
            </w:r>
          </w:p>
        </w:tc>
        <w:tc>
          <w:tcPr>
            <w:tcW w:w="713" w:type="dxa"/>
            <w:vAlign w:val="center"/>
          </w:tcPr>
          <w:p>
            <w:pPr>
              <w:pStyle w:val="TableParagraph"/>
              <w:spacing w:line="360" w:lineRule="auto"/>
              <w:jc w:val="center"/>
              <w:rPr>
                <w:rFonts w:hint="eastAsia"/>
                <w:sz w:val="20"/>
                <w:szCs w:val="20"/>
              </w:rPr>
            </w:pPr>
            <w:r>
              <w:rPr>
                <w:rFonts w:hint="eastAsia"/>
                <w:sz w:val="20"/>
                <w:szCs w:val="20"/>
              </w:rPr>
              <w:t>每天</w:t>
            </w:r>
          </w:p>
        </w:tc>
        <w:tc>
          <w:tcPr>
            <w:tcW w:w="3801" w:type="dxa"/>
            <w:vAlign w:val="center"/>
          </w:tcPr>
          <w:p>
            <w:pPr>
              <w:pStyle w:val="TableParagraph"/>
              <w:spacing w:line="360" w:lineRule="auto"/>
              <w:rPr>
                <w:rFonts w:hint="eastAsia"/>
                <w:sz w:val="20"/>
                <w:szCs w:val="20"/>
              </w:rPr>
            </w:pPr>
            <w:r>
              <w:rPr>
                <w:sz w:val="20"/>
                <w:szCs w:val="20"/>
              </w:rPr>
              <w:t>1.观察</w:t>
            </w:r>
            <w:r>
              <w:rPr>
                <w:rFonts w:hint="eastAsia"/>
                <w:sz w:val="20"/>
                <w:szCs w:val="20"/>
              </w:rPr>
              <w:t>电机运行</w:t>
            </w:r>
            <w:r>
              <w:rPr>
                <w:sz w:val="20"/>
                <w:szCs w:val="20"/>
              </w:rPr>
              <w:t>是否正常，运行时有无异声、异味；</w:t>
            </w:r>
          </w:p>
          <w:p>
            <w:pPr>
              <w:pStyle w:val="TableParagraph"/>
              <w:spacing w:line="360" w:lineRule="auto"/>
              <w:jc w:val="center"/>
              <w:rPr>
                <w:rFonts w:hint="eastAsia"/>
                <w:sz w:val="20"/>
                <w:szCs w:val="20"/>
              </w:rPr>
            </w:pPr>
            <w:r>
              <w:rPr>
                <w:sz w:val="20"/>
                <w:szCs w:val="20"/>
              </w:rPr>
              <w:t>2.</w:t>
            </w:r>
            <w:r>
              <w:rPr>
                <w:rFonts w:hint="eastAsia"/>
                <w:sz w:val="20"/>
                <w:szCs w:val="20"/>
              </w:rPr>
              <w:t>发现故障及故障隐患及时处理。</w:t>
            </w:r>
          </w:p>
        </w:tc>
        <w:tc>
          <w:tcPr>
            <w:tcW w:w="0" w:type="auto"/>
            <w:vAlign w:val="center"/>
          </w:tcPr>
          <w:p>
            <w:pPr>
              <w:pStyle w:val="TableParagraph"/>
              <w:spacing w:line="360" w:lineRule="auto"/>
              <w:jc w:val="center"/>
              <w:rPr>
                <w:rFonts w:hint="eastAsia"/>
                <w:sz w:val="20"/>
                <w:szCs w:val="20"/>
              </w:rPr>
            </w:pPr>
            <w:r>
              <w:rPr>
                <w:sz w:val="20"/>
                <w:szCs w:val="20"/>
              </w:rPr>
              <w:t>1.电机、轴承加注黄油：如有异响，应</w:t>
            </w:r>
            <w:r>
              <w:rPr>
                <w:rFonts w:hint="eastAsia"/>
                <w:sz w:val="20"/>
                <w:szCs w:val="20"/>
              </w:rPr>
              <w:t>立即检查</w:t>
            </w:r>
            <w:r>
              <w:rPr>
                <w:sz w:val="20"/>
                <w:szCs w:val="20"/>
              </w:rPr>
              <w:t>轴承；</w:t>
            </w:r>
          </w:p>
          <w:p>
            <w:pPr>
              <w:pStyle w:val="TableParagraph"/>
              <w:spacing w:line="360" w:lineRule="auto"/>
              <w:jc w:val="center"/>
              <w:rPr>
                <w:rFonts w:hint="eastAsia"/>
                <w:sz w:val="20"/>
                <w:szCs w:val="20"/>
              </w:rPr>
            </w:pPr>
            <w:r>
              <w:rPr>
                <w:sz w:val="20"/>
                <w:szCs w:val="20"/>
              </w:rPr>
              <w:t>2.</w:t>
            </w:r>
            <w:r>
              <w:rPr>
                <w:rFonts w:hint="eastAsia"/>
                <w:sz w:val="20"/>
                <w:szCs w:val="20"/>
              </w:rPr>
              <w:t>泵体及管道阀门除锈刷漆；</w:t>
            </w:r>
          </w:p>
        </w:tc>
      </w:tr>
      <w:tr>
        <w:tblPrEx>
          <w:tblW w:w="0" w:type="auto"/>
          <w:tblInd w:w="0" w:type="dxa"/>
          <w:tblCellMar>
            <w:top w:w="0" w:type="dxa"/>
            <w:left w:w="108" w:type="dxa"/>
            <w:bottom w:w="0" w:type="dxa"/>
            <w:right w:w="108" w:type="dxa"/>
          </w:tblCellMar>
        </w:tblPrEx>
        <w:tc>
          <w:tcPr>
            <w:tcW w:w="0" w:type="auto"/>
            <w:vAlign w:val="center"/>
          </w:tcPr>
          <w:p>
            <w:pPr>
              <w:pStyle w:val="TableParagraph"/>
              <w:spacing w:line="360" w:lineRule="auto"/>
              <w:jc w:val="center"/>
              <w:rPr>
                <w:rFonts w:hint="eastAsia"/>
                <w:sz w:val="20"/>
                <w:szCs w:val="20"/>
              </w:rPr>
            </w:pPr>
            <w:r>
              <w:rPr>
                <w:rFonts w:hint="eastAsia"/>
                <w:sz w:val="20"/>
                <w:szCs w:val="20"/>
              </w:rPr>
              <w:t>各进出水阀门</w:t>
            </w:r>
          </w:p>
        </w:tc>
        <w:tc>
          <w:tcPr>
            <w:tcW w:w="713" w:type="dxa"/>
            <w:vAlign w:val="center"/>
          </w:tcPr>
          <w:p>
            <w:pPr>
              <w:pStyle w:val="TableParagraph"/>
              <w:spacing w:line="360" w:lineRule="auto"/>
              <w:jc w:val="center"/>
              <w:rPr>
                <w:rFonts w:hint="eastAsia"/>
                <w:sz w:val="20"/>
                <w:szCs w:val="20"/>
              </w:rPr>
            </w:pPr>
            <w:r>
              <w:rPr>
                <w:rFonts w:hint="eastAsia"/>
                <w:sz w:val="20"/>
                <w:szCs w:val="20"/>
              </w:rPr>
              <w:t>每季</w:t>
            </w:r>
          </w:p>
        </w:tc>
        <w:tc>
          <w:tcPr>
            <w:tcW w:w="3801" w:type="dxa"/>
            <w:vAlign w:val="center"/>
          </w:tcPr>
          <w:p>
            <w:pPr>
              <w:pStyle w:val="TableParagraph"/>
              <w:spacing w:line="360" w:lineRule="auto"/>
              <w:rPr>
                <w:rFonts w:hint="eastAsia"/>
                <w:sz w:val="20"/>
                <w:szCs w:val="20"/>
              </w:rPr>
            </w:pPr>
            <w:r>
              <w:rPr>
                <w:sz w:val="20"/>
                <w:szCs w:val="20"/>
              </w:rPr>
              <w:t>1.</w:t>
            </w:r>
            <w:r>
              <w:rPr>
                <w:rFonts w:hint="eastAsia"/>
                <w:sz w:val="20"/>
                <w:szCs w:val="20"/>
              </w:rPr>
              <w:t>检查阀门是否堵塞；</w:t>
            </w:r>
          </w:p>
          <w:p>
            <w:pPr>
              <w:pStyle w:val="TableParagraph"/>
              <w:spacing w:line="360" w:lineRule="auto"/>
              <w:rPr>
                <w:rFonts w:hint="eastAsia"/>
                <w:sz w:val="20"/>
                <w:szCs w:val="20"/>
              </w:rPr>
            </w:pPr>
            <w:r>
              <w:rPr>
                <w:sz w:val="20"/>
                <w:szCs w:val="20"/>
              </w:rPr>
              <w:t>2.清理</w:t>
            </w:r>
            <w:r>
              <w:rPr>
                <w:rFonts w:hint="eastAsia"/>
                <w:sz w:val="20"/>
                <w:szCs w:val="20"/>
              </w:rPr>
              <w:t>阀门</w:t>
            </w:r>
            <w:r>
              <w:rPr>
                <w:sz w:val="20"/>
                <w:szCs w:val="20"/>
              </w:rPr>
              <w:t>内的杂物，疏通</w:t>
            </w:r>
            <w:r>
              <w:rPr>
                <w:rFonts w:hint="eastAsia"/>
                <w:sz w:val="20"/>
                <w:szCs w:val="20"/>
              </w:rPr>
              <w:t>阀门</w:t>
            </w:r>
            <w:r>
              <w:rPr>
                <w:sz w:val="20"/>
                <w:szCs w:val="20"/>
              </w:rPr>
              <w:t>管道；</w:t>
            </w:r>
          </w:p>
          <w:p>
            <w:pPr>
              <w:pStyle w:val="TableParagraph"/>
              <w:spacing w:line="360" w:lineRule="auto"/>
              <w:jc w:val="center"/>
              <w:rPr>
                <w:rFonts w:hint="eastAsia"/>
                <w:sz w:val="20"/>
                <w:szCs w:val="20"/>
              </w:rPr>
            </w:pPr>
            <w:r>
              <w:rPr>
                <w:sz w:val="20"/>
                <w:szCs w:val="20"/>
              </w:rPr>
              <w:t>3.</w:t>
            </w:r>
            <w:r>
              <w:rPr>
                <w:rFonts w:hint="eastAsia"/>
                <w:sz w:val="20"/>
                <w:szCs w:val="20"/>
              </w:rPr>
              <w:t>检查闸阀开启、关闭是否灵活，有无跑、冒、滴、漏现象。</w:t>
            </w:r>
          </w:p>
        </w:tc>
        <w:tc>
          <w:tcPr>
            <w:tcW w:w="0" w:type="auto"/>
            <w:vAlign w:val="center"/>
          </w:tcPr>
          <w:p>
            <w:pPr>
              <w:pStyle w:val="TableParagraph"/>
              <w:spacing w:line="360" w:lineRule="auto"/>
              <w:jc w:val="center"/>
              <w:rPr>
                <w:rFonts w:hint="eastAsia"/>
                <w:sz w:val="20"/>
                <w:szCs w:val="20"/>
              </w:rPr>
            </w:pPr>
            <w:r>
              <w:rPr>
                <w:rFonts w:hint="eastAsia"/>
                <w:sz w:val="20"/>
                <w:szCs w:val="20"/>
              </w:rPr>
              <w:t>管道、阀门内无杂</w:t>
            </w:r>
            <w:r>
              <w:rPr>
                <w:sz w:val="20"/>
                <w:szCs w:val="20"/>
              </w:rPr>
              <w:t xml:space="preserve"> </w:t>
            </w:r>
            <w:r>
              <w:rPr>
                <w:rFonts w:hint="eastAsia"/>
                <w:sz w:val="20"/>
                <w:szCs w:val="20"/>
              </w:rPr>
              <w:t>物阀门开启灵活，无泄漏。</w:t>
            </w:r>
          </w:p>
        </w:tc>
      </w:tr>
      <w:tr>
        <w:tblPrEx>
          <w:tblW w:w="0" w:type="auto"/>
          <w:tblInd w:w="0" w:type="dxa"/>
          <w:tblCellMar>
            <w:top w:w="0" w:type="dxa"/>
            <w:left w:w="108" w:type="dxa"/>
            <w:bottom w:w="0" w:type="dxa"/>
            <w:right w:w="108" w:type="dxa"/>
          </w:tblCellMar>
        </w:tblPrEx>
        <w:tc>
          <w:tcPr>
            <w:tcW w:w="0" w:type="auto"/>
            <w:vAlign w:val="center"/>
          </w:tcPr>
          <w:p>
            <w:pPr>
              <w:pStyle w:val="TableParagraph"/>
              <w:spacing w:line="360" w:lineRule="auto"/>
              <w:jc w:val="center"/>
              <w:rPr>
                <w:rFonts w:hint="eastAsia"/>
                <w:sz w:val="20"/>
                <w:szCs w:val="20"/>
              </w:rPr>
            </w:pPr>
            <w:r>
              <w:rPr>
                <w:rFonts w:hint="eastAsia"/>
                <w:sz w:val="20"/>
                <w:szCs w:val="20"/>
              </w:rPr>
              <w:t>多介质过滤器</w:t>
            </w:r>
          </w:p>
        </w:tc>
        <w:tc>
          <w:tcPr>
            <w:tcW w:w="713" w:type="dxa"/>
            <w:vAlign w:val="center"/>
          </w:tcPr>
          <w:p>
            <w:pPr>
              <w:pStyle w:val="TableParagraph"/>
              <w:spacing w:line="360" w:lineRule="auto"/>
              <w:jc w:val="center"/>
              <w:rPr>
                <w:rFonts w:hint="eastAsia"/>
                <w:sz w:val="20"/>
                <w:szCs w:val="20"/>
              </w:rPr>
            </w:pPr>
            <w:r>
              <w:rPr>
                <w:rFonts w:hint="eastAsia"/>
                <w:sz w:val="20"/>
                <w:szCs w:val="20"/>
              </w:rPr>
              <w:t>每天</w:t>
            </w:r>
          </w:p>
        </w:tc>
        <w:tc>
          <w:tcPr>
            <w:tcW w:w="3801" w:type="dxa"/>
            <w:vAlign w:val="center"/>
          </w:tcPr>
          <w:p>
            <w:pPr>
              <w:pStyle w:val="TableParagraph"/>
              <w:spacing w:line="360" w:lineRule="auto"/>
              <w:jc w:val="center"/>
              <w:rPr>
                <w:rFonts w:hint="eastAsia"/>
                <w:sz w:val="20"/>
                <w:szCs w:val="20"/>
              </w:rPr>
            </w:pPr>
            <w:r>
              <w:rPr>
                <w:rFonts w:hint="eastAsia"/>
                <w:sz w:val="20"/>
                <w:szCs w:val="20"/>
              </w:rPr>
              <w:t>自动过滤、自动切换正常</w:t>
            </w:r>
          </w:p>
        </w:tc>
        <w:tc>
          <w:tcPr>
            <w:tcW w:w="0" w:type="auto"/>
            <w:vAlign w:val="center"/>
          </w:tcPr>
          <w:p>
            <w:pPr>
              <w:pStyle w:val="TableParagraph"/>
              <w:spacing w:line="360" w:lineRule="auto"/>
              <w:jc w:val="center"/>
              <w:rPr>
                <w:rFonts w:hint="eastAsia"/>
                <w:sz w:val="20"/>
                <w:szCs w:val="20"/>
              </w:rPr>
            </w:pPr>
            <w:r>
              <w:rPr>
                <w:rFonts w:hint="eastAsia"/>
                <w:sz w:val="20"/>
                <w:szCs w:val="20"/>
              </w:rPr>
              <w:t>出水正常</w:t>
            </w:r>
          </w:p>
        </w:tc>
      </w:tr>
      <w:tr>
        <w:tblPrEx>
          <w:tblW w:w="0" w:type="auto"/>
          <w:tblInd w:w="0" w:type="dxa"/>
          <w:tblCellMar>
            <w:top w:w="0" w:type="dxa"/>
            <w:left w:w="108" w:type="dxa"/>
            <w:bottom w:w="0" w:type="dxa"/>
            <w:right w:w="108" w:type="dxa"/>
          </w:tblCellMar>
        </w:tblPrEx>
        <w:tc>
          <w:tcPr>
            <w:tcW w:w="0" w:type="auto"/>
            <w:vAlign w:val="center"/>
          </w:tcPr>
          <w:p>
            <w:pPr>
              <w:pStyle w:val="TableParagraph"/>
              <w:spacing w:line="360" w:lineRule="auto"/>
              <w:jc w:val="center"/>
              <w:rPr>
                <w:rFonts w:hint="eastAsia"/>
                <w:sz w:val="20"/>
                <w:szCs w:val="20"/>
              </w:rPr>
            </w:pPr>
            <w:r>
              <w:rPr>
                <w:rFonts w:hint="eastAsia"/>
                <w:sz w:val="20"/>
                <w:szCs w:val="20"/>
              </w:rPr>
              <w:t>电控系统</w:t>
            </w:r>
          </w:p>
        </w:tc>
        <w:tc>
          <w:tcPr>
            <w:tcW w:w="713" w:type="dxa"/>
            <w:vAlign w:val="center"/>
          </w:tcPr>
          <w:p>
            <w:pPr>
              <w:pStyle w:val="TableParagraph"/>
              <w:spacing w:line="360" w:lineRule="auto"/>
              <w:jc w:val="center"/>
              <w:rPr>
                <w:rFonts w:hint="eastAsia"/>
                <w:sz w:val="20"/>
                <w:szCs w:val="20"/>
              </w:rPr>
            </w:pPr>
            <w:r>
              <w:rPr>
                <w:rFonts w:hint="eastAsia"/>
                <w:sz w:val="20"/>
                <w:szCs w:val="20"/>
              </w:rPr>
              <w:t>每天</w:t>
            </w:r>
          </w:p>
        </w:tc>
        <w:tc>
          <w:tcPr>
            <w:tcW w:w="3801" w:type="dxa"/>
            <w:vAlign w:val="center"/>
          </w:tcPr>
          <w:p>
            <w:pPr>
              <w:pStyle w:val="TableParagraph"/>
              <w:spacing w:line="360" w:lineRule="auto"/>
              <w:rPr>
                <w:rFonts w:hint="eastAsia"/>
                <w:sz w:val="20"/>
                <w:szCs w:val="20"/>
              </w:rPr>
            </w:pPr>
            <w:r>
              <w:rPr>
                <w:rFonts w:hint="eastAsia"/>
                <w:sz w:val="20"/>
                <w:szCs w:val="20"/>
              </w:rPr>
              <w:t>电控系统分别进行手动、停止和自动操作；</w:t>
            </w:r>
          </w:p>
          <w:p>
            <w:pPr>
              <w:pStyle w:val="TableParagraph"/>
              <w:spacing w:line="360" w:lineRule="auto"/>
              <w:rPr>
                <w:rFonts w:hint="eastAsia"/>
                <w:sz w:val="20"/>
                <w:szCs w:val="20"/>
              </w:rPr>
            </w:pPr>
            <w:r>
              <w:rPr>
                <w:rFonts w:hint="eastAsia"/>
                <w:sz w:val="20"/>
                <w:szCs w:val="20"/>
              </w:rPr>
              <w:t>各设备操作能快速反应、控制正常，电源指示、运行指示、故障指标均能适配，触摸屏显示运行状态正常，各仪表电源开关均正常，联动运行正常。</w:t>
            </w:r>
          </w:p>
          <w:p>
            <w:pPr>
              <w:pStyle w:val="TableParagraph"/>
              <w:spacing w:line="360" w:lineRule="auto"/>
              <w:jc w:val="center"/>
              <w:rPr>
                <w:rFonts w:hint="eastAsia"/>
                <w:sz w:val="20"/>
                <w:szCs w:val="20"/>
              </w:rPr>
            </w:pPr>
          </w:p>
        </w:tc>
        <w:tc>
          <w:tcPr>
            <w:tcW w:w="0" w:type="auto"/>
            <w:vAlign w:val="center"/>
          </w:tcPr>
          <w:p>
            <w:pPr>
              <w:pStyle w:val="TableParagraph"/>
              <w:spacing w:line="360" w:lineRule="auto"/>
              <w:jc w:val="center"/>
              <w:rPr>
                <w:rFonts w:hint="eastAsia"/>
                <w:sz w:val="20"/>
                <w:szCs w:val="20"/>
              </w:rPr>
            </w:pPr>
            <w:r>
              <w:rPr>
                <w:rFonts w:hint="eastAsia"/>
                <w:sz w:val="20"/>
                <w:szCs w:val="20"/>
              </w:rPr>
              <w:t>紧固柜各线路接头螺母，清扫柜内灰尘等。</w:t>
            </w:r>
          </w:p>
        </w:tc>
      </w:tr>
    </w:tbl>
    <w:p>
      <w:pPr>
        <w:autoSpaceDE w:val="0"/>
        <w:autoSpaceDN w:val="0"/>
        <w:spacing w:line="360" w:lineRule="auto"/>
        <w:rPr>
          <w:rFonts w:ascii="宋体" w:hAnsi="宋体" w:cs="宋体" w:hint="eastAsia"/>
          <w:szCs w:val="21"/>
          <w:lang w:val="zh-CN" w:bidi="zh-CN"/>
        </w:rPr>
      </w:pPr>
      <w:r>
        <w:rPr>
          <w:rFonts w:ascii="宋体" w:hAnsi="宋体" w:cs="宋体"/>
          <w:b/>
          <w:szCs w:val="21"/>
          <w:lang w:val="zh-CN" w:bidi="zh-CN"/>
        </w:rPr>
        <w:t>8</w:t>
      </w:r>
      <w:r>
        <w:rPr>
          <w:rFonts w:ascii="宋体" w:hAnsi="宋体" w:cs="宋体" w:hint="eastAsia"/>
          <w:b/>
          <w:szCs w:val="21"/>
          <w:lang w:val="zh-CN" w:bidi="zh-CN"/>
        </w:rPr>
        <w:t>.</w:t>
      </w:r>
      <w:r>
        <w:rPr>
          <w:rFonts w:ascii="宋体" w:hAnsi="宋体" w:cs="宋体"/>
          <w:b/>
          <w:szCs w:val="21"/>
          <w:lang w:val="zh-CN" w:bidi="zh-CN"/>
        </w:rPr>
        <w:t>垃圾清运管理标准</w:t>
      </w:r>
    </w:p>
    <w:tbl>
      <w:tblPr>
        <w:tblStyle w:val="TableNormal"/>
        <w:tblW w:w="5084" w:type="pct"/>
        <w:tblInd w:w="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top w:w="0" w:type="dxa"/>
          <w:left w:w="0" w:type="dxa"/>
          <w:bottom w:w="0" w:type="dxa"/>
          <w:right w:w="0" w:type="dxa"/>
        </w:tblCellMar>
      </w:tblPr>
      <w:tblGrid>
        <w:gridCol w:w="558"/>
        <w:gridCol w:w="1385"/>
        <w:gridCol w:w="1926"/>
        <w:gridCol w:w="2448"/>
        <w:gridCol w:w="2156"/>
      </w:tblGrid>
      <w:tr>
        <w:tblPrEx>
          <w:tblW w:w="5084" w:type="pct"/>
          <w:tblInd w:w="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top w:w="0" w:type="dxa"/>
            <w:left w:w="0" w:type="dxa"/>
            <w:bottom w:w="0" w:type="dxa"/>
            <w:right w:w="0" w:type="dxa"/>
          </w:tblCellMar>
        </w:tblPrEx>
        <w:trPr>
          <w:trHeight w:val="463"/>
        </w:trPr>
        <w:tc>
          <w:tcPr>
            <w:tcW w:w="329" w:type="pct"/>
            <w:tcBorders>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序号</w:t>
            </w:r>
          </w:p>
        </w:tc>
        <w:tc>
          <w:tcPr>
            <w:tcW w:w="817" w:type="pct"/>
            <w:tcBorders>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项目</w:t>
            </w:r>
          </w:p>
        </w:tc>
        <w:tc>
          <w:tcPr>
            <w:tcW w:w="1136" w:type="pct"/>
            <w:tcBorders>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rFonts w:hint="eastAsia"/>
                <w:sz w:val="20"/>
                <w:szCs w:val="20"/>
              </w:rPr>
              <w:t>频次</w:t>
            </w:r>
          </w:p>
        </w:tc>
        <w:tc>
          <w:tcPr>
            <w:tcW w:w="1444" w:type="pct"/>
            <w:tcBorders>
              <w:left w:val="single" w:sz="4" w:space="0" w:color="000000"/>
              <w:bottom w:val="single" w:sz="4" w:space="0" w:color="000000"/>
              <w:right w:val="single" w:sz="4" w:space="0" w:color="000000"/>
            </w:tcBorders>
            <w:vAlign w:val="center"/>
          </w:tcPr>
          <w:p>
            <w:pPr>
              <w:pStyle w:val="TableParagraph"/>
              <w:spacing w:line="360" w:lineRule="auto"/>
              <w:jc w:val="center"/>
              <w:rPr>
                <w:rFonts w:hint="eastAsia"/>
                <w:sz w:val="20"/>
                <w:szCs w:val="20"/>
              </w:rPr>
            </w:pPr>
            <w:r>
              <w:rPr>
                <w:sz w:val="20"/>
                <w:szCs w:val="20"/>
              </w:rPr>
              <w:t>工作内容</w:t>
            </w:r>
          </w:p>
        </w:tc>
        <w:tc>
          <w:tcPr>
            <w:tcW w:w="1272" w:type="pct"/>
            <w:tcBorders>
              <w:left w:val="single" w:sz="4" w:space="0" w:color="000000"/>
              <w:bottom w:val="single" w:sz="4" w:space="0" w:color="000000"/>
            </w:tcBorders>
            <w:vAlign w:val="center"/>
          </w:tcPr>
          <w:p>
            <w:pPr>
              <w:pStyle w:val="TableParagraph"/>
              <w:spacing w:line="360" w:lineRule="auto"/>
              <w:jc w:val="center"/>
              <w:rPr>
                <w:rFonts w:hint="eastAsia"/>
                <w:sz w:val="20"/>
                <w:szCs w:val="20"/>
              </w:rPr>
            </w:pPr>
            <w:r>
              <w:rPr>
                <w:sz w:val="20"/>
                <w:szCs w:val="20"/>
              </w:rPr>
              <w:t>清洁标准</w:t>
            </w:r>
          </w:p>
        </w:tc>
      </w:tr>
      <w:tr>
        <w:tblPrEx>
          <w:tblW w:w="5084"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821"/>
        </w:trPr>
        <w:tc>
          <w:tcPr>
            <w:tcW w:w="329" w:type="pct"/>
            <w:vAlign w:val="center"/>
          </w:tcPr>
          <w:p>
            <w:pPr>
              <w:pStyle w:val="TableParagraph"/>
              <w:spacing w:line="360" w:lineRule="auto"/>
              <w:jc w:val="center"/>
              <w:rPr>
                <w:rFonts w:hint="eastAsia"/>
                <w:sz w:val="20"/>
                <w:szCs w:val="20"/>
              </w:rPr>
            </w:pPr>
            <w:r>
              <w:rPr>
                <w:sz w:val="20"/>
                <w:szCs w:val="20"/>
              </w:rPr>
              <w:t>1</w:t>
            </w:r>
          </w:p>
        </w:tc>
        <w:tc>
          <w:tcPr>
            <w:tcW w:w="817" w:type="pct"/>
            <w:vAlign w:val="center"/>
          </w:tcPr>
          <w:p>
            <w:pPr>
              <w:pStyle w:val="TableParagraph"/>
              <w:spacing w:line="360" w:lineRule="auto"/>
              <w:jc w:val="center"/>
              <w:rPr>
                <w:rFonts w:hint="eastAsia"/>
                <w:sz w:val="20"/>
                <w:szCs w:val="20"/>
              </w:rPr>
            </w:pPr>
            <w:r>
              <w:rPr>
                <w:rFonts w:hint="eastAsia"/>
                <w:sz w:val="20"/>
                <w:szCs w:val="20"/>
              </w:rPr>
              <w:t>清运时效</w:t>
            </w:r>
          </w:p>
        </w:tc>
        <w:tc>
          <w:tcPr>
            <w:tcW w:w="1136" w:type="pct"/>
            <w:vAlign w:val="center"/>
          </w:tcPr>
          <w:p>
            <w:pPr>
              <w:pStyle w:val="TableParagraph"/>
              <w:spacing w:line="360" w:lineRule="auto"/>
              <w:jc w:val="center"/>
              <w:rPr>
                <w:rFonts w:hint="eastAsia"/>
                <w:sz w:val="20"/>
                <w:szCs w:val="20"/>
              </w:rPr>
            </w:pPr>
            <w:r>
              <w:rPr>
                <w:rFonts w:hint="eastAsia"/>
                <w:sz w:val="20"/>
                <w:szCs w:val="20"/>
              </w:rPr>
              <w:t>每天</w:t>
            </w:r>
          </w:p>
        </w:tc>
        <w:tc>
          <w:tcPr>
            <w:tcW w:w="1444" w:type="pct"/>
            <w:vAlign w:val="center"/>
          </w:tcPr>
          <w:p>
            <w:pPr>
              <w:pStyle w:val="TableParagraph"/>
              <w:spacing w:line="360" w:lineRule="auto"/>
              <w:jc w:val="center"/>
              <w:rPr>
                <w:rFonts w:hint="eastAsia"/>
                <w:sz w:val="20"/>
                <w:szCs w:val="20"/>
              </w:rPr>
            </w:pPr>
            <w:r>
              <w:rPr>
                <w:sz w:val="20"/>
                <w:szCs w:val="20"/>
              </w:rPr>
              <w:t>生活垃圾日产日清</w:t>
            </w:r>
          </w:p>
        </w:tc>
        <w:tc>
          <w:tcPr>
            <w:tcW w:w="1272" w:type="pct"/>
            <w:tcBorders>
              <w:right w:val="single" w:sz="12" w:space="0" w:color="000000"/>
            </w:tcBorders>
            <w:vAlign w:val="center"/>
          </w:tcPr>
          <w:p>
            <w:pPr>
              <w:pStyle w:val="TableParagraph"/>
              <w:spacing w:line="360" w:lineRule="auto"/>
              <w:jc w:val="center"/>
              <w:rPr>
                <w:rFonts w:hint="eastAsia"/>
                <w:sz w:val="20"/>
                <w:szCs w:val="20"/>
              </w:rPr>
            </w:pPr>
            <w:r>
              <w:rPr>
                <w:rFonts w:hint="eastAsia"/>
                <w:sz w:val="20"/>
                <w:szCs w:val="20"/>
              </w:rPr>
              <w:t>每日清运，无垃圾堆积</w:t>
            </w:r>
          </w:p>
        </w:tc>
      </w:tr>
      <w:tr>
        <w:tblPrEx>
          <w:tblW w:w="5084"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821"/>
        </w:trPr>
        <w:tc>
          <w:tcPr>
            <w:tcW w:w="329" w:type="pct"/>
            <w:vAlign w:val="center"/>
          </w:tcPr>
          <w:p>
            <w:pPr>
              <w:pStyle w:val="TableParagraph"/>
              <w:spacing w:line="360" w:lineRule="auto"/>
              <w:jc w:val="center"/>
              <w:rPr>
                <w:rFonts w:hint="eastAsia"/>
                <w:sz w:val="20"/>
                <w:szCs w:val="20"/>
              </w:rPr>
            </w:pPr>
            <w:r>
              <w:rPr>
                <w:sz w:val="20"/>
                <w:szCs w:val="20"/>
              </w:rPr>
              <w:t>2</w:t>
            </w:r>
          </w:p>
        </w:tc>
        <w:tc>
          <w:tcPr>
            <w:tcW w:w="817" w:type="pct"/>
            <w:vAlign w:val="center"/>
          </w:tcPr>
          <w:p>
            <w:pPr>
              <w:pStyle w:val="TableParagraph"/>
              <w:spacing w:line="360" w:lineRule="auto"/>
              <w:jc w:val="center"/>
              <w:rPr>
                <w:rFonts w:hint="eastAsia"/>
                <w:sz w:val="20"/>
                <w:szCs w:val="20"/>
              </w:rPr>
            </w:pPr>
            <w:r>
              <w:rPr>
                <w:rFonts w:hint="eastAsia"/>
                <w:sz w:val="20"/>
                <w:szCs w:val="20"/>
              </w:rPr>
              <w:t>清运车辆及工具</w:t>
            </w:r>
          </w:p>
        </w:tc>
        <w:tc>
          <w:tcPr>
            <w:tcW w:w="1136" w:type="pct"/>
            <w:vAlign w:val="center"/>
          </w:tcPr>
          <w:p>
            <w:pPr>
              <w:pStyle w:val="TableParagraph"/>
              <w:spacing w:line="360" w:lineRule="auto"/>
              <w:jc w:val="center"/>
              <w:rPr>
                <w:rFonts w:hint="eastAsia"/>
                <w:sz w:val="20"/>
                <w:szCs w:val="20"/>
              </w:rPr>
            </w:pPr>
            <w:r>
              <w:rPr>
                <w:rFonts w:hint="eastAsia"/>
                <w:sz w:val="20"/>
                <w:szCs w:val="20"/>
              </w:rPr>
              <w:t>每天</w:t>
            </w:r>
          </w:p>
        </w:tc>
        <w:tc>
          <w:tcPr>
            <w:tcW w:w="1444" w:type="pct"/>
            <w:vAlign w:val="center"/>
          </w:tcPr>
          <w:p>
            <w:pPr>
              <w:pStyle w:val="TableParagraph"/>
              <w:spacing w:line="360" w:lineRule="auto"/>
              <w:jc w:val="center"/>
              <w:rPr>
                <w:rFonts w:hint="eastAsia"/>
                <w:sz w:val="20"/>
                <w:szCs w:val="20"/>
              </w:rPr>
            </w:pPr>
            <w:r>
              <w:rPr>
                <w:sz w:val="20"/>
                <w:szCs w:val="20"/>
              </w:rPr>
              <w:t>专业车辆运输、整洁防漏</w:t>
            </w:r>
          </w:p>
        </w:tc>
        <w:tc>
          <w:tcPr>
            <w:tcW w:w="1272" w:type="pct"/>
            <w:tcBorders>
              <w:right w:val="single" w:sz="12" w:space="0" w:color="000000"/>
            </w:tcBorders>
            <w:vAlign w:val="center"/>
          </w:tcPr>
          <w:p>
            <w:pPr>
              <w:pStyle w:val="TableParagraph"/>
              <w:spacing w:line="360" w:lineRule="auto"/>
              <w:jc w:val="center"/>
              <w:rPr>
                <w:rFonts w:hint="eastAsia"/>
                <w:sz w:val="20"/>
                <w:szCs w:val="20"/>
              </w:rPr>
            </w:pPr>
            <w:r>
              <w:rPr>
                <w:rFonts w:hint="eastAsia"/>
                <w:sz w:val="20"/>
                <w:szCs w:val="20"/>
              </w:rPr>
              <w:t>车辆工具整洁、</w:t>
            </w:r>
            <w:r>
              <w:rPr>
                <w:sz w:val="20"/>
                <w:szCs w:val="20"/>
              </w:rPr>
              <w:t>无满溢、</w:t>
            </w:r>
            <w:r>
              <w:rPr>
                <w:rFonts w:hint="eastAsia"/>
                <w:sz w:val="20"/>
                <w:szCs w:val="20"/>
              </w:rPr>
              <w:t>无渗漏</w:t>
            </w:r>
          </w:p>
        </w:tc>
      </w:tr>
      <w:tr>
        <w:tblPrEx>
          <w:tblW w:w="5084"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Ex>
        <w:trPr>
          <w:trHeight w:val="821"/>
        </w:trPr>
        <w:tc>
          <w:tcPr>
            <w:tcW w:w="329" w:type="pct"/>
            <w:vAlign w:val="center"/>
          </w:tcPr>
          <w:p>
            <w:pPr>
              <w:pStyle w:val="TableParagraph"/>
              <w:spacing w:line="360" w:lineRule="auto"/>
              <w:jc w:val="center"/>
              <w:rPr>
                <w:rFonts w:hint="eastAsia"/>
                <w:sz w:val="20"/>
                <w:szCs w:val="20"/>
              </w:rPr>
            </w:pPr>
            <w:r>
              <w:rPr>
                <w:sz w:val="20"/>
                <w:szCs w:val="20"/>
              </w:rPr>
              <w:t>3</w:t>
            </w:r>
          </w:p>
        </w:tc>
        <w:tc>
          <w:tcPr>
            <w:tcW w:w="817" w:type="pct"/>
            <w:vAlign w:val="center"/>
          </w:tcPr>
          <w:p>
            <w:pPr>
              <w:pStyle w:val="TableParagraph"/>
              <w:spacing w:line="360" w:lineRule="auto"/>
              <w:jc w:val="center"/>
              <w:rPr>
                <w:rFonts w:hint="eastAsia"/>
                <w:sz w:val="20"/>
                <w:szCs w:val="20"/>
              </w:rPr>
            </w:pPr>
            <w:r>
              <w:rPr>
                <w:rFonts w:hint="eastAsia"/>
                <w:sz w:val="20"/>
                <w:szCs w:val="20"/>
              </w:rPr>
              <w:t>污染控制</w:t>
            </w:r>
          </w:p>
        </w:tc>
        <w:tc>
          <w:tcPr>
            <w:tcW w:w="1136" w:type="pct"/>
            <w:vAlign w:val="center"/>
          </w:tcPr>
          <w:p>
            <w:pPr>
              <w:pStyle w:val="TableParagraph"/>
              <w:spacing w:line="360" w:lineRule="auto"/>
              <w:jc w:val="center"/>
              <w:rPr>
                <w:rFonts w:hint="eastAsia"/>
                <w:sz w:val="20"/>
                <w:szCs w:val="20"/>
              </w:rPr>
            </w:pPr>
            <w:r>
              <w:rPr>
                <w:rFonts w:hint="eastAsia"/>
                <w:sz w:val="20"/>
                <w:szCs w:val="20"/>
              </w:rPr>
              <w:t>每天</w:t>
            </w:r>
          </w:p>
        </w:tc>
        <w:tc>
          <w:tcPr>
            <w:tcW w:w="1444" w:type="pct"/>
            <w:vAlign w:val="center"/>
          </w:tcPr>
          <w:p>
            <w:pPr>
              <w:pStyle w:val="TableParagraph"/>
              <w:spacing w:line="360" w:lineRule="auto"/>
              <w:jc w:val="center"/>
              <w:rPr>
                <w:rFonts w:hint="eastAsia"/>
                <w:sz w:val="20"/>
                <w:szCs w:val="20"/>
              </w:rPr>
            </w:pPr>
            <w:r>
              <w:rPr>
                <w:sz w:val="20"/>
                <w:szCs w:val="20"/>
              </w:rPr>
              <w:t>运输路线优化，减少沿途噪音，对周边设施污染最小化</w:t>
            </w:r>
          </w:p>
        </w:tc>
        <w:tc>
          <w:tcPr>
            <w:tcW w:w="1272" w:type="pct"/>
            <w:tcBorders>
              <w:right w:val="single" w:sz="12" w:space="0" w:color="000000"/>
            </w:tcBorders>
            <w:vAlign w:val="center"/>
          </w:tcPr>
          <w:p>
            <w:pPr>
              <w:pStyle w:val="TableParagraph"/>
              <w:spacing w:line="360" w:lineRule="auto"/>
              <w:jc w:val="center"/>
              <w:rPr>
                <w:rFonts w:hint="eastAsia"/>
                <w:sz w:val="20"/>
                <w:szCs w:val="20"/>
              </w:rPr>
            </w:pPr>
            <w:r>
              <w:rPr>
                <w:rFonts w:hint="eastAsia"/>
                <w:sz w:val="20"/>
                <w:szCs w:val="20"/>
              </w:rPr>
              <w:t>无异味</w:t>
            </w:r>
            <w:r>
              <w:rPr>
                <w:sz w:val="20"/>
                <w:szCs w:val="20"/>
              </w:rPr>
              <w:t>、有效控制蚊蝇等害虫</w:t>
            </w:r>
            <w:r>
              <w:rPr>
                <w:rFonts w:hint="eastAsia"/>
                <w:sz w:val="20"/>
                <w:szCs w:val="20"/>
              </w:rPr>
              <w:t>。</w:t>
            </w:r>
            <w:r>
              <w:rPr>
                <w:sz w:val="20"/>
                <w:szCs w:val="20"/>
              </w:rPr>
              <w:t>运输过程噪音低于70分贝。</w:t>
            </w:r>
          </w:p>
        </w:tc>
      </w:tr>
    </w:tbl>
    <w:p>
      <w:pPr>
        <w:pStyle w:val="BodyText"/>
        <w:ind w:left="13"/>
        <w:rPr>
          <w:rFonts w:ascii="宋体" w:hAnsi="宋体" w:hint="eastAsia"/>
          <w:b w:val="0"/>
          <w:bCs w:val="0"/>
          <w:color w:val="FF0000"/>
          <w:szCs w:val="21"/>
        </w:rPr>
      </w:pPr>
    </w:p>
    <w:p>
      <w:pPr>
        <w:widowControl/>
        <w:spacing w:line="360" w:lineRule="auto"/>
        <w:jc w:val="left"/>
        <w:rPr>
          <w:b/>
          <w:szCs w:val="21"/>
        </w:rPr>
      </w:pPr>
      <w:r>
        <w:rPr>
          <w:rFonts w:hint="eastAsia"/>
          <w:b/>
          <w:szCs w:val="21"/>
        </w:rPr>
        <w:t>附件2《物业管理人员配置表》</w:t>
      </w:r>
    </w:p>
    <w:p>
      <w:pPr>
        <w:autoSpaceDE w:val="0"/>
        <w:autoSpaceDN w:val="0"/>
        <w:spacing w:line="360" w:lineRule="auto"/>
        <w:ind w:firstLine="420" w:firstLineChars="200"/>
        <w:rPr>
          <w:rFonts w:ascii="宋体" w:hAnsi="宋体" w:cs="宋体" w:hint="eastAsia"/>
          <w:szCs w:val="21"/>
          <w:lang w:val="zh-CN" w:bidi="zh-CN"/>
        </w:rPr>
      </w:pPr>
      <w:r>
        <w:rPr>
          <w:rFonts w:ascii="宋体" w:hAnsi="宋体" w:cs="宋体" w:hint="eastAsia"/>
          <w:szCs w:val="21"/>
          <w:lang w:val="zh-CN" w:bidi="zh-CN"/>
        </w:rPr>
        <w:t>物业服务团队配置118人，其中</w:t>
      </w:r>
      <w:r>
        <w:rPr>
          <w:rFonts w:ascii="宋体" w:hAnsi="宋体" w:cs="宋体" w:hint="eastAsia"/>
          <w:szCs w:val="21"/>
          <w:lang w:val="en-US" w:bidi="zh-CN"/>
        </w:rPr>
        <w:t>项目负责人</w:t>
      </w:r>
      <w:r>
        <w:rPr>
          <w:rFonts w:ascii="宋体" w:hAnsi="宋体" w:cs="宋体" w:hint="eastAsia"/>
          <w:szCs w:val="21"/>
          <w:lang w:val="zh-CN" w:bidi="zh-CN"/>
        </w:rPr>
        <w:t>1人，</w:t>
      </w:r>
      <w:r>
        <w:rPr>
          <w:rFonts w:ascii="宋体" w:hAnsi="宋体" w:cs="宋体" w:hint="eastAsia"/>
          <w:szCs w:val="21"/>
          <w:lang w:val="en-US" w:bidi="zh-CN"/>
        </w:rPr>
        <w:t>安管主任</w:t>
      </w:r>
      <w:r>
        <w:rPr>
          <w:rFonts w:ascii="宋体" w:hAnsi="宋体" w:cs="宋体" w:hint="eastAsia"/>
          <w:szCs w:val="21"/>
          <w:lang w:val="zh-CN" w:bidi="zh-CN"/>
        </w:rPr>
        <w:t>1人，</w:t>
      </w:r>
      <w:r>
        <w:rPr>
          <w:rFonts w:ascii="宋体" w:hAnsi="宋体" w:cs="宋体" w:hint="eastAsia"/>
          <w:szCs w:val="21"/>
          <w:lang w:val="en-US" w:bidi="zh-CN"/>
        </w:rPr>
        <w:t>工程主任</w:t>
      </w:r>
      <w:r>
        <w:rPr>
          <w:rFonts w:ascii="宋体" w:hAnsi="宋体" w:cs="宋体" w:hint="eastAsia"/>
          <w:szCs w:val="21"/>
          <w:lang w:val="zh-CN" w:bidi="zh-CN"/>
        </w:rPr>
        <w:t>1人，</w:t>
      </w:r>
      <w:r>
        <w:rPr>
          <w:rFonts w:ascii="宋体" w:hAnsi="宋体" w:cs="宋体" w:hint="eastAsia"/>
          <w:szCs w:val="21"/>
          <w:lang w:val="en-US" w:bidi="zh-CN"/>
        </w:rPr>
        <w:t>环境主任</w:t>
      </w:r>
      <w:r>
        <w:rPr>
          <w:rFonts w:ascii="宋体" w:hAnsi="宋体" w:cs="宋体" w:hint="eastAsia"/>
          <w:szCs w:val="21"/>
          <w:lang w:val="zh-CN" w:bidi="zh-CN"/>
        </w:rPr>
        <w:t>1人，</w:t>
      </w:r>
      <w:r>
        <w:rPr>
          <w:rFonts w:ascii="宋体" w:hAnsi="宋体" w:cs="宋体" w:hint="eastAsia"/>
          <w:szCs w:val="21"/>
          <w:lang w:val="en-US" w:bidi="zh-CN"/>
        </w:rPr>
        <w:t>客服主任</w:t>
      </w:r>
      <w:r>
        <w:rPr>
          <w:rFonts w:ascii="宋体" w:hAnsi="宋体" w:cs="宋体" w:hint="eastAsia"/>
          <w:szCs w:val="21"/>
          <w:lang w:val="zh-CN" w:bidi="zh-CN"/>
        </w:rPr>
        <w:t>1人，</w:t>
      </w:r>
      <w:r>
        <w:rPr>
          <w:rFonts w:ascii="宋体" w:hAnsi="宋体" w:cs="宋体" w:hint="eastAsia"/>
          <w:szCs w:val="21"/>
          <w:lang w:val="en-US" w:bidi="zh-CN"/>
        </w:rPr>
        <w:t>会务主任</w:t>
      </w:r>
      <w:r>
        <w:rPr>
          <w:rFonts w:ascii="宋体" w:hAnsi="宋体" w:cs="宋体" w:hint="eastAsia"/>
          <w:szCs w:val="21"/>
          <w:lang w:val="zh-CN" w:bidi="zh-CN"/>
        </w:rPr>
        <w:t>1人，安保岗28人，客户服务24人，绿化岗2人，保洁岗33人，工程维修25人。根据实际情况，合理配置人员。</w:t>
      </w:r>
    </w:p>
    <w:p>
      <w:pPr>
        <w:tabs>
          <w:tab w:val="left" w:pos="800"/>
        </w:tabs>
        <w:snapToGrid w:val="0"/>
        <w:spacing w:line="360" w:lineRule="auto"/>
        <w:ind w:right="-874" w:rightChars="-416"/>
        <w:rPr>
          <w:rFonts w:ascii="宋体" w:hAnsi="宋体" w:hint="eastAsia"/>
          <w:b/>
          <w:bCs/>
          <w:szCs w:val="21"/>
        </w:rPr>
      </w:pPr>
      <w:r>
        <w:rPr>
          <w:rFonts w:ascii="宋体" w:hAnsi="宋体" w:hint="eastAsia"/>
          <w:b/>
          <w:bCs/>
          <w:szCs w:val="21"/>
        </w:rPr>
        <w:t>一、人员配置清单</w:t>
      </w:r>
    </w:p>
    <w:p>
      <w:pPr>
        <w:tabs>
          <w:tab w:val="left" w:pos="800"/>
        </w:tabs>
        <w:snapToGrid w:val="0"/>
        <w:spacing w:line="360" w:lineRule="auto"/>
        <w:ind w:right="-874" w:rightChars="-416"/>
        <w:rPr>
          <w:rFonts w:ascii="宋体" w:hAnsi="宋体" w:hint="eastAsia"/>
          <w:b/>
          <w:bCs/>
          <w:szCs w:val="21"/>
        </w:rPr>
      </w:pPr>
      <w:r>
        <w:rPr>
          <w:rFonts w:ascii="宋体" w:hAnsi="宋体" w:hint="eastAsia"/>
          <w:b/>
          <w:bCs/>
          <w:szCs w:val="21"/>
        </w:rPr>
        <w:t>1、管理人员</w:t>
      </w:r>
    </w:p>
    <w:tbl>
      <w:tblPr>
        <w:tblStyle w:val="TableNormal"/>
        <w:tblW w:w="5000" w:type="pct"/>
        <w:tblInd w:w="0" w:type="dxa"/>
        <w:tblCellMar>
          <w:top w:w="0" w:type="dxa"/>
          <w:left w:w="108" w:type="dxa"/>
          <w:bottom w:w="0" w:type="dxa"/>
          <w:right w:w="108" w:type="dxa"/>
        </w:tblCellMar>
      </w:tblPr>
      <w:tblGrid>
        <w:gridCol w:w="982"/>
        <w:gridCol w:w="2482"/>
        <w:gridCol w:w="1655"/>
        <w:gridCol w:w="3410"/>
      </w:tblGrid>
      <w:tr>
        <w:tblPrEx>
          <w:tblW w:w="5000" w:type="pct"/>
          <w:tblInd w:w="0" w:type="dxa"/>
          <w:tblCellMar>
            <w:top w:w="0" w:type="dxa"/>
            <w:left w:w="108" w:type="dxa"/>
            <w:bottom w:w="0" w:type="dxa"/>
            <w:right w:w="108" w:type="dxa"/>
          </w:tblCellMar>
        </w:tblPrEx>
        <w:trPr>
          <w:trHeight w:val="499"/>
        </w:trPr>
        <w:tc>
          <w:tcPr>
            <w:tcW w:w="576" w:type="pct"/>
            <w:tcBorders>
              <w:top w:val="single" w:sz="4" w:space="0" w:color="auto"/>
              <w:left w:val="single" w:sz="4" w:space="0" w:color="auto"/>
              <w:bottom w:val="nil"/>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序号</w:t>
            </w:r>
          </w:p>
        </w:tc>
        <w:tc>
          <w:tcPr>
            <w:tcW w:w="1455" w:type="pct"/>
            <w:tcBorders>
              <w:top w:val="single" w:sz="4" w:space="0" w:color="auto"/>
              <w:left w:val="nil"/>
              <w:bottom w:val="nil"/>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岗位</w:t>
            </w:r>
          </w:p>
        </w:tc>
        <w:tc>
          <w:tcPr>
            <w:tcW w:w="970" w:type="pct"/>
            <w:tcBorders>
              <w:top w:val="single" w:sz="4" w:space="0" w:color="auto"/>
              <w:left w:val="nil"/>
              <w:bottom w:val="nil"/>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人数</w:t>
            </w:r>
          </w:p>
        </w:tc>
        <w:tc>
          <w:tcPr>
            <w:tcW w:w="2000" w:type="pct"/>
            <w:tcBorders>
              <w:top w:val="single" w:sz="4" w:space="0" w:color="auto"/>
              <w:left w:val="nil"/>
              <w:bottom w:val="nil"/>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备注</w:t>
            </w:r>
          </w:p>
        </w:tc>
      </w:tr>
      <w:tr>
        <w:tblPrEx>
          <w:tblW w:w="5000" w:type="pct"/>
          <w:tblInd w:w="0" w:type="dxa"/>
          <w:tblCellMar>
            <w:top w:w="0" w:type="dxa"/>
            <w:left w:w="108" w:type="dxa"/>
            <w:bottom w:w="0" w:type="dxa"/>
            <w:right w:w="108" w:type="dxa"/>
          </w:tblCellMar>
        </w:tblPrEx>
        <w:trPr>
          <w:trHeight w:val="499"/>
        </w:trPr>
        <w:tc>
          <w:tcPr>
            <w:tcW w:w="576" w:type="pct"/>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1</w:t>
            </w:r>
          </w:p>
        </w:tc>
        <w:tc>
          <w:tcPr>
            <w:tcW w:w="1455" w:type="pct"/>
            <w:tcBorders>
              <w:top w:val="single" w:sz="4" w:space="0" w:color="auto"/>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项目负责人</w:t>
            </w:r>
          </w:p>
        </w:tc>
        <w:tc>
          <w:tcPr>
            <w:tcW w:w="970" w:type="pct"/>
            <w:tcBorders>
              <w:top w:val="single" w:sz="4" w:space="0" w:color="auto"/>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1</w:t>
            </w:r>
          </w:p>
        </w:tc>
        <w:tc>
          <w:tcPr>
            <w:tcW w:w="2000" w:type="pct"/>
            <w:tcBorders>
              <w:top w:val="single" w:sz="4" w:space="0" w:color="auto"/>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8小时制、常白班</w:t>
            </w:r>
          </w:p>
        </w:tc>
      </w:tr>
      <w:tr>
        <w:tblPrEx>
          <w:tblW w:w="5000" w:type="pct"/>
          <w:tblInd w:w="0" w:type="dxa"/>
          <w:tblCellMar>
            <w:top w:w="0" w:type="dxa"/>
            <w:left w:w="108" w:type="dxa"/>
            <w:bottom w:w="0" w:type="dxa"/>
            <w:right w:w="108" w:type="dxa"/>
          </w:tblCellMar>
        </w:tblPrEx>
        <w:trPr>
          <w:trHeight w:val="499"/>
        </w:trPr>
        <w:tc>
          <w:tcPr>
            <w:tcW w:w="576" w:type="pct"/>
            <w:tcBorders>
              <w:top w:val="nil"/>
              <w:left w:val="single" w:sz="4" w:space="0" w:color="auto"/>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2</w:t>
            </w:r>
          </w:p>
        </w:tc>
        <w:tc>
          <w:tcPr>
            <w:tcW w:w="1455" w:type="pct"/>
            <w:tcBorders>
              <w:top w:val="nil"/>
              <w:left w:val="nil"/>
              <w:bottom w:val="single" w:sz="4" w:space="0" w:color="auto"/>
              <w:right w:val="single" w:sz="4" w:space="0" w:color="auto"/>
            </w:tcBorders>
            <w:vAlign w:val="center"/>
          </w:tcPr>
          <w:p>
            <w:pPr>
              <w:spacing w:line="360" w:lineRule="auto"/>
              <w:jc w:val="center"/>
              <w:rPr>
                <w:rFonts w:ascii="宋体" w:eastAsia="宋体" w:hAnsi="宋体" w:cs="宋体" w:hint="eastAsia"/>
                <w:szCs w:val="21"/>
                <w:lang w:eastAsia="zh-CN"/>
              </w:rPr>
            </w:pPr>
            <w:r>
              <w:rPr>
                <w:rFonts w:ascii="宋体" w:hAnsi="宋体" w:cs="宋体" w:hint="eastAsia"/>
                <w:szCs w:val="21"/>
                <w:lang w:eastAsia="zh-CN"/>
              </w:rPr>
              <w:t>安管主任</w:t>
            </w:r>
          </w:p>
        </w:tc>
        <w:tc>
          <w:tcPr>
            <w:tcW w:w="970" w:type="pct"/>
            <w:tcBorders>
              <w:top w:val="nil"/>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1</w:t>
            </w:r>
          </w:p>
        </w:tc>
        <w:tc>
          <w:tcPr>
            <w:tcW w:w="2000" w:type="pct"/>
            <w:tcBorders>
              <w:top w:val="nil"/>
              <w:left w:val="nil"/>
              <w:bottom w:val="single" w:sz="4" w:space="0" w:color="auto"/>
              <w:right w:val="single" w:sz="4" w:space="0" w:color="auto"/>
            </w:tcBorders>
          </w:tcPr>
          <w:p>
            <w:pPr>
              <w:spacing w:line="360" w:lineRule="auto"/>
              <w:jc w:val="center"/>
              <w:rPr>
                <w:rFonts w:ascii="宋体" w:hAnsi="宋体" w:cs="宋体" w:hint="eastAsia"/>
                <w:szCs w:val="21"/>
              </w:rPr>
            </w:pPr>
            <w:r>
              <w:rPr>
                <w:rFonts w:ascii="宋体" w:hAnsi="宋体" w:cs="宋体" w:hint="eastAsia"/>
                <w:szCs w:val="21"/>
              </w:rPr>
              <w:t>8小时制、常白班</w:t>
            </w:r>
          </w:p>
        </w:tc>
      </w:tr>
      <w:tr>
        <w:tblPrEx>
          <w:tblW w:w="5000" w:type="pct"/>
          <w:tblInd w:w="0" w:type="dxa"/>
          <w:tblCellMar>
            <w:top w:w="0" w:type="dxa"/>
            <w:left w:w="108" w:type="dxa"/>
            <w:bottom w:w="0" w:type="dxa"/>
            <w:right w:w="108" w:type="dxa"/>
          </w:tblCellMar>
        </w:tblPrEx>
        <w:trPr>
          <w:trHeight w:val="499"/>
        </w:trPr>
        <w:tc>
          <w:tcPr>
            <w:tcW w:w="576" w:type="pct"/>
            <w:tcBorders>
              <w:top w:val="nil"/>
              <w:left w:val="single" w:sz="4" w:space="0" w:color="auto"/>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3</w:t>
            </w:r>
          </w:p>
        </w:tc>
        <w:tc>
          <w:tcPr>
            <w:tcW w:w="1455" w:type="pct"/>
            <w:tcBorders>
              <w:top w:val="nil"/>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工程主任</w:t>
            </w:r>
          </w:p>
        </w:tc>
        <w:tc>
          <w:tcPr>
            <w:tcW w:w="970" w:type="pct"/>
            <w:tcBorders>
              <w:top w:val="nil"/>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1</w:t>
            </w:r>
          </w:p>
        </w:tc>
        <w:tc>
          <w:tcPr>
            <w:tcW w:w="2000" w:type="pct"/>
            <w:tcBorders>
              <w:top w:val="nil"/>
              <w:left w:val="nil"/>
              <w:bottom w:val="single" w:sz="4" w:space="0" w:color="auto"/>
              <w:right w:val="single" w:sz="4" w:space="0" w:color="auto"/>
            </w:tcBorders>
          </w:tcPr>
          <w:p>
            <w:pPr>
              <w:spacing w:line="360" w:lineRule="auto"/>
              <w:jc w:val="center"/>
              <w:rPr>
                <w:rFonts w:ascii="宋体" w:hAnsi="宋体" w:cs="宋体" w:hint="eastAsia"/>
                <w:szCs w:val="21"/>
              </w:rPr>
            </w:pPr>
            <w:r>
              <w:rPr>
                <w:rFonts w:ascii="宋体" w:hAnsi="宋体" w:cs="宋体" w:hint="eastAsia"/>
                <w:szCs w:val="21"/>
              </w:rPr>
              <w:t>8小时制、常白班</w:t>
            </w:r>
          </w:p>
        </w:tc>
      </w:tr>
      <w:tr>
        <w:tblPrEx>
          <w:tblW w:w="5000" w:type="pct"/>
          <w:tblInd w:w="0" w:type="dxa"/>
          <w:tblCellMar>
            <w:top w:w="0" w:type="dxa"/>
            <w:left w:w="108" w:type="dxa"/>
            <w:bottom w:w="0" w:type="dxa"/>
            <w:right w:w="108" w:type="dxa"/>
          </w:tblCellMar>
        </w:tblPrEx>
        <w:trPr>
          <w:trHeight w:val="499"/>
        </w:trPr>
        <w:tc>
          <w:tcPr>
            <w:tcW w:w="576" w:type="pct"/>
            <w:tcBorders>
              <w:top w:val="nil"/>
              <w:left w:val="single" w:sz="4" w:space="0" w:color="auto"/>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4</w:t>
            </w:r>
          </w:p>
        </w:tc>
        <w:tc>
          <w:tcPr>
            <w:tcW w:w="1455" w:type="pct"/>
            <w:tcBorders>
              <w:top w:val="nil"/>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环境主任</w:t>
            </w:r>
          </w:p>
        </w:tc>
        <w:tc>
          <w:tcPr>
            <w:tcW w:w="970" w:type="pct"/>
            <w:tcBorders>
              <w:top w:val="nil"/>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1</w:t>
            </w:r>
          </w:p>
        </w:tc>
        <w:tc>
          <w:tcPr>
            <w:tcW w:w="2000" w:type="pct"/>
            <w:tcBorders>
              <w:top w:val="nil"/>
              <w:left w:val="nil"/>
              <w:bottom w:val="single" w:sz="4" w:space="0" w:color="auto"/>
              <w:right w:val="single" w:sz="4" w:space="0" w:color="auto"/>
            </w:tcBorders>
          </w:tcPr>
          <w:p>
            <w:pPr>
              <w:spacing w:line="360" w:lineRule="auto"/>
              <w:jc w:val="center"/>
              <w:rPr>
                <w:rFonts w:ascii="宋体" w:hAnsi="宋体" w:cs="宋体" w:hint="eastAsia"/>
                <w:szCs w:val="21"/>
              </w:rPr>
            </w:pPr>
            <w:r>
              <w:rPr>
                <w:rFonts w:ascii="宋体" w:hAnsi="宋体" w:cs="宋体" w:hint="eastAsia"/>
                <w:szCs w:val="21"/>
              </w:rPr>
              <w:t>8小时制、常白班</w:t>
            </w:r>
          </w:p>
        </w:tc>
      </w:tr>
      <w:tr>
        <w:tblPrEx>
          <w:tblW w:w="5000" w:type="pct"/>
          <w:tblInd w:w="0" w:type="dxa"/>
          <w:tblCellMar>
            <w:top w:w="0" w:type="dxa"/>
            <w:left w:w="108" w:type="dxa"/>
            <w:bottom w:w="0" w:type="dxa"/>
            <w:right w:w="108" w:type="dxa"/>
          </w:tblCellMar>
        </w:tblPrEx>
        <w:trPr>
          <w:trHeight w:val="499"/>
        </w:trPr>
        <w:tc>
          <w:tcPr>
            <w:tcW w:w="576" w:type="pct"/>
            <w:tcBorders>
              <w:top w:val="nil"/>
              <w:left w:val="single" w:sz="4" w:space="0" w:color="auto"/>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5</w:t>
            </w:r>
          </w:p>
        </w:tc>
        <w:tc>
          <w:tcPr>
            <w:tcW w:w="1455" w:type="pct"/>
            <w:tcBorders>
              <w:top w:val="nil"/>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客服主任</w:t>
            </w:r>
          </w:p>
        </w:tc>
        <w:tc>
          <w:tcPr>
            <w:tcW w:w="970" w:type="pct"/>
            <w:tcBorders>
              <w:top w:val="nil"/>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1</w:t>
            </w:r>
          </w:p>
        </w:tc>
        <w:tc>
          <w:tcPr>
            <w:tcW w:w="2000" w:type="pct"/>
            <w:tcBorders>
              <w:top w:val="nil"/>
              <w:left w:val="nil"/>
              <w:bottom w:val="single" w:sz="4" w:space="0" w:color="auto"/>
              <w:right w:val="single" w:sz="4" w:space="0" w:color="auto"/>
            </w:tcBorders>
          </w:tcPr>
          <w:p>
            <w:pPr>
              <w:spacing w:line="360" w:lineRule="auto"/>
              <w:jc w:val="center"/>
              <w:rPr>
                <w:rFonts w:ascii="宋体" w:hAnsi="宋体" w:cs="宋体" w:hint="eastAsia"/>
                <w:szCs w:val="21"/>
              </w:rPr>
            </w:pPr>
            <w:r>
              <w:rPr>
                <w:rFonts w:ascii="宋体" w:hAnsi="宋体" w:cs="宋体" w:hint="eastAsia"/>
                <w:szCs w:val="21"/>
              </w:rPr>
              <w:t>8小时制、常白班</w:t>
            </w:r>
          </w:p>
        </w:tc>
      </w:tr>
      <w:tr>
        <w:tblPrEx>
          <w:tblW w:w="5000" w:type="pct"/>
          <w:tblInd w:w="0" w:type="dxa"/>
          <w:tblCellMar>
            <w:top w:w="0" w:type="dxa"/>
            <w:left w:w="108" w:type="dxa"/>
            <w:bottom w:w="0" w:type="dxa"/>
            <w:right w:w="108" w:type="dxa"/>
          </w:tblCellMar>
        </w:tblPrEx>
        <w:trPr>
          <w:trHeight w:val="499"/>
        </w:trPr>
        <w:tc>
          <w:tcPr>
            <w:tcW w:w="576" w:type="pct"/>
            <w:tcBorders>
              <w:top w:val="nil"/>
              <w:left w:val="single" w:sz="4" w:space="0" w:color="auto"/>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6</w:t>
            </w:r>
          </w:p>
        </w:tc>
        <w:tc>
          <w:tcPr>
            <w:tcW w:w="1455" w:type="pct"/>
            <w:tcBorders>
              <w:top w:val="nil"/>
              <w:left w:val="nil"/>
              <w:bottom w:val="single" w:sz="4" w:space="0" w:color="auto"/>
              <w:right w:val="single" w:sz="4" w:space="0" w:color="auto"/>
            </w:tcBorders>
            <w:vAlign w:val="center"/>
          </w:tcPr>
          <w:p>
            <w:pPr>
              <w:spacing w:line="360" w:lineRule="auto"/>
              <w:jc w:val="center"/>
              <w:rPr>
                <w:rFonts w:ascii="宋体" w:eastAsia="宋体" w:hAnsi="宋体" w:cs="宋体" w:hint="eastAsia"/>
                <w:szCs w:val="21"/>
                <w:lang w:eastAsia="zh-CN"/>
              </w:rPr>
            </w:pPr>
            <w:r>
              <w:rPr>
                <w:rFonts w:ascii="宋体" w:hAnsi="宋体" w:cs="宋体" w:hint="eastAsia"/>
                <w:szCs w:val="21"/>
                <w:lang w:eastAsia="zh-CN"/>
              </w:rPr>
              <w:t>会务主任</w:t>
            </w:r>
          </w:p>
        </w:tc>
        <w:tc>
          <w:tcPr>
            <w:tcW w:w="970" w:type="pct"/>
            <w:tcBorders>
              <w:top w:val="nil"/>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1</w:t>
            </w:r>
          </w:p>
        </w:tc>
        <w:tc>
          <w:tcPr>
            <w:tcW w:w="2000" w:type="pct"/>
            <w:tcBorders>
              <w:top w:val="nil"/>
              <w:left w:val="nil"/>
              <w:bottom w:val="single" w:sz="4" w:space="0" w:color="auto"/>
              <w:right w:val="single" w:sz="4" w:space="0" w:color="auto"/>
            </w:tcBorders>
          </w:tcPr>
          <w:p>
            <w:pPr>
              <w:spacing w:line="360" w:lineRule="auto"/>
              <w:jc w:val="center"/>
              <w:rPr>
                <w:rFonts w:ascii="宋体" w:hAnsi="宋体" w:cs="宋体" w:hint="eastAsia"/>
                <w:szCs w:val="21"/>
              </w:rPr>
            </w:pPr>
            <w:r>
              <w:rPr>
                <w:rFonts w:ascii="宋体" w:hAnsi="宋体" w:cs="宋体" w:hint="eastAsia"/>
                <w:szCs w:val="21"/>
              </w:rPr>
              <w:t>8小时制、常白班</w:t>
            </w:r>
          </w:p>
        </w:tc>
      </w:tr>
      <w:tr>
        <w:tblPrEx>
          <w:tblW w:w="5000" w:type="pct"/>
          <w:tblInd w:w="0" w:type="dxa"/>
          <w:tblCellMar>
            <w:top w:w="0" w:type="dxa"/>
            <w:left w:w="108" w:type="dxa"/>
            <w:bottom w:w="0" w:type="dxa"/>
            <w:right w:w="108" w:type="dxa"/>
          </w:tblCellMar>
        </w:tblPrEx>
        <w:trPr>
          <w:trHeight w:val="499"/>
        </w:trPr>
        <w:tc>
          <w:tcPr>
            <w:tcW w:w="2030" w:type="pct"/>
            <w:gridSpan w:val="2"/>
            <w:tcBorders>
              <w:top w:val="nil"/>
              <w:left w:val="single" w:sz="4" w:space="0" w:color="auto"/>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合计人数：</w:t>
            </w:r>
          </w:p>
        </w:tc>
        <w:tc>
          <w:tcPr>
            <w:tcW w:w="2970" w:type="pct"/>
            <w:gridSpan w:val="2"/>
            <w:tcBorders>
              <w:top w:val="nil"/>
              <w:left w:val="nil"/>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6人</w:t>
            </w:r>
          </w:p>
        </w:tc>
      </w:tr>
    </w:tbl>
    <w:p>
      <w:pPr>
        <w:tabs>
          <w:tab w:val="left" w:pos="800"/>
        </w:tabs>
        <w:snapToGrid w:val="0"/>
        <w:spacing w:line="360" w:lineRule="auto"/>
        <w:ind w:right="-874" w:rightChars="-416"/>
        <w:rPr>
          <w:rFonts w:ascii="宋体" w:hAnsi="宋体" w:hint="eastAsia"/>
          <w:b/>
          <w:bCs/>
          <w:szCs w:val="21"/>
        </w:rPr>
      </w:pPr>
      <w:r>
        <w:rPr>
          <w:rFonts w:ascii="宋体" w:hAnsi="宋体" w:hint="eastAsia"/>
          <w:b/>
          <w:bCs/>
          <w:szCs w:val="21"/>
        </w:rPr>
        <w:t>2、安全人员</w:t>
      </w:r>
    </w:p>
    <w:tbl>
      <w:tblPr>
        <w:tblStyle w:val="TableNormal"/>
        <w:tblW w:w="5000" w:type="pct"/>
        <w:tblInd w:w="0" w:type="dxa"/>
        <w:tblCellMar>
          <w:top w:w="0" w:type="dxa"/>
          <w:left w:w="108" w:type="dxa"/>
          <w:bottom w:w="0" w:type="dxa"/>
          <w:right w:w="108" w:type="dxa"/>
        </w:tblCellMar>
      </w:tblPr>
      <w:tblGrid>
        <w:gridCol w:w="1015"/>
        <w:gridCol w:w="2477"/>
        <w:gridCol w:w="1605"/>
        <w:gridCol w:w="3432"/>
      </w:tblGrid>
      <w:tr>
        <w:tblPrEx>
          <w:tblW w:w="5000" w:type="pct"/>
          <w:tblInd w:w="0" w:type="dxa"/>
          <w:tblCellMar>
            <w:top w:w="0" w:type="dxa"/>
            <w:left w:w="108" w:type="dxa"/>
            <w:bottom w:w="0" w:type="dxa"/>
            <w:right w:w="108" w:type="dxa"/>
          </w:tblCellMar>
        </w:tblPrEx>
        <w:trPr>
          <w:trHeight w:val="499"/>
        </w:trPr>
        <w:tc>
          <w:tcPr>
            <w:tcW w:w="595" w:type="pct"/>
            <w:tcBorders>
              <w:top w:val="single" w:sz="4" w:space="0" w:color="auto"/>
              <w:left w:val="single" w:sz="4" w:space="0" w:color="auto"/>
              <w:bottom w:val="nil"/>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序号</w:t>
            </w:r>
          </w:p>
        </w:tc>
        <w:tc>
          <w:tcPr>
            <w:tcW w:w="1452" w:type="pct"/>
            <w:tcBorders>
              <w:top w:val="single" w:sz="4" w:space="0" w:color="auto"/>
              <w:left w:val="nil"/>
              <w:bottom w:val="nil"/>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岗位</w:t>
            </w:r>
          </w:p>
        </w:tc>
        <w:tc>
          <w:tcPr>
            <w:tcW w:w="941" w:type="pct"/>
            <w:tcBorders>
              <w:top w:val="single" w:sz="4" w:space="0" w:color="auto"/>
              <w:left w:val="nil"/>
              <w:bottom w:val="nil"/>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人数</w:t>
            </w:r>
          </w:p>
        </w:tc>
        <w:tc>
          <w:tcPr>
            <w:tcW w:w="2012" w:type="pct"/>
            <w:tcBorders>
              <w:top w:val="single" w:sz="4" w:space="0" w:color="auto"/>
              <w:left w:val="nil"/>
              <w:bottom w:val="nil"/>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备注</w:t>
            </w:r>
          </w:p>
        </w:tc>
      </w:tr>
      <w:tr>
        <w:tblPrEx>
          <w:tblW w:w="5000" w:type="pct"/>
          <w:tblInd w:w="0" w:type="dxa"/>
          <w:tblCellMar>
            <w:top w:w="0" w:type="dxa"/>
            <w:left w:w="108" w:type="dxa"/>
            <w:bottom w:w="0" w:type="dxa"/>
            <w:right w:w="108" w:type="dxa"/>
          </w:tblCellMar>
        </w:tblPrEx>
        <w:trPr>
          <w:trHeight w:val="499"/>
        </w:trPr>
        <w:tc>
          <w:tcPr>
            <w:tcW w:w="595" w:type="pct"/>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1</w:t>
            </w:r>
          </w:p>
        </w:tc>
        <w:tc>
          <w:tcPr>
            <w:tcW w:w="1452" w:type="pct"/>
            <w:tcBorders>
              <w:top w:val="single" w:sz="4" w:space="0" w:color="auto"/>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安全人员</w:t>
            </w:r>
          </w:p>
        </w:tc>
        <w:tc>
          <w:tcPr>
            <w:tcW w:w="941" w:type="pct"/>
            <w:tcBorders>
              <w:top w:val="single" w:sz="4" w:space="0" w:color="auto"/>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szCs w:val="21"/>
              </w:rPr>
              <w:t>2</w:t>
            </w:r>
            <w:r>
              <w:rPr>
                <w:rFonts w:ascii="宋体" w:hAnsi="宋体" w:cs="宋体" w:hint="eastAsia"/>
                <w:szCs w:val="21"/>
              </w:rPr>
              <w:t>2</w:t>
            </w:r>
          </w:p>
        </w:tc>
        <w:tc>
          <w:tcPr>
            <w:tcW w:w="2012" w:type="pct"/>
            <w:tcBorders>
              <w:top w:val="single" w:sz="4" w:space="0" w:color="auto"/>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12小时，两班制</w:t>
            </w:r>
          </w:p>
        </w:tc>
      </w:tr>
      <w:tr>
        <w:tblPrEx>
          <w:tblW w:w="5000" w:type="pct"/>
          <w:tblInd w:w="0" w:type="dxa"/>
          <w:tblCellMar>
            <w:top w:w="0" w:type="dxa"/>
            <w:left w:w="108" w:type="dxa"/>
            <w:bottom w:w="0" w:type="dxa"/>
            <w:right w:w="108" w:type="dxa"/>
          </w:tblCellMar>
        </w:tblPrEx>
        <w:trPr>
          <w:trHeight w:val="499"/>
        </w:trPr>
        <w:tc>
          <w:tcPr>
            <w:tcW w:w="595" w:type="pct"/>
            <w:tcBorders>
              <w:top w:val="nil"/>
              <w:left w:val="single" w:sz="4" w:space="0" w:color="auto"/>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2</w:t>
            </w:r>
          </w:p>
        </w:tc>
        <w:tc>
          <w:tcPr>
            <w:tcW w:w="1452" w:type="pct"/>
            <w:tcBorders>
              <w:top w:val="nil"/>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消防人员</w:t>
            </w:r>
          </w:p>
        </w:tc>
        <w:tc>
          <w:tcPr>
            <w:tcW w:w="941" w:type="pct"/>
            <w:tcBorders>
              <w:top w:val="nil"/>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szCs w:val="21"/>
              </w:rPr>
              <w:t>6</w:t>
            </w:r>
          </w:p>
        </w:tc>
        <w:tc>
          <w:tcPr>
            <w:tcW w:w="2012" w:type="pct"/>
            <w:tcBorders>
              <w:top w:val="nil"/>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8小时，三班制</w:t>
            </w:r>
          </w:p>
        </w:tc>
      </w:tr>
      <w:tr>
        <w:tblPrEx>
          <w:tblW w:w="5000" w:type="pct"/>
          <w:tblInd w:w="0" w:type="dxa"/>
          <w:tblCellMar>
            <w:top w:w="0" w:type="dxa"/>
            <w:left w:w="108" w:type="dxa"/>
            <w:bottom w:w="0" w:type="dxa"/>
            <w:right w:w="108" w:type="dxa"/>
          </w:tblCellMar>
        </w:tblPrEx>
        <w:trPr>
          <w:trHeight w:val="499"/>
        </w:trPr>
        <w:tc>
          <w:tcPr>
            <w:tcW w:w="2047" w:type="pct"/>
            <w:gridSpan w:val="2"/>
            <w:tcBorders>
              <w:top w:val="nil"/>
              <w:left w:val="single" w:sz="4" w:space="0" w:color="auto"/>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合计人数：</w:t>
            </w:r>
          </w:p>
        </w:tc>
        <w:tc>
          <w:tcPr>
            <w:tcW w:w="941" w:type="pct"/>
            <w:tcBorders>
              <w:top w:val="nil"/>
              <w:left w:val="nil"/>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28人</w:t>
            </w:r>
          </w:p>
        </w:tc>
        <w:tc>
          <w:tcPr>
            <w:tcW w:w="2012" w:type="pct"/>
            <w:tcBorders>
              <w:top w:val="nil"/>
              <w:left w:val="nil"/>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b/>
                <w:bCs/>
                <w:szCs w:val="21"/>
              </w:rPr>
              <w:t xml:space="preserve"> </w:t>
            </w:r>
          </w:p>
        </w:tc>
      </w:tr>
    </w:tbl>
    <w:p>
      <w:pPr>
        <w:tabs>
          <w:tab w:val="left" w:pos="800"/>
        </w:tabs>
        <w:snapToGrid w:val="0"/>
        <w:spacing w:line="360" w:lineRule="auto"/>
        <w:ind w:right="-874" w:rightChars="-416"/>
        <w:rPr>
          <w:rFonts w:ascii="宋体" w:hAnsi="宋体" w:hint="eastAsia"/>
          <w:b/>
          <w:bCs/>
          <w:szCs w:val="21"/>
        </w:rPr>
      </w:pPr>
      <w:r>
        <w:rPr>
          <w:rFonts w:ascii="宋体" w:hAnsi="宋体" w:hint="eastAsia"/>
          <w:b/>
          <w:bCs/>
          <w:szCs w:val="21"/>
        </w:rPr>
        <w:t>3、维修人员</w:t>
      </w:r>
    </w:p>
    <w:tbl>
      <w:tblPr>
        <w:tblStyle w:val="TableNormal"/>
        <w:tblW w:w="5000" w:type="pct"/>
        <w:tblInd w:w="0" w:type="dxa"/>
        <w:tblCellMar>
          <w:top w:w="0" w:type="dxa"/>
          <w:left w:w="108" w:type="dxa"/>
          <w:bottom w:w="0" w:type="dxa"/>
          <w:right w:w="108" w:type="dxa"/>
        </w:tblCellMar>
      </w:tblPr>
      <w:tblGrid>
        <w:gridCol w:w="1015"/>
        <w:gridCol w:w="2479"/>
        <w:gridCol w:w="1603"/>
        <w:gridCol w:w="3432"/>
      </w:tblGrid>
      <w:tr>
        <w:tblPrEx>
          <w:tblW w:w="5000" w:type="pct"/>
          <w:tblInd w:w="0" w:type="dxa"/>
          <w:tblCellMar>
            <w:top w:w="0" w:type="dxa"/>
            <w:left w:w="108" w:type="dxa"/>
            <w:bottom w:w="0" w:type="dxa"/>
            <w:right w:w="108" w:type="dxa"/>
          </w:tblCellMar>
        </w:tblPrEx>
        <w:trPr>
          <w:trHeight w:val="499"/>
        </w:trPr>
        <w:tc>
          <w:tcPr>
            <w:tcW w:w="595" w:type="pct"/>
            <w:tcBorders>
              <w:top w:val="single" w:sz="4" w:space="0" w:color="auto"/>
              <w:left w:val="single" w:sz="4" w:space="0" w:color="auto"/>
              <w:bottom w:val="nil"/>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序号</w:t>
            </w:r>
          </w:p>
        </w:tc>
        <w:tc>
          <w:tcPr>
            <w:tcW w:w="1453" w:type="pct"/>
            <w:tcBorders>
              <w:top w:val="single" w:sz="4" w:space="0" w:color="auto"/>
              <w:left w:val="nil"/>
              <w:bottom w:val="nil"/>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岗位</w:t>
            </w:r>
          </w:p>
        </w:tc>
        <w:tc>
          <w:tcPr>
            <w:tcW w:w="940" w:type="pct"/>
            <w:tcBorders>
              <w:top w:val="single" w:sz="4" w:space="0" w:color="auto"/>
              <w:left w:val="nil"/>
              <w:bottom w:val="nil"/>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人数</w:t>
            </w:r>
          </w:p>
        </w:tc>
        <w:tc>
          <w:tcPr>
            <w:tcW w:w="2012" w:type="pct"/>
            <w:tcBorders>
              <w:top w:val="single" w:sz="4" w:space="0" w:color="auto"/>
              <w:left w:val="nil"/>
              <w:bottom w:val="nil"/>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备注</w:t>
            </w:r>
          </w:p>
        </w:tc>
      </w:tr>
      <w:tr>
        <w:tblPrEx>
          <w:tblW w:w="5000" w:type="pct"/>
          <w:tblInd w:w="0" w:type="dxa"/>
          <w:tblCellMar>
            <w:top w:w="0" w:type="dxa"/>
            <w:left w:w="108" w:type="dxa"/>
            <w:bottom w:w="0" w:type="dxa"/>
            <w:right w:w="108" w:type="dxa"/>
          </w:tblCellMar>
        </w:tblPrEx>
        <w:trPr>
          <w:trHeight w:val="499"/>
        </w:trPr>
        <w:tc>
          <w:tcPr>
            <w:tcW w:w="595" w:type="pct"/>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1</w:t>
            </w:r>
          </w:p>
        </w:tc>
        <w:tc>
          <w:tcPr>
            <w:tcW w:w="1453" w:type="pct"/>
            <w:tcBorders>
              <w:top w:val="single" w:sz="4" w:space="0" w:color="auto"/>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维修工</w:t>
            </w:r>
          </w:p>
        </w:tc>
        <w:tc>
          <w:tcPr>
            <w:tcW w:w="940" w:type="pct"/>
            <w:tcBorders>
              <w:top w:val="single" w:sz="4" w:space="0" w:color="auto"/>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25</w:t>
            </w:r>
          </w:p>
        </w:tc>
        <w:tc>
          <w:tcPr>
            <w:tcW w:w="2012" w:type="pct"/>
            <w:tcBorders>
              <w:top w:val="single" w:sz="4" w:space="0" w:color="auto"/>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8小时，三班制</w:t>
            </w:r>
          </w:p>
        </w:tc>
      </w:tr>
      <w:tr>
        <w:tblPrEx>
          <w:tblW w:w="5000" w:type="pct"/>
          <w:tblInd w:w="0" w:type="dxa"/>
          <w:tblCellMar>
            <w:top w:w="0" w:type="dxa"/>
            <w:left w:w="108" w:type="dxa"/>
            <w:bottom w:w="0" w:type="dxa"/>
            <w:right w:w="108" w:type="dxa"/>
          </w:tblCellMar>
        </w:tblPrEx>
        <w:trPr>
          <w:trHeight w:val="499"/>
        </w:trPr>
        <w:tc>
          <w:tcPr>
            <w:tcW w:w="2048" w:type="pct"/>
            <w:gridSpan w:val="2"/>
            <w:tcBorders>
              <w:top w:val="nil"/>
              <w:left w:val="single" w:sz="4" w:space="0" w:color="auto"/>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合计人数：</w:t>
            </w:r>
          </w:p>
        </w:tc>
        <w:tc>
          <w:tcPr>
            <w:tcW w:w="940" w:type="pct"/>
            <w:tcBorders>
              <w:top w:val="nil"/>
              <w:left w:val="nil"/>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b/>
                <w:bCs/>
                <w:szCs w:val="21"/>
              </w:rPr>
              <w:t>2</w:t>
            </w:r>
            <w:r>
              <w:rPr>
                <w:rFonts w:ascii="宋体" w:hAnsi="宋体" w:cs="宋体" w:hint="eastAsia"/>
                <w:b/>
                <w:bCs/>
                <w:szCs w:val="21"/>
              </w:rPr>
              <w:t>5人</w:t>
            </w:r>
          </w:p>
        </w:tc>
        <w:tc>
          <w:tcPr>
            <w:tcW w:w="2012" w:type="pct"/>
            <w:tcBorders>
              <w:top w:val="nil"/>
              <w:left w:val="nil"/>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　</w:t>
            </w:r>
          </w:p>
        </w:tc>
      </w:tr>
    </w:tbl>
    <w:p>
      <w:pPr>
        <w:numPr>
          <w:ilvl w:val="0"/>
          <w:numId w:val="52"/>
        </w:numPr>
        <w:spacing w:line="360" w:lineRule="auto"/>
        <w:ind w:left="13" w:hanging="222"/>
        <w:rPr>
          <w:rFonts w:ascii="宋体" w:hAnsi="宋体" w:cs="宋体" w:hint="eastAsia"/>
          <w:b/>
          <w:bCs/>
          <w:szCs w:val="21"/>
        </w:rPr>
      </w:pPr>
      <w:r>
        <w:rPr>
          <w:rFonts w:ascii="宋体" w:hAnsi="宋体" w:cs="宋体" w:hint="eastAsia"/>
          <w:b/>
          <w:bCs/>
          <w:szCs w:val="21"/>
        </w:rPr>
        <w:t>清洁绿化人员</w:t>
      </w:r>
    </w:p>
    <w:tbl>
      <w:tblPr>
        <w:tblStyle w:val="TableNormal"/>
        <w:tblW w:w="5000" w:type="pct"/>
        <w:tblInd w:w="0" w:type="dxa"/>
        <w:tblCellMar>
          <w:top w:w="0" w:type="dxa"/>
          <w:left w:w="108" w:type="dxa"/>
          <w:bottom w:w="0" w:type="dxa"/>
          <w:right w:w="108" w:type="dxa"/>
        </w:tblCellMar>
      </w:tblPr>
      <w:tblGrid>
        <w:gridCol w:w="1015"/>
        <w:gridCol w:w="2473"/>
        <w:gridCol w:w="1609"/>
        <w:gridCol w:w="3432"/>
      </w:tblGrid>
      <w:tr>
        <w:tblPrEx>
          <w:tblW w:w="5000" w:type="pct"/>
          <w:tblInd w:w="0" w:type="dxa"/>
          <w:tblCellMar>
            <w:top w:w="0" w:type="dxa"/>
            <w:left w:w="108" w:type="dxa"/>
            <w:bottom w:w="0" w:type="dxa"/>
            <w:right w:w="108" w:type="dxa"/>
          </w:tblCellMar>
        </w:tblPrEx>
        <w:trPr>
          <w:trHeight w:val="499"/>
        </w:trPr>
        <w:tc>
          <w:tcPr>
            <w:tcW w:w="595" w:type="pct"/>
            <w:tcBorders>
              <w:top w:val="single" w:sz="4" w:space="0" w:color="auto"/>
              <w:left w:val="single" w:sz="4" w:space="0" w:color="auto"/>
              <w:bottom w:val="nil"/>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序号</w:t>
            </w:r>
          </w:p>
        </w:tc>
        <w:tc>
          <w:tcPr>
            <w:tcW w:w="1450" w:type="pct"/>
            <w:tcBorders>
              <w:top w:val="single" w:sz="4" w:space="0" w:color="auto"/>
              <w:left w:val="nil"/>
              <w:bottom w:val="nil"/>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岗位</w:t>
            </w:r>
          </w:p>
        </w:tc>
        <w:tc>
          <w:tcPr>
            <w:tcW w:w="943" w:type="pct"/>
            <w:tcBorders>
              <w:top w:val="single" w:sz="4" w:space="0" w:color="auto"/>
              <w:left w:val="nil"/>
              <w:bottom w:val="nil"/>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人数</w:t>
            </w:r>
          </w:p>
        </w:tc>
        <w:tc>
          <w:tcPr>
            <w:tcW w:w="2012" w:type="pct"/>
            <w:tcBorders>
              <w:top w:val="single" w:sz="4" w:space="0" w:color="auto"/>
              <w:left w:val="nil"/>
              <w:bottom w:val="nil"/>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备注</w:t>
            </w:r>
          </w:p>
        </w:tc>
      </w:tr>
      <w:tr>
        <w:tblPrEx>
          <w:tblW w:w="5000" w:type="pct"/>
          <w:tblInd w:w="0" w:type="dxa"/>
          <w:tblCellMar>
            <w:top w:w="0" w:type="dxa"/>
            <w:left w:w="108" w:type="dxa"/>
            <w:bottom w:w="0" w:type="dxa"/>
            <w:right w:w="108" w:type="dxa"/>
          </w:tblCellMar>
        </w:tblPrEx>
        <w:trPr>
          <w:trHeight w:val="499"/>
        </w:trPr>
        <w:tc>
          <w:tcPr>
            <w:tcW w:w="595" w:type="pct"/>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1</w:t>
            </w:r>
          </w:p>
        </w:tc>
        <w:tc>
          <w:tcPr>
            <w:tcW w:w="1450" w:type="pct"/>
            <w:tcBorders>
              <w:top w:val="single" w:sz="4" w:space="0" w:color="auto"/>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绿化工</w:t>
            </w:r>
          </w:p>
        </w:tc>
        <w:tc>
          <w:tcPr>
            <w:tcW w:w="943" w:type="pct"/>
            <w:tcBorders>
              <w:top w:val="single" w:sz="4" w:space="0" w:color="auto"/>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2</w:t>
            </w:r>
          </w:p>
        </w:tc>
        <w:tc>
          <w:tcPr>
            <w:tcW w:w="2012" w:type="pct"/>
            <w:tcBorders>
              <w:top w:val="single" w:sz="4" w:space="0" w:color="auto"/>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8小时制、常白班</w:t>
            </w:r>
          </w:p>
        </w:tc>
      </w:tr>
      <w:tr>
        <w:tblPrEx>
          <w:tblW w:w="5000" w:type="pct"/>
          <w:tblInd w:w="0" w:type="dxa"/>
          <w:tblCellMar>
            <w:top w:w="0" w:type="dxa"/>
            <w:left w:w="108" w:type="dxa"/>
            <w:bottom w:w="0" w:type="dxa"/>
            <w:right w:w="108" w:type="dxa"/>
          </w:tblCellMar>
        </w:tblPrEx>
        <w:trPr>
          <w:trHeight w:val="499"/>
        </w:trPr>
        <w:tc>
          <w:tcPr>
            <w:tcW w:w="595" w:type="pct"/>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2</w:t>
            </w:r>
          </w:p>
        </w:tc>
        <w:tc>
          <w:tcPr>
            <w:tcW w:w="1450" w:type="pct"/>
            <w:tcBorders>
              <w:top w:val="single" w:sz="4" w:space="0" w:color="auto"/>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清洁工</w:t>
            </w:r>
          </w:p>
        </w:tc>
        <w:tc>
          <w:tcPr>
            <w:tcW w:w="943" w:type="pct"/>
            <w:tcBorders>
              <w:top w:val="single" w:sz="4" w:space="0" w:color="auto"/>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33</w:t>
            </w:r>
          </w:p>
        </w:tc>
        <w:tc>
          <w:tcPr>
            <w:tcW w:w="2012" w:type="pct"/>
            <w:tcBorders>
              <w:top w:val="single" w:sz="4" w:space="0" w:color="auto"/>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8小时制、常白班</w:t>
            </w:r>
          </w:p>
        </w:tc>
      </w:tr>
      <w:tr>
        <w:tblPrEx>
          <w:tblW w:w="5000" w:type="pct"/>
          <w:tblInd w:w="0" w:type="dxa"/>
          <w:tblCellMar>
            <w:top w:w="0" w:type="dxa"/>
            <w:left w:w="108" w:type="dxa"/>
            <w:bottom w:w="0" w:type="dxa"/>
            <w:right w:w="108" w:type="dxa"/>
          </w:tblCellMar>
        </w:tblPrEx>
        <w:trPr>
          <w:trHeight w:val="499"/>
        </w:trPr>
        <w:tc>
          <w:tcPr>
            <w:tcW w:w="2045" w:type="pct"/>
            <w:gridSpan w:val="2"/>
            <w:tcBorders>
              <w:top w:val="nil"/>
              <w:left w:val="single" w:sz="4" w:space="0" w:color="auto"/>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合计人数：</w:t>
            </w:r>
          </w:p>
        </w:tc>
        <w:tc>
          <w:tcPr>
            <w:tcW w:w="943" w:type="pct"/>
            <w:tcBorders>
              <w:top w:val="nil"/>
              <w:left w:val="nil"/>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35人</w:t>
            </w:r>
          </w:p>
        </w:tc>
        <w:tc>
          <w:tcPr>
            <w:tcW w:w="2012" w:type="pct"/>
            <w:tcBorders>
              <w:top w:val="nil"/>
              <w:left w:val="nil"/>
              <w:bottom w:val="single" w:sz="4" w:space="0" w:color="auto"/>
              <w:right w:val="single" w:sz="4" w:space="0" w:color="auto"/>
            </w:tcBorders>
            <w:vAlign w:val="center"/>
          </w:tcPr>
          <w:p>
            <w:pPr>
              <w:spacing w:line="360" w:lineRule="auto"/>
              <w:jc w:val="center"/>
              <w:rPr>
                <w:rFonts w:ascii="宋体" w:hAnsi="宋体" w:cs="宋体" w:hint="eastAsia"/>
                <w:b/>
                <w:bCs/>
                <w:szCs w:val="21"/>
              </w:rPr>
            </w:pPr>
          </w:p>
        </w:tc>
      </w:tr>
    </w:tbl>
    <w:p>
      <w:pPr>
        <w:tabs>
          <w:tab w:val="left" w:pos="800"/>
        </w:tabs>
        <w:snapToGrid w:val="0"/>
        <w:spacing w:line="360" w:lineRule="auto"/>
        <w:ind w:right="-874" w:rightChars="-416"/>
        <w:rPr>
          <w:rFonts w:ascii="宋体" w:hAnsi="宋体" w:hint="eastAsia"/>
          <w:b/>
          <w:bCs/>
          <w:szCs w:val="21"/>
        </w:rPr>
      </w:pPr>
      <w:r>
        <w:rPr>
          <w:rFonts w:ascii="宋体" w:hAnsi="宋体"/>
          <w:b/>
          <w:bCs/>
          <w:szCs w:val="21"/>
        </w:rPr>
        <w:t>5</w:t>
      </w:r>
      <w:r>
        <w:rPr>
          <w:rFonts w:ascii="宋体" w:hAnsi="宋体" w:hint="eastAsia"/>
          <w:b/>
          <w:bCs/>
          <w:szCs w:val="21"/>
        </w:rPr>
        <w:t>、客服人员</w:t>
      </w:r>
    </w:p>
    <w:tbl>
      <w:tblPr>
        <w:tblStyle w:val="TableNormal"/>
        <w:tblW w:w="5000" w:type="pct"/>
        <w:tblInd w:w="0" w:type="dxa"/>
        <w:tblCellMar>
          <w:top w:w="0" w:type="dxa"/>
          <w:left w:w="108" w:type="dxa"/>
          <w:bottom w:w="0" w:type="dxa"/>
          <w:right w:w="108" w:type="dxa"/>
        </w:tblCellMar>
      </w:tblPr>
      <w:tblGrid>
        <w:gridCol w:w="1015"/>
        <w:gridCol w:w="2479"/>
        <w:gridCol w:w="1603"/>
        <w:gridCol w:w="3432"/>
      </w:tblGrid>
      <w:tr>
        <w:tblPrEx>
          <w:tblW w:w="5000" w:type="pct"/>
          <w:tblInd w:w="0" w:type="dxa"/>
          <w:tblCellMar>
            <w:top w:w="0" w:type="dxa"/>
            <w:left w:w="108" w:type="dxa"/>
            <w:bottom w:w="0" w:type="dxa"/>
            <w:right w:w="108" w:type="dxa"/>
          </w:tblCellMar>
        </w:tblPrEx>
        <w:trPr>
          <w:trHeight w:val="499"/>
        </w:trPr>
        <w:tc>
          <w:tcPr>
            <w:tcW w:w="595" w:type="pct"/>
            <w:tcBorders>
              <w:top w:val="single" w:sz="4" w:space="0" w:color="auto"/>
              <w:left w:val="single" w:sz="4" w:space="0" w:color="auto"/>
              <w:bottom w:val="nil"/>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序号</w:t>
            </w:r>
          </w:p>
        </w:tc>
        <w:tc>
          <w:tcPr>
            <w:tcW w:w="1453" w:type="pct"/>
            <w:tcBorders>
              <w:top w:val="single" w:sz="4" w:space="0" w:color="auto"/>
              <w:left w:val="nil"/>
              <w:bottom w:val="nil"/>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岗位</w:t>
            </w:r>
          </w:p>
        </w:tc>
        <w:tc>
          <w:tcPr>
            <w:tcW w:w="940" w:type="pct"/>
            <w:tcBorders>
              <w:top w:val="single" w:sz="4" w:space="0" w:color="auto"/>
              <w:left w:val="nil"/>
              <w:bottom w:val="nil"/>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人数</w:t>
            </w:r>
          </w:p>
        </w:tc>
        <w:tc>
          <w:tcPr>
            <w:tcW w:w="2012" w:type="pct"/>
            <w:tcBorders>
              <w:top w:val="single" w:sz="4" w:space="0" w:color="auto"/>
              <w:left w:val="nil"/>
              <w:bottom w:val="nil"/>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备注</w:t>
            </w:r>
          </w:p>
        </w:tc>
      </w:tr>
      <w:tr>
        <w:tblPrEx>
          <w:tblW w:w="5000" w:type="pct"/>
          <w:tblInd w:w="0" w:type="dxa"/>
          <w:tblCellMar>
            <w:top w:w="0" w:type="dxa"/>
            <w:left w:w="108" w:type="dxa"/>
            <w:bottom w:w="0" w:type="dxa"/>
            <w:right w:w="108" w:type="dxa"/>
          </w:tblCellMar>
        </w:tblPrEx>
        <w:trPr>
          <w:trHeight w:val="499"/>
        </w:trPr>
        <w:tc>
          <w:tcPr>
            <w:tcW w:w="595" w:type="pct"/>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1</w:t>
            </w:r>
          </w:p>
        </w:tc>
        <w:tc>
          <w:tcPr>
            <w:tcW w:w="1453" w:type="pct"/>
            <w:tcBorders>
              <w:top w:val="single" w:sz="4" w:space="0" w:color="auto"/>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客服人员</w:t>
            </w:r>
          </w:p>
        </w:tc>
        <w:tc>
          <w:tcPr>
            <w:tcW w:w="940" w:type="pct"/>
            <w:tcBorders>
              <w:top w:val="single" w:sz="4" w:space="0" w:color="auto"/>
              <w:left w:val="nil"/>
              <w:bottom w:val="single" w:sz="4" w:space="0" w:color="auto"/>
              <w:right w:val="single" w:sz="4" w:space="0" w:color="auto"/>
            </w:tcBorders>
            <w:vAlign w:val="center"/>
          </w:tcPr>
          <w:p>
            <w:pPr>
              <w:spacing w:line="360" w:lineRule="auto"/>
              <w:jc w:val="center"/>
              <w:rPr>
                <w:rFonts w:ascii="宋体" w:eastAsia="宋体" w:hAnsi="宋体" w:cs="宋体" w:hint="default"/>
                <w:szCs w:val="21"/>
                <w:lang w:val="en-US" w:eastAsia="zh-CN"/>
              </w:rPr>
            </w:pPr>
            <w:r>
              <w:rPr>
                <w:rFonts w:ascii="宋体" w:hAnsi="宋体" w:cs="宋体" w:hint="eastAsia"/>
                <w:szCs w:val="21"/>
                <w:lang w:val="en-US" w:eastAsia="zh-CN"/>
              </w:rPr>
              <w:t>10</w:t>
            </w:r>
          </w:p>
        </w:tc>
        <w:tc>
          <w:tcPr>
            <w:tcW w:w="2012" w:type="pct"/>
            <w:tcBorders>
              <w:top w:val="single" w:sz="4" w:space="0" w:color="auto"/>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8小时制、常白班</w:t>
            </w:r>
          </w:p>
        </w:tc>
      </w:tr>
      <w:tr>
        <w:tblPrEx>
          <w:tblW w:w="5000" w:type="pct"/>
          <w:tblInd w:w="0" w:type="dxa"/>
          <w:tblCellMar>
            <w:top w:w="0" w:type="dxa"/>
            <w:left w:w="108" w:type="dxa"/>
            <w:bottom w:w="0" w:type="dxa"/>
            <w:right w:w="108" w:type="dxa"/>
          </w:tblCellMar>
        </w:tblPrEx>
        <w:trPr>
          <w:trHeight w:val="499"/>
        </w:trPr>
        <w:tc>
          <w:tcPr>
            <w:tcW w:w="595" w:type="pct"/>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2</w:t>
            </w:r>
          </w:p>
        </w:tc>
        <w:tc>
          <w:tcPr>
            <w:tcW w:w="1453" w:type="pct"/>
            <w:tcBorders>
              <w:top w:val="single" w:sz="4" w:space="0" w:color="auto"/>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宿管员、服务员</w:t>
            </w:r>
          </w:p>
        </w:tc>
        <w:tc>
          <w:tcPr>
            <w:tcW w:w="940" w:type="pct"/>
            <w:tcBorders>
              <w:top w:val="single" w:sz="4" w:space="0" w:color="auto"/>
              <w:left w:val="nil"/>
              <w:bottom w:val="single" w:sz="4" w:space="0" w:color="auto"/>
              <w:right w:val="single" w:sz="4" w:space="0" w:color="auto"/>
            </w:tcBorders>
            <w:vAlign w:val="center"/>
          </w:tcPr>
          <w:p>
            <w:pPr>
              <w:spacing w:line="360" w:lineRule="auto"/>
              <w:jc w:val="center"/>
              <w:rPr>
                <w:rFonts w:ascii="宋体" w:eastAsia="宋体" w:hAnsi="宋体" w:cs="宋体" w:hint="default"/>
                <w:szCs w:val="21"/>
                <w:lang w:val="en-US" w:eastAsia="zh-CN"/>
              </w:rPr>
            </w:pPr>
            <w:r>
              <w:rPr>
                <w:rFonts w:ascii="宋体" w:hAnsi="宋体" w:cs="宋体" w:hint="eastAsia"/>
                <w:szCs w:val="21"/>
                <w:lang w:val="en-US" w:eastAsia="zh-CN"/>
              </w:rPr>
              <w:t>14</w:t>
            </w:r>
          </w:p>
        </w:tc>
        <w:tc>
          <w:tcPr>
            <w:tcW w:w="2012" w:type="pct"/>
            <w:tcBorders>
              <w:top w:val="single" w:sz="4" w:space="0" w:color="auto"/>
              <w:left w:val="nil"/>
              <w:bottom w:val="single" w:sz="4" w:space="0" w:color="auto"/>
              <w:right w:val="single" w:sz="4" w:space="0" w:color="auto"/>
            </w:tcBorders>
            <w:vAlign w:val="center"/>
          </w:tcPr>
          <w:p>
            <w:pPr>
              <w:spacing w:line="360" w:lineRule="auto"/>
              <w:jc w:val="center"/>
              <w:rPr>
                <w:rFonts w:ascii="宋体" w:hAnsi="宋体" w:cs="宋体" w:hint="eastAsia"/>
                <w:szCs w:val="21"/>
              </w:rPr>
            </w:pPr>
            <w:r>
              <w:rPr>
                <w:rFonts w:ascii="宋体" w:hAnsi="宋体" w:cs="宋体" w:hint="eastAsia"/>
                <w:szCs w:val="21"/>
              </w:rPr>
              <w:t>8小时三班制</w:t>
            </w:r>
          </w:p>
        </w:tc>
      </w:tr>
      <w:tr>
        <w:tblPrEx>
          <w:tblW w:w="5000" w:type="pct"/>
          <w:tblInd w:w="0" w:type="dxa"/>
          <w:tblCellMar>
            <w:top w:w="0" w:type="dxa"/>
            <w:left w:w="108" w:type="dxa"/>
            <w:bottom w:w="0" w:type="dxa"/>
            <w:right w:w="108" w:type="dxa"/>
          </w:tblCellMar>
        </w:tblPrEx>
        <w:trPr>
          <w:trHeight w:val="499"/>
        </w:trPr>
        <w:tc>
          <w:tcPr>
            <w:tcW w:w="2048" w:type="pct"/>
            <w:gridSpan w:val="2"/>
            <w:tcBorders>
              <w:top w:val="nil"/>
              <w:left w:val="single" w:sz="4" w:space="0" w:color="auto"/>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合计人数：</w:t>
            </w:r>
          </w:p>
        </w:tc>
        <w:tc>
          <w:tcPr>
            <w:tcW w:w="940" w:type="pct"/>
            <w:tcBorders>
              <w:top w:val="nil"/>
              <w:left w:val="nil"/>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lang w:val="en-US" w:eastAsia="zh-CN"/>
              </w:rPr>
              <w:t>24</w:t>
            </w:r>
            <w:r>
              <w:rPr>
                <w:rFonts w:ascii="宋体" w:hAnsi="宋体" w:cs="宋体" w:hint="eastAsia"/>
                <w:b/>
                <w:bCs/>
                <w:szCs w:val="21"/>
              </w:rPr>
              <w:t>人</w:t>
            </w:r>
          </w:p>
        </w:tc>
        <w:tc>
          <w:tcPr>
            <w:tcW w:w="2012" w:type="pct"/>
            <w:tcBorders>
              <w:top w:val="nil"/>
              <w:left w:val="nil"/>
              <w:bottom w:val="single" w:sz="4" w:space="0" w:color="auto"/>
              <w:right w:val="single" w:sz="4" w:space="0" w:color="auto"/>
            </w:tcBorders>
            <w:vAlign w:val="center"/>
          </w:tcPr>
          <w:p>
            <w:pPr>
              <w:spacing w:line="360" w:lineRule="auto"/>
              <w:jc w:val="center"/>
              <w:rPr>
                <w:rFonts w:ascii="宋体" w:hAnsi="宋体" w:cs="宋体" w:hint="eastAsia"/>
                <w:b/>
                <w:bCs/>
                <w:szCs w:val="21"/>
              </w:rPr>
            </w:pPr>
            <w:r>
              <w:rPr>
                <w:rFonts w:ascii="宋体" w:hAnsi="宋体" w:cs="宋体" w:hint="eastAsia"/>
                <w:b/>
                <w:bCs/>
                <w:szCs w:val="21"/>
              </w:rPr>
              <w:t>　</w:t>
            </w:r>
          </w:p>
        </w:tc>
      </w:tr>
    </w:tbl>
    <w:p>
      <w:pPr>
        <w:spacing w:line="360" w:lineRule="auto"/>
        <w:rPr>
          <w:rFonts w:ascii="宋体" w:hAnsi="宋体" w:cs="宋体" w:hint="eastAsia"/>
          <w:color w:val="FF0000"/>
          <w:szCs w:val="21"/>
          <w:lang w:val="zh-CN" w:bidi="zh-CN"/>
        </w:rPr>
      </w:pPr>
    </w:p>
    <w:p>
      <w:pPr>
        <w:widowControl/>
        <w:spacing w:line="360" w:lineRule="auto"/>
        <w:jc w:val="left"/>
        <w:rPr>
          <w:b/>
          <w:szCs w:val="21"/>
        </w:rPr>
      </w:pPr>
      <w:r>
        <w:rPr>
          <w:rFonts w:hint="eastAsia"/>
          <w:b/>
          <w:szCs w:val="21"/>
        </w:rPr>
        <w:t>附件3：《质量考核验收标准及违约金》</w:t>
      </w:r>
    </w:p>
    <w:p>
      <w:pPr>
        <w:spacing w:line="360" w:lineRule="auto"/>
        <w:ind w:firstLine="420" w:firstLineChars="200"/>
        <w:rPr>
          <w:rFonts w:ascii="宋体" w:hAnsi="宋体" w:hint="eastAsia"/>
          <w:szCs w:val="21"/>
        </w:rPr>
      </w:pPr>
      <w:r>
        <w:rPr>
          <w:rFonts w:ascii="宋体" w:hAnsi="宋体" w:hint="eastAsia"/>
          <w:szCs w:val="21"/>
        </w:rPr>
        <w:t>1.质量考核验收标准：按合同约定</w:t>
      </w:r>
    </w:p>
    <w:p>
      <w:pPr>
        <w:spacing w:line="360" w:lineRule="auto"/>
        <w:ind w:firstLine="420" w:firstLineChars="200"/>
        <w:rPr>
          <w:rFonts w:ascii="宋体" w:hAnsi="宋体" w:hint="eastAsia"/>
          <w:szCs w:val="21"/>
        </w:rPr>
      </w:pPr>
      <w:r>
        <w:rPr>
          <w:rFonts w:ascii="宋体" w:hAnsi="宋体" w:hint="eastAsia"/>
          <w:szCs w:val="21"/>
        </w:rPr>
        <w:t>2.违约金：</w:t>
      </w:r>
    </w:p>
    <w:p>
      <w:pPr>
        <w:spacing w:line="360" w:lineRule="auto"/>
        <w:ind w:firstLine="420" w:firstLineChars="200"/>
        <w:rPr>
          <w:rFonts w:ascii="宋体" w:hAnsi="宋体" w:hint="eastAsia"/>
          <w:szCs w:val="21"/>
        </w:rPr>
      </w:pPr>
      <w:r>
        <w:rPr>
          <w:rFonts w:ascii="宋体" w:hAnsi="宋体" w:hint="eastAsia"/>
          <w:szCs w:val="21"/>
        </w:rPr>
        <w:t>（1）甲方每月对乙方项目管理及人员现场服务情况进行考评，考评方式包括但不限于现场巡查、查验工作记录、服务承诺、实施方案落实情况及客户满意度调查等，考评结果与乙方的基础管理费挂钩，作为费用支付和扣减物业服务费的依据。</w:t>
      </w:r>
    </w:p>
    <w:p>
      <w:pPr>
        <w:spacing w:line="360" w:lineRule="auto"/>
        <w:ind w:firstLine="420" w:firstLineChars="200"/>
        <w:rPr>
          <w:rFonts w:ascii="宋体" w:hAnsi="宋体" w:hint="eastAsia"/>
          <w:szCs w:val="21"/>
        </w:rPr>
      </w:pPr>
      <w:r>
        <w:rPr>
          <w:rFonts w:ascii="宋体" w:hAnsi="宋体" w:hint="eastAsia"/>
          <w:szCs w:val="21"/>
        </w:rPr>
        <w:t>（2）乙方违约、不能满足采购需求,甲方有权在当月应付“服务费用”中扣罚费用,直至乙方严格按合同要求整改完毕。扣减金额标准如下:</w:t>
      </w:r>
    </w:p>
    <w:p>
      <w:pPr>
        <w:spacing w:line="360" w:lineRule="auto"/>
        <w:ind w:firstLine="420" w:firstLineChars="200"/>
        <w:rPr>
          <w:rFonts w:ascii="宋体" w:hAnsi="宋体" w:hint="eastAsia"/>
          <w:szCs w:val="21"/>
        </w:rPr>
      </w:pPr>
      <w:r>
        <w:rPr>
          <w:rFonts w:ascii="宋体" w:hAnsi="宋体" w:hint="eastAsia"/>
          <w:szCs w:val="21"/>
        </w:rPr>
        <w:t>（3）合同期内发生缺员、减编、漏报等情况，扣减相对应费用。</w:t>
      </w:r>
    </w:p>
    <w:p>
      <w:pPr>
        <w:spacing w:line="360" w:lineRule="auto"/>
        <w:ind w:firstLine="420" w:firstLineChars="200"/>
        <w:rPr>
          <w:rFonts w:ascii="宋体" w:hAnsi="宋体" w:hint="eastAsia"/>
          <w:szCs w:val="21"/>
        </w:rPr>
      </w:pPr>
      <w:r>
        <w:rPr>
          <w:rFonts w:ascii="宋体" w:hAnsi="宋体" w:hint="eastAsia"/>
          <w:szCs w:val="21"/>
        </w:rPr>
        <w:t>（4）甲方对乙方履约行为进行月度考核并依据考核结果对乙方予以扣减:</w:t>
      </w:r>
    </w:p>
    <w:p>
      <w:pPr>
        <w:spacing w:line="360" w:lineRule="auto"/>
        <w:ind w:firstLine="420" w:firstLineChars="200"/>
        <w:rPr>
          <w:rFonts w:ascii="宋体" w:hAnsi="宋体" w:hint="eastAsia"/>
          <w:szCs w:val="21"/>
        </w:rPr>
      </w:pPr>
      <w:r>
        <w:rPr>
          <w:rFonts w:ascii="宋体" w:hAnsi="宋体" w:hint="eastAsia"/>
          <w:szCs w:val="21"/>
        </w:rPr>
        <w:t>①月度考评90～100分不扣罚（含90分）。</w:t>
      </w:r>
    </w:p>
    <w:p>
      <w:pPr>
        <w:spacing w:line="360" w:lineRule="auto"/>
        <w:ind w:firstLine="420" w:firstLineChars="200"/>
        <w:rPr>
          <w:rFonts w:ascii="宋体" w:hAnsi="宋体" w:hint="eastAsia"/>
          <w:szCs w:val="21"/>
        </w:rPr>
      </w:pPr>
      <w:r>
        <w:rPr>
          <w:rFonts w:ascii="宋体" w:hAnsi="宋体" w:hint="eastAsia"/>
          <w:szCs w:val="21"/>
        </w:rPr>
        <w:t>②月度考评80分以上（含80分），90分以下（不含90分），每少1分按2000元/分扣除当月服务费。</w:t>
      </w:r>
    </w:p>
    <w:p>
      <w:pPr>
        <w:spacing w:line="360" w:lineRule="auto"/>
        <w:ind w:firstLine="420" w:firstLineChars="200"/>
        <w:rPr>
          <w:rFonts w:ascii="宋体" w:hAnsi="宋体" w:hint="eastAsia"/>
          <w:szCs w:val="21"/>
        </w:rPr>
      </w:pPr>
      <w:r>
        <w:rPr>
          <w:rFonts w:ascii="宋体" w:hAnsi="宋体" w:hint="eastAsia"/>
          <w:szCs w:val="21"/>
        </w:rPr>
        <w:t>③月度考评60分以上（含60分），80分以下（不含80分），每少1分扣除当月服务费的3‰。</w:t>
      </w:r>
    </w:p>
    <w:p>
      <w:pPr>
        <w:spacing w:line="360" w:lineRule="auto"/>
        <w:ind w:firstLine="420" w:firstLineChars="200"/>
        <w:rPr>
          <w:rFonts w:ascii="宋体" w:hAnsi="宋体" w:hint="eastAsia"/>
          <w:szCs w:val="21"/>
        </w:rPr>
      </w:pPr>
      <w:r>
        <w:rPr>
          <w:rFonts w:ascii="宋体" w:hAnsi="宋体" w:hint="eastAsia"/>
          <w:szCs w:val="21"/>
        </w:rPr>
        <w:t>④月度考评60分以下（不含60分）为不达标，一次性扣除当月服务费总额的20%。</w:t>
      </w:r>
    </w:p>
    <w:p>
      <w:pPr>
        <w:spacing w:line="360" w:lineRule="auto"/>
        <w:ind w:firstLine="420" w:firstLineChars="200"/>
        <w:rPr>
          <w:rFonts w:ascii="宋体" w:hAnsi="宋体" w:hint="eastAsia"/>
          <w:szCs w:val="21"/>
        </w:rPr>
      </w:pPr>
      <w:r>
        <w:rPr>
          <w:rFonts w:ascii="宋体" w:hAnsi="宋体" w:hint="eastAsia"/>
          <w:szCs w:val="21"/>
        </w:rPr>
        <w:t>（5）未经甲方同意,擅自将项目转包的,甲方有权单方解除合同。</w:t>
      </w:r>
    </w:p>
    <w:p>
      <w:pPr>
        <w:spacing w:line="360" w:lineRule="auto"/>
        <w:ind w:firstLine="420" w:firstLineChars="200"/>
        <w:rPr>
          <w:rFonts w:ascii="宋体" w:hAnsi="宋体" w:hint="eastAsia"/>
          <w:szCs w:val="21"/>
        </w:rPr>
      </w:pPr>
      <w:r>
        <w:rPr>
          <w:rFonts w:ascii="宋体" w:hAnsi="宋体" w:hint="eastAsia"/>
          <w:szCs w:val="21"/>
        </w:rPr>
        <w:t>（6）连续3个月考核低于60分，履约评价为差，将不予续签合同或直接解除合同。</w:t>
      </w:r>
    </w:p>
    <w:p>
      <w:pPr>
        <w:rPr>
          <w:b/>
          <w:sz w:val="24"/>
        </w:rPr>
      </w:pPr>
    </w:p>
    <w:p>
      <w:pPr>
        <w:pStyle w:val="BodyText"/>
      </w:pPr>
    </w:p>
    <w:p>
      <w:pPr>
        <w:pStyle w:val="Heading2"/>
        <w:spacing w:before="120" w:beforeLines="50" w:after="120" w:afterLines="50"/>
        <w:rPr>
          <w:rFonts w:hint="eastAsia"/>
          <w:szCs w:val="24"/>
        </w:rPr>
      </w:pPr>
      <w:r>
        <w:rPr>
          <w:rFonts w:hint="eastAsia"/>
          <w:szCs w:val="24"/>
        </w:rPr>
        <w:t>六、商务要求</w:t>
      </w:r>
    </w:p>
    <w:tbl>
      <w:tblPr>
        <w:tblStyle w:val="TableNormal"/>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60"/>
        <w:gridCol w:w="1620"/>
        <w:gridCol w:w="5940"/>
      </w:tblGrid>
      <w:tr>
        <w:tblPrEx>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97"/>
        </w:trPr>
        <w:tc>
          <w:tcPr>
            <w:tcW w:w="1260" w:type="dxa"/>
            <w:vAlign w:val="center"/>
          </w:tcPr>
          <w:p>
            <w:pPr>
              <w:jc w:val="center"/>
              <w:rPr>
                <w:rFonts w:ascii="宋体" w:hAnsi="宋体" w:hint="eastAsia"/>
                <w:b/>
                <w:sz w:val="20"/>
                <w:szCs w:val="20"/>
              </w:rPr>
            </w:pPr>
            <w:r>
              <w:rPr>
                <w:rFonts w:ascii="宋体" w:hAnsi="宋体" w:hint="eastAsia"/>
                <w:b/>
                <w:sz w:val="20"/>
                <w:szCs w:val="20"/>
              </w:rPr>
              <w:t>序号</w:t>
            </w:r>
          </w:p>
        </w:tc>
        <w:tc>
          <w:tcPr>
            <w:tcW w:w="1620" w:type="dxa"/>
            <w:vAlign w:val="center"/>
          </w:tcPr>
          <w:p>
            <w:pPr>
              <w:jc w:val="center"/>
              <w:rPr>
                <w:rFonts w:ascii="宋体" w:hAnsi="宋体" w:hint="eastAsia"/>
                <w:b/>
                <w:sz w:val="20"/>
                <w:szCs w:val="20"/>
              </w:rPr>
            </w:pPr>
            <w:r>
              <w:rPr>
                <w:rFonts w:ascii="宋体" w:hAnsi="宋体" w:hint="eastAsia"/>
                <w:b/>
                <w:sz w:val="20"/>
                <w:szCs w:val="20"/>
              </w:rPr>
              <w:t>目录</w:t>
            </w:r>
          </w:p>
        </w:tc>
        <w:tc>
          <w:tcPr>
            <w:tcW w:w="5940" w:type="dxa"/>
            <w:vAlign w:val="center"/>
          </w:tcPr>
          <w:p>
            <w:pPr>
              <w:jc w:val="center"/>
              <w:rPr>
                <w:rFonts w:ascii="宋体" w:hAnsi="宋体" w:hint="eastAsia"/>
                <w:b/>
                <w:sz w:val="20"/>
                <w:szCs w:val="20"/>
              </w:rPr>
            </w:pPr>
            <w:r>
              <w:rPr>
                <w:rFonts w:ascii="宋体" w:hAnsi="宋体" w:hint="eastAsia"/>
                <w:b/>
                <w:sz w:val="20"/>
                <w:szCs w:val="20"/>
              </w:rPr>
              <w:t>招标商务需求</w:t>
            </w:r>
          </w:p>
        </w:tc>
      </w:tr>
      <w:tr>
        <w:tblPrEx>
          <w:tblW w:w="8820" w:type="dxa"/>
          <w:tblInd w:w="108" w:type="dxa"/>
          <w:tblLayout w:type="fixed"/>
          <w:tblCellMar>
            <w:top w:w="0" w:type="dxa"/>
            <w:left w:w="108" w:type="dxa"/>
            <w:bottom w:w="0" w:type="dxa"/>
            <w:right w:w="108" w:type="dxa"/>
          </w:tblCellMar>
        </w:tblPrEx>
        <w:trPr>
          <w:trHeight w:val="375"/>
        </w:trPr>
        <w:tc>
          <w:tcPr>
            <w:tcW w:w="1260" w:type="dxa"/>
            <w:vMerge w:val="restart"/>
            <w:vAlign w:val="center"/>
          </w:tcPr>
          <w:p>
            <w:pPr>
              <w:spacing w:line="240" w:lineRule="atLeast"/>
              <w:jc w:val="center"/>
              <w:rPr>
                <w:rFonts w:ascii="宋体" w:hAnsi="宋体" w:hint="eastAsia"/>
                <w:bCs/>
                <w:sz w:val="20"/>
                <w:szCs w:val="20"/>
              </w:rPr>
            </w:pPr>
            <w:r>
              <w:rPr>
                <w:rFonts w:ascii="宋体" w:hAnsi="宋体" w:hint="eastAsia"/>
                <w:bCs/>
                <w:sz w:val="20"/>
                <w:szCs w:val="20"/>
              </w:rPr>
              <w:t>1</w:t>
            </w:r>
          </w:p>
        </w:tc>
        <w:tc>
          <w:tcPr>
            <w:tcW w:w="1620" w:type="dxa"/>
            <w:vMerge w:val="restart"/>
            <w:vAlign w:val="center"/>
          </w:tcPr>
          <w:p>
            <w:pPr>
              <w:spacing w:line="400" w:lineRule="atLeast"/>
              <w:jc w:val="center"/>
              <w:rPr>
                <w:rFonts w:ascii="宋体" w:hAnsi="宋体" w:hint="eastAsia"/>
                <w:sz w:val="20"/>
                <w:szCs w:val="20"/>
              </w:rPr>
            </w:pPr>
            <w:r>
              <w:rPr>
                <w:rFonts w:ascii="宋体" w:hAnsi="宋体" w:hint="eastAsia"/>
                <w:sz w:val="20"/>
                <w:szCs w:val="20"/>
              </w:rPr>
              <w:t>关于服务期限</w:t>
            </w:r>
          </w:p>
        </w:tc>
        <w:tc>
          <w:tcPr>
            <w:tcW w:w="5940" w:type="dxa"/>
          </w:tcPr>
          <w:p>
            <w:pPr>
              <w:spacing w:line="400" w:lineRule="atLeast"/>
              <w:jc w:val="left"/>
              <w:rPr>
                <w:rFonts w:ascii="宋体" w:hAnsi="宋体" w:hint="eastAsia"/>
                <w:bCs/>
                <w:sz w:val="20"/>
                <w:szCs w:val="20"/>
              </w:rPr>
            </w:pPr>
            <w:bookmarkStart w:id="41" w:name="OLE_LINK2"/>
            <w:r>
              <w:rPr>
                <w:rFonts w:ascii="宋体" w:hAnsi="宋体" w:hint="eastAsia"/>
                <w:bCs/>
                <w:sz w:val="20"/>
                <w:szCs w:val="20"/>
              </w:rPr>
              <w:t>★</w:t>
            </w:r>
            <w:bookmarkEnd w:id="41"/>
            <w:r>
              <w:rPr>
                <w:rFonts w:ascii="宋体" w:hAnsi="宋体" w:hint="eastAsia"/>
                <w:bCs/>
                <w:sz w:val="20"/>
                <w:szCs w:val="20"/>
              </w:rPr>
              <w:t>1.1本项目服务期限为一年。该项目为长期服务项目，合同期满可以续签，但合同履行期限最长不得超过三十六个月。如甲方对履约情况不满意，甲方不再续约。</w:t>
            </w:r>
          </w:p>
        </w:tc>
      </w:tr>
      <w:tr>
        <w:tblPrEx>
          <w:tblW w:w="8820" w:type="dxa"/>
          <w:tblInd w:w="108" w:type="dxa"/>
          <w:tblLayout w:type="fixed"/>
          <w:tblCellMar>
            <w:top w:w="0" w:type="dxa"/>
            <w:left w:w="108" w:type="dxa"/>
            <w:bottom w:w="0" w:type="dxa"/>
            <w:right w:w="108" w:type="dxa"/>
          </w:tblCellMar>
        </w:tblPrEx>
        <w:trPr>
          <w:trHeight w:val="376"/>
        </w:trPr>
        <w:tc>
          <w:tcPr>
            <w:tcW w:w="1260" w:type="dxa"/>
            <w:vMerge/>
            <w:vAlign w:val="center"/>
          </w:tcPr>
          <w:p>
            <w:pPr>
              <w:spacing w:line="240" w:lineRule="atLeast"/>
              <w:jc w:val="center"/>
              <w:rPr>
                <w:rFonts w:ascii="宋体" w:hAnsi="宋体" w:hint="eastAsia"/>
                <w:bCs/>
                <w:sz w:val="20"/>
                <w:szCs w:val="20"/>
              </w:rPr>
            </w:pPr>
          </w:p>
        </w:tc>
        <w:tc>
          <w:tcPr>
            <w:tcW w:w="1620" w:type="dxa"/>
            <w:vMerge/>
            <w:vAlign w:val="center"/>
          </w:tcPr>
          <w:p>
            <w:pPr>
              <w:spacing w:line="400" w:lineRule="atLeast"/>
              <w:jc w:val="left"/>
              <w:rPr>
                <w:rFonts w:ascii="宋体" w:hAnsi="宋体" w:hint="eastAsia"/>
                <w:sz w:val="20"/>
                <w:szCs w:val="20"/>
              </w:rPr>
            </w:pPr>
          </w:p>
        </w:tc>
        <w:tc>
          <w:tcPr>
            <w:tcW w:w="5940" w:type="dxa"/>
          </w:tcPr>
          <w:p>
            <w:pPr>
              <w:spacing w:line="400" w:lineRule="atLeast"/>
              <w:jc w:val="left"/>
              <w:rPr>
                <w:rFonts w:ascii="宋体" w:hAnsi="宋体" w:hint="eastAsia"/>
                <w:bCs/>
                <w:sz w:val="20"/>
                <w:szCs w:val="20"/>
              </w:rPr>
            </w:pPr>
            <w:r>
              <w:rPr>
                <w:rFonts w:ascii="宋体" w:hAnsi="宋体" w:hint="eastAsia"/>
                <w:bCs/>
                <w:sz w:val="20"/>
                <w:szCs w:val="20"/>
              </w:rPr>
              <w:t>1.2服务地点：清华大学深圳国际研究生院，具体以采购指定地点为准。</w:t>
            </w:r>
          </w:p>
        </w:tc>
      </w:tr>
      <w:tr>
        <w:tblPrEx>
          <w:tblW w:w="8820" w:type="dxa"/>
          <w:tblInd w:w="108" w:type="dxa"/>
          <w:tblLayout w:type="fixed"/>
          <w:tblCellMar>
            <w:top w:w="0" w:type="dxa"/>
            <w:left w:w="108" w:type="dxa"/>
            <w:bottom w:w="0" w:type="dxa"/>
            <w:right w:w="108" w:type="dxa"/>
          </w:tblCellMar>
        </w:tblPrEx>
        <w:trPr>
          <w:trHeight w:val="350"/>
        </w:trPr>
        <w:tc>
          <w:tcPr>
            <w:tcW w:w="1260" w:type="dxa"/>
            <w:vMerge w:val="restart"/>
            <w:vAlign w:val="center"/>
          </w:tcPr>
          <w:p>
            <w:pPr>
              <w:spacing w:line="240" w:lineRule="atLeast"/>
              <w:jc w:val="center"/>
              <w:rPr>
                <w:rFonts w:ascii="宋体" w:hAnsi="宋体" w:hint="eastAsia"/>
                <w:bCs/>
                <w:sz w:val="20"/>
                <w:szCs w:val="20"/>
              </w:rPr>
            </w:pPr>
            <w:r>
              <w:rPr>
                <w:rFonts w:ascii="宋体" w:hAnsi="宋体" w:hint="eastAsia"/>
                <w:bCs/>
                <w:sz w:val="20"/>
                <w:szCs w:val="20"/>
              </w:rPr>
              <w:t>2</w:t>
            </w:r>
          </w:p>
        </w:tc>
        <w:tc>
          <w:tcPr>
            <w:tcW w:w="1620" w:type="dxa"/>
            <w:vMerge w:val="restart"/>
            <w:vAlign w:val="center"/>
          </w:tcPr>
          <w:p>
            <w:pPr>
              <w:spacing w:line="400" w:lineRule="atLeast"/>
              <w:jc w:val="center"/>
              <w:rPr>
                <w:rFonts w:ascii="宋体" w:hAnsi="宋体" w:hint="eastAsia"/>
                <w:sz w:val="20"/>
                <w:szCs w:val="20"/>
              </w:rPr>
            </w:pPr>
            <w:r>
              <w:rPr>
                <w:rFonts w:ascii="宋体" w:hAnsi="宋体" w:hint="eastAsia"/>
                <w:bCs/>
                <w:sz w:val="20"/>
                <w:szCs w:val="20"/>
              </w:rPr>
              <w:t>★</w:t>
            </w:r>
            <w:r>
              <w:rPr>
                <w:rFonts w:ascii="宋体" w:hAnsi="宋体" w:hint="eastAsia"/>
                <w:sz w:val="20"/>
                <w:szCs w:val="20"/>
              </w:rPr>
              <w:t>项目验收</w:t>
            </w:r>
          </w:p>
        </w:tc>
        <w:tc>
          <w:tcPr>
            <w:tcW w:w="5940" w:type="dxa"/>
          </w:tcPr>
          <w:p>
            <w:pPr>
              <w:spacing w:line="400" w:lineRule="atLeast"/>
              <w:jc w:val="left"/>
              <w:rPr>
                <w:rFonts w:ascii="宋体" w:hAnsi="宋体" w:hint="eastAsia"/>
                <w:bCs/>
                <w:sz w:val="20"/>
                <w:szCs w:val="20"/>
              </w:rPr>
            </w:pPr>
            <w:r>
              <w:rPr>
                <w:rFonts w:ascii="宋体" w:hAnsi="宋体" w:hint="eastAsia"/>
                <w:bCs/>
                <w:sz w:val="20"/>
                <w:szCs w:val="20"/>
              </w:rPr>
              <w:t>★2</w:t>
            </w:r>
            <w:r>
              <w:rPr>
                <w:rFonts w:ascii="宋体" w:hAnsi="宋体"/>
                <w:bCs/>
                <w:sz w:val="20"/>
                <w:szCs w:val="20"/>
              </w:rPr>
              <w:t>.1</w:t>
            </w:r>
            <w:r>
              <w:rPr>
                <w:rFonts w:ascii="宋体" w:hAnsi="宋体" w:hint="eastAsia"/>
                <w:bCs/>
                <w:sz w:val="20"/>
                <w:szCs w:val="20"/>
              </w:rPr>
              <w:t>投标人安排人员必须符合采购人招标文件中各岗位要求。</w:t>
            </w:r>
          </w:p>
        </w:tc>
      </w:tr>
      <w:tr>
        <w:tblPrEx>
          <w:tblW w:w="8820" w:type="dxa"/>
          <w:tblInd w:w="108" w:type="dxa"/>
          <w:tblLayout w:type="fixed"/>
          <w:tblCellMar>
            <w:top w:w="0" w:type="dxa"/>
            <w:left w:w="108" w:type="dxa"/>
            <w:bottom w:w="0" w:type="dxa"/>
            <w:right w:w="108" w:type="dxa"/>
          </w:tblCellMar>
        </w:tblPrEx>
        <w:trPr>
          <w:trHeight w:val="350"/>
        </w:trPr>
        <w:tc>
          <w:tcPr>
            <w:tcW w:w="1260" w:type="dxa"/>
            <w:vMerge/>
            <w:vAlign w:val="center"/>
          </w:tcPr>
          <w:p>
            <w:pPr>
              <w:spacing w:line="240" w:lineRule="atLeast"/>
              <w:jc w:val="center"/>
              <w:rPr>
                <w:rFonts w:ascii="宋体" w:hAnsi="宋体" w:hint="eastAsia"/>
                <w:b/>
                <w:sz w:val="20"/>
                <w:szCs w:val="20"/>
              </w:rPr>
            </w:pPr>
          </w:p>
        </w:tc>
        <w:tc>
          <w:tcPr>
            <w:tcW w:w="1620" w:type="dxa"/>
            <w:vMerge/>
          </w:tcPr>
          <w:p>
            <w:pPr>
              <w:spacing w:line="400" w:lineRule="atLeast"/>
              <w:jc w:val="left"/>
              <w:rPr>
                <w:rFonts w:ascii="宋体" w:hAnsi="宋体" w:hint="eastAsia"/>
                <w:b/>
                <w:sz w:val="20"/>
                <w:szCs w:val="20"/>
              </w:rPr>
            </w:pPr>
          </w:p>
        </w:tc>
        <w:tc>
          <w:tcPr>
            <w:tcW w:w="5940" w:type="dxa"/>
          </w:tcPr>
          <w:p>
            <w:pPr>
              <w:spacing w:line="400" w:lineRule="atLeast"/>
              <w:jc w:val="left"/>
              <w:rPr>
                <w:rFonts w:ascii="宋体" w:hAnsi="宋体" w:hint="eastAsia"/>
                <w:bCs/>
                <w:sz w:val="20"/>
                <w:szCs w:val="20"/>
              </w:rPr>
            </w:pPr>
            <w:r>
              <w:rPr>
                <w:rFonts w:ascii="宋体" w:hAnsi="宋体" w:hint="eastAsia"/>
                <w:bCs/>
                <w:sz w:val="20"/>
                <w:szCs w:val="20"/>
              </w:rPr>
              <w:t>★2</w:t>
            </w:r>
            <w:r>
              <w:rPr>
                <w:rFonts w:ascii="宋体" w:hAnsi="宋体"/>
                <w:bCs/>
                <w:sz w:val="20"/>
                <w:szCs w:val="20"/>
              </w:rPr>
              <w:t>.2</w:t>
            </w:r>
            <w:r>
              <w:rPr>
                <w:rFonts w:ascii="宋体" w:hAnsi="宋体" w:hint="eastAsia"/>
                <w:bCs/>
                <w:sz w:val="20"/>
                <w:szCs w:val="20"/>
              </w:rPr>
              <w:t>由采购人按合同和招标、投标文件约定的要求和标准及中华人民共和国和行业现行的验收规范和评定标准进行验收。</w:t>
            </w:r>
          </w:p>
        </w:tc>
      </w:tr>
      <w:tr>
        <w:tblPrEx>
          <w:tblW w:w="8820" w:type="dxa"/>
          <w:tblInd w:w="108" w:type="dxa"/>
          <w:tblLayout w:type="fixed"/>
          <w:tblCellMar>
            <w:top w:w="0" w:type="dxa"/>
            <w:left w:w="108" w:type="dxa"/>
            <w:bottom w:w="0" w:type="dxa"/>
            <w:right w:w="108" w:type="dxa"/>
          </w:tblCellMar>
        </w:tblPrEx>
        <w:trPr>
          <w:trHeight w:val="350"/>
        </w:trPr>
        <w:tc>
          <w:tcPr>
            <w:tcW w:w="1260" w:type="dxa"/>
            <w:vMerge/>
            <w:vAlign w:val="center"/>
          </w:tcPr>
          <w:p>
            <w:pPr>
              <w:spacing w:line="240" w:lineRule="atLeast"/>
              <w:jc w:val="center"/>
              <w:rPr>
                <w:rFonts w:ascii="宋体" w:hAnsi="宋体" w:hint="eastAsia"/>
                <w:b/>
                <w:sz w:val="20"/>
                <w:szCs w:val="20"/>
              </w:rPr>
            </w:pPr>
          </w:p>
        </w:tc>
        <w:tc>
          <w:tcPr>
            <w:tcW w:w="1620" w:type="dxa"/>
            <w:vMerge/>
          </w:tcPr>
          <w:p>
            <w:pPr>
              <w:spacing w:line="400" w:lineRule="atLeast"/>
              <w:jc w:val="left"/>
              <w:rPr>
                <w:rFonts w:ascii="宋体" w:hAnsi="宋体" w:hint="eastAsia"/>
                <w:b/>
                <w:sz w:val="20"/>
                <w:szCs w:val="20"/>
              </w:rPr>
            </w:pPr>
          </w:p>
        </w:tc>
        <w:tc>
          <w:tcPr>
            <w:tcW w:w="5940" w:type="dxa"/>
          </w:tcPr>
          <w:p>
            <w:pPr>
              <w:spacing w:line="400" w:lineRule="atLeast"/>
              <w:jc w:val="left"/>
              <w:rPr>
                <w:rFonts w:ascii="宋体" w:hAnsi="宋体" w:hint="eastAsia"/>
                <w:bCs/>
                <w:sz w:val="20"/>
                <w:szCs w:val="20"/>
              </w:rPr>
            </w:pPr>
            <w:r>
              <w:rPr>
                <w:rFonts w:ascii="宋体" w:hAnsi="宋体" w:hint="eastAsia"/>
                <w:bCs/>
                <w:sz w:val="20"/>
                <w:szCs w:val="20"/>
              </w:rPr>
              <w:t>★2.</w:t>
            </w:r>
            <w:r>
              <w:rPr>
                <w:rFonts w:ascii="宋体" w:hAnsi="宋体"/>
                <w:bCs/>
                <w:sz w:val="20"/>
                <w:szCs w:val="20"/>
              </w:rPr>
              <w:t xml:space="preserve">3 </w:t>
            </w:r>
            <w:r>
              <w:rPr>
                <w:rFonts w:ascii="宋体" w:hAnsi="宋体" w:hint="eastAsia"/>
                <w:bCs/>
                <w:sz w:val="20"/>
                <w:szCs w:val="20"/>
              </w:rPr>
              <w:t>投标人的服务经双方检验认可后签订质量考核验收表。</w:t>
            </w:r>
          </w:p>
        </w:tc>
      </w:tr>
      <w:tr>
        <w:tblPrEx>
          <w:tblW w:w="8820" w:type="dxa"/>
          <w:tblInd w:w="108" w:type="dxa"/>
          <w:tblLayout w:type="fixed"/>
          <w:tblCellMar>
            <w:top w:w="0" w:type="dxa"/>
            <w:left w:w="108" w:type="dxa"/>
            <w:bottom w:w="0" w:type="dxa"/>
            <w:right w:w="108" w:type="dxa"/>
          </w:tblCellMar>
        </w:tblPrEx>
        <w:trPr>
          <w:trHeight w:val="350"/>
        </w:trPr>
        <w:tc>
          <w:tcPr>
            <w:tcW w:w="1260" w:type="dxa"/>
            <w:vMerge w:val="restart"/>
            <w:vAlign w:val="center"/>
          </w:tcPr>
          <w:p>
            <w:pPr>
              <w:spacing w:line="240" w:lineRule="atLeast"/>
              <w:jc w:val="center"/>
              <w:rPr>
                <w:rFonts w:ascii="宋体" w:hAnsi="宋体" w:hint="eastAsia"/>
                <w:bCs/>
                <w:sz w:val="20"/>
                <w:szCs w:val="20"/>
              </w:rPr>
            </w:pPr>
            <w:r>
              <w:rPr>
                <w:rFonts w:ascii="宋体" w:hAnsi="宋体" w:hint="eastAsia"/>
                <w:bCs/>
                <w:sz w:val="20"/>
                <w:szCs w:val="20"/>
              </w:rPr>
              <w:t>3</w:t>
            </w:r>
          </w:p>
        </w:tc>
        <w:tc>
          <w:tcPr>
            <w:tcW w:w="1620" w:type="dxa"/>
            <w:vMerge w:val="restart"/>
            <w:vAlign w:val="center"/>
          </w:tcPr>
          <w:p>
            <w:pPr>
              <w:spacing w:line="400" w:lineRule="atLeast"/>
              <w:jc w:val="center"/>
              <w:rPr>
                <w:rFonts w:ascii="宋体" w:hAnsi="宋体" w:hint="eastAsia"/>
                <w:sz w:val="20"/>
                <w:szCs w:val="20"/>
              </w:rPr>
            </w:pPr>
            <w:r>
              <w:rPr>
                <w:rFonts w:ascii="宋体" w:hAnsi="宋体" w:hint="eastAsia"/>
                <w:sz w:val="20"/>
                <w:szCs w:val="20"/>
              </w:rPr>
              <w:t>质量及知识产权要求</w:t>
            </w:r>
          </w:p>
        </w:tc>
        <w:tc>
          <w:tcPr>
            <w:tcW w:w="5940" w:type="dxa"/>
          </w:tcPr>
          <w:p>
            <w:pPr>
              <w:spacing w:line="400" w:lineRule="atLeast"/>
              <w:jc w:val="left"/>
              <w:rPr>
                <w:rFonts w:ascii="宋体" w:hAnsi="宋体" w:hint="eastAsia"/>
                <w:sz w:val="20"/>
                <w:szCs w:val="20"/>
              </w:rPr>
            </w:pPr>
            <w:r>
              <w:rPr>
                <w:rFonts w:ascii="宋体" w:hAnsi="宋体"/>
                <w:sz w:val="20"/>
                <w:szCs w:val="20"/>
              </w:rPr>
              <w:t>3</w:t>
            </w:r>
            <w:r>
              <w:rPr>
                <w:rFonts w:ascii="宋体" w:hAnsi="宋体" w:hint="eastAsia"/>
                <w:sz w:val="20"/>
                <w:szCs w:val="20"/>
              </w:rPr>
              <w:t>.1采购人在中国使用该货物或货物的任何一部分时，免受第三方提出的侵犯其专利权、商标权或工业设计权等知识产权的起诉或司法干预。若因为知识产权纠纷造成的一切损害赔偿及损失由投标人承担，包括但不限于实际损失、预期损失和对方要求赔偿损失及支出的律师费、交通费和差旅费等。</w:t>
            </w:r>
          </w:p>
        </w:tc>
      </w:tr>
      <w:tr>
        <w:tblPrEx>
          <w:tblW w:w="8820" w:type="dxa"/>
          <w:tblInd w:w="108" w:type="dxa"/>
          <w:tblLayout w:type="fixed"/>
          <w:tblCellMar>
            <w:top w:w="0" w:type="dxa"/>
            <w:left w:w="108" w:type="dxa"/>
            <w:bottom w:w="0" w:type="dxa"/>
            <w:right w:w="108" w:type="dxa"/>
          </w:tblCellMar>
        </w:tblPrEx>
        <w:trPr>
          <w:trHeight w:val="350"/>
        </w:trPr>
        <w:tc>
          <w:tcPr>
            <w:tcW w:w="1260" w:type="dxa"/>
            <w:vMerge/>
            <w:vAlign w:val="center"/>
          </w:tcPr>
          <w:p>
            <w:pPr>
              <w:spacing w:line="240" w:lineRule="atLeast"/>
              <w:jc w:val="center"/>
              <w:rPr>
                <w:rFonts w:ascii="宋体" w:hAnsi="宋体" w:hint="eastAsia"/>
                <w:bCs/>
                <w:sz w:val="20"/>
                <w:szCs w:val="20"/>
              </w:rPr>
            </w:pPr>
          </w:p>
        </w:tc>
        <w:tc>
          <w:tcPr>
            <w:tcW w:w="1620" w:type="dxa"/>
            <w:vMerge/>
            <w:vAlign w:val="center"/>
          </w:tcPr>
          <w:p>
            <w:pPr>
              <w:spacing w:line="400" w:lineRule="atLeast"/>
              <w:jc w:val="left"/>
              <w:rPr>
                <w:rFonts w:ascii="宋体" w:hAnsi="宋体" w:hint="eastAsia"/>
                <w:sz w:val="20"/>
                <w:szCs w:val="20"/>
              </w:rPr>
            </w:pPr>
          </w:p>
        </w:tc>
        <w:tc>
          <w:tcPr>
            <w:tcW w:w="5940" w:type="dxa"/>
          </w:tcPr>
          <w:p>
            <w:pPr>
              <w:spacing w:line="400" w:lineRule="atLeast"/>
              <w:jc w:val="left"/>
              <w:rPr>
                <w:rFonts w:ascii="宋体" w:hAnsi="宋体" w:hint="eastAsia"/>
                <w:sz w:val="20"/>
                <w:szCs w:val="20"/>
              </w:rPr>
            </w:pPr>
            <w:r>
              <w:rPr>
                <w:rFonts w:ascii="宋体" w:hAnsi="宋体"/>
                <w:sz w:val="20"/>
                <w:szCs w:val="20"/>
              </w:rPr>
              <w:t>3</w:t>
            </w:r>
            <w:r>
              <w:rPr>
                <w:rFonts w:ascii="宋体" w:hAnsi="宋体" w:hint="eastAsia"/>
                <w:sz w:val="20"/>
                <w:szCs w:val="20"/>
              </w:rPr>
              <w:t>.2投标人在履行合同过程中所获得或接触到的任何内部数据资料，未经采购人同意，不得向第三方透露。</w:t>
            </w:r>
          </w:p>
        </w:tc>
      </w:tr>
      <w:tr>
        <w:tblPrEx>
          <w:tblW w:w="8820" w:type="dxa"/>
          <w:tblInd w:w="108" w:type="dxa"/>
          <w:tblLayout w:type="fixed"/>
          <w:tblCellMar>
            <w:top w:w="0" w:type="dxa"/>
            <w:left w:w="108" w:type="dxa"/>
            <w:bottom w:w="0" w:type="dxa"/>
            <w:right w:w="108" w:type="dxa"/>
          </w:tblCellMar>
        </w:tblPrEx>
        <w:trPr>
          <w:trHeight w:val="350"/>
        </w:trPr>
        <w:tc>
          <w:tcPr>
            <w:tcW w:w="1260" w:type="dxa"/>
            <w:vAlign w:val="center"/>
          </w:tcPr>
          <w:p>
            <w:pPr>
              <w:spacing w:line="240" w:lineRule="atLeast"/>
              <w:jc w:val="center"/>
              <w:rPr>
                <w:rFonts w:ascii="宋体" w:hAnsi="宋体" w:hint="eastAsia"/>
                <w:bCs/>
                <w:sz w:val="20"/>
                <w:szCs w:val="20"/>
              </w:rPr>
            </w:pPr>
            <w:r>
              <w:rPr>
                <w:rFonts w:ascii="宋体" w:hAnsi="宋体" w:hint="eastAsia"/>
                <w:bCs/>
                <w:sz w:val="20"/>
                <w:szCs w:val="20"/>
              </w:rPr>
              <w:t>4</w:t>
            </w:r>
          </w:p>
        </w:tc>
        <w:tc>
          <w:tcPr>
            <w:tcW w:w="1620" w:type="dxa"/>
            <w:vAlign w:val="center"/>
          </w:tcPr>
          <w:p>
            <w:pPr>
              <w:spacing w:line="400" w:lineRule="atLeast"/>
              <w:jc w:val="center"/>
              <w:rPr>
                <w:rFonts w:ascii="宋体" w:hAnsi="宋体" w:hint="eastAsia"/>
                <w:sz w:val="20"/>
                <w:szCs w:val="20"/>
              </w:rPr>
            </w:pPr>
            <w:r>
              <w:rPr>
                <w:rFonts w:ascii="宋体" w:hAnsi="宋体" w:hint="eastAsia"/>
                <w:sz w:val="20"/>
                <w:szCs w:val="20"/>
              </w:rPr>
              <w:t>技术培训</w:t>
            </w:r>
          </w:p>
        </w:tc>
        <w:tc>
          <w:tcPr>
            <w:tcW w:w="5940" w:type="dxa"/>
          </w:tcPr>
          <w:p>
            <w:pPr>
              <w:spacing w:line="400" w:lineRule="atLeast"/>
              <w:jc w:val="left"/>
              <w:rPr>
                <w:rFonts w:ascii="宋体" w:hAnsi="宋体" w:hint="eastAsia"/>
                <w:sz w:val="20"/>
                <w:szCs w:val="20"/>
              </w:rPr>
            </w:pPr>
            <w:r>
              <w:rPr>
                <w:rFonts w:ascii="宋体" w:hAnsi="宋体"/>
                <w:sz w:val="20"/>
                <w:szCs w:val="20"/>
              </w:rPr>
              <w:t>4</w:t>
            </w:r>
            <w:r>
              <w:rPr>
                <w:rFonts w:ascii="宋体" w:hAnsi="宋体" w:hint="eastAsia"/>
                <w:sz w:val="20"/>
                <w:szCs w:val="20"/>
              </w:rPr>
              <w:t>.1投标人在中标后提供详细技术资料并免费对采购人进行技术培训。培训的内容及方案应由双方协商制定。投标人前来进行技术培训的人员的费用包括在合同总价中。</w:t>
            </w:r>
          </w:p>
        </w:tc>
      </w:tr>
      <w:tr>
        <w:tblPrEx>
          <w:tblW w:w="8820" w:type="dxa"/>
          <w:tblInd w:w="108" w:type="dxa"/>
          <w:tblLayout w:type="fixed"/>
          <w:tblCellMar>
            <w:top w:w="0" w:type="dxa"/>
            <w:left w:w="108" w:type="dxa"/>
            <w:bottom w:w="0" w:type="dxa"/>
            <w:right w:w="108" w:type="dxa"/>
          </w:tblCellMar>
        </w:tblPrEx>
        <w:trPr>
          <w:trHeight w:val="6133"/>
        </w:trPr>
        <w:tc>
          <w:tcPr>
            <w:tcW w:w="1260" w:type="dxa"/>
            <w:vMerge w:val="restart"/>
            <w:vAlign w:val="center"/>
          </w:tcPr>
          <w:p>
            <w:pPr>
              <w:spacing w:line="240" w:lineRule="atLeast"/>
              <w:jc w:val="center"/>
              <w:rPr>
                <w:rFonts w:ascii="宋体" w:hAnsi="宋体" w:hint="eastAsia"/>
                <w:bCs/>
                <w:sz w:val="20"/>
                <w:szCs w:val="20"/>
              </w:rPr>
            </w:pPr>
            <w:r>
              <w:rPr>
                <w:rFonts w:ascii="宋体" w:hAnsi="宋体"/>
                <w:bCs/>
                <w:sz w:val="20"/>
                <w:szCs w:val="20"/>
              </w:rPr>
              <w:t>5</w:t>
            </w:r>
          </w:p>
        </w:tc>
        <w:tc>
          <w:tcPr>
            <w:tcW w:w="1620" w:type="dxa"/>
            <w:vMerge w:val="restart"/>
            <w:vAlign w:val="center"/>
          </w:tcPr>
          <w:p>
            <w:pPr>
              <w:spacing w:line="400" w:lineRule="atLeast"/>
              <w:jc w:val="center"/>
              <w:rPr>
                <w:rFonts w:ascii="宋体" w:hAnsi="宋体" w:hint="eastAsia"/>
                <w:sz w:val="20"/>
                <w:szCs w:val="20"/>
              </w:rPr>
            </w:pPr>
            <w:r>
              <w:rPr>
                <w:rFonts w:ascii="宋体" w:hAnsi="宋体" w:hint="eastAsia"/>
                <w:sz w:val="20"/>
                <w:szCs w:val="20"/>
              </w:rPr>
              <w:t>关于违约</w:t>
            </w:r>
          </w:p>
        </w:tc>
        <w:tc>
          <w:tcPr>
            <w:tcW w:w="5940" w:type="dxa"/>
          </w:tcPr>
          <w:p>
            <w:pPr>
              <w:spacing w:line="400" w:lineRule="atLeast"/>
              <w:jc w:val="left"/>
              <w:rPr>
                <w:rFonts w:ascii="宋体" w:hAnsi="宋体" w:hint="eastAsia"/>
                <w:sz w:val="20"/>
                <w:szCs w:val="20"/>
              </w:rPr>
            </w:pPr>
            <w:r>
              <w:rPr>
                <w:rFonts w:ascii="宋体" w:hAnsi="宋体" w:hint="eastAsia"/>
                <w:sz w:val="20"/>
                <w:szCs w:val="20"/>
              </w:rPr>
              <w:t>5.1（1）采购人每月对中标人项目管理及人员现场服务情况进行考评，考评方式包括但不限于现场巡查、查验工作记录、服务承诺、实施方案落实情况及客户满意度调查等，考评结果与中标人的基础管理费挂钩，作为费用支付和扣减物业服务费的依据。</w:t>
            </w:r>
          </w:p>
          <w:p>
            <w:pPr>
              <w:spacing w:line="400" w:lineRule="atLeast"/>
              <w:jc w:val="left"/>
              <w:rPr>
                <w:rFonts w:ascii="宋体" w:hAnsi="宋体" w:hint="eastAsia"/>
                <w:sz w:val="20"/>
                <w:szCs w:val="20"/>
              </w:rPr>
            </w:pPr>
            <w:r>
              <w:rPr>
                <w:rFonts w:ascii="宋体" w:hAnsi="宋体" w:hint="eastAsia"/>
                <w:sz w:val="20"/>
                <w:szCs w:val="20"/>
              </w:rPr>
              <w:t>（2）中标人违约、不能满足采购需求,采购人有权在当月应付“服务费用”中扣罚费用,直至中标人严格按合同要求整改完毕。扣减金额标准如下:</w:t>
            </w:r>
          </w:p>
          <w:p>
            <w:pPr>
              <w:spacing w:line="400" w:lineRule="atLeast"/>
              <w:jc w:val="left"/>
              <w:rPr>
                <w:rFonts w:ascii="宋体" w:hAnsi="宋体" w:hint="eastAsia"/>
                <w:sz w:val="20"/>
                <w:szCs w:val="20"/>
              </w:rPr>
            </w:pPr>
            <w:r>
              <w:rPr>
                <w:rFonts w:ascii="宋体" w:hAnsi="宋体" w:hint="eastAsia"/>
                <w:sz w:val="20"/>
                <w:szCs w:val="20"/>
              </w:rPr>
              <w:t>（3）合同期内发生缺员、减编、漏报等情况，扣减相对应费用。</w:t>
            </w:r>
          </w:p>
          <w:p>
            <w:pPr>
              <w:spacing w:line="400" w:lineRule="atLeast"/>
              <w:jc w:val="left"/>
              <w:rPr>
                <w:rFonts w:ascii="宋体" w:hAnsi="宋体" w:hint="eastAsia"/>
                <w:sz w:val="20"/>
                <w:szCs w:val="20"/>
              </w:rPr>
            </w:pPr>
            <w:r>
              <w:rPr>
                <w:rFonts w:ascii="宋体" w:hAnsi="宋体" w:hint="eastAsia"/>
                <w:sz w:val="20"/>
                <w:szCs w:val="20"/>
              </w:rPr>
              <w:t>（4）采购人对中标人履约行为进行月度考核并依据考核结果对中标人予以扣减:</w:t>
            </w:r>
          </w:p>
          <w:p>
            <w:pPr>
              <w:spacing w:line="400" w:lineRule="atLeast"/>
              <w:jc w:val="left"/>
              <w:rPr>
                <w:rFonts w:ascii="宋体" w:hAnsi="宋体" w:hint="eastAsia"/>
                <w:sz w:val="20"/>
                <w:szCs w:val="20"/>
              </w:rPr>
            </w:pPr>
            <w:r>
              <w:rPr>
                <w:rFonts w:ascii="宋体" w:hAnsi="宋体" w:hint="eastAsia"/>
                <w:sz w:val="20"/>
                <w:szCs w:val="20"/>
              </w:rPr>
              <w:t>采购人对中标人履约行为进行月度考核并依据考核结果对中标人予以扣减:</w:t>
            </w:r>
          </w:p>
          <w:p>
            <w:pPr>
              <w:spacing w:line="400" w:lineRule="atLeast"/>
              <w:jc w:val="left"/>
              <w:rPr>
                <w:rFonts w:ascii="宋体" w:hAnsi="宋体" w:hint="eastAsia"/>
                <w:sz w:val="20"/>
                <w:szCs w:val="20"/>
              </w:rPr>
            </w:pPr>
            <w:r>
              <w:rPr>
                <w:rFonts w:ascii="宋体" w:hAnsi="宋体" w:hint="eastAsia"/>
                <w:sz w:val="20"/>
                <w:szCs w:val="20"/>
              </w:rPr>
              <w:t>①月度考评90～100分不扣罚（含90分）。</w:t>
            </w:r>
          </w:p>
          <w:p>
            <w:pPr>
              <w:spacing w:line="400" w:lineRule="atLeast"/>
              <w:jc w:val="left"/>
              <w:rPr>
                <w:rFonts w:ascii="宋体" w:hAnsi="宋体" w:hint="eastAsia"/>
                <w:sz w:val="20"/>
                <w:szCs w:val="20"/>
              </w:rPr>
            </w:pPr>
            <w:r>
              <w:rPr>
                <w:rFonts w:ascii="宋体" w:hAnsi="宋体" w:hint="eastAsia"/>
                <w:sz w:val="20"/>
                <w:szCs w:val="20"/>
              </w:rPr>
              <w:t>②月度考评80分以上（含80分），90分以下（不含90分），每少1分按2000元/分扣除当月服务费。</w:t>
            </w:r>
          </w:p>
          <w:p>
            <w:pPr>
              <w:spacing w:line="400" w:lineRule="atLeast"/>
              <w:jc w:val="left"/>
              <w:rPr>
                <w:rFonts w:ascii="宋体" w:hAnsi="宋体" w:hint="eastAsia"/>
                <w:sz w:val="20"/>
                <w:szCs w:val="20"/>
              </w:rPr>
            </w:pPr>
            <w:r>
              <w:rPr>
                <w:rFonts w:ascii="宋体" w:hAnsi="宋体" w:hint="eastAsia"/>
                <w:sz w:val="20"/>
                <w:szCs w:val="20"/>
              </w:rPr>
              <w:t>③月度考评60分以上（含60分），80分以下（不含80分），每少1分扣除当月服务费的3‰。</w:t>
            </w:r>
          </w:p>
          <w:p>
            <w:pPr>
              <w:spacing w:line="400" w:lineRule="atLeast"/>
              <w:jc w:val="left"/>
              <w:rPr>
                <w:rFonts w:ascii="宋体" w:hAnsi="宋体" w:hint="eastAsia"/>
                <w:sz w:val="20"/>
                <w:szCs w:val="20"/>
              </w:rPr>
            </w:pPr>
            <w:r>
              <w:rPr>
                <w:rFonts w:ascii="宋体" w:hAnsi="宋体" w:hint="eastAsia"/>
                <w:sz w:val="20"/>
                <w:szCs w:val="20"/>
              </w:rPr>
              <w:t>④月度考评60分以下（不含60分）为不达标，一次性扣除当月服务费总额的20%。</w:t>
            </w:r>
          </w:p>
          <w:p>
            <w:pPr>
              <w:spacing w:line="400" w:lineRule="atLeast"/>
              <w:jc w:val="left"/>
              <w:rPr>
                <w:rFonts w:ascii="宋体" w:hAnsi="宋体" w:hint="eastAsia"/>
                <w:sz w:val="20"/>
                <w:szCs w:val="20"/>
              </w:rPr>
            </w:pPr>
            <w:r>
              <w:rPr>
                <w:rFonts w:ascii="宋体" w:hAnsi="宋体" w:hint="eastAsia"/>
                <w:sz w:val="20"/>
                <w:szCs w:val="20"/>
              </w:rPr>
              <w:t>（5）未经采购人同意,擅自将项目转包的, 采购人有权单方终止合同。</w:t>
            </w:r>
          </w:p>
          <w:p>
            <w:pPr>
              <w:spacing w:line="400" w:lineRule="atLeast"/>
              <w:jc w:val="left"/>
              <w:rPr>
                <w:rFonts w:ascii="宋体" w:hAnsi="宋体" w:hint="eastAsia"/>
                <w:sz w:val="20"/>
                <w:szCs w:val="20"/>
              </w:rPr>
            </w:pPr>
            <w:r>
              <w:rPr>
                <w:rFonts w:ascii="宋体" w:hAnsi="宋体" w:hint="eastAsia"/>
                <w:sz w:val="20"/>
                <w:szCs w:val="20"/>
              </w:rPr>
              <w:t>（6）</w:t>
            </w:r>
            <w:r>
              <w:rPr>
                <w:rFonts w:ascii="宋体" w:hAnsi="宋体"/>
                <w:sz w:val="20"/>
                <w:szCs w:val="20"/>
              </w:rPr>
              <w:t>连续3个月考核低于60分，履约评价为差，将不予续签合同或直接终止合作合同。</w:t>
            </w:r>
          </w:p>
        </w:tc>
      </w:tr>
      <w:tr>
        <w:tblPrEx>
          <w:tblW w:w="8820" w:type="dxa"/>
          <w:tblInd w:w="108" w:type="dxa"/>
          <w:tblLayout w:type="fixed"/>
          <w:tblCellMar>
            <w:top w:w="0" w:type="dxa"/>
            <w:left w:w="108" w:type="dxa"/>
            <w:bottom w:w="0" w:type="dxa"/>
            <w:right w:w="108" w:type="dxa"/>
          </w:tblCellMar>
        </w:tblPrEx>
        <w:trPr>
          <w:trHeight w:val="350"/>
        </w:trPr>
        <w:tc>
          <w:tcPr>
            <w:tcW w:w="1260" w:type="dxa"/>
            <w:vMerge/>
            <w:vAlign w:val="center"/>
          </w:tcPr>
          <w:p>
            <w:pPr>
              <w:spacing w:line="240" w:lineRule="atLeast"/>
              <w:jc w:val="center"/>
              <w:rPr>
                <w:rFonts w:ascii="宋体" w:hAnsi="宋体" w:hint="eastAsia"/>
                <w:bCs/>
                <w:sz w:val="20"/>
                <w:szCs w:val="20"/>
              </w:rPr>
            </w:pPr>
          </w:p>
        </w:tc>
        <w:tc>
          <w:tcPr>
            <w:tcW w:w="1620" w:type="dxa"/>
            <w:vMerge/>
            <w:vAlign w:val="center"/>
          </w:tcPr>
          <w:p>
            <w:pPr>
              <w:spacing w:line="400" w:lineRule="atLeast"/>
              <w:jc w:val="left"/>
              <w:rPr>
                <w:rFonts w:ascii="宋体" w:hAnsi="宋体" w:hint="eastAsia"/>
                <w:sz w:val="20"/>
                <w:szCs w:val="20"/>
              </w:rPr>
            </w:pPr>
          </w:p>
        </w:tc>
        <w:tc>
          <w:tcPr>
            <w:tcW w:w="5940" w:type="dxa"/>
          </w:tcPr>
          <w:p>
            <w:pPr>
              <w:spacing w:line="400" w:lineRule="atLeast"/>
              <w:jc w:val="left"/>
              <w:rPr>
                <w:rFonts w:ascii="宋体" w:hAnsi="宋体" w:hint="eastAsia"/>
                <w:b/>
                <w:color w:val="FF0000"/>
                <w:sz w:val="20"/>
                <w:szCs w:val="20"/>
              </w:rPr>
            </w:pPr>
            <w:r>
              <w:rPr>
                <w:rFonts w:ascii="宋体" w:hAnsi="宋体" w:hint="eastAsia"/>
                <w:color w:val="000000"/>
                <w:sz w:val="20"/>
                <w:szCs w:val="20"/>
              </w:rPr>
              <w:t>5.2本合同生效后，双方任何一方公司内部出现的股权转让、股东变更、法定代表人变更或甲方将本物业整体或部分转卖第三方及其它原因均不构成修改或终止本合同的理由。</w:t>
            </w:r>
          </w:p>
        </w:tc>
      </w:tr>
      <w:tr>
        <w:tblPrEx>
          <w:tblW w:w="8820" w:type="dxa"/>
          <w:tblInd w:w="108" w:type="dxa"/>
          <w:tblLayout w:type="fixed"/>
          <w:tblCellMar>
            <w:top w:w="0" w:type="dxa"/>
            <w:left w:w="108" w:type="dxa"/>
            <w:bottom w:w="0" w:type="dxa"/>
            <w:right w:w="108" w:type="dxa"/>
          </w:tblCellMar>
        </w:tblPrEx>
        <w:trPr>
          <w:trHeight w:val="350"/>
        </w:trPr>
        <w:tc>
          <w:tcPr>
            <w:tcW w:w="1260" w:type="dxa"/>
            <w:vMerge/>
            <w:vAlign w:val="center"/>
          </w:tcPr>
          <w:p>
            <w:pPr>
              <w:spacing w:line="240" w:lineRule="atLeast"/>
              <w:jc w:val="center"/>
              <w:rPr>
                <w:rFonts w:ascii="宋体" w:hAnsi="宋体" w:hint="eastAsia"/>
                <w:bCs/>
                <w:sz w:val="20"/>
                <w:szCs w:val="20"/>
              </w:rPr>
            </w:pPr>
          </w:p>
        </w:tc>
        <w:tc>
          <w:tcPr>
            <w:tcW w:w="1620" w:type="dxa"/>
            <w:vMerge/>
            <w:vAlign w:val="center"/>
          </w:tcPr>
          <w:p>
            <w:pPr>
              <w:spacing w:line="400" w:lineRule="atLeast"/>
              <w:jc w:val="left"/>
              <w:rPr>
                <w:rFonts w:ascii="宋体" w:hAnsi="宋体" w:hint="eastAsia"/>
                <w:sz w:val="20"/>
                <w:szCs w:val="20"/>
              </w:rPr>
            </w:pPr>
          </w:p>
        </w:tc>
        <w:tc>
          <w:tcPr>
            <w:tcW w:w="5940" w:type="dxa"/>
          </w:tcPr>
          <w:p>
            <w:pPr>
              <w:spacing w:line="400" w:lineRule="atLeast"/>
              <w:jc w:val="left"/>
              <w:rPr>
                <w:rFonts w:ascii="宋体" w:hAnsi="宋体" w:hint="eastAsia"/>
                <w:color w:val="000000"/>
                <w:sz w:val="20"/>
                <w:szCs w:val="20"/>
              </w:rPr>
            </w:pPr>
            <w:r>
              <w:rPr>
                <w:rFonts w:ascii="宋体" w:hAnsi="宋体" w:hint="eastAsia"/>
                <w:color w:val="000000"/>
                <w:sz w:val="20"/>
                <w:szCs w:val="20"/>
              </w:rPr>
              <w:t>5.3 投标人违反合同约定，未能达到约定的管理目标，采购人有权要求投标人限期整改，逾期未改的，采购人有权终止合同；造成采购人经济损失的，投标人应给予采购人经济赔偿。</w:t>
            </w:r>
          </w:p>
        </w:tc>
      </w:tr>
      <w:tr>
        <w:tblPrEx>
          <w:tblW w:w="8820" w:type="dxa"/>
          <w:tblInd w:w="108" w:type="dxa"/>
          <w:tblLayout w:type="fixed"/>
          <w:tblCellMar>
            <w:top w:w="0" w:type="dxa"/>
            <w:left w:w="108" w:type="dxa"/>
            <w:bottom w:w="0" w:type="dxa"/>
            <w:right w:w="108" w:type="dxa"/>
          </w:tblCellMar>
        </w:tblPrEx>
        <w:trPr>
          <w:trHeight w:val="350"/>
        </w:trPr>
        <w:tc>
          <w:tcPr>
            <w:tcW w:w="1260" w:type="dxa"/>
            <w:vMerge/>
            <w:vAlign w:val="center"/>
          </w:tcPr>
          <w:p>
            <w:pPr>
              <w:spacing w:line="240" w:lineRule="atLeast"/>
              <w:jc w:val="center"/>
              <w:rPr>
                <w:rFonts w:ascii="宋体" w:hAnsi="宋体" w:hint="eastAsia"/>
                <w:bCs/>
                <w:sz w:val="20"/>
                <w:szCs w:val="20"/>
              </w:rPr>
            </w:pPr>
          </w:p>
        </w:tc>
        <w:tc>
          <w:tcPr>
            <w:tcW w:w="1620" w:type="dxa"/>
            <w:vMerge/>
            <w:vAlign w:val="center"/>
          </w:tcPr>
          <w:p>
            <w:pPr>
              <w:spacing w:line="400" w:lineRule="atLeast"/>
              <w:jc w:val="left"/>
              <w:rPr>
                <w:rFonts w:ascii="宋体" w:hAnsi="宋体" w:hint="eastAsia"/>
                <w:sz w:val="20"/>
                <w:szCs w:val="20"/>
              </w:rPr>
            </w:pPr>
          </w:p>
        </w:tc>
        <w:tc>
          <w:tcPr>
            <w:tcW w:w="5940" w:type="dxa"/>
          </w:tcPr>
          <w:p>
            <w:pPr>
              <w:spacing w:line="400" w:lineRule="atLeast"/>
              <w:jc w:val="left"/>
              <w:rPr>
                <w:rFonts w:ascii="宋体" w:hAnsi="宋体" w:hint="eastAsia"/>
                <w:color w:val="000000"/>
                <w:sz w:val="20"/>
                <w:szCs w:val="20"/>
              </w:rPr>
            </w:pPr>
            <w:r>
              <w:rPr>
                <w:rFonts w:ascii="宋体" w:hAnsi="宋体" w:hint="eastAsia"/>
                <w:color w:val="000000"/>
                <w:sz w:val="20"/>
                <w:szCs w:val="20"/>
              </w:rPr>
              <w:t>5.4因投标人未履行管理职责导致采购人或其他第三方人身或财产遭受损失、伤害的，投标人应当承担赔偿责任。</w:t>
            </w:r>
          </w:p>
        </w:tc>
      </w:tr>
      <w:tr>
        <w:tblPrEx>
          <w:tblW w:w="8820" w:type="dxa"/>
          <w:tblInd w:w="108" w:type="dxa"/>
          <w:tblLayout w:type="fixed"/>
          <w:tblCellMar>
            <w:top w:w="0" w:type="dxa"/>
            <w:left w:w="108" w:type="dxa"/>
            <w:bottom w:w="0" w:type="dxa"/>
            <w:right w:w="108" w:type="dxa"/>
          </w:tblCellMar>
        </w:tblPrEx>
        <w:trPr>
          <w:trHeight w:val="350"/>
        </w:trPr>
        <w:tc>
          <w:tcPr>
            <w:tcW w:w="1260" w:type="dxa"/>
            <w:vAlign w:val="center"/>
          </w:tcPr>
          <w:p>
            <w:pPr>
              <w:spacing w:line="240" w:lineRule="atLeast"/>
              <w:jc w:val="center"/>
              <w:rPr>
                <w:rFonts w:ascii="宋体" w:hAnsi="宋体" w:hint="eastAsia"/>
                <w:bCs/>
                <w:sz w:val="20"/>
                <w:szCs w:val="20"/>
              </w:rPr>
            </w:pPr>
            <w:r>
              <w:rPr>
                <w:rFonts w:ascii="宋体" w:hAnsi="宋体"/>
                <w:bCs/>
                <w:sz w:val="20"/>
                <w:szCs w:val="20"/>
              </w:rPr>
              <w:t>6</w:t>
            </w:r>
          </w:p>
        </w:tc>
        <w:tc>
          <w:tcPr>
            <w:tcW w:w="1620" w:type="dxa"/>
            <w:vAlign w:val="center"/>
          </w:tcPr>
          <w:p>
            <w:pPr>
              <w:spacing w:line="400" w:lineRule="atLeast"/>
              <w:jc w:val="center"/>
              <w:rPr>
                <w:rFonts w:ascii="宋体" w:hAnsi="宋体" w:hint="eastAsia"/>
                <w:sz w:val="20"/>
                <w:szCs w:val="20"/>
              </w:rPr>
            </w:pPr>
            <w:r>
              <w:rPr>
                <w:rFonts w:ascii="宋体" w:hAnsi="宋体" w:hint="eastAsia"/>
                <w:sz w:val="20"/>
                <w:szCs w:val="20"/>
              </w:rPr>
              <w:t>关于付款</w:t>
            </w:r>
          </w:p>
        </w:tc>
        <w:tc>
          <w:tcPr>
            <w:tcW w:w="5940" w:type="dxa"/>
          </w:tcPr>
          <w:p>
            <w:pPr>
              <w:spacing w:line="400" w:lineRule="atLeast"/>
              <w:jc w:val="left"/>
              <w:rPr>
                <w:rFonts w:ascii="宋体" w:hAnsi="宋体" w:hint="eastAsia"/>
                <w:b/>
                <w:sz w:val="20"/>
                <w:szCs w:val="20"/>
              </w:rPr>
            </w:pPr>
            <w:r>
              <w:rPr>
                <w:rFonts w:ascii="宋体" w:hAnsi="宋体" w:hint="eastAsia"/>
                <w:bCs/>
                <w:sz w:val="20"/>
                <w:szCs w:val="20"/>
              </w:rPr>
              <w:t>★</w:t>
            </w:r>
            <w:r>
              <w:rPr>
                <w:rFonts w:ascii="宋体" w:hAnsi="宋体" w:hint="eastAsia"/>
                <w:sz w:val="20"/>
                <w:szCs w:val="20"/>
              </w:rPr>
              <w:t>每一个月支付一次，每月5日结算。乙方应在每月5日前（法定节假日顺延）向甲方提交上一月度费用结算依据及符合国家财税规定的正式增值税专用发票（物业服务费发票）。上月服务费减去质量考核验收违约金（考核标准见附件四）后为上月应付费用，费用核算金额由甲方审核确认。甲方应在收到上述发票后的15个工作日内付款。</w:t>
            </w:r>
          </w:p>
        </w:tc>
      </w:tr>
      <w:tr>
        <w:tblPrEx>
          <w:tblW w:w="8820" w:type="dxa"/>
          <w:tblInd w:w="108" w:type="dxa"/>
          <w:tblLayout w:type="fixed"/>
          <w:tblCellMar>
            <w:top w:w="0" w:type="dxa"/>
            <w:left w:w="108" w:type="dxa"/>
            <w:bottom w:w="0" w:type="dxa"/>
            <w:right w:w="108" w:type="dxa"/>
          </w:tblCellMar>
        </w:tblPrEx>
        <w:trPr>
          <w:trHeight w:val="350"/>
        </w:trPr>
        <w:tc>
          <w:tcPr>
            <w:tcW w:w="1260" w:type="dxa"/>
            <w:vAlign w:val="center"/>
          </w:tcPr>
          <w:p>
            <w:pPr>
              <w:spacing w:line="240" w:lineRule="atLeast"/>
              <w:jc w:val="center"/>
              <w:rPr>
                <w:rFonts w:ascii="宋体" w:hAnsi="宋体" w:hint="eastAsia"/>
                <w:bCs/>
                <w:sz w:val="20"/>
                <w:szCs w:val="20"/>
              </w:rPr>
            </w:pPr>
            <w:r>
              <w:rPr>
                <w:rFonts w:ascii="宋体" w:hAnsi="宋体" w:hint="eastAsia"/>
                <w:bCs/>
                <w:sz w:val="20"/>
                <w:szCs w:val="20"/>
              </w:rPr>
              <w:t>7</w:t>
            </w:r>
          </w:p>
        </w:tc>
        <w:tc>
          <w:tcPr>
            <w:tcW w:w="1620" w:type="dxa"/>
            <w:vAlign w:val="center"/>
          </w:tcPr>
          <w:p>
            <w:pPr>
              <w:spacing w:line="400" w:lineRule="atLeast"/>
              <w:jc w:val="center"/>
              <w:rPr>
                <w:rFonts w:ascii="宋体" w:hAnsi="宋体" w:hint="eastAsia"/>
                <w:sz w:val="20"/>
                <w:szCs w:val="20"/>
              </w:rPr>
            </w:pPr>
            <w:r>
              <w:rPr>
                <w:rFonts w:ascii="宋体" w:hAnsi="宋体" w:hint="eastAsia"/>
                <w:sz w:val="20"/>
                <w:szCs w:val="20"/>
              </w:rPr>
              <w:t>争议解决</w:t>
            </w:r>
          </w:p>
        </w:tc>
        <w:tc>
          <w:tcPr>
            <w:tcW w:w="5940" w:type="dxa"/>
          </w:tcPr>
          <w:p>
            <w:pPr>
              <w:spacing w:line="400" w:lineRule="atLeast"/>
              <w:jc w:val="left"/>
              <w:rPr>
                <w:rFonts w:ascii="宋体" w:hAnsi="宋体" w:hint="eastAsia"/>
                <w:bCs/>
                <w:sz w:val="20"/>
                <w:szCs w:val="20"/>
              </w:rPr>
            </w:pPr>
            <w:r>
              <w:rPr>
                <w:rFonts w:ascii="宋体" w:hAnsi="宋体" w:hint="eastAsia"/>
                <w:sz w:val="20"/>
                <w:szCs w:val="20"/>
              </w:rPr>
              <w:t>7</w:t>
            </w:r>
            <w:r>
              <w:rPr>
                <w:rFonts w:ascii="宋体" w:hAnsi="宋体"/>
                <w:sz w:val="20"/>
                <w:szCs w:val="20"/>
              </w:rPr>
              <w:t>.1</w:t>
            </w:r>
            <w:r>
              <w:rPr>
                <w:rFonts w:ascii="宋体" w:hAnsi="宋体" w:hint="eastAsia"/>
                <w:sz w:val="20"/>
                <w:szCs w:val="20"/>
              </w:rPr>
              <w:t>凡因执行项目合同所发生的或与本合同有关的一切争议，双方应通过友好协商解决。如果协商还不能解决，应提交深圳仲裁委员会，按其仲裁规则和程序在深圳进行仲裁。仲裁裁决应为最终裁决，对双方均具有约束力。</w:t>
            </w:r>
          </w:p>
        </w:tc>
      </w:tr>
      <w:tr>
        <w:tblPrEx>
          <w:tblW w:w="8820" w:type="dxa"/>
          <w:tblInd w:w="108" w:type="dxa"/>
          <w:tblLayout w:type="fixed"/>
          <w:tblCellMar>
            <w:top w:w="0" w:type="dxa"/>
            <w:left w:w="108" w:type="dxa"/>
            <w:bottom w:w="0" w:type="dxa"/>
            <w:right w:w="108" w:type="dxa"/>
          </w:tblCellMar>
        </w:tblPrEx>
        <w:trPr>
          <w:trHeight w:val="350"/>
        </w:trPr>
        <w:tc>
          <w:tcPr>
            <w:tcW w:w="1260" w:type="dxa"/>
            <w:vMerge w:val="restart"/>
            <w:vAlign w:val="center"/>
          </w:tcPr>
          <w:p>
            <w:pPr>
              <w:spacing w:line="240" w:lineRule="atLeast"/>
              <w:jc w:val="center"/>
              <w:rPr>
                <w:rFonts w:ascii="宋体" w:hAnsi="宋体" w:hint="eastAsia"/>
                <w:bCs/>
                <w:sz w:val="20"/>
                <w:szCs w:val="20"/>
              </w:rPr>
            </w:pPr>
            <w:r>
              <w:rPr>
                <w:rFonts w:ascii="宋体" w:hAnsi="宋体" w:hint="eastAsia"/>
                <w:bCs/>
                <w:sz w:val="20"/>
                <w:szCs w:val="20"/>
              </w:rPr>
              <w:t>8</w:t>
            </w:r>
          </w:p>
        </w:tc>
        <w:tc>
          <w:tcPr>
            <w:tcW w:w="1620" w:type="dxa"/>
            <w:vMerge w:val="restart"/>
            <w:vAlign w:val="center"/>
          </w:tcPr>
          <w:p>
            <w:pPr>
              <w:spacing w:line="400" w:lineRule="atLeast"/>
              <w:jc w:val="center"/>
              <w:rPr>
                <w:rFonts w:ascii="宋体" w:hAnsi="宋体" w:hint="eastAsia"/>
                <w:sz w:val="20"/>
                <w:szCs w:val="20"/>
              </w:rPr>
            </w:pPr>
            <w:r>
              <w:rPr>
                <w:rFonts w:ascii="宋体" w:hAnsi="宋体" w:hint="eastAsia"/>
                <w:sz w:val="20"/>
                <w:szCs w:val="20"/>
              </w:rPr>
              <w:t>质量及知识产权要求</w:t>
            </w:r>
          </w:p>
        </w:tc>
        <w:tc>
          <w:tcPr>
            <w:tcW w:w="5940" w:type="dxa"/>
          </w:tcPr>
          <w:p>
            <w:pPr>
              <w:spacing w:line="400" w:lineRule="atLeast"/>
              <w:jc w:val="left"/>
              <w:rPr>
                <w:rFonts w:ascii="宋体" w:hAnsi="宋体" w:hint="eastAsia"/>
                <w:sz w:val="20"/>
                <w:szCs w:val="20"/>
              </w:rPr>
            </w:pPr>
            <w:r>
              <w:rPr>
                <w:rFonts w:ascii="宋体" w:hAnsi="宋体" w:hint="eastAsia"/>
                <w:sz w:val="20"/>
                <w:szCs w:val="20"/>
              </w:rPr>
              <w:t>8</w:t>
            </w:r>
            <w:r>
              <w:rPr>
                <w:rFonts w:ascii="宋体" w:hAnsi="宋体"/>
                <w:sz w:val="20"/>
                <w:szCs w:val="20"/>
              </w:rPr>
              <w:t>.1</w:t>
            </w:r>
            <w:r>
              <w:rPr>
                <w:rFonts w:ascii="宋体" w:hAnsi="宋体" w:hint="eastAsia"/>
                <w:sz w:val="20"/>
                <w:szCs w:val="20"/>
              </w:rPr>
              <w:t>供应商在中标后提供完好、全新的原包装产品（包括零配件），随机技术资料齐全。产品符合国家质量检测标准，应具有生产日期、厂名、厂址、产品合格证等。</w:t>
            </w:r>
          </w:p>
        </w:tc>
      </w:tr>
      <w:tr>
        <w:tblPrEx>
          <w:tblW w:w="8820" w:type="dxa"/>
          <w:tblInd w:w="108" w:type="dxa"/>
          <w:tblLayout w:type="fixed"/>
          <w:tblCellMar>
            <w:top w:w="0" w:type="dxa"/>
            <w:left w:w="108" w:type="dxa"/>
            <w:bottom w:w="0" w:type="dxa"/>
            <w:right w:w="108" w:type="dxa"/>
          </w:tblCellMar>
        </w:tblPrEx>
        <w:trPr>
          <w:trHeight w:val="350"/>
        </w:trPr>
        <w:tc>
          <w:tcPr>
            <w:tcW w:w="1260" w:type="dxa"/>
            <w:vMerge/>
            <w:vAlign w:val="center"/>
          </w:tcPr>
          <w:p>
            <w:pPr>
              <w:spacing w:line="240" w:lineRule="atLeast"/>
              <w:jc w:val="center"/>
              <w:rPr>
                <w:rFonts w:ascii="宋体" w:hAnsi="宋体" w:hint="eastAsia"/>
                <w:bCs/>
                <w:sz w:val="20"/>
                <w:szCs w:val="20"/>
              </w:rPr>
            </w:pPr>
          </w:p>
        </w:tc>
        <w:tc>
          <w:tcPr>
            <w:tcW w:w="1620" w:type="dxa"/>
            <w:vMerge/>
            <w:vAlign w:val="center"/>
          </w:tcPr>
          <w:p>
            <w:pPr>
              <w:spacing w:line="400" w:lineRule="atLeast"/>
              <w:jc w:val="left"/>
              <w:rPr>
                <w:rFonts w:ascii="宋体" w:hAnsi="宋体" w:hint="eastAsia"/>
                <w:sz w:val="20"/>
                <w:szCs w:val="20"/>
              </w:rPr>
            </w:pPr>
          </w:p>
        </w:tc>
        <w:tc>
          <w:tcPr>
            <w:tcW w:w="5940" w:type="dxa"/>
          </w:tcPr>
          <w:p>
            <w:pPr>
              <w:spacing w:line="400" w:lineRule="atLeast"/>
              <w:jc w:val="left"/>
              <w:rPr>
                <w:rFonts w:ascii="宋体" w:hAnsi="宋体" w:hint="eastAsia"/>
                <w:sz w:val="20"/>
                <w:szCs w:val="20"/>
              </w:rPr>
            </w:pPr>
            <w:r>
              <w:rPr>
                <w:rFonts w:ascii="宋体" w:hAnsi="宋体" w:hint="eastAsia"/>
                <w:sz w:val="20"/>
                <w:szCs w:val="20"/>
              </w:rPr>
              <w:t>8</w:t>
            </w:r>
            <w:r>
              <w:rPr>
                <w:rFonts w:ascii="宋体" w:hAnsi="宋体"/>
                <w:sz w:val="20"/>
                <w:szCs w:val="20"/>
              </w:rPr>
              <w:t>.2</w:t>
            </w:r>
            <w:r>
              <w:rPr>
                <w:rFonts w:ascii="宋体" w:hAnsi="宋体" w:hint="eastAsia"/>
                <w:sz w:val="20"/>
                <w:szCs w:val="20"/>
              </w:rPr>
              <w:t>采购人在中国使用该货物或货物的任何一部分时，免受第三方提出的侵犯其专利权、商标权或工业设计权等知识产权的起诉或司法干预。若因为知识产权纠纷造成的一切损害赔偿及损失由投标人承担，包括但不限于实际损失、预期损失和对方要求赔偿损失及支出的律师费、交通费和差旅费等。</w:t>
            </w:r>
          </w:p>
        </w:tc>
      </w:tr>
      <w:tr>
        <w:tblPrEx>
          <w:tblW w:w="8820" w:type="dxa"/>
          <w:tblInd w:w="108" w:type="dxa"/>
          <w:tblLayout w:type="fixed"/>
          <w:tblCellMar>
            <w:top w:w="0" w:type="dxa"/>
            <w:left w:w="108" w:type="dxa"/>
            <w:bottom w:w="0" w:type="dxa"/>
            <w:right w:w="108" w:type="dxa"/>
          </w:tblCellMar>
        </w:tblPrEx>
        <w:trPr>
          <w:trHeight w:val="350"/>
        </w:trPr>
        <w:tc>
          <w:tcPr>
            <w:tcW w:w="1260" w:type="dxa"/>
            <w:vAlign w:val="center"/>
          </w:tcPr>
          <w:p>
            <w:pPr>
              <w:spacing w:line="240" w:lineRule="atLeast"/>
              <w:jc w:val="center"/>
              <w:rPr>
                <w:rFonts w:ascii="宋体" w:hAnsi="宋体" w:hint="eastAsia"/>
                <w:bCs/>
                <w:sz w:val="20"/>
                <w:szCs w:val="20"/>
              </w:rPr>
            </w:pPr>
            <w:r>
              <w:rPr>
                <w:rFonts w:ascii="宋体" w:hAnsi="宋体"/>
                <w:bCs/>
                <w:sz w:val="20"/>
                <w:szCs w:val="20"/>
              </w:rPr>
              <w:t>9</w:t>
            </w:r>
          </w:p>
        </w:tc>
        <w:tc>
          <w:tcPr>
            <w:tcW w:w="1620" w:type="dxa"/>
            <w:vAlign w:val="center"/>
          </w:tcPr>
          <w:p>
            <w:pPr>
              <w:spacing w:line="400" w:lineRule="atLeast"/>
              <w:jc w:val="center"/>
              <w:rPr>
                <w:rFonts w:ascii="宋体" w:hAnsi="宋体" w:hint="eastAsia"/>
                <w:sz w:val="20"/>
                <w:szCs w:val="20"/>
              </w:rPr>
            </w:pPr>
            <w:r>
              <w:rPr>
                <w:rFonts w:ascii="宋体" w:hAnsi="宋体" w:hint="eastAsia"/>
                <w:sz w:val="20"/>
                <w:szCs w:val="20"/>
              </w:rPr>
              <w:t>不可抗力</w:t>
            </w:r>
          </w:p>
        </w:tc>
        <w:tc>
          <w:tcPr>
            <w:tcW w:w="5940" w:type="dxa"/>
          </w:tcPr>
          <w:p>
            <w:pPr>
              <w:spacing w:line="400" w:lineRule="atLeast"/>
              <w:jc w:val="left"/>
              <w:rPr>
                <w:rFonts w:ascii="宋体" w:hAnsi="宋体" w:hint="eastAsia"/>
                <w:bCs/>
                <w:sz w:val="20"/>
                <w:szCs w:val="20"/>
              </w:rPr>
            </w:pPr>
            <w:r>
              <w:rPr>
                <w:rFonts w:ascii="宋体" w:hAnsi="宋体"/>
                <w:sz w:val="20"/>
                <w:szCs w:val="20"/>
              </w:rPr>
              <w:t>9.1</w:t>
            </w:r>
            <w:r>
              <w:rPr>
                <w:rFonts w:ascii="宋体" w:hAnsi="宋体" w:hint="eastAsia"/>
                <w:sz w:val="20"/>
                <w:szCs w:val="20"/>
              </w:rPr>
              <w:t>签约双方任一方由于受到不可抗力的影响而不能执行合同时，应在不可抗力事件发生后尽快用电报、传真或电传通知另一方，并于事件发生后15天内将有关当局出具的证明文件用特快专递寄给另一方审阅确认。履行合同的期限相应予以延长，其延长的期限相当于事件所影响的时间。（不可抗力事件系指买卖双方在缔结合同时所不能预见的，并且它的发生及其后果是无法避免和无法克服的事件，诸如战争、严重火灾、洪水、台风、瘟疫、地震等。）</w:t>
            </w:r>
          </w:p>
        </w:tc>
      </w:tr>
      <w:tr>
        <w:tblPrEx>
          <w:tblW w:w="8820" w:type="dxa"/>
          <w:tblInd w:w="108" w:type="dxa"/>
          <w:tblLayout w:type="fixed"/>
          <w:tblCellMar>
            <w:top w:w="0" w:type="dxa"/>
            <w:left w:w="108" w:type="dxa"/>
            <w:bottom w:w="0" w:type="dxa"/>
            <w:right w:w="108" w:type="dxa"/>
          </w:tblCellMar>
        </w:tblPrEx>
        <w:trPr>
          <w:trHeight w:val="350"/>
        </w:trPr>
        <w:tc>
          <w:tcPr>
            <w:tcW w:w="1260" w:type="dxa"/>
            <w:vAlign w:val="center"/>
          </w:tcPr>
          <w:p>
            <w:pPr>
              <w:spacing w:line="240" w:lineRule="atLeast"/>
              <w:jc w:val="center"/>
              <w:rPr>
                <w:rFonts w:ascii="宋体" w:hAnsi="宋体" w:hint="eastAsia"/>
                <w:bCs/>
                <w:sz w:val="20"/>
                <w:szCs w:val="20"/>
              </w:rPr>
            </w:pPr>
            <w:r>
              <w:rPr>
                <w:rFonts w:ascii="宋体" w:hAnsi="宋体"/>
                <w:bCs/>
                <w:sz w:val="20"/>
                <w:szCs w:val="20"/>
              </w:rPr>
              <w:t>10</w:t>
            </w:r>
          </w:p>
        </w:tc>
        <w:tc>
          <w:tcPr>
            <w:tcW w:w="1620" w:type="dxa"/>
            <w:vAlign w:val="center"/>
          </w:tcPr>
          <w:p>
            <w:pPr>
              <w:spacing w:line="400" w:lineRule="atLeast"/>
              <w:jc w:val="center"/>
              <w:rPr>
                <w:rFonts w:ascii="宋体" w:hAnsi="宋体" w:hint="eastAsia"/>
                <w:sz w:val="20"/>
                <w:szCs w:val="20"/>
              </w:rPr>
            </w:pPr>
            <w:r>
              <w:rPr>
                <w:rFonts w:ascii="宋体" w:hAnsi="宋体" w:hint="eastAsia"/>
                <w:sz w:val="20"/>
                <w:szCs w:val="20"/>
              </w:rPr>
              <w:t>报价要求</w:t>
            </w:r>
          </w:p>
        </w:tc>
        <w:tc>
          <w:tcPr>
            <w:tcW w:w="5940" w:type="dxa"/>
          </w:tcPr>
          <w:p>
            <w:pPr>
              <w:spacing w:line="400" w:lineRule="atLeast"/>
              <w:jc w:val="left"/>
              <w:rPr>
                <w:rFonts w:ascii="宋体" w:hAnsi="宋体" w:hint="eastAsia"/>
                <w:bCs/>
                <w:sz w:val="20"/>
                <w:szCs w:val="20"/>
              </w:rPr>
            </w:pPr>
            <w:r>
              <w:rPr>
                <w:rFonts w:ascii="宋体" w:hAnsi="宋体" w:hint="eastAsia"/>
                <w:bCs/>
                <w:sz w:val="20"/>
                <w:szCs w:val="20"/>
              </w:rPr>
              <w:t>投标总价是完成该项目的一切费用总和，包括设备费、运输费、装卸费、保险费、技术培训费、设备安装费、调试费、售后服务费、国家规定的各项税费等全部费用；</w:t>
            </w:r>
          </w:p>
        </w:tc>
      </w:tr>
      <w:tr>
        <w:tblPrEx>
          <w:tblW w:w="8820" w:type="dxa"/>
          <w:tblInd w:w="108" w:type="dxa"/>
          <w:tblLayout w:type="fixed"/>
          <w:tblCellMar>
            <w:top w:w="0" w:type="dxa"/>
            <w:left w:w="108" w:type="dxa"/>
            <w:bottom w:w="0" w:type="dxa"/>
            <w:right w:w="108" w:type="dxa"/>
          </w:tblCellMar>
        </w:tblPrEx>
        <w:trPr>
          <w:trHeight w:val="350"/>
        </w:trPr>
        <w:tc>
          <w:tcPr>
            <w:tcW w:w="1260" w:type="dxa"/>
            <w:vAlign w:val="center"/>
          </w:tcPr>
          <w:p>
            <w:pPr>
              <w:spacing w:line="240" w:lineRule="atLeast"/>
              <w:jc w:val="center"/>
              <w:rPr>
                <w:rFonts w:ascii="宋体" w:hAnsi="宋体" w:hint="eastAsia"/>
                <w:bCs/>
                <w:sz w:val="20"/>
                <w:szCs w:val="20"/>
              </w:rPr>
            </w:pPr>
            <w:r>
              <w:rPr>
                <w:rFonts w:ascii="宋体" w:hAnsi="宋体" w:hint="eastAsia"/>
                <w:bCs/>
                <w:sz w:val="20"/>
                <w:szCs w:val="20"/>
              </w:rPr>
              <w:t>11</w:t>
            </w:r>
          </w:p>
        </w:tc>
        <w:tc>
          <w:tcPr>
            <w:tcW w:w="1620" w:type="dxa"/>
            <w:vAlign w:val="center"/>
          </w:tcPr>
          <w:p>
            <w:pPr>
              <w:spacing w:line="400" w:lineRule="atLeast"/>
              <w:jc w:val="center"/>
              <w:rPr>
                <w:rFonts w:ascii="宋体" w:hAnsi="宋体" w:hint="eastAsia"/>
                <w:sz w:val="20"/>
                <w:szCs w:val="20"/>
              </w:rPr>
            </w:pPr>
            <w:r>
              <w:rPr>
                <w:rFonts w:ascii="宋体" w:hAnsi="宋体" w:hint="eastAsia"/>
                <w:sz w:val="20"/>
                <w:szCs w:val="20"/>
              </w:rPr>
              <w:t>其他</w:t>
            </w:r>
          </w:p>
        </w:tc>
        <w:tc>
          <w:tcPr>
            <w:tcW w:w="5940" w:type="dxa"/>
          </w:tcPr>
          <w:p>
            <w:pPr>
              <w:spacing w:line="400" w:lineRule="atLeast"/>
              <w:jc w:val="left"/>
              <w:rPr>
                <w:rFonts w:ascii="宋体" w:hAnsi="宋体" w:hint="eastAsia"/>
                <w:bCs/>
                <w:sz w:val="20"/>
                <w:szCs w:val="20"/>
              </w:rPr>
            </w:pPr>
            <w:r>
              <w:rPr>
                <w:rFonts w:ascii="宋体" w:hAnsi="宋体" w:hint="eastAsia"/>
                <w:b/>
                <w:sz w:val="20"/>
                <w:szCs w:val="20"/>
              </w:rPr>
              <w:t>★投标人满足《保安服务管理条例》《公安机关实施保安服务管理条例办法》有关规定要求的从业许可和备案要求</w:t>
            </w:r>
          </w:p>
        </w:tc>
      </w:tr>
    </w:tbl>
    <w:p>
      <w:pPr>
        <w:ind w:firstLine="420" w:firstLineChars="200"/>
        <w:rPr>
          <w:rFonts w:asciiTheme="minorEastAsia" w:eastAsiaTheme="minorEastAsia" w:hAnsiTheme="minorEastAsia" w:hint="eastAsia"/>
        </w:rPr>
      </w:pPr>
    </w:p>
    <w:p/>
    <w:p>
      <w:pPr>
        <w:pStyle w:val="Heading2"/>
        <w:spacing w:before="120" w:beforeLines="50" w:after="120" w:afterLines="50"/>
        <w:rPr>
          <w:rFonts w:hint="eastAsia"/>
          <w:szCs w:val="24"/>
        </w:rPr>
      </w:pPr>
      <w:r>
        <w:rPr>
          <w:rFonts w:hint="eastAsia"/>
          <w:szCs w:val="24"/>
        </w:rPr>
        <w:t>七、其他重要条款</w:t>
      </w:r>
    </w:p>
    <w:p>
      <w:pPr>
        <w:spacing w:line="360" w:lineRule="auto"/>
        <w:ind w:firstLine="420" w:firstLineChars="200"/>
        <w:rPr>
          <w:bCs/>
          <w:szCs w:val="21"/>
        </w:rPr>
      </w:pPr>
      <w:r>
        <w:rPr>
          <w:rFonts w:hint="eastAsia"/>
          <w:bCs/>
          <w:szCs w:val="21"/>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pStyle w:val="NormalIndent"/>
        <w:spacing w:before="60" w:beforeLines="25" w:after="60" w:afterLines="25" w:line="360" w:lineRule="auto"/>
        <w:ind w:firstLine="393" w:firstLineChars="187"/>
        <w:rPr>
          <w:rFonts w:ascii="宋体" w:hAnsi="宋体" w:hint="eastAsia"/>
          <w:szCs w:val="21"/>
        </w:rPr>
      </w:pPr>
      <w:r>
        <w:rPr>
          <w:rFonts w:hint="eastAsia"/>
          <w:bCs/>
          <w:szCs w:val="21"/>
        </w:rPr>
        <w:t>2.投标人应充分了解项目的位置、情况、道路及任何其它足以影响投标报价的情况，任何因忽视或误解项目情况而导致的索赔或服务期限延长申请将不获批准。</w:t>
      </w:r>
    </w:p>
    <w:p>
      <w:pPr>
        <w:spacing w:line="360" w:lineRule="auto"/>
        <w:ind w:firstLine="420" w:firstLineChars="200"/>
        <w:rPr>
          <w:bCs/>
          <w:szCs w:val="21"/>
        </w:rPr>
      </w:pPr>
      <w:r>
        <w:rPr>
          <w:rFonts w:hint="eastAsia"/>
          <w:bCs/>
          <w:szCs w:val="21"/>
        </w:rPr>
        <w:t>3.投标人不得期望通过索赔等方式获取补偿，否则，除可能遭到拒绝外，还可能将被作为不良行为记录在案，并可能影响其以后参加政府采购的项目投标。各投标人在投标报价时，应充分考虑投标报价的风险。</w:t>
      </w:r>
    </w:p>
    <w:p>
      <w:pPr>
        <w:spacing w:line="360" w:lineRule="auto"/>
        <w:ind w:firstLine="420" w:firstLineChars="200"/>
        <w:rPr>
          <w:bCs/>
          <w:szCs w:val="21"/>
        </w:rPr>
      </w:pPr>
      <w:r>
        <w:rPr>
          <w:rFonts w:hint="eastAsia"/>
          <w:bCs/>
          <w:szCs w:val="21"/>
        </w:rPr>
        <w:t>4.除政府采购合同继续履行将损害国家利益和社会公共利益外，双方当事人不得擅自变更、中止或者终止合同。</w:t>
      </w:r>
    </w:p>
    <w:p>
      <w:r>
        <w:rPr>
          <w:rFonts w:hint="eastAsia"/>
        </w:rPr>
        <w:br w:type="page"/>
      </w:r>
    </w:p>
    <w:p>
      <w:pPr>
        <w:pStyle w:val="Heading2"/>
        <w:rPr>
          <w:rFonts w:hint="eastAsia"/>
          <w:kern w:val="2"/>
        </w:rPr>
      </w:pPr>
      <w:r>
        <w:rPr>
          <w:rFonts w:hint="eastAsia"/>
          <w:kern w:val="2"/>
        </w:rPr>
        <w:t>第四章 投标文件组成要求及格式</w:t>
      </w:r>
    </w:p>
    <w:p>
      <w:pPr>
        <w:rPr>
          <w:rStyle w:val="3Char"/>
          <w:sz w:val="24"/>
        </w:rPr>
      </w:pPr>
      <w:r>
        <w:rPr>
          <w:rStyle w:val="3Char"/>
          <w:rFonts w:hint="eastAsia"/>
          <w:sz w:val="24"/>
        </w:rPr>
        <w:t>特别提醒：</w:t>
      </w:r>
    </w:p>
    <w:p>
      <w:pPr>
        <w:ind w:firstLine="420" w:firstLineChars="200"/>
        <w:rPr>
          <w:rFonts w:ascii="仿宋_GB2312" w:eastAsia="仿宋_GB2312"/>
          <w:sz w:val="24"/>
        </w:rPr>
      </w:pPr>
      <w:r>
        <w:rPr>
          <w:rFonts w:ascii="仿宋_GB2312" w:eastAsia="仿宋_GB2312" w:hint="eastAsia"/>
          <w:sz w:val="24"/>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rPr>
          <w:rFonts w:ascii="仿宋_GB2312" w:eastAsia="仿宋_GB2312"/>
          <w:sz w:val="24"/>
        </w:rPr>
      </w:pPr>
      <w:r>
        <w:rPr>
          <w:rFonts w:ascii="仿宋_GB2312" w:eastAsia="仿宋_GB2312" w:hint="eastAsia"/>
          <w:sz w:val="24"/>
        </w:rPr>
        <w:t xml:space="preserve">    投标文件正文（信息公开部分）必须编制于“正文（公开部分）”，投标文件附件（非信息公开部分）必须编制于“附件（不公开部分）”，如下图所示。</w:t>
      </w:r>
    </w:p>
    <w:p>
      <w:pPr>
        <w:widowControl/>
        <w:jc w:val="left"/>
        <w:rPr>
          <w:rFonts w:ascii="宋体" w:hAnsi="宋体" w:cs="宋体" w:hint="eastAsia"/>
          <w:kern w:val="0"/>
          <w:sz w:val="24"/>
        </w:rPr>
      </w:pPr>
      <w:r>
        <w:drawing>
          <wp:inline distT="0" distB="0" distL="114300" distR="114300">
            <wp:extent cx="5203190" cy="4043045"/>
            <wp:effectExtent l="0" t="0" r="8890" b="10795"/>
            <wp:docPr id="8" name="图片 1" descr="c66f322b8feee32c1a3f0d48f365c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c66f322b8feee32c1a3f0d48f365c82"/>
                    <pic:cNvPicPr>
                      <a:picLocks noChangeAspect="1"/>
                    </pic:cNvPicPr>
                  </pic:nvPicPr>
                  <pic:blipFill>
                    <a:blip xmlns:r="http://schemas.openxmlformats.org/officeDocument/2006/relationships" r:embed="rId8"/>
                    <a:stretch>
                      <a:fillRect/>
                    </a:stretch>
                  </pic:blipFill>
                  <pic:spPr>
                    <a:xfrm>
                      <a:off x="0" y="0"/>
                      <a:ext cx="5203190" cy="4043045"/>
                    </a:xfrm>
                    <a:prstGeom prst="rect">
                      <a:avLst/>
                    </a:prstGeom>
                  </pic:spPr>
                </pic:pic>
              </a:graphicData>
            </a:graphic>
          </wp:inline>
        </w:drawing>
      </w:r>
    </w:p>
    <w:p>
      <w:pPr>
        <w:ind w:firstLine="420" w:firstLineChars="200"/>
        <w:rPr>
          <w:rFonts w:ascii="仿宋_GB2312" w:eastAsia="仿宋_GB2312"/>
          <w:sz w:val="24"/>
        </w:rPr>
      </w:pPr>
      <w:r>
        <w:rPr>
          <w:rFonts w:ascii="仿宋_GB2312" w:eastAsia="仿宋_GB2312" w:hint="eastAsia"/>
          <w:sz w:val="24"/>
        </w:rPr>
        <w:t>政府集中采购机构公布投标文件正文（信息公开部分）时为计算机截取信息自动公布，</w:t>
      </w:r>
      <w:r>
        <w:rPr>
          <w:rFonts w:ascii="仿宋_GB2312" w:eastAsia="仿宋_GB2312" w:hint="eastAsia"/>
          <w:b/>
          <w:bCs/>
          <w:sz w:val="24"/>
        </w:rPr>
        <w:t>如投标人误将涉及个人隐私的信息放入投标文件正文，相关后果由投标人自负；</w:t>
      </w:r>
      <w:r>
        <w:rPr>
          <w:rFonts w:ascii="仿宋_GB2312" w:eastAsia="仿宋_GB2312" w:hint="eastAsia"/>
          <w:sz w:val="24"/>
          <w:highlight w:val="yellow"/>
        </w:rPr>
        <w:t>如投标人将必须放于投标文件正文（信息公开部分）的内容放入投标文件附件（非信息公开部分），将作投标无效处理。</w:t>
      </w:r>
    </w:p>
    <w:p>
      <w:pPr>
        <w:ind w:firstLine="420" w:firstLineChars="200"/>
        <w:rPr>
          <w:rFonts w:ascii="仿宋_GB2312" w:eastAsia="仿宋_GB2312"/>
          <w:sz w:val="24"/>
        </w:rPr>
      </w:pPr>
    </w:p>
    <w:p>
      <w:pPr>
        <w:ind w:firstLine="420" w:firstLineChars="200"/>
        <w:rPr>
          <w:rFonts w:ascii="宋体" w:hAnsi="宋体" w:hint="eastAsia"/>
          <w:b/>
          <w:sz w:val="24"/>
        </w:rPr>
      </w:pPr>
    </w:p>
    <w:p>
      <w:pPr>
        <w:rPr>
          <w:rFonts w:ascii="宋体" w:hAnsi="宋体" w:hint="eastAsia"/>
          <w:sz w:val="24"/>
        </w:rPr>
      </w:pPr>
      <w:r>
        <w:rPr>
          <w:rFonts w:ascii="宋体" w:hAnsi="宋体" w:hint="eastAsia"/>
          <w:sz w:val="24"/>
        </w:rPr>
        <w:t>投标文件组成：</w:t>
      </w:r>
    </w:p>
    <w:p>
      <w:pPr>
        <w:ind w:firstLine="1050" w:firstLineChars="500"/>
        <w:outlineLvl w:val="0"/>
        <w:rPr>
          <w:rFonts w:ascii="宋体" w:hAnsi="宋体" w:hint="eastAsia"/>
          <w:sz w:val="24"/>
        </w:rPr>
      </w:pPr>
      <w:r>
        <w:rPr>
          <w:rFonts w:ascii="宋体" w:hAnsi="宋体" w:hint="eastAsia"/>
          <w:sz w:val="24"/>
        </w:rPr>
        <w:t>1.投标文件正文</w:t>
      </w:r>
      <w:r>
        <w:rPr>
          <w:rFonts w:ascii="宋体" w:hAnsi="宋体" w:hint="eastAsia"/>
          <w:b/>
          <w:color w:val="FF0000"/>
          <w:sz w:val="24"/>
        </w:rPr>
        <w:t>（信息公开部分）</w:t>
      </w:r>
      <w:r>
        <w:rPr>
          <w:rFonts w:ascii="宋体" w:hAnsi="宋体" w:hint="eastAsia"/>
          <w:sz w:val="24"/>
        </w:rPr>
        <w:t>，主要包括以下内容：</w:t>
      </w:r>
    </w:p>
    <w:p>
      <w:pPr>
        <w:ind w:left="718" w:firstLine="1418" w:leftChars="342" w:firstLineChars="675"/>
        <w:rPr>
          <w:szCs w:val="21"/>
        </w:rPr>
      </w:pPr>
      <w:r>
        <w:rPr>
          <w:rFonts w:hint="eastAsia"/>
          <w:szCs w:val="21"/>
        </w:rPr>
        <w:t>（1）</w:t>
      </w:r>
      <w:bookmarkStart w:id="42" w:name="_Hlk72070784"/>
      <w:r>
        <w:rPr>
          <w:rFonts w:hint="eastAsia"/>
          <w:szCs w:val="21"/>
        </w:rPr>
        <w:t>投标函</w:t>
      </w:r>
      <w:bookmarkEnd w:id="42"/>
    </w:p>
    <w:p>
      <w:pPr>
        <w:ind w:left="718" w:firstLine="1418" w:leftChars="342" w:firstLineChars="675"/>
        <w:rPr>
          <w:szCs w:val="21"/>
        </w:rPr>
      </w:pPr>
      <w:r>
        <w:rPr>
          <w:rFonts w:hint="eastAsia"/>
          <w:szCs w:val="21"/>
        </w:rPr>
        <w:t>（2）</w:t>
      </w:r>
      <w:bookmarkStart w:id="43" w:name="_Hlk72062521"/>
      <w:r>
        <w:rPr>
          <w:rFonts w:hint="eastAsia"/>
          <w:szCs w:val="21"/>
        </w:rPr>
        <w:t>政府采购投标及履约承诺函</w:t>
      </w:r>
      <w:bookmarkEnd w:id="43"/>
    </w:p>
    <w:p>
      <w:pPr>
        <w:ind w:left="718" w:firstLine="1418" w:leftChars="342" w:firstLineChars="675"/>
        <w:rPr>
          <w:szCs w:val="21"/>
        </w:rPr>
      </w:pPr>
      <w:r>
        <w:rPr>
          <w:rFonts w:hint="eastAsia"/>
          <w:szCs w:val="21"/>
        </w:rPr>
        <w:t>（</w:t>
      </w:r>
      <w:r>
        <w:rPr>
          <w:szCs w:val="21"/>
        </w:rPr>
        <w:t>3</w:t>
      </w:r>
      <w:r>
        <w:rPr>
          <w:rFonts w:hint="eastAsia"/>
          <w:szCs w:val="21"/>
        </w:rPr>
        <w:t>）投标人情况及资格证明文件</w:t>
      </w:r>
    </w:p>
    <w:p>
      <w:pPr>
        <w:ind w:left="718" w:firstLine="1418" w:leftChars="342" w:firstLineChars="675"/>
        <w:rPr>
          <w:szCs w:val="21"/>
        </w:rPr>
      </w:pPr>
      <w:bookmarkStart w:id="44" w:name="_Hlk72257201"/>
      <w:r>
        <w:rPr>
          <w:rFonts w:hint="eastAsia"/>
          <w:szCs w:val="21"/>
        </w:rPr>
        <w:t>（</w:t>
      </w:r>
      <w:r>
        <w:rPr>
          <w:szCs w:val="21"/>
        </w:rPr>
        <w:t>4</w:t>
      </w:r>
      <w:r>
        <w:rPr>
          <w:rFonts w:hint="eastAsia"/>
          <w:szCs w:val="21"/>
        </w:rPr>
        <w:t>）项目详细报价</w:t>
      </w:r>
      <w:bookmarkEnd w:id="44"/>
    </w:p>
    <w:p>
      <w:pPr>
        <w:ind w:left="718" w:firstLine="1418" w:leftChars="342" w:firstLineChars="675"/>
        <w:rPr>
          <w:rFonts w:hint="eastAsia"/>
          <w:szCs w:val="21"/>
        </w:rPr>
      </w:pPr>
      <w:r>
        <w:rPr>
          <w:rFonts w:hint="eastAsia"/>
          <w:szCs w:val="21"/>
        </w:rPr>
        <w:t>（5）供应商认证情况</w:t>
      </w:r>
    </w:p>
    <w:p>
      <w:pPr>
        <w:ind w:left="718" w:firstLine="1418" w:leftChars="342" w:firstLineChars="675"/>
        <w:rPr>
          <w:rFonts w:hint="eastAsia"/>
          <w:szCs w:val="21"/>
        </w:rPr>
      </w:pPr>
      <w:r>
        <w:rPr>
          <w:rFonts w:hint="eastAsia"/>
          <w:szCs w:val="21"/>
        </w:rPr>
        <w:t>（</w:t>
      </w:r>
      <w:r>
        <w:rPr>
          <w:rFonts w:hint="eastAsia"/>
          <w:szCs w:val="21"/>
          <w:lang w:val="en-US" w:eastAsia="zh-CN"/>
        </w:rPr>
        <w:t>6</w:t>
      </w:r>
      <w:r>
        <w:rPr>
          <w:rFonts w:hint="eastAsia"/>
          <w:szCs w:val="21"/>
        </w:rPr>
        <w:t>）供应商同类项目业绩情况</w:t>
      </w:r>
    </w:p>
    <w:p>
      <w:pPr>
        <w:ind w:left="718" w:firstLine="1418" w:leftChars="342" w:firstLineChars="675"/>
        <w:rPr>
          <w:rFonts w:hint="eastAsia"/>
          <w:szCs w:val="21"/>
        </w:rPr>
      </w:pPr>
      <w:r>
        <w:rPr>
          <w:rFonts w:hint="eastAsia"/>
          <w:szCs w:val="21"/>
        </w:rPr>
        <w:t>（</w:t>
      </w:r>
      <w:r>
        <w:rPr>
          <w:rFonts w:hint="eastAsia"/>
          <w:szCs w:val="21"/>
          <w:lang w:val="en-US" w:eastAsia="zh-CN"/>
        </w:rPr>
        <w:t>7</w:t>
      </w:r>
      <w:r>
        <w:rPr>
          <w:rFonts w:hint="eastAsia"/>
          <w:szCs w:val="21"/>
        </w:rPr>
        <w:t>）供应商获奖情况</w:t>
      </w:r>
    </w:p>
    <w:p>
      <w:pPr>
        <w:ind w:left="718" w:firstLine="1418" w:leftChars="342" w:firstLineChars="675"/>
        <w:rPr>
          <w:rFonts w:hint="eastAsia"/>
          <w:szCs w:val="21"/>
        </w:rPr>
      </w:pPr>
      <w:r>
        <w:rPr>
          <w:rFonts w:hint="eastAsia"/>
          <w:szCs w:val="21"/>
        </w:rPr>
        <w:t>（</w:t>
      </w:r>
      <w:r>
        <w:rPr>
          <w:rFonts w:hint="eastAsia"/>
          <w:szCs w:val="21"/>
          <w:lang w:val="en-US" w:eastAsia="zh-CN"/>
        </w:rPr>
        <w:t>8</w:t>
      </w:r>
      <w:r>
        <w:rPr>
          <w:rFonts w:hint="eastAsia"/>
          <w:szCs w:val="21"/>
        </w:rPr>
        <w:t>）供应商自主知识产权产品（创新、设计）情况</w:t>
      </w:r>
    </w:p>
    <w:p>
      <w:pPr>
        <w:ind w:left="718" w:firstLine="1418" w:leftChars="342" w:firstLineChars="675"/>
        <w:rPr>
          <w:szCs w:val="21"/>
        </w:rPr>
      </w:pPr>
      <w:r>
        <w:rPr>
          <w:rFonts w:hint="eastAsia"/>
          <w:szCs w:val="21"/>
        </w:rPr>
        <w:t>（</w:t>
      </w:r>
      <w:r>
        <w:rPr>
          <w:rFonts w:hint="eastAsia"/>
          <w:szCs w:val="21"/>
          <w:lang w:val="en-US" w:eastAsia="zh-CN"/>
        </w:rPr>
        <w:t>9</w:t>
      </w:r>
      <w:r>
        <w:rPr>
          <w:rFonts w:hint="eastAsia"/>
          <w:szCs w:val="21"/>
        </w:rPr>
        <w:t>）服务网点</w:t>
      </w:r>
    </w:p>
    <w:p>
      <w:pPr>
        <w:ind w:firstLine="1050" w:firstLineChars="500"/>
        <w:outlineLvl w:val="0"/>
        <w:rPr>
          <w:rFonts w:ascii="宋体" w:hAnsi="宋体" w:hint="eastAsia"/>
          <w:sz w:val="24"/>
        </w:rPr>
      </w:pPr>
    </w:p>
    <w:p>
      <w:pPr>
        <w:ind w:firstLine="1050" w:firstLineChars="500"/>
        <w:outlineLvl w:val="0"/>
        <w:rPr>
          <w:rFonts w:ascii="宋体" w:hAnsi="宋体" w:hint="eastAsia"/>
          <w:sz w:val="24"/>
        </w:rPr>
      </w:pPr>
      <w:r>
        <w:rPr>
          <w:rFonts w:ascii="宋体" w:hAnsi="宋体" w:hint="eastAsia"/>
          <w:sz w:val="24"/>
        </w:rPr>
        <w:t>2.投标文件附件</w:t>
      </w:r>
      <w:r>
        <w:rPr>
          <w:rFonts w:ascii="宋体" w:hAnsi="宋体" w:hint="eastAsia"/>
          <w:b/>
          <w:color w:val="FF0000"/>
          <w:sz w:val="24"/>
        </w:rPr>
        <w:t>（信息不公开部分）</w:t>
      </w:r>
      <w:r>
        <w:rPr>
          <w:rFonts w:ascii="宋体" w:hAnsi="宋体" w:hint="eastAsia"/>
          <w:sz w:val="24"/>
        </w:rPr>
        <w:t>：主要包括以下内容：</w:t>
      </w:r>
    </w:p>
    <w:p>
      <w:pPr>
        <w:ind w:firstLine="2100" w:firstLineChars="1000"/>
        <w:rPr>
          <w:szCs w:val="21"/>
        </w:rPr>
      </w:pPr>
      <w:bookmarkStart w:id="45" w:name="OLE_LINK1"/>
      <w:r>
        <w:rPr>
          <w:rFonts w:hint="eastAsia"/>
          <w:szCs w:val="21"/>
        </w:rPr>
        <w:t>（1）供应商基本情况表</w:t>
      </w:r>
    </w:p>
    <w:p>
      <w:pPr>
        <w:ind w:firstLine="2100" w:firstLineChars="1000"/>
        <w:rPr>
          <w:szCs w:val="21"/>
        </w:rPr>
      </w:pPr>
      <w:r>
        <w:rPr>
          <w:rFonts w:hint="eastAsia"/>
          <w:szCs w:val="21"/>
        </w:rPr>
        <w:t>（2）法定代表人（负责人）证明书</w:t>
      </w:r>
    </w:p>
    <w:p>
      <w:pPr>
        <w:ind w:left="718" w:firstLine="1418" w:leftChars="342" w:firstLineChars="675"/>
        <w:rPr>
          <w:szCs w:val="21"/>
        </w:rPr>
      </w:pPr>
      <w:r>
        <w:rPr>
          <w:rFonts w:hint="eastAsia"/>
          <w:szCs w:val="21"/>
        </w:rPr>
        <w:t>（3）投标文件签署授权委托书</w:t>
      </w:r>
    </w:p>
    <w:p>
      <w:pPr>
        <w:ind w:left="718" w:firstLine="1418" w:leftChars="342" w:firstLineChars="675"/>
        <w:rPr>
          <w:szCs w:val="21"/>
        </w:rPr>
      </w:pPr>
      <w:r>
        <w:rPr>
          <w:rFonts w:hint="eastAsia"/>
          <w:szCs w:val="21"/>
        </w:rPr>
        <w:t>（4）</w:t>
      </w:r>
      <w:r>
        <w:rPr>
          <w:szCs w:val="21"/>
        </w:rPr>
        <w:t>实质性条款响应情况表</w:t>
      </w:r>
    </w:p>
    <w:p>
      <w:pPr>
        <w:ind w:left="718" w:firstLine="1418" w:leftChars="342" w:firstLineChars="675"/>
        <w:rPr>
          <w:rFonts w:hint="eastAsia"/>
          <w:szCs w:val="21"/>
        </w:rPr>
      </w:pPr>
      <w:r>
        <w:rPr>
          <w:rFonts w:hint="eastAsia"/>
          <w:szCs w:val="21"/>
        </w:rPr>
        <w:t>（5）实施方案</w:t>
      </w:r>
    </w:p>
    <w:p>
      <w:pPr>
        <w:ind w:left="718" w:firstLine="1418" w:leftChars="342" w:firstLineChars="675"/>
        <w:rPr>
          <w:rFonts w:hint="eastAsia"/>
          <w:szCs w:val="21"/>
        </w:rPr>
      </w:pPr>
      <w:r>
        <w:rPr>
          <w:rFonts w:hint="eastAsia"/>
          <w:szCs w:val="21"/>
        </w:rPr>
        <w:t>（6）项目重点难点分析、应对措施及相关的合理化建议</w:t>
      </w:r>
    </w:p>
    <w:p>
      <w:pPr>
        <w:ind w:left="718" w:firstLine="1418" w:leftChars="342" w:firstLineChars="675"/>
        <w:rPr>
          <w:rFonts w:hint="eastAsia"/>
          <w:szCs w:val="21"/>
        </w:rPr>
      </w:pPr>
      <w:r>
        <w:rPr>
          <w:rFonts w:hint="eastAsia"/>
          <w:szCs w:val="21"/>
        </w:rPr>
        <w:t>（</w:t>
      </w:r>
      <w:r>
        <w:rPr>
          <w:rFonts w:hint="eastAsia"/>
          <w:szCs w:val="21"/>
          <w:lang w:val="en-US" w:eastAsia="zh-CN"/>
        </w:rPr>
        <w:t>7</w:t>
      </w:r>
      <w:r>
        <w:rPr>
          <w:rFonts w:hint="eastAsia"/>
          <w:szCs w:val="21"/>
        </w:rPr>
        <w:t>）质量（完成时间、安全、环保）保障措施及方案</w:t>
      </w:r>
    </w:p>
    <w:p>
      <w:pPr>
        <w:ind w:left="718" w:firstLine="1418" w:leftChars="342" w:firstLineChars="675"/>
        <w:rPr>
          <w:rFonts w:hint="eastAsia"/>
          <w:szCs w:val="21"/>
        </w:rPr>
      </w:pPr>
      <w:r>
        <w:rPr>
          <w:rFonts w:hint="eastAsia"/>
          <w:szCs w:val="21"/>
        </w:rPr>
        <w:t>（</w:t>
      </w:r>
      <w:r>
        <w:rPr>
          <w:rFonts w:hint="eastAsia"/>
          <w:szCs w:val="21"/>
          <w:lang w:val="en-US" w:eastAsia="zh-CN"/>
        </w:rPr>
        <w:t>8</w:t>
      </w:r>
      <w:r>
        <w:rPr>
          <w:rFonts w:hint="eastAsia"/>
          <w:szCs w:val="21"/>
        </w:rPr>
        <w:t>）项目完成（服务期满）后的服务承诺</w:t>
      </w:r>
    </w:p>
    <w:p>
      <w:pPr>
        <w:ind w:left="718" w:firstLine="1418" w:leftChars="342" w:firstLineChars="675"/>
        <w:rPr>
          <w:rFonts w:hint="eastAsia"/>
          <w:szCs w:val="21"/>
        </w:rPr>
      </w:pPr>
      <w:r>
        <w:rPr>
          <w:rFonts w:hint="eastAsia"/>
          <w:szCs w:val="21"/>
        </w:rPr>
        <w:t>（</w:t>
      </w:r>
      <w:r>
        <w:rPr>
          <w:rFonts w:hint="eastAsia"/>
          <w:szCs w:val="21"/>
          <w:lang w:val="en-US" w:eastAsia="zh-CN"/>
        </w:rPr>
        <w:t>9</w:t>
      </w:r>
      <w:r>
        <w:rPr>
          <w:rFonts w:hint="eastAsia"/>
          <w:szCs w:val="21"/>
        </w:rPr>
        <w:t>）违约承诺</w:t>
      </w:r>
    </w:p>
    <w:p>
      <w:pPr>
        <w:ind w:left="718" w:firstLine="1418" w:leftChars="342" w:firstLineChars="675"/>
        <w:rPr>
          <w:rFonts w:hint="eastAsia"/>
          <w:szCs w:val="21"/>
        </w:rPr>
      </w:pPr>
      <w:r>
        <w:rPr>
          <w:rFonts w:hint="eastAsia"/>
          <w:szCs w:val="21"/>
        </w:rPr>
        <w:t>（</w:t>
      </w:r>
      <w:r>
        <w:rPr>
          <w:rFonts w:hint="eastAsia"/>
          <w:szCs w:val="21"/>
          <w:lang w:val="en-US" w:eastAsia="zh-CN"/>
        </w:rPr>
        <w:t>10</w:t>
      </w:r>
      <w:r>
        <w:rPr>
          <w:rFonts w:hint="eastAsia"/>
          <w:szCs w:val="21"/>
        </w:rPr>
        <w:t>）拟安排的项目负责人情况（仅限一人）</w:t>
      </w:r>
    </w:p>
    <w:p>
      <w:pPr>
        <w:ind w:left="2167" w:hanging="52" w:leftChars="1007" w:hangingChars="25"/>
        <w:rPr>
          <w:szCs w:val="21"/>
        </w:rPr>
      </w:pPr>
      <w:r>
        <w:rPr>
          <w:rFonts w:hint="eastAsia"/>
          <w:szCs w:val="21"/>
        </w:rPr>
        <w:t>（</w:t>
      </w:r>
      <w:r>
        <w:rPr>
          <w:rFonts w:hint="eastAsia"/>
          <w:szCs w:val="21"/>
          <w:lang w:val="en-US" w:eastAsia="zh-CN"/>
        </w:rPr>
        <w:t>11</w:t>
      </w:r>
      <w:r>
        <w:rPr>
          <w:rFonts w:hint="eastAsia"/>
          <w:szCs w:val="21"/>
        </w:rPr>
        <w:t>）拟安排的项目主要团队成员（主要技术人员）情况（项目负责人除外）</w:t>
      </w:r>
    </w:p>
    <w:p>
      <w:pPr>
        <w:ind w:left="718" w:firstLine="1418" w:leftChars="342" w:firstLineChars="675"/>
        <w:rPr>
          <w:szCs w:val="21"/>
        </w:rPr>
      </w:pPr>
      <w:r>
        <w:rPr>
          <w:rFonts w:hint="eastAsia"/>
          <w:szCs w:val="21"/>
        </w:rPr>
        <w:t>（1</w:t>
      </w:r>
      <w:r>
        <w:rPr>
          <w:rFonts w:hint="eastAsia"/>
          <w:szCs w:val="21"/>
          <w:lang w:val="en-US" w:eastAsia="zh-CN"/>
        </w:rPr>
        <w:t>2</w:t>
      </w:r>
      <w:r>
        <w:rPr>
          <w:rFonts w:hint="eastAsia"/>
          <w:szCs w:val="21"/>
        </w:rPr>
        <w:t>）投标人认为需要加以说明的其他内容</w:t>
      </w:r>
    </w:p>
    <w:p>
      <w:pPr>
        <w:rPr>
          <w:rFonts w:ascii="仿宋_GB2312" w:eastAsia="仿宋_GB2312"/>
          <w:sz w:val="24"/>
        </w:rPr>
      </w:pPr>
      <w:bookmarkEnd w:id="45"/>
    </w:p>
    <w:p>
      <w:pPr>
        <w:ind w:firstLine="424" w:firstLineChars="202"/>
        <w:rPr>
          <w:rFonts w:ascii="宋体" w:hAnsi="宋体" w:hint="eastAsia"/>
          <w:b/>
          <w:szCs w:val="21"/>
        </w:rPr>
      </w:pPr>
      <w:r>
        <w:rPr>
          <w:rFonts w:ascii="宋体" w:hAnsi="宋体" w:hint="eastAsia"/>
          <w:b/>
          <w:szCs w:val="21"/>
        </w:rPr>
        <w:t>备注：</w:t>
      </w:r>
    </w:p>
    <w:p>
      <w:pPr>
        <w:ind w:firstLine="424" w:firstLineChars="202"/>
        <w:rPr>
          <w:rFonts w:ascii="宋体" w:hAnsi="宋体" w:hint="eastAsia"/>
          <w:b/>
          <w:szCs w:val="21"/>
        </w:rPr>
      </w:pPr>
      <w:r>
        <w:rPr>
          <w:rFonts w:ascii="宋体" w:hAnsi="宋体" w:hint="eastAsia"/>
          <w:b/>
          <w:szCs w:val="21"/>
        </w:rPr>
        <w:t>1.本项目为网上电子投标项目，投标文件不需法人或授权委托人另行签字，无需加盖单位公章，招标文件另有规定的除外。</w:t>
      </w:r>
    </w:p>
    <w:p>
      <w:pPr>
        <w:ind w:firstLine="424" w:firstLineChars="202"/>
        <w:rPr>
          <w:rFonts w:ascii="宋体" w:hAnsi="宋体" w:hint="eastAsia"/>
          <w:b/>
          <w:szCs w:val="21"/>
        </w:rPr>
      </w:pPr>
      <w:r>
        <w:rPr>
          <w:rFonts w:ascii="宋体" w:hAnsi="宋体" w:hint="eastAsia"/>
          <w:b/>
          <w:szCs w:val="21"/>
        </w:rPr>
        <w:t>2.关于填写“开标一览表”的说明：“开标一览表”中除“投标总价”外，其他信息不作评审依据。</w:t>
      </w:r>
    </w:p>
    <w:p>
      <w:pPr>
        <w:jc w:val="left"/>
        <w:rPr>
          <w:rFonts w:ascii="宋体" w:hAnsi="宋体" w:hint="eastAsia"/>
          <w:b/>
          <w:color w:val="FF0000"/>
          <w:sz w:val="36"/>
          <w:szCs w:val="36"/>
        </w:rPr>
      </w:pPr>
      <w:r>
        <w:rPr>
          <w:rFonts w:ascii="宋体" w:hAnsi="宋体" w:hint="eastAsia"/>
          <w:b/>
          <w:color w:val="FF0000"/>
          <w:sz w:val="36"/>
          <w:szCs w:val="36"/>
        </w:rPr>
        <w:br w:type="page"/>
      </w:r>
    </w:p>
    <w:p>
      <w:pPr>
        <w:outlineLvl w:val="1"/>
        <w:rPr>
          <w:rFonts w:ascii="宋体" w:hAnsi="宋体" w:hint="eastAsia"/>
          <w:b/>
          <w:color w:val="FF0000"/>
          <w:sz w:val="28"/>
          <w:szCs w:val="28"/>
        </w:rPr>
      </w:pPr>
      <w:r>
        <w:rPr>
          <w:rFonts w:ascii="宋体" w:hAnsi="宋体" w:hint="eastAsia"/>
          <w:b/>
          <w:color w:val="FF0000"/>
          <w:sz w:val="28"/>
          <w:szCs w:val="28"/>
        </w:rPr>
        <w:t>投标文件正文（信息公开部分）</w:t>
      </w:r>
    </w:p>
    <w:p>
      <w:pPr>
        <w:pStyle w:val="Heading3"/>
        <w:jc w:val="center"/>
        <w:rPr>
          <w:rFonts w:ascii="黑体" w:eastAsia="黑体" w:hint="eastAsia"/>
          <w:b w:val="0"/>
          <w:kern w:val="0"/>
          <w:sz w:val="24"/>
        </w:rPr>
      </w:pPr>
      <w:r>
        <w:rPr>
          <w:rFonts w:ascii="黑体" w:eastAsia="黑体" w:hint="eastAsia"/>
          <w:b w:val="0"/>
          <w:kern w:val="0"/>
          <w:sz w:val="24"/>
        </w:rPr>
        <w:t>一、投标函</w:t>
      </w:r>
    </w:p>
    <w:p>
      <w:pPr>
        <w:spacing w:line="360" w:lineRule="auto"/>
        <w:rPr>
          <w:rFonts w:ascii="宋体" w:hAnsi="宋体" w:hint="eastAsia"/>
          <w:szCs w:val="21"/>
        </w:rPr>
      </w:pPr>
      <w:r>
        <w:rPr>
          <w:rFonts w:ascii="宋体" w:hAnsi="宋体" w:hint="eastAsia"/>
          <w:szCs w:val="21"/>
        </w:rPr>
        <w:t>致：</w:t>
      </w:r>
      <w:r>
        <w:rPr>
          <w:rFonts w:ascii="宋体" w:hAnsi="宋体" w:hint="eastAsia"/>
          <w:szCs w:val="21"/>
          <w:u w:val="single"/>
        </w:rPr>
        <w:t xml:space="preserve">  </w:t>
      </w:r>
      <w:r>
        <w:rPr>
          <w:rFonts w:ascii="宋体" w:hAnsi="宋体" w:hint="eastAsia"/>
          <w:color w:val="FF0000"/>
          <w:szCs w:val="21"/>
          <w:u w:val="single"/>
        </w:rPr>
        <w:t>深圳公共资源交易中心</w:t>
      </w:r>
      <w:r>
        <w:rPr>
          <w:rFonts w:ascii="宋体" w:hAnsi="宋体" w:hint="eastAsia"/>
          <w:szCs w:val="21"/>
          <w:u w:val="single"/>
        </w:rPr>
        <w:t xml:space="preserve">  </w:t>
      </w:r>
    </w:p>
    <w:p>
      <w:pPr>
        <w:ind w:firstLine="420" w:firstLineChars="200"/>
        <w:rPr>
          <w:rFonts w:ascii="宋体" w:hAnsi="宋体" w:hint="eastAsia"/>
          <w:szCs w:val="21"/>
        </w:rPr>
      </w:pPr>
      <w:bookmarkStart w:id="46" w:name="_Hlk73818812"/>
      <w:r>
        <w:rPr>
          <w:rFonts w:hint="eastAsia"/>
          <w:szCs w:val="21"/>
        </w:rPr>
        <w:t>1、根据已收到贵单位的项目编号为</w:t>
      </w:r>
      <w:r>
        <w:rPr>
          <w:rFonts w:hint="eastAsia"/>
          <w:szCs w:val="21"/>
          <w:u w:val="thick"/>
        </w:rPr>
        <w:t xml:space="preserve">        </w:t>
      </w:r>
      <w:r>
        <w:rPr>
          <w:rFonts w:hint="eastAsia"/>
          <w:szCs w:val="21"/>
        </w:rPr>
        <w:t>的</w:t>
      </w:r>
      <w:r>
        <w:rPr>
          <w:rFonts w:hint="eastAsia"/>
          <w:szCs w:val="21"/>
          <w:u w:val="thick"/>
        </w:rPr>
        <w:t xml:space="preserve">    （项目名称）       </w:t>
      </w:r>
      <w:r>
        <w:rPr>
          <w:rFonts w:hint="eastAsia"/>
          <w:szCs w:val="21"/>
        </w:rPr>
        <w:t>项目的招标文件，遵照《深圳经济特区政府采购条例》和《深圳网上政府采购管理暂行办法》等有关规定，我单位经研究上述招标文件的专用条款及通用条款后，</w:t>
      </w:r>
      <w:bookmarkStart w:id="47" w:name="_Hlk72263588"/>
      <w:r>
        <w:rPr>
          <w:rFonts w:hint="eastAsia"/>
          <w:szCs w:val="21"/>
        </w:rPr>
        <w:t>愿意按照招标文件要求承包上述项目并修补其任何缺陷。</w:t>
      </w:r>
      <w:bookmarkEnd w:id="47"/>
    </w:p>
    <w:p>
      <w:pPr>
        <w:ind w:firstLine="420" w:firstLineChars="200"/>
        <w:rPr>
          <w:rFonts w:ascii="宋体" w:hAnsi="宋体" w:hint="eastAsia"/>
          <w:szCs w:val="21"/>
        </w:rPr>
      </w:pPr>
      <w:r>
        <w:rPr>
          <w:rFonts w:ascii="宋体" w:hAnsi="宋体"/>
          <w:szCs w:val="21"/>
        </w:rPr>
        <w:t>2</w:t>
      </w:r>
      <w:r>
        <w:rPr>
          <w:rFonts w:ascii="宋体" w:hAnsi="宋体" w:hint="eastAsia"/>
          <w:szCs w:val="21"/>
        </w:rPr>
        <w:t>、投标价格见</w:t>
      </w:r>
      <w:r>
        <w:rPr>
          <w:rFonts w:hint="eastAsia"/>
          <w:szCs w:val="21"/>
        </w:rPr>
        <w:t>投标书编制软件中《开标一览表》中填写的投标总价。</w:t>
      </w:r>
    </w:p>
    <w:p>
      <w:pPr>
        <w:ind w:firstLine="420" w:firstLineChars="200"/>
        <w:rPr>
          <w:rFonts w:ascii="宋体" w:hAnsi="宋体" w:hint="eastAsia"/>
          <w:szCs w:val="21"/>
        </w:rPr>
      </w:pPr>
      <w:r>
        <w:rPr>
          <w:rFonts w:ascii="宋体" w:hAnsi="宋体" w:hint="eastAsia"/>
          <w:szCs w:val="21"/>
        </w:rPr>
        <w:t>3、如果我单位中标，我单位将按照招标文件的要求足额提交履约担保。</w:t>
      </w:r>
    </w:p>
    <w:p>
      <w:pPr>
        <w:ind w:firstLine="420" w:firstLineChars="200"/>
        <w:rPr>
          <w:rFonts w:ascii="宋体" w:hAnsi="宋体" w:hint="eastAsia"/>
          <w:szCs w:val="21"/>
        </w:rPr>
      </w:pPr>
      <w:r>
        <w:rPr>
          <w:rFonts w:ascii="宋体" w:hAnsi="宋体" w:hint="eastAsia"/>
          <w:szCs w:val="21"/>
        </w:rPr>
        <w:t>4、我单位同意所递交的投标文件在“对通用条款的补充内容”中明确的投标有效期内有效，在此期间内我单位的投标有可能中标，我方将受此约束。</w:t>
      </w:r>
    </w:p>
    <w:p>
      <w:pPr>
        <w:ind w:firstLine="420" w:firstLineChars="200"/>
        <w:rPr>
          <w:rFonts w:ascii="宋体" w:hAnsi="宋体" w:hint="eastAsia"/>
          <w:szCs w:val="21"/>
        </w:rPr>
      </w:pPr>
      <w:r>
        <w:rPr>
          <w:rFonts w:ascii="宋体" w:hAnsi="宋体" w:hint="eastAsia"/>
          <w:szCs w:val="21"/>
        </w:rPr>
        <w:t>5、除非另外达成协议并生效，贵单位的中标通知书和本投标文件将构成合同的重要内容。</w:t>
      </w:r>
    </w:p>
    <w:p>
      <w:pPr>
        <w:ind w:left="420" w:leftChars="200"/>
        <w:rPr>
          <w:rFonts w:ascii="宋体" w:hAnsi="宋体" w:hint="eastAsia"/>
          <w:szCs w:val="21"/>
        </w:rPr>
      </w:pPr>
      <w:r>
        <w:rPr>
          <w:rFonts w:ascii="宋体" w:hAnsi="宋体" w:hint="eastAsia"/>
          <w:szCs w:val="21"/>
        </w:rPr>
        <w:t>6、我单位理解贵单位将不受必须接受所收到的最低报价或其它任何投标文件的约束。</w:t>
      </w:r>
      <w:bookmarkEnd w:id="46"/>
    </w:p>
    <w:p>
      <w:pPr>
        <w:ind w:left="420" w:leftChars="200"/>
        <w:rPr>
          <w:rFonts w:ascii="宋体" w:hAnsi="宋体" w:hint="eastAsia"/>
          <w:b/>
          <w:szCs w:val="21"/>
        </w:rPr>
      </w:pPr>
      <w:r>
        <w:rPr>
          <w:rFonts w:ascii="宋体" w:hAnsi="宋体" w:hint="eastAsia"/>
          <w:b/>
          <w:szCs w:val="21"/>
        </w:rPr>
        <w:t>7</w:t>
      </w:r>
      <w:r>
        <w:rPr>
          <w:rFonts w:ascii="宋体" w:hAnsi="宋体"/>
          <w:b/>
          <w:szCs w:val="21"/>
        </w:rPr>
        <w:t>、如我单位提交样品，且未在规定时间内取回样品的，视同放弃取回，同意深圳公共资源交易中心对我单位提交的样品进行清理。</w:t>
      </w:r>
    </w:p>
    <w:p>
      <w:pPr>
        <w:ind w:left="420" w:firstLine="210" w:leftChars="200" w:firstLineChars="100"/>
        <w:rPr>
          <w:szCs w:val="21"/>
        </w:rPr>
      </w:pPr>
      <w:r>
        <w:rPr>
          <w:rFonts w:hint="eastAsia"/>
          <w:szCs w:val="21"/>
        </w:rPr>
        <w:t>投标人：</w:t>
      </w:r>
      <w:r>
        <w:rPr>
          <w:rFonts w:hint="eastAsia"/>
          <w:szCs w:val="21"/>
          <w:u w:val="thick"/>
        </w:rPr>
        <w:t xml:space="preserve">       </w:t>
      </w:r>
      <w:r>
        <w:rPr>
          <w:rFonts w:hint="eastAsia"/>
          <w:szCs w:val="21"/>
        </w:rPr>
        <w:t>；  单位地址：</w:t>
      </w:r>
      <w:r>
        <w:rPr>
          <w:rFonts w:hint="eastAsia"/>
          <w:szCs w:val="21"/>
          <w:u w:val="thick"/>
        </w:rPr>
        <w:t xml:space="preserve">                    </w:t>
      </w:r>
      <w:r>
        <w:rPr>
          <w:rFonts w:hint="eastAsia"/>
          <w:szCs w:val="21"/>
        </w:rPr>
        <w:t>；</w:t>
      </w:r>
    </w:p>
    <w:p>
      <w:pPr>
        <w:ind w:left="420" w:firstLine="210" w:leftChars="200" w:firstLineChars="100"/>
        <w:rPr>
          <w:szCs w:val="21"/>
        </w:rPr>
      </w:pPr>
      <w:r>
        <w:rPr>
          <w:rFonts w:hint="eastAsia"/>
          <w:szCs w:val="21"/>
        </w:rPr>
        <w:t>法定代表人（负责人）或其授权委托代理人：</w:t>
      </w:r>
      <w:r>
        <w:rPr>
          <w:rFonts w:hint="eastAsia"/>
          <w:szCs w:val="21"/>
          <w:u w:val="thick"/>
        </w:rPr>
        <w:t xml:space="preserve">         </w:t>
      </w:r>
      <w:r>
        <w:rPr>
          <w:rFonts w:hint="eastAsia"/>
          <w:szCs w:val="21"/>
        </w:rPr>
        <w:t>；</w:t>
      </w:r>
    </w:p>
    <w:p>
      <w:pPr>
        <w:ind w:left="420" w:firstLine="210" w:leftChars="200" w:firstLineChars="100"/>
        <w:rPr>
          <w:szCs w:val="21"/>
        </w:rPr>
      </w:pPr>
      <w:r>
        <w:rPr>
          <w:rFonts w:hint="eastAsia"/>
          <w:szCs w:val="21"/>
        </w:rPr>
        <w:t>电话：</w:t>
      </w:r>
      <w:r>
        <w:rPr>
          <w:rFonts w:hint="eastAsia"/>
          <w:szCs w:val="21"/>
          <w:u w:val="thick"/>
        </w:rPr>
        <w:t xml:space="preserve">         </w:t>
      </w:r>
      <w:r>
        <w:rPr>
          <w:rFonts w:hint="eastAsia"/>
          <w:szCs w:val="21"/>
        </w:rPr>
        <w:t xml:space="preserve"> ；     </w:t>
      </w:r>
    </w:p>
    <w:p>
      <w:pPr>
        <w:ind w:left="420" w:firstLine="210" w:leftChars="200" w:firstLineChars="100"/>
        <w:rPr>
          <w:sz w:val="24"/>
        </w:rPr>
      </w:pPr>
      <w:r>
        <w:rPr>
          <w:rFonts w:ascii="宋体" w:hAnsi="宋体" w:hint="eastAsia"/>
          <w:szCs w:val="21"/>
        </w:rPr>
        <w:t>日期：</w:t>
      </w:r>
      <w:r>
        <w:rPr>
          <w:rFonts w:ascii="宋体" w:hAnsi="宋体" w:hint="eastAsia"/>
          <w:szCs w:val="21"/>
          <w:u w:val="thick"/>
        </w:rPr>
        <w:t xml:space="preserve">       </w:t>
      </w:r>
      <w:r>
        <w:rPr>
          <w:rFonts w:ascii="宋体" w:hAnsi="宋体" w:hint="eastAsia"/>
          <w:szCs w:val="21"/>
        </w:rPr>
        <w:t>年</w:t>
      </w:r>
      <w:r>
        <w:rPr>
          <w:rFonts w:ascii="宋体" w:hAnsi="宋体" w:hint="eastAsia"/>
          <w:szCs w:val="21"/>
          <w:u w:val="thick"/>
        </w:rPr>
        <w:t xml:space="preserve">     </w:t>
      </w:r>
      <w:r>
        <w:rPr>
          <w:rFonts w:ascii="宋体" w:hAnsi="宋体" w:hint="eastAsia"/>
          <w:szCs w:val="21"/>
        </w:rPr>
        <w:t>月</w:t>
      </w:r>
      <w:r>
        <w:rPr>
          <w:rFonts w:ascii="宋体" w:hAnsi="宋体" w:hint="eastAsia"/>
          <w:szCs w:val="21"/>
          <w:u w:val="thick"/>
        </w:rPr>
        <w:t xml:space="preserve">    </w:t>
      </w:r>
      <w:r>
        <w:rPr>
          <w:rFonts w:ascii="宋体" w:hAnsi="宋体" w:hint="eastAsia"/>
          <w:szCs w:val="21"/>
        </w:rPr>
        <w:t>日</w:t>
      </w:r>
      <w:r>
        <w:rPr>
          <w:rFonts w:hint="eastAsia"/>
          <w:sz w:val="24"/>
        </w:rPr>
        <w:t xml:space="preserve">                                </w:t>
      </w:r>
    </w:p>
    <w:p>
      <w:pPr>
        <w:ind w:left="420" w:leftChars="200"/>
        <w:rPr>
          <w:sz w:val="24"/>
        </w:rPr>
      </w:pPr>
      <w:r>
        <w:rPr>
          <w:rFonts w:hint="eastAsia"/>
          <w:sz w:val="24"/>
        </w:rPr>
        <w:t xml:space="preserve">                       </w:t>
      </w:r>
    </w:p>
    <w:p>
      <w:pPr>
        <w:rPr>
          <w:rFonts w:ascii="黑体" w:eastAsia="黑体" w:hAnsi="宋体" w:hint="eastAsia"/>
        </w:rPr>
      </w:pPr>
    </w:p>
    <w:p>
      <w:pPr>
        <w:rPr>
          <w:rFonts w:ascii="宋体" w:hAnsi="宋体" w:hint="eastAsia"/>
          <w:szCs w:val="21"/>
        </w:rPr>
      </w:pPr>
    </w:p>
    <w:p>
      <w:pPr>
        <w:pStyle w:val="Heading3"/>
        <w:jc w:val="center"/>
        <w:rPr>
          <w:rFonts w:ascii="黑体" w:eastAsia="黑体" w:hint="eastAsia"/>
          <w:b w:val="0"/>
          <w:kern w:val="0"/>
          <w:sz w:val="24"/>
        </w:rPr>
      </w:pPr>
      <w:r>
        <w:rPr>
          <w:rFonts w:ascii="黑体" w:eastAsia="黑体" w:hint="eastAsia"/>
          <w:b w:val="0"/>
          <w:kern w:val="0"/>
          <w:sz w:val="24"/>
        </w:rPr>
        <w:t>二、政府采购投标及履约承诺函</w:t>
      </w:r>
    </w:p>
    <w:p>
      <w:pPr>
        <w:rPr>
          <w:rFonts w:ascii="宋体" w:hAnsi="宋体" w:hint="eastAsia"/>
          <w:sz w:val="24"/>
        </w:rPr>
      </w:pPr>
    </w:p>
    <w:p>
      <w:pPr>
        <w:rPr>
          <w:rFonts w:ascii="宋体" w:hAnsi="宋体" w:hint="eastAsia"/>
          <w:color w:val="FF0000"/>
          <w:szCs w:val="21"/>
        </w:rPr>
      </w:pPr>
      <w:r>
        <w:rPr>
          <w:rFonts w:ascii="宋体" w:hAnsi="宋体" w:hint="eastAsia"/>
          <w:color w:val="FF0000"/>
          <w:szCs w:val="21"/>
        </w:rPr>
        <w:t>致：</w:t>
      </w:r>
      <w:r>
        <w:rPr>
          <w:rFonts w:ascii="宋体" w:hAnsi="宋体" w:hint="eastAsia"/>
          <w:color w:val="FF0000"/>
          <w:szCs w:val="21"/>
          <w:u w:val="single"/>
        </w:rPr>
        <w:t>深圳公共资源交易中心</w:t>
      </w:r>
    </w:p>
    <w:p>
      <w:pPr>
        <w:ind w:right="-815" w:firstLine="420" w:firstLineChars="200"/>
        <w:rPr>
          <w:rFonts w:ascii="宋体" w:hAnsi="宋体" w:hint="eastAsia"/>
          <w:szCs w:val="21"/>
        </w:rPr>
      </w:pPr>
      <w:r>
        <w:rPr>
          <w:rFonts w:ascii="宋体" w:hAnsi="宋体" w:hint="eastAsia"/>
          <w:szCs w:val="21"/>
        </w:rPr>
        <w:t>我单位承诺：</w:t>
      </w:r>
    </w:p>
    <w:p>
      <w:pPr>
        <w:ind w:firstLine="420" w:firstLineChars="200"/>
        <w:rPr>
          <w:rFonts w:ascii="宋体" w:hAnsi="宋体" w:hint="eastAsia"/>
          <w:szCs w:val="21"/>
        </w:rPr>
      </w:pPr>
      <w:r>
        <w:rPr>
          <w:rFonts w:ascii="宋体" w:hAnsi="宋体" w:hint="eastAsia"/>
          <w:szCs w:val="21"/>
        </w:rPr>
        <w:t>1.我单位参与本项目</w:t>
      </w:r>
      <w:r>
        <w:rPr>
          <w:rFonts w:ascii="宋体" w:hAnsi="宋体" w:hint="eastAsia"/>
        </w:rPr>
        <w:t>所投标（响应）的货物、工程或服务，不存在侵犯知识产权的情况。</w:t>
      </w:r>
    </w:p>
    <w:p>
      <w:pPr>
        <w:ind w:firstLine="420" w:firstLineChars="200"/>
        <w:rPr>
          <w:rFonts w:ascii="宋体" w:hAnsi="宋体" w:hint="eastAsia"/>
          <w:szCs w:val="21"/>
        </w:rPr>
      </w:pPr>
      <w:r>
        <w:rPr>
          <w:rFonts w:ascii="宋体" w:hAnsi="宋体" w:hint="eastAsia"/>
          <w:szCs w:val="21"/>
        </w:rPr>
        <w:t>2.我单位参与本项目</w:t>
      </w:r>
      <w:r>
        <w:rPr>
          <w:rFonts w:hint="eastAsia"/>
        </w:rPr>
        <w:t>政府采购活动时不存在被有关部门禁止参与政府采购活动且在有效期内的情况。</w:t>
      </w:r>
    </w:p>
    <w:p>
      <w:pPr>
        <w:ind w:firstLine="420" w:firstLineChars="200"/>
        <w:rPr>
          <w:rFonts w:ascii="宋体" w:hAnsi="宋体" w:hint="eastAsia"/>
          <w:szCs w:val="21"/>
        </w:rPr>
      </w:pPr>
      <w:r>
        <w:rPr>
          <w:rFonts w:ascii="宋体" w:hAnsi="宋体" w:hint="eastAsia"/>
          <w:szCs w:val="21"/>
        </w:rPr>
        <w:t>3.我单位具备《中华人民共和国政府采购法》第二十二条第一款规定的六项条件。</w:t>
      </w:r>
    </w:p>
    <w:p>
      <w:pPr>
        <w:ind w:firstLine="420" w:firstLineChars="200"/>
      </w:pPr>
      <w:r>
        <w:rPr>
          <w:rFonts w:ascii="宋体" w:hAnsi="宋体" w:hint="eastAsia"/>
          <w:szCs w:val="21"/>
        </w:rPr>
        <w:t>4.我单位</w:t>
      </w:r>
      <w:r>
        <w:rPr>
          <w:rFonts w:hint="eastAsia"/>
        </w:rPr>
        <w:t>未被列入失信被执行人、重大税收违法案件当事人名单、政府采购严重违法失信行为记录名单。</w:t>
      </w:r>
    </w:p>
    <w:p>
      <w:pPr>
        <w:ind w:firstLine="420" w:firstLineChars="200"/>
      </w:pPr>
      <w:r>
        <w:rPr>
          <w:rFonts w:hint="eastAsia"/>
          <w:color w:val="FF0000"/>
        </w:rPr>
        <w:t>5.我单位不存在《深圳市财政局政府采购供应商信用信息管理办法》（深财规〔2023〕3号）列明的严重违法失信行为。</w:t>
      </w:r>
    </w:p>
    <w:p>
      <w:pPr>
        <w:ind w:firstLine="420" w:firstLineChars="200"/>
        <w:rPr>
          <w:rFonts w:ascii="宋体" w:hAnsi="宋体" w:hint="eastAsia"/>
          <w:szCs w:val="21"/>
        </w:rPr>
      </w:pPr>
      <w:r>
        <w:rPr>
          <w:rFonts w:ascii="宋体" w:hAnsi="宋体" w:hint="eastAsia"/>
          <w:szCs w:val="21"/>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pPr>
        <w:ind w:firstLine="420" w:firstLineChars="200"/>
        <w:rPr>
          <w:rFonts w:ascii="宋体" w:hAnsi="宋体" w:hint="eastAsia"/>
          <w:szCs w:val="21"/>
        </w:rPr>
      </w:pPr>
      <w:r>
        <w:rPr>
          <w:rFonts w:ascii="宋体" w:hAnsi="宋体" w:hint="eastAsia"/>
          <w:szCs w:val="21"/>
        </w:rPr>
        <w:t>7.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20" w:firstLineChars="200"/>
        <w:rPr>
          <w:rFonts w:ascii="宋体" w:hAnsi="宋体" w:hint="eastAsia"/>
          <w:szCs w:val="21"/>
        </w:rPr>
      </w:pPr>
      <w:r>
        <w:rPr>
          <w:rFonts w:ascii="宋体" w:hAnsi="宋体" w:hint="eastAsia"/>
          <w:szCs w:val="21"/>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pPr>
        <w:ind w:firstLine="420" w:firstLineChars="200"/>
        <w:rPr>
          <w:rFonts w:ascii="宋体" w:hAnsi="宋体" w:hint="eastAsia"/>
          <w:szCs w:val="21"/>
        </w:rPr>
      </w:pPr>
      <w:r>
        <w:rPr>
          <w:rFonts w:ascii="宋体" w:hAnsi="宋体" w:hint="eastAsia"/>
          <w:szCs w:val="21"/>
        </w:rPr>
        <w:t>8.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20" w:firstLineChars="200"/>
        <w:rPr>
          <w:rFonts w:ascii="宋体" w:hAnsi="宋体" w:hint="eastAsia"/>
          <w:szCs w:val="21"/>
        </w:rPr>
      </w:pPr>
      <w:r>
        <w:rPr>
          <w:rFonts w:ascii="宋体" w:hAnsi="宋体" w:hint="eastAsia"/>
          <w:szCs w:val="21"/>
        </w:rPr>
        <w:t>9.我单位承诺中标后项目不转包，未经采购人同意不进行分包。</w:t>
      </w:r>
    </w:p>
    <w:p>
      <w:pPr>
        <w:ind w:firstLine="420" w:firstLineChars="200"/>
        <w:rPr>
          <w:rFonts w:ascii="宋体" w:hAnsi="宋体" w:hint="eastAsia"/>
        </w:rPr>
      </w:pPr>
      <w:r>
        <w:rPr>
          <w:rFonts w:ascii="宋体" w:hAnsi="宋体" w:hint="eastAsia"/>
          <w:szCs w:val="21"/>
        </w:rPr>
        <w:t>10</w:t>
      </w:r>
      <w:r>
        <w:rPr>
          <w:rFonts w:ascii="宋体" w:hAnsi="宋体"/>
          <w:szCs w:val="21"/>
        </w:rPr>
        <w:t>.</w:t>
      </w:r>
      <w:r>
        <w:rPr>
          <w:rFonts w:ascii="宋体" w:hAnsi="宋体" w:hint="eastAsia"/>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20" w:firstLineChars="200"/>
        <w:rPr>
          <w:rFonts w:ascii="宋体" w:hAnsi="宋体" w:cs="宋体" w:hint="eastAsia"/>
          <w:b/>
          <w:kern w:val="0"/>
          <w:szCs w:val="21"/>
        </w:rPr>
      </w:pPr>
      <w:r>
        <w:rPr>
          <w:rFonts w:ascii="宋体" w:hAnsi="宋体" w:hint="eastAsia"/>
        </w:rPr>
        <w:t>11</w:t>
      </w:r>
      <w:r>
        <w:rPr>
          <w:rFonts w:ascii="宋体" w:hAnsi="宋体"/>
        </w:rPr>
        <w:t>.</w:t>
      </w:r>
      <w:r>
        <w:rPr>
          <w:rFonts w:ascii="宋体" w:hAnsi="宋体" w:hint="eastAsia"/>
        </w:rPr>
        <w:t>我单位保证，若所投货物涉及</w:t>
      </w:r>
      <w:r>
        <w:rPr>
          <w:rFonts w:ascii="宋体" w:hAnsi="宋体"/>
        </w:rPr>
        <w:t>《</w:t>
      </w:r>
      <w:r>
        <w:rPr>
          <w:rFonts w:ascii="宋体" w:hAnsi="宋体" w:hint="eastAsia"/>
        </w:rPr>
        <w:t>财政部生态环境部关于印发节能产品政府采购品目清单的通知》（财库〔20</w:t>
      </w:r>
      <w:r>
        <w:rPr>
          <w:rFonts w:ascii="宋体" w:hAnsi="宋体"/>
        </w:rPr>
        <w:t>19</w:t>
      </w:r>
      <w:r>
        <w:rPr>
          <w:rFonts w:ascii="宋体" w:hAnsi="宋体" w:hint="eastAsia"/>
        </w:rPr>
        <w:t>〕</w:t>
      </w:r>
      <w:r>
        <w:rPr>
          <w:rFonts w:ascii="宋体" w:hAnsi="宋体"/>
        </w:rPr>
        <w:t>19</w:t>
      </w:r>
      <w:r>
        <w:rPr>
          <w:rFonts w:ascii="宋体" w:hAnsi="宋体" w:hint="eastAsia"/>
        </w:rPr>
        <w:t>号）列明的政府采购强制产品，则所投该产品符合节能产品的认证要求。若所投产品包括数据中心相关设备的，应满足</w:t>
      </w:r>
      <w:r>
        <w:rPr>
          <w:rFonts w:hint="eastAsia"/>
        </w:rPr>
        <w:t>《财政部 生态环境部 工业和信息化部关于印发&lt;绿色数据中心政府采购需求标准（试行）&gt;的通知》（财库〔2023〕7号）要求。若所投产品涉及国家强制性标准的，所投产品应符合国家强制性标准相关要求。</w:t>
      </w:r>
    </w:p>
    <w:p>
      <w:pPr>
        <w:ind w:firstLine="420" w:firstLineChars="200"/>
        <w:rPr>
          <w:rFonts w:ascii="宋体" w:hAnsi="宋体" w:hint="eastAsia"/>
          <w:bCs/>
        </w:rPr>
      </w:pPr>
      <w:r>
        <w:rPr>
          <w:rFonts w:ascii="宋体" w:hAnsi="宋体" w:cs="宋体" w:hint="eastAsia"/>
          <w:bCs/>
          <w:kern w:val="0"/>
          <w:szCs w:val="21"/>
        </w:rPr>
        <w:t>12.</w:t>
      </w:r>
      <w:r>
        <w:rPr>
          <w:rFonts w:ascii="宋体" w:hAnsi="宋体" w:hint="eastAsia"/>
          <w:bCs/>
        </w:rPr>
        <w:t>我单位已知悉并同意中标（成交）结果信息公示（公开）的内容。</w:t>
      </w:r>
    </w:p>
    <w:p>
      <w:pPr>
        <w:ind w:firstLine="420" w:firstLineChars="200"/>
        <w:rPr>
          <w:rFonts w:ascii="宋体" w:hAnsi="宋体" w:hint="eastAsia"/>
          <w:bCs/>
        </w:rPr>
      </w:pPr>
      <w:r>
        <w:rPr>
          <w:rFonts w:ascii="宋体" w:hAnsi="宋体" w:hint="eastAsia"/>
          <w:bCs/>
        </w:rPr>
        <w:t>13.我单位保证，符合《中华人民共和国政府采购法实施条例》第十八条规定，与其他投标供应商不存在单位负责人为同一人或者存在直接控股、管理关系；不存在为本次采购项目提供整体设计、规范编制或者项目管理、监理、检测等服务的情形。若存在“不同供应商的董事、股东或其他高级管理人员为同一人的”情形的，我单位保证不存在串通投标、恶意串通或者视为串通投标的情形。</w:t>
      </w:r>
    </w:p>
    <w:p>
      <w:pPr>
        <w:ind w:firstLine="420" w:firstLineChars="200"/>
        <w:rPr>
          <w:rFonts w:ascii="宋体" w:hAnsi="宋体" w:hint="eastAsia"/>
          <w:b/>
        </w:rPr>
      </w:pPr>
      <w:r>
        <w:rPr>
          <w:rFonts w:ascii="宋体" w:hAnsi="宋体" w:hint="eastAsia"/>
          <w:b/>
        </w:rPr>
        <w:t>14.我单位清楚，如存在违反投标承诺行为情节严重的，将根据《深圳市财政局关于印发&lt;深圳市财政局政府采购供应商信用信息管理办法&gt;的通知》，依法被列入失信信息。</w:t>
      </w:r>
    </w:p>
    <w:p>
      <w:pPr>
        <w:ind w:firstLine="420" w:firstLineChars="200"/>
        <w:rPr>
          <w:rFonts w:ascii="宋体" w:hAnsi="宋体" w:hint="eastAsia"/>
          <w:bCs/>
        </w:rPr>
      </w:pPr>
      <w:r>
        <w:rPr>
          <w:rFonts w:ascii="宋体" w:hAnsi="宋体" w:hint="eastAsia"/>
          <w:bCs/>
        </w:rPr>
        <w:t>15.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p>
    <w:p>
      <w:pPr>
        <w:ind w:firstLine="420" w:firstLineChars="200"/>
        <w:rPr>
          <w:rFonts w:ascii="宋体" w:hAnsi="宋体" w:hint="eastAsia"/>
          <w:szCs w:val="21"/>
        </w:rPr>
      </w:pPr>
      <w:r>
        <w:rPr>
          <w:rFonts w:ascii="宋体" w:hAnsi="宋体" w:hint="eastAsia"/>
          <w:szCs w:val="21"/>
        </w:rPr>
        <w:t>以上承诺，如有违反，愿依照国家相关法律法规处理，并承担由此给采购人带来的损失。</w:t>
      </w:r>
    </w:p>
    <w:p>
      <w:pPr>
        <w:spacing w:before="60" w:beforeLines="25" w:after="60" w:afterLines="25"/>
        <w:ind w:firstLine="5460" w:firstLineChars="2600"/>
        <w:rPr>
          <w:rFonts w:ascii="宋体" w:hAnsi="宋体" w:hint="eastAsia"/>
          <w:szCs w:val="21"/>
        </w:rPr>
      </w:pPr>
      <w:r>
        <w:rPr>
          <w:rFonts w:ascii="宋体" w:hAnsi="宋体" w:hint="eastAsia"/>
          <w:szCs w:val="21"/>
        </w:rPr>
        <w:t xml:space="preserve">                                    </w:t>
      </w:r>
    </w:p>
    <w:p>
      <w:pPr>
        <w:spacing w:before="60" w:beforeLines="25" w:after="60" w:afterLines="25"/>
        <w:ind w:firstLine="5460" w:firstLineChars="2600"/>
        <w:rPr>
          <w:color w:val="FF0000"/>
        </w:rPr>
      </w:pPr>
      <w:r>
        <w:rPr>
          <w:rFonts w:hint="eastAsia"/>
          <w:color w:val="FF0000"/>
          <w:szCs w:val="21"/>
        </w:rPr>
        <w:t>投标人：</w:t>
      </w:r>
      <w:r>
        <w:rPr>
          <w:rFonts w:hint="eastAsia"/>
          <w:color w:val="FF0000"/>
          <w:szCs w:val="21"/>
          <w:u w:val="single"/>
        </w:rPr>
        <w:t xml:space="preserve">              </w:t>
      </w:r>
    </w:p>
    <w:p>
      <w:pPr>
        <w:ind w:firstLine="645"/>
        <w:rPr>
          <w:rFonts w:ascii="宋体" w:hAnsi="宋体" w:hint="eastAsia"/>
          <w:color w:val="FF0000"/>
          <w:szCs w:val="21"/>
        </w:rPr>
      </w:pPr>
      <w:r>
        <w:rPr>
          <w:rFonts w:ascii="宋体" w:hAnsi="宋体" w:hint="eastAsia"/>
          <w:color w:val="FF0000"/>
          <w:szCs w:val="21"/>
        </w:rPr>
        <w:t xml:space="preserve">                                              日期：</w:t>
      </w:r>
      <w:r>
        <w:rPr>
          <w:rFonts w:ascii="宋体" w:hAnsi="宋体" w:hint="eastAsia"/>
          <w:color w:val="FF0000"/>
          <w:szCs w:val="21"/>
          <w:u w:val="single"/>
        </w:rPr>
        <w:t xml:space="preserve">    </w:t>
      </w:r>
      <w:r>
        <w:rPr>
          <w:rFonts w:ascii="宋体" w:hAnsi="宋体" w:hint="eastAsia"/>
          <w:color w:val="FF0000"/>
          <w:szCs w:val="21"/>
        </w:rPr>
        <w:t>年</w:t>
      </w:r>
      <w:r>
        <w:rPr>
          <w:rFonts w:ascii="宋体" w:hAnsi="宋体" w:hint="eastAsia"/>
          <w:color w:val="FF0000"/>
          <w:szCs w:val="21"/>
          <w:u w:val="single"/>
        </w:rPr>
        <w:t xml:space="preserve">   </w:t>
      </w:r>
      <w:r>
        <w:rPr>
          <w:rFonts w:ascii="宋体" w:hAnsi="宋体" w:hint="eastAsia"/>
          <w:color w:val="FF0000"/>
          <w:szCs w:val="21"/>
        </w:rPr>
        <w:t>月</w:t>
      </w:r>
      <w:r>
        <w:rPr>
          <w:rFonts w:ascii="宋体" w:hAnsi="宋体" w:hint="eastAsia"/>
          <w:color w:val="FF0000"/>
          <w:szCs w:val="21"/>
          <w:u w:val="single"/>
        </w:rPr>
        <w:t xml:space="preserve">   </w:t>
      </w:r>
      <w:r>
        <w:rPr>
          <w:rFonts w:ascii="宋体" w:hAnsi="宋体" w:hint="eastAsia"/>
          <w:color w:val="FF0000"/>
          <w:szCs w:val="21"/>
        </w:rPr>
        <w:t>日</w:t>
      </w:r>
    </w:p>
    <w:p>
      <w:pPr>
        <w:rPr>
          <w:rFonts w:ascii="宋体" w:hAnsi="宋体" w:hint="eastAsia"/>
          <w:szCs w:val="21"/>
        </w:rPr>
      </w:pPr>
    </w:p>
    <w:p>
      <w:pPr>
        <w:rPr>
          <w:rFonts w:ascii="宋体" w:hAnsi="宋体" w:hint="eastAsia"/>
          <w:szCs w:val="21"/>
        </w:rPr>
      </w:pPr>
    </w:p>
    <w:p/>
    <w:p/>
    <w:p>
      <w:pPr>
        <w:pStyle w:val="Heading3"/>
        <w:spacing w:before="120" w:after="120"/>
        <w:jc w:val="center"/>
        <w:rPr>
          <w:rFonts w:ascii="黑体" w:eastAsia="黑体" w:hint="eastAsia"/>
          <w:b w:val="0"/>
          <w:kern w:val="0"/>
          <w:sz w:val="24"/>
        </w:rPr>
      </w:pPr>
      <w:r>
        <w:rPr>
          <w:rFonts w:ascii="黑体" w:eastAsia="黑体" w:hint="eastAsia"/>
          <w:b w:val="0"/>
          <w:kern w:val="0"/>
          <w:sz w:val="24"/>
        </w:rPr>
        <w:t>三、投标人情况及资格证明文件</w:t>
      </w:r>
    </w:p>
    <w:p>
      <w:pPr>
        <w:ind w:firstLine="2310" w:firstLineChars="1100"/>
        <w:outlineLvl w:val="3"/>
        <w:rPr>
          <w:rFonts w:ascii="黑体" w:eastAsia="黑体" w:hAnsi="宋体" w:hint="eastAsia"/>
          <w:bCs/>
          <w:kern w:val="0"/>
          <w:sz w:val="24"/>
          <w:szCs w:val="32"/>
        </w:rPr>
      </w:pPr>
      <w:r>
        <w:rPr>
          <w:rFonts w:ascii="黑体" w:eastAsia="黑体" w:hAnsi="宋体" w:hint="eastAsia"/>
          <w:bCs/>
          <w:kern w:val="0"/>
          <w:sz w:val="24"/>
          <w:szCs w:val="32"/>
        </w:rPr>
        <w:t>（一）投标人资格证明文件</w:t>
      </w:r>
    </w:p>
    <w:p>
      <w:pPr>
        <w:spacing w:before="120" w:beforeLines="50"/>
        <w:ind w:firstLine="420" w:firstLineChars="200"/>
        <w:rPr>
          <w:b/>
          <w:bCs/>
          <w:color w:val="FF0000"/>
        </w:rPr>
      </w:pPr>
      <w:r>
        <w:rPr>
          <w:rFonts w:hint="eastAsia"/>
          <w:b/>
          <w:bCs/>
          <w:color w:val="FF0000"/>
        </w:rPr>
        <w:t>（特别提示：投标人须按本招标文件第一册第一章招标公告“申请人的资格要求”（即投标人资格要求）提供相关的资格证明资料，未提供或提供不完整、不符合要求的，将作投标无效处理，其中要求提供《政府采购投标及履约承诺函》《供应商基本情况表》且已在规定章节中提供的，此处不重复提供。）</w:t>
      </w:r>
    </w:p>
    <w:p>
      <w:pPr>
        <w:ind w:firstLine="420" w:firstLineChars="200"/>
        <w:rPr>
          <w:b/>
          <w:sz w:val="24"/>
        </w:rPr>
      </w:pPr>
    </w:p>
    <w:p>
      <w:pPr>
        <w:ind w:firstLine="420" w:firstLineChars="200"/>
        <w:outlineLvl w:val="3"/>
        <w:rPr>
          <w:rFonts w:ascii="黑体" w:eastAsia="黑体" w:hAnsi="宋体" w:hint="eastAsia"/>
          <w:bCs/>
          <w:kern w:val="0"/>
          <w:sz w:val="24"/>
          <w:szCs w:val="32"/>
        </w:rPr>
      </w:pPr>
      <w:r>
        <w:rPr>
          <w:rFonts w:ascii="黑体" w:eastAsia="黑体" w:hAnsi="宋体" w:hint="eastAsia"/>
          <w:bCs/>
          <w:kern w:val="0"/>
          <w:sz w:val="24"/>
          <w:szCs w:val="32"/>
        </w:rPr>
        <w:t>（二）中小企业声明函、残疾人福利性单位声明函及监狱企业声明函</w:t>
      </w:r>
    </w:p>
    <w:p>
      <w:pPr>
        <w:jc w:val="left"/>
        <w:outlineLvl w:val="3"/>
        <w:rPr>
          <w:rFonts w:ascii="黑体" w:eastAsia="黑体" w:hAnsi="宋体" w:hint="eastAsia"/>
          <w:bCs/>
          <w:kern w:val="0"/>
          <w:sz w:val="24"/>
          <w:szCs w:val="32"/>
        </w:rPr>
      </w:pP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填写指引：</w:t>
      </w:r>
    </w:p>
    <w:p>
      <w:pPr>
        <w:ind w:firstLine="420" w:firstLineChars="200"/>
        <w:outlineLvl w:val="3"/>
        <w:rPr>
          <w:rFonts w:ascii="黑体" w:eastAsia="黑体" w:hAnsi="黑体" w:hint="eastAsia"/>
          <w:color w:val="FF0000"/>
          <w:szCs w:val="21"/>
        </w:rPr>
      </w:pPr>
      <w:r>
        <w:rPr>
          <w:rFonts w:ascii="黑体" w:eastAsia="黑体" w:hAnsi="宋体" w:hint="eastAsia"/>
          <w:bCs/>
          <w:color w:val="FF0000"/>
          <w:kern w:val="0"/>
          <w:szCs w:val="21"/>
        </w:rPr>
        <w:t>1、该部分内容由投标人根据自身实际情况填写，不符合要求的投标人可以不填写或直接删除相应的声明函。</w:t>
      </w:r>
      <w:r>
        <w:rPr>
          <w:rFonts w:ascii="黑体" w:eastAsia="黑体" w:hAnsi="黑体" w:hint="eastAsia"/>
          <w:color w:val="FF0000"/>
          <w:szCs w:val="21"/>
        </w:rPr>
        <w:t>投标人提供的声明函不属实的，属于提供虚假资料谋取中标，依照《中华人民共和国政府采购法》等国家有关规定追究相应责任。</w:t>
      </w:r>
    </w:p>
    <w:p>
      <w:pPr>
        <w:ind w:firstLine="420" w:firstLineChars="200"/>
        <w:outlineLvl w:val="3"/>
        <w:rPr>
          <w:rFonts w:ascii="黑体" w:eastAsia="黑体" w:hAnsi="黑体" w:hint="eastAsia"/>
          <w:color w:val="FF0000"/>
          <w:szCs w:val="21"/>
        </w:rPr>
      </w:pPr>
      <w:r>
        <w:rPr>
          <w:rFonts w:ascii="黑体" w:eastAsia="黑体" w:hAnsi="黑体" w:hint="eastAsia"/>
          <w:color w:val="FF0000"/>
          <w:szCs w:val="21"/>
        </w:rPr>
        <w:t>2、该部分内容填写需要参考的相关文件：</w:t>
      </w:r>
    </w:p>
    <w:p>
      <w:pPr>
        <w:ind w:firstLine="420" w:firstLineChars="200"/>
        <w:outlineLvl w:val="3"/>
        <w:rPr>
          <w:rFonts w:ascii="黑体" w:eastAsia="黑体" w:hAnsi="黑体" w:hint="eastAsia"/>
          <w:color w:val="FF0000"/>
          <w:szCs w:val="21"/>
        </w:rPr>
      </w:pPr>
      <w:r>
        <w:rPr>
          <w:rFonts w:ascii="黑体" w:eastAsia="黑体" w:hAnsi="黑体" w:hint="eastAsia"/>
          <w:color w:val="FF0000"/>
          <w:szCs w:val="21"/>
        </w:rPr>
        <w:t>(</w:t>
      </w:r>
      <w:r>
        <w:rPr>
          <w:rFonts w:ascii="黑体" w:eastAsia="黑体" w:hAnsi="黑体"/>
          <w:color w:val="FF0000"/>
          <w:szCs w:val="21"/>
        </w:rPr>
        <w:t>1</w:t>
      </w:r>
      <w:r>
        <w:rPr>
          <w:rFonts w:ascii="黑体" w:eastAsia="黑体" w:hAnsi="黑体" w:hint="eastAsia"/>
          <w:color w:val="FF0000"/>
          <w:szCs w:val="21"/>
        </w:rPr>
        <w:t>)财政部《政府采购促进中小企业发展管理办法》（财库〔2020〕46号）</w:t>
      </w:r>
    </w:p>
    <w:p>
      <w:pPr>
        <w:ind w:firstLine="420" w:firstLineChars="200"/>
        <w:outlineLvl w:val="3"/>
        <w:rPr>
          <w:rFonts w:ascii="黑体" w:eastAsia="黑体" w:hAnsi="黑体" w:hint="eastAsia"/>
          <w:color w:val="FF0000"/>
          <w:szCs w:val="21"/>
        </w:rPr>
      </w:pPr>
      <w:r>
        <w:rPr>
          <w:rFonts w:ascii="黑体" w:eastAsia="黑体" w:hAnsi="黑体" w:hint="eastAsia"/>
          <w:color w:val="FF0000"/>
          <w:szCs w:val="21"/>
        </w:rPr>
        <w:t>(</w:t>
      </w:r>
      <w:r>
        <w:rPr>
          <w:rFonts w:ascii="黑体" w:eastAsia="黑体" w:hAnsi="黑体"/>
          <w:color w:val="FF0000"/>
          <w:szCs w:val="21"/>
        </w:rPr>
        <w:t>2</w:t>
      </w:r>
      <w:r>
        <w:rPr>
          <w:rFonts w:ascii="黑体" w:eastAsia="黑体" w:hAnsi="黑体" w:hint="eastAsia"/>
          <w:color w:val="FF0000"/>
          <w:szCs w:val="21"/>
        </w:rPr>
        <w:t>)</w:t>
      </w:r>
      <w:bookmarkStart w:id="48" w:name="_Hlk71925120"/>
      <w:r>
        <w:rPr>
          <w:rFonts w:ascii="黑体" w:eastAsia="黑体" w:hAnsi="黑体" w:hint="eastAsia"/>
          <w:color w:val="FF0000"/>
          <w:szCs w:val="21"/>
        </w:rPr>
        <w:t>《工业和信息化部、国家统计局、国家发展和改革委员会、财政部关于印发中小企业划型标准规定的通知》（工信部联企业〔2011〕300号</w:t>
      </w:r>
      <w:bookmarkEnd w:id="48"/>
      <w:r>
        <w:rPr>
          <w:rFonts w:ascii="黑体" w:eastAsia="黑体" w:hAnsi="黑体" w:hint="eastAsia"/>
          <w:color w:val="FF0000"/>
          <w:szCs w:val="21"/>
        </w:rPr>
        <w:t>）</w:t>
      </w:r>
    </w:p>
    <w:p>
      <w:pPr>
        <w:ind w:firstLine="420" w:firstLineChars="200"/>
        <w:outlineLvl w:val="3"/>
        <w:rPr>
          <w:rFonts w:ascii="黑体" w:eastAsia="黑体" w:hAnsi="黑体" w:hint="eastAsia"/>
          <w:color w:val="FF0000"/>
          <w:szCs w:val="21"/>
        </w:rPr>
      </w:pPr>
      <w:r>
        <w:rPr>
          <w:rFonts w:ascii="黑体" w:eastAsia="黑体" w:hAnsi="黑体" w:hint="eastAsia"/>
          <w:color w:val="FF0000"/>
          <w:szCs w:val="21"/>
        </w:rPr>
        <w:t>(3)《统计上大中小微型企业划分办法(2017)》（国统字〔2017〕213号）</w:t>
      </w:r>
    </w:p>
    <w:p>
      <w:pPr>
        <w:ind w:firstLine="420" w:firstLineChars="200"/>
        <w:outlineLvl w:val="3"/>
        <w:rPr>
          <w:rFonts w:ascii="黑体" w:eastAsia="黑体" w:hAnsi="黑体" w:hint="eastAsia"/>
          <w:color w:val="FF0000"/>
          <w:szCs w:val="21"/>
        </w:rPr>
      </w:pPr>
      <w:r>
        <w:rPr>
          <w:rFonts w:ascii="黑体" w:eastAsia="黑体" w:hAnsi="黑体" w:hint="eastAsia"/>
          <w:color w:val="FF0000"/>
          <w:szCs w:val="21"/>
        </w:rPr>
        <w:t>(4)《关于促进残疾人就业政府采购政策的通知》（财库〔2017〕141号）</w:t>
      </w:r>
    </w:p>
    <w:p>
      <w:pPr>
        <w:ind w:firstLine="420" w:firstLineChars="200"/>
        <w:outlineLvl w:val="3"/>
        <w:rPr>
          <w:rFonts w:ascii="黑体" w:eastAsia="黑体" w:hAnsi="黑体" w:hint="eastAsia"/>
          <w:color w:val="FF0000"/>
          <w:szCs w:val="21"/>
        </w:rPr>
      </w:pPr>
      <w:r>
        <w:rPr>
          <w:rFonts w:ascii="黑体" w:eastAsia="黑体" w:hAnsi="黑体" w:hint="eastAsia"/>
          <w:color w:val="FF0000"/>
          <w:szCs w:val="21"/>
        </w:rPr>
        <w:t>(5)《关于政府采购支持监狱企业发展有关问题的通知》（财库〔2014〕68号）</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3、请依照提供的格式和内容填写声明函，不要随意变更格式；声明函不需要盖章或签字；</w:t>
      </w:r>
      <w:r>
        <w:rPr>
          <w:rFonts w:ascii="黑体" w:eastAsia="黑体" w:hAnsi="黑体" w:hint="eastAsia"/>
          <w:color w:val="FF0000"/>
          <w:szCs w:val="21"/>
        </w:rPr>
        <w:t>满足多项优惠政策的投标人，不重复享受多项价格扣除政策。</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4、声明函具体填写要求：</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（1）声明是中小企业须填写《中小企业声明函》的以下内容：</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第一处，在“单位名称”下划线处如实填写采购人名称（深圳公共资源交易中心不是本项目的采购人，而是组织实施机构）；</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第二处，在“项目名称”下划线处如实填写采购文件中确定的项目名称。对于分包方式面向中小企业采购的项目，应标明中小企业的具体分包内容；对于以联合体方式面向中小企业采购的项目，应标明联合体中中小企业所承担的具体内容；</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第三处，在“标的名称”下划线处填写所采购标的具体名称（以招标文件第一册第三章用户需求书“服务需求明细”的“服务需求名称（标的名称）”一栏为准）；如果涉及多项服务（标的）为同一企业承接的，“标的名称”下划线处可以如实填写多项服务；对于分包方式面向中小企业采购的项目，“标的名称”应填写采购文件中注明的分包给中小企业的采购标的名称；对于以联合体方式面向中小企业采购的项目“标的名称”应填写采购文件中注明的联合体中中小企业承担的采购标的名称。</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第四处，在“采购文件中明确的所属行业”下划线处填写采购标的对应的中小企业划分标准所属行业（所属行业以招标文件第一册第三章用户需求书“服务需求明细”的“标的所属行业”一栏为准），并应确保与采购标的涉及的服务承接商本身的所属行业保持一致。对于分包方式面向中小企业采购的项目，“采购文件中明确的所属行业”应按照采购文件中注明的分包给中小企业的采购标的所属行业填写，并应确保与该分包部分采购标的涉及的服务承接商本身的所属行业保持一致；对于以联合体方式面向中小企业采购的项目，“采购文件中明确的所属行业”应按照采购文件中注明的联合体中中小企业承担的采购标的所属行业填写，并应确保与该联合体部分采购标的涉及的服务承接商本身的所属行业保持一致；</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第五处，在“企业名称”下划线处如实填写</w:t>
      </w:r>
      <w:r>
        <w:rPr>
          <w:rFonts w:ascii="黑体" w:eastAsia="黑体" w:hAnsi="宋体" w:hint="eastAsia"/>
          <w:b/>
          <w:color w:val="FF0000"/>
          <w:kern w:val="0"/>
          <w:szCs w:val="21"/>
        </w:rPr>
        <w:t>服务承接商名称。</w:t>
      </w:r>
      <w:r>
        <w:rPr>
          <w:rFonts w:ascii="黑体" w:eastAsia="黑体" w:hAnsi="宋体" w:hint="eastAsia"/>
          <w:bCs/>
          <w:color w:val="FF0000"/>
          <w:kern w:val="0"/>
          <w:szCs w:val="21"/>
        </w:rPr>
        <w:t>对于分包方式面向中小企业采购的项目，“企业名称”应填写分包部分采购标的对应的服务承接商；对于以联合体方式面向中小企业采购的项目，“企业名称”应填写联合体中中小企业承担采购标的对应的服务承接商；</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第六、七、八处，在“从业人员”、“营业收入”、“资产总额”下划线处如实填写从业人员、营业收入、资产总额。从业人员、资产总额指标以上年度末数据为依据，营业收入指标以上年度累计数据为依据。无上年度数据的新成立企业可不填报。</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第九处，在“中型企业、小型企业、微型企业”下划线处应依据企业上年度从业人员、营业收入、资产总额等指标，按照《中小企业划型标准规定》（工信部联企业〔2011〕300号）、《金融业企业划型标准规定》（银发〔2015〕309号），判断《中小企业声明函》载明的服务承接商是否属于采购文件所属行业的中型企业/小型企业/微型企业。</w:t>
      </w:r>
    </w:p>
    <w:p>
      <w:pPr>
        <w:pStyle w:val="NoSpacing"/>
        <w:ind w:firstLine="420" w:firstLineChars="200"/>
        <w:rPr>
          <w:rFonts w:ascii="黑体" w:eastAsia="黑体" w:hAnsi="宋体" w:hint="eastAsia"/>
          <w:bCs/>
          <w:color w:val="FF0000"/>
          <w:kern w:val="0"/>
          <w:szCs w:val="21"/>
        </w:rPr>
      </w:pPr>
      <w:r>
        <w:rPr>
          <w:rFonts w:ascii="黑体" w:eastAsia="黑体" w:hAnsi="宋体" w:hint="eastAsia"/>
          <w:bCs/>
          <w:color w:val="FF0000"/>
          <w:kern w:val="0"/>
          <w:szCs w:val="21"/>
        </w:rPr>
        <w:t>（2）对于已纳入统计部门统计范围的企业，所属行业、从业人员、营业收入、资产总额、规模类型应与统计部门报表保持一致。对于未纳入统计部门统计范围的企业，应对照《国民经济行业分类》确定所属行业，当企业从事两种以上的经济活动时，按照企业从事的主要活动确定所属行业；从业人员、营业收入、资产总额应按照上年度末实际情况填报，并应确保在争议纠纷处理时，可提供相关数据的来源依据。</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（3）事业单位、社会组织等非企业主体不享受中小企业扶持政策。</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（4）声明是残疾人福利性单位须填写《残疾人福利性单位声明函》的相关内容，具体参照以上《中小企业声明函》填写要求执行。</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（5）声明是监狱企业须填写《监狱企业声明函》的三项内容（填写位置的字体已加粗），具体参照以上《中小企业声明函》填写要求执行。</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5、本项目属于服务类项目，相关服务承接商应当为中小企业或残疾人福利性单位或监狱企业，如包含硬件设备、产品等货物采购的，不再对其中涉及的货物制造商作出要求。</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6、若本项目属于专门面向中小企业、残疾人福利性单位或监狱企业，则声明函有效性由采购人或代理机构判定，如判定声明函无效的，相关供应商将作资格审查不通过处理；若本项目非专门面向中小企业、残疾人福利性单位或监狱企业，声明函的有效性由评审委员会判定，如评审委员会判定声明函无效，相关供应商不享受价格扣除（但不作投标无效处理）。</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7、采购人、代理机构、评审委员会在依法进行资格审查、评审过程中，发现《中小企业声明函》存在明显笔误或含义不明确的，应按规定要求供应商进行澄清、说明或补正。澄清修改后符合中小企业条件的供应商，可以享受中小企业扶持政策。</w:t>
      </w:r>
    </w:p>
    <w:p>
      <w:pPr>
        <w:pStyle w:val="BodyText"/>
      </w:pPr>
    </w:p>
    <w:p>
      <w:pPr>
        <w:numPr>
          <w:ilvl w:val="0"/>
          <w:numId w:val="53"/>
        </w:numPr>
        <w:jc w:val="center"/>
        <w:outlineLvl w:val="3"/>
        <w:rPr>
          <w:b/>
          <w:sz w:val="24"/>
        </w:rPr>
      </w:pPr>
      <w:r>
        <w:rPr>
          <w:b/>
          <w:sz w:val="24"/>
        </w:rPr>
        <w:t>中小企业声明函（</w:t>
      </w:r>
      <w:r>
        <w:rPr>
          <w:rFonts w:hint="eastAsia"/>
          <w:b/>
          <w:sz w:val="24"/>
        </w:rPr>
        <w:t>服务</w:t>
      </w:r>
      <w:r>
        <w:rPr>
          <w:b/>
          <w:sz w:val="24"/>
        </w:rPr>
        <w:t>）</w:t>
      </w:r>
    </w:p>
    <w:p>
      <w:pPr>
        <w:pStyle w:val="BodyText"/>
      </w:pPr>
    </w:p>
    <w:p>
      <w:pPr>
        <w:spacing w:line="360" w:lineRule="auto"/>
        <w:ind w:firstLine="420" w:firstLineChars="200"/>
        <w:outlineLvl w:val="3"/>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本公司（联合体）郑重声明，根据《政府采购促进中小企业发展管理办法》（财库﹝2020﹞46号）的规定，本公司（联合体）参加</w:t>
      </w:r>
      <w:r>
        <w:rPr>
          <w:rFonts w:asciiTheme="minorEastAsia" w:eastAsiaTheme="minorEastAsia" w:hAnsiTheme="minorEastAsia" w:cstheme="minorEastAsia" w:hint="eastAsia"/>
          <w:b/>
          <w:bCs/>
          <w:i/>
          <w:iCs/>
          <w:szCs w:val="21"/>
          <w:u w:val="single"/>
        </w:rPr>
        <w:t xml:space="preserve">    （单位名称）    </w:t>
      </w:r>
      <w:r>
        <w:rPr>
          <w:rFonts w:asciiTheme="minorEastAsia" w:eastAsiaTheme="minorEastAsia" w:hAnsiTheme="minorEastAsia" w:cstheme="minorEastAsia" w:hint="eastAsia"/>
          <w:szCs w:val="21"/>
        </w:rPr>
        <w:t>的</w:t>
      </w:r>
      <w:r>
        <w:rPr>
          <w:rFonts w:asciiTheme="minorEastAsia" w:eastAsiaTheme="minorEastAsia" w:hAnsiTheme="minorEastAsia" w:cstheme="minorEastAsia" w:hint="eastAsia"/>
          <w:b/>
          <w:bCs/>
          <w:i/>
          <w:iCs/>
          <w:szCs w:val="21"/>
          <w:u w:val="single"/>
        </w:rPr>
        <w:t xml:space="preserve">    （项目名称）    </w:t>
      </w:r>
      <w:r>
        <w:rPr>
          <w:rFonts w:asciiTheme="minorEastAsia" w:eastAsiaTheme="minorEastAsia" w:hAnsiTheme="minorEastAsia" w:cstheme="minorEastAsia" w:hint="eastAsia"/>
          <w:szCs w:val="21"/>
        </w:rPr>
        <w:t>采购活动，服务全部由符合政策要求的中小企业承接。相关企业（含联合体中的中小企业、签订分包意向协议的中小企业）的具体情况如下：</w:t>
      </w:r>
    </w:p>
    <w:p>
      <w:pPr>
        <w:spacing w:line="360" w:lineRule="auto"/>
        <w:ind w:firstLine="420" w:firstLineChars="200"/>
        <w:outlineLvl w:val="3"/>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b/>
          <w:bCs/>
          <w:i/>
          <w:iCs/>
          <w:szCs w:val="21"/>
          <w:u w:val="single"/>
        </w:rPr>
        <w:t xml:space="preserve">    （标的名称）     </w:t>
      </w:r>
      <w:r>
        <w:rPr>
          <w:rFonts w:asciiTheme="minorEastAsia" w:eastAsiaTheme="minorEastAsia" w:hAnsiTheme="minorEastAsia" w:cstheme="minorEastAsia" w:hint="eastAsia"/>
          <w:szCs w:val="21"/>
        </w:rPr>
        <w:t>，属于</w:t>
      </w:r>
      <w:r>
        <w:rPr>
          <w:rFonts w:asciiTheme="minorEastAsia" w:eastAsiaTheme="minorEastAsia" w:hAnsiTheme="minorEastAsia" w:cstheme="minorEastAsia" w:hint="eastAsia"/>
          <w:b/>
          <w:bCs/>
          <w:i/>
          <w:iCs/>
          <w:szCs w:val="21"/>
          <w:u w:val="single"/>
        </w:rPr>
        <w:t xml:space="preserve">    （采购文件中明确的所属行业）    </w:t>
      </w:r>
      <w:r>
        <w:rPr>
          <w:rFonts w:asciiTheme="minorEastAsia" w:eastAsiaTheme="minorEastAsia" w:hAnsiTheme="minorEastAsia" w:cstheme="minorEastAsia" w:hint="eastAsia"/>
          <w:szCs w:val="21"/>
        </w:rPr>
        <w:t>行业；承接企业为</w:t>
      </w:r>
      <w:r>
        <w:rPr>
          <w:rFonts w:asciiTheme="minorEastAsia" w:eastAsiaTheme="minorEastAsia" w:hAnsiTheme="minorEastAsia" w:cstheme="minorEastAsia" w:hint="eastAsia"/>
          <w:b/>
          <w:bCs/>
          <w:i/>
          <w:iCs/>
          <w:szCs w:val="21"/>
          <w:u w:val="single"/>
        </w:rPr>
        <w:t xml:space="preserve">    （企业名称，要求承接企业本身所属行业应当与招标文件要求的行业相一致）    </w:t>
      </w:r>
      <w:r>
        <w:rPr>
          <w:rFonts w:asciiTheme="minorEastAsia" w:eastAsiaTheme="minorEastAsia" w:hAnsiTheme="minorEastAsia" w:cstheme="minorEastAsia" w:hint="eastAsia"/>
          <w:szCs w:val="21"/>
        </w:rPr>
        <w:t>，从业人员</w:t>
      </w:r>
      <w:r>
        <w:rPr>
          <w:rFonts w:asciiTheme="minorEastAsia" w:eastAsiaTheme="minorEastAsia" w:hAnsiTheme="minorEastAsia" w:cstheme="minorEastAsia" w:hint="eastAsia"/>
          <w:b/>
          <w:bCs/>
          <w:i/>
          <w:iCs/>
          <w:szCs w:val="21"/>
          <w:u w:val="single"/>
        </w:rPr>
        <w:t xml:space="preserve">        </w:t>
      </w:r>
      <w:r>
        <w:rPr>
          <w:rFonts w:asciiTheme="minorEastAsia" w:eastAsiaTheme="minorEastAsia" w:hAnsiTheme="minorEastAsia" w:cstheme="minorEastAsia" w:hint="eastAsia"/>
          <w:szCs w:val="21"/>
        </w:rPr>
        <w:t>人，营业收入为</w:t>
      </w:r>
      <w:r>
        <w:rPr>
          <w:rFonts w:asciiTheme="minorEastAsia" w:eastAsiaTheme="minorEastAsia" w:hAnsiTheme="minorEastAsia" w:cstheme="minorEastAsia" w:hint="eastAsia"/>
          <w:b/>
          <w:bCs/>
          <w:i/>
          <w:iCs/>
          <w:szCs w:val="21"/>
          <w:u w:val="single"/>
        </w:rPr>
        <w:t xml:space="preserve">        </w:t>
      </w:r>
      <w:r>
        <w:rPr>
          <w:rFonts w:asciiTheme="minorEastAsia" w:eastAsiaTheme="minorEastAsia" w:hAnsiTheme="minorEastAsia" w:cstheme="minorEastAsia" w:hint="eastAsia"/>
          <w:szCs w:val="21"/>
        </w:rPr>
        <w:t>万元，资产总额为</w:t>
      </w:r>
      <w:r>
        <w:rPr>
          <w:rFonts w:asciiTheme="minorEastAsia" w:eastAsiaTheme="minorEastAsia" w:hAnsiTheme="minorEastAsia" w:cstheme="minorEastAsia" w:hint="eastAsia"/>
          <w:b/>
          <w:bCs/>
          <w:i/>
          <w:iCs/>
          <w:szCs w:val="21"/>
          <w:u w:val="single"/>
        </w:rPr>
        <w:t xml:space="preserve">        </w:t>
      </w:r>
      <w:r>
        <w:rPr>
          <w:rFonts w:asciiTheme="minorEastAsia" w:eastAsiaTheme="minorEastAsia" w:hAnsiTheme="minorEastAsia" w:cstheme="minorEastAsia" w:hint="eastAsia"/>
          <w:szCs w:val="21"/>
        </w:rPr>
        <w:t>万元，属于</w:t>
      </w:r>
      <w:r>
        <w:rPr>
          <w:rFonts w:asciiTheme="minorEastAsia" w:eastAsiaTheme="minorEastAsia" w:hAnsiTheme="minorEastAsia" w:cstheme="minorEastAsia" w:hint="eastAsia"/>
          <w:b/>
          <w:bCs/>
          <w:i/>
          <w:iCs/>
          <w:szCs w:val="21"/>
          <w:u w:val="single"/>
        </w:rPr>
        <w:t xml:space="preserve">    （中型企业、小型企业、微型企业）    </w:t>
      </w:r>
      <w:r>
        <w:rPr>
          <w:rFonts w:asciiTheme="minorEastAsia" w:eastAsiaTheme="minorEastAsia" w:hAnsiTheme="minorEastAsia" w:cstheme="minorEastAsia" w:hint="eastAsia"/>
          <w:szCs w:val="21"/>
        </w:rPr>
        <w:t>；</w:t>
      </w:r>
    </w:p>
    <w:p>
      <w:pPr>
        <w:spacing w:line="360" w:lineRule="auto"/>
        <w:ind w:firstLine="420" w:firstLineChars="200"/>
        <w:outlineLvl w:val="3"/>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b/>
          <w:bCs/>
          <w:i/>
          <w:iCs/>
          <w:szCs w:val="21"/>
          <w:u w:val="single"/>
        </w:rPr>
        <w:t xml:space="preserve">    （标的名称）     </w:t>
      </w:r>
      <w:r>
        <w:rPr>
          <w:rFonts w:asciiTheme="minorEastAsia" w:eastAsiaTheme="minorEastAsia" w:hAnsiTheme="minorEastAsia" w:cstheme="minorEastAsia" w:hint="eastAsia"/>
          <w:szCs w:val="21"/>
        </w:rPr>
        <w:t>，属于</w:t>
      </w:r>
      <w:r>
        <w:rPr>
          <w:rFonts w:asciiTheme="minorEastAsia" w:eastAsiaTheme="minorEastAsia" w:hAnsiTheme="minorEastAsia" w:cstheme="minorEastAsia" w:hint="eastAsia"/>
          <w:b/>
          <w:bCs/>
          <w:i/>
          <w:iCs/>
          <w:szCs w:val="21"/>
          <w:u w:val="single"/>
        </w:rPr>
        <w:t xml:space="preserve">    （采购文件中明确的所属行业）    </w:t>
      </w:r>
      <w:r>
        <w:rPr>
          <w:rFonts w:asciiTheme="minorEastAsia" w:eastAsiaTheme="minorEastAsia" w:hAnsiTheme="minorEastAsia" w:cstheme="minorEastAsia" w:hint="eastAsia"/>
          <w:szCs w:val="21"/>
        </w:rPr>
        <w:t>行业；承接企业为</w:t>
      </w:r>
      <w:r>
        <w:rPr>
          <w:rFonts w:asciiTheme="minorEastAsia" w:eastAsiaTheme="minorEastAsia" w:hAnsiTheme="minorEastAsia" w:cstheme="minorEastAsia" w:hint="eastAsia"/>
          <w:b/>
          <w:bCs/>
          <w:i/>
          <w:iCs/>
          <w:szCs w:val="21"/>
          <w:u w:val="single"/>
        </w:rPr>
        <w:t xml:space="preserve">    （企业名称，要求承接企业本身所属行业应当与招标文件要求的行业相一致）    </w:t>
      </w:r>
      <w:r>
        <w:rPr>
          <w:rFonts w:asciiTheme="minorEastAsia" w:eastAsiaTheme="minorEastAsia" w:hAnsiTheme="minorEastAsia" w:cstheme="minorEastAsia" w:hint="eastAsia"/>
          <w:szCs w:val="21"/>
        </w:rPr>
        <w:t>，从业人员</w:t>
      </w:r>
      <w:r>
        <w:rPr>
          <w:rFonts w:asciiTheme="minorEastAsia" w:eastAsiaTheme="minorEastAsia" w:hAnsiTheme="minorEastAsia" w:cstheme="minorEastAsia" w:hint="eastAsia"/>
          <w:b/>
          <w:bCs/>
          <w:i/>
          <w:iCs/>
          <w:szCs w:val="21"/>
          <w:u w:val="single"/>
        </w:rPr>
        <w:t xml:space="preserve">        </w:t>
      </w:r>
      <w:r>
        <w:rPr>
          <w:rFonts w:asciiTheme="minorEastAsia" w:eastAsiaTheme="minorEastAsia" w:hAnsiTheme="minorEastAsia" w:cstheme="minorEastAsia" w:hint="eastAsia"/>
          <w:szCs w:val="21"/>
        </w:rPr>
        <w:t>人，营业收入为</w:t>
      </w:r>
      <w:r>
        <w:rPr>
          <w:rFonts w:asciiTheme="minorEastAsia" w:eastAsiaTheme="minorEastAsia" w:hAnsiTheme="minorEastAsia" w:cstheme="minorEastAsia" w:hint="eastAsia"/>
          <w:b/>
          <w:bCs/>
          <w:i/>
          <w:iCs/>
          <w:szCs w:val="21"/>
          <w:u w:val="single"/>
        </w:rPr>
        <w:t xml:space="preserve">        </w:t>
      </w:r>
      <w:r>
        <w:rPr>
          <w:rFonts w:asciiTheme="minorEastAsia" w:eastAsiaTheme="minorEastAsia" w:hAnsiTheme="minorEastAsia" w:cstheme="minorEastAsia" w:hint="eastAsia"/>
          <w:szCs w:val="21"/>
        </w:rPr>
        <w:t>万元，资产总额为</w:t>
      </w:r>
      <w:r>
        <w:rPr>
          <w:rFonts w:asciiTheme="minorEastAsia" w:eastAsiaTheme="minorEastAsia" w:hAnsiTheme="minorEastAsia" w:cstheme="minorEastAsia" w:hint="eastAsia"/>
          <w:b/>
          <w:bCs/>
          <w:i/>
          <w:iCs/>
          <w:szCs w:val="21"/>
          <w:u w:val="single"/>
        </w:rPr>
        <w:t xml:space="preserve">        </w:t>
      </w:r>
      <w:r>
        <w:rPr>
          <w:rFonts w:asciiTheme="minorEastAsia" w:eastAsiaTheme="minorEastAsia" w:hAnsiTheme="minorEastAsia" w:cstheme="minorEastAsia" w:hint="eastAsia"/>
          <w:szCs w:val="21"/>
        </w:rPr>
        <w:t>万元，属于</w:t>
      </w:r>
      <w:r>
        <w:rPr>
          <w:rFonts w:asciiTheme="minorEastAsia" w:eastAsiaTheme="minorEastAsia" w:hAnsiTheme="minorEastAsia" w:cstheme="minorEastAsia" w:hint="eastAsia"/>
          <w:b/>
          <w:bCs/>
          <w:i/>
          <w:iCs/>
          <w:szCs w:val="21"/>
          <w:u w:val="single"/>
        </w:rPr>
        <w:t xml:space="preserve">    （中型企业、小型企业、微型企业）    </w:t>
      </w:r>
      <w:r>
        <w:rPr>
          <w:rFonts w:asciiTheme="minorEastAsia" w:eastAsiaTheme="minorEastAsia" w:hAnsiTheme="minorEastAsia" w:cstheme="minorEastAsia" w:hint="eastAsia"/>
          <w:szCs w:val="21"/>
        </w:rPr>
        <w:t>；</w:t>
      </w:r>
    </w:p>
    <w:p>
      <w:pPr>
        <w:spacing w:line="360" w:lineRule="auto"/>
        <w:ind w:firstLine="420" w:firstLineChars="200"/>
        <w:outlineLvl w:val="3"/>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w:t>
      </w:r>
    </w:p>
    <w:p>
      <w:pPr>
        <w:spacing w:line="360" w:lineRule="auto"/>
        <w:ind w:firstLine="420" w:firstLineChars="200"/>
        <w:outlineLvl w:val="3"/>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以上企业，不属于大企业的分支机构，不存在控股股东为大企业的情形，也不存在与大企业的负责人为同一人的情形。</w:t>
      </w:r>
    </w:p>
    <w:p>
      <w:pPr>
        <w:spacing w:line="360" w:lineRule="auto"/>
        <w:ind w:firstLine="420" w:firstLineChars="200"/>
        <w:outlineLvl w:val="3"/>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本企业对上述声明内容的真实性负责。如有虚假，将依法承担相应责任。</w:t>
      </w:r>
    </w:p>
    <w:p>
      <w:pPr>
        <w:spacing w:line="360" w:lineRule="auto"/>
        <w:ind w:firstLine="420" w:firstLineChars="200"/>
        <w:outlineLvl w:val="3"/>
        <w:rPr>
          <w:rFonts w:asciiTheme="minorEastAsia" w:eastAsiaTheme="minorEastAsia" w:hAnsiTheme="minorEastAsia" w:cstheme="minorEastAsia" w:hint="eastAsia"/>
          <w:szCs w:val="21"/>
        </w:rPr>
      </w:pPr>
      <w:bookmarkStart w:id="49" w:name="_Hlk73562275"/>
      <w:r>
        <w:rPr>
          <w:rFonts w:asciiTheme="minorEastAsia" w:eastAsiaTheme="minorEastAsia" w:hAnsiTheme="minorEastAsia" w:cstheme="minorEastAsia" w:hint="eastAsia"/>
          <w:szCs w:val="21"/>
        </w:rPr>
        <w:t>本投标人已知悉《政府采购促进中小企业发展管理办法》（财库〔2020〕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9"/>
    </w:p>
    <w:p>
      <w:pPr>
        <w:ind w:firstLine="420" w:firstLineChars="200"/>
      </w:pPr>
    </w:p>
    <w:p>
      <w:pPr>
        <w:jc w:val="center"/>
        <w:outlineLvl w:val="3"/>
        <w:rPr>
          <w:b/>
          <w:sz w:val="24"/>
        </w:rPr>
      </w:pPr>
      <w:r>
        <w:rPr>
          <w:rFonts w:hint="eastAsia"/>
          <w:b/>
          <w:sz w:val="24"/>
        </w:rPr>
        <w:t>2、残疾人福利性单位声明函（服务类）</w:t>
      </w:r>
    </w:p>
    <w:p>
      <w:pPr>
        <w:spacing w:line="360" w:lineRule="auto"/>
        <w:ind w:firstLine="420" w:firstLineChars="200"/>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本单位郑重声明，根据《财政部 民政部 中国残疾人联合会关于促进残疾人就业政府采购政策的通知》（财库〔2017〕141号）的规定，本单位为符合条件的残疾人福利性单位，且本单位参加</w:t>
      </w:r>
      <w:r>
        <w:rPr>
          <w:rFonts w:asciiTheme="minorEastAsia" w:eastAsiaTheme="minorEastAsia" w:hAnsiTheme="minorEastAsia" w:cstheme="minorEastAsia" w:hint="eastAsia"/>
          <w:b/>
          <w:bCs/>
          <w:i/>
          <w:iCs/>
          <w:szCs w:val="21"/>
          <w:u w:val="single"/>
        </w:rPr>
        <w:t xml:space="preserve">    （单位名称）    </w:t>
      </w:r>
      <w:r>
        <w:rPr>
          <w:rFonts w:asciiTheme="minorEastAsia" w:eastAsiaTheme="minorEastAsia" w:hAnsiTheme="minorEastAsia" w:cstheme="minorEastAsia" w:hint="eastAsia"/>
          <w:szCs w:val="21"/>
        </w:rPr>
        <w:t>单位的</w:t>
      </w:r>
      <w:r>
        <w:rPr>
          <w:rFonts w:asciiTheme="minorEastAsia" w:eastAsiaTheme="minorEastAsia" w:hAnsiTheme="minorEastAsia" w:cstheme="minorEastAsia" w:hint="eastAsia"/>
          <w:b/>
          <w:bCs/>
          <w:i/>
          <w:iCs/>
          <w:szCs w:val="21"/>
          <w:u w:val="single"/>
        </w:rPr>
        <w:t xml:space="preserve">    （项目名称）    </w:t>
      </w:r>
      <w:r>
        <w:rPr>
          <w:rFonts w:asciiTheme="minorEastAsia" w:eastAsiaTheme="minorEastAsia" w:hAnsiTheme="minorEastAsia" w:cstheme="minorEastAsia" w:hint="eastAsia"/>
          <w:szCs w:val="21"/>
        </w:rPr>
        <w:t>项目采购活动由本单位提供服务。</w:t>
      </w:r>
    </w:p>
    <w:p>
      <w:pPr>
        <w:spacing w:line="360" w:lineRule="auto"/>
        <w:ind w:firstLine="420" w:firstLineChars="200"/>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本单位对上述声明的真实性负责。如有虚假，将依法承担相应责任。</w:t>
      </w:r>
    </w:p>
    <w:p>
      <w:pPr>
        <w:spacing w:line="360" w:lineRule="auto"/>
        <w:ind w:firstLine="420" w:firstLineChars="200"/>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本投标人已知悉《财政部民政部中国残疾人联合会关于促进残疾人就业政府采购政策的通知》（财库〔2017〕141号）的规定，承诺提供的声明函内容是真实的，如提供声明函内容不实，则依法追究相关法律责任。</w:t>
      </w:r>
    </w:p>
    <w:p>
      <w:pPr>
        <w:ind w:firstLine="420" w:firstLineChars="200"/>
        <w:rPr>
          <w:rFonts w:ascii="宋体" w:hAnsi="宋体" w:hint="eastAsia"/>
          <w:szCs w:val="21"/>
        </w:rPr>
      </w:pPr>
    </w:p>
    <w:p>
      <w:pPr>
        <w:ind w:firstLine="420" w:firstLineChars="200"/>
        <w:rPr>
          <w:rFonts w:ascii="宋体" w:hAnsi="宋体" w:hint="eastAsia"/>
          <w:szCs w:val="21"/>
        </w:rPr>
      </w:pPr>
    </w:p>
    <w:p>
      <w:pPr>
        <w:ind w:firstLine="420" w:firstLineChars="200"/>
        <w:rPr>
          <w:rFonts w:ascii="宋体" w:hAnsi="宋体" w:hint="eastAsia"/>
          <w:szCs w:val="21"/>
        </w:rPr>
      </w:pPr>
    </w:p>
    <w:p>
      <w:pPr>
        <w:jc w:val="center"/>
        <w:outlineLvl w:val="3"/>
        <w:rPr>
          <w:b/>
          <w:sz w:val="24"/>
        </w:rPr>
      </w:pPr>
      <w:r>
        <w:rPr>
          <w:rFonts w:hint="eastAsia"/>
          <w:b/>
          <w:sz w:val="24"/>
        </w:rPr>
        <w:t>3、监狱企业声明函【服务类，监狱企业如需享受优惠政策，还须另行提供省级以上监狱管理局、戒毒管理局（含新疆生产建设兵团）出具的监狱企业证明文件】</w:t>
      </w:r>
    </w:p>
    <w:p>
      <w:pPr>
        <w:ind w:firstLine="420" w:firstLineChars="200"/>
        <w:rPr>
          <w:rFonts w:ascii="宋体" w:hAnsi="宋体" w:hint="eastAsia"/>
          <w:szCs w:val="21"/>
        </w:rPr>
      </w:pPr>
      <w:r>
        <w:rPr>
          <w:rFonts w:ascii="宋体" w:hAnsi="宋体" w:hint="eastAsia"/>
          <w:szCs w:val="21"/>
        </w:rPr>
        <w:t>本投标人郑重声明，根据《财政部司法部关于政府采购支持监狱企业发展有关问题的通知》（财库〔</w:t>
      </w:r>
      <w:r>
        <w:rPr>
          <w:rFonts w:ascii="宋体" w:hAnsi="宋体"/>
          <w:szCs w:val="21"/>
        </w:rPr>
        <w:t>2014</w:t>
      </w:r>
      <w:r>
        <w:rPr>
          <w:rFonts w:ascii="宋体" w:hAnsi="宋体" w:hint="eastAsia"/>
          <w:szCs w:val="21"/>
        </w:rPr>
        <w:t>〕</w:t>
      </w:r>
      <w:r>
        <w:rPr>
          <w:rFonts w:ascii="宋体" w:hAnsi="宋体"/>
          <w:szCs w:val="21"/>
        </w:rPr>
        <w:t>68</w:t>
      </w:r>
      <w:r>
        <w:rPr>
          <w:rFonts w:ascii="宋体" w:hAnsi="宋体" w:hint="eastAsia"/>
          <w:szCs w:val="21"/>
        </w:rPr>
        <w:t>号）的规定，本投标人</w:t>
      </w:r>
      <w:r>
        <w:rPr>
          <w:rFonts w:ascii="宋体" w:hAnsi="宋体" w:cstheme="minorBidi"/>
          <w:szCs w:val="21"/>
        </w:rPr>
        <w:t>参加</w:t>
      </w:r>
      <w:r>
        <w:rPr>
          <w:rFonts w:ascii="宋体" w:hAnsi="宋体"/>
          <w:b/>
          <w:bCs/>
          <w:szCs w:val="21"/>
          <w:u w:val="single"/>
        </w:rPr>
        <w:t>（</w:t>
      </w:r>
      <w:r>
        <w:rPr>
          <w:rFonts w:ascii="宋体" w:hAnsi="宋体" w:hint="eastAsia"/>
          <w:b/>
          <w:bCs/>
          <w:szCs w:val="21"/>
          <w:u w:val="single"/>
        </w:rPr>
        <w:t>采购人</w:t>
      </w:r>
      <w:r>
        <w:rPr>
          <w:rFonts w:ascii="宋体" w:hAnsi="宋体"/>
          <w:b/>
          <w:bCs/>
          <w:szCs w:val="21"/>
          <w:u w:val="single"/>
        </w:rPr>
        <w:t>名称）</w:t>
      </w:r>
      <w:r>
        <w:rPr>
          <w:rFonts w:ascii="宋体" w:hAnsi="宋体"/>
          <w:szCs w:val="21"/>
        </w:rPr>
        <w:t>的</w:t>
      </w:r>
      <w:r>
        <w:rPr>
          <w:rFonts w:ascii="宋体" w:hAnsi="宋体"/>
          <w:b/>
          <w:bCs/>
          <w:szCs w:val="21"/>
          <w:u w:val="single"/>
        </w:rPr>
        <w:t>（项目名称）</w:t>
      </w:r>
      <w:r>
        <w:rPr>
          <w:rFonts w:ascii="宋体" w:hAnsi="宋体"/>
          <w:szCs w:val="21"/>
        </w:rPr>
        <w:t>采购活动，</w:t>
      </w:r>
      <w:r>
        <w:rPr>
          <w:rFonts w:ascii="宋体" w:hAnsi="宋体" w:hint="eastAsia"/>
          <w:szCs w:val="21"/>
        </w:rPr>
        <w:t>服务</w:t>
      </w:r>
      <w:r>
        <w:rPr>
          <w:rFonts w:ascii="宋体" w:hAnsi="宋体"/>
          <w:szCs w:val="21"/>
        </w:rPr>
        <w:t>全部由符合政策要求的</w:t>
      </w:r>
      <w:r>
        <w:rPr>
          <w:rFonts w:ascii="宋体" w:hAnsi="宋体" w:hint="eastAsia"/>
          <w:szCs w:val="21"/>
        </w:rPr>
        <w:t>监狱企业承接</w:t>
      </w:r>
      <w:r>
        <w:rPr>
          <w:rFonts w:ascii="宋体" w:hAnsi="宋体"/>
          <w:szCs w:val="21"/>
        </w:rPr>
        <w:t>。相关</w:t>
      </w:r>
      <w:r>
        <w:rPr>
          <w:rFonts w:ascii="宋体" w:hAnsi="宋体" w:hint="eastAsia"/>
          <w:szCs w:val="21"/>
        </w:rPr>
        <w:t>监狱企业</w:t>
      </w:r>
      <w:r>
        <w:rPr>
          <w:rFonts w:ascii="宋体" w:hAnsi="宋体"/>
          <w:szCs w:val="21"/>
        </w:rPr>
        <w:t>的具体情况如下：</w:t>
      </w:r>
    </w:p>
    <w:p>
      <w:pPr>
        <w:ind w:firstLine="420" w:firstLineChars="200"/>
        <w:rPr>
          <w:rFonts w:ascii="宋体" w:hAnsi="宋体" w:hint="eastAsia"/>
          <w:szCs w:val="21"/>
        </w:rPr>
      </w:pPr>
      <w:r>
        <w:rPr>
          <w:rFonts w:ascii="宋体" w:hAnsi="宋体"/>
          <w:szCs w:val="21"/>
        </w:rPr>
        <w:t>1.</w:t>
      </w:r>
      <w:r>
        <w:rPr>
          <w:rFonts w:ascii="宋体" w:hAnsi="宋体"/>
          <w:b/>
          <w:bCs/>
          <w:szCs w:val="21"/>
          <w:u w:val="single"/>
        </w:rPr>
        <w:t xml:space="preserve"> </w:t>
      </w:r>
      <w:r>
        <w:rPr>
          <w:rFonts w:ascii="宋体" w:hAnsi="宋体"/>
          <w:b/>
          <w:bCs/>
          <w:i/>
          <w:iCs/>
          <w:szCs w:val="21"/>
          <w:u w:val="single"/>
        </w:rPr>
        <w:t>（标的名称</w:t>
      </w:r>
      <w:r>
        <w:rPr>
          <w:rFonts w:ascii="宋体" w:hAnsi="宋体"/>
          <w:b/>
          <w:bCs/>
          <w:szCs w:val="21"/>
          <w:u w:val="single"/>
        </w:rPr>
        <w:t>）</w:t>
      </w:r>
      <w:r>
        <w:rPr>
          <w:rFonts w:ascii="宋体" w:hAnsi="宋体"/>
          <w:szCs w:val="21"/>
        </w:rPr>
        <w:t xml:space="preserve"> </w:t>
      </w:r>
      <w:r>
        <w:rPr>
          <w:rFonts w:ascii="宋体" w:hAnsi="宋体" w:hint="eastAsia"/>
          <w:szCs w:val="21"/>
        </w:rPr>
        <w:t>，承接单位</w:t>
      </w:r>
      <w:r>
        <w:rPr>
          <w:rFonts w:ascii="宋体" w:hAnsi="宋体"/>
          <w:szCs w:val="21"/>
        </w:rPr>
        <w:t>为</w:t>
      </w:r>
      <w:r>
        <w:rPr>
          <w:rFonts w:ascii="宋体" w:hAnsi="宋体"/>
          <w:b/>
          <w:bCs/>
          <w:i/>
          <w:iCs/>
          <w:szCs w:val="21"/>
          <w:u w:val="single"/>
        </w:rPr>
        <w:t>（</w:t>
      </w:r>
      <w:r>
        <w:rPr>
          <w:rFonts w:ascii="宋体" w:hAnsi="宋体" w:hint="eastAsia"/>
          <w:b/>
          <w:bCs/>
          <w:i/>
          <w:iCs/>
          <w:szCs w:val="21"/>
          <w:u w:val="single"/>
        </w:rPr>
        <w:t>企业</w:t>
      </w:r>
      <w:r>
        <w:rPr>
          <w:rFonts w:ascii="宋体" w:hAnsi="宋体"/>
          <w:b/>
          <w:bCs/>
          <w:i/>
          <w:iCs/>
          <w:szCs w:val="21"/>
          <w:u w:val="single"/>
        </w:rPr>
        <w:t>名称）</w:t>
      </w:r>
      <w:r>
        <w:rPr>
          <w:rFonts w:ascii="宋体" w:hAnsi="宋体"/>
          <w:szCs w:val="21"/>
        </w:rPr>
        <w:t>，属于</w:t>
      </w:r>
      <w:r>
        <w:rPr>
          <w:rFonts w:ascii="宋体" w:hAnsi="宋体" w:hint="eastAsia"/>
          <w:b/>
          <w:bCs/>
          <w:i/>
          <w:iCs/>
          <w:szCs w:val="21"/>
          <w:u w:val="single"/>
        </w:rPr>
        <w:t>监狱企业</w:t>
      </w:r>
      <w:r>
        <w:rPr>
          <w:rFonts w:ascii="宋体" w:hAnsi="宋体"/>
          <w:szCs w:val="21"/>
        </w:rPr>
        <w:t>；</w:t>
      </w:r>
    </w:p>
    <w:p>
      <w:pPr>
        <w:ind w:firstLine="420" w:firstLineChars="200"/>
        <w:rPr>
          <w:rFonts w:ascii="宋体" w:hAnsi="宋体" w:hint="eastAsia"/>
          <w:szCs w:val="21"/>
        </w:rPr>
      </w:pPr>
      <w:r>
        <w:rPr>
          <w:rFonts w:ascii="宋体" w:hAnsi="宋体"/>
          <w:szCs w:val="21"/>
        </w:rPr>
        <w:t>2.</w:t>
      </w:r>
      <w:r>
        <w:rPr>
          <w:rFonts w:ascii="宋体" w:hAnsi="宋体"/>
          <w:b/>
          <w:bCs/>
          <w:szCs w:val="21"/>
          <w:u w:val="single"/>
        </w:rPr>
        <w:t xml:space="preserve"> </w:t>
      </w:r>
      <w:r>
        <w:rPr>
          <w:rFonts w:ascii="宋体" w:hAnsi="宋体"/>
          <w:b/>
          <w:bCs/>
          <w:i/>
          <w:iCs/>
          <w:szCs w:val="21"/>
          <w:u w:val="single"/>
        </w:rPr>
        <w:t>（标的名称）</w:t>
      </w:r>
      <w:r>
        <w:rPr>
          <w:rFonts w:ascii="宋体" w:hAnsi="宋体"/>
          <w:i/>
          <w:iCs/>
          <w:szCs w:val="21"/>
        </w:rPr>
        <w:t xml:space="preserve"> </w:t>
      </w:r>
      <w:r>
        <w:rPr>
          <w:rFonts w:ascii="宋体" w:hAnsi="宋体" w:hint="eastAsia"/>
          <w:szCs w:val="21"/>
        </w:rPr>
        <w:t>，承接单位</w:t>
      </w:r>
      <w:r>
        <w:rPr>
          <w:rFonts w:ascii="宋体" w:hAnsi="宋体"/>
          <w:szCs w:val="21"/>
        </w:rPr>
        <w:t>为</w:t>
      </w:r>
      <w:r>
        <w:rPr>
          <w:rFonts w:ascii="宋体" w:hAnsi="宋体"/>
          <w:b/>
          <w:bCs/>
          <w:i/>
          <w:iCs/>
          <w:szCs w:val="21"/>
          <w:u w:val="single"/>
        </w:rPr>
        <w:t>（</w:t>
      </w:r>
      <w:r>
        <w:rPr>
          <w:rFonts w:ascii="宋体" w:hAnsi="宋体" w:hint="eastAsia"/>
          <w:b/>
          <w:bCs/>
          <w:i/>
          <w:iCs/>
          <w:szCs w:val="21"/>
          <w:u w:val="single"/>
        </w:rPr>
        <w:t>企业</w:t>
      </w:r>
      <w:r>
        <w:rPr>
          <w:rFonts w:ascii="宋体" w:hAnsi="宋体"/>
          <w:b/>
          <w:bCs/>
          <w:i/>
          <w:iCs/>
          <w:szCs w:val="21"/>
          <w:u w:val="single"/>
        </w:rPr>
        <w:t>名称）</w:t>
      </w:r>
      <w:r>
        <w:rPr>
          <w:rFonts w:ascii="宋体" w:hAnsi="宋体"/>
          <w:szCs w:val="21"/>
        </w:rPr>
        <w:t>，属于</w:t>
      </w:r>
      <w:r>
        <w:rPr>
          <w:rFonts w:ascii="宋体" w:hAnsi="宋体" w:hint="eastAsia"/>
          <w:b/>
          <w:bCs/>
          <w:i/>
          <w:iCs/>
          <w:szCs w:val="21"/>
          <w:u w:val="single"/>
        </w:rPr>
        <w:t>监狱企业</w:t>
      </w:r>
      <w:r>
        <w:rPr>
          <w:rFonts w:ascii="宋体" w:hAnsi="宋体" w:hint="eastAsia"/>
          <w:szCs w:val="21"/>
        </w:rPr>
        <w:t>。</w:t>
      </w:r>
    </w:p>
    <w:p>
      <w:pPr>
        <w:ind w:firstLine="420" w:firstLineChars="200"/>
        <w:outlineLvl w:val="3"/>
        <w:rPr>
          <w:rFonts w:ascii="宋体" w:hAnsi="宋体" w:hint="eastAsia"/>
          <w:szCs w:val="21"/>
        </w:rPr>
      </w:pPr>
      <w:r>
        <w:rPr>
          <w:rFonts w:ascii="宋体" w:hAnsi="宋体"/>
          <w:szCs w:val="21"/>
        </w:rPr>
        <w:t xml:space="preserve">…… </w:t>
      </w:r>
    </w:p>
    <w:p>
      <w:pPr>
        <w:ind w:firstLine="420" w:firstLineChars="200"/>
        <w:rPr>
          <w:rFonts w:ascii="宋体" w:hAnsi="宋体" w:hint="eastAsia"/>
          <w:szCs w:val="21"/>
        </w:rPr>
      </w:pPr>
      <w:r>
        <w:rPr>
          <w:rFonts w:ascii="宋体" w:hAnsi="宋体" w:cstheme="minorBidi"/>
          <w:szCs w:val="21"/>
        </w:rPr>
        <w:t>本</w:t>
      </w:r>
      <w:r>
        <w:rPr>
          <w:rFonts w:ascii="宋体" w:hAnsi="宋体" w:cstheme="minorBidi" w:hint="eastAsia"/>
          <w:szCs w:val="21"/>
        </w:rPr>
        <w:t>投标人</w:t>
      </w:r>
      <w:r>
        <w:rPr>
          <w:rFonts w:ascii="宋体" w:hAnsi="宋体"/>
          <w:szCs w:val="21"/>
        </w:rPr>
        <w:t>对上述声明内容的真实性负责。如有虚假，将依法承担相应责任。</w:t>
      </w:r>
    </w:p>
    <w:p>
      <w:pPr>
        <w:ind w:firstLine="420" w:firstLineChars="200"/>
        <w:rPr>
          <w:rFonts w:ascii="宋体" w:hAnsi="宋体" w:hint="eastAsia"/>
          <w:szCs w:val="21"/>
        </w:rPr>
      </w:pPr>
      <w:r>
        <w:rPr>
          <w:rFonts w:ascii="宋体" w:hAnsi="宋体" w:hint="eastAsia"/>
          <w:szCs w:val="21"/>
        </w:rPr>
        <w:t>附：省级以上监狱管理局、戒毒管理局（含新疆生产建设兵团）出具的监狱企业证明文件。</w:t>
      </w:r>
    </w:p>
    <w:p>
      <w:pPr>
        <w:ind w:left="723" w:hanging="630" w:hangingChars="300"/>
        <w:rPr>
          <w:b/>
          <w:sz w:val="24"/>
        </w:rPr>
      </w:pPr>
    </w:p>
    <w:p>
      <w:pPr>
        <w:ind w:left="723" w:hanging="630" w:hangingChars="300"/>
        <w:rPr>
          <w:b/>
          <w:sz w:val="24"/>
        </w:rPr>
      </w:pPr>
    </w:p>
    <w:p>
      <w:pPr>
        <w:pStyle w:val="Heading3"/>
        <w:jc w:val="center"/>
        <w:rPr>
          <w:rFonts w:ascii="黑体" w:eastAsia="黑体" w:hint="eastAsia"/>
          <w:b w:val="0"/>
          <w:sz w:val="24"/>
          <w:szCs w:val="24"/>
        </w:rPr>
      </w:pPr>
      <w:r>
        <w:rPr>
          <w:rFonts w:ascii="黑体" w:eastAsia="黑体" w:hint="eastAsia"/>
          <w:b w:val="0"/>
          <w:sz w:val="24"/>
          <w:szCs w:val="24"/>
        </w:rPr>
        <w:t>四、项目详细报价</w:t>
      </w:r>
    </w:p>
    <w:p>
      <w:pPr>
        <w:spacing w:line="360" w:lineRule="auto"/>
        <w:jc w:val="center"/>
        <w:rPr>
          <w:sz w:val="24"/>
        </w:rPr>
      </w:pPr>
      <w:r>
        <w:rPr>
          <w:rFonts w:hint="eastAsia"/>
          <w:b/>
          <w:bCs/>
          <w:sz w:val="24"/>
        </w:rPr>
        <w:t>（一）</w:t>
      </w:r>
      <w:r>
        <w:rPr>
          <w:rFonts w:hint="eastAsia"/>
          <w:b/>
          <w:sz w:val="24"/>
        </w:rPr>
        <w:t>分项报价表</w:t>
      </w:r>
    </w:p>
    <w:tbl>
      <w:tblPr>
        <w:tblStyle w:val="TableNormal"/>
        <w:tblW w:w="0" w:type="auto"/>
        <w:tblInd w:w="96" w:type="dxa"/>
        <w:tblBorders>
          <w:top w:val="nil"/>
          <w:left w:val="nil"/>
          <w:bottom w:val="nil"/>
          <w:right w:val="nil"/>
          <w:insideH w:val="nil"/>
          <w:insideV w:val="nil"/>
        </w:tblBorders>
        <w:tblLayout w:type="fixed"/>
        <w:tblCellMar>
          <w:top w:w="0" w:type="dxa"/>
          <w:left w:w="108" w:type="dxa"/>
          <w:bottom w:w="0" w:type="dxa"/>
          <w:right w:w="108" w:type="dxa"/>
        </w:tblCellMar>
      </w:tblPr>
      <w:tblGrid>
        <w:gridCol w:w="725"/>
        <w:gridCol w:w="1036"/>
        <w:gridCol w:w="1680"/>
        <w:gridCol w:w="2344"/>
        <w:gridCol w:w="2475"/>
      </w:tblGrid>
      <w:tr>
        <w:tblPrEx>
          <w:tblW w:w="0" w:type="auto"/>
          <w:tblInd w:w="96" w:type="dxa"/>
          <w:tblBorders>
            <w:top w:val="nil"/>
            <w:left w:val="nil"/>
            <w:bottom w:val="nil"/>
            <w:right w:val="nil"/>
            <w:insideH w:val="nil"/>
            <w:insideV w:val="nil"/>
          </w:tblBorders>
          <w:tblLayout w:type="fixed"/>
          <w:tblCellMar>
            <w:top w:w="0" w:type="dxa"/>
            <w:left w:w="108" w:type="dxa"/>
            <w:bottom w:w="0" w:type="dxa"/>
            <w:right w:w="108" w:type="dxa"/>
          </w:tblCellMar>
        </w:tblPrEx>
        <w:trPr>
          <w:trHeight w:val="628"/>
        </w:trPr>
        <w:tc>
          <w:tcPr>
            <w:tcW w:w="8260" w:type="dxa"/>
            <w:gridSpan w:val="5"/>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21"/>
                <w:szCs w:val="21"/>
                <w:u w:val="none"/>
              </w:rPr>
            </w:pPr>
            <w:r>
              <w:rPr>
                <w:rFonts w:ascii="宋体" w:eastAsia="宋体" w:hAnsi="宋体" w:cs="宋体" w:hint="eastAsia"/>
                <w:b/>
                <w:bCs/>
                <w:i w:val="0"/>
                <w:iCs w:val="0"/>
                <w:color w:val="000000"/>
                <w:kern w:val="0"/>
                <w:sz w:val="21"/>
                <w:szCs w:val="21"/>
                <w:u w:val="none"/>
                <w:lang w:val="en-US" w:eastAsia="zh-CN"/>
              </w:rPr>
              <w:t>分项报价表</w:t>
            </w:r>
          </w:p>
        </w:tc>
      </w:tr>
      <w:tr>
        <w:tblPrEx>
          <w:tblW w:w="0" w:type="auto"/>
          <w:tblInd w:w="96" w:type="dxa"/>
          <w:tblLayout w:type="fixed"/>
          <w:tblCellMar>
            <w:top w:w="0" w:type="dxa"/>
            <w:left w:w="108" w:type="dxa"/>
            <w:bottom w:w="0" w:type="dxa"/>
            <w:right w:w="108" w:type="dxa"/>
          </w:tblCellMar>
        </w:tblPrEx>
        <w:trPr>
          <w:trHeight w:val="628"/>
        </w:trPr>
        <w:tc>
          <w:tcPr>
            <w:tcW w:w="725" w:type="dxa"/>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21"/>
                <w:szCs w:val="21"/>
                <w:u w:val="none"/>
              </w:rPr>
            </w:pPr>
            <w:r>
              <w:rPr>
                <w:rFonts w:ascii="宋体" w:eastAsia="宋体" w:hAnsi="宋体" w:cs="宋体" w:hint="eastAsia"/>
                <w:b/>
                <w:bCs/>
                <w:i w:val="0"/>
                <w:iCs w:val="0"/>
                <w:color w:val="000000"/>
                <w:kern w:val="0"/>
                <w:sz w:val="21"/>
                <w:szCs w:val="21"/>
                <w:u w:val="none"/>
                <w:lang w:val="en-US" w:eastAsia="zh-CN"/>
              </w:rPr>
              <w:t>序号</w:t>
            </w:r>
          </w:p>
        </w:tc>
        <w:tc>
          <w:tcPr>
            <w:tcW w:w="2716" w:type="dxa"/>
            <w:gridSpan w:val="2"/>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21"/>
                <w:szCs w:val="21"/>
                <w:u w:val="none"/>
              </w:rPr>
            </w:pPr>
            <w:r>
              <w:rPr>
                <w:rFonts w:ascii="宋体" w:eastAsia="宋体" w:hAnsi="宋体" w:cs="宋体" w:hint="eastAsia"/>
                <w:b/>
                <w:bCs/>
                <w:i w:val="0"/>
                <w:iCs w:val="0"/>
                <w:color w:val="000000"/>
                <w:kern w:val="0"/>
                <w:sz w:val="21"/>
                <w:szCs w:val="21"/>
                <w:u w:val="none"/>
                <w:lang w:val="en-US" w:eastAsia="zh-CN"/>
              </w:rPr>
              <w:t>需求名称</w:t>
            </w:r>
          </w:p>
        </w:tc>
        <w:tc>
          <w:tcPr>
            <w:tcW w:w="2344" w:type="dxa"/>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21"/>
                <w:szCs w:val="21"/>
                <w:u w:val="none"/>
              </w:rPr>
            </w:pPr>
            <w:r>
              <w:rPr>
                <w:rFonts w:ascii="宋体" w:eastAsia="宋体" w:hAnsi="宋体" w:cs="宋体" w:hint="eastAsia"/>
                <w:b/>
                <w:bCs/>
                <w:i w:val="0"/>
                <w:iCs w:val="0"/>
                <w:color w:val="000000"/>
                <w:kern w:val="0"/>
                <w:sz w:val="21"/>
                <w:szCs w:val="21"/>
                <w:u w:val="none"/>
                <w:lang w:val="en-US" w:eastAsia="zh-CN"/>
              </w:rPr>
              <w:t>金额（元）</w:t>
            </w:r>
          </w:p>
        </w:tc>
        <w:tc>
          <w:tcPr>
            <w:tcW w:w="2475" w:type="dxa"/>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21"/>
                <w:szCs w:val="21"/>
                <w:u w:val="none"/>
              </w:rPr>
            </w:pPr>
            <w:r>
              <w:rPr>
                <w:rFonts w:ascii="宋体" w:eastAsia="宋体" w:hAnsi="宋体" w:cs="宋体" w:hint="eastAsia"/>
                <w:b/>
                <w:bCs/>
                <w:i w:val="0"/>
                <w:iCs w:val="0"/>
                <w:color w:val="000000"/>
                <w:kern w:val="0"/>
                <w:sz w:val="21"/>
                <w:szCs w:val="21"/>
                <w:u w:val="none"/>
                <w:lang w:val="en-US" w:eastAsia="zh-CN"/>
              </w:rPr>
              <w:t>说明</w:t>
            </w:r>
          </w:p>
        </w:tc>
      </w:tr>
      <w:tr>
        <w:tblPrEx>
          <w:tblW w:w="0" w:type="auto"/>
          <w:tblInd w:w="96" w:type="dxa"/>
          <w:tblLayout w:type="fixed"/>
          <w:tblCellMar>
            <w:top w:w="0" w:type="dxa"/>
            <w:left w:w="108" w:type="dxa"/>
            <w:bottom w:w="0" w:type="dxa"/>
            <w:right w:w="108" w:type="dxa"/>
          </w:tblCellMar>
        </w:tblPrEx>
        <w:trPr>
          <w:trHeight w:val="628"/>
        </w:trPr>
        <w:tc>
          <w:tcPr>
            <w:tcW w:w="725" w:type="dxa"/>
            <w:vMerge w:val="restar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一</w:t>
            </w:r>
          </w:p>
        </w:tc>
        <w:tc>
          <w:tcPr>
            <w:tcW w:w="1036" w:type="dxa"/>
            <w:vMerge w:val="restart"/>
            <w:tcBorders>
              <w:top w:val="single" w:sz="4" w:space="0" w:color="000000"/>
              <w:left w:val="single" w:sz="4" w:space="0" w:color="000000"/>
              <w:bottom w:val="single" w:sz="4" w:space="0" w:color="000000"/>
              <w:right w:val="single" w:sz="4" w:space="0" w:color="000000"/>
            </w:tcBorders>
            <w:noWrap w:val="0"/>
            <w:vAlign w:val="center"/>
          </w:tcPr>
          <w:p>
            <w:pPr>
              <w:keepNext w:val="0"/>
              <w:keepLines w:val="0"/>
              <w:widowControl/>
              <w:suppressLineNumbers w:val="0"/>
              <w:jc w:val="center"/>
              <w:textAlignment w:val="center"/>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人工成</w:t>
            </w:r>
            <w:r>
              <w:rPr>
                <w:rFonts w:ascii="宋体" w:eastAsia="宋体" w:hAnsi="宋体" w:cs="宋体" w:hint="eastAsia"/>
                <w:i w:val="0"/>
                <w:iCs w:val="0"/>
                <w:color w:val="000000"/>
                <w:kern w:val="0"/>
                <w:sz w:val="21"/>
                <w:szCs w:val="21"/>
                <w:u w:val="none"/>
                <w:lang w:val="en-US" w:eastAsia="zh-CN"/>
              </w:rPr>
              <w:br/>
            </w:r>
            <w:r>
              <w:rPr>
                <w:rFonts w:ascii="宋体" w:eastAsia="宋体" w:hAnsi="宋体" w:cs="宋体" w:hint="eastAsia"/>
                <w:i w:val="0"/>
                <w:iCs w:val="0"/>
                <w:color w:val="000000"/>
                <w:kern w:val="0"/>
                <w:sz w:val="21"/>
                <w:szCs w:val="21"/>
                <w:u w:val="none"/>
                <w:lang w:val="en-US" w:eastAsia="zh-CN"/>
              </w:rPr>
              <w:t>本费用</w:t>
            </w:r>
          </w:p>
        </w:tc>
        <w:tc>
          <w:tcPr>
            <w:tcW w:w="1680" w:type="dxa"/>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人员工资</w:t>
            </w:r>
          </w:p>
        </w:tc>
        <w:tc>
          <w:tcPr>
            <w:tcW w:w="2344" w:type="dxa"/>
            <w:tcBorders>
              <w:top w:val="single" w:sz="4" w:space="0" w:color="000000"/>
              <w:left w:val="single" w:sz="4" w:space="0" w:color="000000"/>
              <w:bottom w:val="single" w:sz="4" w:space="0" w:color="000000"/>
              <w:right w:val="single" w:sz="4" w:space="0" w:color="000000"/>
            </w:tcBorders>
            <w:noWrap/>
            <w:vAlign w:val="center"/>
          </w:tcPr>
          <w:p>
            <w:pPr>
              <w:rPr>
                <w:rFonts w:ascii="宋体" w:eastAsia="宋体" w:hAnsi="宋体" w:cs="宋体" w:hint="eastAsia"/>
                <w:i w:val="0"/>
                <w:iCs w:val="0"/>
                <w:color w:val="000000"/>
                <w:sz w:val="21"/>
                <w:szCs w:val="21"/>
                <w:u w:val="none"/>
              </w:rPr>
            </w:pPr>
          </w:p>
        </w:tc>
        <w:tc>
          <w:tcPr>
            <w:tcW w:w="2475" w:type="dxa"/>
            <w:vMerge w:val="restart"/>
            <w:tcBorders>
              <w:top w:val="single" w:sz="4" w:space="0" w:color="000000"/>
              <w:left w:val="single" w:sz="4" w:space="0" w:color="000000"/>
              <w:bottom w:val="single" w:sz="4" w:space="0" w:color="000000"/>
              <w:right w:val="single" w:sz="4" w:space="0" w:color="000000"/>
            </w:tcBorders>
            <w:noWrap w:val="0"/>
            <w:vAlign w:val="center"/>
          </w:tcPr>
          <w:p>
            <w:pPr>
              <w:keepNext w:val="0"/>
              <w:keepLines w:val="0"/>
              <w:widowControl/>
              <w:suppressLineNumbers w:val="0"/>
              <w:jc w:val="center"/>
              <w:textAlignment w:val="center"/>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人员工资需按岗位列出，含项目经理（ 元/人/月）、</w:t>
            </w:r>
            <w:r>
              <w:rPr>
                <w:rFonts w:ascii="宋体" w:hAnsi="宋体" w:cs="宋体" w:hint="eastAsia"/>
                <w:i w:val="0"/>
                <w:iCs w:val="0"/>
                <w:color w:val="000000"/>
                <w:kern w:val="0"/>
                <w:sz w:val="21"/>
                <w:szCs w:val="21"/>
                <w:u w:val="none"/>
                <w:lang w:val="en-US" w:eastAsia="zh-CN"/>
              </w:rPr>
              <w:t>会务主任</w:t>
            </w:r>
            <w:r>
              <w:rPr>
                <w:rFonts w:ascii="宋体" w:eastAsia="宋体" w:hAnsi="宋体" w:cs="宋体" w:hint="eastAsia"/>
                <w:i w:val="0"/>
                <w:iCs w:val="0"/>
                <w:color w:val="000000"/>
                <w:kern w:val="0"/>
                <w:sz w:val="21"/>
                <w:szCs w:val="21"/>
                <w:u w:val="none"/>
                <w:lang w:val="en-US" w:eastAsia="zh-CN"/>
              </w:rPr>
              <w:t>、工程主任、客服主任、安保主任、环境主任、安管班长、工程班长、保洁主管、安全人员、消防人员、客服管家、客服/会务接待、宿管员、维修工、清洁工、绿化工。</w:t>
            </w:r>
          </w:p>
        </w:tc>
      </w:tr>
      <w:tr>
        <w:tblPrEx>
          <w:tblW w:w="0" w:type="auto"/>
          <w:tblInd w:w="96" w:type="dxa"/>
          <w:tblLayout w:type="fixed"/>
          <w:tblCellMar>
            <w:top w:w="0" w:type="dxa"/>
            <w:left w:w="108" w:type="dxa"/>
            <w:bottom w:w="0" w:type="dxa"/>
            <w:right w:w="108" w:type="dxa"/>
          </w:tblCellMar>
        </w:tblPrEx>
        <w:trPr>
          <w:trHeight w:val="628"/>
        </w:trPr>
        <w:tc>
          <w:tcPr>
            <w:tcW w:w="725" w:type="dxa"/>
            <w:vMerge/>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i w:val="0"/>
                <w:iCs w:val="0"/>
                <w:color w:val="000000"/>
                <w:sz w:val="21"/>
                <w:szCs w:val="21"/>
                <w:u w:val="none"/>
              </w:rPr>
            </w:pPr>
          </w:p>
        </w:tc>
        <w:tc>
          <w:tcPr>
            <w:tcW w:w="1036"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i w:val="0"/>
                <w:iCs w:val="0"/>
                <w:color w:val="000000"/>
                <w:sz w:val="21"/>
                <w:szCs w:val="21"/>
                <w:u w:val="none"/>
              </w:rPr>
            </w:pPr>
          </w:p>
        </w:tc>
        <w:tc>
          <w:tcPr>
            <w:tcW w:w="1680" w:type="dxa"/>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社保福利</w:t>
            </w:r>
          </w:p>
        </w:tc>
        <w:tc>
          <w:tcPr>
            <w:tcW w:w="2344" w:type="dxa"/>
            <w:tcBorders>
              <w:top w:val="single" w:sz="4" w:space="0" w:color="000000"/>
              <w:left w:val="single" w:sz="4" w:space="0" w:color="000000"/>
              <w:bottom w:val="single" w:sz="4" w:space="0" w:color="000000"/>
              <w:right w:val="single" w:sz="4" w:space="0" w:color="000000"/>
            </w:tcBorders>
            <w:noWrap/>
            <w:vAlign w:val="center"/>
          </w:tcPr>
          <w:p>
            <w:pPr>
              <w:rPr>
                <w:rFonts w:ascii="宋体" w:eastAsia="宋体" w:hAnsi="宋体" w:cs="宋体" w:hint="eastAsia"/>
                <w:i w:val="0"/>
                <w:iCs w:val="0"/>
                <w:color w:val="000000"/>
                <w:sz w:val="21"/>
                <w:szCs w:val="21"/>
                <w:u w:val="none"/>
              </w:rPr>
            </w:pPr>
          </w:p>
        </w:tc>
        <w:tc>
          <w:tcPr>
            <w:tcW w:w="247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i w:val="0"/>
                <w:iCs w:val="0"/>
                <w:color w:val="000000"/>
                <w:sz w:val="21"/>
                <w:szCs w:val="21"/>
                <w:u w:val="none"/>
              </w:rPr>
            </w:pPr>
          </w:p>
        </w:tc>
      </w:tr>
      <w:tr>
        <w:tblPrEx>
          <w:tblW w:w="0" w:type="auto"/>
          <w:tblInd w:w="96" w:type="dxa"/>
          <w:tblLayout w:type="fixed"/>
          <w:tblCellMar>
            <w:top w:w="0" w:type="dxa"/>
            <w:left w:w="108" w:type="dxa"/>
            <w:bottom w:w="0" w:type="dxa"/>
            <w:right w:w="108" w:type="dxa"/>
          </w:tblCellMar>
        </w:tblPrEx>
        <w:trPr>
          <w:trHeight w:val="1918"/>
        </w:trPr>
        <w:tc>
          <w:tcPr>
            <w:tcW w:w="725" w:type="dxa"/>
            <w:vMerge/>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i w:val="0"/>
                <w:iCs w:val="0"/>
                <w:color w:val="000000"/>
                <w:sz w:val="21"/>
                <w:szCs w:val="21"/>
                <w:u w:val="none"/>
              </w:rPr>
            </w:pPr>
          </w:p>
        </w:tc>
        <w:tc>
          <w:tcPr>
            <w:tcW w:w="2716" w:type="dxa"/>
            <w:gridSpan w:val="2"/>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人工成本费用小计</w:t>
            </w:r>
          </w:p>
        </w:tc>
        <w:tc>
          <w:tcPr>
            <w:tcW w:w="2344" w:type="dxa"/>
            <w:tcBorders>
              <w:top w:val="single" w:sz="4" w:space="0" w:color="000000"/>
              <w:left w:val="single" w:sz="4" w:space="0" w:color="000000"/>
              <w:bottom w:val="single" w:sz="4" w:space="0" w:color="000000"/>
              <w:right w:val="single" w:sz="4" w:space="0" w:color="000000"/>
            </w:tcBorders>
            <w:noWrap/>
            <w:vAlign w:val="center"/>
          </w:tcPr>
          <w:p>
            <w:pPr>
              <w:rPr>
                <w:rFonts w:ascii="宋体" w:eastAsia="宋体" w:hAnsi="宋体" w:cs="宋体" w:hint="eastAsia"/>
                <w:i w:val="0"/>
                <w:iCs w:val="0"/>
                <w:color w:val="000000"/>
                <w:sz w:val="21"/>
                <w:szCs w:val="21"/>
                <w:u w:val="none"/>
              </w:rPr>
            </w:pPr>
          </w:p>
        </w:tc>
        <w:tc>
          <w:tcPr>
            <w:tcW w:w="247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i w:val="0"/>
                <w:iCs w:val="0"/>
                <w:color w:val="000000"/>
                <w:sz w:val="21"/>
                <w:szCs w:val="21"/>
                <w:u w:val="none"/>
              </w:rPr>
            </w:pPr>
          </w:p>
        </w:tc>
      </w:tr>
      <w:tr>
        <w:tblPrEx>
          <w:tblW w:w="0" w:type="auto"/>
          <w:tblInd w:w="96" w:type="dxa"/>
          <w:tblLayout w:type="fixed"/>
          <w:tblCellMar>
            <w:top w:w="0" w:type="dxa"/>
            <w:left w:w="108" w:type="dxa"/>
            <w:bottom w:w="0" w:type="dxa"/>
            <w:right w:w="108" w:type="dxa"/>
          </w:tblCellMar>
        </w:tblPrEx>
        <w:trPr>
          <w:trHeight w:val="1226"/>
        </w:trPr>
        <w:tc>
          <w:tcPr>
            <w:tcW w:w="725" w:type="dxa"/>
            <w:vMerge w:val="restar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二</w:t>
            </w:r>
          </w:p>
        </w:tc>
        <w:tc>
          <w:tcPr>
            <w:tcW w:w="1036" w:type="dxa"/>
            <w:vMerge w:val="restar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其他费用</w:t>
            </w:r>
          </w:p>
        </w:tc>
        <w:tc>
          <w:tcPr>
            <w:tcW w:w="1680" w:type="dxa"/>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行政办公费</w:t>
            </w:r>
          </w:p>
        </w:tc>
        <w:tc>
          <w:tcPr>
            <w:tcW w:w="2344" w:type="dxa"/>
            <w:tcBorders>
              <w:top w:val="single" w:sz="4" w:space="0" w:color="000000"/>
              <w:left w:val="single" w:sz="4" w:space="0" w:color="000000"/>
              <w:bottom w:val="single" w:sz="4" w:space="0" w:color="000000"/>
              <w:right w:val="single" w:sz="4" w:space="0" w:color="000000"/>
            </w:tcBorders>
            <w:noWrap/>
            <w:vAlign w:val="center"/>
          </w:tcPr>
          <w:p>
            <w:pPr>
              <w:rPr>
                <w:rFonts w:ascii="宋体" w:eastAsia="宋体" w:hAnsi="宋体" w:cs="宋体" w:hint="eastAsia"/>
                <w:i w:val="0"/>
                <w:iCs w:val="0"/>
                <w:color w:val="000000"/>
                <w:sz w:val="21"/>
                <w:szCs w:val="21"/>
                <w:u w:val="none"/>
              </w:rPr>
            </w:pPr>
          </w:p>
        </w:tc>
        <w:tc>
          <w:tcPr>
            <w:tcW w:w="2475" w:type="dxa"/>
            <w:tcBorders>
              <w:top w:val="single" w:sz="4" w:space="0" w:color="000000"/>
              <w:left w:val="single" w:sz="4" w:space="0" w:color="000000"/>
              <w:bottom w:val="single" w:sz="4" w:space="0" w:color="000000"/>
              <w:right w:val="single" w:sz="4" w:space="0" w:color="000000"/>
            </w:tcBorders>
            <w:noWrap w:val="0"/>
            <w:vAlign w:val="center"/>
          </w:tcPr>
          <w:p>
            <w:pPr>
              <w:keepNext w:val="0"/>
              <w:keepLines w:val="0"/>
              <w:widowControl/>
              <w:suppressLineNumbers w:val="0"/>
              <w:jc w:val="center"/>
              <w:textAlignment w:val="center"/>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含办公用品费、服装费、宿舍租赁费、招聘/培训费、员工活动费、交通及通讯费、标识费等</w:t>
            </w:r>
          </w:p>
        </w:tc>
      </w:tr>
      <w:tr>
        <w:tblPrEx>
          <w:tblW w:w="0" w:type="auto"/>
          <w:tblInd w:w="96" w:type="dxa"/>
          <w:tblLayout w:type="fixed"/>
          <w:tblCellMar>
            <w:top w:w="0" w:type="dxa"/>
            <w:left w:w="108" w:type="dxa"/>
            <w:bottom w:w="0" w:type="dxa"/>
            <w:right w:w="108" w:type="dxa"/>
          </w:tblCellMar>
        </w:tblPrEx>
        <w:trPr>
          <w:trHeight w:val="1304"/>
        </w:trPr>
        <w:tc>
          <w:tcPr>
            <w:tcW w:w="725" w:type="dxa"/>
            <w:vMerge/>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i w:val="0"/>
                <w:iCs w:val="0"/>
                <w:color w:val="000000"/>
                <w:sz w:val="21"/>
                <w:szCs w:val="21"/>
                <w:u w:val="none"/>
              </w:rPr>
            </w:pPr>
          </w:p>
        </w:tc>
        <w:tc>
          <w:tcPr>
            <w:tcW w:w="1036" w:type="dxa"/>
            <w:vMerge/>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i w:val="0"/>
                <w:iCs w:val="0"/>
                <w:color w:val="000000"/>
                <w:sz w:val="21"/>
                <w:szCs w:val="21"/>
                <w:u w:val="none"/>
              </w:rPr>
            </w:pPr>
          </w:p>
        </w:tc>
        <w:tc>
          <w:tcPr>
            <w:tcW w:w="1680" w:type="dxa"/>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公共设施设备维护费</w:t>
            </w:r>
          </w:p>
        </w:tc>
        <w:tc>
          <w:tcPr>
            <w:tcW w:w="2344" w:type="dxa"/>
            <w:tcBorders>
              <w:top w:val="single" w:sz="4" w:space="0" w:color="000000"/>
              <w:left w:val="single" w:sz="4" w:space="0" w:color="000000"/>
              <w:bottom w:val="single" w:sz="4" w:space="0" w:color="000000"/>
              <w:right w:val="single" w:sz="4" w:space="0" w:color="000000"/>
            </w:tcBorders>
            <w:noWrap/>
            <w:vAlign w:val="center"/>
          </w:tcPr>
          <w:p>
            <w:pPr>
              <w:rPr>
                <w:rFonts w:ascii="宋体" w:eastAsia="宋体" w:hAnsi="宋体" w:cs="宋体" w:hint="eastAsia"/>
                <w:i w:val="0"/>
                <w:iCs w:val="0"/>
                <w:color w:val="000000"/>
                <w:sz w:val="21"/>
                <w:szCs w:val="21"/>
                <w:u w:val="none"/>
              </w:rPr>
            </w:pPr>
          </w:p>
        </w:tc>
        <w:tc>
          <w:tcPr>
            <w:tcW w:w="2475" w:type="dxa"/>
            <w:tcBorders>
              <w:top w:val="single" w:sz="4" w:space="0" w:color="000000"/>
              <w:left w:val="single" w:sz="4" w:space="0" w:color="000000"/>
              <w:bottom w:val="single" w:sz="4" w:space="0" w:color="000000"/>
              <w:right w:val="single" w:sz="4" w:space="0" w:color="000000"/>
            </w:tcBorders>
            <w:noWrap w:val="0"/>
            <w:vAlign w:val="center"/>
          </w:tcPr>
          <w:p>
            <w:pPr>
              <w:keepNext w:val="0"/>
              <w:keepLines w:val="0"/>
              <w:widowControl/>
              <w:suppressLineNumbers w:val="0"/>
              <w:jc w:val="center"/>
              <w:textAlignment w:val="center"/>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含供配电维护、给排水维护、弱电系统维护、电梯、消防、空调、智能化维保、工器具及耗材等</w:t>
            </w:r>
          </w:p>
        </w:tc>
      </w:tr>
      <w:tr>
        <w:tblPrEx>
          <w:tblW w:w="0" w:type="auto"/>
          <w:tblInd w:w="96" w:type="dxa"/>
          <w:tblLayout w:type="fixed"/>
          <w:tblCellMar>
            <w:top w:w="0" w:type="dxa"/>
            <w:left w:w="108" w:type="dxa"/>
            <w:bottom w:w="0" w:type="dxa"/>
            <w:right w:w="108" w:type="dxa"/>
          </w:tblCellMar>
        </w:tblPrEx>
        <w:trPr>
          <w:trHeight w:val="1612"/>
        </w:trPr>
        <w:tc>
          <w:tcPr>
            <w:tcW w:w="725" w:type="dxa"/>
            <w:vMerge/>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i w:val="0"/>
                <w:iCs w:val="0"/>
                <w:color w:val="000000"/>
                <w:sz w:val="21"/>
                <w:szCs w:val="21"/>
                <w:u w:val="none"/>
              </w:rPr>
            </w:pPr>
          </w:p>
        </w:tc>
        <w:tc>
          <w:tcPr>
            <w:tcW w:w="1036" w:type="dxa"/>
            <w:vMerge/>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i w:val="0"/>
                <w:iCs w:val="0"/>
                <w:color w:val="000000"/>
                <w:sz w:val="21"/>
                <w:szCs w:val="21"/>
                <w:u w:val="none"/>
              </w:rPr>
            </w:pPr>
          </w:p>
        </w:tc>
        <w:tc>
          <w:tcPr>
            <w:tcW w:w="1680" w:type="dxa"/>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环境维护费</w:t>
            </w:r>
          </w:p>
        </w:tc>
        <w:tc>
          <w:tcPr>
            <w:tcW w:w="2344" w:type="dxa"/>
            <w:tcBorders>
              <w:top w:val="single" w:sz="4" w:space="0" w:color="000000"/>
              <w:left w:val="single" w:sz="4" w:space="0" w:color="000000"/>
              <w:bottom w:val="single" w:sz="4" w:space="0" w:color="000000"/>
              <w:right w:val="single" w:sz="4" w:space="0" w:color="000000"/>
            </w:tcBorders>
            <w:noWrap/>
            <w:vAlign w:val="center"/>
          </w:tcPr>
          <w:p>
            <w:pPr>
              <w:rPr>
                <w:rFonts w:ascii="宋体" w:eastAsia="宋体" w:hAnsi="宋体" w:cs="宋体" w:hint="eastAsia"/>
                <w:i w:val="0"/>
                <w:iCs w:val="0"/>
                <w:color w:val="000000"/>
                <w:sz w:val="21"/>
                <w:szCs w:val="21"/>
                <w:u w:val="none"/>
              </w:rPr>
            </w:pPr>
          </w:p>
        </w:tc>
        <w:tc>
          <w:tcPr>
            <w:tcW w:w="2475" w:type="dxa"/>
            <w:tcBorders>
              <w:top w:val="single" w:sz="4" w:space="0" w:color="000000"/>
              <w:left w:val="single" w:sz="4" w:space="0" w:color="000000"/>
              <w:bottom w:val="single" w:sz="4" w:space="0" w:color="000000"/>
              <w:right w:val="single" w:sz="4" w:space="0" w:color="000000"/>
            </w:tcBorders>
            <w:noWrap w:val="0"/>
            <w:vAlign w:val="center"/>
          </w:tcPr>
          <w:p>
            <w:pPr>
              <w:keepNext w:val="0"/>
              <w:keepLines w:val="0"/>
              <w:widowControl/>
              <w:suppressLineNumbers w:val="0"/>
              <w:jc w:val="center"/>
              <w:textAlignment w:val="center"/>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含生活水池清洗及水质检测、四害消杀、化粪池清理、生活垃圾清运、石材保养、清洁耗材、绿化养护物料等</w:t>
            </w:r>
          </w:p>
        </w:tc>
      </w:tr>
      <w:tr>
        <w:tblPrEx>
          <w:tblW w:w="0" w:type="auto"/>
          <w:tblInd w:w="96" w:type="dxa"/>
          <w:tblLayout w:type="fixed"/>
          <w:tblCellMar>
            <w:top w:w="0" w:type="dxa"/>
            <w:left w:w="108" w:type="dxa"/>
            <w:bottom w:w="0" w:type="dxa"/>
            <w:right w:w="108" w:type="dxa"/>
          </w:tblCellMar>
        </w:tblPrEx>
        <w:trPr>
          <w:trHeight w:val="1020"/>
        </w:trPr>
        <w:tc>
          <w:tcPr>
            <w:tcW w:w="725" w:type="dxa"/>
            <w:vMerge/>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i w:val="0"/>
                <w:iCs w:val="0"/>
                <w:color w:val="000000"/>
                <w:sz w:val="21"/>
                <w:szCs w:val="21"/>
                <w:u w:val="none"/>
              </w:rPr>
            </w:pPr>
          </w:p>
        </w:tc>
        <w:tc>
          <w:tcPr>
            <w:tcW w:w="1036" w:type="dxa"/>
            <w:vMerge/>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i w:val="0"/>
                <w:iCs w:val="0"/>
                <w:color w:val="000000"/>
                <w:sz w:val="21"/>
                <w:szCs w:val="21"/>
                <w:u w:val="none"/>
              </w:rPr>
            </w:pPr>
          </w:p>
        </w:tc>
        <w:tc>
          <w:tcPr>
            <w:tcW w:w="1680" w:type="dxa"/>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客户服务成本</w:t>
            </w:r>
          </w:p>
        </w:tc>
        <w:tc>
          <w:tcPr>
            <w:tcW w:w="2344" w:type="dxa"/>
            <w:tcBorders>
              <w:top w:val="single" w:sz="4" w:space="0" w:color="000000"/>
              <w:left w:val="single" w:sz="4" w:space="0" w:color="000000"/>
              <w:bottom w:val="single" w:sz="4" w:space="0" w:color="000000"/>
              <w:right w:val="single" w:sz="4" w:space="0" w:color="000000"/>
            </w:tcBorders>
            <w:noWrap/>
            <w:vAlign w:val="center"/>
          </w:tcPr>
          <w:p>
            <w:pPr>
              <w:rPr>
                <w:rFonts w:ascii="宋体" w:eastAsia="宋体" w:hAnsi="宋体" w:cs="宋体" w:hint="eastAsia"/>
                <w:i w:val="0"/>
                <w:iCs w:val="0"/>
                <w:color w:val="000000"/>
                <w:sz w:val="21"/>
                <w:szCs w:val="21"/>
                <w:u w:val="none"/>
              </w:rPr>
            </w:pPr>
          </w:p>
        </w:tc>
        <w:tc>
          <w:tcPr>
            <w:tcW w:w="2475" w:type="dxa"/>
            <w:tcBorders>
              <w:top w:val="single" w:sz="4" w:space="0" w:color="000000"/>
              <w:left w:val="single" w:sz="4" w:space="0" w:color="000000"/>
              <w:bottom w:val="single" w:sz="4" w:space="0" w:color="000000"/>
              <w:right w:val="single" w:sz="4" w:space="0" w:color="000000"/>
            </w:tcBorders>
            <w:noWrap w:val="0"/>
            <w:vAlign w:val="center"/>
          </w:tcPr>
          <w:p>
            <w:pPr>
              <w:keepNext w:val="0"/>
              <w:keepLines w:val="0"/>
              <w:widowControl/>
              <w:suppressLineNumbers w:val="0"/>
              <w:jc w:val="center"/>
              <w:textAlignment w:val="center"/>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含客服物资、会务服务物资、公寓日常物资、公区标识、公寓清洁耗材等</w:t>
            </w:r>
          </w:p>
        </w:tc>
      </w:tr>
      <w:tr>
        <w:tblPrEx>
          <w:tblW w:w="0" w:type="auto"/>
          <w:tblInd w:w="96" w:type="dxa"/>
          <w:tblLayout w:type="fixed"/>
          <w:tblCellMar>
            <w:top w:w="0" w:type="dxa"/>
            <w:left w:w="108" w:type="dxa"/>
            <w:bottom w:w="0" w:type="dxa"/>
            <w:right w:w="108" w:type="dxa"/>
          </w:tblCellMar>
        </w:tblPrEx>
        <w:trPr>
          <w:trHeight w:val="849"/>
        </w:trPr>
        <w:tc>
          <w:tcPr>
            <w:tcW w:w="725" w:type="dxa"/>
            <w:vMerge/>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i w:val="0"/>
                <w:iCs w:val="0"/>
                <w:color w:val="000000"/>
                <w:sz w:val="21"/>
                <w:szCs w:val="21"/>
                <w:u w:val="none"/>
              </w:rPr>
            </w:pPr>
          </w:p>
        </w:tc>
        <w:tc>
          <w:tcPr>
            <w:tcW w:w="1036" w:type="dxa"/>
            <w:vMerge/>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i w:val="0"/>
                <w:iCs w:val="0"/>
                <w:color w:val="000000"/>
                <w:sz w:val="21"/>
                <w:szCs w:val="21"/>
                <w:u w:val="none"/>
              </w:rPr>
            </w:pPr>
          </w:p>
        </w:tc>
        <w:tc>
          <w:tcPr>
            <w:tcW w:w="1680" w:type="dxa"/>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安全管理成本</w:t>
            </w:r>
          </w:p>
        </w:tc>
        <w:tc>
          <w:tcPr>
            <w:tcW w:w="2344" w:type="dxa"/>
            <w:tcBorders>
              <w:top w:val="single" w:sz="4" w:space="0" w:color="000000"/>
              <w:left w:val="single" w:sz="4" w:space="0" w:color="000000"/>
              <w:bottom w:val="single" w:sz="4" w:space="0" w:color="000000"/>
              <w:right w:val="single" w:sz="4" w:space="0" w:color="000000"/>
            </w:tcBorders>
            <w:noWrap/>
            <w:vAlign w:val="center"/>
          </w:tcPr>
          <w:p>
            <w:pPr>
              <w:rPr>
                <w:rFonts w:ascii="宋体" w:eastAsia="宋体" w:hAnsi="宋体" w:cs="宋体" w:hint="eastAsia"/>
                <w:i w:val="0"/>
                <w:iCs w:val="0"/>
                <w:color w:val="000000"/>
                <w:sz w:val="21"/>
                <w:szCs w:val="21"/>
                <w:u w:val="none"/>
              </w:rPr>
            </w:pPr>
          </w:p>
        </w:tc>
        <w:tc>
          <w:tcPr>
            <w:tcW w:w="2475" w:type="dxa"/>
            <w:tcBorders>
              <w:top w:val="single" w:sz="4" w:space="0" w:color="000000"/>
              <w:left w:val="single" w:sz="4" w:space="0" w:color="000000"/>
              <w:bottom w:val="single" w:sz="4" w:space="0" w:color="000000"/>
              <w:right w:val="single" w:sz="4" w:space="0" w:color="000000"/>
            </w:tcBorders>
            <w:noWrap w:val="0"/>
            <w:vAlign w:val="center"/>
          </w:tcPr>
          <w:p>
            <w:pPr>
              <w:keepNext w:val="0"/>
              <w:keepLines w:val="0"/>
              <w:widowControl/>
              <w:suppressLineNumbers w:val="0"/>
              <w:jc w:val="center"/>
              <w:textAlignment w:val="center"/>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含安全标识、服务器材、应急物资耗材、演练耗材</w:t>
            </w:r>
          </w:p>
        </w:tc>
      </w:tr>
      <w:tr>
        <w:tblPrEx>
          <w:tblW w:w="0" w:type="auto"/>
          <w:tblInd w:w="96" w:type="dxa"/>
          <w:tblLayout w:type="fixed"/>
          <w:tblCellMar>
            <w:top w:w="0" w:type="dxa"/>
            <w:left w:w="108" w:type="dxa"/>
            <w:bottom w:w="0" w:type="dxa"/>
            <w:right w:w="108" w:type="dxa"/>
          </w:tblCellMar>
        </w:tblPrEx>
        <w:trPr>
          <w:trHeight w:val="628"/>
        </w:trPr>
        <w:tc>
          <w:tcPr>
            <w:tcW w:w="725" w:type="dxa"/>
            <w:vMerge/>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i w:val="0"/>
                <w:iCs w:val="0"/>
                <w:color w:val="000000"/>
                <w:sz w:val="21"/>
                <w:szCs w:val="21"/>
                <w:u w:val="none"/>
              </w:rPr>
            </w:pPr>
          </w:p>
        </w:tc>
        <w:tc>
          <w:tcPr>
            <w:tcW w:w="1036" w:type="dxa"/>
            <w:vMerge/>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i w:val="0"/>
                <w:iCs w:val="0"/>
                <w:color w:val="000000"/>
                <w:sz w:val="21"/>
                <w:szCs w:val="21"/>
                <w:u w:val="none"/>
              </w:rPr>
            </w:pPr>
          </w:p>
        </w:tc>
        <w:tc>
          <w:tcPr>
            <w:tcW w:w="1680" w:type="dxa"/>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不可预见费</w:t>
            </w:r>
          </w:p>
        </w:tc>
        <w:tc>
          <w:tcPr>
            <w:tcW w:w="2344" w:type="dxa"/>
            <w:tcBorders>
              <w:top w:val="single" w:sz="4" w:space="0" w:color="000000"/>
              <w:left w:val="single" w:sz="4" w:space="0" w:color="000000"/>
              <w:bottom w:val="single" w:sz="4" w:space="0" w:color="000000"/>
              <w:right w:val="single" w:sz="4" w:space="0" w:color="000000"/>
            </w:tcBorders>
            <w:noWrap/>
            <w:vAlign w:val="center"/>
          </w:tcPr>
          <w:p>
            <w:pPr>
              <w:rPr>
                <w:rFonts w:ascii="宋体" w:eastAsia="宋体" w:hAnsi="宋体" w:cs="宋体" w:hint="eastAsia"/>
                <w:i w:val="0"/>
                <w:iCs w:val="0"/>
                <w:color w:val="000000"/>
                <w:sz w:val="21"/>
                <w:szCs w:val="21"/>
                <w:u w:val="none"/>
              </w:rPr>
            </w:pPr>
          </w:p>
        </w:tc>
        <w:tc>
          <w:tcPr>
            <w:tcW w:w="2475"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i w:val="0"/>
                <w:iCs w:val="0"/>
                <w:color w:val="000000"/>
                <w:sz w:val="21"/>
                <w:szCs w:val="21"/>
                <w:u w:val="none"/>
              </w:rPr>
            </w:pPr>
          </w:p>
        </w:tc>
      </w:tr>
      <w:tr>
        <w:tblPrEx>
          <w:tblW w:w="0" w:type="auto"/>
          <w:tblInd w:w="96" w:type="dxa"/>
          <w:tblLayout w:type="fixed"/>
          <w:tblCellMar>
            <w:top w:w="0" w:type="dxa"/>
            <w:left w:w="108" w:type="dxa"/>
            <w:bottom w:w="0" w:type="dxa"/>
            <w:right w:w="108" w:type="dxa"/>
          </w:tblCellMar>
        </w:tblPrEx>
        <w:trPr>
          <w:trHeight w:val="628"/>
        </w:trPr>
        <w:tc>
          <w:tcPr>
            <w:tcW w:w="725" w:type="dxa"/>
            <w:vMerge/>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i w:val="0"/>
                <w:iCs w:val="0"/>
                <w:color w:val="000000"/>
                <w:sz w:val="21"/>
                <w:szCs w:val="21"/>
                <w:u w:val="none"/>
              </w:rPr>
            </w:pPr>
          </w:p>
        </w:tc>
        <w:tc>
          <w:tcPr>
            <w:tcW w:w="2716" w:type="dxa"/>
            <w:gridSpan w:val="2"/>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其他费用小计</w:t>
            </w:r>
          </w:p>
        </w:tc>
        <w:tc>
          <w:tcPr>
            <w:tcW w:w="2344" w:type="dxa"/>
            <w:tcBorders>
              <w:top w:val="single" w:sz="4" w:space="0" w:color="000000"/>
              <w:left w:val="single" w:sz="4" w:space="0" w:color="000000"/>
              <w:bottom w:val="single" w:sz="4" w:space="0" w:color="000000"/>
              <w:right w:val="single" w:sz="4" w:space="0" w:color="000000"/>
            </w:tcBorders>
            <w:noWrap/>
            <w:vAlign w:val="center"/>
          </w:tcPr>
          <w:p>
            <w:pPr>
              <w:rPr>
                <w:rFonts w:ascii="宋体" w:eastAsia="宋体" w:hAnsi="宋体" w:cs="宋体" w:hint="eastAsia"/>
                <w:i w:val="0"/>
                <w:iCs w:val="0"/>
                <w:color w:val="000000"/>
                <w:sz w:val="21"/>
                <w:szCs w:val="21"/>
                <w:u w:val="none"/>
              </w:rPr>
            </w:pPr>
          </w:p>
        </w:tc>
        <w:tc>
          <w:tcPr>
            <w:tcW w:w="2475"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i w:val="0"/>
                <w:iCs w:val="0"/>
                <w:color w:val="000000"/>
                <w:sz w:val="21"/>
                <w:szCs w:val="21"/>
                <w:u w:val="none"/>
              </w:rPr>
            </w:pPr>
          </w:p>
        </w:tc>
      </w:tr>
      <w:tr>
        <w:tblPrEx>
          <w:tblW w:w="0" w:type="auto"/>
          <w:tblInd w:w="96" w:type="dxa"/>
          <w:tblLayout w:type="fixed"/>
          <w:tblCellMar>
            <w:top w:w="0" w:type="dxa"/>
            <w:left w:w="108" w:type="dxa"/>
            <w:bottom w:w="0" w:type="dxa"/>
            <w:right w:w="108" w:type="dxa"/>
          </w:tblCellMar>
        </w:tblPrEx>
        <w:trPr>
          <w:trHeight w:val="628"/>
        </w:trPr>
        <w:tc>
          <w:tcPr>
            <w:tcW w:w="725" w:type="dxa"/>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三</w:t>
            </w:r>
          </w:p>
        </w:tc>
        <w:tc>
          <w:tcPr>
            <w:tcW w:w="2716" w:type="dxa"/>
            <w:gridSpan w:val="2"/>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利润</w:t>
            </w:r>
          </w:p>
        </w:tc>
        <w:tc>
          <w:tcPr>
            <w:tcW w:w="2344" w:type="dxa"/>
            <w:tcBorders>
              <w:top w:val="single" w:sz="4" w:space="0" w:color="000000"/>
              <w:left w:val="single" w:sz="4" w:space="0" w:color="000000"/>
              <w:bottom w:val="single" w:sz="4" w:space="0" w:color="000000"/>
              <w:right w:val="single" w:sz="4" w:space="0" w:color="000000"/>
            </w:tcBorders>
            <w:noWrap/>
            <w:vAlign w:val="center"/>
          </w:tcPr>
          <w:p>
            <w:pPr>
              <w:rPr>
                <w:rFonts w:ascii="宋体" w:eastAsia="宋体" w:hAnsi="宋体" w:cs="宋体" w:hint="eastAsia"/>
                <w:i w:val="0"/>
                <w:iCs w:val="0"/>
                <w:color w:val="000000"/>
                <w:sz w:val="21"/>
                <w:szCs w:val="21"/>
                <w:u w:val="none"/>
              </w:rPr>
            </w:pPr>
          </w:p>
        </w:tc>
        <w:tc>
          <w:tcPr>
            <w:tcW w:w="2475"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i w:val="0"/>
                <w:iCs w:val="0"/>
                <w:color w:val="000000"/>
                <w:sz w:val="21"/>
                <w:szCs w:val="21"/>
                <w:u w:val="none"/>
              </w:rPr>
            </w:pPr>
          </w:p>
        </w:tc>
      </w:tr>
      <w:tr>
        <w:tblPrEx>
          <w:tblW w:w="0" w:type="auto"/>
          <w:tblInd w:w="96" w:type="dxa"/>
          <w:tblLayout w:type="fixed"/>
          <w:tblCellMar>
            <w:top w:w="0" w:type="dxa"/>
            <w:left w:w="108" w:type="dxa"/>
            <w:bottom w:w="0" w:type="dxa"/>
            <w:right w:w="108" w:type="dxa"/>
          </w:tblCellMar>
        </w:tblPrEx>
        <w:trPr>
          <w:trHeight w:val="628"/>
        </w:trPr>
        <w:tc>
          <w:tcPr>
            <w:tcW w:w="725" w:type="dxa"/>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四</w:t>
            </w:r>
          </w:p>
        </w:tc>
        <w:tc>
          <w:tcPr>
            <w:tcW w:w="2716" w:type="dxa"/>
            <w:gridSpan w:val="2"/>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jc w:val="center"/>
              <w:textAlignment w:val="center"/>
              <w:rPr>
                <w:rFonts w:ascii="宋体" w:eastAsia="宋体" w:hAnsi="宋体" w:cs="宋体" w:hint="eastAsia"/>
                <w:i w:val="0"/>
                <w:iCs w:val="0"/>
                <w:color w:val="000000"/>
                <w:sz w:val="21"/>
                <w:szCs w:val="21"/>
                <w:u w:val="none"/>
              </w:rPr>
            </w:pPr>
            <w:r>
              <w:rPr>
                <w:rFonts w:ascii="宋体" w:eastAsia="宋体" w:hAnsi="宋体" w:cs="宋体" w:hint="eastAsia"/>
                <w:i w:val="0"/>
                <w:iCs w:val="0"/>
                <w:color w:val="000000"/>
                <w:kern w:val="0"/>
                <w:sz w:val="21"/>
                <w:szCs w:val="21"/>
                <w:u w:val="none"/>
                <w:lang w:val="en-US" w:eastAsia="zh-CN"/>
              </w:rPr>
              <w:t>税金</w:t>
            </w:r>
          </w:p>
        </w:tc>
        <w:tc>
          <w:tcPr>
            <w:tcW w:w="2344" w:type="dxa"/>
            <w:tcBorders>
              <w:top w:val="single" w:sz="4" w:space="0" w:color="000000"/>
              <w:left w:val="single" w:sz="4" w:space="0" w:color="000000"/>
              <w:bottom w:val="single" w:sz="4" w:space="0" w:color="000000"/>
              <w:right w:val="single" w:sz="4" w:space="0" w:color="000000"/>
            </w:tcBorders>
            <w:noWrap/>
            <w:vAlign w:val="center"/>
          </w:tcPr>
          <w:p>
            <w:pPr>
              <w:rPr>
                <w:rFonts w:ascii="宋体" w:eastAsia="宋体" w:hAnsi="宋体" w:cs="宋体" w:hint="eastAsia"/>
                <w:i w:val="0"/>
                <w:iCs w:val="0"/>
                <w:color w:val="000000"/>
                <w:sz w:val="21"/>
                <w:szCs w:val="21"/>
                <w:u w:val="none"/>
              </w:rPr>
            </w:pPr>
          </w:p>
        </w:tc>
        <w:tc>
          <w:tcPr>
            <w:tcW w:w="2475"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i w:val="0"/>
                <w:iCs w:val="0"/>
                <w:color w:val="000000"/>
                <w:sz w:val="21"/>
                <w:szCs w:val="21"/>
                <w:u w:val="none"/>
              </w:rPr>
            </w:pPr>
          </w:p>
        </w:tc>
      </w:tr>
      <w:tr>
        <w:tblPrEx>
          <w:tblW w:w="0" w:type="auto"/>
          <w:tblInd w:w="96" w:type="dxa"/>
          <w:tblLayout w:type="fixed"/>
          <w:tblCellMar>
            <w:top w:w="0" w:type="dxa"/>
            <w:left w:w="108" w:type="dxa"/>
            <w:bottom w:w="0" w:type="dxa"/>
            <w:right w:w="108" w:type="dxa"/>
          </w:tblCellMar>
        </w:tblPrEx>
        <w:trPr>
          <w:trHeight w:val="628"/>
        </w:trPr>
        <w:tc>
          <w:tcPr>
            <w:tcW w:w="3441" w:type="dxa"/>
            <w:gridSpan w:val="3"/>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21"/>
                <w:szCs w:val="21"/>
                <w:u w:val="none"/>
              </w:rPr>
            </w:pPr>
            <w:r>
              <w:rPr>
                <w:rFonts w:ascii="宋体" w:eastAsia="宋体" w:hAnsi="宋体" w:cs="宋体" w:hint="eastAsia"/>
                <w:b/>
                <w:bCs/>
                <w:i w:val="0"/>
                <w:iCs w:val="0"/>
                <w:color w:val="000000"/>
                <w:kern w:val="0"/>
                <w:sz w:val="21"/>
                <w:szCs w:val="21"/>
                <w:u w:val="none"/>
                <w:lang w:val="en-US" w:eastAsia="zh-CN"/>
              </w:rPr>
              <w:t>每月含税费用合计</w:t>
            </w:r>
          </w:p>
        </w:tc>
        <w:tc>
          <w:tcPr>
            <w:tcW w:w="2344" w:type="dxa"/>
            <w:tcBorders>
              <w:top w:val="single" w:sz="4" w:space="0" w:color="000000"/>
              <w:left w:val="single" w:sz="4" w:space="0" w:color="000000"/>
              <w:bottom w:val="single" w:sz="4" w:space="0" w:color="000000"/>
              <w:right w:val="single" w:sz="4" w:space="0" w:color="000000"/>
            </w:tcBorders>
            <w:noWrap/>
            <w:vAlign w:val="center"/>
          </w:tcPr>
          <w:p>
            <w:pPr>
              <w:rPr>
                <w:rFonts w:ascii="宋体" w:eastAsia="宋体" w:hAnsi="宋体" w:cs="宋体" w:hint="eastAsia"/>
                <w:i w:val="0"/>
                <w:iCs w:val="0"/>
                <w:color w:val="000000"/>
                <w:sz w:val="21"/>
                <w:szCs w:val="21"/>
                <w:u w:val="none"/>
              </w:rPr>
            </w:pPr>
          </w:p>
        </w:tc>
        <w:tc>
          <w:tcPr>
            <w:tcW w:w="2475"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i w:val="0"/>
                <w:iCs w:val="0"/>
                <w:color w:val="000000"/>
                <w:sz w:val="21"/>
                <w:szCs w:val="21"/>
                <w:u w:val="none"/>
              </w:rPr>
            </w:pPr>
          </w:p>
        </w:tc>
      </w:tr>
      <w:tr>
        <w:tblPrEx>
          <w:tblW w:w="0" w:type="auto"/>
          <w:tblInd w:w="96" w:type="dxa"/>
          <w:tblLayout w:type="fixed"/>
          <w:tblCellMar>
            <w:top w:w="0" w:type="dxa"/>
            <w:left w:w="108" w:type="dxa"/>
            <w:bottom w:w="0" w:type="dxa"/>
            <w:right w:w="108" w:type="dxa"/>
          </w:tblCellMar>
        </w:tblPrEx>
        <w:trPr>
          <w:trHeight w:val="637"/>
        </w:trPr>
        <w:tc>
          <w:tcPr>
            <w:tcW w:w="3441" w:type="dxa"/>
            <w:gridSpan w:val="3"/>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21"/>
                <w:szCs w:val="21"/>
                <w:u w:val="none"/>
              </w:rPr>
            </w:pPr>
            <w:r>
              <w:rPr>
                <w:rFonts w:ascii="宋体" w:eastAsia="宋体" w:hAnsi="宋体" w:cs="宋体" w:hint="eastAsia"/>
                <w:b/>
                <w:bCs/>
                <w:i w:val="0"/>
                <w:iCs w:val="0"/>
                <w:color w:val="000000"/>
                <w:kern w:val="0"/>
                <w:sz w:val="21"/>
                <w:szCs w:val="21"/>
                <w:u w:val="none"/>
                <w:lang w:val="en-US" w:eastAsia="zh-CN"/>
              </w:rPr>
              <w:t>每年含税费用合计</w:t>
            </w:r>
          </w:p>
        </w:tc>
        <w:tc>
          <w:tcPr>
            <w:tcW w:w="2344" w:type="dxa"/>
            <w:tcBorders>
              <w:top w:val="single" w:sz="4" w:space="0" w:color="000000"/>
              <w:left w:val="single" w:sz="4" w:space="0" w:color="000000"/>
              <w:bottom w:val="single" w:sz="4" w:space="0" w:color="000000"/>
              <w:right w:val="single" w:sz="4" w:space="0" w:color="000000"/>
            </w:tcBorders>
            <w:noWrap/>
            <w:vAlign w:val="center"/>
          </w:tcPr>
          <w:p>
            <w:pPr>
              <w:rPr>
                <w:rFonts w:ascii="宋体" w:eastAsia="宋体" w:hAnsi="宋体" w:cs="宋体" w:hint="eastAsia"/>
                <w:i w:val="0"/>
                <w:iCs w:val="0"/>
                <w:color w:val="000000"/>
                <w:sz w:val="21"/>
                <w:szCs w:val="21"/>
                <w:u w:val="none"/>
              </w:rPr>
            </w:pPr>
          </w:p>
        </w:tc>
        <w:tc>
          <w:tcPr>
            <w:tcW w:w="2475"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i w:val="0"/>
                <w:iCs w:val="0"/>
                <w:color w:val="000000"/>
                <w:sz w:val="21"/>
                <w:szCs w:val="21"/>
                <w:u w:val="none"/>
              </w:rPr>
            </w:pPr>
          </w:p>
        </w:tc>
      </w:tr>
    </w:tbl>
    <w:p>
      <w:pPr>
        <w:ind w:left="632" w:hanging="630" w:hangingChars="300"/>
        <w:rPr>
          <w:b/>
          <w:color w:val="0000FF"/>
          <w:szCs w:val="21"/>
        </w:rPr>
      </w:pPr>
      <w:r>
        <w:rPr>
          <w:rFonts w:hint="eastAsia"/>
          <w:b/>
          <w:color w:val="0000FF"/>
          <w:szCs w:val="21"/>
        </w:rPr>
        <w:t>注：</w:t>
      </w:r>
    </w:p>
    <w:p>
      <w:pPr>
        <w:widowControl/>
        <w:snapToGrid w:val="0"/>
        <w:ind w:firstLine="420" w:firstLineChars="200"/>
        <w:jc w:val="left"/>
        <w:rPr>
          <w:rFonts w:ascii="宋体" w:hAnsi="宋体" w:hint="eastAsia"/>
          <w:color w:val="0000FF"/>
          <w:kern w:val="0"/>
          <w:szCs w:val="21"/>
        </w:rPr>
      </w:pPr>
      <w:r>
        <w:rPr>
          <w:rFonts w:ascii="宋体" w:hAnsi="宋体" w:hint="eastAsia"/>
          <w:color w:val="0000FF"/>
          <w:kern w:val="0"/>
          <w:szCs w:val="21"/>
        </w:rPr>
        <w:t>1、投标人的投标报价不得超过预算金额，否则将导致投标无效。</w:t>
      </w:r>
    </w:p>
    <w:p>
      <w:pPr>
        <w:pStyle w:val="BodyText2"/>
      </w:pPr>
    </w:p>
    <w:p>
      <w:pPr>
        <w:tabs>
          <w:tab w:val="left" w:pos="720"/>
        </w:tabs>
        <w:jc w:val="center"/>
        <w:rPr>
          <w:b/>
          <w:sz w:val="24"/>
        </w:rPr>
      </w:pPr>
      <w:r>
        <w:rPr>
          <w:rFonts w:hint="eastAsia"/>
          <w:b/>
          <w:sz w:val="24"/>
        </w:rPr>
        <w:t>（二）</w:t>
      </w:r>
      <w:bookmarkStart w:id="50" w:name="_Hlk72073235"/>
      <w:r>
        <w:rPr>
          <w:rFonts w:hint="eastAsia"/>
          <w:b/>
          <w:sz w:val="24"/>
        </w:rPr>
        <w:t>投标人认为需要涉及的其他内容报价清单</w:t>
      </w:r>
      <w:bookmarkEnd w:id="50"/>
    </w:p>
    <w:p>
      <w:pPr>
        <w:rPr>
          <w:b/>
          <w:bCs/>
        </w:rPr>
      </w:pPr>
    </w:p>
    <w:p/>
    <w:p>
      <w:pPr>
        <w:widowControl/>
        <w:numPr>
          <w:ilvl w:val="0"/>
          <w:numId w:val="54"/>
        </w:numPr>
        <w:tabs>
          <w:tab w:val="left" w:pos="720"/>
        </w:tabs>
        <w:spacing w:line="360" w:lineRule="auto"/>
        <w:jc w:val="left"/>
        <w:rPr>
          <w:rFonts w:ascii="黑体" w:eastAsia="黑体" w:hAnsi="宋体" w:hint="eastAsia"/>
          <w:bCs/>
          <w:sz w:val="24"/>
        </w:rPr>
      </w:pPr>
      <w:r>
        <w:rPr>
          <w:rFonts w:ascii="黑体" w:eastAsia="黑体" w:hAnsi="宋体" w:hint="eastAsia"/>
          <w:bCs/>
          <w:sz w:val="24"/>
        </w:rPr>
        <w:t>供应商认证情况（格式自定）</w:t>
      </w:r>
    </w:p>
    <w:p>
      <w:pPr>
        <w:spacing w:line="360" w:lineRule="auto"/>
        <w:rPr>
          <w:sz w:val="24"/>
        </w:rPr>
      </w:pPr>
      <w:r>
        <w:rPr>
          <w:rFonts w:hint="eastAsia"/>
          <w:sz w:val="24"/>
        </w:rPr>
        <w:t>（特别提示：投标人须按本招标文件评标信息中这一评审因素要求，提供证明资料）</w:t>
      </w:r>
    </w:p>
    <w:p>
      <w:pPr>
        <w:widowControl/>
        <w:numPr>
          <w:ilvl w:val="0"/>
          <w:numId w:val="54"/>
        </w:numPr>
        <w:tabs>
          <w:tab w:val="left" w:pos="720"/>
        </w:tabs>
        <w:spacing w:line="360" w:lineRule="auto"/>
        <w:jc w:val="left"/>
        <w:rPr>
          <w:rFonts w:ascii="黑体" w:eastAsia="黑体" w:hAnsi="宋体" w:hint="eastAsia"/>
          <w:sz w:val="24"/>
          <w:szCs w:val="20"/>
        </w:rPr>
      </w:pPr>
      <w:r>
        <w:rPr>
          <w:rFonts w:ascii="黑体" w:eastAsia="黑体" w:hAnsi="宋体" w:hint="eastAsia"/>
          <w:bCs/>
          <w:sz w:val="24"/>
        </w:rPr>
        <w:t>供应商同类项目业绩情况</w:t>
      </w:r>
      <w:r>
        <w:rPr>
          <w:rFonts w:ascii="黑体" w:eastAsia="黑体" w:hAnsi="宋体" w:hint="eastAsia"/>
          <w:sz w:val="24"/>
          <w:szCs w:val="20"/>
        </w:rPr>
        <w:t>（格式自定）</w:t>
      </w:r>
    </w:p>
    <w:p>
      <w:pPr>
        <w:spacing w:line="360" w:lineRule="auto"/>
        <w:rPr>
          <w:sz w:val="24"/>
        </w:rPr>
      </w:pPr>
      <w:r>
        <w:rPr>
          <w:rFonts w:hint="eastAsia"/>
          <w:sz w:val="24"/>
        </w:rPr>
        <w:t>（特别提示：投标人须按本招标文件评标信息中这一评审因素要求，提供证明资料）</w:t>
      </w:r>
    </w:p>
    <w:p>
      <w:pPr>
        <w:widowControl/>
        <w:numPr>
          <w:ilvl w:val="0"/>
          <w:numId w:val="54"/>
        </w:numPr>
        <w:tabs>
          <w:tab w:val="left" w:pos="720"/>
        </w:tabs>
        <w:spacing w:line="360" w:lineRule="auto"/>
        <w:jc w:val="left"/>
        <w:rPr>
          <w:rFonts w:ascii="黑体" w:eastAsia="黑体" w:hAnsi="宋体" w:hint="eastAsia"/>
          <w:sz w:val="24"/>
          <w:szCs w:val="20"/>
        </w:rPr>
      </w:pPr>
      <w:r>
        <w:rPr>
          <w:rFonts w:ascii="黑体" w:eastAsia="黑体" w:hAnsi="宋体" w:hint="eastAsia"/>
          <w:bCs/>
          <w:sz w:val="24"/>
        </w:rPr>
        <w:t>供应商获奖情况</w:t>
      </w:r>
      <w:r>
        <w:rPr>
          <w:rFonts w:ascii="黑体" w:eastAsia="黑体" w:hAnsi="宋体" w:hint="eastAsia"/>
          <w:sz w:val="24"/>
          <w:szCs w:val="20"/>
        </w:rPr>
        <w:t>（格式自定）</w:t>
      </w:r>
    </w:p>
    <w:p>
      <w:pPr>
        <w:spacing w:line="360" w:lineRule="auto"/>
        <w:rPr>
          <w:sz w:val="24"/>
        </w:rPr>
      </w:pPr>
      <w:r>
        <w:rPr>
          <w:rFonts w:hint="eastAsia"/>
          <w:sz w:val="24"/>
        </w:rPr>
        <w:t>（特别提示：投标人须按本招标文件评标信息中这一评审因素要求，提供证明资料）</w:t>
      </w:r>
    </w:p>
    <w:p>
      <w:pPr>
        <w:widowControl/>
        <w:numPr>
          <w:ilvl w:val="0"/>
          <w:numId w:val="54"/>
        </w:numPr>
        <w:tabs>
          <w:tab w:val="left" w:pos="720"/>
        </w:tabs>
        <w:spacing w:line="360" w:lineRule="auto"/>
        <w:jc w:val="left"/>
        <w:rPr>
          <w:rFonts w:ascii="黑体" w:eastAsia="黑体" w:hAnsi="宋体" w:hint="eastAsia"/>
          <w:sz w:val="24"/>
          <w:szCs w:val="20"/>
        </w:rPr>
      </w:pPr>
      <w:r>
        <w:rPr>
          <w:rFonts w:ascii="黑体" w:eastAsia="黑体" w:hAnsi="宋体" w:hint="eastAsia"/>
          <w:bCs/>
          <w:sz w:val="24"/>
        </w:rPr>
        <w:t>供应商自主知识产权产品（创新、设计）情况</w:t>
      </w:r>
      <w:r>
        <w:rPr>
          <w:rFonts w:ascii="黑体" w:eastAsia="黑体" w:hAnsi="宋体" w:hint="eastAsia"/>
          <w:sz w:val="24"/>
          <w:szCs w:val="20"/>
        </w:rPr>
        <w:t>（格式自定）</w:t>
      </w:r>
    </w:p>
    <w:p>
      <w:pPr>
        <w:spacing w:line="360" w:lineRule="auto"/>
        <w:rPr>
          <w:sz w:val="24"/>
        </w:rPr>
      </w:pPr>
      <w:r>
        <w:rPr>
          <w:rFonts w:hint="eastAsia"/>
          <w:sz w:val="24"/>
        </w:rPr>
        <w:t>（特别提示：投标人须按本招标文件评标信息中这一评审因素要求，提供证明资料）</w:t>
      </w:r>
    </w:p>
    <w:p>
      <w:pPr>
        <w:widowControl/>
        <w:numPr>
          <w:ilvl w:val="0"/>
          <w:numId w:val="54"/>
        </w:numPr>
        <w:tabs>
          <w:tab w:val="left" w:pos="720"/>
        </w:tabs>
        <w:spacing w:line="360" w:lineRule="auto"/>
        <w:jc w:val="left"/>
        <w:rPr>
          <w:rFonts w:ascii="黑体" w:eastAsia="黑体" w:hAnsi="宋体" w:hint="eastAsia"/>
          <w:bCs/>
          <w:sz w:val="24"/>
        </w:rPr>
      </w:pPr>
      <w:r>
        <w:rPr>
          <w:rFonts w:ascii="黑体" w:eastAsia="黑体" w:hAnsi="宋体" w:hint="eastAsia"/>
          <w:bCs/>
          <w:sz w:val="24"/>
        </w:rPr>
        <w:t>服务网点</w:t>
      </w:r>
    </w:p>
    <w:p>
      <w:pPr>
        <w:spacing w:line="360" w:lineRule="auto"/>
        <w:jc w:val="center"/>
        <w:rPr>
          <w:sz w:val="24"/>
        </w:rPr>
      </w:pPr>
      <w:r>
        <w:rPr>
          <w:rFonts w:hint="eastAsia"/>
          <w:sz w:val="24"/>
        </w:rPr>
        <w:t>承诺函</w:t>
      </w:r>
    </w:p>
    <w:p>
      <w:pPr>
        <w:spacing w:line="360" w:lineRule="auto"/>
        <w:rPr>
          <w:sz w:val="24"/>
        </w:rPr>
      </w:pPr>
      <w:r>
        <w:rPr>
          <w:rFonts w:hint="eastAsia"/>
          <w:sz w:val="24"/>
        </w:rPr>
        <w:t>致：深圳公共资源交易中心、采购人</w:t>
      </w:r>
    </w:p>
    <w:p>
      <w:pPr>
        <w:spacing w:line="360" w:lineRule="auto"/>
        <w:ind w:firstLine="420" w:firstLineChars="200"/>
        <w:rPr>
          <w:sz w:val="24"/>
        </w:rPr>
      </w:pPr>
      <w:r>
        <w:rPr>
          <w:rFonts w:hint="eastAsia"/>
          <w:sz w:val="24"/>
        </w:rPr>
        <w:t>我单位承诺，中标后为本项目提供本地经营（服务）网点，如不遵守相应承诺，愿按违约处理，并承担由此给采购人带来的损失。</w:t>
      </w:r>
    </w:p>
    <w:p>
      <w:pPr>
        <w:spacing w:line="360" w:lineRule="auto"/>
        <w:ind w:right="960" w:firstLine="4830" w:firstLineChars="2300"/>
        <w:rPr>
          <w:sz w:val="24"/>
        </w:rPr>
      </w:pPr>
      <w:r>
        <w:rPr>
          <w:rFonts w:hint="eastAsia"/>
          <w:sz w:val="24"/>
        </w:rPr>
        <w:t xml:space="preserve">投标人：              </w:t>
      </w:r>
    </w:p>
    <w:p>
      <w:pPr>
        <w:spacing w:line="360" w:lineRule="auto"/>
        <w:rPr>
          <w:sz w:val="24"/>
        </w:rPr>
      </w:pPr>
      <w:r>
        <w:rPr>
          <w:rFonts w:hint="eastAsia"/>
          <w:sz w:val="24"/>
        </w:rPr>
        <w:t xml:space="preserve">                                              日期：    年   月   日</w:t>
      </w:r>
    </w:p>
    <w:p>
      <w:pPr>
        <w:spacing w:line="360" w:lineRule="auto"/>
        <w:rPr>
          <w:sz w:val="24"/>
        </w:rPr>
      </w:pPr>
      <w:r>
        <w:rPr>
          <w:b/>
          <w:bCs/>
          <w:sz w:val="24"/>
        </w:rPr>
        <w:t>特别提示：投标人需按以上模板要求提供承诺函，否则将按不得分处理</w:t>
      </w:r>
      <w:r>
        <w:rPr>
          <w:rFonts w:hint="eastAsia"/>
          <w:b/>
          <w:bCs/>
          <w:sz w:val="24"/>
        </w:rPr>
        <w:t>。</w:t>
      </w:r>
    </w:p>
    <w:p>
      <w:pPr>
        <w:spacing w:line="360" w:lineRule="auto"/>
        <w:rPr>
          <w:sz w:val="24"/>
        </w:rPr>
      </w:pPr>
      <w:r>
        <w:rPr>
          <w:rFonts w:hint="eastAsia"/>
          <w:sz w:val="24"/>
        </w:rPr>
        <w:t>（特别提示：投标人须按本招标文件评标信息中这一评审因素要求，提供证明资料）</w:t>
      </w:r>
    </w:p>
    <w:p/>
    <w:p/>
    <w:p>
      <w:pPr>
        <w:ind w:firstLine="1260" w:firstLineChars="600"/>
        <w:rPr>
          <w:b/>
          <w:color w:val="FF0000"/>
          <w:sz w:val="24"/>
        </w:rPr>
      </w:pPr>
      <w:r>
        <w:rPr>
          <w:rFonts w:hint="eastAsia"/>
          <w:b/>
          <w:color w:val="FF0000"/>
          <w:sz w:val="24"/>
        </w:rPr>
        <w:t>（信息公开部分的内容到此为止！以下为信息不公开部分。）</w:t>
      </w:r>
    </w:p>
    <w:p>
      <w:pPr>
        <w:rPr>
          <w:rFonts w:ascii="仿宋_GB2312" w:eastAsia="仿宋_GB2312"/>
          <w:b/>
          <w:sz w:val="30"/>
          <w:szCs w:val="30"/>
        </w:rPr>
      </w:pPr>
      <w:r>
        <w:rPr>
          <w:rFonts w:ascii="仿宋_GB2312" w:eastAsia="仿宋_GB2312" w:hint="eastAsia"/>
          <w:b/>
          <w:sz w:val="30"/>
          <w:szCs w:val="30"/>
        </w:rPr>
        <w:br w:type="page"/>
      </w:r>
    </w:p>
    <w:p>
      <w:pPr>
        <w:outlineLvl w:val="1"/>
        <w:rPr>
          <w:rFonts w:ascii="宋体" w:hAnsi="宋体" w:hint="eastAsia"/>
          <w:b/>
          <w:color w:val="FF0000"/>
          <w:sz w:val="28"/>
          <w:szCs w:val="28"/>
        </w:rPr>
      </w:pPr>
      <w:r>
        <w:rPr>
          <w:rFonts w:ascii="宋体" w:hAnsi="宋体" w:hint="eastAsia"/>
          <w:b/>
          <w:color w:val="FF0000"/>
          <w:sz w:val="28"/>
          <w:szCs w:val="28"/>
        </w:rPr>
        <w:t>投标文件附件（信息不公开部分）</w:t>
      </w:r>
    </w:p>
    <w:p>
      <w:pPr>
        <w:pStyle w:val="NoSpacing"/>
        <w:rPr>
          <w:rFonts w:ascii="宋体" w:hAnsi="宋体" w:hint="eastAsia"/>
          <w:b/>
          <w:color w:val="FF0000"/>
          <w:sz w:val="28"/>
          <w:szCs w:val="28"/>
        </w:rPr>
      </w:pPr>
    </w:p>
    <w:p>
      <w:pPr>
        <w:snapToGrid w:val="0"/>
        <w:jc w:val="center"/>
        <w:outlineLvl w:val="0"/>
        <w:rPr>
          <w:rFonts w:ascii="黑体" w:eastAsia="黑体" w:hAnsi="宋体" w:hint="eastAsia"/>
          <w:bCs/>
          <w:sz w:val="24"/>
          <w:szCs w:val="32"/>
        </w:rPr>
      </w:pPr>
      <w:r>
        <w:rPr>
          <w:rFonts w:ascii="黑体" w:eastAsia="黑体" w:hAnsi="宋体" w:hint="eastAsia"/>
          <w:bCs/>
          <w:sz w:val="24"/>
          <w:szCs w:val="32"/>
        </w:rPr>
        <w:t>一、供应商基本情况表</w:t>
      </w:r>
    </w:p>
    <w:tbl>
      <w:tblPr>
        <w:tblStyle w:val="TableGrid"/>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00"/>
        <w:gridCol w:w="645"/>
        <w:gridCol w:w="1530"/>
        <w:gridCol w:w="904"/>
        <w:gridCol w:w="752"/>
        <w:gridCol w:w="1146"/>
        <w:gridCol w:w="1429"/>
        <w:gridCol w:w="1420"/>
      </w:tblGrid>
      <w:tr>
        <w:tblPrEx>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789" w:type="pct"/>
            <w:gridSpan w:val="2"/>
            <w:vAlign w:val="center"/>
          </w:tcPr>
          <w:p>
            <w:pPr>
              <w:rPr>
                <w:rFonts w:ascii="宋体" w:hAnsi="宋体" w:cs="宋体" w:hint="eastAsia"/>
                <w:szCs w:val="21"/>
              </w:rPr>
            </w:pPr>
            <w:r>
              <w:rPr>
                <w:rFonts w:ascii="宋体" w:hAnsi="宋体" w:cs="宋体" w:hint="eastAsia"/>
                <w:szCs w:val="21"/>
              </w:rPr>
              <w:t>投标（响应）供应商</w:t>
            </w:r>
          </w:p>
        </w:tc>
        <w:tc>
          <w:tcPr>
            <w:tcW w:w="1427" w:type="pct"/>
            <w:gridSpan w:val="2"/>
            <w:vAlign w:val="center"/>
          </w:tcPr>
          <w:p>
            <w:pPr>
              <w:jc w:val="center"/>
              <w:rPr>
                <w:rFonts w:ascii="宋体" w:hAnsi="宋体" w:cs="宋体" w:hint="eastAsia"/>
                <w:szCs w:val="21"/>
              </w:rPr>
            </w:pPr>
          </w:p>
        </w:tc>
        <w:tc>
          <w:tcPr>
            <w:tcW w:w="1113" w:type="pct"/>
            <w:gridSpan w:val="2"/>
            <w:vAlign w:val="center"/>
          </w:tcPr>
          <w:p>
            <w:pPr>
              <w:jc w:val="center"/>
              <w:rPr>
                <w:rFonts w:ascii="宋体" w:hAnsi="宋体" w:cs="宋体" w:hint="eastAsia"/>
                <w:szCs w:val="21"/>
              </w:rPr>
            </w:pPr>
            <w:r>
              <w:rPr>
                <w:rFonts w:ascii="宋体" w:hAnsi="宋体" w:cs="宋体" w:hint="eastAsia"/>
                <w:szCs w:val="21"/>
              </w:rPr>
              <w:t>项目名称及编号</w:t>
            </w:r>
          </w:p>
        </w:tc>
        <w:tc>
          <w:tcPr>
            <w:tcW w:w="1669" w:type="pct"/>
            <w:gridSpan w:val="2"/>
            <w:vAlign w:val="center"/>
          </w:tcPr>
          <w:p>
            <w:pPr>
              <w:jc w:val="center"/>
              <w:rPr>
                <w:rFonts w:ascii="宋体" w:hAnsi="宋体" w:cs="宋体" w:hint="eastAsia"/>
                <w:szCs w:val="21"/>
              </w:rPr>
            </w:pPr>
          </w:p>
        </w:tc>
      </w:tr>
      <w:tr>
        <w:tblPrEx>
          <w:tblW w:w="4998" w:type="pct"/>
          <w:jc w:val="center"/>
          <w:tblCellMar>
            <w:top w:w="0" w:type="dxa"/>
            <w:left w:w="108" w:type="dxa"/>
            <w:bottom w:w="0" w:type="dxa"/>
            <w:right w:w="108" w:type="dxa"/>
          </w:tblCellMar>
        </w:tblPrEx>
        <w:trPr>
          <w:jc w:val="center"/>
        </w:trPr>
        <w:tc>
          <w:tcPr>
            <w:tcW w:w="5000" w:type="pct"/>
            <w:gridSpan w:val="8"/>
            <w:vAlign w:val="center"/>
          </w:tcPr>
          <w:p>
            <w:pPr>
              <w:jc w:val="center"/>
              <w:rPr>
                <w:rFonts w:ascii="宋体" w:hAnsi="宋体" w:cs="宋体" w:hint="eastAsia"/>
                <w:szCs w:val="21"/>
              </w:rPr>
            </w:pPr>
            <w:r>
              <w:rPr>
                <w:rFonts w:ascii="宋体" w:hAnsi="宋体" w:cs="宋体" w:hint="eastAsia"/>
                <w:b/>
                <w:bCs/>
                <w:szCs w:val="21"/>
              </w:rPr>
              <w:t>投标（响应）供应商相关人员情况</w:t>
            </w:r>
          </w:p>
        </w:tc>
      </w:tr>
      <w:tr>
        <w:tblPrEx>
          <w:tblW w:w="4998" w:type="pct"/>
          <w:jc w:val="center"/>
          <w:tblCellMar>
            <w:top w:w="0" w:type="dxa"/>
            <w:left w:w="108" w:type="dxa"/>
            <w:bottom w:w="0" w:type="dxa"/>
            <w:right w:w="108" w:type="dxa"/>
          </w:tblCellMar>
        </w:tblPrEx>
        <w:trPr>
          <w:jc w:val="center"/>
        </w:trPr>
        <w:tc>
          <w:tcPr>
            <w:tcW w:w="411" w:type="pct"/>
            <w:tcBorders>
              <w:bottom w:val="single" w:sz="4" w:space="0" w:color="auto"/>
            </w:tcBorders>
            <w:vAlign w:val="center"/>
          </w:tcPr>
          <w:p>
            <w:pPr>
              <w:snapToGrid w:val="0"/>
              <w:jc w:val="center"/>
              <w:rPr>
                <w:rFonts w:ascii="宋体" w:hAnsi="宋体" w:cs="宋体" w:hint="eastAsia"/>
                <w:szCs w:val="21"/>
              </w:rPr>
            </w:pPr>
            <w:r>
              <w:rPr>
                <w:rFonts w:ascii="宋体" w:hAnsi="宋体" w:cs="宋体" w:hint="eastAsia"/>
                <w:szCs w:val="21"/>
              </w:rPr>
              <w:t>序号</w:t>
            </w:r>
          </w:p>
        </w:tc>
        <w:tc>
          <w:tcPr>
            <w:tcW w:w="1275" w:type="pct"/>
            <w:gridSpan w:val="2"/>
            <w:tcBorders>
              <w:bottom w:val="single" w:sz="4" w:space="0" w:color="auto"/>
            </w:tcBorders>
            <w:vAlign w:val="center"/>
          </w:tcPr>
          <w:p>
            <w:pPr>
              <w:jc w:val="center"/>
              <w:rPr>
                <w:rFonts w:ascii="宋体" w:hAnsi="宋体" w:cs="宋体" w:hint="eastAsia"/>
                <w:szCs w:val="21"/>
              </w:rPr>
            </w:pPr>
            <w:r>
              <w:rPr>
                <w:rFonts w:ascii="宋体" w:hAnsi="宋体" w:cs="宋体" w:hint="eastAsia"/>
                <w:szCs w:val="21"/>
              </w:rPr>
              <w:t>职务</w:t>
            </w:r>
          </w:p>
        </w:tc>
        <w:tc>
          <w:tcPr>
            <w:tcW w:w="529" w:type="pct"/>
            <w:tcBorders>
              <w:bottom w:val="single" w:sz="4" w:space="0" w:color="auto"/>
            </w:tcBorders>
            <w:vAlign w:val="center"/>
          </w:tcPr>
          <w:p>
            <w:pPr>
              <w:jc w:val="center"/>
              <w:rPr>
                <w:rFonts w:ascii="宋体" w:hAnsi="宋体" w:cs="宋体" w:hint="eastAsia"/>
                <w:szCs w:val="21"/>
              </w:rPr>
            </w:pPr>
            <w:r>
              <w:rPr>
                <w:rFonts w:ascii="宋体" w:hAnsi="宋体" w:cs="宋体" w:hint="eastAsia"/>
                <w:szCs w:val="21"/>
              </w:rPr>
              <w:t>姓名</w:t>
            </w:r>
          </w:p>
        </w:tc>
        <w:tc>
          <w:tcPr>
            <w:tcW w:w="1113" w:type="pct"/>
            <w:gridSpan w:val="2"/>
            <w:tcBorders>
              <w:bottom w:val="single" w:sz="4" w:space="0" w:color="auto"/>
            </w:tcBorders>
            <w:vAlign w:val="center"/>
          </w:tcPr>
          <w:p>
            <w:pPr>
              <w:jc w:val="center"/>
              <w:rPr>
                <w:rFonts w:ascii="宋体" w:hAnsi="宋体" w:cs="宋体" w:hint="eastAsia"/>
                <w:szCs w:val="21"/>
              </w:rPr>
            </w:pPr>
            <w:r>
              <w:rPr>
                <w:rFonts w:ascii="宋体" w:hAnsi="宋体" w:cs="宋体" w:hint="eastAsia"/>
                <w:szCs w:val="21"/>
              </w:rPr>
              <w:t>身份证号码</w:t>
            </w:r>
          </w:p>
        </w:tc>
        <w:tc>
          <w:tcPr>
            <w:tcW w:w="838" w:type="pct"/>
            <w:tcBorders>
              <w:bottom w:val="single" w:sz="4" w:space="0" w:color="auto"/>
            </w:tcBorders>
            <w:vAlign w:val="center"/>
          </w:tcPr>
          <w:p>
            <w:pPr>
              <w:snapToGrid w:val="0"/>
              <w:jc w:val="center"/>
              <w:rPr>
                <w:rFonts w:ascii="宋体" w:hAnsi="宋体" w:cs="宋体" w:hint="eastAsia"/>
                <w:szCs w:val="21"/>
              </w:rPr>
            </w:pPr>
            <w:r>
              <w:rPr>
                <w:rFonts w:ascii="宋体" w:hAnsi="宋体" w:cs="宋体" w:hint="eastAsia"/>
                <w:szCs w:val="21"/>
              </w:rPr>
              <w:t>劳动合同</w:t>
            </w:r>
          </w:p>
          <w:p>
            <w:pPr>
              <w:snapToGrid w:val="0"/>
              <w:jc w:val="center"/>
              <w:rPr>
                <w:rFonts w:ascii="宋体" w:hAnsi="宋体" w:cs="宋体" w:hint="eastAsia"/>
                <w:szCs w:val="21"/>
              </w:rPr>
            </w:pPr>
            <w:r>
              <w:rPr>
                <w:rFonts w:ascii="宋体" w:hAnsi="宋体" w:cs="宋体" w:hint="eastAsia"/>
                <w:szCs w:val="21"/>
              </w:rPr>
              <w:t>关系单位</w:t>
            </w:r>
          </w:p>
        </w:tc>
        <w:tc>
          <w:tcPr>
            <w:tcW w:w="830" w:type="pct"/>
            <w:tcBorders>
              <w:bottom w:val="single" w:sz="4" w:space="0" w:color="auto"/>
            </w:tcBorders>
            <w:vAlign w:val="center"/>
          </w:tcPr>
          <w:p>
            <w:pPr>
              <w:snapToGrid w:val="0"/>
              <w:jc w:val="center"/>
              <w:rPr>
                <w:rFonts w:ascii="宋体" w:hAnsi="宋体" w:cs="宋体" w:hint="eastAsia"/>
                <w:szCs w:val="21"/>
              </w:rPr>
            </w:pPr>
            <w:r>
              <w:rPr>
                <w:rFonts w:ascii="宋体" w:hAnsi="宋体" w:cs="宋体" w:hint="eastAsia"/>
                <w:szCs w:val="21"/>
              </w:rPr>
              <w:t>缴纳社会</w:t>
            </w:r>
          </w:p>
          <w:p>
            <w:pPr>
              <w:snapToGrid w:val="0"/>
              <w:jc w:val="center"/>
              <w:rPr>
                <w:rFonts w:ascii="宋体" w:hAnsi="宋体" w:cs="宋体" w:hint="eastAsia"/>
                <w:szCs w:val="21"/>
              </w:rPr>
            </w:pPr>
            <w:r>
              <w:rPr>
                <w:rFonts w:ascii="宋体" w:hAnsi="宋体" w:cs="宋体" w:hint="eastAsia"/>
                <w:szCs w:val="21"/>
              </w:rPr>
              <w:t>保险单位</w:t>
            </w:r>
          </w:p>
        </w:tc>
      </w:tr>
      <w:tr>
        <w:tblPrEx>
          <w:tblW w:w="4998" w:type="pct"/>
          <w:jc w:val="center"/>
          <w:tblCellMar>
            <w:top w:w="0" w:type="dxa"/>
            <w:left w:w="108" w:type="dxa"/>
            <w:bottom w:w="0" w:type="dxa"/>
            <w:right w:w="108" w:type="dxa"/>
          </w:tblCellMar>
        </w:tblPrEx>
        <w:trPr>
          <w:jc w:val="center"/>
        </w:trPr>
        <w:tc>
          <w:tcPr>
            <w:tcW w:w="411" w:type="pct"/>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szCs w:val="21"/>
              </w:rPr>
            </w:pPr>
            <w:r>
              <w:rPr>
                <w:rFonts w:ascii="宋体" w:hAnsi="宋体" w:cs="宋体" w:hint="eastAsia"/>
                <w:szCs w:val="21"/>
              </w:rPr>
              <w:t>1</w:t>
            </w:r>
          </w:p>
        </w:tc>
        <w:tc>
          <w:tcPr>
            <w:tcW w:w="1275" w:type="pct"/>
            <w:gridSpan w:val="2"/>
            <w:tcBorders>
              <w:top w:val="single" w:sz="4" w:space="0" w:color="auto"/>
              <w:left w:val="single" w:sz="4" w:space="0" w:color="auto"/>
              <w:bottom w:val="single" w:sz="4" w:space="0" w:color="auto"/>
              <w:right w:val="single" w:sz="4" w:space="0" w:color="auto"/>
            </w:tcBorders>
            <w:vAlign w:val="center"/>
          </w:tcPr>
          <w:p>
            <w:pPr>
              <w:spacing w:line="460" w:lineRule="exact"/>
              <w:jc w:val="center"/>
              <w:rPr>
                <w:rFonts w:ascii="宋体" w:hAnsi="宋体" w:cs="宋体" w:hint="eastAsia"/>
                <w:szCs w:val="21"/>
              </w:rPr>
            </w:pPr>
            <w:r>
              <w:rPr>
                <w:rFonts w:ascii="宋体" w:hAnsi="宋体" w:cs="宋体" w:hint="eastAsia"/>
                <w:szCs w:val="21"/>
              </w:rPr>
              <w:t>法定代表人/单位负责人/主要经营负责人</w:t>
            </w:r>
          </w:p>
        </w:tc>
        <w:tc>
          <w:tcPr>
            <w:tcW w:w="529" w:type="pct"/>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szCs w:val="21"/>
              </w:rPr>
            </w:pPr>
          </w:p>
        </w:tc>
        <w:tc>
          <w:tcPr>
            <w:tcW w:w="1113" w:type="pct"/>
            <w:gridSpan w:val="2"/>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szCs w:val="21"/>
              </w:rPr>
            </w:pPr>
          </w:p>
        </w:tc>
        <w:tc>
          <w:tcPr>
            <w:tcW w:w="838" w:type="pct"/>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szCs w:val="21"/>
              </w:rPr>
            </w:pPr>
          </w:p>
        </w:tc>
        <w:tc>
          <w:tcPr>
            <w:tcW w:w="830" w:type="pct"/>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szCs w:val="21"/>
              </w:rPr>
            </w:pPr>
          </w:p>
        </w:tc>
      </w:tr>
      <w:tr>
        <w:tblPrEx>
          <w:tblW w:w="4998" w:type="pct"/>
          <w:jc w:val="center"/>
          <w:tblCellMar>
            <w:top w:w="0" w:type="dxa"/>
            <w:left w:w="108" w:type="dxa"/>
            <w:bottom w:w="0" w:type="dxa"/>
            <w:right w:w="108" w:type="dxa"/>
          </w:tblCellMar>
        </w:tblPrEx>
        <w:trPr>
          <w:jc w:val="center"/>
        </w:trPr>
        <w:tc>
          <w:tcPr>
            <w:tcW w:w="411" w:type="pct"/>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szCs w:val="21"/>
              </w:rPr>
            </w:pPr>
            <w:r>
              <w:rPr>
                <w:rFonts w:ascii="宋体" w:hAnsi="宋体" w:cs="宋体" w:hint="eastAsia"/>
                <w:szCs w:val="21"/>
              </w:rPr>
              <w:t>2</w:t>
            </w:r>
          </w:p>
        </w:tc>
        <w:tc>
          <w:tcPr>
            <w:tcW w:w="1275" w:type="pct"/>
            <w:gridSpan w:val="2"/>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szCs w:val="21"/>
              </w:rPr>
            </w:pPr>
            <w:r>
              <w:rPr>
                <w:rFonts w:ascii="宋体" w:hAnsi="宋体" w:cs="宋体" w:hint="eastAsia"/>
                <w:szCs w:val="21"/>
              </w:rPr>
              <w:t>项目投标授权代表人</w:t>
            </w:r>
          </w:p>
        </w:tc>
        <w:tc>
          <w:tcPr>
            <w:tcW w:w="529" w:type="pct"/>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szCs w:val="21"/>
              </w:rPr>
            </w:pPr>
          </w:p>
        </w:tc>
        <w:tc>
          <w:tcPr>
            <w:tcW w:w="1113" w:type="pct"/>
            <w:gridSpan w:val="2"/>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szCs w:val="21"/>
              </w:rPr>
            </w:pPr>
          </w:p>
        </w:tc>
        <w:tc>
          <w:tcPr>
            <w:tcW w:w="838" w:type="pct"/>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szCs w:val="21"/>
              </w:rPr>
            </w:pPr>
          </w:p>
        </w:tc>
        <w:tc>
          <w:tcPr>
            <w:tcW w:w="830" w:type="pct"/>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szCs w:val="21"/>
              </w:rPr>
            </w:pPr>
          </w:p>
        </w:tc>
      </w:tr>
      <w:tr>
        <w:tblPrEx>
          <w:tblW w:w="4998" w:type="pct"/>
          <w:jc w:val="center"/>
          <w:tblCellMar>
            <w:top w:w="0" w:type="dxa"/>
            <w:left w:w="108" w:type="dxa"/>
            <w:bottom w:w="0" w:type="dxa"/>
            <w:right w:w="108" w:type="dxa"/>
          </w:tblCellMar>
        </w:tblPrEx>
        <w:trPr>
          <w:jc w:val="center"/>
        </w:trPr>
        <w:tc>
          <w:tcPr>
            <w:tcW w:w="411" w:type="pct"/>
            <w:tcBorders>
              <w:top w:val="single" w:sz="4" w:space="0" w:color="auto"/>
            </w:tcBorders>
            <w:vAlign w:val="center"/>
          </w:tcPr>
          <w:p>
            <w:pPr>
              <w:jc w:val="center"/>
              <w:rPr>
                <w:rFonts w:ascii="宋体" w:hAnsi="宋体" w:cs="宋体" w:hint="eastAsia"/>
                <w:szCs w:val="21"/>
              </w:rPr>
            </w:pPr>
            <w:r>
              <w:rPr>
                <w:rFonts w:ascii="宋体" w:hAnsi="宋体" w:cs="宋体" w:hint="eastAsia"/>
                <w:szCs w:val="21"/>
              </w:rPr>
              <w:t>3</w:t>
            </w:r>
          </w:p>
        </w:tc>
        <w:tc>
          <w:tcPr>
            <w:tcW w:w="1275" w:type="pct"/>
            <w:gridSpan w:val="2"/>
            <w:tcBorders>
              <w:top w:val="single" w:sz="4" w:space="0" w:color="auto"/>
            </w:tcBorders>
            <w:vAlign w:val="center"/>
          </w:tcPr>
          <w:p>
            <w:pPr>
              <w:jc w:val="center"/>
              <w:rPr>
                <w:rFonts w:ascii="宋体" w:hAnsi="宋体" w:cs="宋体" w:hint="eastAsia"/>
                <w:szCs w:val="21"/>
              </w:rPr>
            </w:pPr>
            <w:r>
              <w:rPr>
                <w:rFonts w:ascii="宋体" w:hAnsi="宋体" w:cs="宋体" w:hint="eastAsia"/>
                <w:szCs w:val="21"/>
              </w:rPr>
              <w:t>项目负责人</w:t>
            </w:r>
          </w:p>
        </w:tc>
        <w:tc>
          <w:tcPr>
            <w:tcW w:w="529" w:type="pct"/>
            <w:tcBorders>
              <w:top w:val="single" w:sz="4" w:space="0" w:color="auto"/>
            </w:tcBorders>
            <w:vAlign w:val="center"/>
          </w:tcPr>
          <w:p>
            <w:pPr>
              <w:jc w:val="center"/>
              <w:rPr>
                <w:rFonts w:ascii="宋体" w:hAnsi="宋体" w:cs="宋体" w:hint="eastAsia"/>
                <w:szCs w:val="21"/>
              </w:rPr>
            </w:pPr>
          </w:p>
        </w:tc>
        <w:tc>
          <w:tcPr>
            <w:tcW w:w="1113" w:type="pct"/>
            <w:gridSpan w:val="2"/>
            <w:tcBorders>
              <w:top w:val="single" w:sz="4" w:space="0" w:color="auto"/>
            </w:tcBorders>
            <w:vAlign w:val="center"/>
          </w:tcPr>
          <w:p>
            <w:pPr>
              <w:jc w:val="center"/>
              <w:rPr>
                <w:rFonts w:ascii="宋体" w:hAnsi="宋体" w:cs="宋体" w:hint="eastAsia"/>
                <w:szCs w:val="21"/>
              </w:rPr>
            </w:pPr>
          </w:p>
        </w:tc>
        <w:tc>
          <w:tcPr>
            <w:tcW w:w="838" w:type="pct"/>
            <w:tcBorders>
              <w:top w:val="single" w:sz="4" w:space="0" w:color="auto"/>
            </w:tcBorders>
            <w:vAlign w:val="center"/>
          </w:tcPr>
          <w:p>
            <w:pPr>
              <w:jc w:val="center"/>
              <w:rPr>
                <w:rFonts w:ascii="宋体" w:hAnsi="宋体" w:cs="宋体" w:hint="eastAsia"/>
                <w:szCs w:val="21"/>
              </w:rPr>
            </w:pPr>
          </w:p>
        </w:tc>
        <w:tc>
          <w:tcPr>
            <w:tcW w:w="830" w:type="pct"/>
            <w:tcBorders>
              <w:top w:val="single" w:sz="4" w:space="0" w:color="auto"/>
            </w:tcBorders>
            <w:vAlign w:val="center"/>
          </w:tcPr>
          <w:p>
            <w:pPr>
              <w:jc w:val="center"/>
              <w:rPr>
                <w:rFonts w:ascii="宋体" w:hAnsi="宋体" w:cs="宋体" w:hint="eastAsia"/>
                <w:szCs w:val="21"/>
              </w:rPr>
            </w:pPr>
          </w:p>
        </w:tc>
      </w:tr>
      <w:tr>
        <w:tblPrEx>
          <w:tblW w:w="4998" w:type="pct"/>
          <w:jc w:val="center"/>
          <w:tblCellMar>
            <w:top w:w="0" w:type="dxa"/>
            <w:left w:w="108" w:type="dxa"/>
            <w:bottom w:w="0" w:type="dxa"/>
            <w:right w:w="108" w:type="dxa"/>
          </w:tblCellMar>
        </w:tblPrEx>
        <w:trPr>
          <w:jc w:val="center"/>
        </w:trPr>
        <w:tc>
          <w:tcPr>
            <w:tcW w:w="411" w:type="pct"/>
            <w:vAlign w:val="center"/>
          </w:tcPr>
          <w:p>
            <w:pPr>
              <w:jc w:val="center"/>
              <w:rPr>
                <w:rFonts w:ascii="宋体" w:hAnsi="宋体" w:cs="宋体" w:hint="eastAsia"/>
                <w:szCs w:val="21"/>
              </w:rPr>
            </w:pPr>
            <w:r>
              <w:rPr>
                <w:rFonts w:ascii="宋体" w:hAnsi="宋体" w:cs="宋体" w:hint="eastAsia"/>
                <w:szCs w:val="21"/>
              </w:rPr>
              <w:t>4</w:t>
            </w:r>
          </w:p>
        </w:tc>
        <w:tc>
          <w:tcPr>
            <w:tcW w:w="1275" w:type="pct"/>
            <w:gridSpan w:val="2"/>
            <w:vAlign w:val="center"/>
          </w:tcPr>
          <w:p>
            <w:pPr>
              <w:jc w:val="center"/>
              <w:rPr>
                <w:rFonts w:ascii="宋体" w:hAnsi="宋体" w:cs="宋体" w:hint="eastAsia"/>
                <w:szCs w:val="21"/>
              </w:rPr>
            </w:pPr>
            <w:r>
              <w:rPr>
                <w:rFonts w:ascii="宋体" w:hAnsi="宋体" w:cs="宋体" w:hint="eastAsia"/>
                <w:szCs w:val="21"/>
              </w:rPr>
              <w:t>主要技术人员</w:t>
            </w:r>
          </w:p>
        </w:tc>
        <w:tc>
          <w:tcPr>
            <w:tcW w:w="529" w:type="pct"/>
            <w:vAlign w:val="center"/>
          </w:tcPr>
          <w:p>
            <w:pPr>
              <w:jc w:val="center"/>
              <w:rPr>
                <w:rFonts w:ascii="宋体" w:hAnsi="宋体" w:cs="宋体" w:hint="eastAsia"/>
                <w:szCs w:val="21"/>
              </w:rPr>
            </w:pPr>
          </w:p>
        </w:tc>
        <w:tc>
          <w:tcPr>
            <w:tcW w:w="1113" w:type="pct"/>
            <w:gridSpan w:val="2"/>
            <w:vAlign w:val="center"/>
          </w:tcPr>
          <w:p>
            <w:pPr>
              <w:jc w:val="center"/>
              <w:rPr>
                <w:rFonts w:ascii="宋体" w:hAnsi="宋体" w:cs="宋体" w:hint="eastAsia"/>
                <w:szCs w:val="21"/>
              </w:rPr>
            </w:pPr>
          </w:p>
        </w:tc>
        <w:tc>
          <w:tcPr>
            <w:tcW w:w="838" w:type="pct"/>
            <w:vAlign w:val="center"/>
          </w:tcPr>
          <w:p>
            <w:pPr>
              <w:jc w:val="center"/>
              <w:rPr>
                <w:rFonts w:ascii="宋体" w:hAnsi="宋体" w:cs="宋体" w:hint="eastAsia"/>
                <w:szCs w:val="21"/>
              </w:rPr>
            </w:pPr>
          </w:p>
        </w:tc>
        <w:tc>
          <w:tcPr>
            <w:tcW w:w="830" w:type="pct"/>
            <w:vAlign w:val="center"/>
          </w:tcPr>
          <w:p>
            <w:pPr>
              <w:jc w:val="center"/>
              <w:rPr>
                <w:rFonts w:ascii="宋体" w:hAnsi="宋体" w:cs="宋体" w:hint="eastAsia"/>
                <w:szCs w:val="21"/>
              </w:rPr>
            </w:pPr>
          </w:p>
        </w:tc>
      </w:tr>
      <w:tr>
        <w:tblPrEx>
          <w:tblW w:w="4998" w:type="pct"/>
          <w:jc w:val="center"/>
          <w:tblCellMar>
            <w:top w:w="0" w:type="dxa"/>
            <w:left w:w="108" w:type="dxa"/>
            <w:bottom w:w="0" w:type="dxa"/>
            <w:right w:w="108" w:type="dxa"/>
          </w:tblCellMar>
        </w:tblPrEx>
        <w:trPr>
          <w:jc w:val="center"/>
        </w:trPr>
        <w:tc>
          <w:tcPr>
            <w:tcW w:w="411" w:type="pct"/>
            <w:vAlign w:val="center"/>
          </w:tcPr>
          <w:p>
            <w:pPr>
              <w:jc w:val="center"/>
              <w:rPr>
                <w:rFonts w:ascii="宋体" w:hAnsi="宋体" w:cs="宋体" w:hint="eastAsia"/>
                <w:szCs w:val="21"/>
              </w:rPr>
            </w:pPr>
            <w:r>
              <w:rPr>
                <w:rFonts w:ascii="宋体" w:hAnsi="宋体" w:cs="宋体" w:hint="eastAsia"/>
                <w:szCs w:val="21"/>
              </w:rPr>
              <w:t>5</w:t>
            </w:r>
          </w:p>
        </w:tc>
        <w:tc>
          <w:tcPr>
            <w:tcW w:w="1275" w:type="pct"/>
            <w:gridSpan w:val="2"/>
            <w:vAlign w:val="center"/>
          </w:tcPr>
          <w:p>
            <w:pPr>
              <w:snapToGrid w:val="0"/>
              <w:jc w:val="center"/>
              <w:rPr>
                <w:rFonts w:ascii="宋体" w:hAnsi="宋体" w:cs="宋体" w:hint="eastAsia"/>
                <w:szCs w:val="21"/>
              </w:rPr>
            </w:pPr>
            <w:r>
              <w:rPr>
                <w:rFonts w:ascii="宋体" w:hAnsi="宋体" w:cs="宋体" w:hint="eastAsia"/>
                <w:szCs w:val="21"/>
              </w:rPr>
              <w:t>投标文件编制人员</w:t>
            </w:r>
          </w:p>
        </w:tc>
        <w:tc>
          <w:tcPr>
            <w:tcW w:w="529" w:type="pct"/>
            <w:vAlign w:val="center"/>
          </w:tcPr>
          <w:p>
            <w:pPr>
              <w:jc w:val="center"/>
              <w:rPr>
                <w:rFonts w:ascii="宋体" w:hAnsi="宋体" w:cs="宋体" w:hint="eastAsia"/>
                <w:szCs w:val="21"/>
              </w:rPr>
            </w:pPr>
          </w:p>
        </w:tc>
        <w:tc>
          <w:tcPr>
            <w:tcW w:w="1113" w:type="pct"/>
            <w:gridSpan w:val="2"/>
            <w:vAlign w:val="center"/>
          </w:tcPr>
          <w:p>
            <w:pPr>
              <w:jc w:val="center"/>
              <w:rPr>
                <w:rFonts w:ascii="宋体" w:hAnsi="宋体" w:cs="宋体" w:hint="eastAsia"/>
                <w:szCs w:val="21"/>
              </w:rPr>
            </w:pPr>
          </w:p>
        </w:tc>
        <w:tc>
          <w:tcPr>
            <w:tcW w:w="838" w:type="pct"/>
            <w:vAlign w:val="center"/>
          </w:tcPr>
          <w:p>
            <w:pPr>
              <w:jc w:val="center"/>
              <w:rPr>
                <w:rFonts w:ascii="宋体" w:hAnsi="宋体" w:cs="宋体" w:hint="eastAsia"/>
                <w:szCs w:val="21"/>
              </w:rPr>
            </w:pPr>
          </w:p>
        </w:tc>
        <w:tc>
          <w:tcPr>
            <w:tcW w:w="830" w:type="pct"/>
            <w:vAlign w:val="center"/>
          </w:tcPr>
          <w:p>
            <w:pPr>
              <w:jc w:val="center"/>
              <w:rPr>
                <w:rFonts w:ascii="宋体" w:hAnsi="宋体" w:cs="宋体" w:hint="eastAsia"/>
                <w:szCs w:val="21"/>
              </w:rPr>
            </w:pPr>
          </w:p>
        </w:tc>
      </w:tr>
      <w:tr>
        <w:tblPrEx>
          <w:tblW w:w="4998" w:type="pct"/>
          <w:jc w:val="center"/>
          <w:tblCellMar>
            <w:top w:w="0" w:type="dxa"/>
            <w:left w:w="108" w:type="dxa"/>
            <w:bottom w:w="0" w:type="dxa"/>
            <w:right w:w="108" w:type="dxa"/>
          </w:tblCellMar>
        </w:tblPrEx>
        <w:trPr>
          <w:jc w:val="center"/>
        </w:trPr>
        <w:tc>
          <w:tcPr>
            <w:tcW w:w="5000" w:type="pct"/>
            <w:gridSpan w:val="8"/>
            <w:vAlign w:val="center"/>
          </w:tcPr>
          <w:p>
            <w:pPr>
              <w:rPr>
                <w:rFonts w:ascii="宋体" w:hAnsi="宋体" w:cs="宋体" w:hint="eastAsia"/>
                <w:szCs w:val="21"/>
              </w:rPr>
            </w:pPr>
            <w:r>
              <w:rPr>
                <w:rFonts w:ascii="宋体" w:hAnsi="宋体" w:cs="宋体" w:hint="eastAsia"/>
                <w:b/>
                <w:bCs/>
                <w:szCs w:val="21"/>
              </w:rPr>
              <w:t>说明：同一职务有多人担任（如主要技术人员），应分行填写。</w:t>
            </w:r>
          </w:p>
        </w:tc>
      </w:tr>
      <w:tr>
        <w:tblPrEx>
          <w:tblW w:w="4998" w:type="pct"/>
          <w:jc w:val="center"/>
          <w:tblCellMar>
            <w:top w:w="0" w:type="dxa"/>
            <w:left w:w="108" w:type="dxa"/>
            <w:bottom w:w="0" w:type="dxa"/>
            <w:right w:w="108" w:type="dxa"/>
          </w:tblCellMar>
        </w:tblPrEx>
        <w:trPr>
          <w:trHeight w:val="539"/>
          <w:jc w:val="center"/>
        </w:trPr>
        <w:tc>
          <w:tcPr>
            <w:tcW w:w="5000" w:type="pct"/>
            <w:gridSpan w:val="8"/>
            <w:vAlign w:val="center"/>
          </w:tcPr>
          <w:p>
            <w:pPr>
              <w:jc w:val="center"/>
              <w:rPr>
                <w:rFonts w:ascii="宋体" w:hAnsi="宋体" w:cs="宋体" w:hint="eastAsia"/>
                <w:b/>
                <w:bCs/>
                <w:szCs w:val="21"/>
              </w:rPr>
            </w:pPr>
            <w:r>
              <w:rPr>
                <w:rFonts w:ascii="宋体" w:hAnsi="宋体" w:cs="宋体" w:hint="eastAsia"/>
                <w:b/>
                <w:bCs/>
                <w:szCs w:val="21"/>
              </w:rPr>
              <w:t>投标（响应）供应商关联关系情况</w:t>
            </w:r>
          </w:p>
        </w:tc>
      </w:tr>
      <w:tr>
        <w:tblPrEx>
          <w:tblW w:w="4998" w:type="pct"/>
          <w:jc w:val="center"/>
          <w:tblCellMar>
            <w:top w:w="0" w:type="dxa"/>
            <w:left w:w="108" w:type="dxa"/>
            <w:bottom w:w="0" w:type="dxa"/>
            <w:right w:w="108" w:type="dxa"/>
          </w:tblCellMar>
        </w:tblPrEx>
        <w:trPr>
          <w:jc w:val="center"/>
        </w:trPr>
        <w:tc>
          <w:tcPr>
            <w:tcW w:w="411" w:type="pct"/>
            <w:tcBorders>
              <w:bottom w:val="single" w:sz="4" w:space="0" w:color="auto"/>
            </w:tcBorders>
            <w:vAlign w:val="center"/>
          </w:tcPr>
          <w:p>
            <w:pPr>
              <w:jc w:val="center"/>
              <w:rPr>
                <w:rFonts w:ascii="宋体" w:hAnsi="宋体" w:cs="宋体" w:hint="eastAsia"/>
                <w:szCs w:val="21"/>
              </w:rPr>
            </w:pPr>
            <w:r>
              <w:rPr>
                <w:rFonts w:ascii="宋体" w:hAnsi="宋体" w:cs="宋体" w:hint="eastAsia"/>
                <w:szCs w:val="21"/>
              </w:rPr>
              <w:t>序号</w:t>
            </w:r>
          </w:p>
        </w:tc>
        <w:tc>
          <w:tcPr>
            <w:tcW w:w="1275" w:type="pct"/>
            <w:gridSpan w:val="2"/>
            <w:tcBorders>
              <w:bottom w:val="single" w:sz="4" w:space="0" w:color="auto"/>
            </w:tcBorders>
            <w:vAlign w:val="center"/>
          </w:tcPr>
          <w:p>
            <w:pPr>
              <w:jc w:val="center"/>
              <w:rPr>
                <w:rFonts w:ascii="宋体" w:hAnsi="宋体" w:cs="宋体" w:hint="eastAsia"/>
                <w:szCs w:val="21"/>
              </w:rPr>
            </w:pPr>
            <w:r>
              <w:rPr>
                <w:rFonts w:ascii="宋体" w:hAnsi="宋体" w:cs="宋体" w:hint="eastAsia"/>
                <w:szCs w:val="21"/>
              </w:rPr>
              <w:t>关联关系类型</w:t>
            </w:r>
          </w:p>
        </w:tc>
        <w:tc>
          <w:tcPr>
            <w:tcW w:w="971" w:type="pct"/>
            <w:gridSpan w:val="2"/>
            <w:tcBorders>
              <w:bottom w:val="single" w:sz="4" w:space="0" w:color="auto"/>
            </w:tcBorders>
            <w:vAlign w:val="center"/>
          </w:tcPr>
          <w:p>
            <w:pPr>
              <w:jc w:val="center"/>
              <w:rPr>
                <w:rFonts w:ascii="宋体" w:hAnsi="宋体" w:cs="宋体" w:hint="eastAsia"/>
                <w:szCs w:val="21"/>
              </w:rPr>
            </w:pPr>
            <w:r>
              <w:rPr>
                <w:rFonts w:ascii="宋体" w:hAnsi="宋体" w:cs="宋体" w:hint="eastAsia"/>
                <w:szCs w:val="21"/>
              </w:rPr>
              <w:t>关联主体名称</w:t>
            </w:r>
          </w:p>
        </w:tc>
        <w:tc>
          <w:tcPr>
            <w:tcW w:w="2340" w:type="pct"/>
            <w:gridSpan w:val="3"/>
            <w:tcBorders>
              <w:bottom w:val="single" w:sz="4" w:space="0" w:color="auto"/>
            </w:tcBorders>
            <w:vAlign w:val="center"/>
          </w:tcPr>
          <w:p>
            <w:pPr>
              <w:jc w:val="center"/>
              <w:rPr>
                <w:rFonts w:ascii="宋体" w:hAnsi="宋体" w:cs="宋体" w:hint="eastAsia"/>
                <w:szCs w:val="21"/>
              </w:rPr>
            </w:pPr>
            <w:r>
              <w:rPr>
                <w:rFonts w:ascii="宋体" w:hAnsi="宋体" w:cs="宋体" w:hint="eastAsia"/>
                <w:szCs w:val="21"/>
              </w:rPr>
              <w:t>备注</w:t>
            </w:r>
          </w:p>
        </w:tc>
      </w:tr>
      <w:tr>
        <w:tblPrEx>
          <w:tblW w:w="4998" w:type="pct"/>
          <w:jc w:val="center"/>
          <w:tblCellMar>
            <w:top w:w="0" w:type="dxa"/>
            <w:left w:w="108" w:type="dxa"/>
            <w:bottom w:w="0" w:type="dxa"/>
            <w:right w:w="108" w:type="dxa"/>
          </w:tblCellMar>
        </w:tblPrEx>
        <w:trPr>
          <w:jc w:val="center"/>
        </w:trPr>
        <w:tc>
          <w:tcPr>
            <w:tcW w:w="411" w:type="pct"/>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szCs w:val="21"/>
              </w:rPr>
            </w:pPr>
            <w:r>
              <w:rPr>
                <w:rFonts w:ascii="宋体" w:hAnsi="宋体" w:cs="宋体" w:hint="eastAsia"/>
                <w:szCs w:val="21"/>
              </w:rPr>
              <w:t>1</w:t>
            </w:r>
          </w:p>
        </w:tc>
        <w:tc>
          <w:tcPr>
            <w:tcW w:w="1275" w:type="pct"/>
            <w:gridSpan w:val="2"/>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szCs w:val="21"/>
              </w:rPr>
            </w:pPr>
            <w:r>
              <w:rPr>
                <w:rFonts w:ascii="宋体" w:hAnsi="宋体" w:cs="宋体" w:hint="eastAsia"/>
                <w:szCs w:val="21"/>
              </w:rPr>
              <w:t>控股股东</w:t>
            </w:r>
          </w:p>
        </w:tc>
        <w:tc>
          <w:tcPr>
            <w:tcW w:w="971" w:type="pct"/>
            <w:gridSpan w:val="2"/>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szCs w:val="21"/>
              </w:rPr>
            </w:pPr>
          </w:p>
        </w:tc>
        <w:tc>
          <w:tcPr>
            <w:tcW w:w="2340" w:type="pct"/>
            <w:gridSpan w:val="3"/>
            <w:tcBorders>
              <w:top w:val="single" w:sz="4" w:space="0" w:color="auto"/>
              <w:left w:val="single" w:sz="4" w:space="0" w:color="auto"/>
              <w:bottom w:val="single" w:sz="4" w:space="0" w:color="auto"/>
              <w:right w:val="single" w:sz="4" w:space="0" w:color="auto"/>
            </w:tcBorders>
            <w:vAlign w:val="center"/>
          </w:tcPr>
          <w:p>
            <w:pPr>
              <w:snapToGrid w:val="0"/>
              <w:rPr>
                <w:rFonts w:ascii="宋体" w:hAnsi="宋体" w:cs="宋体" w:hint="eastAsia"/>
                <w:szCs w:val="21"/>
              </w:rPr>
            </w:pPr>
            <w:r>
              <w:rPr>
                <w:rFonts w:ascii="宋体" w:hAnsi="宋体" w:cs="宋体" w:hint="eastAsia"/>
                <w:szCs w:val="21"/>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tblPrEx>
          <w:tblW w:w="4998" w:type="pct"/>
          <w:jc w:val="center"/>
          <w:tblCellMar>
            <w:top w:w="0" w:type="dxa"/>
            <w:left w:w="108" w:type="dxa"/>
            <w:bottom w:w="0" w:type="dxa"/>
            <w:right w:w="108" w:type="dxa"/>
          </w:tblCellMar>
        </w:tblPrEx>
        <w:trPr>
          <w:trHeight w:val="789"/>
          <w:jc w:val="center"/>
        </w:trPr>
        <w:tc>
          <w:tcPr>
            <w:tcW w:w="411" w:type="pct"/>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szCs w:val="21"/>
              </w:rPr>
            </w:pPr>
            <w:r>
              <w:rPr>
                <w:rFonts w:ascii="宋体" w:hAnsi="宋体" w:cs="宋体" w:hint="eastAsia"/>
                <w:szCs w:val="21"/>
              </w:rPr>
              <w:t>2</w:t>
            </w:r>
          </w:p>
        </w:tc>
        <w:tc>
          <w:tcPr>
            <w:tcW w:w="1275" w:type="pct"/>
            <w:gridSpan w:val="2"/>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szCs w:val="21"/>
              </w:rPr>
            </w:pPr>
            <w:r>
              <w:rPr>
                <w:rFonts w:ascii="宋体" w:hAnsi="宋体" w:cs="宋体" w:hint="eastAsia"/>
                <w:szCs w:val="21"/>
              </w:rPr>
              <w:t>管理关系</w:t>
            </w:r>
          </w:p>
        </w:tc>
        <w:tc>
          <w:tcPr>
            <w:tcW w:w="971" w:type="pct"/>
            <w:gridSpan w:val="2"/>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szCs w:val="21"/>
              </w:rPr>
            </w:pPr>
          </w:p>
        </w:tc>
        <w:tc>
          <w:tcPr>
            <w:tcW w:w="2340" w:type="pct"/>
            <w:gridSpan w:val="3"/>
            <w:tcBorders>
              <w:top w:val="single" w:sz="4" w:space="0" w:color="auto"/>
              <w:left w:val="single" w:sz="4" w:space="0" w:color="auto"/>
              <w:bottom w:val="single" w:sz="4" w:space="0" w:color="auto"/>
              <w:right w:val="single" w:sz="4" w:space="0" w:color="auto"/>
            </w:tcBorders>
            <w:vAlign w:val="center"/>
          </w:tcPr>
          <w:p>
            <w:pPr>
              <w:snapToGrid w:val="0"/>
              <w:rPr>
                <w:rFonts w:ascii="宋体" w:hAnsi="宋体" w:cs="宋体" w:hint="eastAsia"/>
                <w:szCs w:val="21"/>
              </w:rPr>
            </w:pPr>
            <w:r>
              <w:rPr>
                <w:rFonts w:ascii="宋体" w:hAnsi="宋体" w:cs="宋体" w:hint="eastAsia"/>
                <w:szCs w:val="21"/>
              </w:rPr>
              <w:t>指对投标（响应）供应商不具有出资持股关系，但对其存在管理关系的主体。</w:t>
            </w:r>
          </w:p>
        </w:tc>
      </w:tr>
      <w:tr>
        <w:tblPrEx>
          <w:tblW w:w="4998" w:type="pct"/>
          <w:jc w:val="center"/>
          <w:tblCellMar>
            <w:top w:w="0" w:type="dxa"/>
            <w:left w:w="108" w:type="dxa"/>
            <w:bottom w:w="0" w:type="dxa"/>
            <w:right w:w="108" w:type="dxa"/>
          </w:tblCellMar>
        </w:tblPrEx>
        <w:trPr>
          <w:trHeight w:val="455"/>
          <w:jc w:val="center"/>
        </w:trPr>
        <w:tc>
          <w:tcPr>
            <w:tcW w:w="5000" w:type="pct"/>
            <w:gridSpan w:val="8"/>
            <w:tcBorders>
              <w:top w:val="single" w:sz="4" w:space="0" w:color="auto"/>
              <w:left w:val="single" w:sz="4" w:space="0" w:color="auto"/>
              <w:bottom w:val="single" w:sz="4" w:space="0" w:color="auto"/>
              <w:right w:val="single" w:sz="4" w:space="0" w:color="auto"/>
            </w:tcBorders>
            <w:vAlign w:val="center"/>
          </w:tcPr>
          <w:p>
            <w:pPr>
              <w:snapToGrid w:val="0"/>
              <w:rPr>
                <w:rFonts w:ascii="宋体" w:hAnsi="宋体" w:cs="宋体" w:hint="eastAsia"/>
                <w:szCs w:val="21"/>
              </w:rPr>
            </w:pPr>
            <w:r>
              <w:rPr>
                <w:rFonts w:ascii="宋体" w:hAnsi="宋体" w:cs="宋体" w:hint="eastAsia"/>
                <w:b/>
                <w:bCs/>
                <w:szCs w:val="21"/>
              </w:rPr>
              <w:t>说明：同一关联关系类型有多个主体的，应分行填写。</w:t>
            </w:r>
          </w:p>
        </w:tc>
      </w:tr>
    </w:tbl>
    <w:p>
      <w:pPr>
        <w:pStyle w:val="NoSpacing"/>
        <w:rPr>
          <w:rFonts w:ascii="宋体" w:hAnsi="宋体" w:hint="eastAsia"/>
          <w:b/>
          <w:color w:val="FF0000"/>
          <w:sz w:val="28"/>
          <w:szCs w:val="28"/>
        </w:rPr>
      </w:pPr>
    </w:p>
    <w:p>
      <w:pPr>
        <w:pStyle w:val="Heading3"/>
        <w:jc w:val="center"/>
        <w:rPr>
          <w:rFonts w:ascii="黑体" w:eastAsia="黑体" w:hint="eastAsia"/>
          <w:b w:val="0"/>
          <w:sz w:val="24"/>
        </w:rPr>
      </w:pPr>
      <w:r>
        <w:rPr>
          <w:rFonts w:ascii="黑体" w:eastAsia="黑体" w:hint="eastAsia"/>
          <w:b w:val="0"/>
          <w:sz w:val="24"/>
        </w:rPr>
        <w:t>二、</w:t>
      </w:r>
      <w:bookmarkStart w:id="51" w:name="_Hlk72092499"/>
      <w:r>
        <w:rPr>
          <w:rFonts w:ascii="黑体" w:eastAsia="黑体" w:hint="eastAsia"/>
          <w:b w:val="0"/>
          <w:sz w:val="24"/>
        </w:rPr>
        <w:t>法定代表人（负责人）证明书</w:t>
      </w:r>
      <w:bookmarkEnd w:id="51"/>
    </w:p>
    <w:p>
      <w:pPr>
        <w:rPr>
          <w:sz w:val="24"/>
        </w:rPr>
      </w:pPr>
    </w:p>
    <w:p>
      <w:pPr>
        <w:spacing w:line="360" w:lineRule="auto"/>
        <w:ind w:firstLine="420" w:firstLineChars="200"/>
        <w:rPr>
          <w:szCs w:val="21"/>
        </w:rPr>
      </w:pPr>
      <w:r>
        <w:rPr>
          <w:rFonts w:hint="eastAsia"/>
          <w:szCs w:val="21"/>
          <w:u w:val="single"/>
        </w:rPr>
        <w:t xml:space="preserve">                 </w:t>
      </w:r>
      <w:r>
        <w:rPr>
          <w:rFonts w:hint="eastAsia"/>
          <w:szCs w:val="21"/>
        </w:rPr>
        <w:t>（姓名），现任我单位</w:t>
      </w:r>
      <w:r>
        <w:rPr>
          <w:rFonts w:hint="eastAsia"/>
          <w:szCs w:val="21"/>
          <w:u w:val="single"/>
        </w:rPr>
        <w:t xml:space="preserve">             </w:t>
      </w:r>
      <w:r>
        <w:rPr>
          <w:rFonts w:hint="eastAsia"/>
          <w:szCs w:val="21"/>
        </w:rPr>
        <w:t>职务，为法定代表人（负责人），身份证件号为：</w:t>
      </w:r>
      <w:r>
        <w:rPr>
          <w:rFonts w:hint="eastAsia"/>
          <w:szCs w:val="21"/>
          <w:u w:val="single"/>
        </w:rPr>
        <w:t xml:space="preserve">                                     </w:t>
      </w:r>
      <w:r>
        <w:rPr>
          <w:rFonts w:hint="eastAsia"/>
          <w:szCs w:val="21"/>
        </w:rPr>
        <w:t>，联系电话：</w:t>
      </w:r>
      <w:r>
        <w:rPr>
          <w:rFonts w:hint="eastAsia"/>
          <w:szCs w:val="21"/>
          <w:u w:val="single"/>
        </w:rPr>
        <w:t xml:space="preserve">                </w:t>
      </w:r>
      <w:r>
        <w:rPr>
          <w:rFonts w:hint="eastAsia"/>
          <w:szCs w:val="21"/>
        </w:rPr>
        <w:t>。</w:t>
      </w:r>
    </w:p>
    <w:p>
      <w:pPr>
        <w:spacing w:line="360" w:lineRule="auto"/>
        <w:ind w:firstLine="420" w:firstLineChars="200"/>
        <w:rPr>
          <w:szCs w:val="21"/>
        </w:rPr>
      </w:pPr>
      <w:r>
        <w:rPr>
          <w:rFonts w:hint="eastAsia"/>
          <w:szCs w:val="21"/>
        </w:rPr>
        <w:t>特此证明。</w:t>
      </w:r>
    </w:p>
    <w:p>
      <w:pPr>
        <w:spacing w:line="360" w:lineRule="auto"/>
        <w:ind w:firstLine="420" w:firstLineChars="200"/>
        <w:rPr>
          <w:szCs w:val="21"/>
        </w:rPr>
      </w:pPr>
      <w:r>
        <w:rPr>
          <w:rFonts w:hint="eastAsia"/>
          <w:szCs w:val="21"/>
        </w:rPr>
        <w:t>说明：1、法定代表人为投标人（企业事业单位、国家机关、社会团体）的主要行政负责人。</w:t>
      </w:r>
    </w:p>
    <w:p>
      <w:pPr>
        <w:numPr>
          <w:ilvl w:val="0"/>
          <w:numId w:val="55"/>
        </w:numPr>
        <w:spacing w:line="360" w:lineRule="auto"/>
        <w:ind w:firstLine="420" w:firstLineChars="200"/>
        <w:rPr>
          <w:szCs w:val="21"/>
        </w:rPr>
      </w:pPr>
      <w:r>
        <w:rPr>
          <w:rFonts w:hint="eastAsia"/>
          <w:szCs w:val="21"/>
        </w:rPr>
        <w:t>本证明书要供法定代表人（负责人）相关身份证明文件：身份证扫描件（正反两面）；港澳台居民可提供来往通行证扫描件；非中国国籍管辖范围人员，可提供公安部门认可的身份证明材料扫描件。</w:t>
      </w:r>
    </w:p>
    <w:p>
      <w:pPr>
        <w:numPr>
          <w:ilvl w:val="0"/>
          <w:numId w:val="55"/>
        </w:numPr>
        <w:spacing w:line="360" w:lineRule="auto"/>
        <w:ind w:firstLine="420" w:firstLineChars="200"/>
        <w:rPr>
          <w:szCs w:val="21"/>
        </w:rPr>
      </w:pPr>
      <w:r>
        <w:rPr>
          <w:rFonts w:hint="eastAsia"/>
          <w:szCs w:val="21"/>
        </w:rPr>
        <w:t>本项目投标授权代表为法定代表人（负责人）的，无需提供《投标文件签署授权委托书》。</w:t>
      </w:r>
    </w:p>
    <w:p>
      <w:pPr>
        <w:numPr>
          <w:ilvl w:val="0"/>
          <w:numId w:val="55"/>
        </w:numPr>
        <w:spacing w:line="360" w:lineRule="auto"/>
        <w:ind w:firstLine="420" w:firstLineChars="200"/>
        <w:rPr>
          <w:szCs w:val="21"/>
        </w:rPr>
      </w:pPr>
      <w:r>
        <w:rPr>
          <w:rFonts w:hint="eastAsia"/>
          <w:szCs w:val="21"/>
        </w:rPr>
        <w:t>内容必须填写真实、清楚，涂改无效，不得转让、买卖。</w:t>
      </w:r>
    </w:p>
    <w:tbl>
      <w:tblPr>
        <w:tblStyle w:val="TableGrid"/>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64"/>
        <w:gridCol w:w="4265"/>
      </w:tblGrid>
      <w:tr>
        <w:tblPrEx>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264" w:type="dxa"/>
          </w:tcPr>
          <w:p>
            <w:pPr>
              <w:jc w:val="center"/>
            </w:pPr>
            <w:r>
              <w:rPr>
                <w:rFonts w:hint="eastAsia"/>
              </w:rPr>
              <w:t>证件扫描件正面</w:t>
            </w:r>
          </w:p>
          <w:p>
            <w:pPr>
              <w:pStyle w:val="BodyText"/>
            </w:pPr>
          </w:p>
          <w:p>
            <w:pPr>
              <w:pStyle w:val="BodyText2"/>
            </w:pPr>
          </w:p>
          <w:p>
            <w:pPr>
              <w:pStyle w:val="BodyText2"/>
            </w:pPr>
          </w:p>
          <w:p>
            <w:pPr>
              <w:pStyle w:val="BodyText2"/>
            </w:pPr>
          </w:p>
        </w:tc>
        <w:tc>
          <w:tcPr>
            <w:tcW w:w="4265" w:type="dxa"/>
          </w:tcPr>
          <w:p>
            <w:pPr>
              <w:jc w:val="center"/>
            </w:pPr>
            <w:r>
              <w:rPr>
                <w:rFonts w:hint="eastAsia"/>
              </w:rPr>
              <w:t>证件扫描件反面</w:t>
            </w:r>
          </w:p>
          <w:p>
            <w:pPr>
              <w:pStyle w:val="BodyText"/>
              <w:jc w:val="center"/>
            </w:pPr>
          </w:p>
          <w:p>
            <w:pPr>
              <w:pStyle w:val="BodyText2"/>
              <w:jc w:val="center"/>
            </w:pPr>
          </w:p>
        </w:tc>
      </w:tr>
    </w:tbl>
    <w:p>
      <w:pPr>
        <w:pStyle w:val="NoSpacing"/>
        <w:rPr>
          <w:rFonts w:ascii="黑体" w:eastAsia="黑体" w:hAnsi="黑体" w:cs="黑体" w:hint="eastAsia"/>
          <w:b/>
          <w:bCs/>
          <w:sz w:val="24"/>
          <w:szCs w:val="24"/>
        </w:rPr>
      </w:pPr>
    </w:p>
    <w:p>
      <w:pPr>
        <w:pStyle w:val="NoSpacing"/>
        <w:rPr>
          <w:sz w:val="24"/>
        </w:rPr>
      </w:pPr>
      <w:r>
        <w:rPr>
          <w:rFonts w:ascii="黑体" w:eastAsia="黑体" w:hAnsi="黑体" w:cs="黑体" w:hint="eastAsia"/>
          <w:b/>
          <w:bCs/>
          <w:sz w:val="24"/>
          <w:szCs w:val="24"/>
        </w:rPr>
        <w:t>温馨提示</w:t>
      </w:r>
      <w:r>
        <w:rPr>
          <w:rFonts w:ascii="黑体" w:eastAsia="黑体" w:hAnsi="黑体" w:cs="黑体" w:hint="eastAsia"/>
          <w:sz w:val="24"/>
          <w:szCs w:val="24"/>
        </w:rPr>
        <w:t>：</w:t>
      </w:r>
      <w:r>
        <w:rPr>
          <w:rFonts w:ascii="Times New Roman" w:hAnsi="Times New Roman" w:hint="eastAsia"/>
          <w:szCs w:val="21"/>
        </w:rPr>
        <w:t>为避免出现《深圳经济特区政府采购条例实施细则》第七十五条第二项所列情形，请投标供应商核实贵单位法定代表人、本项目投标授权代表人、项目负责人（如有）、主要技术人员（如有）等是否在贵单位缴纳社会保险。</w:t>
      </w:r>
    </w:p>
    <w:p>
      <w:pPr>
        <w:rPr>
          <w:sz w:val="24"/>
        </w:rPr>
      </w:pPr>
    </w:p>
    <w:p>
      <w:pPr>
        <w:pStyle w:val="Heading3"/>
        <w:spacing w:before="120" w:after="120"/>
        <w:jc w:val="center"/>
        <w:rPr>
          <w:rFonts w:ascii="黑体" w:eastAsia="黑体" w:hint="eastAsia"/>
          <w:b w:val="0"/>
          <w:sz w:val="24"/>
        </w:rPr>
      </w:pPr>
      <w:r>
        <w:rPr>
          <w:rFonts w:ascii="黑体" w:eastAsia="黑体" w:hint="eastAsia"/>
          <w:b w:val="0"/>
          <w:sz w:val="24"/>
        </w:rPr>
        <w:t>三、投标文件签署授权委托书</w:t>
      </w:r>
    </w:p>
    <w:p>
      <w:pPr>
        <w:spacing w:line="360" w:lineRule="auto"/>
        <w:ind w:firstLine="420" w:firstLineChars="200"/>
        <w:rPr>
          <w:szCs w:val="21"/>
        </w:rPr>
      </w:pPr>
      <w:r>
        <w:rPr>
          <w:rFonts w:hint="eastAsia"/>
          <w:szCs w:val="21"/>
        </w:rPr>
        <w:t>本授权委托书声明：我</w:t>
      </w:r>
      <w:r>
        <w:rPr>
          <w:rFonts w:hint="eastAsia"/>
          <w:szCs w:val="21"/>
          <w:u w:val="single"/>
        </w:rPr>
        <w:t xml:space="preserve">           </w:t>
      </w:r>
      <w:r>
        <w:rPr>
          <w:rFonts w:hint="eastAsia"/>
          <w:szCs w:val="21"/>
        </w:rPr>
        <w:t>（姓名）系</w:t>
      </w:r>
      <w:r>
        <w:rPr>
          <w:rFonts w:hint="eastAsia"/>
          <w:szCs w:val="21"/>
          <w:u w:val="single"/>
        </w:rPr>
        <w:t xml:space="preserve">             </w:t>
      </w:r>
      <w:r>
        <w:rPr>
          <w:rFonts w:hint="eastAsia"/>
          <w:szCs w:val="21"/>
        </w:rPr>
        <w:t>（投标人名称）的法定代表人（负责人），现授权委托</w:t>
      </w:r>
      <w:r>
        <w:rPr>
          <w:rFonts w:hint="eastAsia"/>
          <w:szCs w:val="21"/>
          <w:u w:val="single"/>
        </w:rPr>
        <w:t xml:space="preserve">            </w:t>
      </w:r>
      <w:r>
        <w:rPr>
          <w:rFonts w:hint="eastAsia"/>
          <w:szCs w:val="21"/>
        </w:rPr>
        <w:t>（姓名）为我单位签署本项目已递交的投标文件的法定代表人（负责人）的授权委托代理人，代理人全权代表我所签署的本项目已递交的投标文件内容我均承认。</w:t>
      </w:r>
    </w:p>
    <w:p>
      <w:pPr>
        <w:spacing w:line="360" w:lineRule="auto"/>
        <w:ind w:firstLine="420" w:firstLineChars="200"/>
        <w:rPr>
          <w:szCs w:val="21"/>
        </w:rPr>
      </w:pPr>
      <w:r>
        <w:rPr>
          <w:rFonts w:hint="eastAsia"/>
          <w:szCs w:val="21"/>
        </w:rPr>
        <w:t>代理人无转委托权，特此委托。</w:t>
      </w:r>
    </w:p>
    <w:p>
      <w:pPr>
        <w:spacing w:line="360" w:lineRule="auto"/>
        <w:ind w:firstLine="420" w:firstLineChars="200"/>
        <w:rPr>
          <w:szCs w:val="21"/>
        </w:rPr>
      </w:pPr>
    </w:p>
    <w:p>
      <w:pPr>
        <w:spacing w:line="360" w:lineRule="auto"/>
        <w:ind w:firstLine="420" w:firstLineChars="200"/>
        <w:rPr>
          <w:szCs w:val="21"/>
        </w:rPr>
      </w:pPr>
      <w:r>
        <w:rPr>
          <w:rFonts w:hint="eastAsia"/>
          <w:szCs w:val="21"/>
        </w:rPr>
        <w:t>代理人：</w:t>
      </w:r>
      <w:r>
        <w:rPr>
          <w:rFonts w:hint="eastAsia"/>
          <w:szCs w:val="21"/>
          <w:u w:val="single"/>
        </w:rPr>
        <w:t xml:space="preserve">              </w:t>
      </w:r>
      <w:r>
        <w:rPr>
          <w:rFonts w:hint="eastAsia"/>
          <w:szCs w:val="21"/>
        </w:rPr>
        <w:t>；</w:t>
      </w:r>
    </w:p>
    <w:p>
      <w:pPr>
        <w:spacing w:line="360" w:lineRule="auto"/>
        <w:ind w:firstLine="420" w:firstLineChars="200"/>
        <w:rPr>
          <w:szCs w:val="21"/>
        </w:rPr>
      </w:pPr>
      <w:r>
        <w:rPr>
          <w:rFonts w:hint="eastAsia"/>
          <w:szCs w:val="21"/>
        </w:rPr>
        <w:t>身份证件号：</w:t>
      </w:r>
      <w:r>
        <w:rPr>
          <w:rFonts w:hint="eastAsia"/>
          <w:szCs w:val="21"/>
          <w:u w:val="single"/>
        </w:rPr>
        <w:t xml:space="preserve">                        </w:t>
      </w:r>
      <w:r>
        <w:rPr>
          <w:rFonts w:hint="eastAsia"/>
          <w:szCs w:val="21"/>
        </w:rPr>
        <w:t>，职务：</w:t>
      </w:r>
      <w:r>
        <w:rPr>
          <w:rFonts w:hint="eastAsia"/>
          <w:szCs w:val="21"/>
          <w:u w:val="single"/>
        </w:rPr>
        <w:t xml:space="preserve">                </w:t>
      </w:r>
      <w:r>
        <w:rPr>
          <w:rFonts w:hint="eastAsia"/>
          <w:szCs w:val="21"/>
        </w:rPr>
        <w:t>；</w:t>
      </w:r>
    </w:p>
    <w:p>
      <w:pPr>
        <w:spacing w:line="360" w:lineRule="auto"/>
        <w:ind w:firstLine="420" w:firstLineChars="200"/>
        <w:rPr>
          <w:szCs w:val="21"/>
        </w:rPr>
      </w:pPr>
      <w:r>
        <w:rPr>
          <w:rFonts w:hint="eastAsia"/>
          <w:szCs w:val="21"/>
        </w:rPr>
        <w:t>联系电话：</w:t>
      </w:r>
      <w:r>
        <w:rPr>
          <w:rFonts w:hint="eastAsia"/>
          <w:szCs w:val="21"/>
          <w:u w:val="single"/>
        </w:rPr>
        <w:t xml:space="preserve">         </w:t>
      </w:r>
      <w:r>
        <w:rPr>
          <w:rFonts w:hint="eastAsia"/>
          <w:szCs w:val="21"/>
        </w:rPr>
        <w:t>，手机：</w:t>
      </w:r>
      <w:r>
        <w:rPr>
          <w:rFonts w:hint="eastAsia"/>
          <w:szCs w:val="21"/>
          <w:u w:val="single"/>
        </w:rPr>
        <w:t xml:space="preserve">                </w:t>
      </w:r>
      <w:r>
        <w:rPr>
          <w:rFonts w:hint="eastAsia"/>
          <w:szCs w:val="21"/>
        </w:rPr>
        <w:t>，电子邮箱：</w:t>
      </w:r>
      <w:r>
        <w:rPr>
          <w:rFonts w:hint="eastAsia"/>
          <w:szCs w:val="21"/>
          <w:u w:val="single"/>
        </w:rPr>
        <w:t xml:space="preserve">                     </w:t>
      </w:r>
      <w:r>
        <w:rPr>
          <w:rFonts w:hint="eastAsia"/>
          <w:szCs w:val="21"/>
        </w:rPr>
        <w:t>；</w:t>
      </w:r>
    </w:p>
    <w:p>
      <w:pPr>
        <w:spacing w:line="360" w:lineRule="auto"/>
        <w:ind w:firstLine="420" w:firstLineChars="200"/>
        <w:rPr>
          <w:szCs w:val="21"/>
        </w:rPr>
      </w:pPr>
      <w:r>
        <w:rPr>
          <w:rFonts w:hint="eastAsia"/>
          <w:szCs w:val="21"/>
        </w:rPr>
        <w:t>授权委托日期：</w:t>
      </w: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 xml:space="preserve">月 </w:t>
      </w:r>
      <w:r>
        <w:rPr>
          <w:rFonts w:hint="eastAsia"/>
          <w:szCs w:val="21"/>
          <w:u w:val="single"/>
        </w:rPr>
        <w:t xml:space="preserve">      </w:t>
      </w:r>
      <w:r>
        <w:rPr>
          <w:rFonts w:hint="eastAsia"/>
          <w:szCs w:val="21"/>
        </w:rPr>
        <w:t>日。</w:t>
      </w:r>
    </w:p>
    <w:p>
      <w:pPr>
        <w:spacing w:line="360" w:lineRule="auto"/>
        <w:ind w:firstLine="420" w:firstLineChars="200"/>
        <w:rPr>
          <w:b/>
          <w:color w:val="FF0000"/>
          <w:szCs w:val="21"/>
        </w:rPr>
      </w:pPr>
      <w:r>
        <w:rPr>
          <w:rFonts w:hint="eastAsia"/>
          <w:b/>
          <w:color w:val="FF0000"/>
          <w:szCs w:val="21"/>
        </w:rPr>
        <w:t>附：请提供代理人身份证扫描件（正反两面）；港澳台居民可提供来往通行证扫描件；非中国国籍管辖范围人员，可提供公安部门认可的身份证明材料扫描件。</w:t>
      </w:r>
    </w:p>
    <w:tbl>
      <w:tblPr>
        <w:tblStyle w:val="TableGrid"/>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64"/>
        <w:gridCol w:w="4265"/>
      </w:tblGrid>
      <w:tr>
        <w:tblPrEx>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264" w:type="dxa"/>
          </w:tcPr>
          <w:p>
            <w:pPr>
              <w:jc w:val="center"/>
            </w:pPr>
            <w:r>
              <w:rPr>
                <w:rFonts w:hint="eastAsia"/>
              </w:rPr>
              <w:t>证件扫描件正面</w:t>
            </w:r>
          </w:p>
          <w:p>
            <w:pPr>
              <w:pStyle w:val="BodyText"/>
            </w:pPr>
          </w:p>
          <w:p>
            <w:pPr>
              <w:pStyle w:val="BodyText2"/>
            </w:pPr>
          </w:p>
          <w:p>
            <w:pPr>
              <w:pStyle w:val="BodyText2"/>
            </w:pPr>
          </w:p>
          <w:p>
            <w:pPr>
              <w:pStyle w:val="BodyText2"/>
            </w:pPr>
          </w:p>
        </w:tc>
        <w:tc>
          <w:tcPr>
            <w:tcW w:w="4265" w:type="dxa"/>
          </w:tcPr>
          <w:p>
            <w:pPr>
              <w:jc w:val="center"/>
            </w:pPr>
            <w:r>
              <w:rPr>
                <w:rFonts w:hint="eastAsia"/>
              </w:rPr>
              <w:t>证件扫描件反面</w:t>
            </w:r>
          </w:p>
          <w:p>
            <w:pPr>
              <w:pStyle w:val="BodyText"/>
              <w:jc w:val="center"/>
            </w:pPr>
          </w:p>
          <w:p>
            <w:pPr>
              <w:pStyle w:val="BodyText2"/>
              <w:jc w:val="center"/>
            </w:pPr>
          </w:p>
        </w:tc>
      </w:tr>
    </w:tbl>
    <w:p>
      <w:pPr>
        <w:pStyle w:val="NoSpacing"/>
        <w:rPr>
          <w:rFonts w:ascii="黑体" w:eastAsia="黑体" w:hAnsi="黑体" w:cs="黑体" w:hint="eastAsia"/>
          <w:b/>
          <w:bCs/>
          <w:sz w:val="24"/>
          <w:szCs w:val="24"/>
        </w:rPr>
      </w:pPr>
    </w:p>
    <w:p>
      <w:pPr>
        <w:pStyle w:val="NoSpacing"/>
        <w:rPr>
          <w:sz w:val="24"/>
        </w:rPr>
      </w:pPr>
      <w:r>
        <w:rPr>
          <w:rFonts w:ascii="黑体" w:eastAsia="黑体" w:hAnsi="黑体" w:cs="黑体" w:hint="eastAsia"/>
          <w:b/>
          <w:bCs/>
          <w:sz w:val="24"/>
          <w:szCs w:val="24"/>
        </w:rPr>
        <w:t>温馨提示</w:t>
      </w:r>
      <w:r>
        <w:rPr>
          <w:rFonts w:ascii="黑体" w:eastAsia="黑体" w:hAnsi="黑体" w:cs="黑体" w:hint="eastAsia"/>
          <w:sz w:val="24"/>
          <w:szCs w:val="24"/>
        </w:rPr>
        <w:t>：</w:t>
      </w:r>
      <w:r>
        <w:rPr>
          <w:rFonts w:ascii="Times New Roman" w:hAnsi="Times New Roman" w:hint="eastAsia"/>
          <w:szCs w:val="21"/>
        </w:rPr>
        <w:t>为避免出现《深圳经济特区政府采购条例实施细则》第七十五条第二项所列情形，请投标供应商核实贵单位法定代表人、本项目投标授权代表人、项目负责人（如有）、主要技术人员（如有）等是否在贵单位缴纳社会保险。</w:t>
      </w:r>
    </w:p>
    <w:p/>
    <w:p>
      <w:pPr>
        <w:pStyle w:val="Heading3"/>
        <w:jc w:val="center"/>
        <w:rPr>
          <w:rFonts w:ascii="黑体" w:eastAsia="黑体" w:hint="eastAsia"/>
          <w:b w:val="0"/>
          <w:kern w:val="0"/>
          <w:sz w:val="24"/>
          <w:szCs w:val="24"/>
        </w:rPr>
      </w:pPr>
      <w:r>
        <w:rPr>
          <w:rFonts w:ascii="黑体" w:eastAsia="黑体" w:hint="eastAsia"/>
          <w:b w:val="0"/>
          <w:kern w:val="0"/>
          <w:sz w:val="24"/>
          <w:szCs w:val="24"/>
        </w:rPr>
        <w:t>四、</w:t>
      </w:r>
      <w:bookmarkStart w:id="52" w:name="_Hlk72092634"/>
      <w:r>
        <w:rPr>
          <w:rFonts w:ascii="黑体" w:eastAsia="黑体" w:hint="eastAsia"/>
          <w:b w:val="0"/>
          <w:kern w:val="0"/>
          <w:sz w:val="24"/>
          <w:szCs w:val="24"/>
        </w:rPr>
        <w:t>实质性条款响应情况表</w:t>
      </w:r>
      <w:bookmarkEnd w:id="52"/>
    </w:p>
    <w:tbl>
      <w:tblPr>
        <w:tblStyle w:val="TableNormal"/>
        <w:tblW w:w="82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05"/>
        <w:gridCol w:w="2664"/>
        <w:gridCol w:w="1588"/>
        <w:gridCol w:w="1842"/>
        <w:gridCol w:w="1418"/>
      </w:tblGrid>
      <w:tr>
        <w:tblPrEx>
          <w:tblW w:w="82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31"/>
        </w:trPr>
        <w:tc>
          <w:tcPr>
            <w:tcW w:w="705" w:type="dxa"/>
            <w:vAlign w:val="center"/>
          </w:tcPr>
          <w:p>
            <w:pPr>
              <w:adjustRightInd w:val="0"/>
              <w:snapToGrid w:val="0"/>
              <w:spacing w:line="360" w:lineRule="auto"/>
              <w:jc w:val="center"/>
              <w:rPr>
                <w:rFonts w:ascii="宋体" w:hAnsi="宋体" w:hint="eastAsia"/>
                <w:kern w:val="0"/>
                <w:szCs w:val="21"/>
              </w:rPr>
            </w:pPr>
            <w:bookmarkStart w:id="53" w:name="_Hlk72092651"/>
            <w:r>
              <w:rPr>
                <w:rFonts w:ascii="宋体" w:hAnsi="宋体" w:hint="eastAsia"/>
                <w:kern w:val="0"/>
                <w:szCs w:val="21"/>
              </w:rPr>
              <w:t>序号</w:t>
            </w:r>
          </w:p>
        </w:tc>
        <w:tc>
          <w:tcPr>
            <w:tcW w:w="2664" w:type="dxa"/>
            <w:vAlign w:val="center"/>
          </w:tcPr>
          <w:p>
            <w:pPr>
              <w:adjustRightInd w:val="0"/>
              <w:snapToGrid w:val="0"/>
              <w:spacing w:line="360" w:lineRule="auto"/>
              <w:jc w:val="center"/>
              <w:rPr>
                <w:rFonts w:ascii="宋体" w:hAnsi="宋体" w:hint="eastAsia"/>
                <w:kern w:val="0"/>
                <w:szCs w:val="21"/>
              </w:rPr>
            </w:pPr>
            <w:r>
              <w:rPr>
                <w:rFonts w:ascii="宋体" w:hAnsi="宋体" w:hint="eastAsia"/>
                <w:kern w:val="0"/>
                <w:szCs w:val="21"/>
              </w:rPr>
              <w:t>实质性条款具体内容</w:t>
            </w:r>
          </w:p>
        </w:tc>
        <w:tc>
          <w:tcPr>
            <w:tcW w:w="1588" w:type="dxa"/>
            <w:vAlign w:val="center"/>
          </w:tcPr>
          <w:p>
            <w:pPr>
              <w:adjustRightInd w:val="0"/>
              <w:snapToGrid w:val="0"/>
              <w:spacing w:line="360" w:lineRule="auto"/>
              <w:jc w:val="center"/>
              <w:rPr>
                <w:rFonts w:ascii="宋体" w:hAnsi="宋体" w:hint="eastAsia"/>
                <w:kern w:val="0"/>
                <w:szCs w:val="21"/>
              </w:rPr>
            </w:pPr>
            <w:r>
              <w:rPr>
                <w:rFonts w:hint="eastAsia"/>
              </w:rPr>
              <w:t>投标响应</w:t>
            </w:r>
          </w:p>
        </w:tc>
        <w:tc>
          <w:tcPr>
            <w:tcW w:w="1842" w:type="dxa"/>
            <w:vAlign w:val="center"/>
          </w:tcPr>
          <w:p>
            <w:pPr>
              <w:adjustRightInd w:val="0"/>
              <w:snapToGrid w:val="0"/>
              <w:spacing w:line="360" w:lineRule="auto"/>
              <w:jc w:val="center"/>
              <w:rPr>
                <w:rFonts w:ascii="宋体" w:hAnsi="宋体" w:hint="eastAsia"/>
                <w:kern w:val="0"/>
                <w:szCs w:val="21"/>
              </w:rPr>
            </w:pPr>
            <w:r>
              <w:rPr>
                <w:rFonts w:hint="eastAsia"/>
              </w:rPr>
              <w:t>偏离情况</w:t>
            </w:r>
          </w:p>
        </w:tc>
        <w:tc>
          <w:tcPr>
            <w:tcW w:w="1418" w:type="dxa"/>
            <w:vAlign w:val="center"/>
          </w:tcPr>
          <w:p>
            <w:pPr>
              <w:adjustRightInd w:val="0"/>
              <w:snapToGrid w:val="0"/>
              <w:spacing w:line="360" w:lineRule="auto"/>
              <w:jc w:val="center"/>
              <w:rPr>
                <w:rFonts w:ascii="宋体" w:hAnsi="宋体" w:hint="eastAsia"/>
                <w:kern w:val="0"/>
                <w:szCs w:val="21"/>
              </w:rPr>
            </w:pPr>
            <w:r>
              <w:rPr>
                <w:rFonts w:hint="eastAsia"/>
              </w:rPr>
              <w:t>说明</w:t>
            </w:r>
          </w:p>
        </w:tc>
      </w:tr>
      <w:tr>
        <w:tblPrEx>
          <w:tblW w:w="8217" w:type="dxa"/>
          <w:tblInd w:w="0" w:type="dxa"/>
          <w:tblLayout w:type="fixed"/>
          <w:tblCellMar>
            <w:top w:w="0" w:type="dxa"/>
            <w:left w:w="108" w:type="dxa"/>
            <w:bottom w:w="0" w:type="dxa"/>
            <w:right w:w="108" w:type="dxa"/>
          </w:tblCellMar>
        </w:tblPrEx>
        <w:tc>
          <w:tcPr>
            <w:tcW w:w="705" w:type="dxa"/>
          </w:tcPr>
          <w:p>
            <w:pPr>
              <w:adjustRightInd w:val="0"/>
              <w:snapToGrid w:val="0"/>
              <w:spacing w:line="360" w:lineRule="auto"/>
              <w:rPr>
                <w:rFonts w:ascii="宋体" w:hAnsi="宋体" w:hint="eastAsia"/>
                <w:kern w:val="0"/>
                <w:szCs w:val="21"/>
              </w:rPr>
            </w:pPr>
            <w:bookmarkEnd w:id="53"/>
            <w:r>
              <w:rPr>
                <w:rFonts w:ascii="宋体" w:hAnsi="宋体" w:hint="eastAsia"/>
                <w:kern w:val="0"/>
                <w:szCs w:val="21"/>
              </w:rPr>
              <w:t>1</w:t>
            </w:r>
          </w:p>
        </w:tc>
        <w:tc>
          <w:tcPr>
            <w:tcW w:w="2664" w:type="dxa"/>
            <w:vAlign w:val="center"/>
          </w:tcPr>
          <w:p>
            <w:pPr>
              <w:adjustRightInd w:val="0"/>
              <w:snapToGrid w:val="0"/>
              <w:spacing w:line="360" w:lineRule="auto"/>
              <w:jc w:val="center"/>
              <w:rPr>
                <w:rFonts w:hAnsi="宋体" w:hint="eastAsia"/>
                <w:kern w:val="0"/>
                <w:szCs w:val="21"/>
              </w:rPr>
            </w:pPr>
            <w:r>
              <w:rPr>
                <w:rFonts w:hint="eastAsia"/>
              </w:rPr>
              <w:t>具体以采购文件第三章 用户需求书中带“★”的需求项为准。</w:t>
            </w:r>
          </w:p>
        </w:tc>
        <w:tc>
          <w:tcPr>
            <w:tcW w:w="1588" w:type="dxa"/>
          </w:tcPr>
          <w:p>
            <w:pPr>
              <w:adjustRightInd w:val="0"/>
              <w:snapToGrid w:val="0"/>
              <w:spacing w:line="360" w:lineRule="auto"/>
              <w:rPr>
                <w:rFonts w:ascii="宋体" w:hAnsi="宋体" w:hint="eastAsia"/>
                <w:kern w:val="0"/>
                <w:szCs w:val="21"/>
              </w:rPr>
            </w:pPr>
          </w:p>
        </w:tc>
        <w:tc>
          <w:tcPr>
            <w:tcW w:w="1842" w:type="dxa"/>
          </w:tcPr>
          <w:p>
            <w:pPr>
              <w:adjustRightInd w:val="0"/>
              <w:snapToGrid w:val="0"/>
              <w:spacing w:line="360" w:lineRule="auto"/>
              <w:rPr>
                <w:rFonts w:ascii="宋体" w:hAnsi="宋体" w:hint="eastAsia"/>
                <w:kern w:val="0"/>
                <w:szCs w:val="21"/>
              </w:rPr>
            </w:pPr>
          </w:p>
        </w:tc>
        <w:tc>
          <w:tcPr>
            <w:tcW w:w="1418" w:type="dxa"/>
          </w:tcPr>
          <w:p>
            <w:pPr>
              <w:adjustRightInd w:val="0"/>
              <w:snapToGrid w:val="0"/>
              <w:spacing w:line="360" w:lineRule="auto"/>
              <w:rPr>
                <w:rFonts w:ascii="宋体" w:hAnsi="宋体" w:hint="eastAsia"/>
                <w:kern w:val="0"/>
                <w:szCs w:val="21"/>
              </w:rPr>
            </w:pPr>
          </w:p>
        </w:tc>
      </w:tr>
    </w:tbl>
    <w:p>
      <w:pPr>
        <w:ind w:firstLine="420" w:firstLineChars="200"/>
        <w:rPr>
          <w:b/>
          <w:sz w:val="24"/>
          <w:szCs w:val="22"/>
        </w:rPr>
      </w:pPr>
      <w:r>
        <w:rPr>
          <w:rFonts w:hint="eastAsia"/>
          <w:b/>
          <w:sz w:val="24"/>
          <w:szCs w:val="22"/>
        </w:rPr>
        <w:t>注：1.上表所列各项均为不可负偏离条款。</w:t>
      </w:r>
    </w:p>
    <w:p>
      <w:pPr>
        <w:ind w:firstLine="420" w:firstLineChars="200"/>
        <w:rPr>
          <w:b/>
          <w:sz w:val="24"/>
          <w:szCs w:val="22"/>
        </w:rPr>
      </w:pPr>
      <w:r>
        <w:rPr>
          <w:rFonts w:hint="eastAsia"/>
          <w:b/>
          <w:sz w:val="24"/>
          <w:szCs w:val="22"/>
        </w:rPr>
        <w:t>2.“投标响应”一栏应当详细填写投标人自身响应情况，而不能不合理照搬照抄招实质性条款具体内容。</w:t>
      </w:r>
    </w:p>
    <w:p>
      <w:pPr>
        <w:ind w:firstLine="420" w:firstLineChars="200"/>
        <w:rPr>
          <w:b/>
          <w:sz w:val="24"/>
          <w:szCs w:val="22"/>
        </w:rPr>
      </w:pPr>
      <w:r>
        <w:rPr>
          <w:rFonts w:hint="eastAsia"/>
          <w:b/>
          <w:sz w:val="24"/>
          <w:szCs w:val="22"/>
        </w:rPr>
        <w:t>3</w:t>
      </w:r>
      <w:r>
        <w:rPr>
          <w:b/>
          <w:sz w:val="24"/>
          <w:szCs w:val="22"/>
        </w:rPr>
        <w:t>.</w:t>
      </w:r>
      <w:r>
        <w:rPr>
          <w:rFonts w:hint="eastAsia"/>
          <w:b/>
          <w:sz w:val="24"/>
          <w:szCs w:val="22"/>
        </w:rPr>
        <w:t>“偏离情况”一栏应填写“正偏离”、“负偏离”或“无偏离”，</w:t>
      </w:r>
      <w:r>
        <w:rPr>
          <w:rFonts w:hint="eastAsia"/>
          <w:b/>
          <w:sz w:val="24"/>
        </w:rPr>
        <w:t>“正偏离”表示“投标响应优于实质性条款具体内容要求”，“负偏离”表示“投标响应不满足实质性条款具体内容要求”，“无偏离”表示“投标响应与实质性条款具体内容要求一致”。</w:t>
      </w:r>
    </w:p>
    <w:p>
      <w:pPr>
        <w:ind w:firstLine="420" w:firstLineChars="200"/>
        <w:rPr>
          <w:b/>
          <w:sz w:val="24"/>
        </w:rPr>
      </w:pPr>
      <w:r>
        <w:rPr>
          <w:b/>
          <w:sz w:val="24"/>
        </w:rPr>
        <w:t>4.</w:t>
      </w:r>
      <w:r>
        <w:rPr>
          <w:rFonts w:hint="eastAsia"/>
          <w:b/>
          <w:sz w:val="24"/>
        </w:rPr>
        <w:t>评审委员会有权对投标响应情况作出判断（作出评审结论）。</w:t>
      </w:r>
    </w:p>
    <w:p>
      <w:pPr>
        <w:ind w:firstLine="420" w:firstLineChars="200"/>
        <w:rPr>
          <w:b/>
          <w:sz w:val="24"/>
          <w:szCs w:val="22"/>
        </w:rPr>
      </w:pPr>
      <w:r>
        <w:rPr>
          <w:b/>
          <w:sz w:val="24"/>
          <w:szCs w:val="22"/>
        </w:rPr>
        <w:t>5</w:t>
      </w:r>
      <w:r>
        <w:rPr>
          <w:rFonts w:hint="eastAsia"/>
          <w:b/>
          <w:sz w:val="24"/>
          <w:szCs w:val="22"/>
        </w:rPr>
        <w:t>.实质性响应条款“投标响应情况”与投标文件其它内容冲突的，以实质性响应条款“投标响应情况”为准。</w:t>
      </w:r>
    </w:p>
    <w:p>
      <w:pPr>
        <w:ind w:firstLine="420" w:firstLineChars="200"/>
        <w:rPr>
          <w:b/>
          <w:sz w:val="24"/>
          <w:szCs w:val="22"/>
        </w:rPr>
      </w:pPr>
      <w:r>
        <w:rPr>
          <w:rFonts w:hint="eastAsia"/>
          <w:b/>
          <w:sz w:val="24"/>
          <w:szCs w:val="22"/>
        </w:rPr>
        <w:t>6.要求提供证明资料，在“说明”一栏中列明证明资料的位置,以便评审；未要求提供证明材料的，投标人可以不提供。</w:t>
      </w:r>
    </w:p>
    <w:p>
      <w:pPr>
        <w:ind w:firstLine="420" w:firstLineChars="200"/>
      </w:pPr>
    </w:p>
    <w:p>
      <w:pPr>
        <w:rPr>
          <w:rFonts w:ascii="黑体" w:eastAsia="黑体" w:hAnsi="宋体" w:hint="eastAsia"/>
          <w:sz w:val="24"/>
          <w:szCs w:val="20"/>
        </w:rPr>
      </w:pPr>
      <w:r>
        <w:rPr>
          <w:rFonts w:ascii="黑体" w:eastAsia="黑体" w:hAnsi="宋体" w:hint="eastAsia"/>
          <w:sz w:val="24"/>
          <w:szCs w:val="20"/>
        </w:rPr>
        <w:t>五、实施方案（格式自定）</w:t>
      </w:r>
    </w:p>
    <w:p>
      <w:pPr>
        <w:rPr>
          <w:rFonts w:asciiTheme="minorEastAsia" w:eastAsiaTheme="minorEastAsia" w:hAnsiTheme="minorEastAsia" w:cstheme="minorEastAsia" w:hint="eastAsia"/>
          <w:color w:val="FF0000"/>
          <w:sz w:val="24"/>
          <w:szCs w:val="20"/>
        </w:rPr>
      </w:pPr>
      <w:r>
        <w:rPr>
          <w:rFonts w:asciiTheme="minorEastAsia" w:eastAsiaTheme="minorEastAsia" w:hAnsiTheme="minorEastAsia" w:cstheme="minorEastAsia" w:hint="eastAsia"/>
          <w:color w:val="FF0000"/>
          <w:sz w:val="24"/>
          <w:szCs w:val="20"/>
        </w:rPr>
        <w:t>（特别提示：投标人须按本招标文件评标信息中这一评审因素要求，提供证明资料）</w:t>
      </w:r>
    </w:p>
    <w:p>
      <w:pPr>
        <w:rPr>
          <w:rFonts w:asciiTheme="minorEastAsia" w:eastAsiaTheme="minorEastAsia" w:hAnsiTheme="minorEastAsia" w:cstheme="minorEastAsia" w:hint="eastAsia"/>
          <w:sz w:val="24"/>
          <w:szCs w:val="20"/>
        </w:rPr>
      </w:pPr>
    </w:p>
    <w:p>
      <w:pPr>
        <w:rPr>
          <w:rFonts w:ascii="黑体" w:eastAsia="黑体" w:hAnsi="宋体" w:hint="eastAsia"/>
          <w:sz w:val="24"/>
          <w:szCs w:val="20"/>
        </w:rPr>
      </w:pPr>
      <w:r>
        <w:rPr>
          <w:rFonts w:ascii="黑体" w:eastAsia="黑体" w:hAnsi="宋体" w:hint="eastAsia"/>
          <w:sz w:val="24"/>
          <w:szCs w:val="20"/>
        </w:rPr>
        <w:t>六、项目重点难点分析、应对措施及相关的合理化建议（格式自定）</w:t>
      </w:r>
    </w:p>
    <w:p>
      <w:pPr>
        <w:rPr>
          <w:rFonts w:asciiTheme="minorEastAsia" w:eastAsiaTheme="minorEastAsia" w:hAnsiTheme="minorEastAsia" w:cstheme="minorEastAsia" w:hint="eastAsia"/>
          <w:color w:val="FF0000"/>
          <w:sz w:val="24"/>
          <w:szCs w:val="20"/>
        </w:rPr>
      </w:pPr>
      <w:r>
        <w:rPr>
          <w:rFonts w:asciiTheme="minorEastAsia" w:eastAsiaTheme="minorEastAsia" w:hAnsiTheme="minorEastAsia" w:cstheme="minorEastAsia" w:hint="eastAsia"/>
          <w:color w:val="FF0000"/>
          <w:sz w:val="24"/>
          <w:szCs w:val="20"/>
        </w:rPr>
        <w:t>（特别提示：投标人须按本招标文件评标信息中这一评审因素要求，提供证明资料）</w:t>
      </w:r>
    </w:p>
    <w:p>
      <w:pPr>
        <w:rPr>
          <w:rFonts w:asciiTheme="minorEastAsia" w:eastAsiaTheme="minorEastAsia" w:hAnsiTheme="minorEastAsia" w:cstheme="minorEastAsia" w:hint="eastAsia"/>
          <w:sz w:val="24"/>
          <w:szCs w:val="20"/>
        </w:rPr>
      </w:pPr>
    </w:p>
    <w:p>
      <w:pPr>
        <w:rPr>
          <w:rFonts w:ascii="黑体" w:eastAsia="黑体" w:hAnsi="宋体" w:hint="eastAsia"/>
          <w:sz w:val="24"/>
          <w:szCs w:val="20"/>
        </w:rPr>
      </w:pPr>
      <w:r>
        <w:rPr>
          <w:rFonts w:ascii="黑体" w:eastAsia="黑体" w:hAnsi="宋体" w:hint="eastAsia"/>
          <w:sz w:val="24"/>
          <w:szCs w:val="20"/>
        </w:rPr>
        <w:t>七、质量（完成时间、安全、环保）保障措施及方案（格式自定）</w:t>
      </w:r>
    </w:p>
    <w:p>
      <w:pPr>
        <w:rPr>
          <w:rFonts w:asciiTheme="minorEastAsia" w:eastAsiaTheme="minorEastAsia" w:hAnsiTheme="minorEastAsia" w:cstheme="minorEastAsia" w:hint="eastAsia"/>
          <w:color w:val="FF0000"/>
          <w:sz w:val="24"/>
          <w:szCs w:val="20"/>
        </w:rPr>
      </w:pPr>
      <w:r>
        <w:rPr>
          <w:rFonts w:asciiTheme="minorEastAsia" w:eastAsiaTheme="minorEastAsia" w:hAnsiTheme="minorEastAsia" w:cstheme="minorEastAsia" w:hint="eastAsia"/>
          <w:color w:val="FF0000"/>
          <w:sz w:val="24"/>
          <w:szCs w:val="20"/>
        </w:rPr>
        <w:t>（特别提示：投标人须按本招标文件评标信息中这一评审因素要求，提供证明资料）</w:t>
      </w:r>
    </w:p>
    <w:p>
      <w:pPr>
        <w:rPr>
          <w:rFonts w:asciiTheme="minorEastAsia" w:eastAsiaTheme="minorEastAsia" w:hAnsiTheme="minorEastAsia" w:cstheme="minorEastAsia" w:hint="eastAsia"/>
          <w:sz w:val="24"/>
          <w:szCs w:val="20"/>
        </w:rPr>
      </w:pPr>
    </w:p>
    <w:p>
      <w:pPr>
        <w:rPr>
          <w:rFonts w:ascii="黑体" w:eastAsia="黑体" w:hAnsi="宋体" w:hint="eastAsia"/>
          <w:sz w:val="24"/>
          <w:szCs w:val="20"/>
        </w:rPr>
      </w:pPr>
      <w:r>
        <w:rPr>
          <w:rFonts w:ascii="黑体" w:eastAsia="黑体" w:hAnsi="宋体" w:hint="eastAsia"/>
          <w:sz w:val="24"/>
          <w:szCs w:val="20"/>
        </w:rPr>
        <w:t>八、项目完成（服务期满）后的服务承诺（格式自定）</w:t>
      </w:r>
    </w:p>
    <w:p>
      <w:pPr>
        <w:rPr>
          <w:rFonts w:asciiTheme="minorEastAsia" w:eastAsiaTheme="minorEastAsia" w:hAnsiTheme="minorEastAsia" w:cstheme="minorEastAsia" w:hint="eastAsia"/>
          <w:color w:val="FF0000"/>
          <w:sz w:val="24"/>
          <w:szCs w:val="20"/>
        </w:rPr>
      </w:pPr>
      <w:r>
        <w:rPr>
          <w:rFonts w:asciiTheme="minorEastAsia" w:eastAsiaTheme="minorEastAsia" w:hAnsiTheme="minorEastAsia" w:cstheme="minorEastAsia" w:hint="eastAsia"/>
          <w:color w:val="FF0000"/>
          <w:sz w:val="24"/>
          <w:szCs w:val="20"/>
        </w:rPr>
        <w:t>（特别提示：投标人须按本招标文件评标信息中这一评审因素要求，提供证明资料）</w:t>
      </w:r>
    </w:p>
    <w:p>
      <w:pPr>
        <w:rPr>
          <w:rFonts w:asciiTheme="minorEastAsia" w:eastAsiaTheme="minorEastAsia" w:hAnsiTheme="minorEastAsia" w:cstheme="minorEastAsia" w:hint="eastAsia"/>
          <w:sz w:val="24"/>
          <w:szCs w:val="20"/>
        </w:rPr>
      </w:pPr>
    </w:p>
    <w:p>
      <w:pPr>
        <w:rPr>
          <w:rFonts w:ascii="黑体" w:eastAsia="黑体" w:hAnsi="宋体" w:hint="eastAsia"/>
          <w:sz w:val="24"/>
          <w:szCs w:val="20"/>
        </w:rPr>
      </w:pPr>
      <w:r>
        <w:rPr>
          <w:rFonts w:ascii="黑体" w:eastAsia="黑体" w:hAnsi="宋体" w:hint="eastAsia"/>
          <w:sz w:val="24"/>
          <w:szCs w:val="20"/>
        </w:rPr>
        <w:t>九、违约承诺（格式自定）</w:t>
      </w:r>
    </w:p>
    <w:p>
      <w:pPr>
        <w:spacing w:before="60" w:beforeLines="25" w:after="60" w:afterLines="25"/>
        <w:rPr>
          <w:rFonts w:asciiTheme="minorEastAsia" w:eastAsiaTheme="minorEastAsia" w:hAnsiTheme="minorEastAsia" w:cstheme="minorEastAsia" w:hint="eastAsia"/>
          <w:color w:val="FF0000"/>
          <w:sz w:val="24"/>
          <w:szCs w:val="20"/>
        </w:rPr>
      </w:pPr>
      <w:r>
        <w:rPr>
          <w:rFonts w:asciiTheme="minorEastAsia" w:eastAsiaTheme="minorEastAsia" w:hAnsiTheme="minorEastAsia" w:cstheme="minorEastAsia" w:hint="eastAsia"/>
          <w:color w:val="FF0000"/>
          <w:sz w:val="24"/>
          <w:szCs w:val="20"/>
        </w:rPr>
        <w:t>（特别提示：投标人须按本招标文件评标信息中这一评审因素要求，提供证明资料）</w:t>
      </w:r>
    </w:p>
    <w:p>
      <w:pPr>
        <w:spacing w:before="60" w:beforeLines="25" w:after="60" w:afterLines="25"/>
        <w:rPr>
          <w:rFonts w:asciiTheme="minorEastAsia" w:eastAsiaTheme="minorEastAsia" w:hAnsiTheme="minorEastAsia" w:cstheme="minorEastAsia" w:hint="eastAsia"/>
          <w:sz w:val="24"/>
          <w:szCs w:val="20"/>
        </w:rPr>
      </w:pPr>
    </w:p>
    <w:p>
      <w:pPr>
        <w:spacing w:before="60" w:beforeLines="25" w:after="60" w:afterLines="25"/>
        <w:rPr>
          <w:rFonts w:ascii="黑体" w:eastAsia="黑体" w:hAnsi="宋体" w:hint="eastAsia"/>
          <w:sz w:val="24"/>
          <w:szCs w:val="20"/>
        </w:rPr>
      </w:pPr>
      <w:r>
        <w:rPr>
          <w:rFonts w:ascii="黑体" w:eastAsia="黑体" w:hAnsi="宋体" w:hint="eastAsia"/>
          <w:sz w:val="24"/>
          <w:szCs w:val="20"/>
        </w:rPr>
        <w:t>十、拟安排的项目负责人情况（仅限一人）（格式自定）</w:t>
      </w:r>
    </w:p>
    <w:p>
      <w:pPr>
        <w:spacing w:before="60" w:beforeLines="25" w:after="60" w:afterLines="25"/>
        <w:rPr>
          <w:rFonts w:asciiTheme="minorEastAsia" w:eastAsiaTheme="minorEastAsia" w:hAnsiTheme="minorEastAsia" w:cstheme="minorEastAsia" w:hint="eastAsia"/>
          <w:color w:val="FF0000"/>
          <w:sz w:val="24"/>
          <w:szCs w:val="20"/>
        </w:rPr>
      </w:pPr>
      <w:r>
        <w:rPr>
          <w:rFonts w:asciiTheme="minorEastAsia" w:eastAsiaTheme="minorEastAsia" w:hAnsiTheme="minorEastAsia" w:cstheme="minorEastAsia" w:hint="eastAsia"/>
          <w:color w:val="FF0000"/>
          <w:sz w:val="24"/>
          <w:szCs w:val="20"/>
        </w:rPr>
        <w:t>（特别提示：投标人须按本招标文件评标信息中这一评审因素要求，提供证明资料）</w:t>
      </w:r>
    </w:p>
    <w:p>
      <w:pPr>
        <w:spacing w:before="60" w:beforeLines="25" w:after="60" w:afterLines="25"/>
        <w:rPr>
          <w:rFonts w:asciiTheme="minorEastAsia" w:eastAsiaTheme="minorEastAsia" w:hAnsiTheme="minorEastAsia" w:cstheme="minorEastAsia" w:hint="eastAsia"/>
          <w:sz w:val="24"/>
          <w:szCs w:val="20"/>
        </w:rPr>
      </w:pPr>
    </w:p>
    <w:p>
      <w:pPr>
        <w:spacing w:before="60" w:beforeLines="25" w:after="60" w:afterLines="25"/>
        <w:rPr>
          <w:rFonts w:ascii="黑体" w:eastAsia="黑体" w:hAnsi="宋体" w:hint="eastAsia"/>
          <w:sz w:val="24"/>
          <w:szCs w:val="20"/>
        </w:rPr>
      </w:pPr>
      <w:r>
        <w:rPr>
          <w:rFonts w:ascii="黑体" w:eastAsia="黑体" w:hAnsi="宋体" w:hint="eastAsia"/>
          <w:sz w:val="24"/>
          <w:szCs w:val="20"/>
        </w:rPr>
        <w:t>十一、拟安排的项目主要团队成员（主要技术人员）情况（项目负责人除外）（格式自定）</w:t>
      </w:r>
    </w:p>
    <w:p>
      <w:pPr>
        <w:spacing w:before="60" w:beforeLines="25" w:after="60" w:afterLines="25"/>
        <w:rPr>
          <w:rFonts w:asciiTheme="minorEastAsia" w:eastAsiaTheme="minorEastAsia" w:hAnsiTheme="minorEastAsia" w:cstheme="minorEastAsia" w:hint="eastAsia"/>
          <w:color w:val="FF0000"/>
          <w:sz w:val="24"/>
          <w:szCs w:val="20"/>
        </w:rPr>
      </w:pPr>
      <w:r>
        <w:rPr>
          <w:rFonts w:asciiTheme="minorEastAsia" w:eastAsiaTheme="minorEastAsia" w:hAnsiTheme="minorEastAsia" w:cstheme="minorEastAsia" w:hint="eastAsia"/>
          <w:color w:val="FF0000"/>
          <w:sz w:val="24"/>
          <w:szCs w:val="20"/>
        </w:rPr>
        <w:t>（特别提示：投标人须按本招标文件评标信息中这一评审因素要求，提供证明资料）</w:t>
      </w:r>
    </w:p>
    <w:p>
      <w:pPr>
        <w:spacing w:before="60" w:beforeLines="25" w:after="60" w:afterLines="25"/>
        <w:rPr>
          <w:rFonts w:asciiTheme="minorEastAsia" w:eastAsiaTheme="minorEastAsia" w:hAnsiTheme="minorEastAsia" w:cstheme="minorEastAsia" w:hint="eastAsia"/>
          <w:sz w:val="24"/>
          <w:szCs w:val="20"/>
        </w:rPr>
      </w:pPr>
    </w:p>
    <w:p>
      <w:pPr>
        <w:rPr>
          <w:rFonts w:ascii="黑体" w:eastAsia="黑体"/>
          <w:sz w:val="24"/>
          <w:szCs w:val="20"/>
        </w:rPr>
      </w:pPr>
      <w:r>
        <w:rPr>
          <w:rFonts w:ascii="黑体" w:eastAsia="黑体" w:hAnsi="宋体" w:hint="eastAsia"/>
          <w:sz w:val="24"/>
          <w:szCs w:val="20"/>
        </w:rPr>
        <w:t>十二、</w:t>
      </w:r>
      <w:bookmarkStart w:id="54" w:name="_Hlk72062872"/>
      <w:r>
        <w:rPr>
          <w:rFonts w:ascii="黑体" w:eastAsia="黑体" w:hint="eastAsia"/>
          <w:sz w:val="24"/>
          <w:szCs w:val="20"/>
        </w:rPr>
        <w:t>投标人认为需要加以说明的其他内容</w:t>
      </w:r>
      <w:bookmarkEnd w:id="54"/>
    </w:p>
    <w:p>
      <w:pPr>
        <w:widowControl/>
        <w:jc w:val="center"/>
        <w:rPr>
          <w:rFonts w:ascii="黑体" w:eastAsia="黑体" w:hAnsi="宋体" w:hint="eastAsia"/>
          <w:kern w:val="0"/>
          <w:sz w:val="24"/>
          <w:szCs w:val="20"/>
        </w:rPr>
      </w:pPr>
      <w:r>
        <w:rPr>
          <w:rFonts w:ascii="黑体" w:eastAsia="黑体" w:hAnsi="宋体" w:hint="eastAsia"/>
          <w:kern w:val="0"/>
          <w:sz w:val="24"/>
          <w:szCs w:val="20"/>
        </w:rPr>
        <w:t>（一）政府采购违法行为风险知悉确认书</w:t>
      </w:r>
    </w:p>
    <w:p>
      <w:pPr>
        <w:widowControl/>
        <w:jc w:val="center"/>
        <w:rPr>
          <w:rFonts w:ascii="黑体" w:eastAsia="黑体" w:hAnsi="宋体" w:hint="eastAsia"/>
          <w:kern w:val="0"/>
          <w:sz w:val="24"/>
          <w:szCs w:val="20"/>
        </w:rPr>
      </w:pPr>
    </w:p>
    <w:p>
      <w:pPr>
        <w:spacing w:after="120" w:afterLines="50" w:line="360" w:lineRule="exact"/>
        <w:ind w:firstLine="420" w:firstLineChars="200"/>
        <w:rPr>
          <w:rFonts w:ascii="宋体" w:hAnsi="宋体" w:cs="宋体" w:hint="eastAsia"/>
          <w:b/>
          <w:bCs/>
          <w:szCs w:val="21"/>
        </w:rPr>
      </w:pPr>
      <w:r>
        <w:rPr>
          <w:rFonts w:ascii="宋体" w:hAnsi="宋体" w:cs="宋体" w:hint="eastAsia"/>
          <w:b/>
          <w:bCs/>
          <w:szCs w:val="21"/>
        </w:rPr>
        <w:t>我单位在投标前已充分知悉以下情形为参与政府采购活动时的重大风险事项，并承诺已对下述风险提示事项重点排查，若存在下述情况，我单位愿意依法承担被记入供应商诚信档案、罚款、取消参与政府采购资格、吊销营业执照等处罚；构成犯罪的，依法承担刑事责任。</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11"/>
        <w:gridCol w:w="781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51"/>
        </w:trPr>
        <w:tc>
          <w:tcPr>
            <w:tcW w:w="711" w:type="dxa"/>
          </w:tcPr>
          <w:p>
            <w:pPr>
              <w:spacing w:line="400" w:lineRule="exact"/>
              <w:jc w:val="center"/>
              <w:rPr>
                <w:rFonts w:ascii="宋体" w:hAnsi="宋体" w:cs="宋体" w:hint="eastAsia"/>
                <w:szCs w:val="21"/>
              </w:rPr>
            </w:pPr>
            <w:r>
              <w:rPr>
                <w:rFonts w:ascii="宋体" w:hAnsi="宋体" w:cs="宋体" w:hint="eastAsia"/>
                <w:szCs w:val="21"/>
              </w:rPr>
              <w:t>序号</w:t>
            </w:r>
          </w:p>
        </w:tc>
        <w:tc>
          <w:tcPr>
            <w:tcW w:w="7811" w:type="dxa"/>
          </w:tcPr>
          <w:p>
            <w:pPr>
              <w:spacing w:line="400" w:lineRule="exact"/>
              <w:jc w:val="center"/>
              <w:rPr>
                <w:rFonts w:ascii="宋体" w:hAnsi="宋体" w:cs="宋体" w:hint="eastAsia"/>
                <w:szCs w:val="21"/>
              </w:rPr>
            </w:pPr>
            <w:r>
              <w:rPr>
                <w:rFonts w:ascii="宋体" w:hAnsi="宋体" w:cs="宋体" w:hint="eastAsia"/>
                <w:b/>
                <w:bCs/>
                <w:szCs w:val="21"/>
              </w:rPr>
              <w:t>供应商参与投标禁止情形</w:t>
            </w:r>
          </w:p>
        </w:tc>
      </w:tr>
      <w:tr>
        <w:tblPrEx>
          <w:tblW w:w="0" w:type="auto"/>
          <w:tblInd w:w="0" w:type="dxa"/>
          <w:tblCellMar>
            <w:top w:w="0" w:type="dxa"/>
            <w:left w:w="108" w:type="dxa"/>
            <w:bottom w:w="0" w:type="dxa"/>
            <w:right w:w="108" w:type="dxa"/>
          </w:tblCellMar>
        </w:tblPrEx>
        <w:tc>
          <w:tcPr>
            <w:tcW w:w="711" w:type="dxa"/>
          </w:tcPr>
          <w:p>
            <w:pPr>
              <w:spacing w:line="400" w:lineRule="exact"/>
              <w:jc w:val="center"/>
              <w:rPr>
                <w:rFonts w:ascii="宋体" w:hAnsi="宋体" w:cs="宋体" w:hint="eastAsia"/>
                <w:szCs w:val="21"/>
              </w:rPr>
            </w:pPr>
            <w:r>
              <w:rPr>
                <w:rFonts w:ascii="宋体" w:hAnsi="宋体" w:cs="宋体" w:hint="eastAsia"/>
                <w:szCs w:val="21"/>
              </w:rPr>
              <w:t>1</w:t>
            </w:r>
          </w:p>
        </w:tc>
        <w:tc>
          <w:tcPr>
            <w:tcW w:w="7811" w:type="dxa"/>
            <w:vAlign w:val="center"/>
          </w:tcPr>
          <w:p>
            <w:pPr>
              <w:spacing w:line="400" w:lineRule="exact"/>
              <w:jc w:val="left"/>
              <w:rPr>
                <w:rFonts w:ascii="宋体" w:hAnsi="宋体" w:cs="宋体" w:hint="eastAsia"/>
                <w:szCs w:val="21"/>
              </w:rPr>
            </w:pPr>
            <w:r>
              <w:rPr>
                <w:rFonts w:ascii="宋体" w:hAnsi="宋体" w:cs="宋体" w:hint="eastAsia"/>
                <w:szCs w:val="21"/>
              </w:rPr>
              <w:t>与其他投标供应商的法定代表人、主要经营负责人、投标授权代表人、项目负责人、主要技术人员为</w:t>
            </w:r>
            <w:r>
              <w:rPr>
                <w:rFonts w:ascii="宋体" w:hAnsi="宋体" w:cs="宋体" w:hint="eastAsia"/>
                <w:b/>
                <w:bCs/>
                <w:szCs w:val="21"/>
              </w:rPr>
              <w:t>同一人、属同一单位或者在同一单位缴纳社会保险</w:t>
            </w:r>
            <w:r>
              <w:rPr>
                <w:rFonts w:ascii="宋体" w:hAnsi="宋体" w:cs="宋体" w:hint="eastAsia"/>
                <w:szCs w:val="21"/>
              </w:rPr>
              <w:t>。</w:t>
            </w:r>
          </w:p>
        </w:tc>
      </w:tr>
      <w:tr>
        <w:tblPrEx>
          <w:tblW w:w="0" w:type="auto"/>
          <w:tblInd w:w="0" w:type="dxa"/>
          <w:tblCellMar>
            <w:top w:w="0" w:type="dxa"/>
            <w:left w:w="108" w:type="dxa"/>
            <w:bottom w:w="0" w:type="dxa"/>
            <w:right w:w="108" w:type="dxa"/>
          </w:tblCellMar>
        </w:tblPrEx>
        <w:trPr>
          <w:trHeight w:val="90"/>
        </w:trPr>
        <w:tc>
          <w:tcPr>
            <w:tcW w:w="711" w:type="dxa"/>
          </w:tcPr>
          <w:p>
            <w:pPr>
              <w:spacing w:line="400" w:lineRule="exact"/>
              <w:jc w:val="center"/>
              <w:rPr>
                <w:rFonts w:ascii="宋体" w:hAnsi="宋体" w:cs="宋体" w:hint="eastAsia"/>
                <w:szCs w:val="21"/>
              </w:rPr>
            </w:pPr>
            <w:r>
              <w:rPr>
                <w:rFonts w:ascii="宋体" w:hAnsi="宋体" w:cs="宋体" w:hint="eastAsia"/>
                <w:szCs w:val="21"/>
              </w:rPr>
              <w:t>2</w:t>
            </w:r>
          </w:p>
        </w:tc>
        <w:tc>
          <w:tcPr>
            <w:tcW w:w="7811" w:type="dxa"/>
            <w:vAlign w:val="center"/>
          </w:tcPr>
          <w:p>
            <w:pPr>
              <w:spacing w:line="400" w:lineRule="exact"/>
              <w:jc w:val="left"/>
              <w:rPr>
                <w:rFonts w:ascii="宋体" w:hAnsi="宋体" w:cs="宋体" w:hint="eastAsia"/>
                <w:szCs w:val="21"/>
              </w:rPr>
            </w:pPr>
            <w:r>
              <w:rPr>
                <w:rFonts w:ascii="宋体" w:hAnsi="宋体" w:cs="宋体" w:hint="eastAsia"/>
                <w:szCs w:val="21"/>
              </w:rPr>
              <w:t>参与本项目政府采购活动时，与其他投标供应商存在单位负责人为</w:t>
            </w:r>
            <w:r>
              <w:rPr>
                <w:rFonts w:ascii="宋体" w:hAnsi="宋体" w:cs="宋体" w:hint="eastAsia"/>
                <w:b/>
                <w:bCs/>
                <w:szCs w:val="21"/>
              </w:rPr>
              <w:t>同一人或直接控股、管理关系</w:t>
            </w:r>
            <w:r>
              <w:rPr>
                <w:rFonts w:ascii="宋体" w:hAnsi="宋体" w:cs="宋体" w:hint="eastAsia"/>
                <w:szCs w:val="21"/>
              </w:rPr>
              <w:t>。</w:t>
            </w:r>
          </w:p>
        </w:tc>
      </w:tr>
      <w:tr>
        <w:tblPrEx>
          <w:tblW w:w="0" w:type="auto"/>
          <w:tblInd w:w="0" w:type="dxa"/>
          <w:tblCellMar>
            <w:top w:w="0" w:type="dxa"/>
            <w:left w:w="108" w:type="dxa"/>
            <w:bottom w:w="0" w:type="dxa"/>
            <w:right w:w="108" w:type="dxa"/>
          </w:tblCellMar>
        </w:tblPrEx>
        <w:tc>
          <w:tcPr>
            <w:tcW w:w="711" w:type="dxa"/>
          </w:tcPr>
          <w:p>
            <w:pPr>
              <w:spacing w:line="400" w:lineRule="exact"/>
              <w:jc w:val="center"/>
              <w:rPr>
                <w:rFonts w:ascii="宋体" w:hAnsi="宋体" w:cs="宋体" w:hint="eastAsia"/>
                <w:szCs w:val="21"/>
              </w:rPr>
            </w:pPr>
            <w:r>
              <w:rPr>
                <w:rFonts w:ascii="宋体" w:hAnsi="宋体" w:cs="宋体" w:hint="eastAsia"/>
                <w:szCs w:val="21"/>
              </w:rPr>
              <w:t>3</w:t>
            </w:r>
          </w:p>
        </w:tc>
        <w:tc>
          <w:tcPr>
            <w:tcW w:w="7811" w:type="dxa"/>
            <w:vAlign w:val="center"/>
          </w:tcPr>
          <w:p>
            <w:pPr>
              <w:spacing w:line="400" w:lineRule="exact"/>
              <w:jc w:val="left"/>
              <w:rPr>
                <w:rFonts w:ascii="宋体" w:hAnsi="宋体" w:cs="宋体" w:hint="eastAsia"/>
                <w:szCs w:val="21"/>
              </w:rPr>
            </w:pPr>
            <w:r>
              <w:rPr>
                <w:rFonts w:ascii="宋体" w:hAnsi="宋体" w:cs="宋体" w:hint="eastAsia"/>
                <w:szCs w:val="21"/>
              </w:rPr>
              <w:t>与其他投标供应商的投标文件或部分投标文件</w:t>
            </w:r>
            <w:r>
              <w:rPr>
                <w:rFonts w:ascii="宋体" w:hAnsi="宋体" w:cs="宋体" w:hint="eastAsia"/>
                <w:b/>
                <w:bCs/>
                <w:szCs w:val="21"/>
              </w:rPr>
              <w:t>相互混装或存在非正常一致</w:t>
            </w:r>
            <w:r>
              <w:rPr>
                <w:rFonts w:ascii="宋体" w:hAnsi="宋体" w:cs="宋体" w:hint="eastAsia"/>
                <w:szCs w:val="21"/>
              </w:rPr>
              <w:t>。</w:t>
            </w:r>
          </w:p>
        </w:tc>
      </w:tr>
      <w:tr>
        <w:tblPrEx>
          <w:tblW w:w="0" w:type="auto"/>
          <w:tblInd w:w="0" w:type="dxa"/>
          <w:tblCellMar>
            <w:top w:w="0" w:type="dxa"/>
            <w:left w:w="108" w:type="dxa"/>
            <w:bottom w:w="0" w:type="dxa"/>
            <w:right w:w="108" w:type="dxa"/>
          </w:tblCellMar>
        </w:tblPrEx>
        <w:tc>
          <w:tcPr>
            <w:tcW w:w="711" w:type="dxa"/>
          </w:tcPr>
          <w:p>
            <w:pPr>
              <w:spacing w:line="400" w:lineRule="exact"/>
              <w:jc w:val="center"/>
              <w:rPr>
                <w:rFonts w:ascii="宋体" w:hAnsi="宋体" w:cs="宋体" w:hint="eastAsia"/>
                <w:szCs w:val="21"/>
              </w:rPr>
            </w:pPr>
            <w:r>
              <w:rPr>
                <w:rFonts w:ascii="宋体" w:hAnsi="宋体" w:cs="宋体" w:hint="eastAsia"/>
                <w:szCs w:val="21"/>
              </w:rPr>
              <w:t>4</w:t>
            </w:r>
          </w:p>
        </w:tc>
        <w:tc>
          <w:tcPr>
            <w:tcW w:w="7811" w:type="dxa"/>
            <w:vAlign w:val="center"/>
          </w:tcPr>
          <w:p>
            <w:pPr>
              <w:spacing w:line="400" w:lineRule="exact"/>
              <w:jc w:val="left"/>
              <w:rPr>
                <w:rFonts w:ascii="宋体" w:hAnsi="宋体" w:cs="宋体" w:hint="eastAsia"/>
                <w:szCs w:val="21"/>
              </w:rPr>
            </w:pPr>
            <w:r>
              <w:rPr>
                <w:rFonts w:ascii="宋体" w:hAnsi="宋体" w:cs="宋体" w:hint="eastAsia"/>
                <w:szCs w:val="21"/>
              </w:rPr>
              <w:t>与其他投标供应商的投标文件由</w:t>
            </w:r>
            <w:r>
              <w:rPr>
                <w:rFonts w:ascii="宋体" w:hAnsi="宋体" w:cs="宋体" w:hint="eastAsia"/>
                <w:b/>
                <w:bCs/>
                <w:szCs w:val="21"/>
              </w:rPr>
              <w:t>同一单位或者同一人编制</w:t>
            </w:r>
            <w:r>
              <w:rPr>
                <w:rFonts w:ascii="宋体" w:hAnsi="宋体" w:cs="宋体" w:hint="eastAsia"/>
                <w:szCs w:val="21"/>
              </w:rPr>
              <w:t>，或者使用</w:t>
            </w:r>
            <w:r>
              <w:rPr>
                <w:rFonts w:ascii="宋体" w:hAnsi="宋体" w:cs="宋体" w:hint="eastAsia"/>
                <w:b/>
                <w:bCs/>
                <w:szCs w:val="21"/>
              </w:rPr>
              <w:t>同一设备编制</w:t>
            </w:r>
            <w:r>
              <w:rPr>
                <w:rFonts w:ascii="宋体" w:hAnsi="宋体" w:cs="宋体" w:hint="eastAsia"/>
                <w:szCs w:val="21"/>
              </w:rPr>
              <w:t>（“文件制作机器码”“文件创建标识码”一致）。</w:t>
            </w:r>
          </w:p>
        </w:tc>
      </w:tr>
      <w:tr>
        <w:tblPrEx>
          <w:tblW w:w="0" w:type="auto"/>
          <w:tblInd w:w="0" w:type="dxa"/>
          <w:tblCellMar>
            <w:top w:w="0" w:type="dxa"/>
            <w:left w:w="108" w:type="dxa"/>
            <w:bottom w:w="0" w:type="dxa"/>
            <w:right w:w="108" w:type="dxa"/>
          </w:tblCellMar>
        </w:tblPrEx>
        <w:trPr>
          <w:trHeight w:val="90"/>
        </w:trPr>
        <w:tc>
          <w:tcPr>
            <w:tcW w:w="711" w:type="dxa"/>
          </w:tcPr>
          <w:p>
            <w:pPr>
              <w:spacing w:line="400" w:lineRule="exact"/>
              <w:jc w:val="center"/>
              <w:rPr>
                <w:rFonts w:ascii="宋体" w:hAnsi="宋体" w:cs="宋体" w:hint="eastAsia"/>
                <w:szCs w:val="21"/>
              </w:rPr>
            </w:pPr>
            <w:r>
              <w:rPr>
                <w:rFonts w:ascii="宋体" w:hAnsi="宋体" w:cs="宋体" w:hint="eastAsia"/>
                <w:szCs w:val="21"/>
              </w:rPr>
              <w:t>5</w:t>
            </w:r>
          </w:p>
        </w:tc>
        <w:tc>
          <w:tcPr>
            <w:tcW w:w="7811" w:type="dxa"/>
            <w:vAlign w:val="center"/>
          </w:tcPr>
          <w:p>
            <w:pPr>
              <w:spacing w:line="400" w:lineRule="exact"/>
              <w:jc w:val="left"/>
              <w:rPr>
                <w:rFonts w:ascii="宋体" w:hAnsi="宋体" w:cs="宋体" w:hint="eastAsia"/>
                <w:szCs w:val="21"/>
              </w:rPr>
            </w:pPr>
            <w:r>
              <w:rPr>
                <w:rFonts w:ascii="宋体" w:hAnsi="宋体" w:cs="宋体" w:hint="eastAsia"/>
                <w:szCs w:val="21"/>
              </w:rPr>
              <w:t>提供</w:t>
            </w:r>
            <w:r>
              <w:rPr>
                <w:rFonts w:ascii="宋体" w:hAnsi="宋体" w:cs="宋体" w:hint="eastAsia"/>
                <w:b/>
                <w:bCs/>
                <w:szCs w:val="21"/>
              </w:rPr>
              <w:t>未经出具机构核实</w:t>
            </w:r>
            <w:r>
              <w:rPr>
                <w:rFonts w:ascii="宋体" w:hAnsi="宋体" w:cs="宋体" w:hint="eastAsia"/>
                <w:szCs w:val="21"/>
              </w:rPr>
              <w:t>的虚假的检验检测报告、业绩材料、社保缴纳证明、学历学位证书、职称认证证书等材料。</w:t>
            </w:r>
          </w:p>
        </w:tc>
      </w:tr>
      <w:tr>
        <w:tblPrEx>
          <w:tblW w:w="0" w:type="auto"/>
          <w:tblInd w:w="0" w:type="dxa"/>
          <w:tblCellMar>
            <w:top w:w="0" w:type="dxa"/>
            <w:left w:w="108" w:type="dxa"/>
            <w:bottom w:w="0" w:type="dxa"/>
            <w:right w:w="108" w:type="dxa"/>
          </w:tblCellMar>
        </w:tblPrEx>
        <w:tc>
          <w:tcPr>
            <w:tcW w:w="711" w:type="dxa"/>
          </w:tcPr>
          <w:p>
            <w:pPr>
              <w:spacing w:line="400" w:lineRule="exact"/>
              <w:jc w:val="center"/>
              <w:rPr>
                <w:rFonts w:ascii="宋体" w:hAnsi="宋体" w:cs="宋体" w:hint="eastAsia"/>
                <w:szCs w:val="21"/>
              </w:rPr>
            </w:pPr>
            <w:r>
              <w:rPr>
                <w:rFonts w:ascii="宋体" w:hAnsi="宋体" w:cs="宋体" w:hint="eastAsia"/>
                <w:szCs w:val="21"/>
              </w:rPr>
              <w:t>6</w:t>
            </w:r>
          </w:p>
        </w:tc>
        <w:tc>
          <w:tcPr>
            <w:tcW w:w="7811" w:type="dxa"/>
            <w:vAlign w:val="center"/>
          </w:tcPr>
          <w:p>
            <w:pPr>
              <w:spacing w:line="400" w:lineRule="exact"/>
              <w:jc w:val="left"/>
              <w:rPr>
                <w:rFonts w:ascii="宋体" w:hAnsi="宋体" w:cs="宋体" w:hint="eastAsia"/>
                <w:szCs w:val="21"/>
              </w:rPr>
            </w:pPr>
            <w:r>
              <w:rPr>
                <w:rFonts w:ascii="宋体" w:hAnsi="宋体" w:cs="宋体" w:hint="eastAsia"/>
                <w:szCs w:val="21"/>
              </w:rPr>
              <w:t>擅自将投标密钥或电子营业执照出借他人使用或未妥善保管。</w:t>
            </w:r>
          </w:p>
        </w:tc>
      </w:tr>
    </w:tbl>
    <w:p>
      <w:pPr>
        <w:spacing w:before="120" w:beforeLines="50" w:line="380" w:lineRule="exact"/>
        <w:ind w:firstLine="420" w:firstLineChars="200"/>
        <w:rPr>
          <w:rFonts w:ascii="宋体" w:hAnsi="宋体" w:cs="宋体" w:hint="eastAsia"/>
          <w:b/>
          <w:szCs w:val="21"/>
        </w:rPr>
      </w:pPr>
      <w:r>
        <w:rPr>
          <w:rFonts w:ascii="宋体" w:hAnsi="宋体" w:cs="宋体" w:hint="eastAsia"/>
          <w:b/>
          <w:szCs w:val="21"/>
        </w:rPr>
        <w:t>一、我单位已充分知悉“隐瞒真实情况，提供虚假资料”的法定情形，包括但不限于：</w:t>
      </w:r>
    </w:p>
    <w:p>
      <w:pPr>
        <w:spacing w:line="380" w:lineRule="exact"/>
        <w:ind w:firstLine="420" w:firstLineChars="200"/>
        <w:rPr>
          <w:rFonts w:ascii="宋体" w:hAnsi="宋体" w:cs="宋体" w:hint="eastAsia"/>
          <w:szCs w:val="21"/>
        </w:rPr>
      </w:pPr>
      <w:r>
        <w:rPr>
          <w:rFonts w:ascii="宋体" w:hAnsi="宋体" w:cs="宋体" w:hint="eastAsia"/>
          <w:szCs w:val="21"/>
        </w:rPr>
        <w:t>（一）通过转让或者租借等方式从其他单位获取资格或者资质证书投标的。</w:t>
      </w:r>
    </w:p>
    <w:p>
      <w:pPr>
        <w:spacing w:line="380" w:lineRule="exact"/>
        <w:ind w:firstLine="420" w:firstLineChars="200"/>
        <w:rPr>
          <w:rFonts w:ascii="宋体" w:hAnsi="宋体" w:cs="宋体" w:hint="eastAsia"/>
          <w:szCs w:val="21"/>
        </w:rPr>
      </w:pPr>
      <w:r>
        <w:rPr>
          <w:rFonts w:ascii="宋体" w:hAnsi="宋体" w:cs="宋体" w:hint="eastAsia"/>
          <w:szCs w:val="21"/>
        </w:rPr>
        <w:t>（二）由其他单位或者其他单位负责人在投标供应商编制的投标文件上加盖印章或者签字的。</w:t>
      </w:r>
    </w:p>
    <w:p>
      <w:pPr>
        <w:spacing w:line="380" w:lineRule="exact"/>
        <w:ind w:firstLine="420" w:firstLineChars="200"/>
        <w:rPr>
          <w:rFonts w:ascii="宋体" w:hAnsi="宋体" w:cs="宋体" w:hint="eastAsia"/>
          <w:szCs w:val="21"/>
        </w:rPr>
      </w:pPr>
      <w:r>
        <w:rPr>
          <w:rFonts w:ascii="宋体" w:hAnsi="宋体" w:cs="宋体" w:hint="eastAsia"/>
          <w:szCs w:val="21"/>
        </w:rPr>
        <w:t>（三）项目负责人或者主要技术人员不是本单位人员的。</w:t>
      </w:r>
    </w:p>
    <w:p>
      <w:pPr>
        <w:spacing w:line="380" w:lineRule="exact"/>
        <w:ind w:firstLine="420" w:firstLineChars="200"/>
        <w:rPr>
          <w:rFonts w:ascii="宋体" w:hAnsi="宋体" w:cs="宋体" w:hint="eastAsia"/>
          <w:szCs w:val="21"/>
        </w:rPr>
      </w:pPr>
      <w:r>
        <w:rPr>
          <w:rFonts w:ascii="宋体" w:hAnsi="宋体" w:cs="宋体" w:hint="eastAsia"/>
          <w:szCs w:val="21"/>
        </w:rPr>
        <w:t>（四）投标保证金不是从投标供应商基本账户转出的。</w:t>
      </w:r>
    </w:p>
    <w:p>
      <w:pPr>
        <w:spacing w:line="380" w:lineRule="exact"/>
        <w:ind w:firstLine="420" w:firstLineChars="200"/>
        <w:rPr>
          <w:rFonts w:ascii="宋体" w:hAnsi="宋体" w:cs="宋体" w:hint="eastAsia"/>
          <w:szCs w:val="21"/>
        </w:rPr>
      </w:pPr>
      <w:r>
        <w:rPr>
          <w:rFonts w:ascii="宋体" w:hAnsi="宋体" w:cs="宋体" w:hint="eastAsia"/>
          <w:szCs w:val="21"/>
        </w:rPr>
        <w:t>（五）其他隐瞒真实情况、提供虚假资料的行为。</w:t>
      </w:r>
    </w:p>
    <w:p>
      <w:pPr>
        <w:spacing w:line="380" w:lineRule="exact"/>
        <w:ind w:firstLine="420" w:firstLineChars="200"/>
        <w:rPr>
          <w:rFonts w:ascii="宋体" w:hAnsi="宋体" w:cs="宋体" w:hint="eastAsia"/>
          <w:b/>
          <w:szCs w:val="21"/>
        </w:rPr>
      </w:pPr>
      <w:r>
        <w:rPr>
          <w:rFonts w:ascii="宋体" w:hAnsi="宋体" w:cs="宋体" w:hint="eastAsia"/>
          <w:b/>
          <w:szCs w:val="21"/>
        </w:rPr>
        <w:t>二、我单位已充分知悉“与其他采购参加人串通投标”的法定情形，包括但不限于：</w:t>
      </w:r>
    </w:p>
    <w:p>
      <w:pPr>
        <w:spacing w:line="380" w:lineRule="exact"/>
        <w:ind w:firstLine="420" w:firstLineChars="200"/>
        <w:rPr>
          <w:rFonts w:ascii="宋体" w:hAnsi="宋体" w:cs="宋体" w:hint="eastAsia"/>
          <w:szCs w:val="21"/>
        </w:rPr>
      </w:pPr>
      <w:r>
        <w:rPr>
          <w:rFonts w:ascii="宋体" w:hAnsi="宋体" w:cs="宋体" w:hint="eastAsia"/>
          <w:szCs w:val="21"/>
        </w:rPr>
        <w:t>（一）投标供应商之间相互约定给予未中标的供应商利益补偿。</w:t>
      </w:r>
    </w:p>
    <w:p>
      <w:pPr>
        <w:spacing w:line="380" w:lineRule="exact"/>
        <w:ind w:firstLine="420" w:firstLineChars="200"/>
        <w:rPr>
          <w:rFonts w:ascii="宋体" w:hAnsi="宋体" w:cs="宋体" w:hint="eastAsia"/>
          <w:szCs w:val="21"/>
        </w:rPr>
      </w:pPr>
      <w:r>
        <w:rPr>
          <w:rFonts w:ascii="宋体" w:hAnsi="宋体" w:cs="宋体" w:hint="eastAsia"/>
          <w:szCs w:val="21"/>
        </w:rPr>
        <w:t>（二）不同投标供应商的法定代表人、主要经营负责人、项目投标授权代表人、项目负责人、主要技术人员为同一人、属同一单位或者在同一单位缴纳社会保险。</w:t>
      </w:r>
    </w:p>
    <w:p>
      <w:pPr>
        <w:spacing w:line="340" w:lineRule="exact"/>
        <w:ind w:firstLine="420" w:firstLineChars="200"/>
        <w:rPr>
          <w:rFonts w:ascii="宋体" w:hAnsi="宋体" w:cs="宋体" w:hint="eastAsia"/>
          <w:szCs w:val="21"/>
        </w:rPr>
      </w:pPr>
      <w:r>
        <w:rPr>
          <w:rFonts w:ascii="宋体" w:hAnsi="宋体" w:cs="宋体" w:hint="eastAsia"/>
          <w:szCs w:val="21"/>
        </w:rPr>
        <w:t>（三）不同投标供应商的投标文件由同一单位或者同一人编制，或者由同一人分阶段参与编制的。</w:t>
      </w:r>
    </w:p>
    <w:p>
      <w:pPr>
        <w:spacing w:line="340" w:lineRule="exact"/>
        <w:ind w:firstLine="420" w:firstLineChars="200"/>
        <w:rPr>
          <w:rFonts w:ascii="宋体" w:hAnsi="宋体" w:cs="宋体" w:hint="eastAsia"/>
          <w:szCs w:val="21"/>
        </w:rPr>
      </w:pPr>
      <w:r>
        <w:rPr>
          <w:rFonts w:ascii="宋体" w:hAnsi="宋体" w:cs="宋体" w:hint="eastAsia"/>
          <w:szCs w:val="21"/>
        </w:rPr>
        <w:t>（四）不同投标供应商的投标文件或部分投标文件相互混装。</w:t>
      </w:r>
    </w:p>
    <w:p>
      <w:pPr>
        <w:spacing w:line="340" w:lineRule="exact"/>
        <w:ind w:firstLine="420" w:firstLineChars="200"/>
        <w:rPr>
          <w:rFonts w:ascii="宋体" w:hAnsi="宋体" w:cs="宋体" w:hint="eastAsia"/>
          <w:szCs w:val="21"/>
        </w:rPr>
      </w:pPr>
      <w:r>
        <w:rPr>
          <w:rFonts w:ascii="宋体" w:hAnsi="宋体" w:cs="宋体" w:hint="eastAsia"/>
          <w:szCs w:val="21"/>
        </w:rPr>
        <w:t>（五）不同投标供应商的投标文件内容存在非正常一致。</w:t>
      </w:r>
    </w:p>
    <w:p>
      <w:pPr>
        <w:spacing w:line="340" w:lineRule="exact"/>
        <w:ind w:firstLine="420" w:firstLineChars="200"/>
        <w:rPr>
          <w:rFonts w:ascii="宋体" w:hAnsi="宋体" w:cs="宋体" w:hint="eastAsia"/>
          <w:szCs w:val="21"/>
        </w:rPr>
      </w:pPr>
      <w:r>
        <w:rPr>
          <w:rFonts w:ascii="宋体" w:hAnsi="宋体" w:cs="宋体" w:hint="eastAsia"/>
          <w:szCs w:val="21"/>
        </w:rPr>
        <w:t>（六）由同一单位工作人员为两家以上（含两家）供应商进行同一项投标活动的。</w:t>
      </w:r>
    </w:p>
    <w:p>
      <w:pPr>
        <w:spacing w:line="340" w:lineRule="exact"/>
        <w:ind w:firstLine="420" w:firstLineChars="200"/>
        <w:rPr>
          <w:rFonts w:ascii="宋体" w:hAnsi="宋体" w:cs="宋体" w:hint="eastAsia"/>
          <w:szCs w:val="21"/>
        </w:rPr>
      </w:pPr>
      <w:r>
        <w:rPr>
          <w:rFonts w:ascii="宋体" w:hAnsi="宋体" w:cs="宋体" w:hint="eastAsia"/>
          <w:szCs w:val="21"/>
        </w:rPr>
        <w:t>（七）不同投标人的投标报价呈规律性差异。</w:t>
      </w:r>
    </w:p>
    <w:p>
      <w:pPr>
        <w:spacing w:line="340" w:lineRule="exact"/>
        <w:ind w:firstLine="420" w:firstLineChars="200"/>
        <w:rPr>
          <w:rFonts w:ascii="宋体" w:hAnsi="宋体" w:cs="宋体" w:hint="eastAsia"/>
          <w:szCs w:val="21"/>
        </w:rPr>
      </w:pPr>
      <w:r>
        <w:rPr>
          <w:rFonts w:ascii="宋体" w:hAnsi="宋体" w:cs="宋体" w:hint="eastAsia"/>
          <w:szCs w:val="21"/>
        </w:rPr>
        <w:t>（八）不同投标人的投标保证金从同一单位或者个人的账户转出。</w:t>
      </w:r>
    </w:p>
    <w:p>
      <w:pPr>
        <w:spacing w:line="340" w:lineRule="exact"/>
        <w:ind w:firstLine="420" w:firstLineChars="200"/>
        <w:rPr>
          <w:rFonts w:ascii="宋体" w:hAnsi="宋体" w:cs="宋体" w:hint="eastAsia"/>
          <w:szCs w:val="21"/>
        </w:rPr>
      </w:pPr>
      <w:r>
        <w:rPr>
          <w:rFonts w:ascii="宋体" w:hAnsi="宋体" w:cs="宋体" w:hint="eastAsia"/>
          <w:szCs w:val="21"/>
        </w:rPr>
        <w:t>（九）主管部门依照法律、法规认定的其他情形。</w:t>
      </w:r>
    </w:p>
    <w:p>
      <w:pPr>
        <w:spacing w:line="340" w:lineRule="exact"/>
        <w:ind w:firstLine="420" w:firstLineChars="200"/>
        <w:rPr>
          <w:rFonts w:ascii="宋体" w:hAnsi="宋体" w:cs="宋体" w:hint="eastAsia"/>
          <w:b/>
          <w:szCs w:val="21"/>
        </w:rPr>
      </w:pPr>
      <w:r>
        <w:rPr>
          <w:rFonts w:ascii="宋体" w:hAnsi="宋体" w:cs="宋体" w:hint="eastAsia"/>
          <w:b/>
          <w:szCs w:val="21"/>
        </w:rPr>
        <w:t>三、我单位已充分知悉下列情形存在法律风险，在投标前已对相关风险事项进行排查。</w:t>
      </w:r>
    </w:p>
    <w:p>
      <w:pPr>
        <w:spacing w:line="340" w:lineRule="exact"/>
        <w:ind w:firstLine="420" w:firstLineChars="200"/>
        <w:rPr>
          <w:rFonts w:ascii="宋体" w:hAnsi="宋体" w:cs="宋体" w:hint="eastAsia"/>
          <w:b/>
          <w:szCs w:val="21"/>
        </w:rPr>
      </w:pPr>
      <w:r>
        <w:rPr>
          <w:rFonts w:ascii="宋体" w:hAnsi="宋体" w:cs="宋体" w:hint="eastAsia"/>
          <w:szCs w:val="21"/>
        </w:rPr>
        <w:t>（一）对于从其他主体获取的投标资料，我单位应审慎核查，确保其真实性。</w:t>
      </w:r>
      <w:r>
        <w:rPr>
          <w:rFonts w:ascii="宋体" w:hAnsi="宋体" w:cs="宋体" w:hint="eastAsia"/>
          <w:b/>
          <w:szCs w:val="21"/>
        </w:rPr>
        <w:t>如主管部门查实投标文件中存在虚假资料的，无论相关资料是否由第三方或本公司员工提供，均不影响主管部门对供应商存在“隐瞒真实情况，提供虚假资料”违法行为的认定。</w:t>
      </w:r>
    </w:p>
    <w:p>
      <w:pPr>
        <w:spacing w:line="340" w:lineRule="exact"/>
        <w:ind w:firstLine="420" w:firstLineChars="200"/>
        <w:rPr>
          <w:rFonts w:ascii="宋体" w:hAnsi="宋体" w:cs="宋体" w:hint="eastAsia"/>
          <w:szCs w:val="21"/>
        </w:rPr>
      </w:pPr>
      <w:r>
        <w:rPr>
          <w:rFonts w:ascii="宋体" w:hAnsi="宋体" w:cs="宋体" w:hint="eastAsia"/>
          <w:szCs w:val="21"/>
        </w:rPr>
        <w:t>（二）对于涉及国家机关出具的公文、证件、证明材料等文件，一旦涉嫌虚假，经查实，主管部门将依法从严处理，并移送有关部门追究法律责任；涉嫌犯罪的，移送司法机关处理。</w:t>
      </w:r>
    </w:p>
    <w:p>
      <w:pPr>
        <w:spacing w:line="340" w:lineRule="exact"/>
        <w:ind w:firstLine="420" w:firstLineChars="200"/>
        <w:rPr>
          <w:rFonts w:ascii="宋体" w:hAnsi="宋体" w:cs="宋体" w:hint="eastAsia"/>
          <w:szCs w:val="21"/>
        </w:rPr>
      </w:pPr>
      <w:r>
        <w:rPr>
          <w:rFonts w:ascii="宋体" w:hAnsi="宋体" w:cs="宋体" w:hint="eastAsia"/>
          <w:szCs w:val="21"/>
        </w:rPr>
        <w:t>（三）我单位对投标电子密钥或电子营业执照负有妥善保管、及时变更和续期等主体责任；使用电子密钥或电子营业执照在深圳政府采购网站进行的活动，均具有法律效力，须承担相应的法律后果。若</w:t>
      </w:r>
      <w:r>
        <w:rPr>
          <w:rFonts w:ascii="宋体" w:hAnsi="宋体" w:cs="宋体" w:hint="eastAsia"/>
          <w:b/>
          <w:bCs/>
          <w:szCs w:val="21"/>
        </w:rPr>
        <w:t>擅自将投标密钥或电子营业执照出借他人使用所造成的法律后果，由我单位自行承担</w:t>
      </w:r>
      <w:r>
        <w:rPr>
          <w:rFonts w:ascii="宋体" w:hAnsi="宋体" w:cs="宋体" w:hint="eastAsia"/>
          <w:szCs w:val="21"/>
        </w:rPr>
        <w:t>。</w:t>
      </w:r>
    </w:p>
    <w:p>
      <w:pPr>
        <w:spacing w:line="340" w:lineRule="exact"/>
        <w:ind w:firstLine="420" w:firstLineChars="200"/>
        <w:rPr>
          <w:rFonts w:ascii="宋体" w:hAnsi="宋体" w:cs="宋体" w:hint="eastAsia"/>
          <w:b/>
          <w:szCs w:val="21"/>
        </w:rPr>
      </w:pPr>
      <w:r>
        <w:rPr>
          <w:rFonts w:ascii="宋体" w:hAnsi="宋体" w:cs="宋体" w:hint="eastAsia"/>
          <w:b/>
          <w:szCs w:val="21"/>
        </w:rPr>
        <w:t>四、我单位已充分知悉政府采购违法、违规行为的法律后果。</w:t>
      </w:r>
    </w:p>
    <w:p>
      <w:pPr>
        <w:spacing w:line="340" w:lineRule="exact"/>
        <w:ind w:firstLine="420" w:firstLineChars="200"/>
        <w:rPr>
          <w:rFonts w:ascii="宋体" w:hAnsi="宋体" w:cs="宋体" w:hint="eastAsia"/>
          <w:szCs w:val="21"/>
        </w:rPr>
      </w:pPr>
      <w:r>
        <w:rPr>
          <w:rFonts w:ascii="宋体" w:hAnsi="宋体" w:cs="宋体" w:hint="eastAsia"/>
          <w:szCs w:val="21"/>
        </w:rPr>
        <w:t>经查实，若我单位存在政府采购违法、违规行为，主管部门将依据《深圳经济特区政府采购条例》第五十七条的规定，处以一至三年内禁止参与本市政府采购，并记入供应商诚信档案，处采购金额千分之十以上千分之二十以下罚款；情节严重的，取消参与本市政府采购资格，处采购金额千分之二十以上千分之三十以下罚款，由市场监管部门依法吊销营业执照。</w:t>
      </w:r>
    </w:p>
    <w:p>
      <w:pPr>
        <w:spacing w:line="340" w:lineRule="exact"/>
        <w:ind w:firstLine="420" w:firstLineChars="200"/>
        <w:rPr>
          <w:rFonts w:ascii="宋体" w:hAnsi="宋体" w:cs="宋体" w:hint="eastAsia"/>
          <w:szCs w:val="21"/>
          <w:highlight w:val="yellow"/>
        </w:rPr>
      </w:pPr>
      <w:r>
        <w:rPr>
          <w:rFonts w:ascii="宋体" w:hAnsi="宋体" w:cs="宋体" w:hint="eastAsia"/>
          <w:szCs w:val="21"/>
          <w:highlight w:val="yellow"/>
        </w:rPr>
        <w:t>以下文字请投标供应商抄写并确认：“我单位已仔细阅读《政府采购违法行为风险知悉确认书》，充分知悉违法行为的法律后果，并承诺将严谨、诚信、依法依规参与政府采购活动”。</w:t>
      </w:r>
    </w:p>
    <w:tbl>
      <w:tblPr>
        <w:tblStyle w:val="15"/>
        <w:tblW w:w="8529" w:type="dxa"/>
        <w:tblInd w:w="0" w:type="dxa"/>
        <w:tblBorders>
          <w:top w:val="nil"/>
          <w:left w:val="nil"/>
          <w:bottom w:val="single" w:sz="4" w:space="0" w:color="auto"/>
          <w:right w:val="nil"/>
          <w:insideH w:val="nil"/>
          <w:insideV w:val="nil"/>
        </w:tblBorders>
        <w:tblLayout w:type="fixed"/>
        <w:tblCellMar>
          <w:top w:w="0" w:type="dxa"/>
          <w:left w:w="108" w:type="dxa"/>
          <w:bottom w:w="0" w:type="dxa"/>
          <w:right w:w="108" w:type="dxa"/>
        </w:tblCellMar>
      </w:tblPr>
      <w:tblGrid>
        <w:gridCol w:w="8529"/>
      </w:tblGrid>
      <w:tr>
        <w:tblPrEx>
          <w:tblW w:w="8529" w:type="dxa"/>
          <w:tblInd w:w="0" w:type="dxa"/>
          <w:tblBorders>
            <w:top w:val="nil"/>
            <w:left w:val="nil"/>
            <w:bottom w:val="single" w:sz="4" w:space="0" w:color="auto"/>
            <w:right w:val="nil"/>
            <w:insideH w:val="nil"/>
            <w:insideV w:val="nil"/>
          </w:tblBorders>
          <w:tblLayout w:type="fixed"/>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tcPr>
          <w:p>
            <w:pPr>
              <w:autoSpaceDE w:val="0"/>
              <w:autoSpaceDN w:val="0"/>
              <w:spacing w:line="340" w:lineRule="exact"/>
              <w:ind w:firstLine="1866"/>
              <w:rPr>
                <w:rFonts w:ascii="宋体" w:hAnsi="宋体" w:eastAsiaTheme="minorEastAsia" w:cs="宋体" w:hint="eastAsia"/>
                <w:spacing w:val="-4"/>
                <w:kern w:val="0"/>
                <w:szCs w:val="21"/>
              </w:rPr>
            </w:pPr>
          </w:p>
        </w:tc>
      </w:tr>
      <w:tr>
        <w:tblPrEx>
          <w:tblW w:w="8529" w:type="dxa"/>
          <w:tblInd w:w="0" w:type="dxa"/>
          <w:tblLayout w:type="fixed"/>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autoSpaceDE w:val="0"/>
              <w:autoSpaceDN w:val="0"/>
              <w:spacing w:line="340" w:lineRule="exact"/>
              <w:ind w:firstLine="1866"/>
              <w:rPr>
                <w:rFonts w:ascii="宋体" w:hAnsi="宋体" w:eastAsiaTheme="minorEastAsia" w:cs="宋体" w:hint="eastAsia"/>
                <w:spacing w:val="-4"/>
                <w:kern w:val="0"/>
                <w:szCs w:val="21"/>
              </w:rPr>
            </w:pPr>
          </w:p>
        </w:tc>
      </w:tr>
      <w:tr>
        <w:tblPrEx>
          <w:tblW w:w="8529" w:type="dxa"/>
          <w:tblInd w:w="0" w:type="dxa"/>
          <w:tblLayout w:type="fixed"/>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autoSpaceDE w:val="0"/>
              <w:autoSpaceDN w:val="0"/>
              <w:spacing w:line="340" w:lineRule="exact"/>
              <w:ind w:firstLine="1866"/>
              <w:rPr>
                <w:rFonts w:ascii="宋体" w:hAnsi="宋体" w:eastAsiaTheme="minorEastAsia" w:cs="宋体" w:hint="eastAsia"/>
                <w:spacing w:val="-4"/>
                <w:kern w:val="0"/>
                <w:szCs w:val="21"/>
              </w:rPr>
            </w:pPr>
          </w:p>
        </w:tc>
      </w:tr>
      <w:tr>
        <w:tblPrEx>
          <w:tblW w:w="8529" w:type="dxa"/>
          <w:tblInd w:w="0" w:type="dxa"/>
          <w:tblLayout w:type="fixed"/>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tcPr>
          <w:p>
            <w:pPr>
              <w:autoSpaceDE w:val="0"/>
              <w:autoSpaceDN w:val="0"/>
              <w:spacing w:line="340" w:lineRule="exact"/>
              <w:ind w:firstLine="1866"/>
              <w:rPr>
                <w:rFonts w:ascii="宋体" w:hAnsi="宋体" w:eastAsiaTheme="minorEastAsia" w:cs="宋体" w:hint="eastAsia"/>
                <w:spacing w:val="-4"/>
                <w:kern w:val="0"/>
                <w:szCs w:val="21"/>
              </w:rPr>
            </w:pPr>
          </w:p>
        </w:tc>
      </w:tr>
    </w:tbl>
    <w:p>
      <w:pPr>
        <w:widowControl/>
        <w:wordWrap w:val="0"/>
        <w:autoSpaceDE w:val="0"/>
        <w:autoSpaceDN w:val="0"/>
        <w:spacing w:line="340" w:lineRule="exact"/>
        <w:ind w:right="808" w:firstLine="420" w:firstLineChars="200"/>
        <w:jc w:val="right"/>
        <w:rPr>
          <w:rFonts w:ascii="宋体" w:hAnsi="宋体" w:cs="宋体" w:hint="eastAsia"/>
          <w:spacing w:val="-4"/>
          <w:kern w:val="0"/>
          <w:szCs w:val="21"/>
        </w:rPr>
      </w:pPr>
    </w:p>
    <w:p>
      <w:pPr>
        <w:widowControl/>
        <w:wordWrap w:val="0"/>
        <w:autoSpaceDE w:val="0"/>
        <w:autoSpaceDN w:val="0"/>
        <w:spacing w:line="340" w:lineRule="exact"/>
        <w:ind w:right="808" w:firstLine="420" w:firstLineChars="200"/>
        <w:jc w:val="right"/>
        <w:rPr>
          <w:rFonts w:ascii="宋体" w:hAnsi="宋体" w:cs="宋体" w:hint="eastAsia"/>
          <w:spacing w:val="-4"/>
          <w:kern w:val="0"/>
          <w:szCs w:val="21"/>
          <w:u w:val="single"/>
        </w:rPr>
      </w:pPr>
      <w:r>
        <w:rPr>
          <w:rFonts w:ascii="宋体" w:hAnsi="宋体" w:cs="宋体" w:hint="eastAsia"/>
          <w:spacing w:val="-4"/>
          <w:kern w:val="0"/>
          <w:szCs w:val="21"/>
        </w:rPr>
        <w:t>单位负责人签名：</w:t>
      </w:r>
      <w:r>
        <w:rPr>
          <w:rFonts w:ascii="宋体" w:hAnsi="宋体" w:cs="宋体" w:hint="eastAsia"/>
          <w:spacing w:val="-4"/>
          <w:kern w:val="0"/>
          <w:szCs w:val="21"/>
          <w:u w:val="single"/>
        </w:rPr>
        <w:t xml:space="preserve">              </w:t>
      </w:r>
    </w:p>
    <w:p>
      <w:pPr>
        <w:widowControl/>
        <w:wordWrap w:val="0"/>
        <w:autoSpaceDE w:val="0"/>
        <w:autoSpaceDN w:val="0"/>
        <w:spacing w:line="340" w:lineRule="exact"/>
        <w:ind w:right="808" w:firstLine="420" w:firstLineChars="200"/>
        <w:jc w:val="center"/>
        <w:rPr>
          <w:rFonts w:ascii="宋体" w:hAnsi="宋体" w:cs="宋体" w:hint="eastAsia"/>
          <w:spacing w:val="-4"/>
          <w:kern w:val="0"/>
          <w:szCs w:val="21"/>
          <w:u w:val="single"/>
        </w:rPr>
      </w:pPr>
      <w:r>
        <w:rPr>
          <w:rFonts w:ascii="宋体" w:hAnsi="宋体" w:cs="宋体" w:hint="eastAsia"/>
          <w:spacing w:val="-4"/>
          <w:kern w:val="0"/>
          <w:szCs w:val="21"/>
        </w:rPr>
        <w:t xml:space="preserve">                                 （加盖公章）</w:t>
      </w:r>
    </w:p>
    <w:p>
      <w:pPr>
        <w:widowControl/>
        <w:wordWrap w:val="0"/>
        <w:autoSpaceDE w:val="0"/>
        <w:autoSpaceDN w:val="0"/>
        <w:spacing w:line="340" w:lineRule="exact"/>
        <w:ind w:right="808" w:firstLine="420" w:firstLineChars="200"/>
        <w:jc w:val="right"/>
        <w:rPr>
          <w:rFonts w:ascii="宋体" w:hAnsi="宋体" w:cs="宋体" w:hint="eastAsia"/>
          <w:spacing w:val="-4"/>
          <w:kern w:val="0"/>
          <w:szCs w:val="21"/>
          <w:u w:val="single"/>
        </w:rPr>
      </w:pPr>
      <w:r>
        <w:rPr>
          <w:rFonts w:ascii="宋体" w:hAnsi="宋体" w:cs="宋体" w:hint="eastAsia"/>
          <w:spacing w:val="-4"/>
          <w:kern w:val="0"/>
          <w:szCs w:val="21"/>
        </w:rPr>
        <w:t xml:space="preserve">     日期：</w:t>
      </w:r>
      <w:r>
        <w:rPr>
          <w:rFonts w:ascii="宋体" w:hAnsi="宋体" w:cs="宋体" w:hint="eastAsia"/>
          <w:spacing w:val="-4"/>
          <w:kern w:val="0"/>
          <w:szCs w:val="21"/>
          <w:u w:val="single"/>
        </w:rPr>
        <w:t xml:space="preserve">              </w:t>
      </w:r>
    </w:p>
    <w:p>
      <w:pPr>
        <w:widowControl/>
        <w:autoSpaceDE w:val="0"/>
        <w:autoSpaceDN w:val="0"/>
        <w:spacing w:line="340" w:lineRule="exact"/>
        <w:ind w:firstLine="420" w:firstLineChars="200"/>
        <w:jc w:val="left"/>
        <w:rPr>
          <w:rFonts w:ascii="宋体" w:hAnsi="宋体" w:cs="宋体" w:hint="eastAsia"/>
          <w:b/>
          <w:bCs/>
          <w:spacing w:val="-4"/>
          <w:kern w:val="0"/>
          <w:szCs w:val="21"/>
        </w:rPr>
      </w:pPr>
    </w:p>
    <w:p>
      <w:pPr>
        <w:widowControl/>
        <w:autoSpaceDE w:val="0"/>
        <w:autoSpaceDN w:val="0"/>
        <w:spacing w:line="340" w:lineRule="exact"/>
        <w:ind w:firstLine="420" w:firstLineChars="200"/>
        <w:jc w:val="left"/>
        <w:rPr>
          <w:rFonts w:ascii="宋体" w:hAnsi="宋体" w:cs="宋体" w:hint="eastAsia"/>
          <w:b/>
          <w:bCs/>
          <w:spacing w:val="-4"/>
          <w:kern w:val="0"/>
          <w:szCs w:val="21"/>
        </w:rPr>
      </w:pPr>
      <w:r>
        <w:rPr>
          <w:rFonts w:ascii="宋体" w:hAnsi="宋体" w:cs="宋体" w:hint="eastAsia"/>
          <w:b/>
          <w:bCs/>
          <w:spacing w:val="-4"/>
          <w:kern w:val="0"/>
          <w:szCs w:val="21"/>
        </w:rPr>
        <w:t>注：1.《政府采购违法行为风险知悉确认书》需由投标供应商负责人签字并加盖单位公章后，扫描上传至投标文件一并提交。</w:t>
      </w:r>
    </w:p>
    <w:p>
      <w:pPr>
        <w:pStyle w:val="NoSpacing"/>
      </w:pPr>
      <w:r>
        <w:rPr>
          <w:rFonts w:ascii="宋体" w:hAnsi="宋体" w:cs="宋体" w:hint="eastAsia"/>
          <w:b/>
          <w:bCs/>
          <w:spacing w:val="-4"/>
          <w:kern w:val="0"/>
          <w:szCs w:val="21"/>
        </w:rPr>
        <w:t>2.根据《深圳市财政局关于在采购文件及深圳政府采购智慧平台增设供应商投标特别警示条款等事宜的通知》（深财购〔2025〕7号）的要求，《政府采购违法行为风险知悉确认书》用于对供应商违法行为的提醒，不作为供应商资格性审查及符合性审查条件。</w:t>
      </w:r>
    </w:p>
    <w:p>
      <w:pPr>
        <w:widowControl/>
        <w:autoSpaceDE w:val="0"/>
        <w:autoSpaceDN w:val="0"/>
        <w:spacing w:line="400" w:lineRule="exact"/>
        <w:ind w:firstLine="420" w:firstLineChars="200"/>
        <w:jc w:val="left"/>
        <w:rPr>
          <w:rFonts w:ascii="宋体" w:hAnsi="宋体" w:eastAsiaTheme="minorEastAsia" w:hint="eastAsia"/>
          <w:color w:val="FF0000"/>
          <w:spacing w:val="-4"/>
          <w:kern w:val="0"/>
          <w:szCs w:val="21"/>
        </w:rPr>
      </w:pPr>
    </w:p>
    <w:p>
      <w:pPr>
        <w:widowControl/>
        <w:autoSpaceDE w:val="0"/>
        <w:autoSpaceDN w:val="0"/>
        <w:spacing w:line="400" w:lineRule="exact"/>
        <w:ind w:right="1414" w:firstLine="420" w:firstLineChars="200"/>
        <w:jc w:val="right"/>
        <w:rPr>
          <w:rFonts w:eastAsiaTheme="minorEastAsia"/>
          <w:kern w:val="0"/>
          <w:sz w:val="24"/>
        </w:rPr>
      </w:pPr>
    </w:p>
    <w:p>
      <w:pPr>
        <w:jc w:val="center"/>
        <w:rPr>
          <w:rFonts w:ascii="黑体" w:eastAsia="黑体"/>
          <w:sz w:val="24"/>
          <w:szCs w:val="20"/>
        </w:rPr>
      </w:pPr>
      <w:r>
        <w:rPr>
          <w:rFonts w:ascii="黑体" w:eastAsia="黑体" w:hint="eastAsia"/>
          <w:sz w:val="24"/>
          <w:szCs w:val="20"/>
        </w:rPr>
        <w:t>（二）订单融资情况</w:t>
      </w:r>
    </w:p>
    <w:p>
      <w:pPr>
        <w:ind w:firstLine="420" w:firstLineChars="200"/>
        <w:rPr>
          <w:rFonts w:ascii="宋体" w:hAnsi="宋体" w:cs="宋体" w:hint="eastAsia"/>
          <w:b/>
          <w:bCs/>
        </w:rPr>
      </w:pPr>
      <w:r>
        <w:rPr>
          <w:rFonts w:ascii="宋体" w:hAnsi="宋体" w:cs="宋体" w:hint="eastAsia"/>
          <w:b/>
          <w:bCs/>
        </w:rPr>
        <w:t>1、关于政府采购订单融资政策</w:t>
      </w:r>
    </w:p>
    <w:p>
      <w:pPr>
        <w:pStyle w:val="BodyText"/>
        <w:spacing w:line="240" w:lineRule="auto"/>
        <w:ind w:firstLine="420" w:firstLineChars="200"/>
        <w:rPr>
          <w:b w:val="0"/>
          <w:sz w:val="21"/>
          <w:szCs w:val="21"/>
        </w:rPr>
      </w:pPr>
      <w:r>
        <w:rPr>
          <w:rFonts w:hint="eastAsia"/>
          <w:b w:val="0"/>
          <w:sz w:val="21"/>
          <w:szCs w:val="21"/>
        </w:rPr>
        <w:t>为深入贯彻落实国家深化政府采购制度改革精神，充分发挥政府采购扶持中小企业发展的政策功能，缓解中小微企业融资难、融资贵的问题，根据《深圳市财政局关于加大力度运用政府采购订单融资政策支持企业发展的通知》要求，参与深圳市政府采购活动供应商可凭借所获取的深圳市政府采购中标通知书与采购合同，向参与订单融资业务的金融机构提出融资申请，金融机构以各自信贷政策为基础，为中标（成交）供应商提供融资授信，订单融资具体流程可登录深圳要素交易金融服务平台(https://finance.szexgrp.com/gtm/web/guarantee/#/)，相关政策法规参阅深圳市政府采购监管网（http://zfcg.sz.gov.cn/）信息公开栏目。</w:t>
      </w:r>
    </w:p>
    <w:p>
      <w:pPr>
        <w:ind w:firstLine="420" w:firstLineChars="200"/>
        <w:rPr>
          <w:rFonts w:ascii="宋体" w:hAnsi="宋体" w:cs="宋体" w:hint="eastAsia"/>
          <w:b/>
          <w:bCs/>
        </w:rPr>
      </w:pPr>
      <w:r>
        <w:rPr>
          <w:rFonts w:ascii="宋体" w:hAnsi="宋体" w:cs="宋体" w:hint="eastAsia"/>
          <w:b/>
          <w:bCs/>
        </w:rPr>
        <w:t>2、供应商账户信息</w:t>
      </w:r>
    </w:p>
    <w:p>
      <w:pPr>
        <w:ind w:left="420" w:firstLine="210" w:leftChars="200" w:firstLineChars="100"/>
        <w:rPr>
          <w:szCs w:val="21"/>
        </w:rPr>
      </w:pPr>
      <w:r>
        <w:rPr>
          <w:rFonts w:hint="eastAsia"/>
          <w:szCs w:val="21"/>
        </w:rPr>
        <w:t>投标人（单位全称）：</w:t>
      </w:r>
      <w:r>
        <w:rPr>
          <w:rFonts w:hint="eastAsia"/>
          <w:szCs w:val="21"/>
          <w:u w:val="thick"/>
        </w:rPr>
        <w:t xml:space="preserve">                           </w:t>
      </w:r>
      <w:r>
        <w:rPr>
          <w:rFonts w:hint="eastAsia"/>
          <w:szCs w:val="21"/>
        </w:rPr>
        <w:t xml:space="preserve">；  </w:t>
      </w:r>
    </w:p>
    <w:p>
      <w:pPr>
        <w:ind w:left="420" w:firstLine="210" w:leftChars="200" w:firstLineChars="100"/>
        <w:rPr>
          <w:szCs w:val="21"/>
        </w:rPr>
      </w:pPr>
      <w:r>
        <w:rPr>
          <w:rFonts w:hint="eastAsia"/>
          <w:szCs w:val="21"/>
        </w:rPr>
        <w:t>投标人单位地址：</w:t>
      </w:r>
      <w:r>
        <w:rPr>
          <w:rFonts w:hint="eastAsia"/>
          <w:szCs w:val="21"/>
          <w:u w:val="thick"/>
        </w:rPr>
        <w:t xml:space="preserve">                    </w:t>
      </w:r>
      <w:r>
        <w:rPr>
          <w:rFonts w:hint="eastAsia"/>
          <w:szCs w:val="21"/>
        </w:rPr>
        <w:t>；</w:t>
      </w:r>
    </w:p>
    <w:p>
      <w:pPr>
        <w:ind w:left="420" w:firstLine="210" w:leftChars="200" w:firstLineChars="100"/>
        <w:rPr>
          <w:szCs w:val="21"/>
        </w:rPr>
      </w:pPr>
      <w:r>
        <w:rPr>
          <w:rFonts w:hint="eastAsia"/>
          <w:szCs w:val="21"/>
        </w:rPr>
        <w:t>法定代表人（负责人）或其授权委托代理人：</w:t>
      </w:r>
      <w:r>
        <w:rPr>
          <w:rFonts w:hint="eastAsia"/>
          <w:szCs w:val="21"/>
          <w:u w:val="thick"/>
        </w:rPr>
        <w:t xml:space="preserve">                      </w:t>
      </w:r>
      <w:r>
        <w:rPr>
          <w:rFonts w:hint="eastAsia"/>
          <w:szCs w:val="21"/>
        </w:rPr>
        <w:t>；</w:t>
      </w:r>
    </w:p>
    <w:p>
      <w:pPr>
        <w:ind w:left="420" w:firstLine="210" w:leftChars="200" w:firstLineChars="100"/>
        <w:rPr>
          <w:szCs w:val="21"/>
          <w:u w:val="thick"/>
        </w:rPr>
      </w:pPr>
      <w:r>
        <w:rPr>
          <w:rFonts w:hint="eastAsia"/>
          <w:szCs w:val="21"/>
        </w:rPr>
        <w:t>联系电话：</w:t>
      </w:r>
      <w:r>
        <w:rPr>
          <w:rFonts w:hint="eastAsia"/>
          <w:szCs w:val="21"/>
          <w:u w:val="thick"/>
        </w:rPr>
        <w:t xml:space="preserve">                     </w:t>
      </w:r>
      <w:r>
        <w:rPr>
          <w:rFonts w:hint="eastAsia"/>
          <w:szCs w:val="21"/>
        </w:rPr>
        <w:t>；</w:t>
      </w:r>
    </w:p>
    <w:p>
      <w:pPr>
        <w:ind w:left="420" w:firstLine="210" w:leftChars="200" w:firstLineChars="100"/>
        <w:rPr>
          <w:szCs w:val="21"/>
        </w:rPr>
      </w:pPr>
      <w:r>
        <w:rPr>
          <w:rFonts w:hint="eastAsia"/>
          <w:szCs w:val="21"/>
        </w:rPr>
        <w:t>开户银行名称：</w:t>
      </w:r>
      <w:r>
        <w:rPr>
          <w:rFonts w:hint="eastAsia"/>
          <w:szCs w:val="21"/>
          <w:u w:val="thick"/>
        </w:rPr>
        <w:t xml:space="preserve">                                                 </w:t>
      </w:r>
      <w:r>
        <w:rPr>
          <w:rFonts w:hint="eastAsia"/>
          <w:szCs w:val="21"/>
        </w:rPr>
        <w:t>；</w:t>
      </w:r>
    </w:p>
    <w:p>
      <w:pPr>
        <w:ind w:left="420" w:firstLine="210" w:leftChars="200" w:firstLineChars="100"/>
        <w:rPr>
          <w:szCs w:val="21"/>
          <w:u w:val="thick"/>
        </w:rPr>
      </w:pPr>
      <w:r>
        <w:rPr>
          <w:rFonts w:hint="eastAsia"/>
          <w:szCs w:val="21"/>
        </w:rPr>
        <w:t>开户银行账号：</w:t>
      </w:r>
      <w:r>
        <w:rPr>
          <w:rFonts w:hint="eastAsia"/>
          <w:szCs w:val="21"/>
          <w:u w:val="thick"/>
        </w:rPr>
        <w:t xml:space="preserve">                                                  </w:t>
      </w:r>
      <w:r>
        <w:rPr>
          <w:rFonts w:hint="eastAsia"/>
          <w:szCs w:val="21"/>
        </w:rPr>
        <w:t>；</w:t>
      </w:r>
    </w:p>
    <w:p>
      <w:pPr>
        <w:ind w:left="420" w:firstLine="210" w:leftChars="200" w:firstLineChars="100"/>
        <w:rPr>
          <w:szCs w:val="21"/>
        </w:rPr>
      </w:pPr>
      <w:r>
        <w:rPr>
          <w:rFonts w:hint="eastAsia"/>
          <w:szCs w:val="21"/>
        </w:rPr>
        <w:t>开户银行地址：</w:t>
      </w:r>
      <w:r>
        <w:rPr>
          <w:rFonts w:hint="eastAsia"/>
          <w:szCs w:val="21"/>
          <w:u w:val="thick"/>
        </w:rPr>
        <w:t xml:space="preserve">                                                  </w:t>
      </w:r>
      <w:r>
        <w:rPr>
          <w:rFonts w:hint="eastAsia"/>
          <w:szCs w:val="21"/>
        </w:rPr>
        <w:t>。</w:t>
      </w:r>
    </w:p>
    <w:p>
      <w:pPr>
        <w:ind w:left="420" w:firstLine="210" w:leftChars="200" w:firstLineChars="100"/>
        <w:rPr>
          <w:szCs w:val="21"/>
        </w:rPr>
      </w:pPr>
      <w:r>
        <w:rPr>
          <w:rFonts w:hint="eastAsia"/>
          <w:szCs w:val="21"/>
        </w:rPr>
        <w:t xml:space="preserve"> </w:t>
      </w:r>
      <w:r>
        <w:rPr>
          <w:rFonts w:ascii="宋体" w:hAnsi="宋体" w:eastAsiaTheme="minorEastAsia" w:hint="eastAsia"/>
          <w:b/>
          <w:bCs/>
          <w:color w:val="FF0000"/>
          <w:spacing w:val="-4"/>
          <w:kern w:val="0"/>
          <w:szCs w:val="21"/>
        </w:rPr>
        <w:t>注：本项填写内容作为订单融资开展的参考信息，不作为供应商资格性审查及符合性审查条件。</w:t>
      </w:r>
    </w:p>
    <w:p>
      <w:pPr>
        <w:widowControl/>
        <w:autoSpaceDE w:val="0"/>
        <w:autoSpaceDN w:val="0"/>
        <w:spacing w:line="400" w:lineRule="exact"/>
        <w:ind w:right="1414" w:firstLine="420" w:firstLineChars="200"/>
        <w:jc w:val="right"/>
        <w:rPr>
          <w:rFonts w:eastAsiaTheme="minorEastAsia"/>
          <w:kern w:val="0"/>
          <w:sz w:val="24"/>
        </w:rPr>
      </w:pPr>
    </w:p>
    <w:p>
      <w:pPr>
        <w:widowControl/>
        <w:jc w:val="center"/>
        <w:rPr>
          <w:rFonts w:ascii="黑体" w:eastAsia="黑体" w:hAnsi="宋体" w:hint="eastAsia"/>
          <w:kern w:val="0"/>
          <w:sz w:val="24"/>
          <w:szCs w:val="20"/>
        </w:rPr>
      </w:pPr>
      <w:r>
        <w:rPr>
          <w:rFonts w:ascii="黑体" w:eastAsia="黑体" w:hAnsi="宋体" w:hint="eastAsia"/>
          <w:kern w:val="0"/>
          <w:sz w:val="24"/>
          <w:szCs w:val="20"/>
        </w:rPr>
        <w:t>（三）投标人认为需要加以说明的其他内容（格式自定）</w:t>
      </w:r>
    </w:p>
    <w:p/>
    <w:p>
      <w:pPr>
        <w:pStyle w:val="BodyText"/>
        <w:sectPr>
          <w:pgSz w:w="11907" w:h="16840"/>
          <w:pgMar w:top="1440" w:right="1797" w:bottom="1440" w:left="1797" w:header="851" w:footer="992" w:gutter="0"/>
          <w:cols w:num="1" w:space="425"/>
          <w:titlePg/>
          <w:docGrid w:linePitch="462" w:charSpace="0"/>
        </w:sectPr>
      </w:pPr>
    </w:p>
    <w:p>
      <w:pPr>
        <w:pStyle w:val="BodyText"/>
      </w:pPr>
    </w:p>
    <w:p>
      <w:pPr>
        <w:pStyle w:val="Heading2"/>
        <w:rPr>
          <w:rFonts w:hint="eastAsia"/>
        </w:rPr>
      </w:pPr>
      <w:r>
        <w:rPr>
          <w:rFonts w:hint="eastAsia"/>
        </w:rPr>
        <w:t>第五章  合同条款及格式</w:t>
      </w:r>
    </w:p>
    <w:p>
      <w:pPr>
        <w:ind w:firstLine="412" w:firstLineChars="196"/>
      </w:pPr>
    </w:p>
    <w:p>
      <w:pPr>
        <w:pStyle w:val="BodyText"/>
        <w:jc w:val="center"/>
      </w:pPr>
      <w:bookmarkStart w:id="55" w:name="OLE_LINK4"/>
      <w:r>
        <w:rPr>
          <w:rFonts w:ascii="宋体" w:hAnsi="宋体" w:hint="eastAsia"/>
          <w:szCs w:val="21"/>
        </w:rPr>
        <w:t>清华大学深圳国际研究生院国际一期物业管理服务项目</w:t>
      </w:r>
      <w:bookmarkEnd w:id="55"/>
    </w:p>
    <w:p>
      <w:pPr>
        <w:spacing w:line="360" w:lineRule="auto"/>
        <w:rPr>
          <w:rFonts w:ascii="宋体" w:hAnsi="宋体" w:hint="eastAsia"/>
          <w:b/>
          <w:bCs/>
          <w:szCs w:val="21"/>
        </w:rPr>
      </w:pPr>
      <w:r>
        <w:rPr>
          <w:rFonts w:ascii="宋体" w:hAnsi="宋体" w:hint="eastAsia"/>
          <w:b/>
          <w:bCs/>
          <w:szCs w:val="21"/>
        </w:rPr>
        <w:t xml:space="preserve">甲方： </w:t>
      </w:r>
    </w:p>
    <w:p>
      <w:pPr>
        <w:spacing w:line="360" w:lineRule="auto"/>
        <w:rPr>
          <w:rFonts w:ascii="宋体" w:hAnsi="宋体" w:hint="eastAsia"/>
          <w:szCs w:val="21"/>
        </w:rPr>
      </w:pPr>
      <w:r>
        <w:rPr>
          <w:rFonts w:ascii="宋体" w:hAnsi="宋体" w:hint="eastAsia"/>
          <w:szCs w:val="21"/>
        </w:rPr>
        <w:t xml:space="preserve">委托代理人： </w:t>
      </w:r>
    </w:p>
    <w:p>
      <w:pPr>
        <w:spacing w:line="360" w:lineRule="auto"/>
        <w:rPr>
          <w:rFonts w:ascii="宋体" w:hAnsi="宋体" w:hint="eastAsia"/>
          <w:szCs w:val="21"/>
        </w:rPr>
      </w:pPr>
      <w:r>
        <w:rPr>
          <w:rFonts w:ascii="宋体" w:hAnsi="宋体" w:hint="eastAsia"/>
          <w:szCs w:val="21"/>
        </w:rPr>
        <w:t xml:space="preserve">地址： </w:t>
      </w:r>
    </w:p>
    <w:p>
      <w:pPr>
        <w:spacing w:line="360" w:lineRule="auto"/>
        <w:rPr>
          <w:rFonts w:ascii="宋体" w:hAnsi="宋体" w:hint="eastAsia"/>
          <w:b/>
          <w:bCs/>
          <w:szCs w:val="21"/>
        </w:rPr>
      </w:pPr>
      <w:r>
        <w:rPr>
          <w:rFonts w:ascii="宋体" w:hAnsi="宋体" w:hint="eastAsia"/>
          <w:szCs w:val="21"/>
        </w:rPr>
        <w:t>联系电话：</w:t>
      </w:r>
    </w:p>
    <w:p>
      <w:pPr>
        <w:spacing w:line="360" w:lineRule="auto"/>
        <w:rPr>
          <w:rFonts w:ascii="宋体" w:hAnsi="宋体" w:hint="eastAsia"/>
          <w:b/>
          <w:bCs/>
          <w:szCs w:val="21"/>
        </w:rPr>
      </w:pPr>
    </w:p>
    <w:p>
      <w:pPr>
        <w:spacing w:line="360" w:lineRule="auto"/>
        <w:rPr>
          <w:rFonts w:ascii="宋体" w:hAnsi="宋体" w:hint="eastAsia"/>
          <w:b/>
          <w:bCs/>
          <w:szCs w:val="21"/>
        </w:rPr>
      </w:pPr>
      <w:r>
        <w:rPr>
          <w:rFonts w:ascii="宋体" w:hAnsi="宋体" w:hint="eastAsia"/>
          <w:b/>
          <w:bCs/>
          <w:szCs w:val="21"/>
        </w:rPr>
        <w:t xml:space="preserve">乙方： </w:t>
      </w:r>
    </w:p>
    <w:p>
      <w:pPr>
        <w:spacing w:line="360" w:lineRule="auto"/>
        <w:rPr>
          <w:rFonts w:ascii="宋体" w:hAnsi="宋体" w:hint="eastAsia"/>
          <w:szCs w:val="21"/>
        </w:rPr>
      </w:pPr>
      <w:r>
        <w:rPr>
          <w:rFonts w:ascii="宋体" w:hAnsi="宋体" w:hint="eastAsia"/>
          <w:szCs w:val="21"/>
        </w:rPr>
        <w:t xml:space="preserve">法定代表人： </w:t>
      </w:r>
    </w:p>
    <w:p>
      <w:pPr>
        <w:spacing w:line="360" w:lineRule="auto"/>
        <w:rPr>
          <w:rFonts w:ascii="宋体" w:hAnsi="宋体" w:hint="eastAsia"/>
          <w:szCs w:val="21"/>
        </w:rPr>
      </w:pPr>
      <w:r>
        <w:rPr>
          <w:rFonts w:ascii="宋体" w:hAnsi="宋体" w:hint="eastAsia"/>
          <w:szCs w:val="21"/>
        </w:rPr>
        <w:t>地址：</w:t>
      </w:r>
    </w:p>
    <w:p>
      <w:pPr>
        <w:spacing w:line="360" w:lineRule="auto"/>
        <w:rPr>
          <w:rFonts w:ascii="宋体" w:hAnsi="宋体" w:hint="eastAsia"/>
          <w:b/>
          <w:bCs/>
          <w:szCs w:val="21"/>
        </w:rPr>
      </w:pPr>
      <w:r>
        <w:rPr>
          <w:rFonts w:ascii="宋体" w:hAnsi="宋体" w:hint="eastAsia"/>
          <w:szCs w:val="21"/>
        </w:rPr>
        <w:t>联系电话：</w:t>
      </w:r>
    </w:p>
    <w:p>
      <w:pPr>
        <w:spacing w:line="360" w:lineRule="auto"/>
        <w:rPr>
          <w:rFonts w:ascii="宋体" w:hAnsi="宋体" w:hint="eastAsia"/>
          <w:szCs w:val="21"/>
        </w:rPr>
      </w:pPr>
    </w:p>
    <w:p>
      <w:pPr>
        <w:spacing w:line="360" w:lineRule="auto"/>
        <w:ind w:firstLine="420" w:firstLineChars="200"/>
        <w:rPr>
          <w:rFonts w:ascii="宋体" w:hAnsi="宋体" w:hint="eastAsia"/>
          <w:szCs w:val="21"/>
        </w:rPr>
      </w:pPr>
      <w:r>
        <w:rPr>
          <w:rFonts w:ascii="宋体" w:hAnsi="宋体" w:hint="eastAsia"/>
          <w:szCs w:val="21"/>
        </w:rPr>
        <w:t>根据      项目（项目编号：）招标结果，       为中标人。按照《中华人民共和国民法典》（第三编 合同）》和《深圳经济特区政府采购条例》等法律法规，经      以下简称甲方）和       （以下简称乙方）协商，就甲方委托乙方承担清华大学深圳国际研究生院国际一期物业管理服务项目，达成以下合同条款：</w:t>
      </w:r>
    </w:p>
    <w:p>
      <w:pPr>
        <w:spacing w:line="360" w:lineRule="auto"/>
        <w:jc w:val="center"/>
        <w:rPr>
          <w:rFonts w:ascii="宋体" w:hAnsi="宋体" w:hint="eastAsia"/>
          <w:b/>
          <w:bCs/>
          <w:szCs w:val="21"/>
        </w:rPr>
      </w:pPr>
      <w:r>
        <w:rPr>
          <w:rFonts w:ascii="宋体" w:hAnsi="宋体" w:hint="eastAsia"/>
          <w:b/>
          <w:bCs/>
          <w:szCs w:val="21"/>
        </w:rPr>
        <w:t>第一条　项目概况</w:t>
      </w:r>
    </w:p>
    <w:p>
      <w:pPr>
        <w:spacing w:line="360" w:lineRule="auto"/>
        <w:ind w:firstLine="420" w:firstLineChars="200"/>
        <w:rPr>
          <w:rFonts w:ascii="宋体" w:hAnsi="宋体" w:hint="eastAsia"/>
          <w:szCs w:val="21"/>
        </w:rPr>
      </w:pPr>
      <w:r>
        <w:rPr>
          <w:rFonts w:ascii="宋体" w:hAnsi="宋体" w:hint="eastAsia"/>
          <w:szCs w:val="21"/>
        </w:rPr>
        <w:t xml:space="preserve">项目名称： </w:t>
      </w:r>
    </w:p>
    <w:p>
      <w:pPr>
        <w:spacing w:line="360" w:lineRule="auto"/>
        <w:ind w:firstLine="420" w:firstLineChars="200"/>
        <w:rPr>
          <w:rFonts w:ascii="宋体" w:hAnsi="宋体" w:hint="eastAsia"/>
          <w:szCs w:val="21"/>
        </w:rPr>
      </w:pPr>
      <w:r>
        <w:rPr>
          <w:rFonts w:ascii="宋体" w:hAnsi="宋体" w:hint="eastAsia"/>
          <w:szCs w:val="21"/>
        </w:rPr>
        <w:t xml:space="preserve">项目内容： </w:t>
      </w:r>
    </w:p>
    <w:p>
      <w:pPr>
        <w:spacing w:line="360" w:lineRule="auto"/>
        <w:ind w:firstLine="420" w:firstLineChars="200"/>
        <w:rPr>
          <w:rFonts w:ascii="宋体" w:hAnsi="宋体" w:hint="eastAsia"/>
          <w:szCs w:val="21"/>
        </w:rPr>
      </w:pPr>
      <w:r>
        <w:rPr>
          <w:rFonts w:ascii="宋体" w:hAnsi="宋体" w:hint="eastAsia"/>
          <w:szCs w:val="21"/>
        </w:rPr>
        <w:t xml:space="preserve">物业类型： </w:t>
      </w:r>
    </w:p>
    <w:p>
      <w:pPr>
        <w:spacing w:line="360" w:lineRule="auto"/>
        <w:ind w:firstLine="420" w:firstLineChars="200"/>
        <w:rPr>
          <w:rFonts w:ascii="宋体" w:hAnsi="宋体" w:hint="eastAsia"/>
          <w:szCs w:val="21"/>
        </w:rPr>
      </w:pPr>
      <w:r>
        <w:rPr>
          <w:rFonts w:ascii="宋体" w:hAnsi="宋体" w:hint="eastAsia"/>
          <w:szCs w:val="21"/>
        </w:rPr>
        <w:t xml:space="preserve">坐落位置： </w:t>
      </w:r>
    </w:p>
    <w:p>
      <w:pPr>
        <w:spacing w:line="360" w:lineRule="auto"/>
        <w:ind w:firstLine="420" w:firstLineChars="200"/>
        <w:rPr>
          <w:rFonts w:ascii="宋体" w:hAnsi="宋体" w:hint="eastAsia"/>
          <w:szCs w:val="21"/>
        </w:rPr>
      </w:pPr>
      <w:r>
        <w:rPr>
          <w:rFonts w:ascii="宋体" w:hAnsi="宋体" w:hint="eastAsia"/>
          <w:szCs w:val="21"/>
        </w:rPr>
        <w:t>建筑面积：；</w:t>
      </w:r>
    </w:p>
    <w:p>
      <w:pPr>
        <w:spacing w:line="360" w:lineRule="auto"/>
        <w:ind w:firstLine="420" w:firstLineChars="200"/>
        <w:rPr>
          <w:rFonts w:ascii="宋体" w:hAnsi="宋体" w:hint="eastAsia"/>
          <w:szCs w:val="21"/>
        </w:rPr>
      </w:pPr>
      <w:r>
        <w:rPr>
          <w:rFonts w:ascii="宋体" w:hAnsi="宋体" w:hint="eastAsia"/>
          <w:szCs w:val="21"/>
        </w:rPr>
        <w:t>合同价款：合同总价为</w:t>
      </w:r>
      <w:r>
        <w:rPr>
          <w:rFonts w:ascii="宋体" w:hAnsi="宋体" w:hint="eastAsia"/>
          <w:szCs w:val="21"/>
          <w:u w:val="single"/>
        </w:rPr>
        <w:t xml:space="preserve">      </w:t>
      </w:r>
      <w:r>
        <w:rPr>
          <w:rFonts w:ascii="宋体" w:hAnsi="宋体" w:hint="eastAsia"/>
          <w:szCs w:val="21"/>
        </w:rPr>
        <w:t>元（大写：     ）每月的物业服务费为人民币       元（大写：          ）。项目服务费采用包干制，应包括服务成本、法定税费和企业的利润等全部费用。前述费用不包含甲方要求乙方在本合同约定物业区域范围之外配合提供相关物业管理及服务而增加的法定节假日期间的加班及误餐费用。</w:t>
      </w:r>
    </w:p>
    <w:p>
      <w:pPr>
        <w:spacing w:line="360" w:lineRule="auto"/>
        <w:jc w:val="center"/>
        <w:rPr>
          <w:rFonts w:ascii="宋体" w:hAnsi="宋体" w:hint="eastAsia"/>
          <w:b/>
          <w:bCs/>
          <w:szCs w:val="21"/>
        </w:rPr>
      </w:pPr>
      <w:r>
        <w:rPr>
          <w:rFonts w:ascii="宋体" w:hAnsi="宋体" w:hint="eastAsia"/>
          <w:b/>
          <w:bCs/>
          <w:szCs w:val="21"/>
        </w:rPr>
        <w:t>第二条 服务范围</w:t>
      </w:r>
    </w:p>
    <w:p>
      <w:pPr>
        <w:spacing w:line="360" w:lineRule="auto"/>
        <w:jc w:val="center"/>
        <w:rPr>
          <w:rFonts w:ascii="宋体" w:hAnsi="宋体" w:hint="eastAsia"/>
          <w:b/>
          <w:bCs/>
          <w:szCs w:val="21"/>
        </w:rPr>
      </w:pPr>
    </w:p>
    <w:p>
      <w:pPr>
        <w:spacing w:line="360" w:lineRule="auto"/>
        <w:jc w:val="center"/>
        <w:rPr>
          <w:rFonts w:ascii="宋体" w:hAnsi="宋体" w:hint="eastAsia"/>
          <w:b/>
          <w:bCs/>
          <w:szCs w:val="21"/>
        </w:rPr>
      </w:pPr>
      <w:r>
        <w:rPr>
          <w:rFonts w:ascii="宋体" w:hAnsi="宋体" w:hint="eastAsia"/>
          <w:b/>
          <w:bCs/>
          <w:szCs w:val="21"/>
        </w:rPr>
        <w:t>第三条</w:t>
      </w:r>
      <w:r>
        <w:rPr>
          <w:rFonts w:ascii="宋体" w:hAnsi="宋体" w:hint="eastAsia"/>
          <w:b/>
          <w:bCs/>
          <w:szCs w:val="21"/>
        </w:rPr>
        <w:tab/>
      </w:r>
      <w:r>
        <w:rPr>
          <w:rFonts w:ascii="宋体" w:hAnsi="宋体" w:hint="eastAsia"/>
          <w:b/>
          <w:bCs/>
          <w:szCs w:val="21"/>
        </w:rPr>
        <w:t>物业服务期限</w:t>
      </w:r>
    </w:p>
    <w:p>
      <w:pPr>
        <w:spacing w:line="360" w:lineRule="auto"/>
        <w:ind w:firstLine="420" w:firstLineChars="200"/>
        <w:rPr>
          <w:rFonts w:ascii="宋体" w:hAnsi="宋体" w:hint="eastAsia"/>
          <w:szCs w:val="21"/>
        </w:rPr>
      </w:pPr>
      <w:r>
        <w:rPr>
          <w:rFonts w:ascii="宋体" w:hAnsi="宋体" w:hint="eastAsia"/>
        </w:rPr>
        <w:t>本合同服务期限为一年，自        起至            止。</w:t>
      </w:r>
      <w:r>
        <w:rPr>
          <w:rFonts w:ascii="宋体" w:hAnsi="宋体" w:hint="eastAsia"/>
          <w:szCs w:val="21"/>
        </w:rPr>
        <w:t>该项目为长期服务项目，合同期满可以续签，但合同履行期限最长不得超过三十六个月。如甲方对履约情况不满意，甲方不再续约。</w:t>
      </w:r>
    </w:p>
    <w:p>
      <w:pPr>
        <w:spacing w:line="360" w:lineRule="auto"/>
        <w:jc w:val="center"/>
        <w:rPr>
          <w:rFonts w:ascii="宋体" w:hAnsi="宋体" w:hint="eastAsia"/>
          <w:b/>
          <w:bCs/>
          <w:szCs w:val="21"/>
        </w:rPr>
      </w:pPr>
      <w:r>
        <w:rPr>
          <w:rFonts w:ascii="宋体" w:hAnsi="宋体" w:hint="eastAsia"/>
          <w:b/>
          <w:bCs/>
          <w:szCs w:val="21"/>
        </w:rPr>
        <w:t>第四条</w:t>
      </w:r>
      <w:r>
        <w:rPr>
          <w:rFonts w:ascii="宋体" w:hAnsi="宋体" w:hint="eastAsia"/>
          <w:b/>
          <w:bCs/>
          <w:szCs w:val="21"/>
        </w:rPr>
        <w:tab/>
      </w:r>
      <w:r>
        <w:rPr>
          <w:rFonts w:ascii="宋体" w:hAnsi="宋体" w:hint="eastAsia"/>
          <w:b/>
          <w:bCs/>
          <w:szCs w:val="21"/>
        </w:rPr>
        <w:t>物业服务标准</w:t>
      </w:r>
    </w:p>
    <w:p>
      <w:pPr>
        <w:spacing w:line="360" w:lineRule="auto"/>
        <w:ind w:firstLine="420" w:firstLineChars="200"/>
        <w:rPr>
          <w:rFonts w:ascii="宋体" w:hAnsi="宋体" w:hint="eastAsia"/>
          <w:szCs w:val="21"/>
        </w:rPr>
      </w:pPr>
      <w:r>
        <w:rPr>
          <w:rFonts w:ascii="宋体" w:hAnsi="宋体"/>
          <w:szCs w:val="21"/>
        </w:rPr>
        <w:t>1</w:t>
      </w:r>
      <w:r>
        <w:rPr>
          <w:rFonts w:ascii="宋体" w:hAnsi="宋体" w:hint="eastAsia"/>
          <w:szCs w:val="21"/>
        </w:rPr>
        <w:t>、</w:t>
      </w:r>
      <w:r>
        <w:rPr>
          <w:rFonts w:ascii="宋体" w:hAnsi="宋体"/>
          <w:szCs w:val="21"/>
        </w:rPr>
        <w:t>严格按照国家和行业有关标准进行运作和管理。</w:t>
      </w:r>
    </w:p>
    <w:p>
      <w:pPr>
        <w:spacing w:line="360" w:lineRule="auto"/>
        <w:ind w:firstLine="420" w:firstLineChars="200"/>
        <w:rPr>
          <w:rFonts w:ascii="宋体" w:hAnsi="宋体" w:hint="eastAsia"/>
          <w:szCs w:val="21"/>
        </w:rPr>
      </w:pPr>
      <w:r>
        <w:rPr>
          <w:rFonts w:ascii="宋体" w:hAnsi="宋体"/>
          <w:szCs w:val="21"/>
        </w:rPr>
        <w:t>2</w:t>
      </w:r>
      <w:r>
        <w:rPr>
          <w:rFonts w:ascii="宋体" w:hAnsi="宋体" w:hint="eastAsia"/>
          <w:szCs w:val="21"/>
        </w:rPr>
        <w:t>、</w:t>
      </w:r>
      <w:r>
        <w:rPr>
          <w:rFonts w:ascii="宋体" w:hAnsi="宋体"/>
          <w:szCs w:val="21"/>
        </w:rPr>
        <w:t>严格按照乙方制定的供配电系统、动力系统、照明系统的管理制度、规程、流程、作业指导书（以上管理制度、规程、流程、作业指导书</w:t>
      </w:r>
      <w:r>
        <w:rPr>
          <w:rFonts w:ascii="宋体" w:hAnsi="宋体" w:hint="eastAsia"/>
          <w:szCs w:val="21"/>
        </w:rPr>
        <w:t>须</w:t>
      </w:r>
      <w:r>
        <w:rPr>
          <w:rFonts w:ascii="宋体" w:hAnsi="宋体"/>
          <w:szCs w:val="21"/>
        </w:rPr>
        <w:t>通过甲方审核）及定期维护标准， 保证总配电系统故障停电次数不超过1次/套·年，总配电系统故障次数不超过3次/年，每区域照明灯损坏率不超过 3%，突发性停电备用发电机在 5 分钟内启动并接入应急电网。</w:t>
      </w:r>
    </w:p>
    <w:p>
      <w:pPr>
        <w:spacing w:line="360" w:lineRule="auto"/>
        <w:ind w:firstLine="420" w:firstLineChars="200"/>
        <w:rPr>
          <w:rFonts w:ascii="宋体" w:hAnsi="宋体" w:hint="eastAsia"/>
          <w:szCs w:val="21"/>
        </w:rPr>
      </w:pPr>
      <w:r>
        <w:rPr>
          <w:rFonts w:ascii="宋体" w:hAnsi="宋体"/>
          <w:szCs w:val="21"/>
        </w:rPr>
        <w:t>3</w:t>
      </w:r>
      <w:r>
        <w:rPr>
          <w:rFonts w:ascii="宋体" w:hAnsi="宋体" w:hint="eastAsia"/>
          <w:szCs w:val="21"/>
        </w:rPr>
        <w:t>、</w:t>
      </w:r>
      <w:r>
        <w:rPr>
          <w:rFonts w:ascii="宋体" w:hAnsi="宋体"/>
          <w:szCs w:val="21"/>
        </w:rPr>
        <w:t>保证对教学楼计划性保养、设备检修（如需要停电保养、清洗水池）需提前三天填写申请单提交甲方，在获得甲方批准后实施，发生意外故障做到及时处理，并在 10 分钟内报告甲方。</w:t>
      </w:r>
    </w:p>
    <w:p>
      <w:pPr>
        <w:spacing w:line="360" w:lineRule="auto"/>
        <w:ind w:firstLine="420" w:firstLineChars="200"/>
        <w:rPr>
          <w:rFonts w:ascii="宋体" w:hAnsi="宋体" w:hint="eastAsia"/>
          <w:szCs w:val="21"/>
        </w:rPr>
      </w:pPr>
      <w:r>
        <w:rPr>
          <w:rFonts w:ascii="宋体" w:hAnsi="宋体"/>
          <w:szCs w:val="21"/>
        </w:rPr>
        <w:t>4</w:t>
      </w:r>
      <w:r>
        <w:rPr>
          <w:rFonts w:ascii="宋体" w:hAnsi="宋体" w:hint="eastAsia"/>
          <w:szCs w:val="21"/>
        </w:rPr>
        <w:t>、</w:t>
      </w:r>
      <w:r>
        <w:rPr>
          <w:rFonts w:ascii="宋体" w:hAnsi="宋体"/>
          <w:szCs w:val="21"/>
        </w:rPr>
        <w:t>当接到市供电局、自来水公司计划性停电、停水的通知时，在停供前 24 小时通知物业使用人。</w:t>
      </w:r>
    </w:p>
    <w:p>
      <w:pPr>
        <w:spacing w:line="360" w:lineRule="auto"/>
        <w:ind w:firstLine="420" w:firstLineChars="200"/>
        <w:rPr>
          <w:rFonts w:ascii="宋体" w:hAnsi="宋体" w:hint="eastAsia"/>
          <w:szCs w:val="21"/>
        </w:rPr>
      </w:pPr>
      <w:r>
        <w:rPr>
          <w:rFonts w:ascii="宋体" w:hAnsi="宋体"/>
          <w:szCs w:val="21"/>
        </w:rPr>
        <w:t>5</w:t>
      </w:r>
      <w:r>
        <w:rPr>
          <w:rFonts w:ascii="宋体" w:hAnsi="宋体" w:hint="eastAsia"/>
          <w:szCs w:val="21"/>
        </w:rPr>
        <w:t>、</w:t>
      </w:r>
      <w:r>
        <w:rPr>
          <w:rFonts w:ascii="宋体" w:hAnsi="宋体"/>
          <w:szCs w:val="21"/>
        </w:rPr>
        <w:t>提供公用设施、供水、供电、空调系统故障 24 小时抢修，做到接到报修后 20 分钟内到达现场进行处理。</w:t>
      </w:r>
    </w:p>
    <w:p>
      <w:pPr>
        <w:spacing w:line="360" w:lineRule="auto"/>
        <w:ind w:firstLine="420" w:firstLineChars="200"/>
        <w:rPr>
          <w:rFonts w:ascii="宋体" w:hAnsi="宋体" w:hint="eastAsia"/>
          <w:szCs w:val="21"/>
        </w:rPr>
      </w:pPr>
      <w:r>
        <w:rPr>
          <w:rFonts w:ascii="宋体" w:hAnsi="宋体"/>
          <w:szCs w:val="21"/>
        </w:rPr>
        <w:t>6</w:t>
      </w:r>
      <w:r>
        <w:rPr>
          <w:rFonts w:ascii="宋体" w:hAnsi="宋体" w:hint="eastAsia"/>
          <w:szCs w:val="21"/>
        </w:rPr>
        <w:t>、</w:t>
      </w:r>
      <w:r>
        <w:rPr>
          <w:rFonts w:ascii="宋体" w:hAnsi="宋体"/>
          <w:szCs w:val="21"/>
        </w:rPr>
        <w:t>定期对设施、设备进行检查，发现设备故障或重大事故隐患立即消除，并在 30 分钟内向甲方报告。若发生重大故障或事故，在 24 小时内填写书面报告报送甲方。</w:t>
      </w:r>
    </w:p>
    <w:p>
      <w:pPr>
        <w:spacing w:line="360" w:lineRule="auto"/>
        <w:ind w:firstLine="420" w:firstLineChars="200"/>
        <w:rPr>
          <w:rFonts w:ascii="宋体" w:hAnsi="宋体" w:hint="eastAsia"/>
          <w:szCs w:val="21"/>
        </w:rPr>
      </w:pPr>
      <w:r>
        <w:rPr>
          <w:rFonts w:ascii="宋体" w:hAnsi="宋体"/>
          <w:szCs w:val="21"/>
        </w:rPr>
        <w:t>7</w:t>
      </w:r>
      <w:r>
        <w:rPr>
          <w:rFonts w:ascii="宋体" w:hAnsi="宋体" w:hint="eastAsia"/>
          <w:szCs w:val="21"/>
        </w:rPr>
        <w:t>、</w:t>
      </w:r>
      <w:r>
        <w:rPr>
          <w:rFonts w:ascii="宋体" w:hAnsi="宋体"/>
          <w:szCs w:val="21"/>
        </w:rPr>
        <w:t>消防中心有专业人员 24 小时值班。</w:t>
      </w:r>
    </w:p>
    <w:p>
      <w:pPr>
        <w:spacing w:line="360" w:lineRule="auto"/>
        <w:ind w:firstLine="420" w:firstLineChars="200"/>
        <w:rPr>
          <w:rFonts w:ascii="宋体" w:hAnsi="宋体" w:hint="eastAsia"/>
          <w:szCs w:val="21"/>
        </w:rPr>
      </w:pPr>
      <w:r>
        <w:rPr>
          <w:rFonts w:ascii="宋体" w:hAnsi="宋体"/>
          <w:szCs w:val="21"/>
        </w:rPr>
        <w:t>8</w:t>
      </w:r>
      <w:r>
        <w:rPr>
          <w:rFonts w:ascii="宋体" w:hAnsi="宋体" w:hint="eastAsia"/>
          <w:szCs w:val="21"/>
        </w:rPr>
        <w:t>、</w:t>
      </w:r>
      <w:r>
        <w:rPr>
          <w:rFonts w:ascii="宋体" w:hAnsi="宋体"/>
          <w:szCs w:val="21"/>
        </w:rPr>
        <w:t>制定保洁</w:t>
      </w:r>
      <w:r>
        <w:rPr>
          <w:rFonts w:ascii="宋体" w:hAnsi="宋体" w:hint="eastAsia"/>
          <w:szCs w:val="21"/>
        </w:rPr>
        <w:t>制度</w:t>
      </w:r>
      <w:r>
        <w:rPr>
          <w:rFonts w:ascii="宋体" w:hAnsi="宋体"/>
          <w:szCs w:val="21"/>
        </w:rPr>
        <w:t>，确保教学环境持续处于干净、整洁状态。</w:t>
      </w:r>
    </w:p>
    <w:p>
      <w:pPr>
        <w:spacing w:line="360" w:lineRule="auto"/>
        <w:ind w:firstLine="420" w:firstLineChars="200"/>
        <w:rPr>
          <w:rFonts w:ascii="宋体" w:hAnsi="宋体" w:hint="eastAsia"/>
          <w:szCs w:val="21"/>
        </w:rPr>
      </w:pPr>
      <w:r>
        <w:rPr>
          <w:rFonts w:ascii="宋体" w:hAnsi="宋体" w:hint="eastAsia"/>
          <w:szCs w:val="21"/>
        </w:rPr>
        <w:t>9、制定公寓管理制度，对学校公寓进行有序管理。</w:t>
      </w:r>
    </w:p>
    <w:p>
      <w:pPr>
        <w:spacing w:line="360" w:lineRule="auto"/>
        <w:ind w:firstLine="420" w:firstLineChars="200"/>
        <w:rPr>
          <w:rFonts w:ascii="宋体" w:hAnsi="宋体" w:hint="eastAsia"/>
          <w:szCs w:val="21"/>
        </w:rPr>
      </w:pPr>
      <w:r>
        <w:rPr>
          <w:rFonts w:ascii="宋体" w:hAnsi="宋体" w:hint="eastAsia"/>
          <w:szCs w:val="21"/>
        </w:rPr>
        <w:t>1</w:t>
      </w:r>
      <w:r>
        <w:rPr>
          <w:rFonts w:ascii="宋体" w:hAnsi="宋体"/>
          <w:szCs w:val="21"/>
        </w:rPr>
        <w:t>0</w:t>
      </w:r>
      <w:r>
        <w:rPr>
          <w:rFonts w:ascii="宋体" w:hAnsi="宋体" w:hint="eastAsia"/>
          <w:szCs w:val="21"/>
        </w:rPr>
        <w:t>、制定绿化养护制度，确保校园绿化符合养护标准。</w:t>
      </w:r>
    </w:p>
    <w:p>
      <w:pPr>
        <w:spacing w:line="360" w:lineRule="auto"/>
        <w:ind w:firstLine="420" w:firstLineChars="200"/>
        <w:rPr>
          <w:rFonts w:ascii="宋体" w:hAnsi="宋体" w:hint="eastAsia"/>
          <w:szCs w:val="21"/>
        </w:rPr>
      </w:pPr>
      <w:r>
        <w:rPr>
          <w:rFonts w:ascii="宋体" w:hAnsi="宋体"/>
          <w:szCs w:val="21"/>
        </w:rPr>
        <w:t>11</w:t>
      </w:r>
      <w:r>
        <w:rPr>
          <w:rFonts w:ascii="宋体" w:hAnsi="宋体" w:hint="eastAsia"/>
          <w:szCs w:val="21"/>
        </w:rPr>
        <w:t>、</w:t>
      </w:r>
      <w:r>
        <w:rPr>
          <w:rFonts w:ascii="宋体" w:hAnsi="宋体"/>
          <w:szCs w:val="21"/>
        </w:rPr>
        <w:t>制定安全防范措施,对学校领导办公区、重点实验室重点巡逻值守，随时提防突发事件的发生。</w:t>
      </w:r>
    </w:p>
    <w:p>
      <w:pPr>
        <w:spacing w:line="360" w:lineRule="auto"/>
        <w:ind w:firstLine="420" w:firstLineChars="200"/>
        <w:rPr>
          <w:rFonts w:ascii="宋体" w:hAnsi="宋体" w:hint="eastAsia"/>
          <w:szCs w:val="21"/>
        </w:rPr>
      </w:pPr>
      <w:r>
        <w:rPr>
          <w:rFonts w:ascii="宋体" w:hAnsi="宋体"/>
          <w:szCs w:val="21"/>
        </w:rPr>
        <w:t>12</w:t>
      </w:r>
      <w:r>
        <w:rPr>
          <w:rFonts w:ascii="宋体" w:hAnsi="宋体" w:hint="eastAsia"/>
          <w:szCs w:val="21"/>
        </w:rPr>
        <w:t>、</w:t>
      </w:r>
      <w:r>
        <w:rPr>
          <w:rFonts w:ascii="宋体" w:hAnsi="宋体"/>
          <w:szCs w:val="21"/>
        </w:rPr>
        <w:t>严格执行政府有关法律以及深圳市、区物业管理主管政府部门规定的各项标准。</w:t>
      </w:r>
    </w:p>
    <w:p>
      <w:pPr>
        <w:spacing w:line="360" w:lineRule="auto"/>
        <w:jc w:val="center"/>
        <w:rPr>
          <w:rFonts w:ascii="宋体" w:hAnsi="宋体" w:hint="eastAsia"/>
          <w:b/>
          <w:bCs/>
          <w:szCs w:val="21"/>
        </w:rPr>
      </w:pPr>
      <w:r>
        <w:rPr>
          <w:rFonts w:ascii="宋体" w:hAnsi="宋体" w:hint="eastAsia"/>
          <w:b/>
          <w:bCs/>
          <w:szCs w:val="21"/>
        </w:rPr>
        <w:t>第五条  甲方的权利与义务</w:t>
      </w:r>
    </w:p>
    <w:p>
      <w:pPr>
        <w:spacing w:line="360" w:lineRule="auto"/>
        <w:ind w:firstLine="420" w:firstLineChars="200"/>
        <w:rPr>
          <w:rFonts w:ascii="宋体" w:hAnsi="宋体" w:hint="eastAsia"/>
          <w:szCs w:val="21"/>
        </w:rPr>
      </w:pPr>
      <w:r>
        <w:rPr>
          <w:rFonts w:ascii="宋体" w:hAnsi="宋体" w:hint="eastAsia"/>
          <w:szCs w:val="21"/>
        </w:rPr>
        <w:t>1、在委托管理期限内甲方向乙方提供具备使用条件的管理用房(含办公、仓库及维修场所），供物业管理公司免费使用。</w:t>
      </w:r>
    </w:p>
    <w:p>
      <w:pPr>
        <w:spacing w:line="360" w:lineRule="auto"/>
        <w:ind w:firstLine="420" w:firstLineChars="200"/>
        <w:rPr>
          <w:rFonts w:ascii="宋体" w:hAnsi="宋体" w:hint="eastAsia"/>
          <w:szCs w:val="21"/>
        </w:rPr>
      </w:pPr>
      <w:r>
        <w:rPr>
          <w:rFonts w:ascii="宋体" w:hAnsi="宋体"/>
          <w:szCs w:val="21"/>
        </w:rPr>
        <w:t>2</w:t>
      </w:r>
      <w:r>
        <w:rPr>
          <w:rFonts w:ascii="宋体" w:hAnsi="宋体" w:hint="eastAsia"/>
          <w:szCs w:val="21"/>
        </w:rPr>
        <w:t>、接受乙方按合同约定提供的物业服务，对本物业区域内的物业服务事项有知情权。</w:t>
      </w:r>
    </w:p>
    <w:p>
      <w:pPr>
        <w:spacing w:line="360" w:lineRule="auto"/>
        <w:ind w:firstLine="420" w:firstLineChars="200"/>
        <w:rPr>
          <w:rFonts w:ascii="宋体" w:hAnsi="宋体" w:hint="eastAsia"/>
          <w:szCs w:val="21"/>
        </w:rPr>
      </w:pPr>
      <w:r>
        <w:rPr>
          <w:rFonts w:ascii="宋体" w:hAnsi="宋体"/>
          <w:szCs w:val="21"/>
        </w:rPr>
        <w:t>3</w:t>
      </w:r>
      <w:r>
        <w:rPr>
          <w:rFonts w:ascii="宋体" w:hAnsi="宋体" w:hint="eastAsia"/>
          <w:szCs w:val="21"/>
        </w:rPr>
        <w:t>、审定乙方制定的物业管理服务工作计划、物业管理各项规章制度，有权检查、监督、考核乙方物业服务的管理、实施工作及制度的执行情况，并提出意见，乙方</w:t>
      </w:r>
      <w:r>
        <w:rPr>
          <w:rFonts w:ascii="宋体" w:hAnsi="宋体"/>
          <w:szCs w:val="21"/>
        </w:rPr>
        <w:t>应当按照甲方的意见进行整改</w:t>
      </w:r>
      <w:r>
        <w:rPr>
          <w:rFonts w:ascii="宋体" w:hAnsi="宋体" w:hint="eastAsia"/>
          <w:szCs w:val="21"/>
        </w:rPr>
        <w:t>。</w:t>
      </w:r>
    </w:p>
    <w:p>
      <w:pPr>
        <w:spacing w:line="360" w:lineRule="auto"/>
        <w:ind w:firstLine="420" w:firstLineChars="200"/>
        <w:rPr>
          <w:rFonts w:ascii="宋体" w:hAnsi="宋体" w:hint="eastAsia"/>
          <w:szCs w:val="21"/>
        </w:rPr>
      </w:pPr>
      <w:r>
        <w:rPr>
          <w:rFonts w:ascii="宋体" w:hAnsi="宋体"/>
          <w:szCs w:val="21"/>
        </w:rPr>
        <w:t>4</w:t>
      </w:r>
      <w:r>
        <w:rPr>
          <w:rFonts w:ascii="宋体" w:hAnsi="宋体" w:hint="eastAsia"/>
          <w:szCs w:val="21"/>
        </w:rPr>
        <w:t>、指定专人负责与乙方对接日常事务，形成共同管理和监督职能。</w:t>
      </w:r>
    </w:p>
    <w:p>
      <w:pPr>
        <w:spacing w:line="360" w:lineRule="auto"/>
        <w:ind w:firstLine="420" w:firstLineChars="200"/>
        <w:rPr>
          <w:rFonts w:ascii="宋体" w:hAnsi="宋体" w:hint="eastAsia"/>
          <w:szCs w:val="21"/>
        </w:rPr>
      </w:pPr>
      <w:r>
        <w:rPr>
          <w:rFonts w:ascii="宋体" w:hAnsi="宋体"/>
          <w:szCs w:val="21"/>
        </w:rPr>
        <w:t>5</w:t>
      </w:r>
      <w:r>
        <w:rPr>
          <w:rFonts w:ascii="宋体" w:hAnsi="宋体" w:hint="eastAsia"/>
          <w:szCs w:val="21"/>
        </w:rPr>
        <w:t>、协助乙方做好物业管理和宣传活动，教育全校师生共同遵守本校区物业管理规章制度。</w:t>
      </w:r>
    </w:p>
    <w:p>
      <w:pPr>
        <w:spacing w:line="360" w:lineRule="auto"/>
        <w:ind w:firstLine="420" w:firstLineChars="200"/>
        <w:rPr>
          <w:rFonts w:ascii="宋体" w:hAnsi="宋体" w:hint="eastAsia"/>
          <w:szCs w:val="21"/>
        </w:rPr>
      </w:pPr>
      <w:r>
        <w:rPr>
          <w:rFonts w:ascii="宋体" w:hAnsi="宋体"/>
          <w:szCs w:val="21"/>
        </w:rPr>
        <w:t>6</w:t>
      </w:r>
      <w:r>
        <w:rPr>
          <w:rFonts w:ascii="宋体" w:hAnsi="宋体" w:hint="eastAsia"/>
          <w:szCs w:val="21"/>
        </w:rPr>
        <w:t>、按时向乙方支付物业管理服务费，有权向社会各界宣布甲乙双方合作之事实，有选择地播放、展示、发布乙方有关物业管理资讯、信息（如录相、图片、文字说明）、广告等，但传播效果不得对乙方社会声誉及经济利益造成损失，不得对乙方日后工作造成不良影响，否则应承担违约责任。</w:t>
      </w:r>
    </w:p>
    <w:p>
      <w:pPr>
        <w:spacing w:line="360" w:lineRule="auto"/>
        <w:ind w:firstLine="420" w:firstLineChars="200"/>
        <w:rPr>
          <w:rFonts w:ascii="宋体" w:hAnsi="宋体" w:hint="eastAsia"/>
          <w:szCs w:val="21"/>
        </w:rPr>
      </w:pPr>
      <w:r>
        <w:rPr>
          <w:rFonts w:ascii="宋体" w:hAnsi="宋体"/>
          <w:szCs w:val="21"/>
        </w:rPr>
        <w:t>7</w:t>
      </w:r>
      <w:r>
        <w:rPr>
          <w:rFonts w:ascii="宋体" w:hAnsi="宋体" w:hint="eastAsia"/>
          <w:szCs w:val="21"/>
        </w:rPr>
        <w:t>、甲方所有移交乙方的设施、设备，在移交前，需通知乙方参与验收，乙方根据建设部承接检查办法进行验收，并应于验收前将已有图纸、使用说明书、保修卡等相关资料移交乙方。</w:t>
      </w:r>
    </w:p>
    <w:p>
      <w:pPr>
        <w:spacing w:line="360" w:lineRule="auto"/>
        <w:ind w:firstLine="420" w:firstLineChars="200"/>
        <w:rPr>
          <w:rFonts w:ascii="宋体" w:hAnsi="宋体" w:hint="eastAsia"/>
          <w:szCs w:val="21"/>
        </w:rPr>
      </w:pPr>
      <w:r>
        <w:rPr>
          <w:rFonts w:ascii="宋体" w:hAnsi="宋体"/>
          <w:szCs w:val="21"/>
        </w:rPr>
        <w:t>8</w:t>
      </w:r>
      <w:r>
        <w:rPr>
          <w:rFonts w:ascii="宋体" w:hAnsi="宋体" w:hint="eastAsia"/>
          <w:szCs w:val="21"/>
        </w:rPr>
        <w:t>、委托乙方对违反物业管理法规政策的行为进行处理，包括责令停止违章行为、要求赔偿经济损失及支付违约金。协助乙方做好物业安全管理工作和大型活动安全保障工作。</w:t>
      </w:r>
    </w:p>
    <w:p>
      <w:pPr>
        <w:spacing w:line="360" w:lineRule="auto"/>
        <w:ind w:firstLine="420" w:firstLineChars="200"/>
        <w:rPr>
          <w:rFonts w:ascii="宋体" w:hAnsi="宋体" w:hint="eastAsia"/>
          <w:szCs w:val="21"/>
        </w:rPr>
      </w:pPr>
      <w:r>
        <w:rPr>
          <w:rFonts w:ascii="宋体" w:hAnsi="宋体" w:hint="eastAsia"/>
          <w:szCs w:val="21"/>
        </w:rPr>
        <w:t>9、不干涉乙方依法或依本合同规定内容所进行的合法、正常的管理和经营活动。</w:t>
      </w:r>
    </w:p>
    <w:p>
      <w:pPr>
        <w:spacing w:line="360" w:lineRule="auto"/>
        <w:ind w:firstLine="420" w:firstLineChars="200"/>
        <w:rPr>
          <w:rFonts w:ascii="宋体" w:hAnsi="宋体" w:hint="eastAsia"/>
          <w:szCs w:val="21"/>
        </w:rPr>
      </w:pPr>
      <w:r>
        <w:rPr>
          <w:rFonts w:ascii="宋体" w:hAnsi="宋体"/>
          <w:szCs w:val="21"/>
        </w:rPr>
        <w:t>10</w:t>
      </w:r>
      <w:r>
        <w:rPr>
          <w:rFonts w:ascii="宋体" w:hAnsi="宋体" w:hint="eastAsia"/>
          <w:szCs w:val="21"/>
        </w:rPr>
        <w:t>、法规、政策规定由甲方承担的其它责任和义务。</w:t>
      </w:r>
    </w:p>
    <w:p>
      <w:pPr>
        <w:spacing w:line="360" w:lineRule="auto"/>
        <w:jc w:val="center"/>
        <w:rPr>
          <w:rFonts w:ascii="宋体" w:hAnsi="宋体" w:hint="eastAsia"/>
          <w:b/>
          <w:bCs/>
          <w:szCs w:val="21"/>
        </w:rPr>
      </w:pPr>
      <w:r>
        <w:rPr>
          <w:rFonts w:ascii="宋体" w:hAnsi="宋体" w:hint="eastAsia"/>
          <w:b/>
          <w:bCs/>
          <w:szCs w:val="21"/>
        </w:rPr>
        <w:t>第六条　乙方的权利与义务</w:t>
      </w:r>
    </w:p>
    <w:p>
      <w:pPr>
        <w:spacing w:line="360" w:lineRule="auto"/>
        <w:ind w:firstLine="420" w:firstLineChars="200"/>
        <w:rPr>
          <w:rFonts w:ascii="宋体" w:hAnsi="宋体" w:hint="eastAsia"/>
          <w:szCs w:val="21"/>
        </w:rPr>
      </w:pPr>
      <w:r>
        <w:rPr>
          <w:rFonts w:ascii="宋体" w:hAnsi="宋体" w:hint="eastAsia"/>
          <w:szCs w:val="21"/>
        </w:rPr>
        <w:t>1、根据有关法律规定及本合同的约定，制定物业管理制度。</w:t>
      </w:r>
    </w:p>
    <w:p>
      <w:pPr>
        <w:spacing w:line="360" w:lineRule="auto"/>
        <w:ind w:firstLine="420" w:firstLineChars="200"/>
        <w:rPr>
          <w:rFonts w:ascii="宋体" w:hAnsi="宋体" w:hint="eastAsia"/>
          <w:szCs w:val="21"/>
        </w:rPr>
      </w:pPr>
      <w:r>
        <w:rPr>
          <w:rFonts w:ascii="宋体" w:hAnsi="宋体"/>
          <w:szCs w:val="21"/>
        </w:rPr>
        <w:t>2</w:t>
      </w:r>
      <w:r>
        <w:rPr>
          <w:rFonts w:ascii="宋体" w:hAnsi="宋体" w:hint="eastAsia"/>
          <w:szCs w:val="21"/>
        </w:rPr>
        <w:t>、根据有关法律、法规和政策规定以及本合同的约定，按照物业服务标准和内容提供物业服务，收取物业服务费。努力保证服务区域的正常运转，对于水、电、燃气、热力等物业能耗方面采取相应节能措施。</w:t>
      </w:r>
    </w:p>
    <w:p>
      <w:pPr>
        <w:spacing w:line="360" w:lineRule="auto"/>
        <w:ind w:firstLine="420" w:firstLineChars="200"/>
        <w:rPr>
          <w:rFonts w:ascii="宋体" w:hAnsi="宋体" w:hint="eastAsia"/>
          <w:szCs w:val="21"/>
        </w:rPr>
      </w:pPr>
      <w:r>
        <w:rPr>
          <w:rFonts w:ascii="宋体" w:hAnsi="宋体" w:hint="eastAsia"/>
          <w:szCs w:val="21"/>
        </w:rPr>
        <w:t>3、乙方在本物业范围内设立专门机构负责本物业的日常管理工作，并代表乙方履行本合同的权利与义务。</w:t>
      </w:r>
    </w:p>
    <w:p>
      <w:pPr>
        <w:spacing w:line="360" w:lineRule="auto"/>
        <w:ind w:firstLine="420" w:firstLineChars="200"/>
        <w:rPr>
          <w:rFonts w:ascii="宋体" w:hAnsi="宋体" w:hint="eastAsia"/>
          <w:szCs w:val="21"/>
        </w:rPr>
      </w:pPr>
      <w:r>
        <w:rPr>
          <w:rFonts w:ascii="宋体" w:hAnsi="宋体"/>
          <w:szCs w:val="21"/>
        </w:rPr>
        <w:t>4</w:t>
      </w:r>
      <w:r>
        <w:rPr>
          <w:rFonts w:ascii="宋体" w:hAnsi="宋体" w:hint="eastAsia"/>
          <w:szCs w:val="21"/>
        </w:rPr>
        <w:t>、根据有关法律、法规和政策规定以及本合同的约定，结合物业服务的实际情况，制订本物业的各项管理办法、规章制度、实施细则等并交由甲方审定，自主开展各项管理经营活动，但不得损害业主及/或物业使用人的合法权益，不得借此牟取不当利益，同时不得损害本物业的整体形象和声誉。</w:t>
      </w:r>
    </w:p>
    <w:p>
      <w:pPr>
        <w:spacing w:line="360" w:lineRule="auto"/>
        <w:ind w:firstLine="420" w:firstLineChars="200"/>
        <w:rPr>
          <w:rFonts w:ascii="宋体" w:hAnsi="宋体" w:hint="eastAsia"/>
          <w:szCs w:val="21"/>
        </w:rPr>
      </w:pPr>
      <w:r>
        <w:rPr>
          <w:rFonts w:ascii="宋体" w:hAnsi="宋体"/>
          <w:szCs w:val="21"/>
        </w:rPr>
        <w:t>5</w:t>
      </w:r>
      <w:r>
        <w:rPr>
          <w:rFonts w:ascii="宋体" w:hAnsi="宋体" w:hint="eastAsia"/>
          <w:szCs w:val="21"/>
        </w:rPr>
        <w:t>、协助甲方完成和做好国际校区（一期）查验及移交工作，并就甲方与第三方签订的经济合同所遗留的工程质量等问题，协助甲方监督跟进处理。</w:t>
      </w:r>
    </w:p>
    <w:p>
      <w:pPr>
        <w:spacing w:line="360" w:lineRule="auto"/>
        <w:ind w:firstLine="420" w:firstLineChars="200"/>
        <w:rPr>
          <w:rFonts w:ascii="宋体" w:hAnsi="宋体" w:hint="eastAsia"/>
          <w:szCs w:val="21"/>
        </w:rPr>
      </w:pPr>
      <w:r>
        <w:rPr>
          <w:rFonts w:ascii="宋体" w:hAnsi="宋体"/>
          <w:szCs w:val="21"/>
        </w:rPr>
        <w:t>6</w:t>
      </w:r>
      <w:r>
        <w:rPr>
          <w:rFonts w:ascii="宋体" w:hAnsi="宋体" w:hint="eastAsia"/>
          <w:szCs w:val="21"/>
        </w:rPr>
        <w:t>、妥善保管甲方移交的全部工程图纸、管理资料及原始凭证，以备需要时查验，及时搜集与提供甲方所需要的统计资料，并应在本合同届满时如数归还给甲方。妥善保管和正确使用本物业的档案资料，及时记载有关变更信息，并为甲方资料信息保密。</w:t>
      </w:r>
    </w:p>
    <w:p>
      <w:pPr>
        <w:spacing w:line="360" w:lineRule="auto"/>
        <w:ind w:firstLine="420" w:firstLineChars="200"/>
        <w:rPr>
          <w:rFonts w:ascii="宋体" w:hAnsi="宋体" w:hint="eastAsia"/>
          <w:szCs w:val="21"/>
        </w:rPr>
      </w:pPr>
      <w:r>
        <w:rPr>
          <w:rFonts w:ascii="宋体" w:hAnsi="宋体" w:hint="eastAsia"/>
          <w:szCs w:val="21"/>
        </w:rPr>
        <w:t>7、加强对员工的培训管理工作，保证乙方人员的人身安全，并对其人身安全负全部责任。如工作人员违反相关工作责任或相关操作流程，造成设备严重损坏或其他损失，</w:t>
      </w:r>
      <w:r>
        <w:rPr>
          <w:rFonts w:ascii="宋体" w:hAnsi="宋体"/>
          <w:szCs w:val="21"/>
        </w:rPr>
        <w:t>乙方</w:t>
      </w:r>
      <w:r>
        <w:rPr>
          <w:rFonts w:ascii="宋体" w:hAnsi="宋体" w:hint="eastAsia"/>
          <w:szCs w:val="21"/>
        </w:rPr>
        <w:t>应承担赔偿责任，如果造成安全事故或人员伤亡，</w:t>
      </w:r>
      <w:r>
        <w:rPr>
          <w:rFonts w:ascii="宋体" w:hAnsi="宋体"/>
          <w:szCs w:val="21"/>
        </w:rPr>
        <w:t>乙方</w:t>
      </w:r>
      <w:r>
        <w:rPr>
          <w:rFonts w:ascii="宋体" w:hAnsi="宋体" w:hint="eastAsia"/>
          <w:szCs w:val="21"/>
        </w:rPr>
        <w:t>承担相应的责任。</w:t>
      </w:r>
    </w:p>
    <w:p>
      <w:pPr>
        <w:spacing w:line="360" w:lineRule="auto"/>
        <w:ind w:firstLine="420" w:firstLineChars="200"/>
        <w:rPr>
          <w:rFonts w:ascii="宋体" w:hAnsi="宋体" w:hint="eastAsia"/>
          <w:szCs w:val="21"/>
        </w:rPr>
      </w:pPr>
      <w:r>
        <w:rPr>
          <w:rFonts w:ascii="宋体" w:hAnsi="宋体" w:hint="eastAsia"/>
          <w:szCs w:val="21"/>
        </w:rPr>
        <w:t>8、在管理服务期内由于乙方责任造成事故或乙方工作人员职务行为发生违法、违规等，所造成一切后果及损失，由乙方承担相应法律责任并负责赔偿。</w:t>
      </w:r>
    </w:p>
    <w:p>
      <w:pPr>
        <w:spacing w:line="360" w:lineRule="auto"/>
        <w:ind w:firstLine="420" w:firstLineChars="200"/>
        <w:rPr>
          <w:rFonts w:ascii="宋体" w:hAnsi="宋体" w:hint="eastAsia"/>
          <w:szCs w:val="21"/>
        </w:rPr>
      </w:pPr>
      <w:r>
        <w:rPr>
          <w:rFonts w:ascii="宋体" w:hAnsi="宋体"/>
          <w:szCs w:val="21"/>
        </w:rPr>
        <w:t>9</w:t>
      </w:r>
      <w:r>
        <w:rPr>
          <w:rFonts w:ascii="宋体" w:hAnsi="宋体" w:hint="eastAsia"/>
          <w:szCs w:val="21"/>
        </w:rPr>
        <w:t>、严格要求员工遵守园区的各项管理规定，服从学校各项管理规定，爱护园区的公共设施、设备和住户的财物，自觉维护甲方的声誉。</w:t>
      </w:r>
    </w:p>
    <w:p>
      <w:pPr>
        <w:spacing w:line="360" w:lineRule="auto"/>
        <w:ind w:firstLine="420" w:firstLineChars="200"/>
        <w:rPr>
          <w:rFonts w:ascii="宋体" w:hAnsi="宋体" w:hint="eastAsia"/>
          <w:szCs w:val="21"/>
        </w:rPr>
      </w:pPr>
      <w:r>
        <w:rPr>
          <w:rFonts w:ascii="宋体" w:hAnsi="宋体"/>
          <w:szCs w:val="21"/>
        </w:rPr>
        <w:t>10</w:t>
      </w:r>
      <w:r>
        <w:rPr>
          <w:rFonts w:ascii="宋体" w:hAnsi="宋体" w:hint="eastAsia"/>
          <w:szCs w:val="21"/>
        </w:rPr>
        <w:t>、乙方派驻甲方物业的全体员工必须遵守甲方有关规章制度和管理规定，坚决贯彻执行甲方主管部门的管理要求，听从甲方主管部门的指挥调动。</w:t>
      </w:r>
      <w:r>
        <w:rPr>
          <w:rFonts w:ascii="宋体" w:hAnsi="宋体"/>
          <w:szCs w:val="21"/>
        </w:rPr>
        <w:t>甲方有权要求乙方撤换不符合要求的员工。</w:t>
      </w:r>
    </w:p>
    <w:p>
      <w:pPr>
        <w:spacing w:line="360" w:lineRule="auto"/>
        <w:ind w:firstLine="420" w:firstLineChars="200"/>
        <w:rPr>
          <w:rFonts w:ascii="宋体" w:hAnsi="宋体" w:hint="eastAsia"/>
          <w:szCs w:val="21"/>
        </w:rPr>
      </w:pPr>
      <w:r>
        <w:rPr>
          <w:rFonts w:ascii="宋体" w:hAnsi="宋体" w:hint="eastAsia"/>
          <w:szCs w:val="21"/>
        </w:rPr>
        <w:t>1</w:t>
      </w:r>
      <w:r>
        <w:rPr>
          <w:rFonts w:ascii="宋体" w:hAnsi="宋体"/>
          <w:szCs w:val="21"/>
        </w:rPr>
        <w:t>1</w:t>
      </w:r>
      <w:r>
        <w:rPr>
          <w:rFonts w:ascii="宋体" w:hAnsi="宋体" w:hint="eastAsia"/>
          <w:szCs w:val="21"/>
        </w:rPr>
        <w:t>、特殊情况下（台风或暴雨等），乙方提前应做好管辖服务区域的保护工作，还应服从甲方的统一指挥和调动，参加全园范围内的抢险救灾工作。</w:t>
      </w:r>
    </w:p>
    <w:p>
      <w:pPr>
        <w:spacing w:line="360" w:lineRule="auto"/>
        <w:ind w:firstLine="420" w:firstLineChars="200"/>
        <w:rPr>
          <w:rFonts w:ascii="宋体" w:hAnsi="宋体" w:hint="eastAsia"/>
          <w:szCs w:val="21"/>
        </w:rPr>
      </w:pPr>
      <w:r>
        <w:rPr>
          <w:rFonts w:ascii="宋体" w:hAnsi="宋体" w:hint="eastAsia"/>
          <w:szCs w:val="21"/>
        </w:rPr>
        <w:t>1</w:t>
      </w:r>
      <w:r>
        <w:rPr>
          <w:rFonts w:ascii="宋体" w:hAnsi="宋体"/>
          <w:szCs w:val="21"/>
        </w:rPr>
        <w:t>2</w:t>
      </w:r>
      <w:r>
        <w:rPr>
          <w:rFonts w:ascii="宋体" w:hAnsi="宋体" w:hint="eastAsia"/>
          <w:szCs w:val="21"/>
        </w:rPr>
        <w:t>、处理并协调包括但不限于乙方所服务和维修项目的所有有关投诉。</w:t>
      </w:r>
    </w:p>
    <w:p>
      <w:pPr>
        <w:spacing w:line="360" w:lineRule="auto"/>
        <w:ind w:firstLine="420" w:firstLineChars="200"/>
        <w:rPr>
          <w:rFonts w:ascii="宋体" w:hAnsi="宋体" w:hint="eastAsia"/>
          <w:szCs w:val="21"/>
        </w:rPr>
      </w:pPr>
      <w:r>
        <w:rPr>
          <w:rFonts w:ascii="宋体" w:hAnsi="宋体"/>
          <w:szCs w:val="21"/>
        </w:rPr>
        <w:t>13</w:t>
      </w:r>
      <w:r>
        <w:rPr>
          <w:rFonts w:ascii="宋体" w:hAnsi="宋体" w:hint="eastAsia"/>
          <w:szCs w:val="21"/>
        </w:rPr>
        <w:t>、接受甲方对其实施物业管理工作及制度执行情况的检查监督和定期接受并积极配合甲方考评，有义务配合学校的各种活动，协助完成甲方安排的各项工作</w:t>
      </w:r>
      <w:r>
        <w:rPr>
          <w:rFonts w:ascii="宋体" w:hAnsi="宋体"/>
          <w:szCs w:val="21"/>
        </w:rPr>
        <w:t>。</w:t>
      </w:r>
    </w:p>
    <w:p>
      <w:pPr>
        <w:spacing w:line="360" w:lineRule="auto"/>
        <w:ind w:firstLine="420" w:firstLineChars="200"/>
        <w:rPr>
          <w:rFonts w:ascii="宋体" w:hAnsi="宋体" w:hint="eastAsia"/>
          <w:szCs w:val="21"/>
        </w:rPr>
      </w:pPr>
      <w:r>
        <w:rPr>
          <w:rFonts w:ascii="宋体" w:hAnsi="宋体"/>
          <w:szCs w:val="21"/>
        </w:rPr>
        <w:t>14</w:t>
      </w:r>
      <w:r>
        <w:rPr>
          <w:rFonts w:ascii="宋体" w:hAnsi="宋体" w:hint="eastAsia"/>
          <w:szCs w:val="21"/>
        </w:rPr>
        <w:t>、本项目的项目经理需报甲方审查认可后方可进场；甲方对其履责情况考核不合格的，乙方应及时予以更换。</w:t>
      </w:r>
    </w:p>
    <w:p>
      <w:pPr>
        <w:spacing w:line="360" w:lineRule="auto"/>
        <w:ind w:firstLine="420" w:firstLineChars="200"/>
        <w:rPr>
          <w:rFonts w:ascii="宋体" w:hAnsi="宋体" w:hint="eastAsia"/>
          <w:szCs w:val="21"/>
        </w:rPr>
      </w:pPr>
      <w:r>
        <w:rPr>
          <w:rFonts w:ascii="宋体" w:hAnsi="宋体"/>
          <w:szCs w:val="21"/>
        </w:rPr>
        <w:t>15</w:t>
      </w:r>
      <w:r>
        <w:rPr>
          <w:rFonts w:ascii="宋体" w:hAnsi="宋体" w:hint="eastAsia"/>
          <w:szCs w:val="21"/>
        </w:rPr>
        <w:t>、乙方派出的管理、作业人员及相关人员由乙方与其建立劳动关系，应按照不低于招标文件要求的工资标准发放工资，并为其下属员工购买国家规定相关保险，并承担劳动法律及相关法律上的责任，乙方所有员工的人身安全由乙方负责，同时乙方负责处理好一切乙方与员工间的纠纷及其他与甲方无关的纠纷，与甲方无任何责任。乙方应按照《中华人民共和国社会保险法》和《住房公积金管理条例》的相关规定，支付国家规定必须购买的社会保险费用</w:t>
      </w:r>
      <w:r>
        <w:rPr>
          <w:rFonts w:ascii="宋体" w:hAnsi="宋体"/>
          <w:szCs w:val="21"/>
        </w:rPr>
        <w:t>和住房公积金</w:t>
      </w:r>
      <w:r>
        <w:rPr>
          <w:rFonts w:ascii="宋体" w:hAnsi="宋体" w:hint="eastAsia"/>
          <w:szCs w:val="21"/>
        </w:rPr>
        <w:t>。</w:t>
      </w:r>
    </w:p>
    <w:p>
      <w:pPr>
        <w:spacing w:line="360" w:lineRule="auto"/>
        <w:ind w:firstLine="420" w:firstLineChars="200"/>
        <w:rPr>
          <w:rFonts w:ascii="宋体" w:hAnsi="宋体" w:hint="eastAsia"/>
          <w:szCs w:val="21"/>
        </w:rPr>
      </w:pPr>
      <w:r>
        <w:rPr>
          <w:rFonts w:ascii="宋体" w:hAnsi="宋体" w:hint="eastAsia"/>
          <w:szCs w:val="21"/>
        </w:rPr>
        <w:t>1</w:t>
      </w:r>
      <w:r>
        <w:rPr>
          <w:rFonts w:ascii="宋体" w:hAnsi="宋体"/>
          <w:szCs w:val="21"/>
        </w:rPr>
        <w:t>6</w:t>
      </w:r>
      <w:r>
        <w:rPr>
          <w:rFonts w:ascii="宋体" w:hAnsi="宋体" w:hint="eastAsia"/>
          <w:szCs w:val="21"/>
        </w:rPr>
        <w:t>、合同期间,乙方违约,影响甲方正常工作的,或造成人身伤害或财产受损,甲方有权解除合同,同时向乙方索偿，并可在履约保证金范围内扣除相应赔偿款项。</w:t>
      </w:r>
    </w:p>
    <w:p>
      <w:pPr>
        <w:spacing w:line="360" w:lineRule="auto"/>
        <w:ind w:firstLine="420" w:firstLineChars="200"/>
        <w:rPr>
          <w:rFonts w:ascii="宋体" w:hAnsi="宋体" w:hint="eastAsia"/>
          <w:szCs w:val="21"/>
        </w:rPr>
      </w:pPr>
      <w:r>
        <w:rPr>
          <w:rFonts w:ascii="宋体" w:hAnsi="宋体" w:hint="eastAsia"/>
          <w:szCs w:val="21"/>
        </w:rPr>
        <w:t>1</w:t>
      </w:r>
      <w:r>
        <w:rPr>
          <w:rFonts w:ascii="宋体" w:hAnsi="宋体"/>
          <w:szCs w:val="21"/>
        </w:rPr>
        <w:t>7</w:t>
      </w:r>
      <w:r>
        <w:rPr>
          <w:rFonts w:ascii="宋体" w:hAnsi="宋体" w:hint="eastAsia"/>
          <w:szCs w:val="21"/>
        </w:rPr>
        <w:t>、春节、五一、十一等法定假期加班安排：乙方安排值班人员并保证各项系统正常运行，费用包含在物业服务费中。</w:t>
      </w:r>
    </w:p>
    <w:p>
      <w:pPr>
        <w:spacing w:line="360" w:lineRule="auto"/>
        <w:ind w:firstLine="420" w:firstLineChars="200"/>
        <w:rPr>
          <w:rFonts w:ascii="宋体" w:hAnsi="宋体" w:hint="eastAsia"/>
          <w:szCs w:val="21"/>
        </w:rPr>
      </w:pPr>
      <w:r>
        <w:rPr>
          <w:rFonts w:ascii="宋体" w:hAnsi="宋体"/>
          <w:szCs w:val="21"/>
        </w:rPr>
        <w:t>18</w:t>
      </w:r>
      <w:r>
        <w:rPr>
          <w:rFonts w:ascii="宋体" w:hAnsi="宋体" w:hint="eastAsia"/>
          <w:szCs w:val="21"/>
        </w:rPr>
        <w:t>、乙方不得代表甲方或以其名义向外借贷、担保或做任何有损甲方利益的行为。凡涉及甲方的权属问题均须征得甲方书面同意。</w:t>
      </w:r>
    </w:p>
    <w:p>
      <w:pPr>
        <w:spacing w:line="360" w:lineRule="auto"/>
        <w:ind w:firstLine="420" w:firstLineChars="200"/>
        <w:rPr>
          <w:rFonts w:ascii="宋体" w:hAnsi="宋体" w:hint="eastAsia"/>
          <w:szCs w:val="21"/>
        </w:rPr>
      </w:pPr>
      <w:r>
        <w:rPr>
          <w:rFonts w:ascii="宋体" w:hAnsi="宋体" w:hint="eastAsia"/>
          <w:szCs w:val="21"/>
        </w:rPr>
        <w:t>1</w:t>
      </w:r>
      <w:r>
        <w:rPr>
          <w:rFonts w:ascii="宋体" w:hAnsi="宋体"/>
          <w:szCs w:val="21"/>
        </w:rPr>
        <w:t>9</w:t>
      </w:r>
      <w:r>
        <w:rPr>
          <w:rFonts w:ascii="宋体" w:hAnsi="宋体" w:hint="eastAsia"/>
          <w:szCs w:val="21"/>
        </w:rPr>
        <w:t>、所有驻场人员必须统一着甲方认可的与学校形象相匹配的工作服上岗，确保服装干净整洁，无异味。其制作、发放、保管等由乙方自行负责，工作服装费用包含在物业服务费中。</w:t>
      </w:r>
    </w:p>
    <w:p>
      <w:pPr>
        <w:spacing w:line="360" w:lineRule="auto"/>
        <w:ind w:firstLine="420" w:firstLineChars="200"/>
        <w:rPr>
          <w:rFonts w:ascii="宋体" w:hAnsi="宋体" w:hint="eastAsia"/>
          <w:szCs w:val="21"/>
        </w:rPr>
      </w:pPr>
      <w:r>
        <w:rPr>
          <w:rFonts w:ascii="宋体" w:hAnsi="宋体" w:hint="eastAsia"/>
          <w:szCs w:val="21"/>
        </w:rPr>
        <w:t>2</w:t>
      </w:r>
      <w:r>
        <w:rPr>
          <w:rFonts w:ascii="宋体" w:hAnsi="宋体"/>
          <w:szCs w:val="21"/>
        </w:rPr>
        <w:t>0</w:t>
      </w:r>
      <w:r>
        <w:rPr>
          <w:rFonts w:ascii="宋体" w:hAnsi="宋体" w:hint="eastAsia"/>
          <w:szCs w:val="21"/>
        </w:rPr>
        <w:t>、乙方在服务期满后，如未续签，在新物业公司进驻前，乙方仍按原合同服务承诺提供物业管理服务，做好与后续服务公司的交接准备工作，并向甲方或甲方指定的其他机构移交管理期间的各类档案资料、物资、工具、材料和所有管理用房，不得向除甲方以外的任何其他方泄露甲方的经营情况及任何其他商业资料和秘密。</w:t>
      </w:r>
    </w:p>
    <w:p>
      <w:pPr>
        <w:spacing w:line="360" w:lineRule="auto"/>
        <w:ind w:firstLine="420" w:firstLineChars="200"/>
        <w:rPr>
          <w:rFonts w:ascii="宋体" w:hAnsi="宋体" w:hint="eastAsia"/>
          <w:szCs w:val="21"/>
        </w:rPr>
      </w:pPr>
      <w:r>
        <w:rPr>
          <w:rFonts w:ascii="宋体" w:hAnsi="宋体" w:hint="eastAsia"/>
          <w:szCs w:val="21"/>
        </w:rPr>
        <w:t>2</w:t>
      </w:r>
      <w:r>
        <w:rPr>
          <w:rFonts w:ascii="宋体" w:hAnsi="宋体"/>
          <w:szCs w:val="21"/>
        </w:rPr>
        <w:t>1</w:t>
      </w:r>
      <w:r>
        <w:rPr>
          <w:rFonts w:ascii="宋体" w:hAnsi="宋体" w:hint="eastAsia"/>
          <w:szCs w:val="21"/>
        </w:rPr>
        <w:t>、有权向学校物业使用人告知物业使用的有关规定，当学校物业使用人装修物业时，告知有关限制条件，订立书面约定，并负责监督。</w:t>
      </w:r>
    </w:p>
    <w:p>
      <w:pPr>
        <w:spacing w:line="360" w:lineRule="auto"/>
        <w:ind w:firstLine="420" w:firstLineChars="200"/>
        <w:rPr>
          <w:rFonts w:ascii="宋体" w:hAnsi="宋体" w:hint="eastAsia"/>
          <w:szCs w:val="21"/>
        </w:rPr>
      </w:pPr>
      <w:r>
        <w:rPr>
          <w:rFonts w:ascii="宋体" w:hAnsi="宋体"/>
          <w:szCs w:val="21"/>
        </w:rPr>
        <w:t>22</w:t>
      </w:r>
      <w:r>
        <w:rPr>
          <w:rFonts w:ascii="宋体" w:hAnsi="宋体" w:hint="eastAsia"/>
          <w:szCs w:val="21"/>
        </w:rPr>
        <w:t>、乙方有权根据甲方的要求检查本物业的出入物品、人员来访、车辆出入。</w:t>
      </w:r>
    </w:p>
    <w:p>
      <w:pPr>
        <w:spacing w:line="360" w:lineRule="auto"/>
        <w:ind w:firstLine="420" w:firstLineChars="200"/>
        <w:rPr>
          <w:rFonts w:ascii="宋体" w:hAnsi="宋体" w:hint="eastAsia"/>
          <w:szCs w:val="21"/>
        </w:rPr>
      </w:pPr>
      <w:r>
        <w:rPr>
          <w:rFonts w:ascii="宋体" w:hAnsi="宋体"/>
          <w:szCs w:val="21"/>
        </w:rPr>
        <w:t>23</w:t>
      </w:r>
      <w:r>
        <w:rPr>
          <w:rFonts w:ascii="宋体" w:hAnsi="宋体" w:hint="eastAsia"/>
          <w:szCs w:val="21"/>
        </w:rPr>
        <w:t>、乙方有权要求甲方办公人员遵守有关物业管理规章和制度并依照法规政策和本合同的规定对违反物业管理法规政策的行为进行处理。</w:t>
      </w:r>
    </w:p>
    <w:p>
      <w:pPr>
        <w:spacing w:line="360" w:lineRule="auto"/>
        <w:ind w:firstLine="420" w:firstLineChars="200"/>
        <w:rPr>
          <w:rFonts w:ascii="宋体" w:hAnsi="宋体" w:hint="eastAsia"/>
          <w:szCs w:val="21"/>
        </w:rPr>
      </w:pPr>
      <w:r>
        <w:rPr>
          <w:rFonts w:ascii="宋体" w:hAnsi="宋体"/>
          <w:szCs w:val="21"/>
        </w:rPr>
        <w:t>24</w:t>
      </w:r>
      <w:r>
        <w:rPr>
          <w:rFonts w:ascii="宋体" w:hAnsi="宋体" w:hint="eastAsia"/>
          <w:szCs w:val="21"/>
        </w:rPr>
        <w:t>、乙方有权对安全、消防的突发事件进行应急处理（如盗窃、火灾等），并及时报告甲方有关人员。如因乙方管理责任导致发生失窃、伤害、火灾等事故，乙方需承担相应责任。如因乙方已按职责将园区需要整改的风险/缺陷书面告知甲方的，乙方不承担责任。经政府或相关权威部门鉴定属于设施设备安装存在缺陷等瑕疵而导致失窃、伤害、火灾等事故的，乙方不承担责任。为维护公共利益，在不可预见情况下，如发生煤气泄露、漏电、火灾、暖气管、水管破裂、救助人命、协助公安机关执行任务等突发事件，乙方因采取紧急避险措施造成损失的，当事人应按国家有关法律、法规之相关规定处理。</w:t>
      </w:r>
    </w:p>
    <w:p>
      <w:pPr>
        <w:spacing w:line="360" w:lineRule="auto"/>
        <w:ind w:firstLine="420" w:firstLineChars="200"/>
        <w:rPr>
          <w:rFonts w:ascii="宋体" w:hAnsi="宋体" w:hint="eastAsia"/>
          <w:szCs w:val="21"/>
        </w:rPr>
      </w:pPr>
      <w:r>
        <w:rPr>
          <w:rFonts w:ascii="宋体" w:hAnsi="宋体" w:hint="eastAsia"/>
          <w:szCs w:val="21"/>
        </w:rPr>
        <w:t>2</w:t>
      </w:r>
      <w:r>
        <w:rPr>
          <w:rFonts w:ascii="宋体" w:hAnsi="宋体"/>
          <w:szCs w:val="21"/>
        </w:rPr>
        <w:t>5</w:t>
      </w:r>
      <w:r>
        <w:rPr>
          <w:rFonts w:ascii="宋体" w:hAnsi="宋体" w:hint="eastAsia"/>
          <w:szCs w:val="21"/>
        </w:rPr>
        <w:t>、乙方不承担对物业使用人的人身、财产的保管保险义务及因非管理责任和意外事件、不可抗力造成的损害责任。</w:t>
      </w:r>
    </w:p>
    <w:p>
      <w:pPr>
        <w:spacing w:line="360" w:lineRule="auto"/>
        <w:ind w:firstLine="420" w:firstLineChars="200"/>
        <w:rPr>
          <w:rFonts w:ascii="宋体" w:hAnsi="宋体" w:hint="eastAsia"/>
          <w:szCs w:val="21"/>
        </w:rPr>
      </w:pPr>
      <w:r>
        <w:rPr>
          <w:rFonts w:ascii="宋体" w:hAnsi="宋体"/>
          <w:szCs w:val="21"/>
        </w:rPr>
        <w:t>26</w:t>
      </w:r>
      <w:r>
        <w:rPr>
          <w:rFonts w:ascii="宋体" w:hAnsi="宋体" w:hint="eastAsia"/>
          <w:szCs w:val="21"/>
        </w:rPr>
        <w:t>、法规、政策规定由乙方承担的其它责任和义务。</w:t>
      </w:r>
    </w:p>
    <w:p>
      <w:pPr>
        <w:spacing w:line="360" w:lineRule="auto"/>
        <w:jc w:val="center"/>
        <w:rPr>
          <w:rFonts w:ascii="宋体" w:hAnsi="宋体" w:hint="eastAsia"/>
          <w:b/>
          <w:bCs/>
          <w:szCs w:val="21"/>
        </w:rPr>
      </w:pPr>
      <w:r>
        <w:rPr>
          <w:rFonts w:ascii="宋体" w:hAnsi="宋体" w:hint="eastAsia"/>
          <w:b/>
          <w:bCs/>
          <w:szCs w:val="21"/>
        </w:rPr>
        <w:t>第七条</w:t>
      </w:r>
      <w:r>
        <w:rPr>
          <w:rFonts w:ascii="宋体" w:hAnsi="宋体" w:hint="eastAsia"/>
          <w:b/>
          <w:bCs/>
          <w:szCs w:val="21"/>
        </w:rPr>
        <w:tab/>
      </w:r>
      <w:r>
        <w:rPr>
          <w:rFonts w:ascii="宋体" w:hAnsi="宋体" w:hint="eastAsia"/>
          <w:b/>
          <w:bCs/>
          <w:szCs w:val="21"/>
        </w:rPr>
        <w:t>甲方的责任</w:t>
      </w:r>
    </w:p>
    <w:p>
      <w:pPr>
        <w:spacing w:line="360" w:lineRule="auto"/>
        <w:ind w:firstLine="420" w:firstLineChars="200"/>
        <w:rPr>
          <w:rFonts w:ascii="宋体" w:hAnsi="宋体" w:hint="eastAsia"/>
          <w:szCs w:val="21"/>
        </w:rPr>
      </w:pPr>
      <w:r>
        <w:rPr>
          <w:rFonts w:ascii="宋体" w:hAnsi="宋体" w:hint="eastAsia"/>
          <w:szCs w:val="21"/>
        </w:rPr>
        <w:t>1、应当履行本合同约定的义务，如有违反则应当承担违约责任，赔偿给乙方造成的直接经济损失。</w:t>
      </w:r>
    </w:p>
    <w:p>
      <w:pPr>
        <w:spacing w:line="360" w:lineRule="auto"/>
        <w:ind w:firstLine="420" w:firstLineChars="200"/>
        <w:rPr>
          <w:rFonts w:ascii="宋体" w:hAnsi="宋体" w:hint="eastAsia"/>
          <w:szCs w:val="21"/>
        </w:rPr>
      </w:pPr>
      <w:r>
        <w:rPr>
          <w:rFonts w:ascii="宋体" w:hAnsi="宋体"/>
          <w:szCs w:val="21"/>
        </w:rPr>
        <w:t>2</w:t>
      </w:r>
      <w:r>
        <w:rPr>
          <w:rFonts w:ascii="宋体" w:hAnsi="宋体" w:hint="eastAsia"/>
          <w:szCs w:val="21"/>
        </w:rPr>
        <w:t>、甲方向乙方提出赔偿要求不能成立时，则应补偿由于该赔偿或其他要求所导致乙方的各种费用的支出。</w:t>
      </w:r>
    </w:p>
    <w:p>
      <w:pPr>
        <w:spacing w:line="360" w:lineRule="auto"/>
        <w:jc w:val="center"/>
        <w:rPr>
          <w:rFonts w:ascii="宋体" w:hAnsi="宋体" w:hint="eastAsia"/>
          <w:b/>
          <w:bCs/>
          <w:szCs w:val="21"/>
        </w:rPr>
      </w:pPr>
      <w:r>
        <w:rPr>
          <w:rFonts w:ascii="宋体" w:hAnsi="宋体" w:hint="eastAsia"/>
          <w:b/>
          <w:bCs/>
          <w:szCs w:val="21"/>
        </w:rPr>
        <w:t>第八条  乙方的责任</w:t>
      </w:r>
    </w:p>
    <w:p>
      <w:pPr>
        <w:spacing w:line="360" w:lineRule="auto"/>
        <w:ind w:firstLine="420" w:firstLineChars="200"/>
        <w:rPr>
          <w:rFonts w:ascii="宋体" w:hAnsi="宋体" w:hint="eastAsia"/>
          <w:szCs w:val="21"/>
        </w:rPr>
      </w:pPr>
      <w:r>
        <w:rPr>
          <w:rFonts w:ascii="宋体" w:hAnsi="宋体" w:hint="eastAsia"/>
          <w:szCs w:val="21"/>
        </w:rPr>
        <w:t>1、乙方的责任期即本合同有效期。如因非乙方的责任造成进度的推迟或延误而超过约定的日期，双方应进一步约定相应延长合同有效期。</w:t>
      </w:r>
    </w:p>
    <w:p>
      <w:pPr>
        <w:spacing w:line="360" w:lineRule="auto"/>
        <w:ind w:firstLine="420" w:firstLineChars="200"/>
        <w:rPr>
          <w:rFonts w:ascii="宋体" w:hAnsi="宋体" w:hint="eastAsia"/>
          <w:szCs w:val="21"/>
        </w:rPr>
      </w:pPr>
      <w:r>
        <w:rPr>
          <w:rFonts w:ascii="宋体" w:hAnsi="宋体" w:hint="eastAsia"/>
          <w:szCs w:val="21"/>
        </w:rPr>
        <w:t>2、应当履行本合同约定的义务，如有违反则应当承担违约责任，赔偿给甲方造成的直接经济损失。</w:t>
      </w:r>
    </w:p>
    <w:p>
      <w:pPr>
        <w:spacing w:line="360" w:lineRule="auto"/>
        <w:ind w:firstLine="420" w:firstLineChars="200"/>
        <w:rPr>
          <w:rFonts w:ascii="宋体" w:hAnsi="宋体" w:hint="eastAsia"/>
          <w:szCs w:val="21"/>
        </w:rPr>
      </w:pPr>
      <w:r>
        <w:rPr>
          <w:rFonts w:ascii="宋体" w:hAnsi="宋体"/>
          <w:szCs w:val="21"/>
        </w:rPr>
        <w:t>3</w:t>
      </w:r>
      <w:r>
        <w:rPr>
          <w:rFonts w:ascii="宋体" w:hAnsi="宋体" w:hint="eastAsia"/>
          <w:szCs w:val="21"/>
        </w:rPr>
        <w:t>、乙方向甲方提出赔偿要求不能成立时，则应补偿由于该赔偿或其他要求所导致甲方的各种费用的支出。</w:t>
      </w:r>
    </w:p>
    <w:p>
      <w:pPr>
        <w:spacing w:line="360" w:lineRule="auto"/>
        <w:jc w:val="center"/>
        <w:rPr>
          <w:rFonts w:ascii="宋体" w:hAnsi="宋体" w:hint="eastAsia"/>
          <w:b/>
          <w:bCs/>
          <w:szCs w:val="21"/>
        </w:rPr>
      </w:pPr>
      <w:r>
        <w:rPr>
          <w:rFonts w:ascii="宋体" w:hAnsi="宋体" w:hint="eastAsia"/>
          <w:b/>
          <w:bCs/>
          <w:szCs w:val="21"/>
        </w:rPr>
        <w:t>第九条  人员要求</w:t>
      </w:r>
    </w:p>
    <w:p>
      <w:pPr>
        <w:spacing w:line="360" w:lineRule="auto"/>
        <w:ind w:firstLine="420" w:firstLineChars="200"/>
        <w:rPr>
          <w:rFonts w:ascii="宋体" w:hAnsi="宋体" w:hint="eastAsia"/>
          <w:szCs w:val="21"/>
        </w:rPr>
      </w:pPr>
      <w:r>
        <w:rPr>
          <w:rFonts w:ascii="宋体" w:hAnsi="宋体" w:hint="eastAsia"/>
          <w:szCs w:val="21"/>
        </w:rPr>
        <w:t>1、参加本物业项目的人员必须符合甲方招标文件中各岗位要求。</w:t>
      </w:r>
    </w:p>
    <w:p>
      <w:pPr>
        <w:spacing w:line="360" w:lineRule="auto"/>
        <w:ind w:firstLine="420" w:firstLineChars="200"/>
        <w:rPr>
          <w:rFonts w:ascii="宋体" w:hAnsi="宋体" w:hint="eastAsia"/>
          <w:szCs w:val="21"/>
        </w:rPr>
      </w:pPr>
      <w:r>
        <w:rPr>
          <w:rFonts w:ascii="宋体" w:hAnsi="宋体" w:hint="eastAsia"/>
          <w:szCs w:val="21"/>
        </w:rPr>
        <w:t>2、项目实行24小时管理，消防中心（24小时）必须有人值班，消防中心控制室晚间值班必须保证2人（含）以上。</w:t>
      </w:r>
    </w:p>
    <w:p>
      <w:pPr>
        <w:spacing w:line="360" w:lineRule="auto"/>
        <w:ind w:firstLine="420" w:firstLineChars="200"/>
        <w:rPr>
          <w:rFonts w:ascii="宋体" w:hAnsi="宋体" w:hint="eastAsia"/>
          <w:szCs w:val="21"/>
        </w:rPr>
      </w:pPr>
      <w:r>
        <w:rPr>
          <w:rFonts w:ascii="宋体" w:hAnsi="宋体" w:hint="eastAsia"/>
          <w:szCs w:val="21"/>
        </w:rPr>
        <w:t xml:space="preserve">3、     </w:t>
      </w:r>
    </w:p>
    <w:p>
      <w:pPr>
        <w:spacing w:line="360" w:lineRule="auto"/>
        <w:jc w:val="center"/>
        <w:rPr>
          <w:rFonts w:ascii="宋体" w:hAnsi="宋体" w:hint="eastAsia"/>
          <w:b/>
          <w:bCs/>
          <w:szCs w:val="21"/>
        </w:rPr>
      </w:pPr>
      <w:r>
        <w:rPr>
          <w:rFonts w:ascii="宋体" w:hAnsi="宋体" w:hint="eastAsia"/>
          <w:b/>
          <w:bCs/>
          <w:szCs w:val="21"/>
        </w:rPr>
        <w:t>第十条  保密要求</w:t>
      </w:r>
    </w:p>
    <w:p>
      <w:pPr>
        <w:spacing w:line="360" w:lineRule="auto"/>
        <w:ind w:firstLine="420" w:firstLineChars="200"/>
        <w:rPr>
          <w:rFonts w:ascii="宋体" w:hAnsi="宋体" w:hint="eastAsia"/>
          <w:szCs w:val="21"/>
        </w:rPr>
      </w:pPr>
      <w:r>
        <w:rPr>
          <w:rFonts w:ascii="宋体" w:hAnsi="宋体" w:hint="eastAsia"/>
          <w:szCs w:val="21"/>
        </w:rPr>
        <w:t>1、</w:t>
      </w:r>
      <w:r>
        <w:rPr>
          <w:rFonts w:ascii="宋体" w:hAnsi="宋体"/>
          <w:szCs w:val="21"/>
        </w:rPr>
        <w:t>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pPr>
        <w:spacing w:line="360" w:lineRule="auto"/>
        <w:ind w:firstLine="420" w:firstLineChars="200"/>
        <w:rPr>
          <w:rFonts w:ascii="宋体" w:hAnsi="宋体" w:hint="eastAsia"/>
          <w:szCs w:val="21"/>
        </w:rPr>
      </w:pPr>
      <w:r>
        <w:rPr>
          <w:rFonts w:ascii="宋体" w:hAnsi="宋体" w:hint="eastAsia"/>
          <w:szCs w:val="21"/>
        </w:rPr>
        <w:t>2、</w:t>
      </w:r>
      <w:r>
        <w:rPr>
          <w:rFonts w:ascii="宋体" w:hAnsi="宋体"/>
          <w:szCs w:val="21"/>
        </w:rPr>
        <w:t>乙方在履行合同过程中所获得或接触到的任何</w:t>
      </w:r>
      <w:r>
        <w:rPr>
          <w:rFonts w:ascii="宋体" w:hAnsi="宋体" w:hint="eastAsia"/>
          <w:szCs w:val="21"/>
        </w:rPr>
        <w:t>内部数据资料，未经甲方同意，不得向第三方透露。</w:t>
      </w:r>
    </w:p>
    <w:p>
      <w:pPr>
        <w:spacing w:line="360" w:lineRule="auto"/>
        <w:ind w:firstLine="420" w:firstLineChars="200"/>
        <w:rPr>
          <w:rFonts w:ascii="宋体" w:hAnsi="宋体" w:hint="eastAsia"/>
          <w:szCs w:val="21"/>
        </w:rPr>
      </w:pPr>
      <w:r>
        <w:rPr>
          <w:rFonts w:ascii="宋体" w:hAnsi="宋体" w:hint="eastAsia"/>
          <w:szCs w:val="21"/>
        </w:rPr>
        <w:t>3、</w:t>
      </w:r>
      <w:r>
        <w:rPr>
          <w:rFonts w:ascii="宋体" w:hAnsi="宋体"/>
          <w:szCs w:val="21"/>
        </w:rPr>
        <w:t>乙方</w:t>
      </w:r>
      <w:r>
        <w:rPr>
          <w:rFonts w:ascii="宋体" w:hAnsi="宋体" w:hint="eastAsia"/>
          <w:szCs w:val="21"/>
        </w:rPr>
        <w:t>实施项目的一切程序都应符合国家安全、保密的有关规定和标准。</w:t>
      </w:r>
    </w:p>
    <w:p>
      <w:pPr>
        <w:spacing w:line="360" w:lineRule="auto"/>
        <w:ind w:firstLine="420" w:firstLineChars="200"/>
        <w:rPr>
          <w:rFonts w:ascii="宋体" w:hAnsi="宋体" w:hint="eastAsia"/>
          <w:szCs w:val="21"/>
        </w:rPr>
      </w:pPr>
      <w:r>
        <w:rPr>
          <w:rFonts w:ascii="宋体" w:hAnsi="宋体" w:hint="eastAsia"/>
          <w:szCs w:val="21"/>
        </w:rPr>
        <w:t>4、</w:t>
      </w:r>
      <w:r>
        <w:rPr>
          <w:rFonts w:ascii="宋体" w:hAnsi="宋体"/>
          <w:szCs w:val="21"/>
        </w:rPr>
        <w:t>乙方</w:t>
      </w:r>
      <w:r>
        <w:rPr>
          <w:rFonts w:ascii="宋体" w:hAnsi="宋体" w:hint="eastAsia"/>
          <w:szCs w:val="21"/>
        </w:rPr>
        <w:t>参加项目的有关人员均需同甲方签订保密协议。</w:t>
      </w:r>
    </w:p>
    <w:p>
      <w:pPr>
        <w:spacing w:line="360" w:lineRule="auto"/>
        <w:jc w:val="center"/>
        <w:rPr>
          <w:rFonts w:ascii="宋体" w:hAnsi="宋体" w:hint="eastAsia"/>
          <w:b/>
          <w:bCs/>
          <w:szCs w:val="21"/>
        </w:rPr>
      </w:pPr>
      <w:r>
        <w:rPr>
          <w:rFonts w:ascii="宋体" w:hAnsi="宋体" w:hint="eastAsia"/>
          <w:b/>
          <w:bCs/>
          <w:szCs w:val="21"/>
        </w:rPr>
        <w:t>第十一条 费用及付款方式</w:t>
      </w:r>
    </w:p>
    <w:p>
      <w:pPr>
        <w:spacing w:line="360" w:lineRule="auto"/>
        <w:ind w:firstLine="420" w:firstLineChars="200"/>
        <w:rPr>
          <w:rFonts w:ascii="宋体" w:hAnsi="宋体" w:hint="eastAsia"/>
          <w:b/>
          <w:bCs/>
          <w:szCs w:val="21"/>
        </w:rPr>
      </w:pPr>
      <w:r>
        <w:rPr>
          <w:rFonts w:ascii="宋体" w:hAnsi="宋体" w:hint="eastAsia"/>
          <w:b/>
          <w:bCs/>
          <w:szCs w:val="21"/>
        </w:rPr>
        <w:t>（一）费用结算</w:t>
      </w:r>
    </w:p>
    <w:p>
      <w:pPr>
        <w:spacing w:line="360" w:lineRule="auto"/>
        <w:ind w:firstLine="420" w:firstLineChars="200"/>
        <w:rPr>
          <w:rFonts w:ascii="宋体" w:hAnsi="宋体" w:hint="eastAsia"/>
          <w:szCs w:val="21"/>
        </w:rPr>
      </w:pPr>
      <w:r>
        <w:rPr>
          <w:rFonts w:ascii="宋体" w:hAnsi="宋体" w:hint="eastAsia"/>
          <w:szCs w:val="21"/>
        </w:rPr>
        <w:t xml:space="preserve">1、乙方开展本合同约定范围内物业管理及服务工作应收取的物业服务费为人民币     元（大写：            ），每月的物业服务费为人民币    </w:t>
      </w:r>
      <w:r>
        <w:rPr>
          <w:rFonts w:ascii="宋体" w:hAnsi="宋体"/>
          <w:szCs w:val="21"/>
        </w:rPr>
        <w:t xml:space="preserve"> </w:t>
      </w:r>
      <w:r>
        <w:rPr>
          <w:rFonts w:ascii="宋体" w:hAnsi="宋体" w:hint="eastAsia"/>
          <w:szCs w:val="21"/>
        </w:rPr>
        <w:t>元（大写：）。物业服务费由业主即甲方支付，项目服务费已包括服务成本、法定税费和企业的利润等一切费用。</w:t>
      </w:r>
    </w:p>
    <w:p>
      <w:pPr>
        <w:spacing w:line="360" w:lineRule="auto"/>
        <w:ind w:firstLine="420" w:firstLineChars="200"/>
        <w:rPr>
          <w:rFonts w:ascii="宋体" w:hAnsi="宋体" w:hint="eastAsia"/>
          <w:szCs w:val="21"/>
        </w:rPr>
      </w:pPr>
      <w:r>
        <w:rPr>
          <w:rFonts w:ascii="宋体" w:hAnsi="宋体" w:hint="eastAsia"/>
          <w:szCs w:val="21"/>
        </w:rPr>
        <w:t>2、付费方式：</w:t>
      </w:r>
    </w:p>
    <w:p>
      <w:pPr>
        <w:pStyle w:val="ListParagraph"/>
        <w:numPr>
          <w:ilvl w:val="255"/>
          <w:numId w:val="0"/>
        </w:numPr>
        <w:spacing w:line="288" w:lineRule="auto"/>
        <w:ind w:firstLine="480"/>
        <w:rPr>
          <w:rFonts w:ascii="宋体" w:hAnsi="宋体" w:hint="eastAsia"/>
          <w:szCs w:val="21"/>
        </w:rPr>
      </w:pPr>
      <w:r>
        <w:rPr>
          <w:rFonts w:ascii="宋体" w:hAnsi="宋体" w:hint="eastAsia"/>
          <w:szCs w:val="21"/>
        </w:rPr>
        <w:t>3、</w:t>
      </w:r>
    </w:p>
    <w:p>
      <w:pPr>
        <w:spacing w:line="360" w:lineRule="auto"/>
        <w:ind w:firstLine="420" w:firstLineChars="200"/>
        <w:rPr>
          <w:rFonts w:ascii="宋体" w:hAnsi="宋体" w:hint="eastAsia"/>
          <w:b/>
          <w:bCs/>
          <w:szCs w:val="21"/>
        </w:rPr>
      </w:pPr>
      <w:r>
        <w:rPr>
          <w:rFonts w:ascii="宋体" w:hAnsi="宋体" w:hint="eastAsia"/>
          <w:b/>
          <w:bCs/>
          <w:szCs w:val="21"/>
        </w:rPr>
        <w:t>（二）乙方开户银行信息</w:t>
      </w:r>
    </w:p>
    <w:p>
      <w:pPr>
        <w:spacing w:line="360" w:lineRule="auto"/>
        <w:jc w:val="center"/>
        <w:rPr>
          <w:rFonts w:ascii="宋体" w:hAnsi="宋体" w:hint="eastAsia"/>
          <w:szCs w:val="21"/>
        </w:rPr>
      </w:pPr>
    </w:p>
    <w:p>
      <w:pPr>
        <w:spacing w:line="360" w:lineRule="auto"/>
        <w:jc w:val="center"/>
        <w:rPr>
          <w:rFonts w:ascii="宋体" w:hAnsi="宋体" w:hint="eastAsia"/>
          <w:b/>
          <w:bCs/>
          <w:szCs w:val="21"/>
        </w:rPr>
      </w:pPr>
      <w:r>
        <w:rPr>
          <w:rFonts w:ascii="宋体" w:hAnsi="宋体" w:hint="eastAsia"/>
          <w:b/>
          <w:bCs/>
          <w:szCs w:val="21"/>
        </w:rPr>
        <w:t>第十二条  争议解决办法</w:t>
      </w:r>
    </w:p>
    <w:p>
      <w:pPr>
        <w:spacing w:line="360" w:lineRule="auto"/>
        <w:ind w:firstLine="420" w:firstLineChars="200"/>
        <w:rPr>
          <w:rFonts w:ascii="宋体" w:hAnsi="宋体" w:hint="eastAsia"/>
          <w:color w:val="FF0000"/>
          <w:szCs w:val="21"/>
        </w:rPr>
      </w:pPr>
      <w:r>
        <w:rPr>
          <w:rFonts w:ascii="宋体" w:hAnsi="宋体" w:hint="eastAsia"/>
          <w:szCs w:val="21"/>
        </w:rPr>
        <w:t>执行本合同发生的争议，由甲乙双方协商解决。协商不成的，甲、乙双方同意向深圳国际仲裁院申请仲裁。</w:t>
      </w:r>
    </w:p>
    <w:p>
      <w:pPr>
        <w:spacing w:line="360" w:lineRule="auto"/>
        <w:jc w:val="center"/>
        <w:rPr>
          <w:rFonts w:ascii="宋体" w:hAnsi="宋体" w:hint="eastAsia"/>
          <w:b/>
          <w:bCs/>
          <w:szCs w:val="21"/>
        </w:rPr>
      </w:pPr>
      <w:r>
        <w:rPr>
          <w:rFonts w:ascii="宋体" w:hAnsi="宋体" w:hint="eastAsia"/>
          <w:b/>
          <w:bCs/>
          <w:szCs w:val="21"/>
        </w:rPr>
        <w:t>第十三条  违约责任</w:t>
      </w:r>
    </w:p>
    <w:p>
      <w:pPr>
        <w:spacing w:line="360" w:lineRule="auto"/>
        <w:ind w:firstLine="420" w:firstLineChars="200"/>
        <w:rPr>
          <w:rFonts w:ascii="宋体" w:hAnsi="宋体" w:hint="eastAsia"/>
          <w:szCs w:val="21"/>
        </w:rPr>
      </w:pPr>
      <w:r>
        <w:rPr>
          <w:rFonts w:ascii="宋体" w:hAnsi="宋体" w:hint="eastAsia"/>
          <w:szCs w:val="21"/>
        </w:rPr>
        <w:t>1、本合同生效后，甲、乙双方任何一方公司内部出现的股权转让、股东变更、法定代表人变更或甲方将本物业整体或部分转卖第三方及其它原因均不构成修改或终止本合同的理由。</w:t>
      </w:r>
    </w:p>
    <w:p>
      <w:pPr>
        <w:spacing w:line="360" w:lineRule="auto"/>
        <w:ind w:firstLine="420" w:firstLineChars="200"/>
        <w:rPr>
          <w:rFonts w:ascii="宋体" w:hAnsi="宋体" w:hint="eastAsia"/>
          <w:szCs w:val="21"/>
        </w:rPr>
      </w:pPr>
      <w:r>
        <w:rPr>
          <w:rFonts w:ascii="宋体" w:hAnsi="宋体"/>
          <w:szCs w:val="21"/>
        </w:rPr>
        <w:t>2</w:t>
      </w:r>
      <w:r>
        <w:rPr>
          <w:rFonts w:ascii="宋体" w:hAnsi="宋体" w:hint="eastAsia"/>
          <w:szCs w:val="21"/>
        </w:rPr>
        <w:t>、甲方违反相关约定，使乙方未完成规定管理目标，乙方有权要求甲方在甲乙双方商定的期限内解决，逾期未解决的，乙方有权解除合同；造成乙方经济损失的，甲方应给予乙方经济赔偿。</w:t>
      </w:r>
    </w:p>
    <w:p>
      <w:pPr>
        <w:spacing w:line="360" w:lineRule="auto"/>
        <w:ind w:firstLine="420" w:firstLineChars="200"/>
        <w:rPr>
          <w:rFonts w:ascii="宋体" w:hAnsi="宋体" w:hint="eastAsia"/>
          <w:szCs w:val="21"/>
        </w:rPr>
      </w:pPr>
      <w:r>
        <w:rPr>
          <w:rFonts w:ascii="宋体" w:hAnsi="宋体"/>
          <w:szCs w:val="21"/>
        </w:rPr>
        <w:t xml:space="preserve"> 3</w:t>
      </w:r>
      <w:r>
        <w:rPr>
          <w:rFonts w:ascii="宋体" w:hAnsi="宋体" w:hint="eastAsia"/>
          <w:szCs w:val="21"/>
        </w:rPr>
        <w:t>、乙方违反合同约定，未能达到约定的管理目标，甲方有权要求乙方限期整改，逾期未改的，甲方有权解除合同；造成甲方经济损失的，乙方应给予甲方经济赔偿。</w:t>
      </w:r>
    </w:p>
    <w:p>
      <w:pPr>
        <w:spacing w:line="360" w:lineRule="auto"/>
        <w:ind w:firstLine="420" w:firstLineChars="200"/>
        <w:rPr>
          <w:rFonts w:ascii="宋体" w:hAnsi="宋体" w:hint="eastAsia"/>
          <w:szCs w:val="21"/>
        </w:rPr>
      </w:pPr>
      <w:r>
        <w:rPr>
          <w:rFonts w:ascii="宋体" w:hAnsi="宋体"/>
          <w:szCs w:val="21"/>
        </w:rPr>
        <w:t>4</w:t>
      </w:r>
      <w:r>
        <w:rPr>
          <w:rFonts w:ascii="宋体" w:hAnsi="宋体" w:hint="eastAsia"/>
          <w:szCs w:val="21"/>
        </w:rPr>
        <w:t>、因乙方未履行管理职责导致甲方或其他第三方人身或财产遭受损失、伤害的，乙方应当承担赔偿责任。</w:t>
      </w:r>
    </w:p>
    <w:p>
      <w:pPr>
        <w:spacing w:line="360" w:lineRule="auto"/>
        <w:ind w:firstLine="420" w:firstLineChars="200"/>
        <w:rPr>
          <w:rFonts w:ascii="宋体" w:hAnsi="宋体" w:hint="eastAsia"/>
          <w:szCs w:val="21"/>
        </w:rPr>
      </w:pPr>
      <w:r>
        <w:rPr>
          <w:rFonts w:ascii="宋体" w:hAnsi="宋体"/>
          <w:szCs w:val="21"/>
        </w:rPr>
        <w:t>5</w:t>
      </w:r>
      <w:r>
        <w:rPr>
          <w:rFonts w:ascii="宋体" w:hAnsi="宋体" w:hint="eastAsia"/>
          <w:szCs w:val="21"/>
        </w:rPr>
        <w:t>、除本合同另有约定外，甲、乙双方可以结合本物业的具体情况和服务需求以附件的形式对违约责任进行详细约定。违约行为给第三方造成损失的，在明确责任的基础上依法给各自承担相应的赔偿责任。</w:t>
      </w:r>
    </w:p>
    <w:p>
      <w:pPr>
        <w:spacing w:line="360" w:lineRule="auto"/>
        <w:ind w:firstLine="420" w:firstLineChars="200"/>
        <w:rPr>
          <w:rFonts w:ascii="宋体" w:hAnsi="宋体" w:hint="eastAsia"/>
          <w:szCs w:val="21"/>
        </w:rPr>
      </w:pPr>
      <w:r>
        <w:rPr>
          <w:rFonts w:ascii="宋体" w:hAnsi="宋体"/>
          <w:szCs w:val="21"/>
        </w:rPr>
        <w:t>6</w:t>
      </w:r>
      <w:r>
        <w:rPr>
          <w:rFonts w:ascii="宋体" w:hAnsi="宋体" w:hint="eastAsia"/>
          <w:szCs w:val="21"/>
        </w:rPr>
        <w:t>、非甲方或乙方的过错或在任何一方均不能控制的其它不可抗力情况下，使甲方或乙方不能执行本合同项下的任何义务，因此而导致在此期间内不能执行该义务应予免责。</w:t>
      </w:r>
    </w:p>
    <w:p>
      <w:pPr>
        <w:spacing w:line="360" w:lineRule="auto"/>
        <w:ind w:firstLine="420" w:firstLineChars="200"/>
        <w:rPr>
          <w:rFonts w:ascii="宋体" w:hAnsi="宋体" w:hint="eastAsia"/>
          <w:szCs w:val="21"/>
        </w:rPr>
      </w:pPr>
      <w:r>
        <w:rPr>
          <w:rFonts w:ascii="宋体" w:hAnsi="宋体" w:hint="eastAsia"/>
          <w:szCs w:val="21"/>
        </w:rPr>
        <w:t>7、乙方有确切证据证明属于以下情况的，可不承担违约责任：</w:t>
      </w:r>
    </w:p>
    <w:p>
      <w:pPr>
        <w:spacing w:line="360" w:lineRule="auto"/>
        <w:ind w:firstLine="420" w:firstLineChars="200"/>
        <w:rPr>
          <w:rFonts w:ascii="宋体" w:hAnsi="宋体" w:hint="eastAsia"/>
          <w:szCs w:val="21"/>
        </w:rPr>
      </w:pPr>
      <w:r>
        <w:rPr>
          <w:rFonts w:ascii="宋体" w:hAnsi="宋体" w:hint="eastAsia"/>
          <w:szCs w:val="21"/>
        </w:rPr>
        <w:t>1）因不可抗力导致物业管理服务中断的。</w:t>
      </w:r>
    </w:p>
    <w:p>
      <w:pPr>
        <w:spacing w:line="360" w:lineRule="auto"/>
        <w:ind w:firstLine="420" w:firstLineChars="200"/>
        <w:rPr>
          <w:rFonts w:ascii="宋体" w:hAnsi="宋体" w:hint="eastAsia"/>
          <w:szCs w:val="21"/>
        </w:rPr>
      </w:pPr>
      <w:r>
        <w:rPr>
          <w:rFonts w:ascii="宋体" w:hAnsi="宋体" w:hint="eastAsia"/>
          <w:szCs w:val="21"/>
        </w:rPr>
        <w:t>2）因维修养护物业共用部位、共用设施设备，需要停水、停电、停止共用设施设备使用，在事先已告知甲方和物业使用人的情况下，因停水、停电、停止公用设施设备使用而造成损失的。</w:t>
      </w:r>
    </w:p>
    <w:p>
      <w:pPr>
        <w:spacing w:line="360" w:lineRule="auto"/>
        <w:ind w:firstLine="420" w:firstLineChars="200"/>
        <w:rPr>
          <w:rFonts w:ascii="宋体" w:hAnsi="宋体" w:hint="eastAsia"/>
          <w:szCs w:val="21"/>
        </w:rPr>
      </w:pPr>
      <w:r>
        <w:rPr>
          <w:rFonts w:ascii="宋体" w:hAnsi="宋体" w:hint="eastAsia"/>
          <w:szCs w:val="21"/>
        </w:rPr>
        <w:t>3）非乙方责任出现供水、供电、供气、供热、通讯、有线电视及其他共用设施设备运行障碍造成损失，乙方已采取应急措施的。</w:t>
      </w:r>
    </w:p>
    <w:p>
      <w:pPr>
        <w:spacing w:line="360" w:lineRule="auto"/>
        <w:ind w:firstLine="420" w:firstLineChars="200"/>
        <w:rPr>
          <w:rFonts w:ascii="宋体" w:hAnsi="宋体" w:hint="eastAsia"/>
          <w:szCs w:val="21"/>
        </w:rPr>
      </w:pPr>
      <w:r>
        <w:rPr>
          <w:rFonts w:ascii="宋体" w:hAnsi="宋体"/>
          <w:szCs w:val="21"/>
        </w:rPr>
        <w:t>4）</w:t>
      </w:r>
      <w:r>
        <w:rPr>
          <w:rFonts w:ascii="宋体" w:hAnsi="宋体" w:hint="eastAsia"/>
          <w:szCs w:val="21"/>
        </w:rPr>
        <w:t>因房屋建筑质量、设备、设施、质量或安装技术等原因，达不到使用功能，造成重大事故的，由甲方追溯施工单位承担责任并做善后处理。如乙方存在管理过失的，也应承担连带责任。产生质量事故直接原因，以政府主管部门的鉴定为准。</w:t>
      </w:r>
    </w:p>
    <w:p>
      <w:pPr>
        <w:spacing w:line="360" w:lineRule="auto"/>
        <w:jc w:val="center"/>
        <w:rPr>
          <w:rFonts w:ascii="宋体" w:hAnsi="宋体" w:hint="eastAsia"/>
          <w:b/>
          <w:bCs/>
          <w:szCs w:val="21"/>
        </w:rPr>
      </w:pPr>
      <w:r>
        <w:rPr>
          <w:rFonts w:ascii="宋体" w:hAnsi="宋体" w:hint="eastAsia"/>
          <w:b/>
          <w:bCs/>
          <w:szCs w:val="21"/>
        </w:rPr>
        <w:t>第十四条  其他</w:t>
      </w:r>
    </w:p>
    <w:p>
      <w:pPr>
        <w:spacing w:line="360" w:lineRule="auto"/>
        <w:ind w:firstLine="420" w:firstLineChars="200"/>
        <w:rPr>
          <w:rFonts w:ascii="宋体" w:hAnsi="宋体" w:hint="eastAsia"/>
          <w:szCs w:val="21"/>
        </w:rPr>
      </w:pPr>
      <w:r>
        <w:rPr>
          <w:rFonts w:ascii="宋体" w:hAnsi="宋体" w:hint="eastAsia"/>
          <w:szCs w:val="21"/>
        </w:rPr>
        <w:t>1、本合同与   号招标文件、乙方投标文件如有抵触之处，以本合同条款为准。</w:t>
      </w:r>
    </w:p>
    <w:p>
      <w:pPr>
        <w:spacing w:line="360" w:lineRule="auto"/>
        <w:ind w:firstLine="420" w:firstLineChars="200"/>
        <w:rPr>
          <w:rFonts w:ascii="宋体" w:hAnsi="宋体" w:hint="eastAsia"/>
          <w:szCs w:val="21"/>
        </w:rPr>
      </w:pPr>
      <w:r>
        <w:rPr>
          <w:rFonts w:ascii="宋体" w:hAnsi="宋体" w:hint="eastAsia"/>
          <w:szCs w:val="21"/>
        </w:rPr>
        <w:t>2、合同附件一至三作为合同不可分割部分，与合同具同等法律效力。</w:t>
      </w:r>
    </w:p>
    <w:p>
      <w:pPr>
        <w:spacing w:line="360" w:lineRule="auto"/>
        <w:ind w:firstLine="420" w:firstLineChars="200"/>
        <w:rPr>
          <w:rFonts w:ascii="宋体" w:hAnsi="宋体" w:hint="eastAsia"/>
          <w:szCs w:val="21"/>
        </w:rPr>
      </w:pPr>
      <w:r>
        <w:rPr>
          <w:rFonts w:ascii="宋体" w:hAnsi="宋体" w:hint="eastAsia"/>
          <w:szCs w:val="21"/>
        </w:rPr>
        <w:t>3、本合同一式</w:t>
      </w:r>
      <w:r>
        <w:rPr>
          <w:rFonts w:ascii="宋体" w:hAnsi="宋体" w:hint="eastAsia"/>
          <w:szCs w:val="21"/>
          <w:u w:val="single"/>
        </w:rPr>
        <w:t xml:space="preserve">      </w:t>
      </w:r>
      <w:r>
        <w:rPr>
          <w:rFonts w:ascii="宋体" w:hAnsi="宋体" w:hint="eastAsia"/>
          <w:szCs w:val="21"/>
        </w:rPr>
        <w:t xml:space="preserve"> 份。甲方执</w:t>
      </w:r>
      <w:r>
        <w:rPr>
          <w:rFonts w:ascii="宋体" w:hAnsi="宋体" w:hint="eastAsia"/>
          <w:szCs w:val="21"/>
          <w:u w:val="single"/>
        </w:rPr>
        <w:t xml:space="preserve">       </w:t>
      </w:r>
      <w:r>
        <w:rPr>
          <w:rFonts w:ascii="宋体" w:hAnsi="宋体" w:hint="eastAsia"/>
          <w:szCs w:val="21"/>
        </w:rPr>
        <w:t>份，乙方执肆份，具有同等法律效力。本合同经双方法定代表人或授权代表人签字并加盖公章后生效。</w:t>
      </w:r>
    </w:p>
    <w:p>
      <w:pPr>
        <w:spacing w:line="360" w:lineRule="auto"/>
        <w:ind w:firstLine="420" w:firstLineChars="200"/>
        <w:rPr>
          <w:rFonts w:ascii="宋体" w:hAnsi="宋体" w:hint="eastAsia"/>
          <w:szCs w:val="21"/>
        </w:rPr>
      </w:pPr>
      <w:r>
        <w:rPr>
          <w:rFonts w:ascii="宋体" w:hAnsi="宋体" w:hint="eastAsia"/>
          <w:szCs w:val="21"/>
        </w:rPr>
        <w:t>4、本合同未尽事宜，双方友好协商，达成解决方案，经双方签字后，可作为本合同的有效附件。</w:t>
      </w:r>
    </w:p>
    <w:p>
      <w:pPr>
        <w:spacing w:line="360" w:lineRule="auto"/>
        <w:ind w:firstLine="420" w:firstLineChars="200"/>
        <w:rPr>
          <w:rFonts w:ascii="宋体" w:hAnsi="宋体" w:hint="eastAsia"/>
          <w:szCs w:val="21"/>
        </w:rPr>
      </w:pPr>
      <w:r>
        <w:rPr>
          <w:rFonts w:ascii="宋体" w:hAnsi="宋体" w:hint="eastAsia"/>
          <w:szCs w:val="21"/>
        </w:rPr>
        <w:t xml:space="preserve">附件一：    </w:t>
      </w:r>
    </w:p>
    <w:p>
      <w:pPr>
        <w:spacing w:line="360" w:lineRule="auto"/>
        <w:ind w:firstLine="420" w:firstLineChars="200"/>
        <w:rPr>
          <w:rFonts w:ascii="宋体" w:hAnsi="宋体" w:hint="eastAsia"/>
          <w:szCs w:val="21"/>
        </w:rPr>
      </w:pPr>
      <w:r>
        <w:rPr>
          <w:rFonts w:ascii="宋体" w:hAnsi="宋体" w:hint="eastAsia"/>
          <w:szCs w:val="21"/>
        </w:rPr>
        <w:t xml:space="preserve">附件二：    </w:t>
      </w:r>
    </w:p>
    <w:p>
      <w:pPr>
        <w:spacing w:line="360" w:lineRule="auto"/>
        <w:ind w:firstLine="420" w:firstLineChars="200"/>
        <w:rPr>
          <w:rFonts w:ascii="宋体" w:hAnsi="宋体" w:hint="eastAsia"/>
          <w:szCs w:val="21"/>
        </w:rPr>
      </w:pPr>
      <w:r>
        <w:rPr>
          <w:rFonts w:ascii="宋体" w:hAnsi="宋体" w:hint="eastAsia"/>
          <w:szCs w:val="21"/>
        </w:rPr>
        <w:t xml:space="preserve">附件三：   </w:t>
      </w:r>
    </w:p>
    <w:p>
      <w:pPr>
        <w:spacing w:line="360" w:lineRule="auto"/>
        <w:ind w:firstLine="420" w:firstLineChars="200"/>
        <w:rPr>
          <w:rFonts w:ascii="宋体" w:hAnsi="宋体" w:hint="eastAsia"/>
          <w:szCs w:val="21"/>
        </w:rPr>
      </w:pPr>
      <w:r>
        <w:rPr>
          <w:rFonts w:ascii="宋体" w:hAnsi="宋体" w:hint="eastAsia"/>
          <w:szCs w:val="21"/>
        </w:rPr>
        <w:t xml:space="preserve">附件四：    </w:t>
      </w:r>
    </w:p>
    <w:p>
      <w:pPr>
        <w:spacing w:line="360" w:lineRule="auto"/>
        <w:ind w:firstLine="420" w:firstLineChars="200"/>
        <w:rPr>
          <w:rFonts w:ascii="宋体" w:hAnsi="宋体" w:hint="eastAsia"/>
          <w:szCs w:val="21"/>
        </w:rPr>
      </w:pPr>
    </w:p>
    <w:p>
      <w:pPr>
        <w:spacing w:line="360" w:lineRule="auto"/>
        <w:ind w:firstLine="420" w:firstLineChars="200"/>
        <w:rPr>
          <w:rFonts w:ascii="宋体" w:hAnsi="宋体" w:hint="eastAsia"/>
          <w:szCs w:val="21"/>
        </w:rPr>
      </w:pPr>
    </w:p>
    <w:p>
      <w:pPr>
        <w:spacing w:line="360" w:lineRule="auto"/>
        <w:ind w:firstLine="420" w:firstLineChars="200"/>
        <w:rPr>
          <w:rFonts w:ascii="宋体" w:hAnsi="宋体" w:hint="eastAsia"/>
          <w:szCs w:val="21"/>
        </w:rPr>
      </w:pPr>
      <w:r>
        <w:rPr>
          <w:rFonts w:ascii="宋体" w:hAnsi="宋体" w:hint="eastAsia"/>
          <w:szCs w:val="21"/>
        </w:rPr>
        <w:t>（以下</w:t>
      </w:r>
      <w:r>
        <w:rPr>
          <w:rFonts w:ascii="宋体" w:hAnsi="宋体"/>
          <w:szCs w:val="21"/>
        </w:rPr>
        <w:t>无正文</w:t>
      </w:r>
      <w:r>
        <w:rPr>
          <w:rFonts w:ascii="宋体" w:hAnsi="宋体" w:hint="eastAsia"/>
          <w:szCs w:val="21"/>
        </w:rPr>
        <w:t>）</w:t>
      </w:r>
    </w:p>
    <w:p>
      <w:pPr>
        <w:spacing w:line="360" w:lineRule="auto"/>
        <w:ind w:firstLine="420" w:firstLineChars="200"/>
        <w:rPr>
          <w:rFonts w:ascii="宋体" w:hAnsi="宋体" w:hint="eastAsia"/>
          <w:szCs w:val="21"/>
        </w:rPr>
      </w:pPr>
    </w:p>
    <w:p>
      <w:pPr>
        <w:spacing w:line="360" w:lineRule="auto"/>
        <w:ind w:firstLine="420" w:firstLineChars="200"/>
        <w:rPr>
          <w:rFonts w:ascii="宋体" w:hAnsi="宋体" w:hint="eastAsia"/>
          <w:szCs w:val="21"/>
        </w:rPr>
      </w:pPr>
    </w:p>
    <w:p>
      <w:pPr>
        <w:spacing w:line="360" w:lineRule="auto"/>
        <w:ind w:firstLine="420" w:firstLineChars="200"/>
        <w:rPr>
          <w:rFonts w:ascii="宋体" w:hAnsi="宋体" w:hint="eastAsia"/>
          <w:szCs w:val="21"/>
        </w:rPr>
      </w:pPr>
      <w:r>
        <w:rPr>
          <w:rFonts w:ascii="宋体" w:hAnsi="宋体" w:hint="eastAsia"/>
          <w:szCs w:val="21"/>
        </w:rPr>
        <w:t xml:space="preserve">甲方（采购人）： （盖章） </w:t>
      </w:r>
      <w:r>
        <w:rPr>
          <w:rFonts w:ascii="宋体" w:hAnsi="宋体"/>
          <w:szCs w:val="21"/>
        </w:rPr>
        <w:t xml:space="preserve">      </w:t>
      </w:r>
      <w:r>
        <w:rPr>
          <w:rFonts w:ascii="宋体" w:hAnsi="宋体" w:hint="eastAsia"/>
          <w:szCs w:val="21"/>
        </w:rPr>
        <w:t>乙方（供应商）：     （盖章）</w:t>
      </w:r>
    </w:p>
    <w:p>
      <w:pPr>
        <w:spacing w:line="360" w:lineRule="auto"/>
        <w:ind w:firstLine="560"/>
        <w:rPr>
          <w:rFonts w:ascii="宋体" w:hAnsi="宋体" w:hint="eastAsia"/>
          <w:szCs w:val="21"/>
        </w:rPr>
      </w:pPr>
      <w:r>
        <w:rPr>
          <w:rFonts w:ascii="宋体" w:hAnsi="宋体" w:hint="eastAsia"/>
          <w:szCs w:val="21"/>
        </w:rPr>
        <w:t xml:space="preserve">法定代表人：                  </w:t>
      </w:r>
      <w:r>
        <w:rPr>
          <w:rFonts w:ascii="宋体" w:hAnsi="宋体"/>
          <w:szCs w:val="21"/>
        </w:rPr>
        <w:t xml:space="preserve"> </w:t>
      </w:r>
      <w:r>
        <w:rPr>
          <w:rFonts w:ascii="宋体" w:hAnsi="宋体" w:hint="eastAsia"/>
          <w:szCs w:val="21"/>
        </w:rPr>
        <w:t xml:space="preserve">法定代表人： </w:t>
      </w:r>
    </w:p>
    <w:p>
      <w:pPr>
        <w:spacing w:line="360" w:lineRule="auto"/>
        <w:ind w:firstLine="560"/>
        <w:rPr>
          <w:rFonts w:ascii="宋体" w:hAnsi="宋体" w:hint="eastAsia"/>
          <w:szCs w:val="21"/>
        </w:rPr>
      </w:pPr>
      <w:r>
        <w:rPr>
          <w:rFonts w:ascii="宋体" w:hAnsi="宋体" w:hint="eastAsia"/>
          <w:szCs w:val="21"/>
        </w:rPr>
        <w:t xml:space="preserve">委托代理人：                   委托代理人： </w:t>
      </w:r>
    </w:p>
    <w:p>
      <w:pPr>
        <w:spacing w:line="360" w:lineRule="auto"/>
        <w:ind w:firstLine="420" w:firstLineChars="200"/>
        <w:rPr>
          <w:rFonts w:ascii="宋体" w:hAnsi="宋体" w:hint="eastAsia"/>
          <w:szCs w:val="21"/>
        </w:rPr>
      </w:pPr>
      <w:r>
        <w:rPr>
          <w:rFonts w:ascii="宋体" w:hAnsi="宋体" w:hint="eastAsia"/>
          <w:szCs w:val="21"/>
        </w:rPr>
        <w:t xml:space="preserve">日期：   年     月    日        </w:t>
      </w:r>
      <w:r>
        <w:rPr>
          <w:rFonts w:ascii="宋体" w:hAnsi="宋体"/>
          <w:szCs w:val="21"/>
        </w:rPr>
        <w:t xml:space="preserve"> </w:t>
      </w:r>
      <w:r>
        <w:rPr>
          <w:rFonts w:ascii="宋体" w:hAnsi="宋体" w:hint="eastAsia"/>
          <w:szCs w:val="21"/>
        </w:rPr>
        <w:t xml:space="preserve"> 日期：   年     月    日</w:t>
      </w:r>
    </w:p>
    <w:p>
      <w:pPr>
        <w:widowControl/>
        <w:jc w:val="left"/>
        <w:rPr>
          <w:rFonts w:ascii="宋体" w:hAnsi="宋体" w:hint="eastAsia"/>
          <w:szCs w:val="21"/>
        </w:rPr>
      </w:pPr>
      <w:r>
        <w:rPr>
          <w:rFonts w:ascii="宋体" w:hAnsi="宋体"/>
          <w:szCs w:val="21"/>
        </w:rPr>
        <w:br w:type="page"/>
      </w:r>
    </w:p>
    <w:p>
      <w:pPr>
        <w:pStyle w:val="Heading2"/>
        <w:spacing w:before="120" w:beforeLines="50" w:after="120" w:afterLines="50"/>
        <w:ind w:left="562"/>
        <w:rPr>
          <w:rFonts w:hint="eastAsia"/>
          <w:sz w:val="28"/>
          <w:szCs w:val="28"/>
        </w:rPr>
      </w:pPr>
      <w:r>
        <w:rPr>
          <w:rFonts w:hint="eastAsia"/>
          <w:sz w:val="28"/>
          <w:szCs w:val="28"/>
        </w:rPr>
        <w:t>第二册  通用条款（公开招标）</w:t>
      </w:r>
    </w:p>
    <w:p>
      <w:pPr>
        <w:pStyle w:val="Heading2"/>
        <w:numPr>
          <w:ilvl w:val="0"/>
          <w:numId w:val="56"/>
        </w:numPr>
        <w:spacing w:before="120" w:beforeLines="50" w:after="120" w:afterLines="50"/>
        <w:ind w:left="562" w:hanging="562"/>
        <w:rPr>
          <w:rFonts w:hint="eastAsia"/>
          <w:sz w:val="28"/>
          <w:szCs w:val="28"/>
        </w:rPr>
      </w:pPr>
      <w:bookmarkStart w:id="56" w:name="_Hlk72399513"/>
      <w:r>
        <w:rPr>
          <w:rFonts w:hint="eastAsia"/>
          <w:sz w:val="28"/>
          <w:szCs w:val="28"/>
        </w:rPr>
        <w:t>总则</w:t>
      </w:r>
    </w:p>
    <w:p>
      <w:pPr>
        <w:rPr>
          <w:rFonts w:ascii="黑体" w:eastAsia="黑体" w:hAnsi="宋体" w:hint="eastAsia"/>
          <w:sz w:val="24"/>
        </w:rPr>
      </w:pPr>
      <w:bookmarkEnd w:id="56"/>
      <w:r>
        <w:rPr>
          <w:rFonts w:ascii="黑体" w:eastAsia="黑体" w:hAnsi="宋体" w:hint="eastAsia"/>
          <w:sz w:val="24"/>
        </w:rPr>
        <w:t>1. 通用条款说明</w:t>
      </w:r>
    </w:p>
    <w:p>
      <w:pPr>
        <w:ind w:firstLine="412" w:firstLineChars="196"/>
        <w:rPr>
          <w:rFonts w:ascii="宋体" w:hAnsi="宋体" w:hint="eastAsia"/>
          <w:szCs w:val="21"/>
        </w:rPr>
      </w:pPr>
      <w:r>
        <w:rPr>
          <w:rFonts w:ascii="宋体" w:hAnsi="宋体" w:hint="eastAsia"/>
          <w:szCs w:val="21"/>
        </w:rPr>
        <w:t>1.1政府集中采购机构发出招标文件通用条款版本，列出深圳市政府采购项目进行招标采购所适用的通用条款内容。</w:t>
      </w:r>
      <w:bookmarkStart w:id="57" w:name="_Hlk72399729"/>
      <w:r>
        <w:rPr>
          <w:rFonts w:ascii="宋体" w:hAnsi="宋体" w:hint="eastAsia"/>
          <w:szCs w:val="21"/>
        </w:rPr>
        <w:t>如有需要，政府集中采购机构可以对通用条款的内容进行补充。</w:t>
      </w:r>
      <w:bookmarkEnd w:id="57"/>
    </w:p>
    <w:p>
      <w:pPr>
        <w:ind w:firstLine="412" w:firstLineChars="196"/>
        <w:rPr>
          <w:rFonts w:ascii="宋体" w:hAnsi="宋体" w:hint="eastAsia"/>
          <w:szCs w:val="21"/>
        </w:rPr>
      </w:pPr>
      <w:r>
        <w:rPr>
          <w:rFonts w:ascii="宋体" w:hAnsi="宋体" w:hint="eastAsia"/>
          <w:szCs w:val="21"/>
        </w:rPr>
        <w:t>1.2招标文件分为第一册“专用条款”和第二册“通用条款”。</w:t>
      </w:r>
    </w:p>
    <w:p>
      <w:pPr>
        <w:ind w:firstLine="412" w:firstLineChars="196"/>
        <w:rPr>
          <w:rFonts w:ascii="宋体" w:hAnsi="宋体" w:hint="eastAsia"/>
          <w:szCs w:val="21"/>
        </w:rPr>
      </w:pPr>
      <w:r>
        <w:rPr>
          <w:rFonts w:ascii="宋体" w:hAnsi="宋体" w:hint="eastAsia"/>
          <w:szCs w:val="21"/>
        </w:rPr>
        <w:t>1.3“专用条款”是对本次采购项目的具体要求，包含招标公告、对通用条款的补充内容及其他关键信息、用户需求书、投标文件格式及附件、合同条款及格式等内容。</w:t>
      </w:r>
    </w:p>
    <w:p>
      <w:pPr>
        <w:ind w:firstLine="412" w:firstLineChars="196"/>
        <w:rPr>
          <w:rFonts w:ascii="宋体" w:hAnsi="宋体" w:hint="eastAsia"/>
          <w:szCs w:val="21"/>
        </w:rPr>
      </w:pPr>
      <w:r>
        <w:rPr>
          <w:rFonts w:ascii="宋体" w:hAnsi="宋体" w:hint="eastAsia"/>
          <w:szCs w:val="21"/>
        </w:rPr>
        <w:t>1.4“通用条款”是适用于政府采购公开招标项目的基础性条款，具有普遍性和通用性。</w:t>
      </w:r>
    </w:p>
    <w:p>
      <w:pPr>
        <w:ind w:firstLine="412" w:firstLineChars="196"/>
        <w:rPr>
          <w:rFonts w:ascii="宋体" w:hAnsi="宋体" w:hint="eastAsia"/>
          <w:szCs w:val="21"/>
        </w:rPr>
      </w:pPr>
      <w:r>
        <w:rPr>
          <w:rFonts w:ascii="宋体" w:hAnsi="宋体" w:hint="eastAsia"/>
          <w:szCs w:val="21"/>
        </w:rPr>
        <w:t>1.5 “专用条款”和“通用条款”表述不一致或有冲突时，以“专用条款”为准。</w:t>
      </w:r>
    </w:p>
    <w:p>
      <w:pPr>
        <w:rPr>
          <w:rFonts w:ascii="黑体" w:eastAsia="黑体" w:hAnsi="宋体" w:hint="eastAsia"/>
          <w:sz w:val="24"/>
        </w:rPr>
      </w:pPr>
      <w:r>
        <w:rPr>
          <w:rFonts w:ascii="黑体" w:eastAsia="黑体" w:hAnsi="宋体" w:hint="eastAsia"/>
          <w:sz w:val="24"/>
        </w:rPr>
        <w:t>2</w:t>
      </w:r>
      <w:r>
        <w:rPr>
          <w:rFonts w:ascii="黑体" w:eastAsia="黑体" w:hAnsi="宋体"/>
          <w:sz w:val="24"/>
        </w:rPr>
        <w:t>．</w:t>
      </w:r>
      <w:r>
        <w:rPr>
          <w:rFonts w:ascii="黑体" w:eastAsia="黑体" w:hAnsi="宋体" w:hint="eastAsia"/>
          <w:sz w:val="24"/>
        </w:rPr>
        <w:t>招标说明</w:t>
      </w:r>
    </w:p>
    <w:p>
      <w:pPr>
        <w:ind w:firstLine="412" w:firstLineChars="196"/>
        <w:rPr>
          <w:rFonts w:ascii="宋体" w:hAnsi="宋体" w:hint="eastAsia"/>
          <w:szCs w:val="21"/>
        </w:rPr>
      </w:pPr>
      <w:r>
        <w:rPr>
          <w:rFonts w:ascii="宋体" w:hAnsi="宋体" w:hint="eastAsia"/>
          <w:szCs w:val="21"/>
        </w:rPr>
        <w:t>本项目按照《深圳经济特区政府采购条例》、《深圳经济特区政府采购条例实施细则》及政府采购其他法律法规，通过公开招标方式确定中标供应商。</w:t>
      </w:r>
    </w:p>
    <w:p>
      <w:pPr>
        <w:rPr>
          <w:rFonts w:ascii="黑体" w:eastAsia="黑体" w:hAnsi="宋体" w:hint="eastAsia"/>
          <w:sz w:val="24"/>
        </w:rPr>
      </w:pPr>
      <w:r>
        <w:rPr>
          <w:rFonts w:ascii="黑体" w:eastAsia="黑体" w:hAnsi="宋体" w:hint="eastAsia"/>
          <w:sz w:val="24"/>
        </w:rPr>
        <w:t>3．定义</w:t>
      </w:r>
    </w:p>
    <w:p>
      <w:pPr>
        <w:ind w:firstLine="420" w:firstLineChars="200"/>
        <w:rPr>
          <w:rFonts w:ascii="宋体" w:hAnsi="宋体" w:hint="eastAsia"/>
          <w:szCs w:val="21"/>
        </w:rPr>
      </w:pPr>
      <w:r>
        <w:rPr>
          <w:rFonts w:ascii="宋体" w:hAnsi="宋体"/>
          <w:szCs w:val="21"/>
        </w:rPr>
        <w:t>招标文件中下列术语应解释为：</w:t>
      </w:r>
    </w:p>
    <w:p>
      <w:pPr>
        <w:ind w:firstLine="412" w:firstLineChars="196"/>
        <w:rPr>
          <w:rFonts w:ascii="宋体" w:hAnsi="宋体" w:hint="eastAsia"/>
          <w:szCs w:val="21"/>
        </w:rPr>
      </w:pPr>
      <w:r>
        <w:rPr>
          <w:rFonts w:ascii="宋体" w:hAnsi="宋体" w:hint="eastAsia"/>
          <w:szCs w:val="21"/>
        </w:rPr>
        <w:t>3.</w:t>
      </w:r>
      <w:r>
        <w:rPr>
          <w:rFonts w:ascii="宋体" w:hAnsi="宋体"/>
          <w:szCs w:val="21"/>
        </w:rPr>
        <w:t>1</w:t>
      </w:r>
      <w:r>
        <w:rPr>
          <w:rFonts w:ascii="宋体" w:hAnsi="宋体" w:hint="eastAsia"/>
          <w:szCs w:val="21"/>
        </w:rPr>
        <w:t>“采购人”：指利用财政性资金依法进行政府采购的国家机关、事业单位、团体组织；</w:t>
      </w:r>
      <w:r>
        <w:rPr>
          <w:rFonts w:ascii="宋体" w:hAnsi="宋体"/>
          <w:szCs w:val="21"/>
        </w:rPr>
        <w:t xml:space="preserve"> </w:t>
      </w:r>
    </w:p>
    <w:p>
      <w:pPr>
        <w:ind w:firstLine="412" w:firstLineChars="196"/>
        <w:rPr>
          <w:rFonts w:ascii="宋体" w:hAnsi="宋体" w:hint="eastAsia"/>
          <w:szCs w:val="21"/>
        </w:rPr>
      </w:pPr>
      <w:r>
        <w:rPr>
          <w:rFonts w:ascii="宋体" w:hAnsi="宋体" w:hint="eastAsia"/>
          <w:szCs w:val="21"/>
        </w:rPr>
        <w:t>3.2 “政府集中采购机构”</w:t>
      </w:r>
      <w:r>
        <w:rPr>
          <w:rFonts w:ascii="Arial" w:hAnsi="Arial" w:cs="Arial" w:hint="eastAsia"/>
          <w:szCs w:val="21"/>
          <w:shd w:val="clear" w:color="auto" w:fill="FFFFFF"/>
        </w:rPr>
        <w:t>是指市政府设立的，组织实施政府采购项目，并对政府采购活动提供服务的专门机构；</w:t>
      </w:r>
      <w:r>
        <w:rPr>
          <w:rFonts w:ascii="宋体" w:hAnsi="宋体" w:hint="eastAsia"/>
          <w:szCs w:val="21"/>
        </w:rPr>
        <w:t>本文件所述的“政府集中采购机构”</w:t>
      </w:r>
      <w:r>
        <w:rPr>
          <w:rFonts w:ascii="宋体" w:hAnsi="宋体"/>
          <w:szCs w:val="21"/>
        </w:rPr>
        <w:t>指</w:t>
      </w:r>
      <w:r>
        <w:rPr>
          <w:rFonts w:ascii="宋体" w:hAnsi="宋体" w:hint="eastAsia"/>
          <w:b/>
          <w:bCs/>
          <w:szCs w:val="21"/>
        </w:rPr>
        <w:t>深圳公共资源交易中心</w:t>
      </w:r>
      <w:r>
        <w:rPr>
          <w:rFonts w:ascii="宋体" w:hAnsi="宋体" w:hint="eastAsia"/>
          <w:szCs w:val="21"/>
        </w:rPr>
        <w:t>；</w:t>
      </w:r>
    </w:p>
    <w:p>
      <w:pPr>
        <w:ind w:firstLine="412" w:firstLineChars="196"/>
        <w:rPr>
          <w:rFonts w:ascii="宋体" w:hAnsi="宋体" w:hint="eastAsia"/>
          <w:szCs w:val="21"/>
        </w:rPr>
      </w:pPr>
      <w:r>
        <w:rPr>
          <w:rFonts w:ascii="宋体" w:hAnsi="宋体" w:hint="eastAsia"/>
          <w:szCs w:val="21"/>
        </w:rPr>
        <w:t>3.3“投标人”，即供应商，指参加投标竞争并愿意按照招标文件要求向采购人提供货物、工程或者服务的依法成立的法人、其他组织或者自然人；</w:t>
      </w:r>
    </w:p>
    <w:p>
      <w:pPr>
        <w:ind w:firstLine="412" w:firstLineChars="196"/>
        <w:rPr>
          <w:rFonts w:ascii="宋体" w:hAnsi="宋体" w:hint="eastAsia"/>
          <w:szCs w:val="21"/>
        </w:rPr>
      </w:pPr>
      <w:r>
        <w:rPr>
          <w:rFonts w:ascii="宋体" w:hAnsi="宋体" w:hint="eastAsia"/>
          <w:szCs w:val="21"/>
        </w:rPr>
        <w:t>3.4“评审委员会”是依据《深圳经济特区政府采购条例》、《深圳经济特区政府采购条例实施细则》等有关规定组建的专门负责本次招标其评审工作的临时性机构；</w:t>
      </w:r>
    </w:p>
    <w:p>
      <w:pPr>
        <w:ind w:firstLine="412" w:firstLineChars="196"/>
        <w:rPr>
          <w:rFonts w:ascii="宋体" w:hAnsi="宋体" w:hint="eastAsia"/>
          <w:szCs w:val="21"/>
        </w:rPr>
      </w:pPr>
      <w:r>
        <w:rPr>
          <w:rFonts w:ascii="宋体" w:hAnsi="宋体" w:hint="eastAsia"/>
          <w:szCs w:val="21"/>
        </w:rPr>
        <w:t>3.5“日期”</w:t>
      </w:r>
      <w:r>
        <w:rPr>
          <w:rFonts w:ascii="宋体" w:hAnsi="宋体"/>
          <w:szCs w:val="21"/>
        </w:rPr>
        <w:t>指</w:t>
      </w:r>
      <w:r>
        <w:rPr>
          <w:rFonts w:ascii="宋体" w:hAnsi="宋体" w:hint="eastAsia"/>
          <w:szCs w:val="21"/>
        </w:rPr>
        <w:t>公历日；</w:t>
      </w:r>
    </w:p>
    <w:p>
      <w:pPr>
        <w:ind w:firstLine="412" w:firstLineChars="196"/>
        <w:rPr>
          <w:rFonts w:ascii="宋体" w:hAnsi="宋体" w:hint="eastAsia"/>
          <w:szCs w:val="21"/>
        </w:rPr>
      </w:pPr>
      <w:r>
        <w:rPr>
          <w:rFonts w:ascii="宋体" w:hAnsi="宋体" w:hint="eastAsia"/>
          <w:szCs w:val="21"/>
        </w:rPr>
        <w:t>3.6“合同”指由本次招标所产生的合同或合约文件；</w:t>
      </w:r>
    </w:p>
    <w:p>
      <w:pPr>
        <w:ind w:firstLine="412" w:firstLineChars="196"/>
        <w:rPr>
          <w:rFonts w:ascii="宋体" w:hAnsi="宋体" w:hint="eastAsia"/>
          <w:szCs w:val="21"/>
        </w:rPr>
      </w:pPr>
      <w:r>
        <w:rPr>
          <w:rFonts w:ascii="宋体" w:hAnsi="宋体" w:hint="eastAsia"/>
          <w:szCs w:val="21"/>
        </w:rPr>
        <w:t>3.7“电子投标文件”指利用</w:t>
      </w:r>
      <w:r>
        <w:rPr>
          <w:rFonts w:ascii="宋体" w:hAnsi="宋体" w:hint="eastAsia"/>
          <w:b/>
          <w:bCs/>
          <w:szCs w:val="21"/>
        </w:rPr>
        <w:t>深圳公共资源交易中心（深圳交易集团有限公司政府采购业务分公司）</w:t>
      </w:r>
      <w:r>
        <w:rPr>
          <w:rFonts w:ascii="宋体" w:hAnsi="宋体" w:hint="eastAsia"/>
          <w:szCs w:val="21"/>
        </w:rPr>
        <w:t>网站提供的深圳智慧采购平台投标文件制作专用软件（以下简称：投标文件制作软件）制作并加密的投标文件,适用于网上投标；（投标文件制作软件可从“下载地址：http://zfcg.szggzy.com:8081/cgxy/013002/20210923/173e0b2c-7a4c-4246-a0c7-e0ea75d84dd6.html深圳智慧采购平台投标文件制作专用软件.zip”下载）</w:t>
      </w:r>
      <w:bookmarkStart w:id="58" w:name="_Hlk72398581"/>
      <w:r>
        <w:rPr>
          <w:rFonts w:ascii="宋体" w:hAnsi="宋体" w:hint="eastAsia"/>
          <w:szCs w:val="21"/>
        </w:rPr>
        <w:t>；</w:t>
      </w:r>
      <w:bookmarkEnd w:id="58"/>
    </w:p>
    <w:p>
      <w:pPr>
        <w:ind w:firstLine="412" w:firstLineChars="196"/>
        <w:rPr>
          <w:rFonts w:ascii="宋体" w:hAnsi="宋体" w:hint="eastAsia"/>
          <w:szCs w:val="21"/>
        </w:rPr>
      </w:pPr>
      <w:r>
        <w:rPr>
          <w:rFonts w:ascii="宋体" w:hAnsi="宋体" w:hint="eastAsia"/>
          <w:szCs w:val="21"/>
        </w:rPr>
        <w:t>3.8“网上投标”指通过</w:t>
      </w:r>
      <w:r>
        <w:rPr>
          <w:rFonts w:ascii="宋体" w:hAnsi="宋体" w:hint="eastAsia"/>
          <w:b/>
          <w:bCs/>
          <w:szCs w:val="21"/>
        </w:rPr>
        <w:t>深圳公共资源交易中心（深圳交易集团有限公司政府采购业务分公司）</w:t>
      </w:r>
      <w:r>
        <w:rPr>
          <w:rFonts w:ascii="宋体" w:hAnsi="宋体" w:hint="eastAsia"/>
          <w:szCs w:val="21"/>
        </w:rPr>
        <w:t>网站上传电子投标文件；</w:t>
      </w:r>
    </w:p>
    <w:p>
      <w:pPr>
        <w:ind w:firstLine="412" w:firstLineChars="196"/>
        <w:rPr>
          <w:rFonts w:ascii="宋体" w:hAnsi="宋体" w:hint="eastAsia"/>
          <w:szCs w:val="21"/>
        </w:rPr>
      </w:pPr>
      <w:r>
        <w:rPr>
          <w:rFonts w:ascii="宋体" w:hAnsi="宋体" w:hint="eastAsia"/>
          <w:szCs w:val="21"/>
        </w:rPr>
        <w:t>3.9招标文件中的标题或题名仅起引导作用，而不应视为对招标文件内容的理解和解释。</w:t>
      </w:r>
    </w:p>
    <w:p>
      <w:pPr>
        <w:rPr>
          <w:rFonts w:ascii="黑体" w:eastAsia="黑体" w:hAnsi="宋体" w:hint="eastAsia"/>
          <w:sz w:val="24"/>
        </w:rPr>
      </w:pPr>
      <w:r>
        <w:rPr>
          <w:rFonts w:ascii="黑体" w:eastAsia="黑体" w:hAnsi="宋体" w:hint="eastAsia"/>
          <w:sz w:val="24"/>
        </w:rPr>
        <w:t xml:space="preserve">4. </w:t>
      </w:r>
      <w:bookmarkStart w:id="59" w:name="_Hlk72398643"/>
      <w:r>
        <w:rPr>
          <w:rFonts w:ascii="黑体" w:eastAsia="黑体" w:hAnsi="宋体" w:hint="eastAsia"/>
          <w:sz w:val="24"/>
        </w:rPr>
        <w:t>政府采购供应商责任</w:t>
      </w:r>
    </w:p>
    <w:p>
      <w:pPr>
        <w:ind w:firstLine="412" w:firstLineChars="196"/>
        <w:rPr>
          <w:rFonts w:ascii="宋体" w:hAnsi="宋体" w:hint="eastAsia"/>
          <w:szCs w:val="21"/>
        </w:rPr>
      </w:pPr>
      <w:r>
        <w:rPr>
          <w:rFonts w:ascii="宋体" w:hAnsi="宋体" w:hint="eastAsia"/>
          <w:szCs w:val="21"/>
        </w:rPr>
        <w:t>4.1欢迎诚信、有实力和有社会责任心的供应商参与政府采购事业。</w:t>
      </w:r>
    </w:p>
    <w:p>
      <w:pPr>
        <w:ind w:firstLine="412" w:firstLineChars="196"/>
        <w:rPr>
          <w:rFonts w:ascii="宋体" w:hAnsi="宋体" w:hint="eastAsia"/>
          <w:szCs w:val="21"/>
        </w:rPr>
      </w:pPr>
      <w:r>
        <w:rPr>
          <w:rFonts w:ascii="宋体" w:hAnsi="宋体" w:hint="eastAsia"/>
          <w:szCs w:val="21"/>
        </w:rPr>
        <w:t>4.2投标人应当遵循公平竞争的原则，不得恶意串通，不得妨碍其他投标人的竞争行为，不得损害采购人或者其他投标人的合法权益。如违反上述要求，经核实后，供应商的投标无效。</w:t>
      </w:r>
    </w:p>
    <w:p>
      <w:pPr>
        <w:rPr>
          <w:rFonts w:ascii="黑体" w:eastAsia="黑体" w:hAnsi="宋体" w:hint="eastAsia"/>
          <w:sz w:val="24"/>
        </w:rPr>
      </w:pPr>
      <w:r>
        <w:rPr>
          <w:rFonts w:ascii="黑体" w:eastAsia="黑体" w:hAnsi="宋体" w:hint="eastAsia"/>
          <w:sz w:val="24"/>
        </w:rPr>
        <w:t>5．投标人参加政府采购的条件</w:t>
      </w:r>
    </w:p>
    <w:p>
      <w:pPr>
        <w:ind w:firstLine="412" w:firstLineChars="196"/>
        <w:rPr>
          <w:rFonts w:ascii="宋体" w:hAnsi="宋体" w:hint="eastAsia"/>
          <w:szCs w:val="21"/>
        </w:rPr>
      </w:pPr>
      <w:r>
        <w:rPr>
          <w:rFonts w:ascii="宋体" w:hAnsi="宋体" w:hint="eastAsia"/>
          <w:szCs w:val="21"/>
        </w:rPr>
        <w:t>5.1投标人应在投标前到</w:t>
      </w:r>
      <w:r>
        <w:rPr>
          <w:rFonts w:ascii="宋体" w:hAnsi="宋体" w:hint="eastAsia"/>
          <w:b/>
          <w:bCs/>
          <w:szCs w:val="21"/>
        </w:rPr>
        <w:t>深圳公共资源交易中心（具体在深圳交易集团有限公司政府采购业务分公司进行办理）</w:t>
      </w:r>
      <w:r>
        <w:rPr>
          <w:rFonts w:ascii="宋体" w:hAnsi="宋体" w:hint="eastAsia"/>
          <w:szCs w:val="21"/>
        </w:rPr>
        <w:t>进行注册并办理电子密钥。《供应商注册及信息变更指引》详见www.szggzy.com网站“交易服务指南-政府采购”。。</w:t>
      </w:r>
    </w:p>
    <w:p>
      <w:pPr>
        <w:ind w:firstLine="412" w:firstLineChars="196"/>
        <w:rPr>
          <w:rFonts w:ascii="宋体" w:hAnsi="宋体" w:hint="eastAsia"/>
          <w:szCs w:val="21"/>
        </w:rPr>
      </w:pPr>
      <w:r>
        <w:rPr>
          <w:rFonts w:ascii="宋体" w:hAnsi="宋体" w:hint="eastAsia"/>
          <w:szCs w:val="21"/>
        </w:rPr>
        <w:t>5.2投标人资格要求</w:t>
      </w:r>
    </w:p>
    <w:p>
      <w:pPr>
        <w:ind w:firstLine="412" w:firstLineChars="196"/>
        <w:rPr>
          <w:rFonts w:ascii="宋体" w:hAnsi="宋体" w:hint="eastAsia"/>
          <w:szCs w:val="21"/>
        </w:rPr>
      </w:pPr>
      <w:r>
        <w:rPr>
          <w:rFonts w:ascii="宋体" w:hAnsi="宋体" w:hint="eastAsia"/>
          <w:szCs w:val="21"/>
        </w:rPr>
        <w:t>参加本项目的投标人应具备的资格条件详见本项目招标公告中 “投标人资格要求”（即申请人的资格要求）的内容。</w:t>
      </w:r>
    </w:p>
    <w:p>
      <w:pPr>
        <w:ind w:firstLine="412" w:firstLineChars="196"/>
        <w:rPr>
          <w:rFonts w:ascii="宋体" w:hAnsi="宋体" w:hint="eastAsia"/>
          <w:szCs w:val="21"/>
        </w:rPr>
      </w:pPr>
      <w:r>
        <w:rPr>
          <w:rFonts w:ascii="宋体" w:hAnsi="宋体" w:hint="eastAsia"/>
          <w:szCs w:val="21"/>
        </w:rPr>
        <w:t>5.3联合体投标</w:t>
      </w:r>
    </w:p>
    <w:p>
      <w:pPr>
        <w:ind w:firstLine="412" w:firstLineChars="196"/>
        <w:rPr>
          <w:rFonts w:ascii="宋体" w:hAnsi="宋体" w:hint="eastAsia"/>
          <w:szCs w:val="21"/>
        </w:rPr>
      </w:pPr>
      <w:r>
        <w:rPr>
          <w:rFonts w:ascii="宋体" w:hAnsi="宋体" w:hint="eastAsia"/>
          <w:szCs w:val="21"/>
        </w:rPr>
        <w:t>5.3.1　以下有关联合体投标的条款仅适用于允许投标人组成联合体投标的项目。</w:t>
      </w:r>
    </w:p>
    <w:p>
      <w:pPr>
        <w:ind w:firstLine="412" w:firstLineChars="196"/>
        <w:rPr>
          <w:rFonts w:ascii="宋体" w:hAnsi="宋体" w:hint="eastAsia"/>
          <w:szCs w:val="21"/>
        </w:rPr>
      </w:pPr>
      <w:r>
        <w:rPr>
          <w:rFonts w:ascii="宋体" w:hAnsi="宋体" w:hint="eastAsia"/>
          <w:szCs w:val="21"/>
        </w:rPr>
        <w:t>5.3.2  由两个或两个以上的自然人、法人或者其他组织可以组成一个联合体，以一个供应商的身份共同投标时，应符合以下原则：</w:t>
      </w:r>
    </w:p>
    <w:p>
      <w:pPr>
        <w:ind w:firstLine="412" w:firstLineChars="196"/>
        <w:rPr>
          <w:rFonts w:ascii="宋体" w:hAnsi="宋体" w:hint="eastAsia"/>
        </w:rPr>
      </w:pPr>
      <w:r>
        <w:rPr>
          <w:rFonts w:ascii="宋体" w:hAnsi="宋体" w:hint="eastAsia"/>
        </w:rPr>
        <w:t>（1）投标联合体各方参加政府采购活动应当具备下列条件：</w:t>
      </w:r>
      <w:r>
        <w:rPr>
          <w:rFonts w:ascii="宋体" w:hAnsi="宋体"/>
        </w:rPr>
        <w:t xml:space="preserve"> </w:t>
      </w:r>
    </w:p>
    <w:p>
      <w:pPr>
        <w:ind w:left="420" w:firstLine="412" w:leftChars="200" w:firstLineChars="196"/>
        <w:rPr>
          <w:rFonts w:ascii="宋体" w:hAnsi="宋体" w:hint="eastAsia"/>
        </w:rPr>
      </w:pPr>
      <w:r>
        <w:rPr>
          <w:rFonts w:ascii="宋体" w:hAnsi="宋体" w:hint="eastAsia"/>
        </w:rPr>
        <w:t>1、具有独立承担民事责任的能力；</w:t>
      </w:r>
      <w:r>
        <w:rPr>
          <w:rFonts w:ascii="宋体" w:hAnsi="宋体"/>
        </w:rPr>
        <w:t xml:space="preserve"> </w:t>
      </w:r>
    </w:p>
    <w:p>
      <w:pPr>
        <w:ind w:left="420" w:firstLine="412" w:firstLineChars="196"/>
        <w:rPr>
          <w:rFonts w:ascii="宋体" w:hAnsi="宋体" w:hint="eastAsia"/>
        </w:rPr>
      </w:pPr>
      <w:r>
        <w:rPr>
          <w:rFonts w:ascii="宋体" w:hAnsi="宋体" w:hint="eastAsia"/>
        </w:rPr>
        <w:t>2、有良好的商业信誉和健全的财务会计制度；</w:t>
      </w:r>
      <w:r>
        <w:rPr>
          <w:rFonts w:ascii="宋体" w:hAnsi="宋体"/>
        </w:rPr>
        <w:t xml:space="preserve"> </w:t>
      </w:r>
    </w:p>
    <w:p>
      <w:pPr>
        <w:ind w:left="420" w:firstLine="412" w:leftChars="200" w:firstLineChars="196"/>
        <w:rPr>
          <w:rFonts w:ascii="宋体" w:hAnsi="宋体" w:hint="eastAsia"/>
        </w:rPr>
      </w:pPr>
      <w:r>
        <w:rPr>
          <w:rFonts w:ascii="宋体" w:hAnsi="宋体" w:hint="eastAsia"/>
        </w:rPr>
        <w:t>3、具有履行合同所必需的设备和专业技术能力；</w:t>
      </w:r>
      <w:r>
        <w:rPr>
          <w:rFonts w:ascii="宋体" w:hAnsi="宋体"/>
        </w:rPr>
        <w:t xml:space="preserve"> </w:t>
      </w:r>
    </w:p>
    <w:p>
      <w:pPr>
        <w:ind w:left="420" w:firstLine="412" w:leftChars="200" w:firstLineChars="196"/>
        <w:rPr>
          <w:rFonts w:ascii="宋体" w:hAnsi="宋体" w:hint="eastAsia"/>
        </w:rPr>
      </w:pPr>
      <w:r>
        <w:rPr>
          <w:rFonts w:ascii="宋体" w:hAnsi="宋体" w:hint="eastAsia"/>
        </w:rPr>
        <w:t>4、有依法缴纳税收和社会保障资金的良好记录；</w:t>
      </w:r>
      <w:r>
        <w:rPr>
          <w:rFonts w:ascii="宋体" w:hAnsi="宋体"/>
        </w:rPr>
        <w:t xml:space="preserve"> </w:t>
      </w:r>
    </w:p>
    <w:p>
      <w:pPr>
        <w:ind w:left="420" w:firstLine="412" w:leftChars="200" w:firstLineChars="196"/>
        <w:rPr>
          <w:rFonts w:ascii="宋体" w:hAnsi="宋体" w:hint="eastAsia"/>
        </w:rPr>
      </w:pPr>
      <w:r>
        <w:rPr>
          <w:rFonts w:ascii="宋体" w:hAnsi="宋体" w:hint="eastAsia"/>
        </w:rPr>
        <w:t>5、参加政府采购活动前三年内，在经营活动中没有重大违法记录；</w:t>
      </w:r>
      <w:r>
        <w:rPr>
          <w:rFonts w:ascii="宋体" w:hAnsi="宋体"/>
        </w:rPr>
        <w:t xml:space="preserve"> </w:t>
      </w:r>
    </w:p>
    <w:p>
      <w:pPr>
        <w:ind w:left="420" w:firstLine="412" w:leftChars="200" w:firstLineChars="196"/>
        <w:rPr>
          <w:rFonts w:ascii="宋体" w:hAnsi="宋体" w:hint="eastAsia"/>
        </w:rPr>
      </w:pPr>
      <w:r>
        <w:rPr>
          <w:rFonts w:ascii="宋体" w:hAnsi="宋体" w:hint="eastAsia"/>
        </w:rPr>
        <w:t>6、法律、行政法规规定的其他条件。</w:t>
      </w:r>
      <w:r>
        <w:rPr>
          <w:rFonts w:ascii="宋体" w:hAnsi="宋体"/>
        </w:rPr>
        <w:t xml:space="preserve"> </w:t>
      </w:r>
    </w:p>
    <w:p>
      <w:pPr>
        <w:ind w:firstLine="412" w:firstLineChars="196"/>
        <w:rPr>
          <w:rFonts w:ascii="宋体" w:hAnsi="宋体" w:hint="eastAsia"/>
        </w:rPr>
      </w:pPr>
      <w:r>
        <w:rPr>
          <w:rFonts w:ascii="宋体" w:hAnsi="宋体" w:hint="eastAsia"/>
        </w:rPr>
        <w:t>（2）在投标截止前，投标联合体各方均应注册成政府集中采购机构供应商；</w:t>
      </w:r>
    </w:p>
    <w:p>
      <w:pPr>
        <w:ind w:firstLine="412" w:firstLineChars="196"/>
        <w:rPr>
          <w:rFonts w:ascii="宋体" w:hAnsi="宋体" w:hint="eastAsia"/>
        </w:rPr>
      </w:pPr>
      <w:r>
        <w:rPr>
          <w:rFonts w:ascii="宋体" w:hAnsi="宋体" w:hint="eastAsia"/>
        </w:rPr>
        <w:t>（3）联合体中有同类资质的供应商按照联合体分工承担相同工作的，应当按照资质等级较低的供应商确定资质等级；</w:t>
      </w:r>
    </w:p>
    <w:p>
      <w:pPr>
        <w:ind w:firstLine="412" w:firstLineChars="196"/>
      </w:pPr>
      <w:r>
        <w:rPr>
          <w:rFonts w:hint="eastAsia"/>
        </w:rPr>
        <w:t>（4）是否允许联合体参加投标，应当由采购人和采购代理机构根据项目的实际情况和潜在供应商的数量自主决定，如果决定接受联合体投标则应当在招标公告中明示；</w:t>
      </w:r>
    </w:p>
    <w:p>
      <w:pPr>
        <w:ind w:firstLine="412" w:firstLineChars="196"/>
        <w:rPr>
          <w:rFonts w:ascii="宋体" w:hAnsi="宋体" w:hint="eastAsia"/>
        </w:rPr>
      </w:pPr>
      <w:r>
        <w:rPr>
          <w:rFonts w:ascii="宋体" w:hAnsi="宋体" w:hint="eastAsia"/>
        </w:rPr>
        <w:t>（5）投标人的投标文件及中标后签署的合同协议对联合体各方均具法律约束力；</w:t>
      </w:r>
    </w:p>
    <w:p>
      <w:pPr>
        <w:ind w:firstLine="412" w:firstLineChars="196"/>
        <w:rPr>
          <w:rFonts w:ascii="宋体" w:hAnsi="宋体" w:hint="eastAsia"/>
        </w:rPr>
      </w:pPr>
      <w:r>
        <w:rPr>
          <w:rFonts w:ascii="宋体" w:hAnsi="宋体" w:hint="eastAsia"/>
        </w:rPr>
        <w:t>（6）联合体各方应当签订联合体投标协议，明确约定各方拟承担的工作和责任，并将该协议随投标文件一并递交给政府集中采购机构；</w:t>
      </w:r>
    </w:p>
    <w:p>
      <w:pPr>
        <w:ind w:firstLine="412" w:firstLineChars="196"/>
        <w:rPr>
          <w:rFonts w:ascii="宋体" w:hAnsi="宋体" w:hint="eastAsia"/>
        </w:rPr>
      </w:pPr>
      <w:r>
        <w:rPr>
          <w:rFonts w:ascii="宋体" w:hAnsi="宋体" w:hint="eastAsia"/>
        </w:rPr>
        <w:t>（7）联合体中标后，联合体各方应当共同与采购人签订合同，就中标项目向采购人承担连带责任；</w:t>
      </w:r>
    </w:p>
    <w:p>
      <w:pPr>
        <w:ind w:firstLine="412" w:firstLineChars="196"/>
        <w:rPr>
          <w:rFonts w:ascii="宋体" w:hAnsi="宋体" w:hint="eastAsia"/>
        </w:rPr>
      </w:pPr>
      <w:r>
        <w:rPr>
          <w:rFonts w:ascii="宋体" w:hAnsi="宋体" w:hint="eastAsia"/>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12" w:firstLineChars="196"/>
        <w:rPr>
          <w:rFonts w:ascii="宋体" w:hAnsi="宋体" w:hint="eastAsia"/>
          <w:szCs w:val="21"/>
        </w:rPr>
      </w:pPr>
      <w:r>
        <w:rPr>
          <w:rFonts w:ascii="宋体" w:hAnsi="宋体" w:hint="eastAsia"/>
        </w:rPr>
        <w:t>（9）本通用条款中“投标人”一词亦指联合体各方，专用条款另有规定或说明的除外。</w:t>
      </w:r>
    </w:p>
    <w:p>
      <w:pPr>
        <w:rPr>
          <w:rFonts w:ascii="黑体" w:eastAsia="黑体" w:hAnsi="宋体" w:hint="eastAsia"/>
          <w:sz w:val="24"/>
        </w:rPr>
      </w:pPr>
      <w:r>
        <w:rPr>
          <w:rFonts w:ascii="黑体" w:eastAsia="黑体" w:hAnsi="宋体" w:hint="eastAsia"/>
          <w:sz w:val="24"/>
        </w:rPr>
        <w:t>6．政策导向</w:t>
      </w:r>
    </w:p>
    <w:p>
      <w:pPr>
        <w:ind w:firstLine="412" w:firstLineChars="196"/>
        <w:rPr>
          <w:rFonts w:ascii="宋体" w:hAnsi="宋体" w:hint="eastAsia"/>
        </w:rPr>
      </w:pPr>
      <w:r>
        <w:rPr>
          <w:rFonts w:ascii="宋体" w:hAnsi="宋体" w:hint="eastAsia"/>
        </w:rPr>
        <w:t>6.1</w:t>
      </w:r>
      <w:r>
        <w:rPr>
          <w:rFonts w:ascii="宋体" w:hAnsi="宋体"/>
        </w:rPr>
        <w:t xml:space="preserve">  </w:t>
      </w:r>
      <w:r>
        <w:rPr>
          <w:rFonts w:ascii="宋体" w:hAnsi="宋体" w:hint="eastAsia"/>
        </w:rPr>
        <w:t>政府采购扶持贫困地区、中小企业、监狱企业和残疾人福利性单位发展，支持节能减排、环境保护。</w:t>
      </w:r>
    </w:p>
    <w:p>
      <w:pPr>
        <w:ind w:firstLine="405"/>
        <w:rPr>
          <w:rFonts w:ascii="宋体" w:hAnsi="宋体" w:hint="eastAsia"/>
        </w:rPr>
      </w:pPr>
      <w:r>
        <w:rPr>
          <w:rFonts w:ascii="宋体" w:hAnsi="宋体" w:hint="eastAsia"/>
        </w:rPr>
        <w:t>6.2</w:t>
      </w:r>
      <w:r>
        <w:rPr>
          <w:rFonts w:ascii="宋体" w:hAnsi="宋体"/>
        </w:rPr>
        <w:t xml:space="preserve">  </w:t>
      </w:r>
      <w:r>
        <w:rPr>
          <w:rFonts w:ascii="宋体" w:hAnsi="宋体" w:hint="eastAsia"/>
        </w:rPr>
        <w:t>本项目落实深圳市政府采购供应商诚信管理政策要求。</w:t>
      </w:r>
    </w:p>
    <w:p>
      <w:pPr>
        <w:ind w:firstLine="405"/>
      </w:pPr>
      <w:r>
        <w:rPr>
          <w:rFonts w:ascii="宋体" w:hAnsi="宋体" w:hint="eastAsia"/>
        </w:rPr>
        <w:t>6.3  本项目支持投标人性别平等的相关政策。</w:t>
      </w:r>
    </w:p>
    <w:p>
      <w:pPr>
        <w:rPr>
          <w:rFonts w:ascii="黑体" w:eastAsia="黑体" w:hAnsi="宋体" w:hint="eastAsia"/>
          <w:sz w:val="24"/>
        </w:rPr>
      </w:pPr>
      <w:r>
        <w:rPr>
          <w:rFonts w:ascii="黑体" w:eastAsia="黑体" w:hAnsi="宋体" w:hint="eastAsia"/>
          <w:sz w:val="24"/>
        </w:rPr>
        <w:t>7. 本项目若涉及采购货物，则合格的货物及相应服务应满足以下要求：</w:t>
      </w:r>
    </w:p>
    <w:p>
      <w:pPr>
        <w:ind w:firstLine="412" w:firstLineChars="196"/>
        <w:rPr>
          <w:rFonts w:ascii="宋体" w:hAnsi="宋体" w:hint="eastAsia"/>
        </w:rPr>
      </w:pPr>
      <w:r>
        <w:rPr>
          <w:rFonts w:ascii="宋体" w:hAnsi="宋体" w:hint="eastAsia"/>
        </w:rPr>
        <w:t>7</w:t>
      </w:r>
      <w:r>
        <w:rPr>
          <w:rFonts w:ascii="宋体" w:hAnsi="宋体"/>
        </w:rPr>
        <w:t xml:space="preserve">.1  </w:t>
      </w:r>
      <w:r>
        <w:rPr>
          <w:rFonts w:ascii="宋体" w:hAnsi="宋体" w:hint="eastAsia"/>
        </w:rPr>
        <w:t>必须是全新、未使用过的原装合格正品（包括零部件），如安装或配置了软件的，须为正版软件。</w:t>
      </w:r>
    </w:p>
    <w:p>
      <w:pPr>
        <w:ind w:firstLine="412" w:firstLineChars="196"/>
        <w:rPr>
          <w:rFonts w:ascii="宋体" w:hAnsi="宋体" w:hint="eastAsia"/>
        </w:rPr>
      </w:pPr>
      <w:r>
        <w:rPr>
          <w:rFonts w:ascii="宋体" w:hAnsi="宋体" w:hint="eastAsia"/>
        </w:rPr>
        <w:t>7.2  国产的货物及其有关服务必须符合中华人民共和国的设计、制造生产标准及行业标准。招标公告有其他要求的，亦应符合其要求。</w:t>
      </w:r>
    </w:p>
    <w:p>
      <w:pPr>
        <w:ind w:firstLine="412" w:firstLineChars="196"/>
        <w:rPr>
          <w:rFonts w:ascii="宋体" w:hAnsi="宋体" w:hint="eastAsia"/>
        </w:rPr>
      </w:pPr>
      <w:r>
        <w:rPr>
          <w:rFonts w:ascii="宋体" w:hAnsi="宋体" w:hint="eastAsia"/>
        </w:rPr>
        <w:t>7</w:t>
      </w:r>
      <w:r>
        <w:rPr>
          <w:rFonts w:ascii="宋体" w:hAnsi="宋体"/>
        </w:rPr>
        <w:t>.</w:t>
      </w:r>
      <w:r>
        <w:rPr>
          <w:rFonts w:ascii="宋体" w:hAnsi="宋体" w:hint="eastAsia"/>
        </w:rPr>
        <w:t>3</w:t>
      </w:r>
      <w:r>
        <w:rPr>
          <w:rFonts w:ascii="宋体" w:hAnsi="宋体"/>
        </w:rPr>
        <w:t xml:space="preserve">  </w:t>
      </w:r>
      <w:r>
        <w:rPr>
          <w:rFonts w:ascii="宋体" w:hAnsi="宋体" w:hint="eastAsia"/>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12" w:firstLineChars="196"/>
        <w:rPr>
          <w:rFonts w:ascii="宋体" w:hAnsi="宋体" w:hint="eastAsia"/>
        </w:rPr>
      </w:pPr>
      <w:r>
        <w:rPr>
          <w:rFonts w:ascii="宋体" w:hAnsi="宋体" w:hint="eastAsia"/>
        </w:rPr>
        <w:t>7</w:t>
      </w:r>
      <w:r>
        <w:rPr>
          <w:rFonts w:ascii="宋体" w:hAnsi="宋体"/>
        </w:rPr>
        <w:t>.</w:t>
      </w:r>
      <w:r>
        <w:rPr>
          <w:rFonts w:ascii="宋体" w:hAnsi="宋体" w:hint="eastAsia"/>
        </w:rPr>
        <w:t>4</w:t>
      </w:r>
      <w:r>
        <w:rPr>
          <w:rFonts w:ascii="宋体" w:hAnsi="宋体"/>
        </w:rPr>
        <w:t xml:space="preserve">  </w:t>
      </w:r>
      <w:r>
        <w:rPr>
          <w:rFonts w:ascii="宋体" w:hAnsi="宋体" w:hint="eastAsia"/>
        </w:rPr>
        <w:t>投标人</w:t>
      </w:r>
      <w:bookmarkStart w:id="60" w:name="_Hlk72152753"/>
      <w:r>
        <w:rPr>
          <w:rFonts w:ascii="宋体" w:hAnsi="宋体" w:hint="eastAsia"/>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60"/>
    </w:p>
    <w:p>
      <w:pPr>
        <w:ind w:firstLine="412" w:firstLineChars="196"/>
        <w:rPr>
          <w:rFonts w:ascii="宋体" w:hAnsi="宋体" w:hint="eastAsia"/>
        </w:rPr>
      </w:pPr>
      <w:r>
        <w:rPr>
          <w:rFonts w:ascii="宋体" w:hAnsi="宋体" w:hint="eastAsia"/>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12" w:firstLineChars="196"/>
        <w:rPr>
          <w:rFonts w:ascii="宋体" w:hAnsi="宋体" w:hint="eastAsia"/>
        </w:rPr>
      </w:pPr>
      <w:r>
        <w:rPr>
          <w:rFonts w:ascii="宋体" w:hAnsi="宋体" w:hint="eastAsia"/>
        </w:rPr>
        <w:t>7.6  工期要求：投标人在投标时对其所投项目应提交交货进度、交货计划等，在合同规定的时间内完成项目实施工作。</w:t>
      </w:r>
    </w:p>
    <w:p>
      <w:pPr>
        <w:ind w:firstLine="412" w:firstLineChars="196"/>
        <w:rPr>
          <w:rFonts w:ascii="宋体" w:hAnsi="宋体" w:hint="eastAsia"/>
        </w:rPr>
      </w:pPr>
      <w:r>
        <w:rPr>
          <w:rFonts w:ascii="宋体" w:hAnsi="宋体" w:hint="eastAsia"/>
        </w:rPr>
        <w:t>7.7  投标人必须承担的设备运输、安装调试、验收检测和提供设备操作说明书、图纸等其他相关及类似的义务。</w:t>
      </w:r>
    </w:p>
    <w:p>
      <w:pPr>
        <w:rPr>
          <w:rFonts w:ascii="黑体" w:eastAsia="黑体" w:hAnsi="宋体" w:hint="eastAsia"/>
          <w:sz w:val="24"/>
        </w:rPr>
      </w:pPr>
      <w:r>
        <w:rPr>
          <w:rFonts w:ascii="黑体" w:eastAsia="黑体" w:hAnsi="宋体" w:hint="eastAsia"/>
          <w:sz w:val="24"/>
        </w:rPr>
        <w:t>8．投标费用</w:t>
      </w:r>
    </w:p>
    <w:p>
      <w:pPr>
        <w:ind w:firstLine="412" w:firstLineChars="196"/>
        <w:rPr>
          <w:rFonts w:ascii="宋体" w:hAnsi="宋体" w:hint="eastAsia"/>
          <w:szCs w:val="21"/>
        </w:rPr>
      </w:pPr>
      <w:r>
        <w:rPr>
          <w:rFonts w:ascii="宋体" w:hAnsi="宋体" w:hint="eastAsia"/>
          <w:szCs w:val="21"/>
        </w:rPr>
        <w:t>不论投标结果如何，投标人应承担其编制投标文件与递交投标文件所涉及的一切费用。</w:t>
      </w:r>
    </w:p>
    <w:p>
      <w:pPr>
        <w:rPr>
          <w:rFonts w:ascii="黑体" w:eastAsia="黑体" w:hAnsi="宋体" w:hint="eastAsia"/>
          <w:sz w:val="24"/>
        </w:rPr>
      </w:pPr>
      <w:r>
        <w:rPr>
          <w:rFonts w:ascii="黑体" w:eastAsia="黑体" w:hAnsi="宋体" w:hint="eastAsia"/>
          <w:sz w:val="24"/>
        </w:rPr>
        <w:t>9．踏勘现场</w:t>
      </w:r>
    </w:p>
    <w:p>
      <w:pPr>
        <w:ind w:firstLine="412" w:firstLineChars="196"/>
        <w:rPr>
          <w:rFonts w:ascii="宋体" w:hAnsi="宋体" w:hint="eastAsia"/>
          <w:szCs w:val="21"/>
        </w:rPr>
      </w:pPr>
      <w:r>
        <w:rPr>
          <w:rFonts w:ascii="宋体" w:hAnsi="宋体" w:hint="eastAsia"/>
          <w:szCs w:val="21"/>
        </w:rPr>
        <w:t>9.1如有需要（详见专用条款），采购人或政府集中采购机构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12" w:firstLineChars="196"/>
        <w:rPr>
          <w:rFonts w:ascii="宋体" w:hAnsi="宋体" w:hint="eastAsia"/>
        </w:rPr>
      </w:pPr>
      <w:r>
        <w:rPr>
          <w:rFonts w:ascii="宋体" w:hAnsi="宋体" w:hint="eastAsia"/>
        </w:rPr>
        <w:t>9.2投标人及其人员经过采购人的允许，可以进入采购人的项目现场踏勘。若招标文件要求投标人于统一时间地点踏勘现场的，投标人应当按时前往。</w:t>
      </w:r>
    </w:p>
    <w:p>
      <w:pPr>
        <w:ind w:firstLine="412" w:firstLineChars="196"/>
        <w:rPr>
          <w:rFonts w:ascii="宋体" w:hAnsi="宋体" w:hint="eastAsia"/>
        </w:rPr>
      </w:pPr>
      <w:r>
        <w:rPr>
          <w:rFonts w:ascii="宋体" w:hAnsi="宋体" w:hint="eastAsia"/>
        </w:rPr>
        <w:t>9.3采购人应当通过政府集中采购机构向投标人提供有关现场的书面资料和数据。</w:t>
      </w:r>
    </w:p>
    <w:p>
      <w:pPr>
        <w:ind w:firstLine="412" w:firstLineChars="196"/>
        <w:rPr>
          <w:rFonts w:ascii="宋体" w:hAnsi="宋体" w:hint="eastAsia"/>
        </w:rPr>
      </w:pPr>
      <w:r>
        <w:rPr>
          <w:rFonts w:ascii="宋体" w:hAnsi="宋体" w:hint="eastAsia"/>
        </w:rPr>
        <w:t>9.4任何人或任何组织在踏勘现场时向投标人提供的任何书面资料或口头承诺，未经政府集中采购机构在网上发布或书面通知，均作无效处理。</w:t>
      </w:r>
    </w:p>
    <w:p>
      <w:pPr>
        <w:ind w:firstLine="412" w:firstLineChars="196"/>
        <w:rPr>
          <w:rFonts w:ascii="宋体" w:hAnsi="宋体" w:hint="eastAsia"/>
        </w:rPr>
      </w:pPr>
      <w:r>
        <w:rPr>
          <w:rFonts w:ascii="宋体" w:hAnsi="宋体"/>
          <w:szCs w:val="21"/>
        </w:rPr>
        <w:t>9</w:t>
      </w:r>
      <w:r>
        <w:rPr>
          <w:rFonts w:ascii="宋体" w:hAnsi="宋体" w:hint="eastAsia"/>
          <w:szCs w:val="21"/>
        </w:rPr>
        <w:t>.</w:t>
      </w:r>
      <w:r>
        <w:rPr>
          <w:rFonts w:ascii="宋体" w:hAnsi="宋体"/>
          <w:szCs w:val="21"/>
        </w:rPr>
        <w:t>5</w:t>
      </w:r>
      <w:r>
        <w:rPr>
          <w:rFonts w:ascii="宋体" w:hAnsi="宋体" w:hint="eastAsia"/>
          <w:szCs w:val="21"/>
        </w:rPr>
        <w:t>未参与踏勘现场不作为否定投标人资格的理由。</w:t>
      </w:r>
    </w:p>
    <w:p>
      <w:pPr>
        <w:rPr>
          <w:rFonts w:ascii="宋体" w:hAnsi="宋体" w:hint="eastAsia"/>
          <w:szCs w:val="21"/>
        </w:rPr>
      </w:pPr>
      <w:r>
        <w:rPr>
          <w:rFonts w:ascii="黑体" w:eastAsia="黑体" w:hAnsi="宋体" w:hint="eastAsia"/>
          <w:sz w:val="24"/>
        </w:rPr>
        <w:t>1</w:t>
      </w:r>
      <w:r>
        <w:rPr>
          <w:rFonts w:ascii="黑体" w:eastAsia="黑体" w:hAnsi="宋体"/>
          <w:sz w:val="24"/>
        </w:rPr>
        <w:t>0</w:t>
      </w:r>
      <w:r>
        <w:rPr>
          <w:rFonts w:ascii="黑体" w:eastAsia="黑体" w:hAnsi="宋体" w:hint="eastAsia"/>
          <w:sz w:val="24"/>
        </w:rPr>
        <w:t>．标前会议</w:t>
      </w:r>
    </w:p>
    <w:p>
      <w:pPr>
        <w:ind w:firstLine="412" w:firstLineChars="196"/>
        <w:rPr>
          <w:rFonts w:ascii="宋体" w:hAnsi="宋体" w:hint="eastAsia"/>
          <w:szCs w:val="21"/>
        </w:rPr>
      </w:pPr>
      <w:r>
        <w:rPr>
          <w:rFonts w:ascii="宋体" w:hAnsi="宋体" w:hint="eastAsia"/>
          <w:szCs w:val="21"/>
        </w:rPr>
        <w:t>1</w:t>
      </w:r>
      <w:r>
        <w:rPr>
          <w:rFonts w:ascii="宋体" w:hAnsi="宋体"/>
          <w:szCs w:val="21"/>
        </w:rPr>
        <w:t>0</w:t>
      </w:r>
      <w:r>
        <w:rPr>
          <w:rFonts w:ascii="宋体" w:hAnsi="宋体" w:hint="eastAsia"/>
          <w:szCs w:val="21"/>
        </w:rPr>
        <w:t>.</w:t>
      </w:r>
      <w:r>
        <w:rPr>
          <w:rFonts w:ascii="宋体" w:hAnsi="宋体"/>
          <w:szCs w:val="21"/>
        </w:rPr>
        <w:t>1</w:t>
      </w:r>
      <w:r>
        <w:rPr>
          <w:rFonts w:ascii="宋体" w:hAnsi="宋体" w:hint="eastAsia"/>
          <w:szCs w:val="21"/>
        </w:rPr>
        <w:t>如采购人或政府集中采购机构认为有必要组织标前会议，投标人应按照招标文件规定的时间或政府集中采购机构另行书面通知（包括政府集中采购机构网站发布方式，如更正公告等）的时间和地点，参与标前会议。</w:t>
      </w:r>
    </w:p>
    <w:p>
      <w:pPr>
        <w:ind w:firstLine="412" w:firstLineChars="196"/>
        <w:rPr>
          <w:rFonts w:ascii="宋体" w:hAnsi="宋体" w:hint="eastAsia"/>
          <w:szCs w:val="21"/>
        </w:rPr>
      </w:pPr>
      <w:r>
        <w:rPr>
          <w:rFonts w:ascii="宋体" w:hAnsi="宋体"/>
        </w:rPr>
        <w:t>10</w:t>
      </w:r>
      <w:r>
        <w:rPr>
          <w:rFonts w:ascii="宋体" w:hAnsi="宋体" w:hint="eastAsia"/>
        </w:rPr>
        <w:t>.</w:t>
      </w:r>
      <w:r>
        <w:rPr>
          <w:rFonts w:ascii="宋体" w:hAnsi="宋体"/>
        </w:rPr>
        <w:t>2</w:t>
      </w:r>
      <w:r>
        <w:rPr>
          <w:rFonts w:ascii="宋体" w:hAnsi="宋体" w:hint="eastAsia"/>
        </w:rPr>
        <w:t>任何人或任何组织在标前会议时向投标人提供的任何书面资料或口头承诺，未经政府集中采购机构在网上发布或书面通知，均作无效处理。</w:t>
      </w:r>
    </w:p>
    <w:p>
      <w:pPr>
        <w:ind w:firstLine="412" w:firstLineChars="196"/>
        <w:rPr>
          <w:rFonts w:ascii="宋体" w:hAnsi="宋体" w:hint="eastAsia"/>
          <w:szCs w:val="21"/>
        </w:rPr>
      </w:pPr>
      <w:r>
        <w:rPr>
          <w:rFonts w:ascii="宋体" w:hAnsi="宋体" w:hint="eastAsia"/>
          <w:szCs w:val="21"/>
        </w:rPr>
        <w:t>1</w:t>
      </w:r>
      <w:r>
        <w:rPr>
          <w:rFonts w:ascii="宋体" w:hAnsi="宋体"/>
          <w:szCs w:val="21"/>
        </w:rPr>
        <w:t>0</w:t>
      </w:r>
      <w:r>
        <w:rPr>
          <w:rFonts w:ascii="宋体" w:hAnsi="宋体" w:hint="eastAsia"/>
          <w:szCs w:val="21"/>
        </w:rPr>
        <w:t>.</w:t>
      </w:r>
      <w:r>
        <w:rPr>
          <w:rFonts w:ascii="宋体" w:hAnsi="宋体"/>
          <w:szCs w:val="21"/>
        </w:rPr>
        <w:t>3</w:t>
      </w:r>
      <w:r>
        <w:rPr>
          <w:rFonts w:ascii="宋体" w:hAnsi="宋体" w:hint="eastAsia"/>
          <w:szCs w:val="21"/>
        </w:rPr>
        <w:t>未参与标前会议不作为否定投标人资格的理由。</w:t>
      </w:r>
    </w:p>
    <w:p>
      <w:pPr>
        <w:ind w:firstLine="412" w:firstLineChars="196"/>
        <w:rPr>
          <w:rFonts w:ascii="宋体" w:hAnsi="宋体" w:hint="eastAsia"/>
        </w:rPr>
      </w:pPr>
      <w:bookmarkEnd w:id="59"/>
    </w:p>
    <w:p>
      <w:pPr>
        <w:pStyle w:val="Heading2"/>
        <w:numPr>
          <w:ilvl w:val="0"/>
          <w:numId w:val="56"/>
        </w:numPr>
        <w:spacing w:before="120" w:beforeLines="50" w:after="120" w:afterLines="50"/>
        <w:ind w:left="562" w:hanging="562"/>
        <w:rPr>
          <w:rFonts w:hint="eastAsia"/>
          <w:sz w:val="28"/>
          <w:szCs w:val="28"/>
        </w:rPr>
      </w:pPr>
      <w:r>
        <w:rPr>
          <w:rFonts w:hint="eastAsia"/>
          <w:sz w:val="28"/>
          <w:szCs w:val="28"/>
        </w:rPr>
        <w:t>招标文件</w:t>
      </w:r>
    </w:p>
    <w:p>
      <w:pPr>
        <w:rPr>
          <w:rFonts w:ascii="黑体" w:eastAsia="黑体" w:hAnsi="宋体" w:hint="eastAsia"/>
          <w:sz w:val="24"/>
        </w:rPr>
      </w:pPr>
      <w:r>
        <w:rPr>
          <w:rFonts w:ascii="黑体" w:eastAsia="黑体" w:hAnsi="宋体" w:hint="eastAsia"/>
          <w:sz w:val="24"/>
        </w:rPr>
        <w:t>1</w:t>
      </w:r>
      <w:r>
        <w:rPr>
          <w:rFonts w:ascii="黑体" w:eastAsia="黑体" w:hAnsi="宋体"/>
          <w:sz w:val="24"/>
        </w:rPr>
        <w:t>1</w:t>
      </w:r>
      <w:r>
        <w:rPr>
          <w:rFonts w:ascii="黑体" w:eastAsia="黑体" w:hAnsi="宋体" w:hint="eastAsia"/>
          <w:sz w:val="24"/>
        </w:rPr>
        <w:t>．</w:t>
      </w:r>
      <w:bookmarkStart w:id="61" w:name="_Hlk72399819"/>
      <w:r>
        <w:rPr>
          <w:rFonts w:ascii="黑体" w:eastAsia="黑体" w:hAnsi="宋体" w:hint="eastAsia"/>
          <w:sz w:val="24"/>
        </w:rPr>
        <w:t>招标文件的编制与组成</w:t>
      </w:r>
    </w:p>
    <w:p>
      <w:pPr>
        <w:snapToGrid w:val="0"/>
        <w:ind w:firstLine="420" w:firstLineChars="200"/>
        <w:rPr>
          <w:rFonts w:ascii="宋体" w:hAnsi="宋体" w:hint="eastAsia"/>
          <w:szCs w:val="21"/>
        </w:rPr>
      </w:pPr>
      <w:r>
        <w:rPr>
          <w:rFonts w:ascii="宋体" w:hAnsi="宋体" w:hint="eastAsia"/>
          <w:szCs w:val="21"/>
        </w:rPr>
        <w:t>1</w:t>
      </w:r>
      <w:r>
        <w:rPr>
          <w:rFonts w:ascii="宋体" w:hAnsi="宋体"/>
          <w:szCs w:val="21"/>
        </w:rPr>
        <w:t>1</w:t>
      </w:r>
      <w:r>
        <w:rPr>
          <w:rFonts w:ascii="宋体" w:hAnsi="宋体" w:hint="eastAsia"/>
          <w:szCs w:val="21"/>
        </w:rPr>
        <w:t>.1招标文件除以下内容外，政府集中采购机构在招标期间发出的澄清或修改等相关公告或通知内容，均是招标文件的组成部分，对投标人起约束作用；</w:t>
      </w:r>
    </w:p>
    <w:p>
      <w:pPr>
        <w:ind w:firstLine="412" w:firstLineChars="196"/>
        <w:rPr>
          <w:rFonts w:ascii="宋体" w:hAnsi="宋体" w:hint="eastAsia"/>
          <w:szCs w:val="21"/>
        </w:rPr>
      </w:pPr>
      <w:r>
        <w:rPr>
          <w:rFonts w:ascii="宋体" w:hAnsi="宋体" w:hint="eastAsia"/>
          <w:szCs w:val="21"/>
        </w:rPr>
        <w:t>招标文件包括下列内容：</w:t>
      </w:r>
    </w:p>
    <w:p>
      <w:pPr>
        <w:ind w:left="420" w:firstLine="412" w:leftChars="200" w:firstLineChars="196"/>
        <w:rPr>
          <w:rFonts w:ascii="宋体" w:hAnsi="宋体" w:hint="eastAsia"/>
          <w:b/>
          <w:szCs w:val="21"/>
        </w:rPr>
      </w:pPr>
      <w:r>
        <w:rPr>
          <w:rFonts w:ascii="宋体" w:hAnsi="宋体" w:hint="eastAsia"/>
          <w:b/>
          <w:szCs w:val="21"/>
        </w:rPr>
        <w:t>第一册  专用条款</w:t>
      </w:r>
    </w:p>
    <w:p>
      <w:pPr>
        <w:ind w:left="1079" w:leftChars="514"/>
        <w:rPr>
          <w:rFonts w:ascii="宋体" w:hAnsi="宋体" w:hint="eastAsia"/>
          <w:b/>
          <w:szCs w:val="21"/>
        </w:rPr>
      </w:pPr>
      <w:r>
        <w:rPr>
          <w:rFonts w:ascii="宋体" w:hAnsi="宋体" w:hint="eastAsia"/>
          <w:b/>
          <w:szCs w:val="21"/>
        </w:rPr>
        <w:t>关键信息</w:t>
      </w:r>
    </w:p>
    <w:p>
      <w:pPr>
        <w:ind w:left="630" w:firstLine="412" w:leftChars="300" w:firstLineChars="196"/>
        <w:rPr>
          <w:rFonts w:ascii="宋体" w:hAnsi="宋体" w:hint="eastAsia"/>
          <w:szCs w:val="21"/>
        </w:rPr>
      </w:pPr>
      <w:r>
        <w:rPr>
          <w:rFonts w:ascii="宋体" w:hAnsi="宋体" w:hint="eastAsia"/>
          <w:szCs w:val="21"/>
        </w:rPr>
        <w:t>第一章  招标公告</w:t>
      </w:r>
    </w:p>
    <w:p>
      <w:pPr>
        <w:ind w:left="630" w:firstLine="412" w:leftChars="300" w:firstLineChars="196"/>
        <w:rPr>
          <w:rFonts w:ascii="宋体" w:hAnsi="宋体" w:hint="eastAsia"/>
          <w:szCs w:val="21"/>
        </w:rPr>
      </w:pPr>
      <w:r>
        <w:rPr>
          <w:rFonts w:ascii="宋体" w:hAnsi="宋体" w:hint="eastAsia"/>
          <w:szCs w:val="21"/>
        </w:rPr>
        <w:t>第二章  对通用条款的补充内容及其他关键信息</w:t>
      </w:r>
    </w:p>
    <w:p>
      <w:pPr>
        <w:ind w:left="630" w:firstLine="412" w:leftChars="300" w:firstLineChars="196"/>
        <w:rPr>
          <w:rFonts w:ascii="宋体" w:hAnsi="宋体" w:hint="eastAsia"/>
          <w:szCs w:val="21"/>
        </w:rPr>
      </w:pPr>
      <w:r>
        <w:rPr>
          <w:rFonts w:ascii="宋体" w:hAnsi="宋体" w:hint="eastAsia"/>
          <w:szCs w:val="21"/>
        </w:rPr>
        <w:t>第三章  用户需求书</w:t>
      </w:r>
    </w:p>
    <w:p>
      <w:pPr>
        <w:ind w:left="630" w:firstLine="412" w:leftChars="300" w:firstLineChars="196"/>
        <w:rPr>
          <w:rFonts w:ascii="宋体" w:hAnsi="宋体" w:hint="eastAsia"/>
          <w:szCs w:val="21"/>
        </w:rPr>
      </w:pPr>
      <w:r>
        <w:rPr>
          <w:rFonts w:hint="eastAsia"/>
        </w:rPr>
        <w:t xml:space="preserve">第四章 </w:t>
      </w:r>
      <w:r>
        <w:t xml:space="preserve"> </w:t>
      </w:r>
      <w:r>
        <w:rPr>
          <w:rFonts w:hint="eastAsia"/>
        </w:rPr>
        <w:t>投标文件组成要求及格式</w:t>
      </w:r>
    </w:p>
    <w:p>
      <w:pPr>
        <w:ind w:left="630" w:firstLine="412" w:leftChars="300" w:firstLineChars="196"/>
        <w:rPr>
          <w:rFonts w:ascii="宋体" w:hAnsi="宋体" w:hint="eastAsia"/>
          <w:szCs w:val="21"/>
        </w:rPr>
      </w:pPr>
      <w:r>
        <w:rPr>
          <w:rFonts w:ascii="宋体" w:hAnsi="宋体" w:hint="eastAsia"/>
          <w:szCs w:val="21"/>
        </w:rPr>
        <w:t>第五章  合同条款及格式</w:t>
      </w:r>
    </w:p>
    <w:p>
      <w:pPr>
        <w:ind w:left="420" w:firstLine="412" w:leftChars="200" w:firstLineChars="196"/>
        <w:rPr>
          <w:rFonts w:ascii="宋体" w:hAnsi="宋体" w:hint="eastAsia"/>
          <w:b/>
          <w:szCs w:val="21"/>
        </w:rPr>
      </w:pPr>
      <w:r>
        <w:rPr>
          <w:rFonts w:ascii="宋体" w:hAnsi="宋体" w:hint="eastAsia"/>
          <w:b/>
          <w:szCs w:val="21"/>
        </w:rPr>
        <w:t>第二册  通用条款</w:t>
      </w:r>
    </w:p>
    <w:p>
      <w:pPr>
        <w:ind w:left="630" w:firstLine="412" w:leftChars="300" w:firstLineChars="196"/>
        <w:rPr>
          <w:rFonts w:ascii="宋体" w:hAnsi="宋体" w:hint="eastAsia"/>
          <w:szCs w:val="21"/>
        </w:rPr>
      </w:pPr>
      <w:r>
        <w:rPr>
          <w:rFonts w:ascii="宋体" w:hAnsi="宋体" w:hint="eastAsia"/>
          <w:szCs w:val="21"/>
        </w:rPr>
        <w:t>第一章  总则</w:t>
      </w:r>
    </w:p>
    <w:p>
      <w:pPr>
        <w:ind w:left="630" w:firstLine="412" w:leftChars="300" w:firstLineChars="196"/>
        <w:rPr>
          <w:rFonts w:ascii="宋体" w:hAnsi="宋体" w:hint="eastAsia"/>
          <w:szCs w:val="21"/>
        </w:rPr>
      </w:pPr>
      <w:r>
        <w:rPr>
          <w:rFonts w:ascii="宋体" w:hAnsi="宋体" w:hint="eastAsia"/>
          <w:szCs w:val="21"/>
        </w:rPr>
        <w:t>第二章  招标文件</w:t>
      </w:r>
    </w:p>
    <w:p>
      <w:pPr>
        <w:ind w:left="630" w:firstLine="412" w:leftChars="300" w:firstLineChars="196"/>
        <w:rPr>
          <w:rFonts w:ascii="宋体" w:hAnsi="宋体" w:hint="eastAsia"/>
          <w:szCs w:val="21"/>
        </w:rPr>
      </w:pPr>
      <w:r>
        <w:rPr>
          <w:rFonts w:ascii="宋体" w:hAnsi="宋体" w:hint="eastAsia"/>
          <w:szCs w:val="21"/>
        </w:rPr>
        <w:t>第三章  投标文件的编制</w:t>
      </w:r>
    </w:p>
    <w:p>
      <w:pPr>
        <w:ind w:left="630" w:firstLine="412" w:leftChars="300" w:firstLineChars="196"/>
        <w:rPr>
          <w:rFonts w:ascii="宋体" w:hAnsi="宋体" w:hint="eastAsia"/>
          <w:szCs w:val="21"/>
        </w:rPr>
      </w:pPr>
      <w:r>
        <w:rPr>
          <w:rFonts w:ascii="宋体" w:hAnsi="宋体" w:hint="eastAsia"/>
          <w:szCs w:val="21"/>
        </w:rPr>
        <w:t>第四章  投标文件的递交</w:t>
      </w:r>
    </w:p>
    <w:p>
      <w:pPr>
        <w:ind w:left="630" w:firstLine="412" w:leftChars="300" w:firstLineChars="196"/>
        <w:rPr>
          <w:rFonts w:ascii="宋体" w:hAnsi="宋体" w:hint="eastAsia"/>
          <w:szCs w:val="21"/>
        </w:rPr>
      </w:pPr>
      <w:r>
        <w:rPr>
          <w:rFonts w:ascii="宋体" w:hAnsi="宋体" w:hint="eastAsia"/>
          <w:szCs w:val="21"/>
        </w:rPr>
        <w:t>第五章  开标</w:t>
      </w:r>
    </w:p>
    <w:p>
      <w:pPr>
        <w:ind w:left="630" w:firstLine="412" w:leftChars="300" w:firstLineChars="196"/>
        <w:rPr>
          <w:rFonts w:ascii="宋体" w:hAnsi="宋体" w:hint="eastAsia"/>
          <w:szCs w:val="21"/>
        </w:rPr>
      </w:pPr>
      <w:r>
        <w:rPr>
          <w:rFonts w:ascii="宋体" w:hAnsi="宋体" w:hint="eastAsia"/>
          <w:szCs w:val="21"/>
        </w:rPr>
        <w:t>第六章  评审要求</w:t>
      </w:r>
    </w:p>
    <w:p>
      <w:pPr>
        <w:ind w:left="630" w:firstLine="412" w:leftChars="300" w:firstLineChars="196"/>
        <w:rPr>
          <w:rFonts w:ascii="宋体" w:hAnsi="宋体" w:hint="eastAsia"/>
          <w:szCs w:val="21"/>
        </w:rPr>
      </w:pPr>
      <w:r>
        <w:rPr>
          <w:rFonts w:ascii="宋体" w:hAnsi="宋体" w:hint="eastAsia"/>
          <w:szCs w:val="21"/>
        </w:rPr>
        <w:t>第七章  评审程序及评审方法</w:t>
      </w:r>
    </w:p>
    <w:p>
      <w:pPr>
        <w:ind w:left="630" w:firstLine="412" w:leftChars="300" w:firstLineChars="196"/>
        <w:rPr>
          <w:rFonts w:ascii="宋体" w:hAnsi="宋体" w:hint="eastAsia"/>
          <w:szCs w:val="21"/>
        </w:rPr>
      </w:pPr>
      <w:r>
        <w:rPr>
          <w:rFonts w:ascii="宋体" w:hAnsi="宋体" w:hint="eastAsia"/>
          <w:szCs w:val="21"/>
        </w:rPr>
        <w:t>第八章  定标及公示</w:t>
      </w:r>
    </w:p>
    <w:p>
      <w:pPr>
        <w:ind w:left="630" w:firstLine="412" w:leftChars="300" w:firstLineChars="196"/>
        <w:rPr>
          <w:rFonts w:ascii="宋体" w:hAnsi="宋体" w:hint="eastAsia"/>
          <w:szCs w:val="21"/>
        </w:rPr>
      </w:pPr>
      <w:r>
        <w:rPr>
          <w:rFonts w:ascii="宋体" w:hAnsi="宋体" w:hint="eastAsia"/>
          <w:szCs w:val="21"/>
        </w:rPr>
        <w:t>第九章  公开招标失败的后续处理</w:t>
      </w:r>
    </w:p>
    <w:p>
      <w:pPr>
        <w:ind w:left="630" w:firstLine="412" w:leftChars="300" w:firstLineChars="196"/>
        <w:rPr>
          <w:rFonts w:ascii="宋体" w:hAnsi="宋体" w:hint="eastAsia"/>
          <w:szCs w:val="21"/>
        </w:rPr>
      </w:pPr>
      <w:r>
        <w:rPr>
          <w:rFonts w:ascii="宋体" w:hAnsi="宋体" w:hint="eastAsia"/>
          <w:szCs w:val="21"/>
        </w:rPr>
        <w:t>第十章  合同的授予与备案</w:t>
      </w:r>
    </w:p>
    <w:p>
      <w:pPr>
        <w:ind w:left="630" w:firstLine="412" w:leftChars="300" w:firstLineChars="196"/>
        <w:rPr>
          <w:rFonts w:ascii="宋体" w:hAnsi="宋体" w:hint="eastAsia"/>
          <w:szCs w:val="21"/>
        </w:rPr>
      </w:pPr>
      <w:r>
        <w:rPr>
          <w:rFonts w:ascii="宋体" w:hAnsi="宋体" w:hint="eastAsia"/>
          <w:szCs w:val="21"/>
        </w:rPr>
        <w:t>第十一章  质疑处理</w:t>
      </w:r>
    </w:p>
    <w:p>
      <w:pPr>
        <w:ind w:firstLine="412" w:firstLineChars="196"/>
        <w:rPr>
          <w:rFonts w:ascii="宋体" w:hAnsi="宋体" w:hint="eastAsia"/>
          <w:szCs w:val="21"/>
        </w:rPr>
      </w:pPr>
      <w:r>
        <w:rPr>
          <w:rFonts w:ascii="宋体" w:hAnsi="宋体" w:hint="eastAsia"/>
          <w:szCs w:val="21"/>
        </w:rPr>
        <w:t>1</w:t>
      </w:r>
      <w:r>
        <w:rPr>
          <w:rFonts w:ascii="宋体" w:hAnsi="宋体"/>
          <w:szCs w:val="21"/>
        </w:rPr>
        <w:t>1</w:t>
      </w:r>
      <w:r>
        <w:rPr>
          <w:rFonts w:ascii="宋体" w:hAnsi="宋体" w:hint="eastAsia"/>
          <w:szCs w:val="21"/>
        </w:rPr>
        <w:t>.2 投标人下载招标文件后，应仔细检查招标文件的所有内容，如有疑问应在答疑截止时间之前向政府集中采购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12" w:firstLineChars="196"/>
        <w:rPr>
          <w:rFonts w:ascii="宋体" w:hAnsi="宋体" w:hint="eastAsia"/>
        </w:rPr>
      </w:pPr>
      <w:r>
        <w:rPr>
          <w:rFonts w:ascii="宋体" w:hAnsi="宋体" w:hint="eastAsia"/>
          <w:szCs w:val="21"/>
        </w:rPr>
        <w:t>1</w:t>
      </w:r>
      <w:r>
        <w:rPr>
          <w:rFonts w:ascii="宋体" w:hAnsi="宋体"/>
          <w:szCs w:val="21"/>
        </w:rPr>
        <w:t>1</w:t>
      </w:r>
      <w:r>
        <w:rPr>
          <w:rFonts w:ascii="宋体" w:hAnsi="宋体" w:hint="eastAsia"/>
          <w:szCs w:val="21"/>
        </w:rPr>
        <w:t>.3</w:t>
      </w:r>
      <w:r>
        <w:rPr>
          <w:rFonts w:ascii="宋体" w:hAnsi="宋体" w:hint="eastAsia"/>
        </w:rPr>
        <w:t>任何人或任何组织向投标人提交的任何书面或口头资料，未经政府集中采购机构在网上发布或书面通知，均作无效处理，不得作为招标文件的组成部分。政府集中采购机构对投标人由此而做出的推论、理解和结论概不负责。</w:t>
      </w:r>
    </w:p>
    <w:p>
      <w:pPr>
        <w:pStyle w:val="BodyText"/>
        <w:ind w:firstLine="420" w:firstLineChars="200"/>
      </w:pPr>
      <w:r>
        <w:rPr>
          <w:rFonts w:ascii="宋体" w:hAnsi="宋体" w:hint="eastAsia"/>
          <w:b w:val="0"/>
          <w:bCs w:val="0"/>
          <w:sz w:val="21"/>
        </w:rPr>
        <w:t>11.4招标文件所称“原件备查”，是指在项目产生质疑、投诉等阶段，主管部门、采购人、代理机构、评审委员会等可以要求供应商提供原件进行核查。</w:t>
      </w:r>
    </w:p>
    <w:p>
      <w:pPr>
        <w:rPr>
          <w:rFonts w:ascii="黑体" w:eastAsia="黑体" w:hAnsi="宋体" w:hint="eastAsia"/>
          <w:sz w:val="24"/>
        </w:rPr>
      </w:pPr>
      <w:r>
        <w:rPr>
          <w:rFonts w:ascii="黑体" w:eastAsia="黑体" w:hAnsi="宋体" w:hint="eastAsia"/>
          <w:sz w:val="24"/>
        </w:rPr>
        <w:t>1</w:t>
      </w:r>
      <w:r>
        <w:rPr>
          <w:rFonts w:ascii="黑体" w:eastAsia="黑体" w:hAnsi="宋体"/>
          <w:sz w:val="24"/>
        </w:rPr>
        <w:t>2</w:t>
      </w:r>
      <w:r>
        <w:rPr>
          <w:rFonts w:ascii="黑体" w:eastAsia="黑体" w:hAnsi="宋体" w:hint="eastAsia"/>
          <w:sz w:val="24"/>
        </w:rPr>
        <w:t>．招标文件的澄清</w:t>
      </w:r>
    </w:p>
    <w:p>
      <w:pPr>
        <w:ind w:firstLine="412" w:firstLineChars="196"/>
        <w:rPr>
          <w:rFonts w:ascii="宋体" w:hAnsi="宋体" w:hint="eastAsia"/>
          <w:szCs w:val="21"/>
        </w:rPr>
      </w:pPr>
      <w:r>
        <w:rPr>
          <w:rFonts w:ascii="宋体" w:hAnsi="宋体" w:hint="eastAsia"/>
          <w:szCs w:val="21"/>
        </w:rPr>
        <w:t>1</w:t>
      </w:r>
      <w:r>
        <w:rPr>
          <w:rFonts w:ascii="宋体" w:hAnsi="宋体"/>
          <w:szCs w:val="21"/>
        </w:rPr>
        <w:t>2</w:t>
      </w:r>
      <w:r>
        <w:rPr>
          <w:rFonts w:ascii="宋体" w:hAnsi="宋体" w:hint="eastAsia"/>
          <w:szCs w:val="21"/>
        </w:rPr>
        <w:t>.1招标文件澄清的目的是澄清、解答投标人在查阅招标文件后或现场踏勘中可能提出的与投标有关的疑问或询问。</w:t>
      </w:r>
    </w:p>
    <w:p>
      <w:pPr>
        <w:ind w:firstLine="412" w:firstLineChars="196"/>
        <w:rPr>
          <w:rFonts w:ascii="宋体" w:hAnsi="宋体" w:hint="eastAsia"/>
          <w:szCs w:val="21"/>
        </w:rPr>
      </w:pPr>
      <w:r>
        <w:rPr>
          <w:rFonts w:ascii="宋体" w:hAnsi="宋体" w:hint="eastAsia"/>
          <w:szCs w:val="21"/>
        </w:rPr>
        <w:t>1</w:t>
      </w:r>
      <w:r>
        <w:rPr>
          <w:rFonts w:ascii="宋体" w:hAnsi="宋体"/>
          <w:szCs w:val="21"/>
        </w:rPr>
        <w:t>2</w:t>
      </w:r>
      <w:r>
        <w:rPr>
          <w:rFonts w:ascii="宋体" w:hAnsi="宋体" w:hint="eastAsia"/>
          <w:szCs w:val="21"/>
        </w:rPr>
        <w:t>.2投标人如对招标文件内容有疑问，应当在招标公告规定的澄清（提问）截止时间前以网上提问的形式通过网上政府采购系统提交政府集中采购机构。</w:t>
      </w:r>
    </w:p>
    <w:p>
      <w:pPr>
        <w:ind w:firstLine="412" w:firstLineChars="196"/>
        <w:rPr>
          <w:rFonts w:ascii="宋体" w:hAnsi="宋体" w:hint="eastAsia"/>
          <w:szCs w:val="21"/>
        </w:rPr>
      </w:pPr>
      <w:r>
        <w:rPr>
          <w:rFonts w:ascii="宋体" w:hAnsi="宋体" w:hint="eastAsia"/>
          <w:szCs w:val="21"/>
        </w:rPr>
        <w:t>1</w:t>
      </w:r>
      <w:r>
        <w:rPr>
          <w:rFonts w:ascii="宋体" w:hAnsi="宋体"/>
          <w:szCs w:val="21"/>
        </w:rPr>
        <w:t>2</w:t>
      </w:r>
      <w:r>
        <w:rPr>
          <w:rFonts w:ascii="宋体" w:hAnsi="宋体" w:hint="eastAsia"/>
          <w:szCs w:val="21"/>
        </w:rPr>
        <w:t>.3不论是政府集中采购机构根据需要主动对招标文件进行必要的澄清或是根据投标人的要求对招标文件做出澄清，政府集中采购机构都将在投标截止日期前以书面形式（包括政府集中采购机构网站发布方式）答复或发送给所有投标人。答复内容是招标文件的组成部分，对投标人起约束作用，其有效性按照本通用条款第1</w:t>
      </w:r>
      <w:r>
        <w:rPr>
          <w:rFonts w:ascii="宋体" w:hAnsi="宋体"/>
          <w:szCs w:val="21"/>
        </w:rPr>
        <w:t>3.3</w:t>
      </w:r>
      <w:r>
        <w:rPr>
          <w:rFonts w:ascii="宋体" w:hAnsi="宋体" w:hint="eastAsia"/>
          <w:szCs w:val="21"/>
        </w:rPr>
        <w:t>、1</w:t>
      </w:r>
      <w:r>
        <w:rPr>
          <w:rFonts w:ascii="宋体" w:hAnsi="宋体"/>
          <w:szCs w:val="21"/>
        </w:rPr>
        <w:t>3.4</w:t>
      </w:r>
      <w:r>
        <w:rPr>
          <w:rFonts w:ascii="宋体" w:hAnsi="宋体" w:hint="eastAsia"/>
          <w:szCs w:val="21"/>
        </w:rPr>
        <w:t>款规定执行。</w:t>
      </w:r>
    </w:p>
    <w:p>
      <w:pPr>
        <w:rPr>
          <w:rFonts w:ascii="黑体" w:eastAsia="黑体" w:hAnsi="宋体" w:hint="eastAsia"/>
          <w:sz w:val="24"/>
        </w:rPr>
      </w:pPr>
      <w:r>
        <w:rPr>
          <w:rFonts w:ascii="黑体" w:eastAsia="黑体" w:hAnsi="宋体"/>
          <w:sz w:val="24"/>
        </w:rPr>
        <w:t>1</w:t>
      </w:r>
      <w:r>
        <w:rPr>
          <w:rFonts w:ascii="黑体" w:eastAsia="黑体" w:hAnsi="宋体" w:hint="eastAsia"/>
          <w:sz w:val="24"/>
        </w:rPr>
        <w:t>3．招标文件的修改</w:t>
      </w:r>
    </w:p>
    <w:p>
      <w:pPr>
        <w:ind w:firstLine="412" w:firstLineChars="196"/>
        <w:rPr>
          <w:rFonts w:ascii="宋体" w:hAnsi="宋体" w:hint="eastAsia"/>
          <w:szCs w:val="21"/>
        </w:rPr>
      </w:pPr>
      <w:r>
        <w:rPr>
          <w:rFonts w:ascii="宋体" w:hAnsi="宋体"/>
          <w:szCs w:val="21"/>
        </w:rPr>
        <w:t>1</w:t>
      </w:r>
      <w:r>
        <w:rPr>
          <w:rFonts w:ascii="宋体" w:hAnsi="宋体" w:hint="eastAsia"/>
          <w:szCs w:val="21"/>
        </w:rPr>
        <w:t>3.1招标文件发出后，在投标截止日期前任何时候，确需要变更招标文件内容的，政府集中采购机构可主动或在解答投标人提出的澄清问题时对招标文件进行修改。</w:t>
      </w:r>
    </w:p>
    <w:p>
      <w:pPr>
        <w:ind w:firstLine="412" w:firstLineChars="196"/>
        <w:rPr>
          <w:rFonts w:ascii="宋体" w:hAnsi="宋体" w:hint="eastAsia"/>
          <w:szCs w:val="21"/>
        </w:rPr>
      </w:pPr>
      <w:r>
        <w:rPr>
          <w:rFonts w:ascii="宋体" w:hAnsi="宋体"/>
          <w:szCs w:val="21"/>
        </w:rPr>
        <w:t>1</w:t>
      </w:r>
      <w:r>
        <w:rPr>
          <w:rFonts w:ascii="宋体" w:hAnsi="宋体" w:hint="eastAsia"/>
          <w:szCs w:val="21"/>
        </w:rPr>
        <w:t>3.2招标文件的修改以书面形式（包括政府集中采购机构网站发布方式，如更正公告等）发送给所有投标人，招标文件的修改内容作为招标文件的组成部分，并具有约束力。</w:t>
      </w:r>
    </w:p>
    <w:p>
      <w:pPr>
        <w:ind w:firstLine="412" w:firstLineChars="196"/>
        <w:rPr>
          <w:rFonts w:ascii="宋体" w:hAnsi="宋体" w:hint="eastAsia"/>
          <w:szCs w:val="21"/>
        </w:rPr>
      </w:pPr>
      <w:r>
        <w:rPr>
          <w:rFonts w:ascii="宋体" w:hAnsi="宋体"/>
          <w:szCs w:val="21"/>
        </w:rPr>
        <w:t>1</w:t>
      </w:r>
      <w:r>
        <w:rPr>
          <w:rFonts w:ascii="宋体" w:hAnsi="宋体" w:hint="eastAsia"/>
          <w:szCs w:val="21"/>
        </w:rPr>
        <w:t>3.3招标文件、招标文件澄清答复内容、招标文件修改补充内容均以书面形式（包括政府集中采购机构网站公开发布方式，如更正公告等）明确的内容为准。当招标文件、修改补充通知、招标文件澄清答复内容相互矛盾时，以最后发出的内容为准。</w:t>
      </w:r>
    </w:p>
    <w:p>
      <w:pPr>
        <w:ind w:firstLine="412" w:firstLineChars="196"/>
        <w:rPr>
          <w:rFonts w:ascii="宋体" w:hAnsi="宋体" w:hint="eastAsia"/>
          <w:szCs w:val="21"/>
        </w:rPr>
      </w:pPr>
      <w:r>
        <w:rPr>
          <w:rFonts w:ascii="宋体" w:hAnsi="宋体"/>
          <w:szCs w:val="21"/>
        </w:rPr>
        <w:t>1</w:t>
      </w:r>
      <w:r>
        <w:rPr>
          <w:rFonts w:ascii="宋体" w:hAnsi="宋体" w:hint="eastAsia"/>
          <w:szCs w:val="21"/>
        </w:rPr>
        <w:t>3.4政府集中采购机构保证招标文件澄清答复内容和招标文件修改补充内容在投标截止时间前以书面形式（包括政府集中采购机构网站发布方式，如更正公告等）发送给所有投标人。为使投标人在编制投标文件时有充分时间对招标文件的修改部分进行研究，政府集中采购机构可以酌情延长递交投标文件的截止日期。</w:t>
      </w:r>
      <w:bookmarkEnd w:id="61"/>
    </w:p>
    <w:p>
      <w:pPr>
        <w:rPr>
          <w:rFonts w:ascii="宋体" w:hAnsi="宋体" w:hint="eastAsia"/>
          <w:szCs w:val="21"/>
        </w:rPr>
      </w:pPr>
    </w:p>
    <w:p>
      <w:pPr>
        <w:pStyle w:val="Heading2"/>
        <w:numPr>
          <w:ilvl w:val="0"/>
          <w:numId w:val="56"/>
        </w:numPr>
        <w:spacing w:before="120" w:beforeLines="50" w:after="120" w:afterLines="50"/>
        <w:ind w:left="562" w:hanging="562"/>
        <w:rPr>
          <w:rFonts w:hint="eastAsia"/>
          <w:sz w:val="28"/>
          <w:szCs w:val="28"/>
        </w:rPr>
      </w:pPr>
      <w:r>
        <w:rPr>
          <w:rFonts w:hint="eastAsia"/>
          <w:sz w:val="28"/>
          <w:szCs w:val="28"/>
        </w:rPr>
        <w:t>投标文件的编制</w:t>
      </w:r>
    </w:p>
    <w:p>
      <w:pPr>
        <w:rPr>
          <w:rFonts w:ascii="黑体" w:eastAsia="黑体" w:hAnsi="宋体" w:hint="eastAsia"/>
          <w:sz w:val="24"/>
        </w:rPr>
      </w:pPr>
      <w:r>
        <w:rPr>
          <w:rFonts w:ascii="黑体" w:eastAsia="黑体" w:hAnsi="宋体" w:hint="eastAsia"/>
          <w:sz w:val="24"/>
        </w:rPr>
        <w:t>14．</w:t>
      </w:r>
      <w:bookmarkStart w:id="62" w:name="_Hlk72400236"/>
      <w:r>
        <w:rPr>
          <w:rFonts w:ascii="黑体" w:eastAsia="黑体" w:hAnsi="宋体" w:hint="eastAsia"/>
          <w:sz w:val="24"/>
        </w:rPr>
        <w:t>投标文件的语言及度量单位</w:t>
      </w:r>
    </w:p>
    <w:p>
      <w:pPr>
        <w:ind w:firstLine="412" w:firstLineChars="196"/>
        <w:rPr>
          <w:rFonts w:ascii="宋体" w:hAnsi="宋体" w:hint="eastAsia"/>
          <w:szCs w:val="21"/>
        </w:rPr>
      </w:pPr>
      <w:r>
        <w:rPr>
          <w:rFonts w:ascii="宋体" w:hAnsi="宋体" w:hint="eastAsia"/>
          <w:szCs w:val="21"/>
        </w:rPr>
        <w:t>14.1 投标人与政府集中采购机构之间与投标有关的所有往来通知、函件和投标文件均用中文表述。投标人随投标文件提供的证明文件和资料可以为其它语言，但必须附中文译文。翻译的中文资料与外文资料如果出现差异时，以中文为准。</w:t>
      </w:r>
    </w:p>
    <w:p>
      <w:pPr>
        <w:ind w:firstLine="412" w:firstLineChars="196"/>
        <w:rPr>
          <w:rFonts w:ascii="宋体" w:hAnsi="宋体" w:hint="eastAsia"/>
          <w:szCs w:val="21"/>
        </w:rPr>
      </w:pPr>
      <w:r>
        <w:rPr>
          <w:rFonts w:ascii="宋体" w:hAnsi="宋体" w:hint="eastAsia"/>
          <w:szCs w:val="21"/>
        </w:rPr>
        <w:t>14.2 除技术规范另有规定外，投标文件使用的度量单位，均采用中华人民共和国法定计量单位。</w:t>
      </w:r>
    </w:p>
    <w:p>
      <w:pPr>
        <w:rPr>
          <w:rFonts w:ascii="黑体" w:eastAsia="黑体" w:hAnsi="宋体" w:hint="eastAsia"/>
          <w:sz w:val="24"/>
        </w:rPr>
      </w:pPr>
      <w:bookmarkEnd w:id="62"/>
      <w:r>
        <w:rPr>
          <w:rFonts w:ascii="黑体" w:eastAsia="黑体" w:hAnsi="宋体" w:hint="eastAsia"/>
          <w:sz w:val="24"/>
        </w:rPr>
        <w:t>15．</w:t>
      </w:r>
      <w:bookmarkStart w:id="63" w:name="_Hlk72401567"/>
      <w:r>
        <w:rPr>
          <w:rFonts w:ascii="黑体" w:eastAsia="黑体" w:hAnsi="宋体" w:hint="eastAsia"/>
          <w:sz w:val="24"/>
        </w:rPr>
        <w:t>投标文件的组成</w:t>
      </w:r>
    </w:p>
    <w:p>
      <w:pPr>
        <w:ind w:firstLine="412" w:firstLineChars="196"/>
        <w:rPr>
          <w:rFonts w:ascii="宋体" w:hAnsi="宋体" w:hint="eastAsia"/>
          <w:szCs w:val="21"/>
        </w:rPr>
      </w:pPr>
      <w:r>
        <w:rPr>
          <w:rFonts w:ascii="宋体" w:hAnsi="宋体" w:hint="eastAsia"/>
          <w:szCs w:val="21"/>
        </w:rPr>
        <w:t>具体内容在招标文件专用条款中进行规定。</w:t>
      </w:r>
    </w:p>
    <w:p>
      <w:pPr>
        <w:rPr>
          <w:rFonts w:ascii="黑体" w:eastAsia="黑体" w:hAnsi="宋体" w:hint="eastAsia"/>
          <w:sz w:val="24"/>
        </w:rPr>
      </w:pPr>
      <w:r>
        <w:rPr>
          <w:rFonts w:ascii="黑体" w:eastAsia="黑体" w:hAnsi="宋体"/>
          <w:sz w:val="24"/>
        </w:rPr>
        <w:t>16．投标文件格式</w:t>
      </w:r>
    </w:p>
    <w:p>
      <w:pPr>
        <w:ind w:firstLine="412" w:firstLineChars="196"/>
        <w:rPr>
          <w:rFonts w:ascii="宋体" w:hAnsi="宋体" w:hint="eastAsia"/>
          <w:szCs w:val="21"/>
        </w:rPr>
      </w:pPr>
      <w:r>
        <w:rPr>
          <w:rFonts w:ascii="宋体" w:hAnsi="宋体" w:hint="eastAsia"/>
          <w:szCs w:val="21"/>
        </w:rPr>
        <w:t>投标文件包括本通用条款第</w:t>
      </w:r>
      <w:r>
        <w:rPr>
          <w:rFonts w:ascii="宋体" w:hAnsi="宋体"/>
          <w:szCs w:val="21"/>
        </w:rPr>
        <w:t>15条中规定的内容。如招标文件提供了投标文件格式，则</w:t>
      </w:r>
      <w:r>
        <w:rPr>
          <w:rFonts w:ascii="宋体" w:hAnsi="宋体" w:hint="eastAsia"/>
          <w:b/>
          <w:bCs/>
          <w:szCs w:val="21"/>
        </w:rPr>
        <w:t>投标人提交的投标文件应毫无例外地使用招标文件所提供的相应格式</w:t>
      </w:r>
      <w:r>
        <w:rPr>
          <w:rFonts w:ascii="宋体" w:hAnsi="宋体" w:hint="eastAsia"/>
          <w:szCs w:val="21"/>
        </w:rPr>
        <w:t>（表格均可按同样格式扩展）。</w:t>
      </w:r>
    </w:p>
    <w:p>
      <w:pPr>
        <w:rPr>
          <w:rFonts w:ascii="黑体" w:eastAsia="黑体" w:hAnsi="宋体" w:hint="eastAsia"/>
          <w:sz w:val="24"/>
        </w:rPr>
      </w:pPr>
      <w:r>
        <w:rPr>
          <w:rFonts w:ascii="黑体" w:eastAsia="黑体" w:hAnsi="宋体" w:hint="eastAsia"/>
          <w:sz w:val="24"/>
        </w:rPr>
        <w:t>17．投标货币</w:t>
      </w:r>
    </w:p>
    <w:p>
      <w:pPr>
        <w:ind w:firstLine="412" w:firstLineChars="196"/>
        <w:rPr>
          <w:rFonts w:ascii="宋体" w:hAnsi="宋体" w:hint="eastAsia"/>
          <w:szCs w:val="21"/>
        </w:rPr>
      </w:pPr>
      <w:r>
        <w:rPr>
          <w:rFonts w:ascii="宋体" w:hAnsi="宋体" w:hint="eastAsia"/>
          <w:szCs w:val="21"/>
        </w:rPr>
        <w:t>本项目的投标报价应以人民币计。</w:t>
      </w:r>
    </w:p>
    <w:p>
      <w:pPr>
        <w:rPr>
          <w:rFonts w:ascii="黑体" w:eastAsia="黑体" w:hAnsi="宋体" w:hint="eastAsia"/>
          <w:sz w:val="24"/>
        </w:rPr>
      </w:pPr>
      <w:bookmarkEnd w:id="63"/>
      <w:r>
        <w:rPr>
          <w:rFonts w:ascii="黑体" w:eastAsia="黑体" w:hAnsi="宋体" w:hint="eastAsia"/>
          <w:sz w:val="24"/>
        </w:rPr>
        <w:t>18．</w:t>
      </w:r>
      <w:bookmarkStart w:id="64" w:name="_Hlk72401735"/>
      <w:r>
        <w:rPr>
          <w:rFonts w:ascii="黑体" w:eastAsia="黑体" w:hAnsi="宋体" w:hint="eastAsia"/>
          <w:sz w:val="24"/>
        </w:rPr>
        <w:t>证明投标文件投标技术方案的合格性和符合招标文件规定的文件要求</w:t>
      </w:r>
    </w:p>
    <w:p>
      <w:pPr>
        <w:ind w:firstLine="412" w:firstLineChars="196"/>
        <w:rPr>
          <w:rFonts w:ascii="宋体" w:hAnsi="宋体" w:hint="eastAsia"/>
          <w:szCs w:val="21"/>
        </w:rPr>
      </w:pPr>
      <w:r>
        <w:rPr>
          <w:rFonts w:ascii="宋体" w:hAnsi="宋体" w:hint="eastAsia"/>
          <w:szCs w:val="21"/>
        </w:rPr>
        <w:t>18</w:t>
      </w:r>
      <w:r>
        <w:rPr>
          <w:rFonts w:ascii="宋体" w:hAnsi="宋体"/>
          <w:szCs w:val="21"/>
        </w:rPr>
        <w:t xml:space="preserve">.1 </w:t>
      </w:r>
      <w:r>
        <w:rPr>
          <w:rFonts w:ascii="宋体" w:hAnsi="宋体" w:hint="eastAsia"/>
          <w:szCs w:val="21"/>
        </w:rPr>
        <w:t>投标人应提交证明文件，证明其投标技术方案项下的货物和服务的合格性符合招标文件规定。该投标技术方案及其证明文件均作为投标文件组成部分。</w:t>
      </w:r>
    </w:p>
    <w:p>
      <w:pPr>
        <w:ind w:firstLine="412" w:firstLineChars="196"/>
        <w:rPr>
          <w:rFonts w:ascii="宋体" w:hAnsi="宋体" w:hint="eastAsia"/>
          <w:szCs w:val="21"/>
        </w:rPr>
      </w:pPr>
      <w:r>
        <w:rPr>
          <w:rFonts w:ascii="宋体" w:hAnsi="宋体"/>
          <w:szCs w:val="21"/>
        </w:rPr>
        <w:t>1</w:t>
      </w:r>
      <w:r>
        <w:rPr>
          <w:rFonts w:ascii="宋体" w:hAnsi="宋体" w:hint="eastAsia"/>
          <w:szCs w:val="21"/>
        </w:rPr>
        <w:t>8</w:t>
      </w:r>
      <w:r>
        <w:rPr>
          <w:rFonts w:ascii="宋体" w:hAnsi="宋体"/>
          <w:szCs w:val="21"/>
        </w:rPr>
        <w:t xml:space="preserve">.2 </w:t>
      </w:r>
      <w:r>
        <w:rPr>
          <w:rFonts w:ascii="宋体" w:hAnsi="宋体" w:hint="eastAsia"/>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12" w:firstLineChars="196"/>
        <w:rPr>
          <w:rFonts w:ascii="宋体" w:hAnsi="宋体" w:hint="eastAsia"/>
          <w:szCs w:val="21"/>
        </w:rPr>
      </w:pPr>
      <w:r>
        <w:rPr>
          <w:rFonts w:ascii="宋体" w:hAnsi="宋体" w:hint="eastAsia"/>
          <w:szCs w:val="21"/>
        </w:rPr>
        <w:t>18.2.1主要技术指标和性能的详细说明。</w:t>
      </w:r>
    </w:p>
    <w:p>
      <w:pPr>
        <w:ind w:firstLine="412" w:firstLineChars="196"/>
        <w:rPr>
          <w:rFonts w:ascii="宋体" w:hAnsi="宋体" w:hint="eastAsia"/>
          <w:szCs w:val="21"/>
        </w:rPr>
      </w:pPr>
      <w:r>
        <w:rPr>
          <w:rFonts w:ascii="宋体" w:hAnsi="宋体" w:hint="eastAsia"/>
          <w:szCs w:val="21"/>
        </w:rPr>
        <w:t>18.2.</w:t>
      </w:r>
      <w:r>
        <w:rPr>
          <w:rFonts w:ascii="宋体" w:hAnsi="宋体"/>
          <w:szCs w:val="21"/>
        </w:rPr>
        <w:t>2</w:t>
      </w:r>
      <w:r>
        <w:rPr>
          <w:rFonts w:ascii="宋体" w:hAnsi="宋体" w:hint="eastAsia"/>
          <w:szCs w:val="21"/>
        </w:rPr>
        <w:t>投标产品从采购人开始使用至招标文件中规定的周期内正常、连续地使用所必须的备件和专用工具清单，包括备件和专用工具的货源及现行价格。</w:t>
      </w:r>
    </w:p>
    <w:p>
      <w:pPr>
        <w:ind w:firstLine="412" w:firstLineChars="196"/>
        <w:rPr>
          <w:rFonts w:ascii="宋体" w:hAnsi="宋体" w:hint="eastAsia"/>
          <w:szCs w:val="21"/>
        </w:rPr>
      </w:pPr>
      <w:r>
        <w:rPr>
          <w:rFonts w:ascii="宋体" w:hAnsi="宋体" w:hint="eastAsia"/>
          <w:szCs w:val="21"/>
        </w:rPr>
        <w:t>18.2.</w:t>
      </w:r>
      <w:r>
        <w:rPr>
          <w:rFonts w:ascii="宋体" w:hAnsi="宋体"/>
          <w:szCs w:val="21"/>
        </w:rPr>
        <w:t>3</w:t>
      </w:r>
      <w:r>
        <w:rPr>
          <w:rFonts w:ascii="宋体" w:hAnsi="宋体" w:hint="eastAsia"/>
          <w:szCs w:val="21"/>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12" w:firstLineChars="196"/>
        <w:rPr>
          <w:rFonts w:ascii="宋体" w:hAnsi="宋体" w:hint="eastAsia"/>
          <w:szCs w:val="21"/>
        </w:rPr>
      </w:pPr>
      <w:r>
        <w:rPr>
          <w:rFonts w:ascii="宋体" w:hAnsi="宋体" w:hint="eastAsia"/>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rPr>
        <w:t>清晰度要求能够使用电脑阅读、识别和判断</w:t>
      </w:r>
      <w:r>
        <w:rPr>
          <w:rFonts w:ascii="宋体" w:hAnsi="宋体" w:hint="eastAsia"/>
          <w:szCs w:val="21"/>
        </w:rPr>
        <w:t>；</w:t>
      </w:r>
    </w:p>
    <w:p>
      <w:pPr>
        <w:ind w:firstLine="412" w:firstLineChars="196"/>
        <w:rPr>
          <w:rFonts w:ascii="宋体" w:hAnsi="宋体" w:hint="eastAsia"/>
          <w:szCs w:val="21"/>
        </w:rPr>
      </w:pPr>
      <w:r>
        <w:rPr>
          <w:rFonts w:ascii="宋体" w:hAnsi="宋体" w:hint="eastAsia"/>
          <w:szCs w:val="21"/>
        </w:rPr>
        <w:t>18.2.5我国政府机构出具的产品检验和核准证件应为证件正面、背面和附件标注的全部具体内容；产品检验和核准证件的尺寸和清晰度应该能够在电脑上被阅读、识别和判断，提供原件扫描件。</w:t>
      </w:r>
    </w:p>
    <w:p>
      <w:pPr>
        <w:ind w:firstLine="412" w:firstLineChars="196"/>
        <w:rPr>
          <w:rFonts w:ascii="宋体" w:hAnsi="宋体" w:hint="eastAsia"/>
          <w:szCs w:val="21"/>
        </w:rPr>
      </w:pPr>
      <w:r>
        <w:rPr>
          <w:rFonts w:ascii="宋体" w:hAnsi="宋体" w:hint="eastAsia"/>
          <w:szCs w:val="21"/>
        </w:rPr>
        <w:t>18.3相关资料不符合18.2款要求的，评审委员会有权认定为投标技术方案不合格响应，其相关分数予以扣减或作投标无效处理。</w:t>
      </w:r>
    </w:p>
    <w:p>
      <w:pPr>
        <w:ind w:firstLine="412" w:firstLineChars="196"/>
        <w:rPr>
          <w:rFonts w:ascii="宋体" w:hAnsi="宋体" w:hint="eastAsia"/>
          <w:szCs w:val="21"/>
        </w:rPr>
      </w:pPr>
      <w:r>
        <w:rPr>
          <w:rFonts w:ascii="宋体" w:hAnsi="宋体"/>
          <w:szCs w:val="21"/>
        </w:rPr>
        <w:t>1</w:t>
      </w:r>
      <w:r>
        <w:rPr>
          <w:rFonts w:ascii="宋体" w:hAnsi="宋体" w:hint="eastAsia"/>
          <w:szCs w:val="21"/>
        </w:rPr>
        <w:t>8</w:t>
      </w:r>
      <w:r>
        <w:rPr>
          <w:rFonts w:ascii="宋体" w:hAnsi="宋体"/>
          <w:szCs w:val="21"/>
        </w:rPr>
        <w:t>.</w:t>
      </w:r>
      <w:r>
        <w:rPr>
          <w:rFonts w:ascii="宋体" w:hAnsi="宋体" w:hint="eastAsia"/>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rPr>
        <w:t>满足要求</w:t>
      </w:r>
      <w:r>
        <w:rPr>
          <w:rFonts w:ascii="宋体" w:hAnsi="宋体" w:hint="eastAsia"/>
          <w:szCs w:val="21"/>
        </w:rPr>
        <w:t>，由评审委员会来评判。</w:t>
      </w:r>
    </w:p>
    <w:p>
      <w:pPr>
        <w:ind w:firstLine="412" w:firstLineChars="196"/>
        <w:rPr>
          <w:rFonts w:ascii="宋体" w:hAnsi="宋体" w:hint="eastAsia"/>
          <w:szCs w:val="21"/>
        </w:rPr>
      </w:pPr>
      <w:r>
        <w:rPr>
          <w:rFonts w:ascii="宋体" w:hAnsi="宋体" w:hint="eastAsia"/>
          <w:szCs w:val="21"/>
        </w:rPr>
        <w:t>18.5除非另有规定或说明，投标人对同一项目投标时，不得同时提供两套或两套以上的投标方案。</w:t>
      </w:r>
    </w:p>
    <w:p>
      <w:pPr>
        <w:rPr>
          <w:rFonts w:ascii="黑体" w:eastAsia="黑体" w:hAnsi="宋体" w:hint="eastAsia"/>
          <w:sz w:val="24"/>
        </w:rPr>
      </w:pPr>
      <w:bookmarkEnd w:id="64"/>
      <w:r>
        <w:rPr>
          <w:rFonts w:ascii="黑体" w:eastAsia="黑体" w:hAnsi="宋体" w:hint="eastAsia"/>
          <w:sz w:val="24"/>
        </w:rPr>
        <w:t>19．</w:t>
      </w:r>
      <w:bookmarkStart w:id="65" w:name="_Hlk72402034"/>
      <w:r>
        <w:rPr>
          <w:rFonts w:ascii="黑体" w:eastAsia="黑体" w:hAnsi="宋体" w:hint="eastAsia"/>
          <w:sz w:val="24"/>
        </w:rPr>
        <w:t>投标文件其他证明文件的要求</w:t>
      </w:r>
    </w:p>
    <w:p>
      <w:pPr>
        <w:rPr>
          <w:rFonts w:ascii="宋体" w:hAnsi="宋体" w:hint="eastAsia"/>
          <w:color w:val="FF0000"/>
          <w:szCs w:val="21"/>
        </w:rPr>
      </w:pPr>
      <w:r>
        <w:rPr>
          <w:rFonts w:ascii="黑体" w:eastAsia="黑体" w:hAnsi="宋体" w:hint="eastAsia"/>
          <w:sz w:val="24"/>
        </w:rPr>
        <w:t xml:space="preserve">    </w:t>
      </w:r>
      <w:r>
        <w:rPr>
          <w:rFonts w:ascii="宋体" w:hAnsi="宋体" w:hint="eastAsia"/>
          <w:szCs w:val="21"/>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w:t>
      </w:r>
      <w:bookmarkStart w:id="66" w:name="_Hlk71407299"/>
      <w:r>
        <w:rPr>
          <w:rFonts w:ascii="宋体" w:hAnsi="宋体" w:hint="eastAsia"/>
          <w:szCs w:val="21"/>
        </w:rPr>
        <w:t>若投标人未按要求提供证明材料或提供的是部分证明材料或提供不清晰的扫描件（或照片）的，采购人、代理机构以及评审委员会依据各自审查范围，有权认定其投标文件未对招标文件有关需求进行响应，涉及资格性审查或符合性审查的予以投标无效处理，涉及《评标信息》打分项的则该项评分予以0分处理。对供应商投标资料是否异常、是否有效问题进行核查和判定，如认为供应商投标资料有异常或无效的，若涉及资格性审查或符合性审查条款的，则应作投标无效处理；若涉及评分的，则作不得分处理。</w:t>
      </w:r>
    </w:p>
    <w:p>
      <w:pPr>
        <w:ind w:firstLine="412" w:firstLineChars="196"/>
        <w:rPr>
          <w:rFonts w:ascii="宋体" w:hAnsi="宋体" w:hint="eastAsia"/>
          <w:szCs w:val="21"/>
        </w:rPr>
      </w:pPr>
      <w:bookmarkEnd w:id="66"/>
      <w:r>
        <w:rPr>
          <w:rFonts w:ascii="宋体" w:hAnsi="宋体" w:hint="eastAsia"/>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黑体" w:eastAsia="黑体" w:hAnsi="宋体" w:hint="eastAsia"/>
          <w:sz w:val="24"/>
        </w:rPr>
      </w:pPr>
      <w:r>
        <w:rPr>
          <w:rFonts w:ascii="黑体" w:eastAsia="黑体" w:hAnsi="宋体" w:hint="eastAsia"/>
          <w:sz w:val="24"/>
        </w:rPr>
        <w:t>20．投标有效期</w:t>
      </w:r>
    </w:p>
    <w:p>
      <w:pPr>
        <w:ind w:firstLine="412" w:firstLineChars="196"/>
        <w:rPr>
          <w:rFonts w:ascii="宋体" w:hAnsi="宋体" w:hint="eastAsia"/>
          <w:szCs w:val="21"/>
        </w:rPr>
      </w:pPr>
      <w:bookmarkEnd w:id="65"/>
      <w:bookmarkStart w:id="67" w:name="_Hlk72402214"/>
      <w:r>
        <w:rPr>
          <w:rFonts w:ascii="宋体" w:hAnsi="宋体" w:hint="eastAsia"/>
          <w:szCs w:val="21"/>
        </w:rPr>
        <w:t>20.1 投标有效期为</w:t>
      </w:r>
      <w:r>
        <w:rPr>
          <w:rFonts w:ascii="Arial" w:hAnsi="Arial" w:cs="Arial" w:hint="eastAsia"/>
          <w:szCs w:val="21"/>
        </w:rPr>
        <w:t>从投标截止之日算起的日历天数。</w:t>
      </w:r>
      <w:r>
        <w:rPr>
          <w:rFonts w:ascii="宋体" w:hAnsi="宋体" w:hint="eastAsia"/>
          <w:szCs w:val="21"/>
        </w:rPr>
        <w:t>在此期限内，所有投标文件均保持有效。</w:t>
      </w:r>
    </w:p>
    <w:p>
      <w:pPr>
        <w:ind w:firstLine="412" w:firstLineChars="196"/>
        <w:rPr>
          <w:rFonts w:ascii="宋体" w:hAnsi="宋体" w:hint="eastAsia"/>
          <w:szCs w:val="21"/>
        </w:rPr>
      </w:pPr>
      <w:r>
        <w:rPr>
          <w:rFonts w:ascii="宋体" w:hAnsi="宋体" w:hint="eastAsia"/>
          <w:szCs w:val="21"/>
        </w:rPr>
        <w:t>20.2 在特殊情况下，政府集中采购机构在原定的投标有效期满之前，政府集中采购机构可以根据需要以书面形式（包括政府集中采购机构网站公开发布方式）向投标人提出延长投标有效期的要求，对此要求投标人须以书面形式予以答复，投标人可以拒绝政府集中采购机构此项要求，其投标在原投标有效期满后不再有效。同意延长投标有效期的投标人不能要求也不允许修改其投标文件。</w:t>
      </w:r>
    </w:p>
    <w:p>
      <w:pPr>
        <w:ind w:firstLine="412" w:firstLineChars="196"/>
        <w:rPr>
          <w:rFonts w:ascii="宋体" w:hAnsi="宋体" w:hint="eastAsia"/>
          <w:szCs w:val="21"/>
        </w:rPr>
      </w:pPr>
      <w:r>
        <w:rPr>
          <w:rFonts w:ascii="宋体" w:hAnsi="宋体" w:hint="eastAsia"/>
          <w:szCs w:val="21"/>
        </w:rPr>
        <w:t>20</w:t>
      </w:r>
      <w:r>
        <w:rPr>
          <w:rFonts w:ascii="宋体" w:hAnsi="宋体"/>
          <w:szCs w:val="21"/>
        </w:rPr>
        <w:t>.3</w:t>
      </w:r>
      <w:r>
        <w:rPr>
          <w:rFonts w:ascii="宋体" w:hAnsi="宋体" w:hint="eastAsia"/>
          <w:szCs w:val="21"/>
        </w:rPr>
        <w:t xml:space="preserve"> 中标供应商的投标文件有效期，截止于完成本招标文件规定的全部项目内容，并通过竣工验收及保修期结束。</w:t>
      </w:r>
    </w:p>
    <w:p>
      <w:pPr>
        <w:rPr>
          <w:rFonts w:ascii="黑体" w:eastAsia="黑体" w:hAnsi="宋体" w:hint="eastAsia"/>
          <w:sz w:val="24"/>
        </w:rPr>
      </w:pPr>
      <w:bookmarkEnd w:id="67"/>
      <w:r>
        <w:rPr>
          <w:rFonts w:ascii="黑体" w:eastAsia="黑体" w:hAnsi="宋体" w:hint="eastAsia"/>
          <w:sz w:val="24"/>
        </w:rPr>
        <w:t>21．</w:t>
      </w:r>
      <w:bookmarkStart w:id="68" w:name="_Hlk72402325"/>
      <w:r>
        <w:rPr>
          <w:rFonts w:ascii="黑体" w:eastAsia="黑体" w:hAnsi="宋体" w:hint="eastAsia"/>
          <w:sz w:val="24"/>
        </w:rPr>
        <w:t xml:space="preserve">关于投标保证金 </w:t>
      </w:r>
    </w:p>
    <w:p>
      <w:pPr>
        <w:rPr>
          <w:rFonts w:ascii="宋体" w:hAnsi="宋体" w:hint="eastAsia"/>
          <w:szCs w:val="21"/>
        </w:rPr>
      </w:pPr>
      <w:r>
        <w:rPr>
          <w:rFonts w:ascii="宋体" w:hAnsi="宋体" w:hint="eastAsia"/>
          <w:szCs w:val="21"/>
        </w:rPr>
        <w:t xml:space="preserve">    21.1 </w:t>
      </w:r>
      <w:r>
        <w:rPr>
          <w:rFonts w:hint="eastAsia"/>
        </w:rPr>
        <w:t>根据《深圳市财政局关于调整政府采购投标（响应）保证金管理政策的通知》（深财购〔2021〕51号）文的规定，本项目不收取投标保证金。</w:t>
      </w:r>
    </w:p>
    <w:p>
      <w:pPr>
        <w:rPr>
          <w:rFonts w:ascii="黑体" w:eastAsia="黑体" w:hAnsi="宋体" w:hint="eastAsia"/>
          <w:sz w:val="24"/>
        </w:rPr>
      </w:pPr>
      <w:r>
        <w:rPr>
          <w:rFonts w:ascii="黑体" w:eastAsia="黑体" w:hAnsi="宋体" w:hint="eastAsia"/>
          <w:sz w:val="24"/>
        </w:rPr>
        <w:t>22．投标人的替代方案</w:t>
      </w:r>
    </w:p>
    <w:p>
      <w:pPr>
        <w:ind w:firstLine="412" w:firstLineChars="196"/>
        <w:rPr>
          <w:rFonts w:ascii="宋体" w:hAnsi="宋体" w:hint="eastAsia"/>
          <w:szCs w:val="21"/>
        </w:rPr>
      </w:pPr>
      <w:r>
        <w:rPr>
          <w:rFonts w:ascii="宋体" w:hAnsi="宋体" w:hint="eastAsia"/>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12" w:firstLineChars="196"/>
        <w:rPr>
          <w:rFonts w:ascii="宋体" w:hAnsi="宋体" w:hint="eastAsia"/>
          <w:szCs w:val="21"/>
        </w:rPr>
      </w:pPr>
      <w:r>
        <w:rPr>
          <w:rFonts w:ascii="宋体" w:hAnsi="宋体" w:hint="eastAsia"/>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rPr>
          <w:rFonts w:ascii="黑体" w:eastAsia="黑体" w:hAnsi="宋体" w:hint="eastAsia"/>
          <w:sz w:val="24"/>
        </w:rPr>
      </w:pPr>
      <w:bookmarkEnd w:id="68"/>
      <w:r>
        <w:rPr>
          <w:rFonts w:ascii="黑体" w:eastAsia="黑体" w:hAnsi="宋体" w:hint="eastAsia"/>
          <w:sz w:val="24"/>
        </w:rPr>
        <w:t>23．</w:t>
      </w:r>
      <w:bookmarkStart w:id="69" w:name="_Hlk72402860"/>
      <w:r>
        <w:rPr>
          <w:rFonts w:ascii="黑体" w:eastAsia="黑体" w:hAnsi="宋体"/>
          <w:sz w:val="24"/>
        </w:rPr>
        <w:t>投标文件的</w:t>
      </w:r>
      <w:r>
        <w:rPr>
          <w:rFonts w:ascii="黑体" w:eastAsia="黑体" w:hAnsi="宋体" w:hint="eastAsia"/>
          <w:sz w:val="24"/>
        </w:rPr>
        <w:t>制作</w:t>
      </w:r>
      <w:r>
        <w:rPr>
          <w:rFonts w:ascii="黑体" w:eastAsia="黑体" w:hAnsi="宋体"/>
          <w:sz w:val="24"/>
        </w:rPr>
        <w:t>要求</w:t>
      </w:r>
    </w:p>
    <w:p>
      <w:pPr>
        <w:ind w:firstLine="412" w:firstLineChars="196"/>
        <w:rPr>
          <w:rFonts w:ascii="宋体" w:hAnsi="宋体" w:hint="eastAsia"/>
        </w:rPr>
      </w:pPr>
      <w:r>
        <w:rPr>
          <w:rFonts w:ascii="宋体" w:hAnsi="宋体" w:hint="eastAsia"/>
        </w:rPr>
        <w:t>23.1投标人应准备所投项目的电子投标文件一份。此电子投标文件须由投标人根据政府集中采购机构提供的后缀名为.</w:t>
      </w:r>
      <w:r>
        <w:rPr>
          <w:rFonts w:ascii="宋体" w:hAnsi="宋体"/>
        </w:rPr>
        <w:t>szczf</w:t>
      </w:r>
      <w:r>
        <w:rPr>
          <w:rFonts w:ascii="宋体" w:hAnsi="宋体" w:hint="eastAsia"/>
        </w:rPr>
        <w:t>的电子招标文件，下载并使用相应的深圳智慧采购平台投标文件制作专用软件打开招标文件（.szczf格式）【下载地址：</w:t>
      </w:r>
      <w:r>
        <w:rPr>
          <w:rFonts w:ascii="宋体" w:hAnsi="宋体"/>
        </w:rPr>
        <w:t>http://zfcg.szggzy.com:8081/cgxy/013002/list.html</w:t>
      </w:r>
      <w:r>
        <w:rPr>
          <w:rFonts w:ascii="宋体" w:hAnsi="宋体" w:hint="eastAsia"/>
        </w:rPr>
        <w:t>深圳智慧采购平台投标文件制作专用软件.zip】。</w:t>
      </w:r>
    </w:p>
    <w:p>
      <w:pPr>
        <w:ind w:firstLine="412" w:firstLineChars="196"/>
        <w:rPr>
          <w:rFonts w:ascii="宋体" w:hAnsi="宋体" w:hint="eastAsia"/>
        </w:rPr>
      </w:pPr>
      <w:r>
        <w:rPr>
          <w:rFonts w:ascii="宋体" w:hAnsi="宋体" w:hint="eastAsia"/>
        </w:rPr>
        <w:t>23.2投标人在使用《投标书编制软件》编制投标书时须注意：</w:t>
      </w:r>
    </w:p>
    <w:p>
      <w:pPr>
        <w:ind w:firstLine="412" w:firstLineChars="196"/>
        <w:rPr>
          <w:rFonts w:ascii="宋体" w:hAnsi="宋体" w:hint="eastAsia"/>
        </w:rPr>
      </w:pPr>
      <w:r>
        <w:rPr>
          <w:rFonts w:ascii="宋体" w:hAnsi="宋体" w:hint="eastAsia"/>
        </w:rPr>
        <w:t>23.2.1导入《投标书编制软件》的招标文件项目编号、包号应与以此制作的投标文件项目编号、包号一致。例如，不能将甲项目A包的招标书导入《投标书编制软件》，制作乙项目B包的投标书。</w:t>
      </w:r>
    </w:p>
    <w:p>
      <w:pPr>
        <w:ind w:firstLine="412" w:firstLineChars="196"/>
        <w:rPr>
          <w:rFonts w:ascii="宋体" w:hAnsi="宋体" w:hint="eastAsia"/>
        </w:rPr>
      </w:pPr>
      <w:r>
        <w:rPr>
          <w:rFonts w:ascii="宋体" w:hAnsi="宋体" w:hint="eastAsia"/>
        </w:rPr>
        <w:t>23.2.2不能用非本公司的电子密钥加密本公司的投标文件，或者用其它公司的登录用户上传本公司的投标文件。</w:t>
      </w:r>
    </w:p>
    <w:p>
      <w:pPr>
        <w:ind w:firstLine="412" w:firstLineChars="196"/>
        <w:rPr>
          <w:rFonts w:ascii="宋体" w:hAnsi="宋体" w:hint="eastAsia"/>
        </w:rPr>
      </w:pPr>
      <w:r>
        <w:rPr>
          <w:rFonts w:ascii="宋体" w:hAnsi="宋体" w:hint="eastAsia"/>
        </w:rPr>
        <w:t>23.2.3要求用《投标书编制软件》编制投标书的包，不能用其它方式编制投标书。编制投标文件时，电脑须连通互联网。</w:t>
      </w:r>
    </w:p>
    <w:p>
      <w:pPr>
        <w:ind w:firstLine="412" w:firstLineChars="196"/>
        <w:rPr>
          <w:rFonts w:ascii="宋体" w:hAnsi="宋体" w:hint="eastAsia"/>
        </w:rPr>
      </w:pPr>
      <w:r>
        <w:rPr>
          <w:rFonts w:ascii="宋体" w:hAnsi="宋体" w:hint="eastAsia"/>
        </w:rPr>
        <w:t>23.2.4投标文件不能带病毒。政府集中采购机构将用专业杀毒软件对投标文件进行病毒检测，如果这两种软件均报告发现病毒，则政府集中采购机构认为该投标文件带病毒。</w:t>
      </w:r>
    </w:p>
    <w:p>
      <w:pPr>
        <w:ind w:firstLine="412" w:firstLineChars="196"/>
        <w:rPr>
          <w:rFonts w:ascii="宋体" w:hAnsi="宋体" w:hint="eastAsia"/>
        </w:rPr>
      </w:pPr>
      <w:r>
        <w:rPr>
          <w:rFonts w:ascii="宋体" w:hAnsi="宋体" w:hint="eastAsia"/>
        </w:rPr>
        <w:t>23.2.5完整填写“投标关键信息”，如下图所示：</w:t>
      </w:r>
    </w:p>
    <w:p>
      <w:pPr>
        <w:ind w:firstLine="412" w:firstLineChars="196"/>
        <w:rPr>
          <w:rFonts w:ascii="宋体" w:hAnsi="宋体" w:hint="eastAsia"/>
        </w:rPr>
      </w:pPr>
      <w:r>
        <w:rPr>
          <w:rFonts w:ascii="宋体" w:hAnsi="宋体"/>
        </w:rPr>
        <w:drawing>
          <wp:inline distT="0" distB="0" distL="0" distR="0">
            <wp:extent cx="5279390" cy="2719070"/>
            <wp:effectExtent l="0" t="0" r="3810" b="11430"/>
            <wp:docPr id="7" name="图片 9"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9" descr="图形用户界面, 应用程序&#10;&#10;描述已自动生成"/>
                    <pic:cNvPicPr>
                      <a:picLocks noChangeAspect="1" noChangeArrowheads="1"/>
                    </pic:cNvPicPr>
                  </pic:nvPicPr>
                  <pic:blipFill>
                    <a:blip xmlns:r="http://schemas.openxmlformats.org/officeDocument/2006/relationships" r:embed="rId9"/>
                    <a:stretch>
                      <a:fillRect/>
                    </a:stretch>
                  </pic:blipFill>
                  <pic:spPr>
                    <a:xfrm>
                      <a:off x="0" y="0"/>
                      <a:ext cx="5279390" cy="2719070"/>
                    </a:xfrm>
                    <a:prstGeom prst="rect">
                      <a:avLst/>
                    </a:prstGeom>
                    <a:noFill/>
                    <a:ln w="9525">
                      <a:noFill/>
                      <a:miter lim="800000"/>
                      <a:headEnd/>
                      <a:tailEnd/>
                    </a:ln>
                  </pic:spPr>
                </pic:pic>
              </a:graphicData>
            </a:graphic>
          </wp:inline>
        </w:drawing>
      </w:r>
    </w:p>
    <w:p>
      <w:pPr>
        <w:widowControl/>
        <w:jc w:val="left"/>
        <w:rPr>
          <w:rFonts w:ascii="宋体" w:hAnsi="宋体" w:cs="宋体" w:hint="eastAsia"/>
          <w:kern w:val="0"/>
          <w:sz w:val="24"/>
        </w:rPr>
      </w:pPr>
    </w:p>
    <w:p>
      <w:pPr>
        <w:ind w:firstLine="412" w:firstLineChars="196"/>
        <w:rPr>
          <w:rFonts w:ascii="宋体" w:hAnsi="宋体" w:hint="eastAsia"/>
          <w:b/>
        </w:rPr>
      </w:pPr>
      <w:r>
        <w:rPr>
          <w:rFonts w:ascii="宋体" w:hAnsi="宋体" w:hint="eastAsia"/>
          <w:b/>
        </w:rPr>
        <w:t>备注：上述“开标一览表”中的“投标报价”将作为价格分计算依据；其它信息仅是对投标文件相关内容的概括性表述，不作为评审依据。</w:t>
      </w:r>
    </w:p>
    <w:p>
      <w:pPr>
        <w:ind w:firstLine="412" w:firstLineChars="196"/>
        <w:rPr>
          <w:rFonts w:ascii="宋体" w:hAnsi="宋体" w:hint="eastAsia"/>
        </w:rPr>
      </w:pPr>
      <w:r>
        <w:rPr>
          <w:rFonts w:ascii="宋体" w:hAnsi="宋体" w:hint="eastAsia"/>
        </w:rPr>
        <w:t>23.2.6投标人在编辑投标文件时，</w:t>
      </w:r>
      <w:r>
        <w:rPr>
          <w:rFonts w:ascii="宋体" w:hAnsi="宋体" w:hint="eastAsia"/>
          <w:b/>
        </w:rPr>
        <w:t>在投标文件目录中属于本节点内容的必须在本节点中填写，填写到其他节点或附件，</w:t>
      </w:r>
      <w:r>
        <w:rPr>
          <w:rFonts w:ascii="宋体" w:hAnsi="宋体" w:hint="eastAsia"/>
        </w:rPr>
        <w:t>一切后果由供应商自行承担。</w:t>
      </w:r>
    </w:p>
    <w:p>
      <w:pPr>
        <w:ind w:firstLine="412" w:firstLineChars="196"/>
        <w:rPr>
          <w:rFonts w:ascii="宋体" w:hAnsi="宋体" w:hint="eastAsia"/>
        </w:rPr>
      </w:pPr>
      <w:r>
        <w:rPr>
          <w:rFonts w:ascii="宋体" w:hAnsi="宋体" w:hint="eastAsia"/>
        </w:rPr>
        <w:t>23.2.7投标文件编写完成后，</w:t>
      </w:r>
      <w:r>
        <w:rPr>
          <w:rFonts w:ascii="宋体" w:hAnsi="宋体" w:hint="eastAsia"/>
          <w:b/>
        </w:rPr>
        <w:t>必须用属于投标人的电子密钥或电子营业执照进行加密，否则视同未盖公章，将导致投标文件无效。</w:t>
      </w:r>
    </w:p>
    <w:p>
      <w:pPr>
        <w:ind w:firstLine="412" w:firstLineChars="196"/>
        <w:rPr>
          <w:rFonts w:ascii="宋体" w:hAnsi="宋体" w:hint="eastAsia"/>
        </w:rPr>
      </w:pPr>
      <w:r>
        <w:rPr>
          <w:rFonts w:ascii="宋体" w:hAnsi="宋体" w:hint="eastAsia"/>
        </w:rPr>
        <w:t>23.2.8政府集中采购机构不接受投标截止时间后递交的纸质、电子、传真等所有形式的投标文件。由于对网上政府采购系统操作不熟悉或自身电脑、网络等原因导致不能在投标截止时间之前上传投标文件，政府集中采购机构概不负责。建议于开标前一个工作日完成投标文件的制作与上传，如上传确有困难，请及时咨询。</w:t>
      </w:r>
    </w:p>
    <w:p>
      <w:pPr>
        <w:ind w:firstLine="412" w:firstLineChars="196"/>
        <w:rPr>
          <w:rFonts w:ascii="宋体" w:hAnsi="宋体" w:hint="eastAsia"/>
        </w:rPr>
      </w:pPr>
      <w:r>
        <w:rPr>
          <w:rFonts w:ascii="宋体" w:hAnsi="宋体" w:hint="eastAsia"/>
        </w:rPr>
        <w:t>23.2.9如果开标时出现网络故障、技术故障，影响了政府采购活动，政府集中采购机构有权采取措施如延期、接受无法从网上上传的投标书等，以保障政府采购活动的公开、公平和公正。</w:t>
      </w:r>
    </w:p>
    <w:p>
      <w:pPr>
        <w:ind w:firstLine="412" w:firstLineChars="196"/>
        <w:rPr>
          <w:rFonts w:ascii="宋体" w:hAnsi="宋体" w:hint="eastAsia"/>
        </w:rPr>
      </w:pPr>
      <w:r>
        <w:rPr>
          <w:rFonts w:ascii="宋体" w:hAnsi="宋体" w:hint="eastAsia"/>
        </w:rPr>
        <w:t>23.3电报、电话、传真形式的投标概不接受。</w:t>
      </w:r>
    </w:p>
    <w:p>
      <w:pPr>
        <w:ind w:firstLine="412" w:firstLineChars="196"/>
        <w:rPr>
          <w:rFonts w:ascii="宋体" w:hAnsi="宋体" w:hint="eastAsia"/>
          <w:b/>
        </w:rPr>
      </w:pPr>
      <w:r>
        <w:rPr>
          <w:rFonts w:ascii="宋体" w:hAnsi="宋体" w:hint="eastAsia"/>
          <w:b/>
        </w:rPr>
        <w:t>23.4经投标人电子密钥或电子营业执照加密的投标文件无须盖章或签字，</w:t>
      </w:r>
      <w:r>
        <w:rPr>
          <w:rFonts w:ascii="宋体" w:hAnsi="宋体" w:hint="eastAsia"/>
        </w:rPr>
        <w:t>专用条款另有要求的除外。</w:t>
      </w:r>
    </w:p>
    <w:p>
      <w:pPr>
        <w:ind w:firstLine="412" w:firstLineChars="196"/>
        <w:rPr>
          <w:rFonts w:ascii="宋体" w:hAnsi="宋体" w:hint="eastAsia"/>
        </w:rPr>
      </w:pPr>
      <w:r>
        <w:rPr>
          <w:rFonts w:ascii="宋体" w:hAnsi="宋体" w:hint="eastAsia"/>
          <w:b/>
        </w:rPr>
        <w:t>23.5</w:t>
      </w:r>
      <w:r>
        <w:rPr>
          <w:rFonts w:ascii="宋体" w:hAnsi="宋体" w:hint="eastAsia"/>
        </w:rPr>
        <w:t xml:space="preserve"> 各类资格（资质）文件提供扫描件，专用条款另有要求的除外。</w:t>
      </w:r>
      <w:bookmarkEnd w:id="69"/>
    </w:p>
    <w:p>
      <w:pPr>
        <w:ind w:firstLine="412" w:firstLineChars="196"/>
        <w:rPr>
          <w:rFonts w:ascii="宋体" w:hAnsi="宋体" w:hint="eastAsia"/>
          <w:szCs w:val="21"/>
        </w:rPr>
      </w:pPr>
    </w:p>
    <w:p>
      <w:pPr>
        <w:pStyle w:val="Heading2"/>
        <w:numPr>
          <w:ilvl w:val="0"/>
          <w:numId w:val="56"/>
        </w:numPr>
        <w:spacing w:before="120" w:beforeLines="50" w:after="120" w:afterLines="50"/>
        <w:ind w:left="562" w:hanging="562"/>
        <w:rPr>
          <w:rFonts w:hint="eastAsia"/>
          <w:sz w:val="28"/>
          <w:szCs w:val="28"/>
        </w:rPr>
      </w:pPr>
      <w:r>
        <w:rPr>
          <w:rFonts w:hint="eastAsia"/>
          <w:sz w:val="28"/>
          <w:szCs w:val="28"/>
        </w:rPr>
        <w:t>投标文件的递交</w:t>
      </w:r>
    </w:p>
    <w:p>
      <w:pPr>
        <w:rPr>
          <w:rFonts w:ascii="黑体" w:eastAsia="黑体" w:hAnsi="宋体" w:hint="eastAsia"/>
          <w:sz w:val="24"/>
        </w:rPr>
      </w:pPr>
      <w:bookmarkStart w:id="70" w:name="_Hlk72405459"/>
      <w:r>
        <w:rPr>
          <w:rFonts w:ascii="黑体" w:eastAsia="黑体" w:hAnsi="宋体" w:hint="eastAsia"/>
          <w:sz w:val="24"/>
        </w:rPr>
        <w:t>24．投标文件的保密</w:t>
      </w:r>
    </w:p>
    <w:p>
      <w:pPr>
        <w:ind w:firstLine="412" w:firstLineChars="196"/>
        <w:rPr>
          <w:rFonts w:ascii="宋体" w:hAnsi="宋体" w:hint="eastAsia"/>
        </w:rPr>
      </w:pPr>
      <w:r>
        <w:rPr>
          <w:rFonts w:ascii="宋体" w:hAnsi="宋体" w:hint="eastAsia"/>
        </w:rPr>
        <w:t>24.1在投标文件制作完成后，在投标书编制软件点击【生成标书】按钮进入【填写开标一览表界面】界面，在该界面填写完开标一览表信息后点击【确定】，进入投标文件生成环节。投标文件制作软件会在投标文件生成过程中，提示用户输入密码，输入密码后对投标文件自动进行加密，此加密程序确保投标文件在到达投标截止时间后才能解密查看。在加密过程中，请按照软件提示进行操作。加密界面如下图所示：</w:t>
      </w:r>
    </w:p>
    <w:p>
      <w:pPr>
        <w:ind w:firstLine="412" w:firstLineChars="196"/>
        <w:rPr>
          <w:rFonts w:ascii="宋体" w:hAnsi="宋体" w:hint="eastAsia"/>
        </w:rPr>
      </w:pPr>
    </w:p>
    <w:p>
      <w:pPr>
        <w:ind w:firstLine="412" w:firstLineChars="196"/>
        <w:rPr>
          <w:rFonts w:ascii="宋体" w:hAnsi="宋体" w:hint="eastAsia"/>
        </w:rPr>
      </w:pPr>
      <w:r>
        <w:rPr>
          <w:rFonts w:ascii="宋体" w:hAnsi="宋体"/>
        </w:rPr>
        <w:drawing>
          <wp:inline distT="0" distB="0" distL="0" distR="0">
            <wp:extent cx="5279390" cy="2719070"/>
            <wp:effectExtent l="0" t="0" r="3810" b="11430"/>
            <wp:docPr id="10"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descr="图形用户界面, 应用程序&#10;&#10;描述已自动生成"/>
                    <pic:cNvPicPr>
                      <a:picLocks noChangeAspect="1" noChangeArrowheads="1"/>
                    </pic:cNvPicPr>
                  </pic:nvPicPr>
                  <pic:blipFill>
                    <a:blip xmlns:r="http://schemas.openxmlformats.org/officeDocument/2006/relationships" r:embed="rId9"/>
                    <a:stretch>
                      <a:fillRect/>
                    </a:stretch>
                  </pic:blipFill>
                  <pic:spPr>
                    <a:xfrm>
                      <a:off x="0" y="0"/>
                      <a:ext cx="5279390" cy="2719070"/>
                    </a:xfrm>
                    <a:prstGeom prst="rect">
                      <a:avLst/>
                    </a:prstGeom>
                    <a:noFill/>
                    <a:ln w="9525">
                      <a:noFill/>
                      <a:miter lim="800000"/>
                      <a:headEnd/>
                      <a:tailEnd/>
                    </a:ln>
                  </pic:spPr>
                </pic:pic>
              </a:graphicData>
            </a:graphic>
          </wp:inline>
        </w:drawing>
      </w:r>
    </w:p>
    <w:p>
      <w:pPr>
        <w:ind w:firstLine="412" w:firstLineChars="196"/>
        <w:rPr>
          <w:rFonts w:ascii="宋体" w:hAnsi="宋体" w:hint="eastAsia"/>
        </w:rPr>
      </w:pPr>
    </w:p>
    <w:p>
      <w:pPr>
        <w:ind w:firstLine="412" w:firstLineChars="196"/>
        <w:rPr>
          <w:rFonts w:ascii="宋体" w:hAnsi="宋体" w:hint="eastAsia"/>
        </w:rPr>
      </w:pPr>
      <w:r>
        <w:rPr>
          <w:rFonts w:ascii="宋体" w:hAnsi="宋体"/>
        </w:rPr>
        <w:drawing>
          <wp:inline distT="0" distB="0" distL="0" distR="0">
            <wp:extent cx="5279390" cy="2727325"/>
            <wp:effectExtent l="0" t="0" r="3810" b="3175"/>
            <wp:docPr id="13"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descr="图形用户界面&#10;&#10;描述已自动生成"/>
                    <pic:cNvPicPr>
                      <a:picLocks noChangeAspect="1" noChangeArrowheads="1"/>
                    </pic:cNvPicPr>
                  </pic:nvPicPr>
                  <pic:blipFill>
                    <a:blip xmlns:r="http://schemas.openxmlformats.org/officeDocument/2006/relationships" r:embed="rId10"/>
                    <a:stretch>
                      <a:fillRect/>
                    </a:stretch>
                  </pic:blipFill>
                  <pic:spPr>
                    <a:xfrm>
                      <a:off x="0" y="0"/>
                      <a:ext cx="5279390" cy="2727325"/>
                    </a:xfrm>
                    <a:prstGeom prst="rect">
                      <a:avLst/>
                    </a:prstGeom>
                    <a:noFill/>
                    <a:ln w="9525">
                      <a:noFill/>
                      <a:miter lim="800000"/>
                      <a:headEnd/>
                      <a:tailEnd/>
                    </a:ln>
                  </pic:spPr>
                </pic:pic>
              </a:graphicData>
            </a:graphic>
          </wp:inline>
        </w:drawing>
      </w:r>
    </w:p>
    <w:p>
      <w:pPr>
        <w:rPr>
          <w:rFonts w:ascii="宋体" w:hAnsi="宋体" w:hint="eastAsia"/>
          <w:b/>
        </w:rPr>
      </w:pPr>
      <w:r>
        <w:rPr>
          <w:rFonts w:ascii="宋体" w:hAnsi="宋体" w:hint="eastAsia"/>
          <w:b/>
        </w:rPr>
        <w:t>24.2若采购项目出现延期情况：</w:t>
      </w:r>
    </w:p>
    <w:p>
      <w:pPr>
        <w:ind w:firstLine="420" w:firstLineChars="200"/>
        <w:rPr>
          <w:rFonts w:ascii="黑体" w:eastAsia="黑体" w:hAnsi="宋体" w:hint="eastAsia"/>
          <w:b/>
          <w:sz w:val="24"/>
        </w:rPr>
      </w:pPr>
      <w:r>
        <w:rPr>
          <w:rFonts w:ascii="宋体" w:hAnsi="宋体" w:hint="eastAsia"/>
          <w:b/>
        </w:rPr>
        <w:t>如果供下载的招标文件（后缀名为.szczf）有更新，投标人必须重新下载招标文件、重新制作投标文件、重新加密投标文件、重新上传投标文件；如果供下载的招标文件（后缀名为.szczf）没有更新，投标人必须重新加密投标文件、重新上传投标文件（是否重新制作投标文件根据项目实际情况定）。否则，投标人自行承担投标文件无法解密导致投标无效的后果。</w:t>
      </w:r>
    </w:p>
    <w:p>
      <w:pPr>
        <w:rPr>
          <w:rFonts w:ascii="黑体" w:eastAsia="黑体" w:hAnsi="宋体" w:hint="eastAsia"/>
          <w:sz w:val="24"/>
        </w:rPr>
      </w:pPr>
      <w:r>
        <w:rPr>
          <w:rFonts w:ascii="黑体" w:eastAsia="黑体" w:hAnsi="宋体" w:hint="eastAsia"/>
          <w:sz w:val="24"/>
        </w:rPr>
        <w:t>25．上传投标文件及投标截止日期</w:t>
      </w:r>
    </w:p>
    <w:p>
      <w:pPr>
        <w:ind w:firstLine="412" w:firstLineChars="196"/>
        <w:rPr>
          <w:rFonts w:ascii="宋体" w:hAnsi="宋体" w:hint="eastAsia"/>
        </w:rPr>
      </w:pPr>
      <w:r>
        <w:rPr>
          <w:rFonts w:ascii="宋体" w:hAnsi="宋体" w:hint="eastAsia"/>
        </w:rPr>
        <w:t>25</w:t>
      </w:r>
      <w:r>
        <w:rPr>
          <w:rFonts w:ascii="宋体" w:hAnsi="宋体"/>
        </w:rPr>
        <w:t>.</w:t>
      </w:r>
      <w:r>
        <w:rPr>
          <w:rFonts w:ascii="宋体" w:hAnsi="宋体" w:hint="eastAsia"/>
        </w:rPr>
        <w:t>1实行网上投标，</w:t>
      </w:r>
      <w:r>
        <w:rPr>
          <w:rFonts w:ascii="宋体" w:hAnsi="宋体"/>
        </w:rPr>
        <w:t>投标人必须</w:t>
      </w:r>
      <w:r>
        <w:rPr>
          <w:rFonts w:ascii="宋体" w:hAnsi="宋体" w:hint="eastAsia"/>
        </w:rPr>
        <w:t>在招标</w:t>
      </w:r>
      <w:r>
        <w:rPr>
          <w:rFonts w:ascii="宋体" w:hAnsi="宋体"/>
        </w:rPr>
        <w:t>文件规定的投标截止时间前</w:t>
      </w:r>
      <w:r>
        <w:rPr>
          <w:rFonts w:ascii="宋体" w:hAnsi="宋体" w:hint="eastAsia"/>
        </w:rPr>
        <w:t>用电子密钥登录“深圳政府采购智慧平台用户网上办事子系统（http://zfcg.szggzy.com/TPBidder/memberLogin）”，用“【我的项目】→【项目流程】→【递交投标(应答)文件】”功能点上传投标文件。如上传过程中遇到问题，可拨打采购公告中的技术支持电话。如多次上传均告失败，请在投标截止时间之前携带加密后的电子投标文件送达至</w:t>
      </w:r>
      <w:r>
        <w:rPr>
          <w:rFonts w:ascii="宋体" w:hAnsi="宋体" w:hint="eastAsia"/>
          <w:b/>
          <w:bCs/>
          <w:szCs w:val="21"/>
        </w:rPr>
        <w:t>深圳公共资源交易中心（深圳交易集团有限公司政府采购业务分公司）</w:t>
      </w:r>
      <w:r>
        <w:rPr>
          <w:rFonts w:ascii="宋体" w:hAnsi="宋体" w:hint="eastAsia"/>
          <w:b/>
          <w:bCs/>
        </w:rPr>
        <w:t>（地址：深圳市南山区沙河西路3185号南山智谷A座（深圳交易集团总部大楼）3楼）</w:t>
      </w:r>
      <w:r>
        <w:rPr>
          <w:rFonts w:ascii="宋体" w:hAnsi="宋体"/>
          <w:b/>
          <w:bCs/>
        </w:rPr>
        <w:t>协助上传</w:t>
      </w:r>
      <w:r>
        <w:rPr>
          <w:rFonts w:ascii="宋体" w:hAnsi="宋体" w:hint="eastAsia"/>
          <w:b/>
          <w:bCs/>
        </w:rPr>
        <w:t>，</w:t>
      </w:r>
      <w:r>
        <w:rPr>
          <w:rFonts w:ascii="宋体" w:hAnsi="宋体"/>
          <w:b/>
          <w:bCs/>
        </w:rPr>
        <w:t>但上传过程</w:t>
      </w:r>
      <w:r>
        <w:rPr>
          <w:rFonts w:ascii="宋体" w:hAnsi="宋体" w:hint="eastAsia"/>
          <w:b/>
          <w:bCs/>
        </w:rPr>
        <w:t>中</w:t>
      </w:r>
      <w:r>
        <w:rPr>
          <w:rFonts w:ascii="宋体" w:hAnsi="宋体"/>
          <w:b/>
          <w:bCs/>
        </w:rPr>
        <w:t>投标截止时间到达仍无法上传成功的，由投标人自行负责</w:t>
      </w:r>
      <w:r>
        <w:rPr>
          <w:rFonts w:ascii="宋体" w:hAnsi="宋体" w:hint="eastAsia"/>
        </w:rPr>
        <w:t>。</w:t>
      </w:r>
    </w:p>
    <w:p>
      <w:pPr>
        <w:ind w:firstLine="412" w:firstLineChars="196"/>
        <w:rPr>
          <w:rFonts w:ascii="宋体" w:hAnsi="宋体" w:hint="eastAsia"/>
        </w:rPr>
      </w:pPr>
      <w:r>
        <w:rPr>
          <w:rFonts w:ascii="宋体" w:hAnsi="宋体" w:hint="eastAsia"/>
        </w:rPr>
        <w:t>25.2政府集中采购机构可以按本通用条款第13条规定，通过修改招标文件自行决定酌情延长投标截止期。在此情况下，政府集中采购机构、采购人和投标人受投标截止期制约的所有权利和义务均应延长至新的截止期。</w:t>
      </w:r>
    </w:p>
    <w:p>
      <w:pPr>
        <w:ind w:firstLine="412" w:firstLineChars="196"/>
        <w:rPr>
          <w:rFonts w:ascii="宋体" w:hAnsi="宋体" w:hint="eastAsia"/>
        </w:rPr>
      </w:pPr>
      <w:r>
        <w:rPr>
          <w:rFonts w:ascii="宋体" w:hAnsi="宋体" w:hint="eastAsia"/>
        </w:rPr>
        <w:t>25</w:t>
      </w:r>
      <w:r>
        <w:rPr>
          <w:rFonts w:ascii="宋体" w:hAnsi="宋体"/>
        </w:rPr>
        <w:t>.</w:t>
      </w:r>
      <w:r>
        <w:rPr>
          <w:rFonts w:ascii="宋体" w:hAnsi="宋体" w:hint="eastAsia"/>
        </w:rPr>
        <w:t>3投标截止时间以后不得上传投标文件。</w:t>
      </w:r>
    </w:p>
    <w:p>
      <w:pPr>
        <w:rPr>
          <w:rFonts w:ascii="黑体" w:eastAsia="黑体" w:hAnsi="宋体" w:hint="eastAsia"/>
          <w:sz w:val="24"/>
        </w:rPr>
      </w:pPr>
      <w:bookmarkEnd w:id="70"/>
      <w:r>
        <w:rPr>
          <w:rFonts w:ascii="黑体" w:eastAsia="黑体" w:hAnsi="宋体" w:hint="eastAsia"/>
          <w:sz w:val="24"/>
        </w:rPr>
        <w:t>26. 样品、现场演示、方案讲解</w:t>
      </w:r>
    </w:p>
    <w:p>
      <w:pPr>
        <w:ind w:firstLine="412" w:firstLineChars="196"/>
        <w:rPr>
          <w:rFonts w:ascii="宋体" w:hAnsi="宋体" w:hint="eastAsia"/>
          <w:szCs w:val="21"/>
        </w:rPr>
      </w:pPr>
      <w:r>
        <w:rPr>
          <w:rFonts w:ascii="宋体" w:hAnsi="宋体" w:hint="eastAsia"/>
          <w:szCs w:val="21"/>
        </w:rPr>
        <w:t>26.1 样品、现场演示、方案讲解等事项在招标文件专用条款中进行规定。</w:t>
      </w:r>
    </w:p>
    <w:p>
      <w:pPr>
        <w:rPr>
          <w:rFonts w:ascii="黑体" w:eastAsia="黑体" w:hAnsi="宋体" w:hint="eastAsia"/>
          <w:sz w:val="24"/>
        </w:rPr>
      </w:pPr>
      <w:bookmarkStart w:id="71" w:name="_Hlk72428346"/>
      <w:r>
        <w:rPr>
          <w:rFonts w:ascii="黑体" w:eastAsia="黑体" w:hAnsi="宋体"/>
          <w:sz w:val="24"/>
        </w:rPr>
        <w:t>2</w:t>
      </w:r>
      <w:r>
        <w:rPr>
          <w:rFonts w:ascii="黑体" w:eastAsia="黑体" w:hAnsi="宋体" w:hint="eastAsia"/>
          <w:sz w:val="24"/>
        </w:rPr>
        <w:t>7．</w:t>
      </w:r>
      <w:r>
        <w:rPr>
          <w:rFonts w:ascii="黑体" w:eastAsia="黑体" w:hAnsi="宋体"/>
          <w:sz w:val="24"/>
        </w:rPr>
        <w:t>投标文件的修改和撤销</w:t>
      </w:r>
    </w:p>
    <w:p>
      <w:pPr>
        <w:ind w:firstLine="412" w:firstLineChars="196"/>
        <w:rPr>
          <w:rFonts w:ascii="宋体" w:hAnsi="宋体" w:hint="eastAsia"/>
        </w:rPr>
      </w:pPr>
      <w:r>
        <w:rPr>
          <w:rFonts w:ascii="宋体" w:hAnsi="宋体"/>
        </w:rPr>
        <w:t>2</w:t>
      </w:r>
      <w:r>
        <w:rPr>
          <w:rFonts w:ascii="宋体" w:hAnsi="宋体" w:hint="eastAsia"/>
        </w:rPr>
        <w:t>7</w:t>
      </w:r>
      <w:r>
        <w:rPr>
          <w:rFonts w:ascii="宋体" w:hAnsi="宋体"/>
        </w:rPr>
        <w:t>.</w:t>
      </w:r>
      <w:r>
        <w:rPr>
          <w:rFonts w:ascii="宋体" w:hAnsi="宋体" w:hint="eastAsia"/>
        </w:rPr>
        <w:t>1</w:t>
      </w:r>
      <w:r>
        <w:rPr>
          <w:rFonts w:ascii="宋体" w:hAnsi="宋体"/>
        </w:rPr>
        <w:t>投标方在提交投标文件后可对其投标文件进行修改</w:t>
      </w:r>
      <w:r>
        <w:rPr>
          <w:rFonts w:ascii="宋体" w:hAnsi="宋体" w:hint="eastAsia"/>
        </w:rPr>
        <w:t>并重新上传投标文件</w:t>
      </w:r>
      <w:r>
        <w:rPr>
          <w:rFonts w:ascii="宋体" w:hAnsi="宋体"/>
        </w:rPr>
        <w:t>或</w:t>
      </w:r>
      <w:r>
        <w:rPr>
          <w:rFonts w:ascii="宋体" w:hAnsi="宋体" w:hint="eastAsia"/>
        </w:rPr>
        <w:t>在网上进行</w:t>
      </w:r>
      <w:r>
        <w:rPr>
          <w:rFonts w:ascii="宋体" w:hAnsi="宋体"/>
        </w:rPr>
        <w:t>撤销</w:t>
      </w:r>
      <w:r>
        <w:rPr>
          <w:rFonts w:ascii="宋体" w:hAnsi="宋体" w:hint="eastAsia"/>
        </w:rPr>
        <w:t>投标的操作</w:t>
      </w:r>
      <w:r>
        <w:rPr>
          <w:rFonts w:ascii="宋体" w:hAnsi="宋体"/>
        </w:rPr>
        <w:t>。</w:t>
      </w:r>
    </w:p>
    <w:p>
      <w:pPr>
        <w:ind w:firstLine="412" w:firstLineChars="196"/>
        <w:rPr>
          <w:rFonts w:ascii="宋体" w:hAnsi="宋体" w:hint="eastAsia"/>
        </w:rPr>
      </w:pPr>
      <w:r>
        <w:rPr>
          <w:rFonts w:ascii="宋体" w:hAnsi="宋体"/>
        </w:rPr>
        <w:t>2</w:t>
      </w:r>
      <w:r>
        <w:rPr>
          <w:rFonts w:ascii="宋体" w:hAnsi="宋体" w:hint="eastAsia"/>
        </w:rPr>
        <w:t>7</w:t>
      </w:r>
      <w:r>
        <w:rPr>
          <w:rFonts w:ascii="宋体" w:hAnsi="宋体"/>
        </w:rPr>
        <w:t>.</w:t>
      </w:r>
      <w:r>
        <w:rPr>
          <w:rFonts w:ascii="宋体" w:hAnsi="宋体" w:hint="eastAsia"/>
        </w:rPr>
        <w:t>2</w:t>
      </w:r>
      <w:r>
        <w:rPr>
          <w:rFonts w:ascii="宋体" w:hAnsi="宋体"/>
        </w:rPr>
        <w:t>投标截止时间以后不得修改投标文件。</w:t>
      </w:r>
    </w:p>
    <w:p>
      <w:pPr>
        <w:ind w:firstLine="412" w:firstLineChars="196"/>
        <w:rPr>
          <w:rFonts w:ascii="宋体" w:hAnsi="宋体" w:hint="eastAsia"/>
        </w:rPr>
      </w:pPr>
      <w:r>
        <w:rPr>
          <w:rFonts w:ascii="宋体" w:hAnsi="宋体"/>
        </w:rPr>
        <w:t>2</w:t>
      </w:r>
      <w:r>
        <w:rPr>
          <w:rFonts w:ascii="宋体" w:hAnsi="宋体" w:hint="eastAsia"/>
        </w:rPr>
        <w:t>7</w:t>
      </w:r>
      <w:r>
        <w:rPr>
          <w:rFonts w:ascii="宋体" w:hAnsi="宋体"/>
        </w:rPr>
        <w:t>.</w:t>
      </w:r>
      <w:r>
        <w:rPr>
          <w:rFonts w:ascii="宋体" w:hAnsi="宋体" w:hint="eastAsia"/>
        </w:rPr>
        <w:t>3从投标截止期至投标人在投标文件中确定的投标有效期之间的这段时间内，投标人不得撤回其投标。</w:t>
      </w:r>
    </w:p>
    <w:p>
      <w:pPr>
        <w:ind w:firstLine="412" w:firstLineChars="196"/>
        <w:rPr>
          <w:rFonts w:ascii="宋体" w:hAnsi="宋体" w:hint="eastAsia"/>
          <w:szCs w:val="21"/>
        </w:rPr>
      </w:pPr>
      <w:r>
        <w:rPr>
          <w:rFonts w:ascii="宋体" w:hAnsi="宋体" w:hint="eastAsia"/>
          <w:szCs w:val="21"/>
        </w:rPr>
        <w:t>27.4政府集中采购机构不退还投标文件，专用条款另有规定的除外。</w:t>
      </w:r>
    </w:p>
    <w:p>
      <w:pPr>
        <w:pStyle w:val="Heading2"/>
        <w:numPr>
          <w:ilvl w:val="0"/>
          <w:numId w:val="56"/>
        </w:numPr>
        <w:spacing w:before="120" w:beforeLines="50" w:after="120" w:afterLines="50"/>
        <w:ind w:left="562" w:hanging="562"/>
        <w:rPr>
          <w:rFonts w:hint="eastAsia"/>
          <w:sz w:val="28"/>
          <w:szCs w:val="28"/>
        </w:rPr>
      </w:pPr>
      <w:bookmarkEnd w:id="71"/>
      <w:r>
        <w:rPr>
          <w:rFonts w:hint="eastAsia"/>
          <w:sz w:val="28"/>
          <w:szCs w:val="28"/>
        </w:rPr>
        <w:t>开标</w:t>
      </w:r>
    </w:p>
    <w:p>
      <w:pPr>
        <w:rPr>
          <w:rFonts w:ascii="黑体" w:eastAsia="黑体" w:hAnsi="宋体" w:hint="eastAsia"/>
          <w:sz w:val="24"/>
        </w:rPr>
      </w:pPr>
      <w:r>
        <w:rPr>
          <w:rFonts w:ascii="黑体" w:eastAsia="黑体" w:hAnsi="宋体" w:hint="eastAsia"/>
          <w:sz w:val="24"/>
        </w:rPr>
        <w:t>28．开标</w:t>
      </w:r>
    </w:p>
    <w:p>
      <w:pPr>
        <w:ind w:firstLine="315" w:firstLineChars="150"/>
        <w:rPr>
          <w:rFonts w:ascii="宋体" w:hAnsi="宋体" w:hint="eastAsia"/>
          <w:szCs w:val="21"/>
        </w:rPr>
      </w:pPr>
      <w:r>
        <w:rPr>
          <w:rFonts w:ascii="宋体" w:hAnsi="宋体" w:hint="eastAsia"/>
          <w:szCs w:val="21"/>
        </w:rPr>
        <w:t>28.1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p>
    <w:p>
      <w:pPr>
        <w:ind w:firstLine="315" w:firstLineChars="150"/>
        <w:rPr>
          <w:rFonts w:ascii="宋体" w:hAnsi="宋体" w:hint="eastAsia"/>
          <w:szCs w:val="21"/>
        </w:rPr>
      </w:pPr>
      <w:r>
        <w:rPr>
          <w:rFonts w:ascii="宋体" w:hAnsi="宋体" w:hint="eastAsia"/>
          <w:szCs w:val="21"/>
        </w:rPr>
        <w:t>28.2 政府集中采购机构将在满足开标条件（①解密时间结束，解密后的投标供应商数量满足开标要求或②解密时间结束前所有投标供应商均完成投标文件解密）后，对投标文件进行开标，并在网上公布开标结果。</w:t>
      </w:r>
    </w:p>
    <w:p>
      <w:pPr>
        <w:ind w:firstLine="315" w:firstLineChars="150"/>
        <w:rPr>
          <w:rFonts w:ascii="宋体" w:hAnsi="宋体" w:hint="eastAsia"/>
          <w:szCs w:val="21"/>
        </w:rPr>
      </w:pPr>
    </w:p>
    <w:p>
      <w:pPr>
        <w:pStyle w:val="Heading2"/>
        <w:numPr>
          <w:ilvl w:val="0"/>
          <w:numId w:val="56"/>
        </w:numPr>
        <w:spacing w:before="120" w:beforeLines="50" w:after="120" w:afterLines="50"/>
        <w:ind w:left="562" w:hanging="562"/>
        <w:rPr>
          <w:rFonts w:hint="eastAsia"/>
          <w:sz w:val="28"/>
          <w:szCs w:val="28"/>
        </w:rPr>
      </w:pPr>
      <w:r>
        <w:rPr>
          <w:rFonts w:hint="eastAsia"/>
          <w:sz w:val="28"/>
          <w:szCs w:val="28"/>
        </w:rPr>
        <w:t>评审要求</w:t>
      </w:r>
    </w:p>
    <w:p>
      <w:pPr>
        <w:rPr>
          <w:rFonts w:ascii="黑体" w:eastAsia="黑体" w:hAnsi="宋体" w:hint="eastAsia"/>
          <w:sz w:val="24"/>
        </w:rPr>
      </w:pPr>
      <w:r>
        <w:rPr>
          <w:rFonts w:ascii="黑体" w:eastAsia="黑体" w:hAnsi="宋体" w:hint="eastAsia"/>
          <w:sz w:val="24"/>
        </w:rPr>
        <w:t>29．评审委员会组成</w:t>
      </w:r>
    </w:p>
    <w:p>
      <w:pPr>
        <w:ind w:firstLine="412" w:firstLineChars="196"/>
        <w:rPr>
          <w:rFonts w:ascii="宋体" w:hAnsi="宋体" w:hint="eastAsia"/>
        </w:rPr>
      </w:pPr>
      <w:r>
        <w:rPr>
          <w:rFonts w:ascii="宋体" w:hAnsi="宋体" w:hint="eastAsia"/>
        </w:rPr>
        <w:t>29.1网上开标结束后召开评审会议，</w:t>
      </w:r>
      <w:r>
        <w:rPr>
          <w:rFonts w:ascii="宋体" w:hAnsi="宋体" w:hint="eastAsia"/>
          <w:szCs w:val="21"/>
        </w:rPr>
        <w:t>评审委员会</w:t>
      </w:r>
      <w:r>
        <w:rPr>
          <w:rFonts w:ascii="宋体" w:hAnsi="宋体" w:hint="eastAsia"/>
        </w:rPr>
        <w:t>由政府集中采购机构依法组建，负责评审活动。</w:t>
      </w:r>
    </w:p>
    <w:p>
      <w:pPr>
        <w:ind w:firstLine="412" w:firstLineChars="196"/>
        <w:rPr>
          <w:rFonts w:ascii="宋体" w:hAnsi="宋体" w:hint="eastAsia"/>
        </w:rPr>
      </w:pPr>
      <w:bookmarkStart w:id="72" w:name="_Hlk72436580"/>
      <w:r>
        <w:rPr>
          <w:rFonts w:ascii="宋体" w:hAnsi="宋体" w:hint="eastAsia"/>
        </w:rPr>
        <w:t>评审委员会由采购人代表和评审专家组成，成员人数应当为5人以上单数（部分条件下为7人以上单数），其中评审专家不得少于成员总数的三分之二。</w:t>
      </w:r>
      <w:bookmarkEnd w:id="72"/>
      <w:r>
        <w:rPr>
          <w:rFonts w:ascii="宋体" w:hAnsi="宋体" w:hint="eastAsia"/>
        </w:rPr>
        <w:t>评定</w:t>
      </w:r>
      <w:r>
        <w:rPr>
          <w:rFonts w:hint="eastAsia"/>
        </w:rPr>
        <w:t>分离项目</w:t>
      </w:r>
      <w:r>
        <w:t>评审专家</w:t>
      </w:r>
      <w:r>
        <w:rPr>
          <w:rFonts w:hint="eastAsia"/>
        </w:rPr>
        <w:t>均</w:t>
      </w:r>
      <w:r>
        <w:t>由</w:t>
      </w:r>
      <w:r>
        <w:rPr>
          <w:rFonts w:hint="eastAsia"/>
        </w:rPr>
        <w:t>评审专家组成。</w:t>
      </w:r>
      <w:r>
        <w:rPr>
          <w:rFonts w:ascii="宋体" w:hAnsi="宋体" w:hint="eastAsia"/>
          <w:szCs w:val="21"/>
        </w:rPr>
        <w:t>评审专家一般是</w:t>
      </w:r>
      <w:r>
        <w:rPr>
          <w:rFonts w:ascii="宋体" w:hAnsi="宋体" w:hint="eastAsia"/>
        </w:rPr>
        <w:t>从深圳市政府采购评审专家库中随机抽取。采购人代表须持本单位签发的《评审授权书》参加评审。</w:t>
      </w:r>
    </w:p>
    <w:p>
      <w:pPr>
        <w:pStyle w:val="BodyText"/>
        <w:ind w:firstLine="420" w:firstLineChars="200"/>
      </w:pPr>
      <w:r>
        <w:rPr>
          <w:rFonts w:ascii="宋体" w:hAnsi="宋体" w:hint="eastAsia"/>
          <w:color w:val="FF0000"/>
          <w:sz w:val="21"/>
        </w:rPr>
        <w:t>根据财政部门要求，将食材、物业管理、清扫保洁、保安服务、家具、窗帘、园林绿化、社工服务、“城市管家”九类采购项目作为严管项目，实行“通用品目+专业品目”组合抽取制。严管项目的范围由市财政部门根据监管需要适时调整。上述所称专业品目是指，与项目采购标的相对应的品目，具体由采购人商采购代理机构根据项目需求自主确定。通用品目具体由会计、审计、法律、人力资源管理、资产评估、金融服务品目下的所有专家合并组成。专业品目下产生的专家人数占抽取总人数的比例不得超过50%（含本数），除此之外的专家均从通用品目库中随机抽取。注：论证专家抽取规则无需按此要求执行，具体严管项目的范围由市财政部门根据监管需要适时调整。</w:t>
      </w:r>
    </w:p>
    <w:p>
      <w:pPr>
        <w:ind w:firstLine="412" w:firstLineChars="196"/>
        <w:rPr>
          <w:rFonts w:ascii="宋体" w:hAnsi="宋体" w:hint="eastAsia"/>
        </w:rPr>
      </w:pPr>
      <w:r>
        <w:rPr>
          <w:rFonts w:ascii="宋体" w:hAnsi="宋体" w:hint="eastAsia"/>
        </w:rPr>
        <w:t>29.2评审定标应当遵循公平、公正、科学、择优的原则。</w:t>
      </w:r>
    </w:p>
    <w:p>
      <w:pPr>
        <w:ind w:firstLine="412" w:firstLineChars="196"/>
        <w:rPr>
          <w:rFonts w:ascii="宋体" w:hAnsi="宋体" w:hint="eastAsia"/>
        </w:rPr>
      </w:pPr>
      <w:r>
        <w:rPr>
          <w:rFonts w:ascii="宋体" w:hAnsi="宋体" w:hint="eastAsia"/>
        </w:rPr>
        <w:t>29.3评审活动依法进行，任何单位和个人不得非法干预评标过程和结果。</w:t>
      </w:r>
    </w:p>
    <w:p>
      <w:pPr>
        <w:ind w:firstLine="412" w:firstLineChars="196"/>
        <w:rPr>
          <w:rFonts w:ascii="宋体" w:hAnsi="宋体" w:hint="eastAsia"/>
        </w:rPr>
      </w:pPr>
      <w:r>
        <w:rPr>
          <w:rFonts w:ascii="宋体" w:hAnsi="宋体" w:hint="eastAsia"/>
        </w:rPr>
        <w:t>29.4评审过程中不允许违背评标程序或采用招标文件未载明的评标方法或评标因素进行评标。</w:t>
      </w:r>
    </w:p>
    <w:p>
      <w:pPr>
        <w:ind w:firstLine="412" w:firstLineChars="196"/>
        <w:rPr>
          <w:rFonts w:ascii="宋体" w:hAnsi="宋体" w:hint="eastAsia"/>
          <w:bCs/>
        </w:rPr>
      </w:pPr>
      <w:r>
        <w:rPr>
          <w:rFonts w:ascii="宋体" w:hAnsi="宋体" w:hint="eastAsia"/>
          <w:bCs/>
        </w:rPr>
        <w:t>29.5 开标后，直到签订合同为止，凡属于对投标文件的审查、澄清、评价和比较的有关资料以及中标候选人的推荐情况、与评审有关的其他任何情况均严格保密（</w:t>
      </w:r>
      <w:r>
        <w:rPr>
          <w:rFonts w:hint="eastAsia"/>
        </w:rPr>
        <w:t>信息公开的内容除外</w:t>
      </w:r>
      <w:r>
        <w:rPr>
          <w:rFonts w:ascii="宋体" w:hAnsi="宋体" w:hint="eastAsia"/>
          <w:bCs/>
        </w:rPr>
        <w:t>）。</w:t>
      </w:r>
    </w:p>
    <w:p>
      <w:pPr>
        <w:rPr>
          <w:rFonts w:ascii="黑体" w:eastAsia="黑体" w:hAnsi="宋体" w:hint="eastAsia"/>
          <w:sz w:val="24"/>
        </w:rPr>
      </w:pPr>
      <w:r>
        <w:rPr>
          <w:rFonts w:ascii="黑体" w:eastAsia="黑体" w:hAnsi="宋体" w:hint="eastAsia"/>
          <w:sz w:val="24"/>
        </w:rPr>
        <w:t>30．向评审委员会提供的资料</w:t>
      </w:r>
    </w:p>
    <w:p>
      <w:pPr>
        <w:ind w:firstLine="412" w:firstLineChars="196"/>
        <w:rPr>
          <w:rFonts w:ascii="宋体" w:hAnsi="宋体" w:hint="eastAsia"/>
        </w:rPr>
      </w:pPr>
      <w:r>
        <w:rPr>
          <w:rFonts w:ascii="宋体" w:hAnsi="宋体" w:hint="eastAsia"/>
        </w:rPr>
        <w:t>30.1公开发布的招标文件，包括图纸、服务清单、答疑文件等；</w:t>
      </w:r>
    </w:p>
    <w:p>
      <w:pPr>
        <w:ind w:firstLine="412" w:firstLineChars="196"/>
        <w:rPr>
          <w:rFonts w:ascii="宋体" w:hAnsi="宋体" w:hint="eastAsia"/>
        </w:rPr>
      </w:pPr>
      <w:r>
        <w:rPr>
          <w:rFonts w:ascii="宋体" w:hAnsi="宋体" w:hint="eastAsia"/>
        </w:rPr>
        <w:t>30.2其他评标必须的资料。</w:t>
      </w:r>
    </w:p>
    <w:p>
      <w:pPr>
        <w:ind w:firstLine="412" w:firstLineChars="196"/>
        <w:rPr>
          <w:rFonts w:ascii="宋体" w:hAnsi="宋体" w:hint="eastAsia"/>
        </w:rPr>
      </w:pPr>
      <w:r>
        <w:rPr>
          <w:rFonts w:ascii="宋体" w:hAnsi="宋体" w:hint="eastAsia"/>
        </w:rPr>
        <w:t>30.3</w:t>
      </w:r>
      <w:r>
        <w:rPr>
          <w:rFonts w:ascii="宋体" w:hAnsi="宋体" w:hint="eastAsia"/>
          <w:szCs w:val="21"/>
        </w:rPr>
        <w:t>评审委员会</w:t>
      </w:r>
      <w:r>
        <w:rPr>
          <w:rFonts w:ascii="宋体" w:hAnsi="宋体" w:hint="eastAsia"/>
        </w:rPr>
        <w:t>应当认真研究招标文件，至少应了解熟悉以下内容：</w:t>
      </w:r>
    </w:p>
    <w:p>
      <w:pPr>
        <w:ind w:firstLine="412" w:firstLineChars="196"/>
        <w:rPr>
          <w:rFonts w:ascii="宋体" w:hAnsi="宋体" w:hint="eastAsia"/>
        </w:rPr>
      </w:pPr>
      <w:r>
        <w:rPr>
          <w:rFonts w:ascii="宋体" w:hAnsi="宋体" w:hint="eastAsia"/>
        </w:rPr>
        <w:t>（1）招标的目的；</w:t>
      </w:r>
    </w:p>
    <w:p>
      <w:pPr>
        <w:ind w:firstLine="412" w:firstLineChars="196"/>
        <w:rPr>
          <w:rFonts w:ascii="宋体" w:hAnsi="宋体" w:hint="eastAsia"/>
        </w:rPr>
      </w:pPr>
      <w:r>
        <w:rPr>
          <w:rFonts w:ascii="宋体" w:hAnsi="宋体" w:hint="eastAsia"/>
        </w:rPr>
        <w:t>（2）招标项目需求的范围和性质；</w:t>
      </w:r>
    </w:p>
    <w:p>
      <w:pPr>
        <w:ind w:firstLine="412" w:firstLineChars="196"/>
        <w:rPr>
          <w:rFonts w:ascii="宋体" w:hAnsi="宋体" w:hint="eastAsia"/>
        </w:rPr>
      </w:pPr>
      <w:r>
        <w:rPr>
          <w:rFonts w:ascii="宋体" w:hAnsi="宋体" w:hint="eastAsia"/>
        </w:rPr>
        <w:t>（3）招标文件规定的投标人的资格、财政预算限额、商务条款；</w:t>
      </w:r>
    </w:p>
    <w:p>
      <w:pPr>
        <w:ind w:firstLine="412" w:firstLineChars="196"/>
        <w:rPr>
          <w:rFonts w:ascii="宋体" w:hAnsi="宋体" w:hint="eastAsia"/>
        </w:rPr>
      </w:pPr>
      <w:r>
        <w:rPr>
          <w:rFonts w:ascii="宋体" w:hAnsi="宋体" w:hint="eastAsia"/>
        </w:rPr>
        <w:t>（4）招标文件规定的评标程序、评标方法和评标因素；</w:t>
      </w:r>
    </w:p>
    <w:p>
      <w:pPr>
        <w:ind w:firstLine="412" w:firstLineChars="196"/>
        <w:rPr>
          <w:rFonts w:ascii="宋体" w:hAnsi="宋体" w:hint="eastAsia"/>
        </w:rPr>
      </w:pPr>
      <w:r>
        <w:rPr>
          <w:rFonts w:ascii="宋体" w:hAnsi="宋体" w:hint="eastAsia"/>
        </w:rPr>
        <w:t>（5）招标文件所列示的资格性审查表及符合性审查表。</w:t>
      </w:r>
    </w:p>
    <w:p>
      <w:pPr>
        <w:rPr>
          <w:rFonts w:ascii="黑体" w:eastAsia="黑体" w:hAnsi="宋体" w:hint="eastAsia"/>
          <w:sz w:val="24"/>
        </w:rPr>
      </w:pPr>
      <w:r>
        <w:rPr>
          <w:rFonts w:ascii="黑体" w:eastAsia="黑体" w:hAnsi="宋体" w:hint="eastAsia"/>
          <w:sz w:val="24"/>
        </w:rPr>
        <w:t>31．独立评审</w:t>
      </w:r>
    </w:p>
    <w:p>
      <w:pPr>
        <w:ind w:firstLine="412" w:firstLineChars="196"/>
        <w:rPr>
          <w:rFonts w:ascii="宋体" w:hAnsi="宋体" w:hint="eastAsia"/>
          <w:bCs/>
        </w:rPr>
      </w:pPr>
      <w:r>
        <w:rPr>
          <w:rFonts w:ascii="宋体" w:hAnsi="宋体" w:hint="eastAsia"/>
          <w:bCs/>
        </w:rPr>
        <w:t>3</w:t>
      </w:r>
      <w:r>
        <w:rPr>
          <w:rFonts w:ascii="宋体" w:hAnsi="宋体"/>
          <w:bCs/>
        </w:rPr>
        <w:t>1</w:t>
      </w:r>
      <w:r>
        <w:rPr>
          <w:rFonts w:ascii="宋体" w:hAnsi="宋体" w:hint="eastAsia"/>
          <w:bCs/>
        </w:rPr>
        <w:t>.1</w:t>
      </w:r>
      <w:r>
        <w:rPr>
          <w:rFonts w:ascii="宋体" w:hAnsi="宋体" w:hint="eastAsia"/>
          <w:szCs w:val="21"/>
        </w:rPr>
        <w:t>评审委员会</w:t>
      </w:r>
      <w:r>
        <w:rPr>
          <w:rFonts w:ascii="宋体" w:hAnsi="宋体" w:hint="eastAsia"/>
          <w:bCs/>
        </w:rPr>
        <w:t>成员的评标活动应当独立进行，并应遵循投标文件初审、澄清有关问题、比较与评价、确定中标供应商、编写评审报告的工作程序。</w:t>
      </w:r>
    </w:p>
    <w:p>
      <w:pPr>
        <w:ind w:firstLine="412" w:firstLineChars="196"/>
        <w:rPr>
          <w:rFonts w:ascii="宋体" w:hAnsi="宋体" w:hint="eastAsia"/>
          <w:bCs/>
          <w:szCs w:val="21"/>
        </w:rPr>
      </w:pPr>
    </w:p>
    <w:p>
      <w:pPr>
        <w:pStyle w:val="Heading2"/>
        <w:numPr>
          <w:ilvl w:val="0"/>
          <w:numId w:val="56"/>
        </w:numPr>
        <w:spacing w:before="120" w:beforeLines="50" w:after="120" w:afterLines="50"/>
        <w:ind w:left="562" w:hanging="562"/>
        <w:rPr>
          <w:rFonts w:hint="eastAsia"/>
          <w:sz w:val="28"/>
          <w:szCs w:val="28"/>
        </w:rPr>
      </w:pPr>
      <w:r>
        <w:rPr>
          <w:rFonts w:hint="eastAsia"/>
          <w:sz w:val="28"/>
          <w:szCs w:val="28"/>
        </w:rPr>
        <w:t>评审程序及评审方法</w:t>
      </w:r>
    </w:p>
    <w:p>
      <w:pPr>
        <w:rPr>
          <w:rFonts w:ascii="黑体" w:eastAsia="黑体" w:hAnsi="宋体" w:hint="eastAsia"/>
          <w:sz w:val="24"/>
        </w:rPr>
      </w:pPr>
      <w:r>
        <w:rPr>
          <w:rFonts w:ascii="黑体" w:eastAsia="黑体" w:hAnsi="宋体" w:hint="eastAsia"/>
          <w:sz w:val="24"/>
        </w:rPr>
        <w:t>32．投标文件初审</w:t>
      </w:r>
    </w:p>
    <w:p>
      <w:pPr>
        <w:ind w:firstLine="412" w:firstLineChars="196"/>
        <w:rPr>
          <w:rFonts w:ascii="宋体" w:hAnsi="宋体" w:hint="eastAsia"/>
        </w:rPr>
      </w:pPr>
      <w:r>
        <w:rPr>
          <w:rFonts w:ascii="宋体" w:hAnsi="宋体" w:hint="eastAsia"/>
        </w:rPr>
        <w:t>32.1投标文件初审包括资格性审查和符合性审查。</w:t>
      </w:r>
    </w:p>
    <w:p>
      <w:pPr>
        <w:ind w:firstLine="412" w:firstLineChars="196"/>
        <w:rPr>
          <w:rFonts w:ascii="宋体" w:hAnsi="宋体" w:hint="eastAsia"/>
        </w:rPr>
      </w:pPr>
      <w:r>
        <w:rPr>
          <w:rFonts w:ascii="宋体" w:hAnsi="宋体" w:hint="eastAsia"/>
        </w:rPr>
        <w:t>资格性审查：依据法律法规和招标文件的规定，对投标文件中的资格证明等进行审查，以确定投标供应商是否具备投标资格。</w:t>
      </w:r>
    </w:p>
    <w:p>
      <w:pPr>
        <w:ind w:firstLine="412" w:firstLineChars="196"/>
        <w:rPr>
          <w:rFonts w:ascii="宋体" w:hAnsi="宋体" w:hint="eastAsia"/>
        </w:rPr>
      </w:pPr>
      <w:r>
        <w:rPr>
          <w:rFonts w:ascii="宋体" w:hAnsi="宋体" w:hint="eastAsia"/>
        </w:rPr>
        <w:t>符合性审查：依据招标文件的规定，对投标文件的有效性、完整性和对招标文件的响应程度进行审查，以确定是否满足符合性审查的要求。</w:t>
      </w:r>
    </w:p>
    <w:p>
      <w:pPr>
        <w:ind w:firstLine="412" w:firstLineChars="196"/>
        <w:rPr>
          <w:rFonts w:ascii="宋体" w:hAnsi="宋体" w:hint="eastAsia"/>
        </w:rPr>
      </w:pPr>
      <w:r>
        <w:rPr>
          <w:rFonts w:ascii="宋体" w:hAnsi="宋体" w:hint="eastAsia"/>
        </w:rPr>
        <w:t>32.2 投标文件初审内容请详见《资格性审查表》和《符合性审查表》部分。投标人若有一条审查不通过则按投标无效处理。</w:t>
      </w:r>
    </w:p>
    <w:p>
      <w:pPr>
        <w:ind w:firstLine="412" w:firstLineChars="196"/>
        <w:rPr>
          <w:rFonts w:ascii="宋体" w:hAnsi="宋体" w:hint="eastAsia"/>
          <w:bCs/>
        </w:rPr>
      </w:pPr>
      <w:r>
        <w:rPr>
          <w:rFonts w:ascii="宋体" w:hAnsi="宋体" w:hint="eastAsia"/>
          <w:bCs/>
        </w:rPr>
        <w:t>32.3 投标文件初审中关于供应商家数的计算:</w:t>
      </w:r>
    </w:p>
    <w:p>
      <w:pPr>
        <w:ind w:firstLine="412" w:firstLineChars="196"/>
        <w:rPr>
          <w:rFonts w:ascii="宋体" w:hAnsi="宋体" w:hint="eastAsia"/>
          <w:bCs/>
        </w:rPr>
      </w:pPr>
      <w:r>
        <w:rPr>
          <w:rFonts w:ascii="宋体" w:hAnsi="宋体" w:hint="eastAsia"/>
          <w:bCs/>
        </w:rPr>
        <w:t>32.3.1采用最低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12" w:firstLineChars="196"/>
        <w:rPr>
          <w:rFonts w:ascii="宋体" w:hAnsi="宋体" w:hint="eastAsia"/>
          <w:bCs/>
        </w:rPr>
      </w:pPr>
      <w:r>
        <w:rPr>
          <w:rFonts w:ascii="宋体" w:hAnsi="宋体" w:hint="eastAsia"/>
          <w:bCs/>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hAnsi="宋体" w:hint="eastAsia"/>
          <w:bCs/>
          <w:szCs w:val="21"/>
        </w:rPr>
        <w:t>评审委员会</w:t>
      </w:r>
      <w:r>
        <w:rPr>
          <w:rFonts w:ascii="宋体" w:hAnsi="宋体" w:hint="eastAsia"/>
          <w:bCs/>
        </w:rPr>
        <w:t>按照招标文件规定的方式确定一个投标人获得中标人推荐资格，招标文件未规定的采取随机抽取方式确定，其他同品牌投标人不作为中标候选人。</w:t>
      </w:r>
    </w:p>
    <w:p>
      <w:pPr>
        <w:ind w:firstLine="412" w:firstLineChars="196"/>
        <w:rPr>
          <w:rFonts w:ascii="宋体" w:hAnsi="宋体" w:hint="eastAsia"/>
          <w:bCs/>
        </w:rPr>
      </w:pPr>
      <w:r>
        <w:rPr>
          <w:rFonts w:ascii="宋体" w:hAnsi="宋体" w:hint="eastAsia"/>
          <w:bCs/>
        </w:rPr>
        <w:t>32.3.3非单一产品采购项目，采购人应当根据采购项目技术构成、产品价格比重等合理确定核心产品，并在招标文件中载明。多家投标人提供的核心产品品牌相同的，按前两款规定处理。</w:t>
      </w:r>
    </w:p>
    <w:p>
      <w:pPr>
        <w:ind w:firstLine="412" w:firstLineChars="196"/>
        <w:rPr>
          <w:rFonts w:ascii="宋体" w:hAnsi="宋体" w:hint="eastAsia"/>
        </w:rPr>
      </w:pPr>
      <w:r>
        <w:rPr>
          <w:rFonts w:ascii="宋体" w:hAnsi="宋体" w:hint="eastAsia"/>
        </w:rPr>
        <w:t>32.4投标人投标文件作无效处理的情形，具体包括但不限于以下：</w:t>
      </w:r>
    </w:p>
    <w:p>
      <w:pPr>
        <w:ind w:firstLine="412" w:firstLineChars="196"/>
      </w:pPr>
      <w:r>
        <w:rPr>
          <w:rFonts w:ascii="宋体" w:hAnsi="宋体" w:hint="eastAsia"/>
        </w:rPr>
        <w:t>32.4.1</w:t>
      </w:r>
      <w:r>
        <w:rPr>
          <w:rFonts w:hint="eastAsia"/>
        </w:rPr>
        <w:t>不同投标人的投标文件由同一单位或者同一个人编制，或者由同一个人分阶段参与编制；</w:t>
      </w:r>
    </w:p>
    <w:p>
      <w:pPr>
        <w:ind w:firstLine="412" w:firstLineChars="196"/>
      </w:pPr>
      <w:r>
        <w:rPr>
          <w:rFonts w:ascii="宋体" w:hAnsi="宋体"/>
        </w:rPr>
        <w:t>32.4.</w:t>
      </w:r>
      <w:r>
        <w:rPr>
          <w:rFonts w:ascii="宋体" w:hAnsi="宋体" w:hint="eastAsia"/>
        </w:rPr>
        <w:t>2</w:t>
      </w:r>
      <w:r>
        <w:rPr>
          <w:rFonts w:hint="eastAsia"/>
        </w:rPr>
        <w:t>不同投标人委托同一单位或者个人办理投标事宜；</w:t>
      </w:r>
    </w:p>
    <w:p>
      <w:pPr>
        <w:ind w:firstLine="412" w:firstLineChars="196"/>
        <w:rPr>
          <w:rFonts w:ascii="宋体" w:hAnsi="宋体" w:hint="eastAsia"/>
        </w:rPr>
      </w:pPr>
      <w:r>
        <w:rPr>
          <w:rFonts w:ascii="宋体" w:hAnsi="宋体" w:hint="eastAsia"/>
        </w:rPr>
        <w:t>32.4.3不同投标人的投标文件载明的项目管理成员或者联系人员为同一人；</w:t>
      </w:r>
    </w:p>
    <w:p>
      <w:pPr>
        <w:ind w:firstLine="412" w:firstLineChars="196"/>
        <w:rPr>
          <w:rFonts w:ascii="宋体" w:hAnsi="宋体" w:hint="eastAsia"/>
        </w:rPr>
      </w:pPr>
      <w:r>
        <w:rPr>
          <w:rFonts w:ascii="宋体" w:hAnsi="宋体" w:hint="eastAsia"/>
        </w:rPr>
        <w:t>32.4.4不同投标人的投标文件异常一致或者投标报价呈规律性差异；</w:t>
      </w:r>
    </w:p>
    <w:p>
      <w:pPr>
        <w:ind w:firstLine="412" w:firstLineChars="196"/>
        <w:rPr>
          <w:rFonts w:ascii="宋体" w:hAnsi="宋体" w:hint="eastAsia"/>
        </w:rPr>
      </w:pPr>
      <w:r>
        <w:rPr>
          <w:rFonts w:ascii="宋体" w:hAnsi="宋体" w:hint="eastAsia"/>
        </w:rPr>
        <w:t>32.4.5</w:t>
      </w:r>
      <w:r>
        <w:rPr>
          <w:rFonts w:ascii="宋体" w:hAnsi="宋体"/>
        </w:rPr>
        <w:t>不同投标供应商的投标文件或部分投标文件相互混装</w:t>
      </w:r>
      <w:r>
        <w:rPr>
          <w:rFonts w:ascii="宋体" w:hAnsi="宋体" w:hint="eastAsia"/>
        </w:rPr>
        <w:t>；</w:t>
      </w:r>
    </w:p>
    <w:p>
      <w:pPr>
        <w:ind w:firstLine="412" w:firstLineChars="196"/>
        <w:rPr>
          <w:rFonts w:ascii="宋体" w:hAnsi="宋体" w:hint="eastAsia"/>
        </w:rPr>
      </w:pPr>
      <w:r>
        <w:rPr>
          <w:rFonts w:ascii="宋体" w:hAnsi="宋体" w:hint="eastAsia"/>
        </w:rPr>
        <w:t>32.4.6投标供应商之间相互约定给予未中标的供应商利益补偿；</w:t>
      </w:r>
    </w:p>
    <w:p>
      <w:pPr>
        <w:ind w:firstLine="412" w:firstLineChars="196"/>
        <w:rPr>
          <w:rFonts w:ascii="宋体" w:hAnsi="宋体" w:hint="eastAsia"/>
        </w:rPr>
      </w:pPr>
      <w:r>
        <w:rPr>
          <w:rFonts w:ascii="宋体" w:hAnsi="宋体" w:hint="eastAsia"/>
        </w:rPr>
        <w:t>32.4.7不同投标供应商的法定代表人、主要经营负责人、项目投标授权代表人、项目负责人、主要技术人员为同一人、属同一单位或者同一单位缴纳社会保险；</w:t>
      </w:r>
    </w:p>
    <w:p>
      <w:pPr>
        <w:ind w:firstLine="412" w:firstLineChars="196"/>
        <w:rPr>
          <w:rFonts w:ascii="宋体" w:hAnsi="宋体" w:hint="eastAsia"/>
        </w:rPr>
      </w:pPr>
      <w:r>
        <w:rPr>
          <w:rFonts w:ascii="宋体" w:hAnsi="宋体" w:hint="eastAsia"/>
        </w:rPr>
        <w:t>32.4.8不同投标供应商的投标文件内容存在非正常一致；</w:t>
      </w:r>
    </w:p>
    <w:p>
      <w:pPr>
        <w:ind w:firstLine="412" w:firstLineChars="196"/>
        <w:rPr>
          <w:rFonts w:ascii="宋体" w:hAnsi="宋体" w:hint="eastAsia"/>
        </w:rPr>
      </w:pPr>
      <w:r>
        <w:rPr>
          <w:rFonts w:ascii="宋体" w:hAnsi="宋体" w:hint="eastAsia"/>
        </w:rPr>
        <w:t>32.4.9在同一单位工作人员为两家以上（含两家）供应商进行同一项投标活动；</w:t>
      </w:r>
    </w:p>
    <w:p>
      <w:pPr>
        <w:ind w:firstLine="412" w:firstLineChars="196"/>
        <w:rPr>
          <w:rFonts w:ascii="宋体" w:hAnsi="宋体" w:hint="eastAsia"/>
        </w:rPr>
      </w:pPr>
      <w:r>
        <w:rPr>
          <w:rFonts w:ascii="宋体" w:hAnsi="宋体" w:hint="eastAsia"/>
        </w:rPr>
        <w:t>32.4.10主管部门依照法律、法规认定的其他情形。</w:t>
      </w:r>
    </w:p>
    <w:p>
      <w:pPr>
        <w:ind w:firstLine="412" w:firstLineChars="196"/>
        <w:rPr>
          <w:rFonts w:ascii="宋体" w:hAnsi="宋体" w:hint="eastAsia"/>
        </w:rPr>
      </w:pPr>
      <w:r>
        <w:rPr>
          <w:rFonts w:ascii="宋体" w:hAnsi="宋体" w:hint="eastAsia"/>
        </w:rPr>
        <w:t>32.5对不属于《资格性审查表》和《符合性审查表》所列的其他情形，除专用条款另有规定和32.4条款所列情形外，不得作为投标无效的理由。</w:t>
      </w:r>
    </w:p>
    <w:p>
      <w:pPr>
        <w:rPr>
          <w:rFonts w:ascii="黑体" w:eastAsia="黑体" w:hAnsi="宋体" w:hint="eastAsia"/>
          <w:sz w:val="24"/>
        </w:rPr>
      </w:pPr>
      <w:r>
        <w:rPr>
          <w:rFonts w:ascii="黑体" w:eastAsia="黑体" w:hAnsi="宋体" w:hint="eastAsia"/>
          <w:sz w:val="24"/>
        </w:rPr>
        <w:t>33．澄清有关问题</w:t>
      </w:r>
    </w:p>
    <w:p>
      <w:pPr>
        <w:ind w:firstLine="412" w:firstLineChars="196"/>
        <w:rPr>
          <w:rFonts w:ascii="宋体" w:hAnsi="宋体" w:hint="eastAsia"/>
        </w:rPr>
      </w:pPr>
      <w:bookmarkStart w:id="73" w:name="_Hlk71407321"/>
      <w:r>
        <w:rPr>
          <w:rFonts w:ascii="宋体" w:hAnsi="宋体" w:hint="eastAsia"/>
        </w:rPr>
        <w:t>3</w:t>
      </w:r>
      <w:r>
        <w:rPr>
          <w:rFonts w:ascii="宋体" w:hAnsi="宋体"/>
        </w:rPr>
        <w:t>3.1</w:t>
      </w:r>
      <w:r>
        <w:rPr>
          <w:rFonts w:ascii="宋体" w:hAnsi="宋体" w:hint="eastAsia"/>
        </w:rPr>
        <w:t>对招标文件中描述有歧义或前后不一致的地方（不含</w:t>
      </w:r>
      <w:r>
        <w:rPr>
          <w:szCs w:val="21"/>
        </w:rPr>
        <w:t>招标文件存在歧义、重大缺陷导致评</w:t>
      </w:r>
      <w:r>
        <w:rPr>
          <w:rFonts w:hint="eastAsia"/>
          <w:szCs w:val="21"/>
        </w:rPr>
        <w:t>审</w:t>
      </w:r>
      <w:r>
        <w:rPr>
          <w:szCs w:val="21"/>
        </w:rPr>
        <w:t>工作无法进行</w:t>
      </w:r>
      <w:r>
        <w:rPr>
          <w:rFonts w:hint="eastAsia"/>
          <w:szCs w:val="21"/>
        </w:rPr>
        <w:t>的情况）</w:t>
      </w:r>
      <w:r>
        <w:rPr>
          <w:rFonts w:ascii="宋体" w:hAnsi="宋体" w:hint="eastAsia"/>
        </w:rPr>
        <w:t>，评审委员会有权进行评判，但对同一条款的评判应适用于每个投标人。</w:t>
      </w:r>
      <w:bookmarkEnd w:id="73"/>
    </w:p>
    <w:p>
      <w:pPr>
        <w:ind w:firstLine="412" w:firstLineChars="196"/>
        <w:rPr>
          <w:rFonts w:ascii="宋体" w:hAnsi="宋体" w:hint="eastAsia"/>
        </w:rPr>
      </w:pPr>
      <w:r>
        <w:rPr>
          <w:rFonts w:ascii="宋体" w:hAnsi="宋体" w:hint="eastAsia"/>
        </w:rPr>
        <w:t>3</w:t>
      </w:r>
      <w:r>
        <w:rPr>
          <w:rFonts w:ascii="宋体" w:hAnsi="宋体"/>
        </w:rPr>
        <w:t>3.2</w:t>
      </w:r>
      <w:r>
        <w:rPr>
          <w:szCs w:val="21"/>
        </w:rPr>
        <w:t>评</w:t>
      </w:r>
      <w:r>
        <w:rPr>
          <w:rFonts w:hint="eastAsia"/>
          <w:szCs w:val="21"/>
        </w:rPr>
        <w:t>审</w:t>
      </w:r>
      <w:r>
        <w:rPr>
          <w:szCs w:val="21"/>
        </w:rPr>
        <w:t>委员会发现招标文件存在歧义、重大缺陷导致评</w:t>
      </w:r>
      <w:r>
        <w:rPr>
          <w:rFonts w:hint="eastAsia"/>
          <w:szCs w:val="21"/>
        </w:rPr>
        <w:t>审</w:t>
      </w:r>
      <w:r>
        <w:rPr>
          <w:szCs w:val="21"/>
        </w:rPr>
        <w:t>工作无法进行，或者招标文件内容违反国家有关强制性规定的，应当停止评</w:t>
      </w:r>
      <w:r>
        <w:rPr>
          <w:rFonts w:hint="eastAsia"/>
          <w:szCs w:val="21"/>
        </w:rPr>
        <w:t>审</w:t>
      </w:r>
      <w:r>
        <w:rPr>
          <w:szCs w:val="21"/>
        </w:rPr>
        <w:t>工作，与</w:t>
      </w:r>
      <w:r>
        <w:rPr>
          <w:rFonts w:hint="eastAsia"/>
          <w:szCs w:val="21"/>
        </w:rPr>
        <w:t>政府集中采购机构</w:t>
      </w:r>
      <w:r>
        <w:rPr>
          <w:szCs w:val="21"/>
        </w:rPr>
        <w:t>沟通并作书面记录。</w:t>
      </w:r>
      <w:r>
        <w:rPr>
          <w:rFonts w:hint="eastAsia"/>
          <w:szCs w:val="21"/>
        </w:rPr>
        <w:t>经</w:t>
      </w:r>
      <w:r>
        <w:rPr>
          <w:szCs w:val="21"/>
        </w:rPr>
        <w:t>确认后，</w:t>
      </w:r>
      <w:r>
        <w:rPr>
          <w:rFonts w:hint="eastAsia"/>
          <w:szCs w:val="21"/>
        </w:rPr>
        <w:t>项目</w:t>
      </w:r>
      <w:r>
        <w:rPr>
          <w:szCs w:val="21"/>
        </w:rPr>
        <w:t>应当修改招标文件，重新组织采购活动。</w:t>
      </w:r>
    </w:p>
    <w:p>
      <w:pPr>
        <w:ind w:firstLine="412" w:firstLineChars="196"/>
        <w:rPr>
          <w:rFonts w:ascii="宋体" w:hAnsi="宋体" w:hint="eastAsia"/>
        </w:rPr>
      </w:pPr>
      <w:r>
        <w:rPr>
          <w:rFonts w:ascii="宋体" w:hAnsi="宋体"/>
        </w:rPr>
        <w:t>33.3</w:t>
      </w:r>
      <w:r>
        <w:rPr>
          <w:rFonts w:ascii="宋体" w:hAnsi="宋体" w:hint="eastAsia"/>
        </w:rPr>
        <w:t>对于投标文件中含义不明确、同类问题表述不一致或者有明显文字和计算错误的内容，评审委员会应当以书面形式要求投标人作出必要的澄清、说明或者补正。</w:t>
      </w:r>
    </w:p>
    <w:p>
      <w:pPr>
        <w:ind w:firstLine="412" w:firstLineChars="196"/>
        <w:rPr>
          <w:rFonts w:ascii="宋体" w:hAnsi="宋体" w:hint="eastAsia"/>
        </w:rPr>
      </w:pPr>
      <w:r>
        <w:rPr>
          <w:rFonts w:ascii="宋体" w:hAnsi="宋体" w:hint="eastAsia"/>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12" w:firstLineChars="196"/>
        <w:rPr>
          <w:rFonts w:ascii="宋体" w:hAnsi="宋体" w:hint="eastAsia"/>
          <w:szCs w:val="21"/>
        </w:rPr>
      </w:pPr>
      <w:r>
        <w:rPr>
          <w:rFonts w:ascii="宋体" w:hAnsi="宋体" w:hint="eastAsia"/>
          <w:szCs w:val="21"/>
        </w:rPr>
        <w:t>根据本通用条款第34条，凡属于评审委员会在评审中发现的算术错误进行核实的修改不在此列。</w:t>
      </w:r>
    </w:p>
    <w:p>
      <w:pPr>
        <w:rPr>
          <w:rFonts w:ascii="黑体" w:eastAsia="黑体" w:hAnsi="宋体" w:hint="eastAsia"/>
          <w:sz w:val="24"/>
        </w:rPr>
      </w:pPr>
      <w:bookmarkStart w:id="74" w:name="_Toc100052400"/>
      <w:bookmarkStart w:id="75" w:name="_Toc73521581"/>
      <w:bookmarkStart w:id="76" w:name="_Toc73518151"/>
      <w:bookmarkStart w:id="77" w:name="_Toc73517673"/>
      <w:bookmarkStart w:id="78" w:name="_Toc73521669"/>
      <w:r>
        <w:rPr>
          <w:rFonts w:ascii="黑体" w:eastAsia="黑体" w:hAnsi="宋体" w:hint="eastAsia"/>
          <w:sz w:val="24"/>
        </w:rPr>
        <w:t>34．错误的修正</w:t>
      </w:r>
      <w:bookmarkEnd w:id="74"/>
      <w:bookmarkEnd w:id="75"/>
      <w:bookmarkEnd w:id="76"/>
      <w:bookmarkEnd w:id="77"/>
      <w:bookmarkEnd w:id="78"/>
    </w:p>
    <w:p>
      <w:pPr>
        <w:ind w:firstLine="412" w:firstLineChars="196"/>
        <w:rPr>
          <w:rFonts w:ascii="宋体" w:hAnsi="宋体" w:hint="eastAsia"/>
          <w:szCs w:val="21"/>
        </w:rPr>
      </w:pPr>
      <w:r>
        <w:rPr>
          <w:rFonts w:ascii="宋体" w:hAnsi="宋体" w:hint="eastAsia"/>
          <w:szCs w:val="21"/>
        </w:rPr>
        <w:t>投标文件报价出现前后不一致的，除专用条款另有规定外，按照下列规定修正：</w:t>
      </w:r>
    </w:p>
    <w:p>
      <w:pPr>
        <w:ind w:firstLine="412" w:firstLineChars="196"/>
        <w:rPr>
          <w:rFonts w:ascii="宋体" w:hAnsi="宋体" w:hint="eastAsia"/>
          <w:szCs w:val="21"/>
        </w:rPr>
      </w:pPr>
      <w:r>
        <w:rPr>
          <w:rFonts w:ascii="宋体" w:hAnsi="宋体" w:hint="eastAsia"/>
          <w:szCs w:val="21"/>
        </w:rPr>
        <w:t>34.1投标文件中开标一览表投标报价内容与投标文件中投标报价相应内容不一致的，以开标一览表为准；</w:t>
      </w:r>
    </w:p>
    <w:p>
      <w:pPr>
        <w:ind w:firstLine="412" w:firstLineChars="196"/>
        <w:rPr>
          <w:rFonts w:ascii="宋体" w:hAnsi="宋体" w:hint="eastAsia"/>
          <w:szCs w:val="21"/>
        </w:rPr>
      </w:pPr>
      <w:r>
        <w:rPr>
          <w:rFonts w:ascii="宋体" w:hAnsi="宋体" w:hint="eastAsia"/>
          <w:szCs w:val="21"/>
        </w:rPr>
        <w:t>34.2大写金额和小写金额不一致的，以大写金额为准；</w:t>
      </w:r>
    </w:p>
    <w:p>
      <w:pPr>
        <w:ind w:firstLine="412" w:firstLineChars="196"/>
        <w:rPr>
          <w:rFonts w:ascii="宋体" w:hAnsi="宋体" w:hint="eastAsia"/>
          <w:szCs w:val="21"/>
        </w:rPr>
      </w:pPr>
      <w:r>
        <w:rPr>
          <w:rFonts w:ascii="宋体" w:hAnsi="宋体" w:hint="eastAsia"/>
          <w:szCs w:val="21"/>
        </w:rPr>
        <w:t>34.3单价金额小数点或者百分比有明显错位，以开标一览表的总价为准，并修改单价；</w:t>
      </w:r>
    </w:p>
    <w:p>
      <w:pPr>
        <w:ind w:firstLine="412" w:firstLineChars="196"/>
        <w:rPr>
          <w:rFonts w:ascii="宋体" w:hAnsi="宋体" w:hint="eastAsia"/>
          <w:szCs w:val="21"/>
        </w:rPr>
      </w:pPr>
      <w:r>
        <w:rPr>
          <w:rFonts w:ascii="宋体" w:hAnsi="宋体" w:hint="eastAsia"/>
          <w:szCs w:val="21"/>
        </w:rPr>
        <w:t>34.4总价金额与按单价汇总金额不一致的，以单价金额计算结果为准。</w:t>
      </w:r>
    </w:p>
    <w:p>
      <w:pPr>
        <w:ind w:firstLine="412" w:firstLineChars="196"/>
        <w:rPr>
          <w:rFonts w:ascii="宋体" w:hAnsi="宋体" w:hint="eastAsia"/>
          <w:szCs w:val="21"/>
        </w:rPr>
      </w:pPr>
      <w:r>
        <w:rPr>
          <w:rFonts w:ascii="宋体" w:hAnsi="宋体" w:hint="eastAsia"/>
          <w:szCs w:val="21"/>
        </w:rPr>
        <w:t>34.5同时出现两种以上不一致的，按照前款规定的顺序修正。修正后的报价按照本通用条款33条的规定，经投标人确认后产生约束力，投标人不确认的，其投标无效。</w:t>
      </w:r>
    </w:p>
    <w:p>
      <w:pPr>
        <w:rPr>
          <w:rFonts w:ascii="黑体" w:eastAsia="黑体" w:hAnsi="宋体" w:hint="eastAsia"/>
          <w:sz w:val="24"/>
        </w:rPr>
      </w:pPr>
      <w:r>
        <w:rPr>
          <w:rFonts w:ascii="黑体" w:eastAsia="黑体" w:hAnsi="宋体" w:hint="eastAsia"/>
          <w:sz w:val="24"/>
        </w:rPr>
        <w:t>35．投标文件的比较与评价</w:t>
      </w:r>
    </w:p>
    <w:p>
      <w:pPr>
        <w:ind w:firstLine="412" w:firstLineChars="196"/>
        <w:rPr>
          <w:rFonts w:ascii="宋体" w:hAnsi="宋体" w:hint="eastAsia"/>
          <w:szCs w:val="21"/>
        </w:rPr>
      </w:pPr>
      <w:r>
        <w:rPr>
          <w:rFonts w:ascii="宋体" w:hAnsi="宋体" w:hint="eastAsia"/>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12" w:firstLineChars="196"/>
        <w:rPr>
          <w:rFonts w:ascii="宋体" w:hAnsi="宋体" w:hint="eastAsia"/>
          <w:szCs w:val="21"/>
        </w:rPr>
      </w:pPr>
      <w:r>
        <w:rPr>
          <w:rFonts w:ascii="宋体" w:hAnsi="宋体" w:hint="eastAsia"/>
          <w:szCs w:val="21"/>
        </w:rPr>
        <w:t>评审委员会成员对需要共同认定的事项存在争议的，应当按照少数服从多数的原则作出结论。持不同意见的评审委员会成员应当书面作出说明，否则视为无异议。</w:t>
      </w:r>
    </w:p>
    <w:p>
      <w:pPr>
        <w:rPr>
          <w:rFonts w:ascii="黑体" w:eastAsia="黑体" w:hAnsi="宋体" w:hint="eastAsia"/>
          <w:sz w:val="24"/>
        </w:rPr>
      </w:pPr>
      <w:r>
        <w:rPr>
          <w:rFonts w:ascii="黑体" w:eastAsia="黑体" w:hAnsi="宋体" w:hint="eastAsia"/>
          <w:sz w:val="24"/>
        </w:rPr>
        <w:t>36. 实地考察</w:t>
      </w:r>
    </w:p>
    <w:p>
      <w:pPr>
        <w:ind w:firstLine="412" w:firstLineChars="196"/>
        <w:rPr>
          <w:rFonts w:ascii="宋体" w:hAnsi="宋体" w:hint="eastAsia"/>
          <w:szCs w:val="21"/>
        </w:rPr>
      </w:pPr>
      <w:r>
        <w:rPr>
          <w:rFonts w:ascii="宋体" w:hAnsi="宋体" w:hint="eastAsia"/>
          <w:szCs w:val="21"/>
        </w:rPr>
        <w:t>36.1在评审期间，评审委员会根据招标文件规定（详见“一、对通用条款的补充内容”），有权对本项目的投标人开展实地考察，投标人需时刻做好接收实地考察的准备。</w:t>
      </w:r>
    </w:p>
    <w:p>
      <w:pPr>
        <w:rPr>
          <w:rFonts w:ascii="黑体" w:eastAsia="黑体" w:hAnsi="宋体" w:hint="eastAsia"/>
          <w:sz w:val="24"/>
        </w:rPr>
      </w:pPr>
      <w:r>
        <w:rPr>
          <w:rFonts w:ascii="黑体" w:eastAsia="黑体" w:hAnsi="宋体" w:hint="eastAsia"/>
          <w:sz w:val="24"/>
        </w:rPr>
        <w:t>37．评审方法</w:t>
      </w:r>
    </w:p>
    <w:p>
      <w:pPr>
        <w:ind w:firstLine="412" w:firstLineChars="196"/>
        <w:rPr>
          <w:rFonts w:ascii="宋体" w:hAnsi="宋体" w:hint="eastAsia"/>
          <w:b/>
          <w:bCs/>
          <w:szCs w:val="21"/>
        </w:rPr>
      </w:pPr>
      <w:r>
        <w:rPr>
          <w:rFonts w:ascii="宋体" w:hAnsi="宋体" w:hint="eastAsia"/>
          <w:b/>
          <w:bCs/>
          <w:szCs w:val="21"/>
        </w:rPr>
        <w:t>37.1.1最低价法</w:t>
      </w:r>
    </w:p>
    <w:p>
      <w:pPr>
        <w:ind w:firstLine="412" w:firstLineChars="196"/>
        <w:rPr>
          <w:rFonts w:ascii="ˎ̥" w:hAnsi="ˎ̥" w:hint="eastAsia"/>
        </w:rPr>
      </w:pPr>
      <w:bookmarkStart w:id="79" w:name="_Hlk72438142"/>
      <w:r>
        <w:rPr>
          <w:rFonts w:ascii="ˎ̥" w:hAnsi="ˎ̥"/>
        </w:rPr>
        <w:t>最低价法，是指</w:t>
      </w:r>
      <w:r>
        <w:rPr>
          <w:rFonts w:ascii="ˎ̥" w:hAnsi="ˎ̥" w:hint="eastAsia"/>
        </w:rPr>
        <w:t>完全</w:t>
      </w:r>
      <w:r>
        <w:rPr>
          <w:rFonts w:ascii="ˎ̥" w:hAnsi="ˎ̥"/>
        </w:rPr>
        <w:t>满足招标文件实质性要求，</w:t>
      </w:r>
      <w:r>
        <w:rPr>
          <w:rFonts w:ascii="ˎ̥" w:hAnsi="ˎ̥" w:hint="eastAsia"/>
        </w:rPr>
        <w:t>按照报价由低到高的顺序，依据招标文件中规定的数量或者比例推荐候选中标供应商。</w:t>
      </w:r>
    </w:p>
    <w:p>
      <w:pPr>
        <w:ind w:firstLine="412" w:firstLineChars="196"/>
        <w:rPr>
          <w:rFonts w:ascii="宋体" w:hAnsi="宋体" w:hint="eastAsia"/>
          <w:b/>
          <w:bCs/>
          <w:szCs w:val="21"/>
        </w:rPr>
      </w:pPr>
      <w:r>
        <w:rPr>
          <w:rFonts w:ascii="宋体" w:hAnsi="宋体" w:hint="eastAsia"/>
          <w:b/>
          <w:bCs/>
          <w:szCs w:val="21"/>
        </w:rPr>
        <w:t>37.1.2综合评分法</w:t>
      </w:r>
    </w:p>
    <w:p>
      <w:pPr>
        <w:ind w:firstLine="412" w:firstLineChars="196"/>
        <w:rPr>
          <w:rFonts w:ascii="ˎ̥" w:hAnsi="ˎ̥" w:hint="eastAsia"/>
        </w:rPr>
      </w:pPr>
      <w:r>
        <w:rPr>
          <w:rFonts w:ascii="ˎ̥" w:hAnsi="ˎ̥"/>
        </w:rPr>
        <w:t>综合评分法，是指</w:t>
      </w:r>
      <w:r>
        <w:rPr>
          <w:rFonts w:ascii="ˎ̥" w:hAnsi="ˎ̥" w:hint="eastAsia"/>
        </w:rPr>
        <w:t>在</w:t>
      </w:r>
      <w:r>
        <w:rPr>
          <w:rFonts w:ascii="ˎ̥" w:hAnsi="ˎ̥"/>
        </w:rPr>
        <w:t>满足招标文件全部实质性要求</w:t>
      </w:r>
      <w:r>
        <w:rPr>
          <w:rFonts w:ascii="ˎ̥" w:hAnsi="ˎ̥" w:hint="eastAsia"/>
        </w:rPr>
        <w:t>的前提下</w:t>
      </w:r>
      <w:r>
        <w:rPr>
          <w:rFonts w:ascii="ˎ̥" w:hAnsi="ˎ̥"/>
        </w:rPr>
        <w:t>，</w:t>
      </w:r>
      <w:r>
        <w:rPr>
          <w:rFonts w:ascii="ˎ̥" w:hAnsi="ˎ̥" w:hint="eastAsia"/>
        </w:rPr>
        <w:t>按照招标文件中规定的各项因素进行综合评审，评审总得分排名前列的投标人，作为推荐的候选中标供应商。</w:t>
      </w:r>
      <w:bookmarkEnd w:id="79"/>
    </w:p>
    <w:p>
      <w:pPr>
        <w:ind w:firstLine="412" w:firstLineChars="196"/>
        <w:rPr>
          <w:rFonts w:ascii="宋体" w:hAnsi="宋体" w:hint="eastAsia"/>
          <w:b/>
          <w:bCs/>
          <w:szCs w:val="21"/>
        </w:rPr>
      </w:pPr>
      <w:r>
        <w:rPr>
          <w:rFonts w:ascii="ˎ̥" w:hAnsi="ˎ̥" w:hint="eastAsia"/>
        </w:rPr>
        <w:t>3</w:t>
      </w:r>
      <w:r>
        <w:rPr>
          <w:rFonts w:ascii="宋体" w:hAnsi="宋体" w:hint="eastAsia"/>
          <w:b/>
          <w:bCs/>
          <w:szCs w:val="21"/>
        </w:rPr>
        <w:t>7.2 本项目采用的评审方法见本项目招标文件第一册“专用条款”的相关内容。</w:t>
      </w:r>
    </w:p>
    <w:p>
      <w:pPr>
        <w:ind w:firstLine="412" w:firstLineChars="196"/>
        <w:rPr>
          <w:rFonts w:ascii="宋体" w:hAnsi="宋体" w:hint="eastAsia"/>
          <w:b/>
          <w:bCs/>
          <w:szCs w:val="21"/>
        </w:rPr>
      </w:pPr>
      <w:r>
        <w:rPr>
          <w:rFonts w:ascii="宋体" w:hAnsi="宋体" w:hint="eastAsia"/>
          <w:b/>
          <w:bCs/>
          <w:szCs w:val="21"/>
        </w:rPr>
        <w:t>37.3重新评审的情形</w:t>
      </w:r>
    </w:p>
    <w:p>
      <w:pPr>
        <w:ind w:firstLine="412" w:firstLineChars="196"/>
        <w:rPr>
          <w:rFonts w:ascii="宋体" w:hAnsi="宋体" w:hint="eastAsia"/>
          <w:b/>
          <w:bCs/>
          <w:szCs w:val="21"/>
        </w:rPr>
      </w:pPr>
      <w:r>
        <w:rPr>
          <w:rFonts w:ascii="宋体" w:hAnsi="宋体" w:cs="宋体" w:hint="eastAsia"/>
          <w:kern w:val="0"/>
          <w:szCs w:val="21"/>
        </w:rPr>
        <w:t>评审结果汇总完成后，除下列情形外，任何人不得修改评审结果：</w:t>
      </w:r>
    </w:p>
    <w:p>
      <w:pPr>
        <w:ind w:firstLine="412" w:firstLineChars="196"/>
        <w:rPr>
          <w:rFonts w:ascii="宋体" w:hAnsi="宋体" w:cs="宋体" w:hint="eastAsia"/>
          <w:kern w:val="0"/>
          <w:szCs w:val="21"/>
        </w:rPr>
      </w:pPr>
      <w:r>
        <w:rPr>
          <w:rFonts w:ascii="宋体" w:hAnsi="宋体" w:cs="宋体" w:hint="eastAsia"/>
          <w:kern w:val="0"/>
          <w:szCs w:val="21"/>
        </w:rPr>
        <w:t>37.3.1分值汇总计算错误的；</w:t>
      </w:r>
    </w:p>
    <w:p>
      <w:pPr>
        <w:ind w:firstLine="412" w:firstLineChars="196"/>
        <w:rPr>
          <w:rFonts w:ascii="宋体" w:hAnsi="宋体" w:cs="宋体" w:hint="eastAsia"/>
          <w:kern w:val="0"/>
          <w:szCs w:val="21"/>
        </w:rPr>
      </w:pPr>
      <w:r>
        <w:rPr>
          <w:rFonts w:ascii="宋体" w:hAnsi="宋体" w:cs="宋体" w:hint="eastAsia"/>
          <w:kern w:val="0"/>
          <w:szCs w:val="21"/>
        </w:rPr>
        <w:t>37.3.2分项评分超出评分标准范围的；</w:t>
      </w:r>
    </w:p>
    <w:p>
      <w:pPr>
        <w:ind w:firstLine="412" w:firstLineChars="196"/>
        <w:rPr>
          <w:rFonts w:ascii="宋体" w:hAnsi="宋体" w:cs="宋体" w:hint="eastAsia"/>
          <w:kern w:val="0"/>
          <w:szCs w:val="21"/>
        </w:rPr>
      </w:pPr>
      <w:r>
        <w:rPr>
          <w:rFonts w:ascii="宋体" w:hAnsi="宋体" w:cs="宋体" w:hint="eastAsia"/>
          <w:kern w:val="0"/>
          <w:szCs w:val="21"/>
        </w:rPr>
        <w:t>37.3.3评审委员会成员对客观评审因素评分不一致的；</w:t>
      </w:r>
    </w:p>
    <w:p>
      <w:pPr>
        <w:ind w:firstLine="412" w:firstLineChars="196"/>
        <w:rPr>
          <w:rFonts w:ascii="宋体" w:hAnsi="宋体" w:cs="宋体" w:hint="eastAsia"/>
          <w:kern w:val="0"/>
          <w:szCs w:val="21"/>
        </w:rPr>
      </w:pPr>
      <w:r>
        <w:rPr>
          <w:rFonts w:ascii="宋体" w:hAnsi="宋体" w:cs="宋体" w:hint="eastAsia"/>
          <w:kern w:val="0"/>
          <w:szCs w:val="21"/>
        </w:rPr>
        <w:t>37.3.4经评审委员会认定评分畸高、畸低的。</w:t>
      </w:r>
    </w:p>
    <w:p>
      <w:pPr>
        <w:ind w:firstLine="412" w:firstLineChars="196"/>
        <w:rPr>
          <w:rFonts w:ascii="宋体" w:hAnsi="宋体" w:cs="宋体" w:hint="eastAsia"/>
          <w:kern w:val="0"/>
          <w:szCs w:val="21"/>
        </w:rPr>
      </w:pPr>
      <w:r>
        <w:rPr>
          <w:rFonts w:ascii="宋体" w:hAnsi="宋体" w:cs="宋体" w:hint="eastAsia"/>
          <w:kern w:val="0"/>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12" w:firstLineChars="196"/>
        <w:rPr>
          <w:rFonts w:ascii="宋体" w:hAnsi="宋体" w:cs="宋体" w:hint="eastAsia"/>
          <w:kern w:val="0"/>
          <w:szCs w:val="21"/>
        </w:rPr>
      </w:pPr>
      <w:r>
        <w:rPr>
          <w:rFonts w:ascii="宋体" w:hAnsi="宋体" w:cs="宋体" w:hint="eastAsia"/>
          <w:kern w:val="0"/>
          <w:szCs w:val="21"/>
        </w:rPr>
        <w:t>投标人对本条第一款情形提出质疑的，采购人或者采购代理机构可以组织原评审委员会进行重新评审，重新评审改变评审结果的，应当书面报告本级财政部门。</w:t>
      </w:r>
    </w:p>
    <w:p>
      <w:pPr>
        <w:ind w:firstLine="412" w:firstLineChars="196"/>
        <w:rPr>
          <w:rFonts w:ascii="宋体" w:hAnsi="宋体" w:hint="eastAsia"/>
          <w:b/>
          <w:bCs/>
          <w:szCs w:val="21"/>
        </w:rPr>
      </w:pPr>
      <w:r>
        <w:rPr>
          <w:rFonts w:ascii="宋体" w:hAnsi="宋体" w:hint="eastAsia"/>
          <w:b/>
          <w:bCs/>
          <w:szCs w:val="21"/>
        </w:rPr>
        <w:t>37.4重新组建评审委员会的情形</w:t>
      </w:r>
    </w:p>
    <w:p>
      <w:pPr>
        <w:ind w:firstLine="412" w:firstLineChars="196"/>
        <w:rPr>
          <w:rFonts w:ascii="宋体" w:hAnsi="宋体" w:cs="宋体" w:hint="eastAsia"/>
          <w:kern w:val="0"/>
          <w:szCs w:val="21"/>
        </w:rPr>
      </w:pPr>
      <w:r>
        <w:rPr>
          <w:rFonts w:ascii="宋体" w:hAnsi="宋体" w:cs="宋体" w:hint="eastAsia"/>
          <w:kern w:val="0"/>
          <w:szCs w:val="21"/>
        </w:rPr>
        <w:t>评审委员会或者其成员存在下列情形导致评审结果无效的，重新组建评审委员会进行评标，并书面报告本级财政部门：</w:t>
      </w:r>
    </w:p>
    <w:p>
      <w:pPr>
        <w:ind w:firstLine="412" w:firstLineChars="196"/>
        <w:rPr>
          <w:rFonts w:ascii="宋体" w:hAnsi="宋体" w:cs="宋体" w:hint="eastAsia"/>
          <w:kern w:val="0"/>
          <w:szCs w:val="21"/>
        </w:rPr>
      </w:pPr>
      <w:r>
        <w:rPr>
          <w:rFonts w:ascii="宋体" w:hAnsi="宋体" w:cs="宋体" w:hint="eastAsia"/>
          <w:kern w:val="0"/>
          <w:szCs w:val="21"/>
        </w:rPr>
        <w:t>37.4.1评审委员会组成不符合《政府采购货物和服务招标投标管理办法》规定的；</w:t>
      </w:r>
    </w:p>
    <w:p>
      <w:pPr>
        <w:ind w:firstLine="412" w:firstLineChars="196"/>
        <w:rPr>
          <w:rFonts w:ascii="宋体" w:hAnsi="宋体" w:cs="宋体" w:hint="eastAsia"/>
          <w:kern w:val="0"/>
          <w:szCs w:val="21"/>
        </w:rPr>
      </w:pPr>
      <w:r>
        <w:rPr>
          <w:rFonts w:ascii="宋体" w:hAnsi="宋体" w:cs="宋体" w:hint="eastAsia"/>
          <w:kern w:val="0"/>
          <w:szCs w:val="21"/>
        </w:rPr>
        <w:t>37.4.2有《政府采购货物和服务招标投标管理办法》第六十二条第一至五项情形的；</w:t>
      </w:r>
    </w:p>
    <w:p>
      <w:pPr>
        <w:ind w:firstLine="412" w:firstLineChars="196"/>
        <w:rPr>
          <w:rFonts w:ascii="宋体" w:hAnsi="宋体" w:cs="宋体" w:hint="eastAsia"/>
          <w:kern w:val="0"/>
          <w:szCs w:val="21"/>
        </w:rPr>
      </w:pPr>
      <w:r>
        <w:rPr>
          <w:rFonts w:ascii="宋体" w:hAnsi="宋体" w:cs="宋体" w:hint="eastAsia"/>
          <w:kern w:val="0"/>
          <w:szCs w:val="21"/>
        </w:rPr>
        <w:t>37.4.3评审委员会及其成员独立评标受到非法干预的；</w:t>
      </w:r>
    </w:p>
    <w:p>
      <w:pPr>
        <w:ind w:firstLine="412" w:firstLineChars="196"/>
        <w:rPr>
          <w:rFonts w:ascii="宋体" w:hAnsi="宋体" w:cs="宋体" w:hint="eastAsia"/>
          <w:kern w:val="0"/>
          <w:szCs w:val="21"/>
        </w:rPr>
      </w:pPr>
      <w:r>
        <w:rPr>
          <w:rFonts w:ascii="宋体" w:hAnsi="宋体" w:cs="宋体" w:hint="eastAsia"/>
          <w:kern w:val="0"/>
          <w:szCs w:val="21"/>
        </w:rPr>
        <w:t>37.4.4有政府采购法实施条例第七十五条规定的违法行为的。</w:t>
      </w:r>
    </w:p>
    <w:p>
      <w:pPr>
        <w:ind w:firstLine="412" w:firstLineChars="196"/>
        <w:rPr>
          <w:rFonts w:ascii="宋体" w:hAnsi="宋体" w:cs="宋体" w:hint="eastAsia"/>
          <w:kern w:val="0"/>
          <w:szCs w:val="21"/>
        </w:rPr>
      </w:pPr>
      <w:r>
        <w:rPr>
          <w:rFonts w:ascii="宋体" w:hAnsi="宋体" w:cs="宋体" w:hint="eastAsia"/>
          <w:kern w:val="0"/>
          <w:szCs w:val="21"/>
        </w:rPr>
        <w:t>有违法违规行为的原评审委员会成员不得参加重新组建的评审委员会。</w:t>
      </w:r>
    </w:p>
    <w:p>
      <w:pPr>
        <w:ind w:firstLine="412" w:firstLineChars="196"/>
        <w:rPr>
          <w:rFonts w:ascii="宋体" w:hAnsi="宋体" w:hint="eastAsia"/>
          <w:szCs w:val="21"/>
        </w:rPr>
      </w:pPr>
    </w:p>
    <w:p>
      <w:pPr>
        <w:pStyle w:val="Heading2"/>
        <w:numPr>
          <w:ilvl w:val="0"/>
          <w:numId w:val="56"/>
        </w:numPr>
        <w:spacing w:before="120" w:beforeLines="50" w:after="120" w:afterLines="50"/>
        <w:ind w:left="562" w:hanging="562"/>
        <w:rPr>
          <w:rFonts w:hint="eastAsia"/>
          <w:sz w:val="28"/>
          <w:szCs w:val="28"/>
        </w:rPr>
      </w:pPr>
      <w:r>
        <w:rPr>
          <w:rFonts w:hint="eastAsia"/>
          <w:sz w:val="28"/>
          <w:szCs w:val="28"/>
        </w:rPr>
        <w:t>定标及公示</w:t>
      </w:r>
    </w:p>
    <w:p>
      <w:pPr>
        <w:rPr>
          <w:rFonts w:ascii="黑体" w:eastAsia="黑体" w:hAnsi="宋体" w:hint="eastAsia"/>
          <w:sz w:val="24"/>
        </w:rPr>
      </w:pPr>
      <w:r>
        <w:rPr>
          <w:rFonts w:ascii="黑体" w:eastAsia="黑体" w:hAnsi="宋体" w:hint="eastAsia"/>
          <w:sz w:val="24"/>
        </w:rPr>
        <w:t>38．定标方法</w:t>
      </w:r>
    </w:p>
    <w:p>
      <w:pPr>
        <w:ind w:firstLine="412" w:firstLineChars="196"/>
        <w:rPr>
          <w:rFonts w:ascii="宋体" w:hAnsi="宋体" w:hint="eastAsia"/>
          <w:szCs w:val="21"/>
        </w:rPr>
      </w:pPr>
      <w:r>
        <w:rPr>
          <w:rFonts w:ascii="宋体" w:hAnsi="宋体" w:hint="eastAsia"/>
          <w:szCs w:val="21"/>
        </w:rPr>
        <w:t>38.1非评定分离项目定标方法</w:t>
      </w:r>
    </w:p>
    <w:p>
      <w:pPr>
        <w:ind w:firstLine="412" w:firstLineChars="196"/>
        <w:rPr>
          <w:rFonts w:ascii="宋体" w:hAnsi="宋体" w:hint="eastAsia"/>
          <w:szCs w:val="21"/>
        </w:rPr>
      </w:pPr>
      <w:r>
        <w:rPr>
          <w:rFonts w:ascii="宋体" w:hAnsi="宋体" w:hint="eastAsia"/>
          <w:szCs w:val="21"/>
        </w:rPr>
        <w:t>38</w:t>
      </w:r>
      <w:r>
        <w:rPr>
          <w:rFonts w:ascii="宋体" w:hAnsi="宋体"/>
          <w:szCs w:val="21"/>
        </w:rPr>
        <w:t>.</w:t>
      </w:r>
      <w:r>
        <w:rPr>
          <w:rFonts w:ascii="宋体" w:hAnsi="宋体" w:hint="eastAsia"/>
          <w:szCs w:val="21"/>
        </w:rPr>
        <w:t>1.1评审委员会依据本项目招标文件所约定的评审方法进行评审和比较，向政府集中采购机构提交书面评审报告，并根据评审方法比较评价结果从优到劣进行排序，确定候选中标供应商。</w:t>
      </w:r>
    </w:p>
    <w:p>
      <w:pPr>
        <w:ind w:firstLine="412" w:firstLineChars="196"/>
        <w:rPr>
          <w:rFonts w:ascii="ˎ̥" w:hAnsi="ˎ̥" w:hint="eastAsia"/>
        </w:rPr>
      </w:pPr>
      <w:r>
        <w:rPr>
          <w:rFonts w:ascii="宋体" w:hAnsi="宋体" w:hint="eastAsia"/>
          <w:szCs w:val="21"/>
        </w:rPr>
        <w:t>38</w:t>
      </w:r>
      <w:r>
        <w:rPr>
          <w:rFonts w:ascii="宋体" w:hAnsi="宋体"/>
          <w:szCs w:val="21"/>
        </w:rPr>
        <w:t>.</w:t>
      </w:r>
      <w:r>
        <w:rPr>
          <w:rFonts w:ascii="宋体" w:hAnsi="宋体" w:hint="eastAsia"/>
          <w:szCs w:val="21"/>
        </w:rPr>
        <w:t>1.2</w:t>
      </w:r>
      <w:r>
        <w:rPr>
          <w:rFonts w:ascii="ˎ̥" w:hAnsi="ˎ̥"/>
        </w:rPr>
        <w:t>采用最低价法的，评</w:t>
      </w:r>
      <w:r>
        <w:rPr>
          <w:rFonts w:ascii="ˎ̥" w:hAnsi="ˎ̥" w:hint="eastAsia"/>
        </w:rPr>
        <w:t>审</w:t>
      </w:r>
      <w:r>
        <w:rPr>
          <w:rFonts w:ascii="ˎ̥" w:hAnsi="ˎ̥"/>
        </w:rPr>
        <w:t>结果按投标报价由低到高顺序排列。投标报价相同的并列。投标文件满足招标文件全部实质性要求且投标报价最低的</w:t>
      </w:r>
      <w:r>
        <w:rPr>
          <w:rFonts w:ascii="ˎ̥" w:hAnsi="ˎ̥" w:hint="eastAsia"/>
        </w:rPr>
        <w:t>投标人为中标供应商</w:t>
      </w:r>
      <w:r>
        <w:rPr>
          <w:rFonts w:ascii="ˎ̥" w:hAnsi="ˎ̥"/>
        </w:rPr>
        <w:t>（</w:t>
      </w:r>
      <w:r>
        <w:rPr>
          <w:rFonts w:ascii="ˎ̥" w:hAnsi="ˎ̥" w:hint="eastAsia"/>
        </w:rPr>
        <w:t>排名</w:t>
      </w:r>
      <w:r>
        <w:rPr>
          <w:rFonts w:ascii="ˎ̥" w:hAnsi="ˎ̥"/>
        </w:rPr>
        <w:t>第二</w:t>
      </w:r>
      <w:r>
        <w:rPr>
          <w:rFonts w:ascii="ˎ̥" w:hAnsi="ˎ̥" w:hint="eastAsia"/>
        </w:rPr>
        <w:t>的投标人为第一替补中标候选人、排名</w:t>
      </w:r>
      <w:r>
        <w:rPr>
          <w:rFonts w:ascii="ˎ̥" w:hAnsi="ˎ̥"/>
        </w:rPr>
        <w:t>第</w:t>
      </w:r>
      <w:r>
        <w:rPr>
          <w:rFonts w:ascii="ˎ̥" w:hAnsi="ˎ̥" w:hint="eastAsia"/>
        </w:rPr>
        <w:t>三的投标人为第二替补中标候选人</w:t>
      </w:r>
      <w:r>
        <w:rPr>
          <w:rFonts w:ascii="ˎ̥" w:hAnsi="ˎ̥"/>
        </w:rPr>
        <w:t>）。</w:t>
      </w:r>
    </w:p>
    <w:p>
      <w:pPr>
        <w:ind w:firstLine="412" w:firstLineChars="196"/>
        <w:rPr>
          <w:rFonts w:ascii="ˎ̥" w:hAnsi="ˎ̥" w:hint="eastAsia"/>
        </w:rPr>
      </w:pPr>
      <w:r>
        <w:rPr>
          <w:rFonts w:ascii="宋体" w:hAnsi="宋体" w:hint="eastAsia"/>
          <w:szCs w:val="21"/>
        </w:rPr>
        <w:t>38</w:t>
      </w:r>
      <w:r>
        <w:rPr>
          <w:rFonts w:ascii="宋体" w:hAnsi="宋体"/>
          <w:szCs w:val="21"/>
        </w:rPr>
        <w:t>.</w:t>
      </w:r>
      <w:r>
        <w:rPr>
          <w:rFonts w:ascii="宋体" w:hAnsi="宋体" w:hint="eastAsia"/>
          <w:szCs w:val="21"/>
        </w:rPr>
        <w:t>1.3</w:t>
      </w:r>
      <w:r>
        <w:rPr>
          <w:rFonts w:ascii="宋体" w:hAnsi="宋体"/>
          <w:szCs w:val="21"/>
        </w:rPr>
        <w:t>采</w:t>
      </w:r>
      <w:r>
        <w:rPr>
          <w:rFonts w:ascii="ˎ̥" w:hAnsi="ˎ̥"/>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Pr>
          <w:rFonts w:ascii="ˎ̥" w:hAnsi="ˎ̥" w:hint="eastAsia"/>
        </w:rPr>
        <w:t>为中标供应商</w:t>
      </w:r>
      <w:r>
        <w:rPr>
          <w:rFonts w:ascii="ˎ̥" w:hAnsi="ˎ̥"/>
        </w:rPr>
        <w:t>（</w:t>
      </w:r>
      <w:r>
        <w:rPr>
          <w:rFonts w:ascii="ˎ̥" w:hAnsi="ˎ̥" w:hint="eastAsia"/>
        </w:rPr>
        <w:t>排名</w:t>
      </w:r>
      <w:r>
        <w:rPr>
          <w:rFonts w:ascii="ˎ̥" w:hAnsi="ˎ̥"/>
        </w:rPr>
        <w:t>第二</w:t>
      </w:r>
      <w:r>
        <w:rPr>
          <w:rFonts w:ascii="ˎ̥" w:hAnsi="ˎ̥" w:hint="eastAsia"/>
        </w:rPr>
        <w:t>的投标人为第一替补中标候选人、排名</w:t>
      </w:r>
      <w:r>
        <w:rPr>
          <w:rFonts w:ascii="ˎ̥" w:hAnsi="ˎ̥"/>
        </w:rPr>
        <w:t>第</w:t>
      </w:r>
      <w:r>
        <w:rPr>
          <w:rFonts w:ascii="ˎ̥" w:hAnsi="ˎ̥" w:hint="eastAsia"/>
        </w:rPr>
        <w:t>三的投标人为第二替补中标候选人</w:t>
      </w:r>
      <w:r>
        <w:rPr>
          <w:rFonts w:ascii="ˎ̥" w:hAnsi="ˎ̥"/>
        </w:rPr>
        <w:t>）。</w:t>
      </w:r>
      <w:r>
        <w:rPr>
          <w:rFonts w:ascii="ˎ̥" w:hAnsi="ˎ̥" w:hint="eastAsia"/>
        </w:rPr>
        <w:t>出现</w:t>
      </w:r>
      <w:r>
        <w:rPr>
          <w:rFonts w:ascii="ˎ̥" w:hAnsi="ˎ̥"/>
        </w:rPr>
        <w:t>得分且投标报价相同的并列</w:t>
      </w:r>
      <w:r>
        <w:rPr>
          <w:rFonts w:ascii="ˎ̥" w:hAnsi="ˎ̥" w:hint="eastAsia"/>
        </w:rPr>
        <w:t>情况时，采取随机抽取的方式确定，具体操作办法及流程由评审委员会确定。</w:t>
      </w:r>
    </w:p>
    <w:p>
      <w:pPr>
        <w:ind w:firstLine="412" w:firstLineChars="196"/>
        <w:rPr>
          <w:rFonts w:ascii="宋体" w:hAnsi="宋体" w:hint="eastAsia"/>
          <w:szCs w:val="21"/>
        </w:rPr>
      </w:pPr>
      <w:r>
        <w:rPr>
          <w:rFonts w:ascii="宋体" w:hAnsi="宋体" w:hint="eastAsia"/>
          <w:szCs w:val="21"/>
        </w:rPr>
        <w:t>38.2评定分离项目定标方法</w:t>
      </w:r>
    </w:p>
    <w:p>
      <w:pPr>
        <w:ind w:firstLine="412" w:firstLineChars="196"/>
        <w:rPr>
          <w:rFonts w:ascii="宋体" w:hAnsi="宋体" w:hint="eastAsia"/>
          <w:szCs w:val="21"/>
        </w:rPr>
      </w:pPr>
      <w:r>
        <w:rPr>
          <w:rFonts w:ascii="宋体" w:hAnsi="宋体"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12" w:firstLineChars="196"/>
      </w:pPr>
      <w:r>
        <w:rPr>
          <w:rFonts w:ascii="宋体" w:hAnsi="宋体"/>
          <w:szCs w:val="21"/>
        </w:rPr>
        <w:t xml:space="preserve">38.2.2 </w:t>
      </w:r>
      <w:bookmarkStart w:id="80" w:name="_Hlk71469733"/>
      <w:r>
        <w:t>适用评定分离的政府采购项目，采用综合评分法评</w:t>
      </w:r>
      <w:r>
        <w:rPr>
          <w:rFonts w:hint="eastAsia"/>
        </w:rPr>
        <w:t>审。</w:t>
      </w:r>
      <w:r>
        <w:rPr>
          <w:rFonts w:ascii="宋体" w:hAnsi="宋体" w:hint="eastAsia"/>
          <w:szCs w:val="21"/>
        </w:rPr>
        <w:t>评审委员会按照评审结果，推荐</w:t>
      </w:r>
      <w:r>
        <w:t>三个合格的候选中标供应商。</w:t>
      </w:r>
    </w:p>
    <w:p>
      <w:pPr>
        <w:ind w:firstLine="412" w:firstLineChars="196"/>
        <w:rPr>
          <w:rFonts w:ascii="宋体" w:hAnsi="宋体" w:hint="eastAsia"/>
          <w:szCs w:val="21"/>
        </w:rPr>
      </w:pPr>
      <w:r>
        <w:rPr>
          <w:rFonts w:ascii="宋体" w:hAnsi="宋体" w:hint="eastAsia"/>
          <w:szCs w:val="21"/>
        </w:rPr>
        <w:t>38.2.3</w:t>
      </w:r>
      <w:bookmarkStart w:id="81" w:name="_Hlk71469688"/>
      <w:r>
        <w:t>适用评定分离的政府采购项目，</w:t>
      </w:r>
      <w:r>
        <w:rPr>
          <w:rFonts w:ascii="宋体" w:hAnsi="宋体" w:hint="eastAsia"/>
          <w:szCs w:val="21"/>
        </w:rPr>
        <w:t>按照自定法确定中标供应商：自定法是指采购人组织定标委员会，由定标委员会在三家候选中标供应商中确定中标供应商。</w:t>
      </w:r>
      <w:bookmarkEnd w:id="80"/>
      <w:bookmarkEnd w:id="81"/>
    </w:p>
    <w:p>
      <w:pPr>
        <w:ind w:firstLine="412" w:firstLineChars="196"/>
        <w:rPr>
          <w:rFonts w:ascii="宋体" w:hAnsi="宋体" w:hint="eastAsia"/>
          <w:szCs w:val="21"/>
        </w:rPr>
      </w:pPr>
      <w:r>
        <w:rPr>
          <w:rFonts w:ascii="宋体" w:hAnsi="宋体"/>
          <w:szCs w:val="21"/>
        </w:rPr>
        <w:t>38.2.4</w:t>
      </w:r>
      <w:r>
        <w:rPr>
          <w:rFonts w:ascii="宋体" w:hAnsi="宋体" w:hint="eastAsia"/>
          <w:szCs w:val="21"/>
        </w:rPr>
        <w:t>政府集中采购机构</w:t>
      </w:r>
      <w:r>
        <w:t>应当自评审结束之日起两个工作日内将候选中标供应商名单及其投标文件、评审报告送交采购人</w:t>
      </w:r>
      <w:r>
        <w:rPr>
          <w:rFonts w:ascii="宋体" w:hAnsi="宋体" w:hint="eastAsia"/>
          <w:szCs w:val="21"/>
        </w:rPr>
        <w:t>。</w:t>
      </w:r>
      <w:r>
        <w:t>采购人应当安排专人对定标过程进行书面记录，形成定标报告，作为采购文件的组成部分存档，并及时将定标结果反馈</w:t>
      </w:r>
      <w:r>
        <w:rPr>
          <w:rFonts w:hint="eastAsia"/>
        </w:rPr>
        <w:t>政府集中采购机构。具体定标程序及相关要求以按照《深圳市财政局关于&lt;深圳市政府采购评标定标分离管理办法&gt;续期的通知》（深财规〔2023〕1号）执行。</w:t>
      </w:r>
    </w:p>
    <w:p>
      <w:pPr>
        <w:ind w:firstLine="412" w:firstLineChars="196"/>
        <w:rPr>
          <w:rFonts w:ascii="宋体" w:hAnsi="宋体" w:hint="eastAsia"/>
          <w:szCs w:val="21"/>
        </w:rPr>
      </w:pPr>
      <w:r>
        <w:rPr>
          <w:rFonts w:ascii="宋体" w:hAnsi="宋体" w:hint="eastAsia"/>
          <w:szCs w:val="21"/>
        </w:rPr>
        <w:t>说明：采购人及投标供应商应按照上述方法提前做好相关准备。</w:t>
      </w:r>
    </w:p>
    <w:p>
      <w:pPr>
        <w:ind w:firstLine="412" w:firstLineChars="196"/>
        <w:rPr>
          <w:rFonts w:ascii="宋体" w:hAnsi="宋体" w:hint="eastAsia"/>
          <w:szCs w:val="21"/>
        </w:rPr>
      </w:pPr>
      <w:r>
        <w:rPr>
          <w:rFonts w:ascii="宋体" w:hAnsi="宋体" w:hint="eastAsia"/>
          <w:szCs w:val="21"/>
        </w:rPr>
        <w:t>38.3专用条款另有规定的，按专用条款相关要求定标。</w:t>
      </w:r>
    </w:p>
    <w:p>
      <w:pPr>
        <w:rPr>
          <w:rFonts w:ascii="黑体" w:eastAsia="黑体" w:hAnsi="宋体" w:hint="eastAsia"/>
          <w:sz w:val="24"/>
        </w:rPr>
      </w:pPr>
      <w:r>
        <w:rPr>
          <w:rFonts w:ascii="黑体" w:eastAsia="黑体" w:hAnsi="宋体" w:hint="eastAsia"/>
          <w:sz w:val="24"/>
        </w:rPr>
        <w:t>39．编写评审报告</w:t>
      </w:r>
    </w:p>
    <w:p>
      <w:pPr>
        <w:ind w:firstLine="412" w:firstLineChars="196"/>
        <w:rPr>
          <w:rFonts w:ascii="宋体" w:hAnsi="宋体" w:hint="eastAsia"/>
          <w:szCs w:val="21"/>
        </w:rPr>
      </w:pPr>
      <w:r>
        <w:rPr>
          <w:rFonts w:ascii="宋体" w:hAnsi="宋体" w:hint="eastAsia"/>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黑体" w:eastAsia="黑体" w:hAnsi="宋体" w:hint="eastAsia"/>
          <w:sz w:val="24"/>
        </w:rPr>
      </w:pPr>
      <w:r>
        <w:rPr>
          <w:rFonts w:ascii="黑体" w:eastAsia="黑体" w:hAnsi="宋体" w:hint="eastAsia"/>
          <w:sz w:val="24"/>
        </w:rPr>
        <w:t>40．中标公告</w:t>
      </w:r>
    </w:p>
    <w:p>
      <w:pPr>
        <w:ind w:firstLine="412" w:firstLineChars="196"/>
        <w:rPr>
          <w:rFonts w:ascii="宋体" w:hAnsi="宋体" w:hint="eastAsia"/>
          <w:szCs w:val="21"/>
        </w:rPr>
      </w:pPr>
      <w:r>
        <w:rPr>
          <w:rFonts w:ascii="宋体" w:hAnsi="宋体" w:hint="eastAsia"/>
          <w:szCs w:val="21"/>
        </w:rPr>
        <w:t>40.1</w:t>
      </w:r>
      <w:bookmarkStart w:id="82" w:name="_Hlk72438709"/>
      <w:r>
        <w:rPr>
          <w:rFonts w:ascii="宋体" w:hAnsi="宋体" w:hint="eastAsia"/>
          <w:szCs w:val="21"/>
        </w:rPr>
        <w:t>为体现“公开、公平、公正”的原则，评审结束后经采购人确认（确定）评审结果，政府集中采购机构将在</w:t>
      </w:r>
      <w:r>
        <w:rPr>
          <w:rFonts w:ascii="宋体" w:hAnsi="宋体" w:hint="eastAsia"/>
          <w:b/>
          <w:bCs/>
          <w:szCs w:val="21"/>
        </w:rPr>
        <w:t>“深圳公共资源交易网（https://szggzy.com/）”</w:t>
      </w:r>
      <w:r>
        <w:rPr>
          <w:rFonts w:ascii="宋体" w:hAnsi="宋体" w:hint="eastAsia"/>
          <w:szCs w:val="21"/>
        </w:rPr>
        <w:t>上发布中标结果公告。</w:t>
      </w:r>
      <w:bookmarkEnd w:id="82"/>
      <w:bookmarkStart w:id="83" w:name="_Hlk72438751"/>
      <w:r>
        <w:rPr>
          <w:rFonts w:ascii="宋体" w:hAnsi="宋体" w:hint="eastAsia"/>
          <w:szCs w:val="21"/>
        </w:rPr>
        <w:t>供应商如对评审结果有异议，</w:t>
      </w:r>
      <w:r>
        <w:rPr>
          <w:rFonts w:ascii="宋体" w:hAnsi="宋体"/>
          <w:szCs w:val="21"/>
        </w:rPr>
        <w:t>可在发布公示日期起</w:t>
      </w:r>
      <w:r>
        <w:rPr>
          <w:rFonts w:ascii="宋体" w:hAnsi="宋体" w:hint="eastAsia"/>
          <w:szCs w:val="21"/>
        </w:rPr>
        <w:t>七</w:t>
      </w:r>
      <w:r>
        <w:rPr>
          <w:rFonts w:ascii="宋体" w:hAnsi="宋体"/>
          <w:szCs w:val="21"/>
        </w:rPr>
        <w:t>个工作日内向</w:t>
      </w:r>
      <w:r>
        <w:rPr>
          <w:rFonts w:ascii="宋体" w:hAnsi="宋体" w:hint="eastAsia"/>
          <w:szCs w:val="21"/>
        </w:rPr>
        <w:t>政府集中采购机构</w:t>
      </w:r>
      <w:r>
        <w:rPr>
          <w:rFonts w:ascii="宋体" w:hAnsi="宋体"/>
          <w:szCs w:val="21"/>
        </w:rPr>
        <w:t>提出。 监督电话：0755-83948143。</w:t>
      </w:r>
      <w:r>
        <w:rPr>
          <w:rFonts w:ascii="宋体" w:hAnsi="宋体" w:hint="eastAsia"/>
          <w:szCs w:val="21"/>
        </w:rPr>
        <w:t>若在公示期内未提出质疑，则视为认同该评审结果。</w:t>
      </w:r>
    </w:p>
    <w:p>
      <w:pPr>
        <w:ind w:firstLine="412" w:firstLineChars="196"/>
        <w:rPr>
          <w:rFonts w:ascii="宋体" w:hAnsi="宋体" w:hint="eastAsia"/>
          <w:szCs w:val="21"/>
        </w:rPr>
      </w:pPr>
      <w:bookmarkEnd w:id="83"/>
      <w:r>
        <w:rPr>
          <w:rFonts w:ascii="宋体" w:hAnsi="宋体" w:hint="eastAsia"/>
          <w:szCs w:val="21"/>
        </w:rPr>
        <w:t>40.2质疑、投诉供应商应保证质疑、投诉内容的真实性和可靠性，并承担相应的法律责任。</w:t>
      </w:r>
    </w:p>
    <w:p>
      <w:pPr>
        <w:rPr>
          <w:rFonts w:ascii="黑体" w:eastAsia="黑体" w:hAnsi="宋体" w:hint="eastAsia"/>
          <w:sz w:val="24"/>
        </w:rPr>
      </w:pPr>
      <w:r>
        <w:rPr>
          <w:rFonts w:ascii="黑体" w:eastAsia="黑体" w:hAnsi="宋体" w:hint="eastAsia"/>
          <w:sz w:val="24"/>
        </w:rPr>
        <w:t>41．中标通知书</w:t>
      </w:r>
    </w:p>
    <w:p>
      <w:pPr>
        <w:ind w:firstLine="412" w:firstLineChars="196"/>
        <w:rPr>
          <w:rFonts w:ascii="宋体" w:hAnsi="宋体" w:hint="eastAsia"/>
          <w:szCs w:val="21"/>
        </w:rPr>
      </w:pPr>
      <w:r>
        <w:rPr>
          <w:rFonts w:ascii="宋体" w:hAnsi="宋体" w:hint="eastAsia"/>
          <w:szCs w:val="21"/>
        </w:rPr>
        <w:t>41</w:t>
      </w:r>
      <w:r>
        <w:rPr>
          <w:rFonts w:ascii="宋体" w:hAnsi="宋体"/>
          <w:szCs w:val="21"/>
        </w:rPr>
        <w:t>.</w:t>
      </w:r>
      <w:r>
        <w:rPr>
          <w:rFonts w:ascii="宋体" w:hAnsi="宋体" w:hint="eastAsia"/>
          <w:szCs w:val="21"/>
        </w:rPr>
        <w:t>1</w:t>
      </w:r>
      <w:bookmarkStart w:id="84" w:name="_Hlk72438863"/>
      <w:r>
        <w:rPr>
          <w:rFonts w:ascii="宋体" w:hAnsi="宋体" w:hint="eastAsia"/>
          <w:szCs w:val="21"/>
        </w:rPr>
        <w:t>中标公告公布以后无异常的情况下,中标供应商和采购人可自行在</w:t>
      </w:r>
      <w:r>
        <w:rPr>
          <w:rFonts w:ascii="宋体" w:hAnsi="宋体" w:hint="eastAsia"/>
          <w:b/>
          <w:bCs/>
          <w:szCs w:val="21"/>
        </w:rPr>
        <w:t>“深圳政府采购智慧平台（http://zfcg.szggzy.com/）”</w:t>
      </w:r>
      <w:r>
        <w:rPr>
          <w:rFonts w:ascii="宋体" w:hAnsi="宋体" w:hint="eastAsia"/>
          <w:szCs w:val="21"/>
        </w:rPr>
        <w:t>上打印</w:t>
      </w:r>
      <w:r>
        <w:rPr>
          <w:rFonts w:ascii="宋体" w:hAnsi="宋体" w:hint="eastAsia"/>
          <w:b/>
          <w:szCs w:val="21"/>
        </w:rPr>
        <w:t>《数字中标通知书》</w:t>
      </w:r>
      <w:r>
        <w:rPr>
          <w:rFonts w:ascii="宋体" w:hAnsi="宋体" w:hint="eastAsia"/>
          <w:szCs w:val="21"/>
        </w:rPr>
        <w:t>。</w:t>
      </w:r>
      <w:bookmarkEnd w:id="84"/>
    </w:p>
    <w:p>
      <w:pPr>
        <w:ind w:firstLine="412" w:firstLineChars="196"/>
        <w:rPr>
          <w:rFonts w:ascii="宋体" w:hAnsi="宋体" w:hint="eastAsia"/>
          <w:szCs w:val="21"/>
        </w:rPr>
      </w:pPr>
      <w:r>
        <w:rPr>
          <w:rFonts w:ascii="宋体" w:hAnsi="宋体" w:hint="eastAsia"/>
          <w:szCs w:val="21"/>
        </w:rPr>
        <w:t>41</w:t>
      </w:r>
      <w:r>
        <w:rPr>
          <w:rFonts w:ascii="宋体" w:hAnsi="宋体"/>
          <w:szCs w:val="21"/>
        </w:rPr>
        <w:t>.2</w:t>
      </w:r>
      <w:r>
        <w:rPr>
          <w:rFonts w:ascii="宋体" w:hAnsi="宋体" w:hint="eastAsia"/>
          <w:szCs w:val="21"/>
        </w:rPr>
        <w:t>中标通知书是合同的重要组成部分。</w:t>
      </w:r>
    </w:p>
    <w:p>
      <w:pPr>
        <w:ind w:firstLine="412" w:firstLineChars="196"/>
        <w:rPr>
          <w:rFonts w:ascii="宋体" w:hAnsi="宋体" w:hint="eastAsia"/>
          <w:szCs w:val="21"/>
        </w:rPr>
      </w:pPr>
      <w:bookmarkStart w:id="85" w:name="_Hlk71407340"/>
      <w:r>
        <w:rPr>
          <w:rFonts w:ascii="宋体" w:hAnsi="宋体" w:hint="eastAsia"/>
          <w:szCs w:val="21"/>
        </w:rPr>
        <w:t>41.3因质疑投诉或其它原因导致项目结果变更或采购终止的，政府集中采购机构有权吊销中标通知书。</w:t>
      </w:r>
    </w:p>
    <w:p>
      <w:pPr>
        <w:ind w:firstLine="412" w:firstLineChars="196"/>
        <w:rPr>
          <w:rFonts w:ascii="宋体" w:hAnsi="宋体" w:hint="eastAsia"/>
          <w:szCs w:val="21"/>
        </w:rPr>
      </w:pPr>
      <w:bookmarkEnd w:id="85"/>
    </w:p>
    <w:p>
      <w:pPr>
        <w:pStyle w:val="Heading2"/>
        <w:numPr>
          <w:ilvl w:val="0"/>
          <w:numId w:val="56"/>
        </w:numPr>
        <w:spacing w:before="120" w:beforeLines="50" w:after="120" w:afterLines="50"/>
        <w:ind w:left="562" w:hanging="562"/>
        <w:rPr>
          <w:rFonts w:hint="eastAsia"/>
          <w:sz w:val="28"/>
          <w:szCs w:val="28"/>
        </w:rPr>
      </w:pPr>
      <w:r>
        <w:rPr>
          <w:rFonts w:hint="eastAsia"/>
          <w:sz w:val="28"/>
          <w:szCs w:val="28"/>
        </w:rPr>
        <w:t>公开招标失败的后续处理</w:t>
      </w:r>
    </w:p>
    <w:p>
      <w:pPr>
        <w:rPr>
          <w:rFonts w:ascii="黑体" w:eastAsia="黑体" w:hAnsi="宋体" w:hint="eastAsia"/>
          <w:sz w:val="24"/>
        </w:rPr>
      </w:pPr>
      <w:r>
        <w:rPr>
          <w:rFonts w:ascii="黑体" w:eastAsia="黑体" w:hAnsi="宋体" w:hint="eastAsia"/>
          <w:sz w:val="24"/>
        </w:rPr>
        <w:t>42．公开招标失败的处理</w:t>
      </w:r>
    </w:p>
    <w:p>
      <w:pPr>
        <w:ind w:firstLine="412" w:firstLineChars="196"/>
        <w:rPr>
          <w:rFonts w:ascii="宋体" w:hAnsi="宋体" w:hint="eastAsia"/>
        </w:rPr>
      </w:pPr>
      <w:r>
        <w:rPr>
          <w:rFonts w:ascii="宋体" w:hAnsi="宋体" w:hint="eastAsia"/>
          <w:szCs w:val="21"/>
        </w:rPr>
        <w:t>42.1本项目公开招标过程中若由于投标截止后</w:t>
      </w:r>
      <w:r>
        <w:rPr>
          <w:rFonts w:ascii="宋体" w:hAnsi="宋体" w:hint="eastAsia"/>
        </w:rPr>
        <w:t>实际递交</w:t>
      </w:r>
      <w:r>
        <w:rPr>
          <w:rFonts w:ascii="宋体" w:hAnsi="宋体"/>
        </w:rPr>
        <w:t>投标</w:t>
      </w:r>
      <w:r>
        <w:rPr>
          <w:rFonts w:ascii="宋体" w:hAnsi="宋体" w:hint="eastAsia"/>
        </w:rPr>
        <w:t>文件的供应商数量不足、经</w:t>
      </w:r>
      <w:r>
        <w:rPr>
          <w:rFonts w:ascii="宋体" w:hAnsi="宋体" w:hint="eastAsia"/>
          <w:szCs w:val="21"/>
        </w:rPr>
        <w:t>评审委员会</w:t>
      </w:r>
      <w:r>
        <w:rPr>
          <w:rFonts w:ascii="宋体" w:hAnsi="宋体" w:hint="eastAsia"/>
        </w:rPr>
        <w:t>评审对招标文件作实质响应的供应商不足等原因造成公开招标失败，可由</w:t>
      </w:r>
      <w:r>
        <w:rPr>
          <w:rFonts w:ascii="宋体" w:hAnsi="宋体" w:cs="宋体" w:hint="eastAsia"/>
        </w:rPr>
        <w:t>政府集中采购机构</w:t>
      </w:r>
      <w:r>
        <w:rPr>
          <w:rFonts w:ascii="宋体" w:hAnsi="宋体" w:hint="eastAsia"/>
        </w:rPr>
        <w:t>重新组织采购。</w:t>
      </w:r>
    </w:p>
    <w:p>
      <w:pPr>
        <w:ind w:firstLine="412" w:firstLineChars="196"/>
        <w:rPr>
          <w:rFonts w:ascii="宋体" w:hAnsi="宋体" w:hint="eastAsia"/>
          <w:szCs w:val="21"/>
        </w:rPr>
      </w:pPr>
      <w:r>
        <w:rPr>
          <w:rFonts w:ascii="宋体" w:hAnsi="宋体" w:hint="eastAsia"/>
          <w:szCs w:val="21"/>
        </w:rPr>
        <w:t>42.2对公开招标失败的项目，评审委员会在出具该项目招标失败结论的同时，可以提出重新采购组织形式的建议，以及进一步完善招标文件的资格、技术、商务要求的修改建议。</w:t>
      </w:r>
    </w:p>
    <w:p>
      <w:pPr>
        <w:ind w:firstLine="412" w:firstLineChars="196"/>
        <w:rPr>
          <w:rFonts w:ascii="宋体" w:hAnsi="宋体" w:hint="eastAsia"/>
          <w:szCs w:val="21"/>
        </w:rPr>
      </w:pPr>
      <w:r>
        <w:rPr>
          <w:rFonts w:ascii="宋体" w:hAnsi="宋体" w:hint="eastAsia"/>
          <w:szCs w:val="21"/>
        </w:rPr>
        <w:t>42.3重新组织采购有以下两种组织形式：</w:t>
      </w:r>
    </w:p>
    <w:p>
      <w:pPr>
        <w:ind w:firstLine="412" w:firstLineChars="196"/>
        <w:rPr>
          <w:rFonts w:ascii="宋体" w:hAnsi="宋体" w:hint="eastAsia"/>
        </w:rPr>
      </w:pPr>
      <w:r>
        <w:rPr>
          <w:rFonts w:ascii="宋体" w:hAnsi="宋体" w:hint="eastAsia"/>
        </w:rPr>
        <w:t>（1）由政府集中采购机构重新组织公开招标；</w:t>
      </w:r>
    </w:p>
    <w:p>
      <w:pPr>
        <w:ind w:firstLine="412" w:firstLineChars="196"/>
        <w:rPr>
          <w:rFonts w:ascii="宋体" w:hAnsi="宋体" w:hint="eastAsia"/>
        </w:rPr>
      </w:pPr>
      <w:r>
        <w:rPr>
          <w:rFonts w:ascii="宋体" w:hAnsi="宋体" w:hint="eastAsia"/>
        </w:rPr>
        <w:t>（2）根据实际情况需要向同级财政部门提出非公开招标方式申请，经同级财政部门批准，公开招标失败采购项目可转为竞争性谈判或单一来源谈判方式采购。</w:t>
      </w:r>
    </w:p>
    <w:p>
      <w:pPr>
        <w:ind w:firstLine="412" w:firstLineChars="196"/>
        <w:rPr>
          <w:rFonts w:ascii="宋体" w:hAnsi="宋体" w:hint="eastAsia"/>
        </w:rPr>
      </w:pPr>
      <w:r>
        <w:rPr>
          <w:rFonts w:ascii="宋体" w:hAnsi="宋体" w:hint="eastAsia"/>
        </w:rPr>
        <w:t>42.4公开招标失败的采购项目重新组织公开招标，由政府集中采购机构重新按公开招标流程组织采购活动。</w:t>
      </w:r>
    </w:p>
    <w:p>
      <w:pPr>
        <w:rPr>
          <w:rFonts w:ascii="宋体" w:hAnsi="宋体" w:hint="eastAsia"/>
        </w:rPr>
      </w:pPr>
      <w:r>
        <w:rPr>
          <w:rFonts w:ascii="黑体" w:eastAsia="黑体" w:hAnsi="宋体" w:hint="eastAsia"/>
          <w:sz w:val="24"/>
        </w:rPr>
        <w:t xml:space="preserve">    </w:t>
      </w:r>
      <w:r>
        <w:rPr>
          <w:rFonts w:ascii="宋体" w:hAnsi="宋体" w:hint="eastAsia"/>
        </w:rPr>
        <w:t>42.5公开招标失败的采购项目经同级财政部门批准转为竞争性谈判或单一来源谈判方式采购的，按规定要求组织政府采购工作。</w:t>
      </w:r>
    </w:p>
    <w:p>
      <w:pPr>
        <w:rPr>
          <w:rFonts w:ascii="黑体" w:eastAsia="黑体" w:hAnsi="宋体" w:hint="eastAsia"/>
          <w:sz w:val="24"/>
        </w:rPr>
      </w:pPr>
    </w:p>
    <w:p>
      <w:pPr>
        <w:pStyle w:val="Heading2"/>
        <w:numPr>
          <w:ilvl w:val="0"/>
          <w:numId w:val="56"/>
        </w:numPr>
        <w:spacing w:before="120" w:beforeLines="50" w:after="120" w:afterLines="50"/>
        <w:ind w:left="562" w:hanging="562"/>
        <w:rPr>
          <w:rFonts w:hint="eastAsia"/>
          <w:sz w:val="28"/>
          <w:szCs w:val="28"/>
        </w:rPr>
      </w:pPr>
      <w:bookmarkStart w:id="86" w:name="_Hlk72439043"/>
      <w:r>
        <w:rPr>
          <w:rFonts w:hint="eastAsia"/>
          <w:sz w:val="28"/>
          <w:szCs w:val="28"/>
        </w:rPr>
        <w:t>合同的授予与备案</w:t>
      </w:r>
      <w:bookmarkEnd w:id="86"/>
    </w:p>
    <w:p>
      <w:pPr>
        <w:rPr>
          <w:rFonts w:ascii="黑体" w:eastAsia="黑体" w:hAnsi="宋体" w:hint="eastAsia"/>
          <w:sz w:val="24"/>
        </w:rPr>
      </w:pPr>
      <w:bookmarkStart w:id="87" w:name="_Toc73521586"/>
      <w:bookmarkStart w:id="88" w:name="_Toc73518157"/>
      <w:bookmarkStart w:id="89" w:name="_Toc73521674"/>
      <w:bookmarkStart w:id="90" w:name="_Toc100052408"/>
      <w:bookmarkStart w:id="91" w:name="_Toc73517679"/>
      <w:bookmarkStart w:id="92" w:name="_Hlk72439088"/>
      <w:r>
        <w:rPr>
          <w:rFonts w:ascii="黑体" w:eastAsia="黑体" w:hAnsi="宋体" w:hint="eastAsia"/>
          <w:sz w:val="24"/>
        </w:rPr>
        <w:t>43．合同授予标准</w:t>
      </w:r>
      <w:bookmarkEnd w:id="87"/>
      <w:bookmarkEnd w:id="88"/>
      <w:bookmarkEnd w:id="89"/>
      <w:bookmarkEnd w:id="90"/>
      <w:bookmarkEnd w:id="91"/>
    </w:p>
    <w:p>
      <w:pPr>
        <w:ind w:firstLine="412" w:firstLineChars="196"/>
        <w:rPr>
          <w:rFonts w:ascii="宋体" w:hAnsi="宋体" w:hint="eastAsia"/>
          <w:szCs w:val="21"/>
        </w:rPr>
      </w:pPr>
      <w:r>
        <w:rPr>
          <w:rFonts w:ascii="宋体" w:hAnsi="宋体" w:hint="eastAsia"/>
          <w:szCs w:val="21"/>
        </w:rPr>
        <w:t>本项目的合同将授予经本招标文件规定评审确定的中标供应商。</w:t>
      </w:r>
    </w:p>
    <w:p>
      <w:pPr>
        <w:rPr>
          <w:rFonts w:ascii="黑体" w:eastAsia="黑体" w:hAnsi="宋体" w:hint="eastAsia"/>
          <w:sz w:val="24"/>
        </w:rPr>
      </w:pPr>
      <w:bookmarkStart w:id="93" w:name="_Toc73521675"/>
      <w:bookmarkStart w:id="94" w:name="_Toc73517680"/>
      <w:bookmarkStart w:id="95" w:name="_Toc100052409"/>
      <w:bookmarkStart w:id="96" w:name="_Toc73518158"/>
      <w:bookmarkStart w:id="97" w:name="_Toc73521587"/>
      <w:r>
        <w:rPr>
          <w:rFonts w:ascii="黑体" w:eastAsia="黑体" w:hAnsi="宋体" w:hint="eastAsia"/>
          <w:sz w:val="24"/>
        </w:rPr>
        <w:t>44．</w:t>
      </w:r>
      <w:bookmarkEnd w:id="93"/>
      <w:bookmarkEnd w:id="94"/>
      <w:bookmarkEnd w:id="95"/>
      <w:bookmarkEnd w:id="96"/>
      <w:bookmarkEnd w:id="97"/>
      <w:r>
        <w:rPr>
          <w:rFonts w:ascii="黑体" w:eastAsia="黑体" w:hAnsi="宋体" w:hint="eastAsia"/>
          <w:sz w:val="24"/>
        </w:rPr>
        <w:t>接受和拒绝任何或所有投标的权力</w:t>
      </w:r>
    </w:p>
    <w:p>
      <w:pPr>
        <w:ind w:firstLine="412" w:firstLineChars="196"/>
        <w:rPr>
          <w:rFonts w:ascii="宋体" w:hAnsi="宋体" w:hint="eastAsia"/>
          <w:szCs w:val="21"/>
        </w:rPr>
      </w:pPr>
      <w:r>
        <w:rPr>
          <w:rFonts w:ascii="宋体" w:hAnsi="宋体" w:hint="eastAsia"/>
          <w:szCs w:val="21"/>
        </w:rPr>
        <w:t>政府集中采购机构和采购人保留在投标之前任何时候接受或拒绝任何投标或所有投标，以及宣布招标无效的权力，对受影响的投标人不承担任何责任，也无义务向受影响的投标人解释采取这一行动的理由。</w:t>
      </w:r>
    </w:p>
    <w:p>
      <w:pPr>
        <w:rPr>
          <w:rFonts w:ascii="黑体" w:eastAsia="黑体" w:hAnsi="宋体" w:hint="eastAsia"/>
          <w:sz w:val="24"/>
        </w:rPr>
      </w:pPr>
      <w:bookmarkStart w:id="98" w:name="_Toc100052410"/>
      <w:bookmarkStart w:id="99" w:name="_Toc73521589"/>
      <w:bookmarkStart w:id="100" w:name="_Toc73521677"/>
      <w:bookmarkStart w:id="101" w:name="_Toc73518160"/>
      <w:bookmarkStart w:id="102" w:name="_Toc73517682"/>
      <w:r>
        <w:rPr>
          <w:rFonts w:ascii="黑体" w:eastAsia="黑体" w:hAnsi="宋体" w:hint="eastAsia"/>
          <w:sz w:val="24"/>
        </w:rPr>
        <w:t>45．合同的签订</w:t>
      </w:r>
      <w:bookmarkEnd w:id="98"/>
      <w:bookmarkEnd w:id="99"/>
      <w:bookmarkEnd w:id="100"/>
      <w:bookmarkEnd w:id="101"/>
      <w:bookmarkEnd w:id="102"/>
    </w:p>
    <w:p>
      <w:pPr>
        <w:ind w:firstLine="412" w:firstLineChars="196"/>
        <w:rPr>
          <w:rFonts w:ascii="宋体" w:hAnsi="宋体" w:hint="eastAsia"/>
          <w:szCs w:val="21"/>
        </w:rPr>
      </w:pPr>
      <w:r>
        <w:rPr>
          <w:rFonts w:ascii="宋体" w:hAnsi="宋体" w:hint="eastAsia"/>
          <w:szCs w:val="21"/>
        </w:rPr>
        <w:t>45.1中标人将于中标通知书发出之日起十个工作日内，按照采购文件（招标文件和投标文件等）内容与采购人签订政府采购合同；合同的实质性内容应当符合招标文件的规定；</w:t>
      </w:r>
    </w:p>
    <w:p>
      <w:pPr>
        <w:ind w:firstLine="412" w:firstLineChars="196"/>
        <w:rPr>
          <w:rFonts w:ascii="宋体" w:hAnsi="宋体" w:hint="eastAsia"/>
          <w:szCs w:val="21"/>
        </w:rPr>
      </w:pPr>
      <w:r>
        <w:rPr>
          <w:rFonts w:ascii="宋体" w:hAnsi="宋体" w:hint="eastAsia"/>
          <w:szCs w:val="21"/>
        </w:rPr>
        <w:t>45.2中标人如不按本通用条款第45</w:t>
      </w:r>
      <w:r>
        <w:rPr>
          <w:rFonts w:ascii="宋体" w:hAnsi="宋体"/>
          <w:szCs w:val="21"/>
        </w:rPr>
        <w:t>.1</w:t>
      </w:r>
      <w:r>
        <w:rPr>
          <w:rFonts w:ascii="宋体" w:hAnsi="宋体" w:hint="eastAsia"/>
          <w:szCs w:val="21"/>
        </w:rPr>
        <w:t>款的规定与采购人签订合同，</w:t>
      </w:r>
      <w:r>
        <w:rPr>
          <w:rFonts w:ascii="宋体" w:hAnsi="宋体" w:cs="宋体"/>
          <w:kern w:val="0"/>
          <w:szCs w:val="21"/>
        </w:rPr>
        <w:t>情节严重的，由</w:t>
      </w:r>
      <w:r>
        <w:rPr>
          <w:rFonts w:ascii="宋体" w:hAnsi="宋体" w:cs="宋体" w:hint="eastAsia"/>
          <w:kern w:val="0"/>
          <w:szCs w:val="21"/>
        </w:rPr>
        <w:t>同级财政</w:t>
      </w:r>
      <w:r>
        <w:rPr>
          <w:rFonts w:ascii="宋体" w:hAnsi="宋体" w:cs="宋体"/>
          <w:kern w:val="0"/>
          <w:szCs w:val="21"/>
        </w:rPr>
        <w:t>部门记入供应商诚信档案，予以通报</w:t>
      </w:r>
      <w:r>
        <w:rPr>
          <w:rFonts w:ascii="宋体" w:hAnsi="宋体" w:hint="eastAsia"/>
          <w:szCs w:val="21"/>
        </w:rPr>
        <w:t>；</w:t>
      </w:r>
    </w:p>
    <w:p>
      <w:pPr>
        <w:ind w:firstLine="412" w:firstLineChars="196"/>
        <w:rPr>
          <w:rFonts w:ascii="宋体" w:hAnsi="宋体" w:hint="eastAsia"/>
          <w:szCs w:val="21"/>
        </w:rPr>
      </w:pPr>
      <w:r>
        <w:rPr>
          <w:rFonts w:ascii="宋体" w:hAnsi="宋体" w:hint="eastAsia"/>
          <w:szCs w:val="21"/>
        </w:rPr>
        <w:t>45.3中标人应当按照合同约定履行义务，完成中标项目，不得将中标项目转让（转包）给他人。</w:t>
      </w:r>
    </w:p>
    <w:p>
      <w:pPr>
        <w:rPr>
          <w:rFonts w:ascii="黑体" w:eastAsia="黑体" w:hAnsi="宋体" w:hint="eastAsia"/>
          <w:sz w:val="24"/>
        </w:rPr>
      </w:pPr>
      <w:bookmarkStart w:id="103" w:name="_Toc73521678"/>
      <w:bookmarkStart w:id="104" w:name="_Toc73518161"/>
      <w:bookmarkStart w:id="105" w:name="_Toc73517683"/>
      <w:bookmarkStart w:id="106" w:name="_Toc73521590"/>
      <w:bookmarkStart w:id="107" w:name="_Toc100052411"/>
      <w:r>
        <w:rPr>
          <w:rFonts w:ascii="黑体" w:eastAsia="黑体" w:hAnsi="宋体" w:hint="eastAsia"/>
          <w:sz w:val="24"/>
        </w:rPr>
        <w:t>46．履约担保</w:t>
      </w:r>
      <w:bookmarkEnd w:id="103"/>
      <w:bookmarkEnd w:id="104"/>
      <w:bookmarkEnd w:id="105"/>
      <w:bookmarkEnd w:id="106"/>
      <w:bookmarkEnd w:id="107"/>
    </w:p>
    <w:p>
      <w:pPr>
        <w:ind w:firstLine="412" w:firstLineChars="196"/>
        <w:rPr>
          <w:rFonts w:ascii="宋体" w:hAnsi="宋体" w:hint="eastAsia"/>
          <w:szCs w:val="21"/>
        </w:rPr>
      </w:pPr>
      <w:r>
        <w:rPr>
          <w:rFonts w:ascii="宋体" w:hAnsi="宋体" w:hint="eastAsia"/>
          <w:szCs w:val="21"/>
        </w:rPr>
        <w:t>46.1在签订项目合同的同时，中标人应按“对通用条款的补充内容”中规定的金额向采购人提交履约担保；</w:t>
      </w:r>
    </w:p>
    <w:p>
      <w:pPr>
        <w:ind w:firstLine="412" w:firstLineChars="196"/>
        <w:rPr>
          <w:rFonts w:ascii="宋体" w:hAnsi="宋体" w:hint="eastAsia"/>
          <w:szCs w:val="21"/>
        </w:rPr>
      </w:pPr>
      <w:r>
        <w:rPr>
          <w:rFonts w:ascii="宋体" w:hAnsi="宋体" w:hint="eastAsia"/>
          <w:szCs w:val="21"/>
        </w:rPr>
        <w:t>46.2，允许供应商自主选择以支票、汇票、本票、保函等非现金方式提交履约担保；</w:t>
      </w:r>
      <w:r>
        <w:t>中标</w:t>
      </w:r>
      <w:r>
        <w:rPr>
          <w:rFonts w:hint="eastAsia"/>
        </w:rPr>
        <w:t>人</w:t>
      </w:r>
      <w:r>
        <w:t>提交履约</w:t>
      </w:r>
      <w:r>
        <w:rPr>
          <w:rFonts w:hint="eastAsia"/>
        </w:rPr>
        <w:t>担保不是</w:t>
      </w:r>
      <w:r>
        <w:t>合同签订的</w:t>
      </w:r>
      <w:r>
        <w:rPr>
          <w:rFonts w:hint="eastAsia"/>
        </w:rPr>
        <w:t>前提</w:t>
      </w:r>
      <w:r>
        <w:t>条件，不要求中标</w:t>
      </w:r>
      <w:r>
        <w:rPr>
          <w:rFonts w:hint="eastAsia"/>
        </w:rPr>
        <w:t>人</w:t>
      </w:r>
      <w:r>
        <w:t>提供除法律、法规明确规定外的其他担保</w:t>
      </w:r>
      <w:r>
        <w:rPr>
          <w:rFonts w:hint="eastAsia"/>
        </w:rPr>
        <w:t>。</w:t>
      </w:r>
    </w:p>
    <w:p>
      <w:pPr>
        <w:rPr>
          <w:rFonts w:ascii="黑体" w:eastAsia="黑体" w:hAnsi="宋体" w:hint="eastAsia"/>
          <w:sz w:val="24"/>
        </w:rPr>
      </w:pPr>
      <w:r>
        <w:rPr>
          <w:rFonts w:ascii="黑体" w:eastAsia="黑体" w:hAnsi="宋体" w:hint="eastAsia"/>
          <w:sz w:val="24"/>
        </w:rPr>
        <w:t>47. 合同备案</w:t>
      </w:r>
    </w:p>
    <w:p>
      <w:pPr>
        <w:ind w:firstLine="412" w:firstLineChars="196"/>
        <w:rPr>
          <w:rFonts w:ascii="宋体" w:hAnsi="宋体" w:hint="eastAsia"/>
          <w:szCs w:val="21"/>
        </w:rPr>
      </w:pPr>
      <w:r>
        <w:rPr>
          <w:rFonts w:ascii="宋体" w:hAnsi="宋体" w:hint="eastAsia"/>
          <w:szCs w:val="21"/>
        </w:rPr>
        <w:t>采购人与中标供应商自中标通知书发出之日起10个工作日内签订政府采购合同，并按财政部门规定提交备案。</w:t>
      </w:r>
    </w:p>
    <w:p>
      <w:pPr>
        <w:rPr>
          <w:rFonts w:ascii="黑体" w:eastAsia="黑体" w:hAnsi="宋体" w:hint="eastAsia"/>
          <w:sz w:val="24"/>
        </w:rPr>
      </w:pPr>
      <w:r>
        <w:rPr>
          <w:rFonts w:ascii="黑体" w:eastAsia="黑体" w:hAnsi="宋体" w:hint="eastAsia"/>
          <w:sz w:val="24"/>
        </w:rPr>
        <w:t>48. 合同变更</w:t>
      </w:r>
    </w:p>
    <w:p>
      <w:pPr>
        <w:ind w:firstLine="412" w:firstLineChars="196"/>
        <w:rPr>
          <w:rFonts w:ascii="宋体" w:hAnsi="宋体" w:hint="eastAsia"/>
          <w:szCs w:val="21"/>
        </w:rPr>
      </w:pPr>
      <w:r>
        <w:rPr>
          <w:rFonts w:ascii="宋体" w:hAnsi="宋体" w:hint="eastAsia"/>
          <w:szCs w:val="21"/>
        </w:rPr>
        <w:t>合同变更事宜按《深圳市财政局关于优化政府采购合同备案的通知》（深财发保〔2022〕2号）相关规定执行。</w:t>
      </w:r>
    </w:p>
    <w:p>
      <w:pPr>
        <w:rPr>
          <w:rFonts w:ascii="黑体" w:eastAsia="黑体" w:hAnsi="宋体" w:hint="eastAsia"/>
          <w:sz w:val="24"/>
        </w:rPr>
      </w:pPr>
      <w:r>
        <w:rPr>
          <w:rFonts w:ascii="黑体" w:eastAsia="黑体" w:hAnsi="宋体" w:hint="eastAsia"/>
          <w:sz w:val="24"/>
        </w:rPr>
        <w:t>49. 项目验收</w:t>
      </w:r>
    </w:p>
    <w:p>
      <w:pPr>
        <w:widowControl/>
        <w:ind w:right="176" w:firstLine="420"/>
        <w:jc w:val="left"/>
        <w:rPr>
          <w:rFonts w:ascii="宋体" w:hAnsi="宋体" w:hint="eastAsia"/>
        </w:rPr>
      </w:pPr>
      <w:r>
        <w:rPr>
          <w:rFonts w:ascii="宋体" w:hAnsi="宋体" w:hint="eastAsia"/>
        </w:rPr>
        <w:t>49.1采购人应当按照招标文件和合同规定的标准和方法，及时组织验收。</w:t>
      </w:r>
      <w:r>
        <w:rPr>
          <w:rFonts w:ascii="宋体" w:hAnsi="宋体"/>
        </w:rPr>
        <w:t xml:space="preserve"> </w:t>
      </w:r>
    </w:p>
    <w:p>
      <w:pPr>
        <w:rPr>
          <w:rFonts w:ascii="黑体" w:eastAsia="黑体" w:hAnsi="宋体" w:hint="eastAsia"/>
          <w:sz w:val="24"/>
        </w:rPr>
      </w:pPr>
      <w:r>
        <w:rPr>
          <w:rFonts w:ascii="黑体" w:eastAsia="黑体" w:hAnsi="宋体" w:hint="eastAsia"/>
          <w:sz w:val="24"/>
        </w:rPr>
        <w:t>50. 宣传</w:t>
      </w:r>
    </w:p>
    <w:p>
      <w:pPr>
        <w:ind w:left="210" w:firstLine="412" w:leftChars="100" w:firstLineChars="196"/>
        <w:rPr>
          <w:rFonts w:ascii="宋体" w:hAnsi="宋体" w:hint="eastAsia"/>
        </w:rPr>
      </w:pPr>
      <w:r>
        <w:rPr>
          <w:rFonts w:ascii="宋体" w:hAnsi="宋体" w:hint="eastAsia"/>
        </w:rPr>
        <w:t>凡与政府采购活动有关的宣传或广告，若当中提及政府采购，</w:t>
      </w:r>
      <w:r>
        <w:rPr>
          <w:rFonts w:ascii="宋体" w:hAnsi="宋体"/>
        </w:rPr>
        <w:t>必须事先将具体对外宣传方案报</w:t>
      </w:r>
      <w:r>
        <w:rPr>
          <w:rFonts w:ascii="宋体" w:hAnsi="宋体" w:hint="eastAsia"/>
        </w:rPr>
        <w:t>同级财政部门</w:t>
      </w:r>
      <w:r>
        <w:rPr>
          <w:rFonts w:ascii="宋体" w:hAnsi="宋体"/>
        </w:rPr>
        <w:t>和</w:t>
      </w:r>
      <w:r>
        <w:rPr>
          <w:rFonts w:ascii="宋体" w:hAnsi="宋体" w:hint="eastAsia"/>
        </w:rPr>
        <w:t>政府集中采购机构</w:t>
      </w:r>
      <w:r>
        <w:rPr>
          <w:rFonts w:ascii="宋体" w:hAnsi="宋体"/>
        </w:rPr>
        <w:t>，并征得其同意。对外市场宣传包括但不限于以下形式：</w:t>
      </w:r>
    </w:p>
    <w:p>
      <w:pPr>
        <w:ind w:left="210" w:firstLine="412" w:leftChars="100" w:firstLineChars="196"/>
        <w:rPr>
          <w:rFonts w:ascii="宋体" w:hAnsi="宋体" w:hint="eastAsia"/>
        </w:rPr>
      </w:pPr>
      <w:r>
        <w:rPr>
          <w:rFonts w:ascii="宋体" w:hAnsi="宋体"/>
        </w:rPr>
        <w:t>a.名片、宣传册、广告标语等；</w:t>
      </w:r>
    </w:p>
    <w:p>
      <w:pPr>
        <w:ind w:left="210" w:firstLine="412" w:leftChars="100" w:firstLineChars="196"/>
        <w:rPr>
          <w:rFonts w:ascii="宋体" w:hAnsi="宋体" w:hint="eastAsia"/>
        </w:rPr>
      </w:pPr>
      <w:r>
        <w:rPr>
          <w:rFonts w:ascii="宋体" w:hAnsi="宋体"/>
        </w:rPr>
        <w:t>b.案例介绍、推广等；</w:t>
      </w:r>
    </w:p>
    <w:p>
      <w:pPr>
        <w:ind w:left="210" w:firstLine="412" w:leftChars="100" w:firstLineChars="196"/>
        <w:rPr>
          <w:rFonts w:ascii="宋体" w:hAnsi="宋体" w:hint="eastAsia"/>
        </w:rPr>
      </w:pPr>
      <w:r>
        <w:rPr>
          <w:rFonts w:ascii="宋体" w:hAnsi="宋体" w:hint="eastAsia"/>
        </w:rPr>
        <w:t>c.工作</w:t>
      </w:r>
      <w:r>
        <w:rPr>
          <w:rFonts w:ascii="宋体" w:hAnsi="宋体"/>
        </w:rPr>
        <w:t>人员向其他消费群体宣传。</w:t>
      </w:r>
    </w:p>
    <w:p>
      <w:pPr>
        <w:rPr>
          <w:rFonts w:ascii="黑体" w:eastAsia="黑体" w:hAnsi="宋体" w:hint="eastAsia"/>
          <w:sz w:val="24"/>
        </w:rPr>
      </w:pPr>
      <w:r>
        <w:rPr>
          <w:rFonts w:ascii="黑体" w:eastAsia="黑体" w:hAnsi="宋体" w:hint="eastAsia"/>
          <w:sz w:val="24"/>
        </w:rPr>
        <w:t>51. 供应商违法责任</w:t>
      </w:r>
    </w:p>
    <w:p>
      <w:pPr>
        <w:ind w:firstLine="412" w:firstLineChars="196"/>
        <w:rPr>
          <w:rFonts w:ascii="宋体" w:hAnsi="宋体" w:hint="eastAsia"/>
          <w:szCs w:val="21"/>
        </w:rPr>
      </w:pPr>
      <w:r>
        <w:rPr>
          <w:rFonts w:ascii="宋体" w:hAnsi="宋体" w:hint="eastAsia"/>
          <w:szCs w:val="21"/>
        </w:rPr>
        <w:t>5</w:t>
      </w:r>
      <w:r>
        <w:rPr>
          <w:rFonts w:ascii="宋体" w:hAnsi="宋体"/>
          <w:szCs w:val="21"/>
        </w:rPr>
        <w:t>1.1</w:t>
      </w:r>
      <w:r>
        <w:rPr>
          <w:rFonts w:ascii="宋体" w:hAnsi="宋体" w:hint="eastAsia"/>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12" w:firstLineChars="196"/>
        <w:rPr>
          <w:rFonts w:ascii="宋体" w:hAnsi="宋体" w:hint="eastAsia"/>
          <w:szCs w:val="21"/>
        </w:rPr>
      </w:pPr>
      <w:r>
        <w:rPr>
          <w:rFonts w:ascii="宋体" w:hAnsi="宋体" w:hint="eastAsia"/>
          <w:szCs w:val="21"/>
        </w:rPr>
        <w:t>（1）在采购活动中应当回避而未回避的；</w:t>
      </w:r>
    </w:p>
    <w:p>
      <w:pPr>
        <w:ind w:firstLine="412" w:firstLineChars="196"/>
        <w:rPr>
          <w:rFonts w:ascii="宋体" w:hAnsi="宋体" w:hint="eastAsia"/>
          <w:szCs w:val="21"/>
        </w:rPr>
      </w:pPr>
      <w:r>
        <w:rPr>
          <w:rFonts w:ascii="宋体" w:hAnsi="宋体" w:hint="eastAsia"/>
          <w:szCs w:val="21"/>
        </w:rPr>
        <w:t>（2）未按本条例规定签订、履行采购合同，造成严重后果的；</w:t>
      </w:r>
    </w:p>
    <w:p>
      <w:pPr>
        <w:ind w:firstLine="412" w:firstLineChars="196"/>
        <w:rPr>
          <w:rFonts w:ascii="宋体" w:hAnsi="宋体" w:hint="eastAsia"/>
          <w:szCs w:val="21"/>
        </w:rPr>
      </w:pPr>
      <w:r>
        <w:rPr>
          <w:rFonts w:ascii="宋体" w:hAnsi="宋体" w:hint="eastAsia"/>
          <w:szCs w:val="21"/>
        </w:rPr>
        <w:t>（3）隐瞒真实情况，提供虚假资料的；</w:t>
      </w:r>
    </w:p>
    <w:p>
      <w:pPr>
        <w:ind w:firstLine="412" w:firstLineChars="196"/>
        <w:rPr>
          <w:rFonts w:ascii="宋体" w:hAnsi="宋体" w:hint="eastAsia"/>
          <w:szCs w:val="21"/>
        </w:rPr>
      </w:pPr>
      <w:r>
        <w:rPr>
          <w:rFonts w:ascii="宋体" w:hAnsi="宋体" w:hint="eastAsia"/>
          <w:szCs w:val="21"/>
        </w:rPr>
        <w:t>（4）以非法手段排斥其他供应商参与竞争的；</w:t>
      </w:r>
    </w:p>
    <w:p>
      <w:pPr>
        <w:ind w:firstLine="412" w:firstLineChars="196"/>
        <w:rPr>
          <w:rFonts w:ascii="宋体" w:hAnsi="宋体" w:hint="eastAsia"/>
          <w:szCs w:val="21"/>
        </w:rPr>
      </w:pPr>
      <w:r>
        <w:rPr>
          <w:rFonts w:ascii="宋体" w:hAnsi="宋体" w:hint="eastAsia"/>
          <w:szCs w:val="21"/>
        </w:rPr>
        <w:t>（5）与其他采购参加人串通投标的；</w:t>
      </w:r>
    </w:p>
    <w:p>
      <w:pPr>
        <w:ind w:firstLine="412" w:firstLineChars="196"/>
        <w:rPr>
          <w:rFonts w:ascii="宋体" w:hAnsi="宋体" w:hint="eastAsia"/>
          <w:szCs w:val="21"/>
        </w:rPr>
      </w:pPr>
      <w:r>
        <w:rPr>
          <w:rFonts w:ascii="宋体" w:hAnsi="宋体" w:hint="eastAsia"/>
          <w:szCs w:val="21"/>
        </w:rPr>
        <w:t>（6）恶意投诉的；</w:t>
      </w:r>
    </w:p>
    <w:p>
      <w:pPr>
        <w:ind w:firstLine="412" w:firstLineChars="196"/>
        <w:rPr>
          <w:rFonts w:ascii="宋体" w:hAnsi="宋体" w:hint="eastAsia"/>
          <w:szCs w:val="21"/>
        </w:rPr>
      </w:pPr>
      <w:r>
        <w:rPr>
          <w:rFonts w:ascii="宋体" w:hAnsi="宋体" w:hint="eastAsia"/>
          <w:szCs w:val="21"/>
        </w:rPr>
        <w:t>（7）向采购项目相关人行贿或者提供其他不当利益的；</w:t>
      </w:r>
    </w:p>
    <w:p>
      <w:pPr>
        <w:ind w:firstLine="412" w:firstLineChars="196"/>
        <w:rPr>
          <w:rFonts w:ascii="宋体" w:hAnsi="宋体" w:hint="eastAsia"/>
          <w:szCs w:val="21"/>
        </w:rPr>
      </w:pPr>
      <w:r>
        <w:rPr>
          <w:rFonts w:ascii="宋体" w:hAnsi="宋体" w:hint="eastAsia"/>
          <w:szCs w:val="21"/>
        </w:rPr>
        <w:t>（8）阻碍、抗拒主管部门监督检查的；</w:t>
      </w:r>
    </w:p>
    <w:p>
      <w:pPr>
        <w:ind w:firstLine="412" w:firstLineChars="196"/>
        <w:rPr>
          <w:rFonts w:ascii="宋体" w:hAnsi="宋体" w:hint="eastAsia"/>
          <w:szCs w:val="21"/>
        </w:rPr>
      </w:pPr>
      <w:r>
        <w:rPr>
          <w:rFonts w:ascii="宋体" w:hAnsi="宋体" w:hint="eastAsia"/>
          <w:szCs w:val="21"/>
        </w:rPr>
        <w:t>（9）其他违反本条例规定的行为。</w:t>
      </w:r>
    </w:p>
    <w:p>
      <w:pPr>
        <w:ind w:firstLine="412" w:firstLineChars="196"/>
        <w:rPr>
          <w:rFonts w:ascii="宋体" w:hAnsi="宋体" w:hint="eastAsia"/>
          <w:szCs w:val="21"/>
        </w:rPr>
      </w:pPr>
      <w:r>
        <w:rPr>
          <w:rFonts w:ascii="宋体" w:hAnsi="宋体" w:hint="eastAsia"/>
          <w:szCs w:val="21"/>
        </w:rPr>
        <w:t>5</w:t>
      </w:r>
      <w:r>
        <w:rPr>
          <w:rFonts w:ascii="宋体" w:hAnsi="宋体"/>
          <w:szCs w:val="21"/>
        </w:rPr>
        <w:t xml:space="preserve">1.2 </w:t>
      </w:r>
      <w:r>
        <w:rPr>
          <w:rFonts w:ascii="宋体" w:hAnsi="宋体" w:hint="eastAsia"/>
          <w:szCs w:val="21"/>
        </w:rPr>
        <w:t>根据《深圳市财政局关于调整政府采购投标（响应）保证金管理政策的通知 》（深财购〔2021〕51号）的要求，供应商在政府采购活动中出现《深圳经济特区政府采购条例实施细则》第八十条所列情形的，</w:t>
      </w:r>
      <w:bookmarkStart w:id="108" w:name="_Hlk72440769"/>
      <w:r>
        <w:rPr>
          <w:rFonts w:ascii="宋体" w:hAnsi="宋体" w:hint="eastAsia"/>
          <w:szCs w:val="21"/>
        </w:rPr>
        <w:t>政府集中采购机构或采购人不予退还其交纳的谈判保证金，情节严重的，并由主管部门</w:t>
      </w:r>
      <w:bookmarkEnd w:id="108"/>
      <w:r>
        <w:rPr>
          <w:rFonts w:ascii="宋体" w:hAnsi="宋体" w:hint="eastAsia"/>
          <w:szCs w:val="21"/>
        </w:rPr>
        <w:t>记入供应商诚信档案，予以通报：</w:t>
      </w:r>
    </w:p>
    <w:p>
      <w:pPr>
        <w:ind w:firstLine="412" w:firstLineChars="196"/>
        <w:rPr>
          <w:rFonts w:ascii="宋体" w:hAnsi="宋体" w:hint="eastAsia"/>
          <w:szCs w:val="21"/>
        </w:rPr>
      </w:pPr>
      <w:r>
        <w:rPr>
          <w:rFonts w:ascii="宋体" w:hAnsi="宋体" w:hint="eastAsia"/>
          <w:szCs w:val="21"/>
        </w:rPr>
        <w:t>（1</w:t>
      </w:r>
      <w:r>
        <w:rPr>
          <w:rFonts w:ascii="宋体" w:hAnsi="宋体"/>
          <w:szCs w:val="21"/>
        </w:rPr>
        <w:t>）投标截止后，撤销投标的；</w:t>
      </w:r>
    </w:p>
    <w:p>
      <w:pPr>
        <w:ind w:firstLine="412" w:firstLineChars="196"/>
        <w:rPr>
          <w:rFonts w:ascii="宋体" w:hAnsi="宋体" w:hint="eastAsia"/>
          <w:szCs w:val="21"/>
        </w:rPr>
      </w:pPr>
      <w:r>
        <w:rPr>
          <w:rFonts w:ascii="宋体" w:hAnsi="宋体"/>
          <w:szCs w:val="21"/>
        </w:rPr>
        <w:t>（</w:t>
      </w:r>
      <w:r>
        <w:rPr>
          <w:rFonts w:ascii="宋体" w:hAnsi="宋体" w:hint="eastAsia"/>
          <w:szCs w:val="21"/>
        </w:rPr>
        <w:t>2</w:t>
      </w:r>
      <w:r>
        <w:rPr>
          <w:rFonts w:ascii="宋体" w:hAnsi="宋体"/>
          <w:szCs w:val="21"/>
        </w:rPr>
        <w:t>）中标后无正当理由未在规定期限内签订合同的；</w:t>
      </w:r>
    </w:p>
    <w:p>
      <w:pPr>
        <w:ind w:firstLine="412" w:firstLineChars="196"/>
        <w:rPr>
          <w:rFonts w:ascii="宋体" w:hAnsi="宋体" w:hint="eastAsia"/>
          <w:szCs w:val="21"/>
        </w:rPr>
      </w:pPr>
      <w:r>
        <w:rPr>
          <w:rFonts w:ascii="宋体" w:hAnsi="宋体"/>
          <w:szCs w:val="21"/>
        </w:rPr>
        <w:t>（</w:t>
      </w:r>
      <w:r>
        <w:rPr>
          <w:rFonts w:ascii="宋体" w:hAnsi="宋体" w:hint="eastAsia"/>
          <w:szCs w:val="21"/>
        </w:rPr>
        <w:t>3</w:t>
      </w:r>
      <w:r>
        <w:rPr>
          <w:rFonts w:ascii="宋体" w:hAnsi="宋体"/>
          <w:szCs w:val="21"/>
        </w:rPr>
        <w:t>）将中标项目转让给他人、或者在投标文件中未说明且未经采购人、采购招标机构同意，将中标项目分包给他人的；</w:t>
      </w:r>
    </w:p>
    <w:p>
      <w:pPr>
        <w:ind w:firstLine="412" w:firstLineChars="196"/>
        <w:rPr>
          <w:rFonts w:ascii="宋体" w:hAnsi="宋体" w:hint="eastAsia"/>
          <w:szCs w:val="21"/>
        </w:rPr>
      </w:pPr>
      <w:r>
        <w:rPr>
          <w:rFonts w:ascii="宋体" w:hAnsi="宋体"/>
          <w:szCs w:val="21"/>
        </w:rPr>
        <w:t>（</w:t>
      </w:r>
      <w:r>
        <w:rPr>
          <w:rFonts w:ascii="宋体" w:hAnsi="宋体" w:hint="eastAsia"/>
          <w:szCs w:val="21"/>
        </w:rPr>
        <w:t>4</w:t>
      </w:r>
      <w:r>
        <w:rPr>
          <w:rFonts w:ascii="宋体" w:hAnsi="宋体"/>
          <w:szCs w:val="21"/>
        </w:rPr>
        <w:t>）拒绝履行合同义务的</w:t>
      </w:r>
      <w:r>
        <w:rPr>
          <w:rFonts w:ascii="宋体" w:hAnsi="宋体" w:hint="eastAsia"/>
          <w:szCs w:val="21"/>
        </w:rPr>
        <w:t>。</w:t>
      </w:r>
    </w:p>
    <w:p>
      <w:pPr>
        <w:pStyle w:val="Heading2"/>
        <w:numPr>
          <w:ilvl w:val="0"/>
          <w:numId w:val="56"/>
        </w:numPr>
        <w:spacing w:before="120" w:beforeLines="50" w:after="120" w:afterLines="50"/>
        <w:ind w:left="562" w:hanging="562"/>
        <w:rPr>
          <w:rFonts w:hint="eastAsia"/>
          <w:sz w:val="28"/>
          <w:szCs w:val="28"/>
        </w:rPr>
      </w:pPr>
      <w:bookmarkEnd w:id="92"/>
      <w:r>
        <w:rPr>
          <w:rFonts w:hint="eastAsia"/>
          <w:sz w:val="28"/>
          <w:szCs w:val="28"/>
        </w:rPr>
        <w:t>质疑处理</w:t>
      </w:r>
    </w:p>
    <w:p>
      <w:pPr>
        <w:rPr>
          <w:rFonts w:ascii="黑体" w:eastAsia="黑体" w:hAnsi="宋体" w:hint="eastAsia"/>
          <w:sz w:val="24"/>
        </w:rPr>
      </w:pPr>
      <w:bookmarkStart w:id="109" w:name="_Hlk72439706"/>
      <w:r>
        <w:rPr>
          <w:rFonts w:ascii="黑体" w:eastAsia="黑体" w:hAnsi="宋体" w:hint="eastAsia"/>
          <w:sz w:val="24"/>
        </w:rPr>
        <w:t>52.质疑提出与答复</w:t>
      </w:r>
    </w:p>
    <w:p>
      <w:pPr>
        <w:rPr>
          <w:rFonts w:ascii="宋体" w:hAnsi="宋体" w:hint="eastAsia"/>
          <w:szCs w:val="21"/>
        </w:rPr>
      </w:pPr>
      <w:r>
        <w:rPr>
          <w:rFonts w:ascii="宋体" w:hAnsi="宋体" w:hint="eastAsia"/>
          <w:szCs w:val="21"/>
        </w:rPr>
        <w:t xml:space="preserve">    52.1提出质疑</w:t>
      </w:r>
    </w:p>
    <w:p>
      <w:pPr>
        <w:rPr>
          <w:rFonts w:ascii="宋体" w:hAnsi="宋体" w:hint="eastAsia"/>
          <w:szCs w:val="21"/>
        </w:rPr>
      </w:pPr>
      <w:r>
        <w:rPr>
          <w:rFonts w:ascii="宋体" w:hAnsi="宋体" w:hint="eastAsia"/>
          <w:szCs w:val="21"/>
        </w:rPr>
        <w:t xml:space="preserve">    参与政府采购活动的供应商认为自己的权益在采购活动中受到损害的，应当自知道或者应当知道其权益受到损害之日起七个工作日内向采购人、政府集中采购机构以书面形式提出质疑。</w:t>
      </w:r>
    </w:p>
    <w:p>
      <w:pPr>
        <w:rPr>
          <w:rFonts w:ascii="宋体" w:hAnsi="宋体" w:hint="eastAsia"/>
          <w:szCs w:val="21"/>
        </w:rPr>
      </w:pPr>
      <w:r>
        <w:rPr>
          <w:rFonts w:ascii="宋体" w:hAnsi="宋体" w:hint="eastAsia"/>
          <w:szCs w:val="21"/>
        </w:rPr>
        <w:t xml:space="preserve">    52.2</w:t>
      </w:r>
      <w:r>
        <w:rPr>
          <w:rFonts w:ascii="宋体" w:hAnsi="宋体"/>
          <w:szCs w:val="21"/>
        </w:rPr>
        <w:t>法律依据</w:t>
      </w:r>
    </w:p>
    <w:p>
      <w:pPr>
        <w:rPr>
          <w:rFonts w:ascii="宋体" w:hAnsi="宋体" w:hint="eastAsia"/>
          <w:szCs w:val="21"/>
        </w:rPr>
      </w:pPr>
      <w:r>
        <w:rPr>
          <w:rFonts w:ascii="宋体" w:hAnsi="宋体" w:hint="eastAsia"/>
          <w:szCs w:val="21"/>
        </w:rPr>
        <w:t xml:space="preserve">    《中华人民共和国政府采购法》、《中华人民共和国政府采购法实施条例》、</w:t>
      </w:r>
      <w:r>
        <w:rPr>
          <w:rFonts w:ascii="宋体" w:hAnsi="宋体"/>
          <w:szCs w:val="21"/>
        </w:rPr>
        <w:t>《</w:t>
      </w:r>
      <w:r>
        <w:rPr>
          <w:rFonts w:ascii="宋体" w:hAnsi="宋体" w:hint="eastAsia"/>
          <w:szCs w:val="21"/>
        </w:rPr>
        <w:t>深圳经济特区政府采购</w:t>
      </w:r>
      <w:r>
        <w:rPr>
          <w:rFonts w:ascii="宋体" w:hAnsi="宋体"/>
          <w:szCs w:val="21"/>
        </w:rPr>
        <w:t>条例</w:t>
      </w:r>
      <w:r>
        <w:rPr>
          <w:rFonts w:ascii="宋体" w:hAnsi="宋体" w:hint="eastAsia"/>
          <w:szCs w:val="21"/>
        </w:rPr>
        <w:t>》、《深圳经济特区政府采购条例实施细则》、《政府采购质疑和投诉办法》（财政部令第94号）和其他有关法律法规规定。</w:t>
      </w:r>
    </w:p>
    <w:p>
      <w:pPr>
        <w:rPr>
          <w:rFonts w:ascii="宋体" w:hAnsi="宋体" w:hint="eastAsia"/>
          <w:szCs w:val="21"/>
        </w:rPr>
      </w:pPr>
      <w:r>
        <w:rPr>
          <w:rFonts w:ascii="宋体" w:hAnsi="宋体" w:hint="eastAsia"/>
          <w:szCs w:val="21"/>
        </w:rPr>
        <w:t xml:space="preserve">  </w:t>
      </w:r>
      <w:r>
        <w:rPr>
          <w:rFonts w:ascii="宋体" w:hAnsi="宋体" w:hint="eastAsia"/>
          <w:color w:val="FF0000"/>
          <w:szCs w:val="21"/>
        </w:rPr>
        <w:t xml:space="preserve">  </w:t>
      </w:r>
      <w:r>
        <w:rPr>
          <w:rFonts w:ascii="宋体" w:hAnsi="宋体" w:hint="eastAsia"/>
          <w:szCs w:val="21"/>
        </w:rPr>
        <w:t>52.3质疑条件</w:t>
      </w:r>
    </w:p>
    <w:p>
      <w:pPr>
        <w:rPr>
          <w:rFonts w:ascii="宋体" w:hAnsi="宋体" w:hint="eastAsia"/>
          <w:szCs w:val="21"/>
        </w:rPr>
      </w:pPr>
      <w:r>
        <w:rPr>
          <w:rFonts w:ascii="宋体" w:hAnsi="宋体" w:hint="eastAsia"/>
          <w:szCs w:val="21"/>
        </w:rPr>
        <w:t xml:space="preserve">    52.3.1提出质疑的供应商应当是参与所质疑项目采购活动的供应商；以联合体形式参与的，质疑应当由组成联合体的所有成员共同提出；</w:t>
      </w:r>
    </w:p>
    <w:p>
      <w:pPr>
        <w:rPr>
          <w:rFonts w:ascii="宋体" w:hAnsi="宋体" w:hint="eastAsia"/>
          <w:szCs w:val="21"/>
        </w:rPr>
      </w:pPr>
      <w:r>
        <w:rPr>
          <w:rFonts w:ascii="宋体" w:hAnsi="宋体" w:hint="eastAsia"/>
          <w:szCs w:val="21"/>
        </w:rPr>
        <w:t xml:space="preserve">    52.3.2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成交）结果以及评审委员会组成人员的质疑，为中标（成交）结果公示之日；</w:t>
      </w:r>
    </w:p>
    <w:p>
      <w:pPr>
        <w:ind w:firstLine="420"/>
        <w:rPr>
          <w:rFonts w:ascii="宋体" w:hAnsi="宋体" w:hint="eastAsia"/>
          <w:szCs w:val="21"/>
        </w:rPr>
      </w:pPr>
      <w:r>
        <w:rPr>
          <w:rFonts w:ascii="宋体" w:hAnsi="宋体" w:hint="eastAsia"/>
          <w:szCs w:val="21"/>
        </w:rPr>
        <w:t>52.3.3应提交书面质疑函，质疑函应当包括以下内容：</w:t>
      </w:r>
      <w:r>
        <w:rPr>
          <w:rFonts w:ascii="宋体" w:hAnsi="宋体"/>
          <w:szCs w:val="21"/>
        </w:rPr>
        <w:t xml:space="preserve"> </w:t>
      </w:r>
    </w:p>
    <w:p>
      <w:pPr>
        <w:ind w:firstLine="420"/>
        <w:rPr>
          <w:rFonts w:ascii="宋体" w:hAnsi="宋体" w:hint="eastAsia"/>
          <w:szCs w:val="21"/>
        </w:rPr>
      </w:pPr>
      <w:r>
        <w:rPr>
          <w:rFonts w:ascii="宋体" w:hAnsi="宋体" w:hint="eastAsia"/>
          <w:szCs w:val="21"/>
        </w:rPr>
        <w:t>（1）供应商的名称（或者姓名）、地址、邮编、邮箱、联系人及联系电话；</w:t>
      </w:r>
    </w:p>
    <w:p>
      <w:pPr>
        <w:ind w:firstLine="420" w:firstLineChars="200"/>
        <w:rPr>
          <w:rFonts w:ascii="宋体" w:hAnsi="宋体" w:hint="eastAsia"/>
          <w:szCs w:val="21"/>
        </w:rPr>
      </w:pPr>
      <w:r>
        <w:rPr>
          <w:rFonts w:ascii="宋体" w:hAnsi="宋体" w:hint="eastAsia"/>
          <w:szCs w:val="21"/>
        </w:rPr>
        <w:t>（2）质疑项目的名称、编号；</w:t>
      </w:r>
    </w:p>
    <w:p>
      <w:pPr>
        <w:ind w:firstLine="420" w:firstLineChars="200"/>
        <w:rPr>
          <w:rFonts w:ascii="宋体" w:hAnsi="宋体" w:hint="eastAsia"/>
          <w:szCs w:val="21"/>
        </w:rPr>
      </w:pPr>
      <w:r>
        <w:rPr>
          <w:rFonts w:ascii="宋体" w:hAnsi="宋体" w:hint="eastAsia"/>
          <w:szCs w:val="21"/>
        </w:rPr>
        <w:t>（3）具体、明确的质疑对象、质疑事项和质疑请求；</w:t>
      </w:r>
    </w:p>
    <w:p>
      <w:pPr>
        <w:ind w:firstLine="420" w:firstLineChars="200"/>
        <w:rPr>
          <w:rFonts w:ascii="宋体" w:hAnsi="宋体" w:hint="eastAsia"/>
          <w:szCs w:val="21"/>
        </w:rPr>
      </w:pPr>
      <w:r>
        <w:rPr>
          <w:rFonts w:ascii="宋体" w:hAnsi="宋体" w:hint="eastAsia"/>
          <w:szCs w:val="21"/>
        </w:rPr>
        <w:t>（4）因质疑事项而受损害的权益；</w:t>
      </w:r>
    </w:p>
    <w:p>
      <w:pPr>
        <w:ind w:firstLine="420" w:firstLineChars="200"/>
        <w:rPr>
          <w:rFonts w:ascii="宋体" w:hAnsi="宋体" w:hint="eastAsia"/>
          <w:szCs w:val="21"/>
        </w:rPr>
      </w:pPr>
      <w:r>
        <w:rPr>
          <w:rFonts w:ascii="宋体" w:hAnsi="宋体" w:hint="eastAsia"/>
          <w:szCs w:val="21"/>
        </w:rPr>
        <w:t>（5）事实依据；</w:t>
      </w:r>
    </w:p>
    <w:p>
      <w:pPr>
        <w:ind w:firstLine="420" w:firstLineChars="200"/>
        <w:rPr>
          <w:rFonts w:ascii="宋体" w:hAnsi="宋体" w:hint="eastAsia"/>
          <w:szCs w:val="21"/>
        </w:rPr>
      </w:pPr>
      <w:r>
        <w:rPr>
          <w:rFonts w:ascii="宋体" w:hAnsi="宋体" w:hint="eastAsia"/>
          <w:szCs w:val="21"/>
        </w:rPr>
        <w:t>（6）必要的法律依据；</w:t>
      </w:r>
    </w:p>
    <w:p>
      <w:pPr>
        <w:ind w:firstLine="420" w:firstLineChars="200"/>
        <w:rPr>
          <w:rFonts w:ascii="宋体" w:hAnsi="宋体" w:hint="eastAsia"/>
          <w:szCs w:val="21"/>
        </w:rPr>
      </w:pPr>
      <w:r>
        <w:rPr>
          <w:rFonts w:ascii="宋体" w:hAnsi="宋体" w:hint="eastAsia"/>
          <w:szCs w:val="21"/>
        </w:rPr>
        <w:t>（7）提出质疑的日期。</w:t>
      </w:r>
    </w:p>
    <w:p>
      <w:pPr>
        <w:ind w:firstLine="420" w:firstLineChars="200"/>
        <w:rPr>
          <w:rFonts w:ascii="宋体" w:hAnsi="宋体" w:hint="eastAsia"/>
          <w:szCs w:val="21"/>
        </w:rPr>
      </w:pPr>
      <w:r>
        <w:rPr>
          <w:rFonts w:ascii="宋体" w:hAnsi="宋体" w:hint="eastAsia"/>
          <w:szCs w:val="21"/>
        </w:rPr>
        <w:t>供应商为自然人的，应当由本人签字；供应商为法人或者其他组织的，应当由法定代表人（负责人），或者其授权代理人签字或者盖章，并加盖公章。</w:t>
      </w:r>
    </w:p>
    <w:p>
      <w:pPr>
        <w:ind w:firstLine="420" w:firstLineChars="200"/>
        <w:rPr>
          <w:rFonts w:ascii="宋体" w:hAnsi="宋体" w:hint="eastAsia"/>
          <w:szCs w:val="21"/>
        </w:rPr>
      </w:pPr>
      <w:r>
        <w:rPr>
          <w:rFonts w:ascii="宋体" w:hAnsi="宋体" w:hint="eastAsia"/>
          <w:szCs w:val="21"/>
        </w:rPr>
        <w:t>52.4提交</w:t>
      </w:r>
      <w:r>
        <w:rPr>
          <w:rFonts w:ascii="宋体" w:hAnsi="宋体"/>
          <w:szCs w:val="21"/>
        </w:rPr>
        <w:t>材料</w:t>
      </w:r>
    </w:p>
    <w:p>
      <w:pPr>
        <w:ind w:firstLine="420" w:firstLineChars="200"/>
        <w:rPr>
          <w:rFonts w:ascii="宋体" w:hAnsi="宋体" w:hint="eastAsia"/>
          <w:szCs w:val="21"/>
        </w:rPr>
      </w:pPr>
      <w:r>
        <w:rPr>
          <w:rFonts w:ascii="宋体" w:hAnsi="宋体" w:hint="eastAsia"/>
          <w:szCs w:val="21"/>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20" w:firstLineChars="200"/>
        <w:rPr>
          <w:rFonts w:ascii="宋体" w:hAnsi="宋体" w:hint="eastAsia"/>
          <w:szCs w:val="21"/>
        </w:rPr>
      </w:pPr>
      <w:r>
        <w:rPr>
          <w:rFonts w:ascii="宋体" w:hAnsi="宋体" w:hint="eastAsia"/>
          <w:szCs w:val="21"/>
        </w:rPr>
        <w:t>供应商可以委托代理人进行质疑。</w:t>
      </w:r>
      <w:r>
        <w:rPr>
          <w:rFonts w:ascii="宋体" w:hAnsi="宋体"/>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20" w:firstLineChars="200"/>
        <w:rPr>
          <w:rFonts w:ascii="宋体" w:hAnsi="宋体" w:hint="eastAsia"/>
          <w:szCs w:val="21"/>
        </w:rPr>
      </w:pPr>
      <w:r>
        <w:rPr>
          <w:rFonts w:ascii="宋体" w:hAnsi="宋体" w:hint="eastAsia"/>
          <w:szCs w:val="21"/>
        </w:rPr>
        <w:t>52.5收文地点</w:t>
      </w:r>
    </w:p>
    <w:p>
      <w:pPr>
        <w:ind w:firstLine="420" w:firstLineChars="200"/>
        <w:rPr>
          <w:rFonts w:ascii="宋体" w:hAnsi="宋体" w:hint="eastAsia"/>
          <w:b/>
          <w:bCs/>
          <w:szCs w:val="21"/>
        </w:rPr>
      </w:pPr>
      <w:r>
        <w:rPr>
          <w:rFonts w:ascii="宋体" w:hAnsi="宋体" w:hint="eastAsia"/>
          <w:b/>
          <w:bCs/>
          <w:szCs w:val="21"/>
        </w:rPr>
        <w:t>地址：深圳公共资源交易中心（深圳交易集团有限公司政府采购业务分公司）深圳市南山区沙河西路3185号南山智谷A座（深圳交易集团总部大楼）27楼，质疑咨询电话：0755-86500050。。</w:t>
      </w:r>
    </w:p>
    <w:p>
      <w:pPr>
        <w:ind w:firstLine="420" w:firstLineChars="200"/>
        <w:rPr>
          <w:rFonts w:ascii="宋体" w:hAnsi="宋体" w:hint="eastAsia"/>
          <w:szCs w:val="21"/>
        </w:rPr>
      </w:pPr>
      <w:r>
        <w:rPr>
          <w:rFonts w:ascii="宋体" w:hAnsi="宋体" w:hint="eastAsia"/>
          <w:szCs w:val="21"/>
        </w:rPr>
        <w:t>52.6收文办理</w:t>
      </w:r>
      <w:r>
        <w:rPr>
          <w:rFonts w:ascii="宋体" w:hAnsi="宋体"/>
          <w:szCs w:val="21"/>
        </w:rPr>
        <w:t>程序</w:t>
      </w:r>
    </w:p>
    <w:p>
      <w:pPr>
        <w:ind w:firstLine="420" w:firstLineChars="200"/>
        <w:rPr>
          <w:rFonts w:ascii="宋体" w:hAnsi="宋体" w:hint="eastAsia"/>
          <w:szCs w:val="21"/>
        </w:rPr>
      </w:pPr>
      <w:r>
        <w:rPr>
          <w:rFonts w:ascii="宋体" w:hAnsi="宋体" w:hint="eastAsia"/>
          <w:szCs w:val="21"/>
        </w:rPr>
        <w:t>52.6.1供应商提交的质疑符合受理条件的，政府集中采购机构自收到质疑材料之日起即为受理，应当向供应商出具质疑函收文回执并可以要求其递交质疑的法定代表人（负责人）或者授权代理人签署质疑文书送达地址确认书。</w:t>
      </w:r>
    </w:p>
    <w:p>
      <w:pPr>
        <w:ind w:firstLine="420" w:firstLineChars="200"/>
        <w:rPr>
          <w:rFonts w:ascii="仿宋" w:eastAsia="仿宋" w:hAnsi="仿宋" w:hint="eastAsia"/>
          <w:sz w:val="28"/>
          <w:szCs w:val="28"/>
        </w:rPr>
      </w:pPr>
      <w:r>
        <w:rPr>
          <w:rFonts w:ascii="宋体" w:hAnsi="宋体" w:hint="eastAsia"/>
          <w:szCs w:val="21"/>
        </w:rPr>
        <w:t>52.6.2供应商提交的质疑材料不符合质疑条件的，视情况处理：</w:t>
      </w:r>
    </w:p>
    <w:p>
      <w:pPr>
        <w:ind w:firstLine="420" w:firstLineChars="200"/>
        <w:rPr>
          <w:rFonts w:ascii="宋体" w:hAnsi="宋体" w:hint="eastAsia"/>
          <w:szCs w:val="21"/>
        </w:rPr>
      </w:pPr>
      <w:r>
        <w:rPr>
          <w:rFonts w:ascii="宋体" w:hAnsi="宋体" w:hint="eastAsia"/>
          <w:szCs w:val="21"/>
        </w:rPr>
        <w:t>供应商提交的质疑材料不全或者未按要求签字或者盖章的，政府集中采购机构应当一次性告知供应商需补正的内容和补正期限。</w:t>
      </w:r>
    </w:p>
    <w:p>
      <w:pPr>
        <w:ind w:firstLine="420" w:firstLineChars="200"/>
        <w:rPr>
          <w:rFonts w:ascii="宋体" w:hAnsi="宋体" w:hint="eastAsia"/>
          <w:szCs w:val="21"/>
        </w:rPr>
      </w:pPr>
      <w:r>
        <w:rPr>
          <w:rFonts w:ascii="宋体" w:hAnsi="宋体" w:hint="eastAsia"/>
          <w:szCs w:val="21"/>
        </w:rPr>
        <w:t>供应商提交的质疑存在下列情形之一的，不予受理：</w:t>
      </w:r>
    </w:p>
    <w:p>
      <w:pPr>
        <w:ind w:firstLine="420" w:firstLineChars="200"/>
        <w:rPr>
          <w:rFonts w:ascii="宋体" w:hAnsi="宋体" w:hint="eastAsia"/>
          <w:szCs w:val="21"/>
        </w:rPr>
      </w:pPr>
      <w:r>
        <w:rPr>
          <w:rFonts w:ascii="宋体" w:hAnsi="宋体" w:hint="eastAsia"/>
          <w:szCs w:val="21"/>
        </w:rPr>
        <w:t>（1）质疑主体不满足要求的；</w:t>
      </w:r>
    </w:p>
    <w:p>
      <w:pPr>
        <w:ind w:firstLine="420" w:firstLineChars="200"/>
        <w:rPr>
          <w:rFonts w:ascii="宋体" w:hAnsi="宋体" w:hint="eastAsia"/>
          <w:szCs w:val="21"/>
        </w:rPr>
      </w:pPr>
      <w:r>
        <w:rPr>
          <w:rFonts w:ascii="宋体" w:hAnsi="宋体" w:hint="eastAsia"/>
          <w:szCs w:val="21"/>
        </w:rPr>
        <w:t>（2）供应商自身权益未受到损害的；</w:t>
      </w:r>
    </w:p>
    <w:p>
      <w:pPr>
        <w:ind w:firstLine="420" w:firstLineChars="200"/>
        <w:rPr>
          <w:rFonts w:ascii="宋体" w:hAnsi="宋体" w:hint="eastAsia"/>
          <w:szCs w:val="21"/>
        </w:rPr>
      </w:pPr>
      <w:r>
        <w:rPr>
          <w:rFonts w:ascii="宋体" w:hAnsi="宋体" w:hint="eastAsia"/>
          <w:szCs w:val="21"/>
        </w:rPr>
        <w:t>（3）供应商未在法定质疑期限内提出质疑的；</w:t>
      </w:r>
    </w:p>
    <w:p>
      <w:pPr>
        <w:ind w:firstLine="420" w:firstLineChars="200"/>
        <w:rPr>
          <w:rFonts w:ascii="宋体" w:hAnsi="宋体" w:hint="eastAsia"/>
          <w:szCs w:val="21"/>
        </w:rPr>
      </w:pPr>
      <w:r>
        <w:rPr>
          <w:rFonts w:ascii="宋体" w:hAnsi="宋体" w:hint="eastAsia"/>
          <w:szCs w:val="21"/>
        </w:rPr>
        <w:t>（4）质疑材料不全或者未按要求签字或者盖章的情况下，要求补正后，逾期未补正或者补正后仍不符合规定的；</w:t>
      </w:r>
    </w:p>
    <w:p>
      <w:pPr>
        <w:ind w:firstLine="420" w:firstLineChars="200"/>
        <w:rPr>
          <w:rFonts w:ascii="宋体" w:hAnsi="宋体" w:hint="eastAsia"/>
          <w:szCs w:val="21"/>
        </w:rPr>
      </w:pPr>
      <w:r>
        <w:rPr>
          <w:rFonts w:ascii="宋体" w:hAnsi="宋体" w:hint="eastAsia"/>
          <w:szCs w:val="21"/>
        </w:rPr>
        <w:t>（5）其他不符合受理条件情形的。</w:t>
      </w:r>
    </w:p>
    <w:p>
      <w:pPr>
        <w:ind w:firstLine="420" w:firstLineChars="200"/>
        <w:rPr>
          <w:rFonts w:ascii="宋体" w:hAnsi="宋体" w:hint="eastAsia"/>
          <w:szCs w:val="21"/>
        </w:rPr>
      </w:pPr>
      <w:r>
        <w:rPr>
          <w:rFonts w:ascii="宋体" w:hAnsi="宋体" w:hint="eastAsia"/>
          <w:szCs w:val="21"/>
        </w:rPr>
        <w:t>质疑事项不予受理的，政府集中采购机构应当向供应商出具不符合质疑条件告知书。</w:t>
      </w:r>
    </w:p>
    <w:p>
      <w:pPr>
        <w:rPr>
          <w:rFonts w:ascii="宋体" w:hAnsi="宋体" w:hint="eastAsia"/>
          <w:szCs w:val="21"/>
        </w:rPr>
      </w:pPr>
      <w:r>
        <w:rPr>
          <w:rFonts w:ascii="宋体" w:hAnsi="宋体" w:hint="eastAsia"/>
          <w:color w:val="FF0000"/>
          <w:szCs w:val="21"/>
        </w:rPr>
        <w:t xml:space="preserve">  </w:t>
      </w:r>
      <w:r>
        <w:rPr>
          <w:rFonts w:ascii="宋体" w:hAnsi="宋体" w:hint="eastAsia"/>
          <w:szCs w:val="21"/>
        </w:rPr>
        <w:t xml:space="preserve">  52.7质疑答复时限</w:t>
      </w:r>
    </w:p>
    <w:p>
      <w:pPr>
        <w:rPr>
          <w:rFonts w:ascii="宋体" w:hAnsi="宋体" w:hint="eastAsia"/>
          <w:szCs w:val="21"/>
        </w:rPr>
      </w:pPr>
      <w:r>
        <w:rPr>
          <w:rFonts w:ascii="宋体" w:hAnsi="宋体" w:hint="eastAsia"/>
          <w:szCs w:val="21"/>
        </w:rPr>
        <w:t xml:space="preserve">    自收文之日起七个工作日内。</w:t>
      </w:r>
    </w:p>
    <w:p>
      <w:pPr>
        <w:rPr>
          <w:rFonts w:ascii="宋体" w:hAnsi="宋体" w:hint="eastAsia"/>
          <w:szCs w:val="21"/>
        </w:rPr>
      </w:pPr>
      <w:r>
        <w:rPr>
          <w:rFonts w:ascii="宋体" w:hAnsi="宋体" w:hint="eastAsia"/>
          <w:szCs w:val="21"/>
        </w:rPr>
        <w:t xml:space="preserve">    52.8投诉</w:t>
      </w:r>
    </w:p>
    <w:p>
      <w:pPr>
        <w:rPr>
          <w:rFonts w:ascii="宋体" w:hAnsi="宋体" w:hint="eastAsia"/>
          <w:szCs w:val="21"/>
        </w:rPr>
      </w:pPr>
      <w:r>
        <w:rPr>
          <w:rFonts w:ascii="宋体" w:hAnsi="宋体" w:hint="eastAsia"/>
          <w:szCs w:val="21"/>
        </w:rPr>
        <w:t xml:space="preserve">    对质疑答复不满意或者未在规定时间内答复的，提出质疑的供应商可以在答复期满后15个工作日内向同级财政部门投诉。</w:t>
      </w:r>
    </w:p>
    <w:p>
      <w:pPr>
        <w:rPr>
          <w:rFonts w:ascii="黑体" w:eastAsia="黑体" w:hAnsi="宋体" w:hint="eastAsia"/>
          <w:sz w:val="24"/>
        </w:rPr>
      </w:pPr>
      <w:r>
        <w:rPr>
          <w:rFonts w:ascii="黑体" w:eastAsia="黑体" w:hAnsi="宋体" w:hint="eastAsia"/>
          <w:sz w:val="24"/>
        </w:rPr>
        <w:t>53. 质疑后续处理</w:t>
      </w:r>
    </w:p>
    <w:p>
      <w:pPr>
        <w:rPr>
          <w:rFonts w:ascii="宋体" w:hAnsi="宋体" w:hint="eastAsia"/>
          <w:szCs w:val="21"/>
        </w:rPr>
      </w:pPr>
      <w:r>
        <w:rPr>
          <w:rFonts w:ascii="宋体" w:hAnsi="宋体" w:hint="eastAsia"/>
          <w:szCs w:val="21"/>
        </w:rPr>
        <w:t xml:space="preserve">    53.1供应商质疑不成立，或者成立但未对中标、成交结果构成影响的，继续开展采购活动。</w:t>
      </w:r>
    </w:p>
    <w:p>
      <w:pPr>
        <w:ind w:firstLine="420"/>
        <w:rPr>
          <w:rFonts w:ascii="宋体" w:hAnsi="宋体" w:hint="eastAsia"/>
          <w:szCs w:val="21"/>
        </w:rPr>
      </w:pPr>
      <w:r>
        <w:rPr>
          <w:rFonts w:ascii="宋体" w:hAnsi="宋体" w:hint="eastAsia"/>
          <w:szCs w:val="21"/>
        </w:rPr>
        <w:t>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合格供应商符合法定数量时，可以从合格的中标或者成交候选人中另行确定中标、成交供应商的，应当依法另行确定中标、成交供应商；否则应当重新开展采购活动。</w:t>
      </w:r>
    </w:p>
    <w:p>
      <w:pPr>
        <w:pStyle w:val="BodyText"/>
        <w:ind w:firstLine="420"/>
      </w:pPr>
      <w:r>
        <w:rPr>
          <w:rFonts w:ascii="宋体" w:hAnsi="宋体" w:hint="eastAsia"/>
          <w:b w:val="0"/>
          <w:bCs w:val="0"/>
          <w:sz w:val="21"/>
          <w:szCs w:val="21"/>
        </w:rPr>
        <w:t>53.3被质疑供应商应配合提供质疑答辩意见,并提供相关证据材料,逾期不作书面答辩的,视同放弃答辩权利,依法承担由此可能产生的不利法律后果。</w:t>
      </w:r>
    </w:p>
    <w:p>
      <w:pPr>
        <w:jc w:val="center"/>
      </w:pPr>
      <w:r>
        <w:t>---- END ----</w:t>
      </w:r>
    </w:p>
    <w:p>
      <w:bookmarkEnd w:id="109"/>
    </w:p>
    <w:p>
      <w:pPr>
        <w:ind w:firstLine="420" w:firstLineChars="200"/>
        <w:rPr>
          <w:rFonts w:ascii="宋体" w:hAnsi="宋体" w:hint="eastAsia"/>
          <w:szCs w:val="21"/>
        </w:rPr>
      </w:pPr>
    </w:p>
    <w:sectPr>
      <w:pgSz w:w="11907" w:h="16840"/>
      <w:pgMar w:top="1440" w:right="1797" w:bottom="1440" w:left="1797" w:header="851" w:footer="992" w:gutter="0"/>
      <w:cols w:num="1" w:space="425"/>
      <w:titlePg/>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auto"/>
    <w:pitch w:val="default"/>
    <w:sig w:usb0="FFFFFFFF" w:usb1="E9FFFFFF" w:usb2="0000003F" w:usb3="00000000" w:csb0="603F01FF" w:csb1="FFFF0000"/>
  </w:font>
  <w:font w:name="隶书">
    <w:panose1 w:val="02010509060101010101"/>
    <w:charset w:val="86"/>
    <w:family w:val="modern"/>
    <w:pitch w:val="default"/>
    <w:sig w:usb0="00000001" w:usb1="080E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长城仿宋">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2000019F" w:csb1="4F010000"/>
  </w:font>
  <w:font w:name="Tahoma">
    <w:panose1 w:val="020B0604030504040204"/>
    <w:charset w:val="00"/>
    <w:family w:val="swiss"/>
    <w:pitch w:val="default"/>
    <w:sig w:usb0="E1002EFF" w:usb1="C000605B" w:usb2="00000029" w:usb3="00000000" w:csb0="200101FF" w:csb1="20280000"/>
  </w:font>
  <w:font w:name="文鼎粗黑">
    <w:altName w:val="黑体"/>
    <w:panose1 w:val="00000000000000000000"/>
    <w:charset w:val="86"/>
    <w:family w:val="modern"/>
    <w:pitch w:val="default"/>
    <w:sig w:usb0="00000000" w:usb1="00000000" w:usb2="00000010" w:usb3="00000000" w:csb0="00040000" w:csb1="00000000"/>
  </w:font>
  <w:font w:name="Arial (W1)">
    <w:altName w:val="Arial"/>
    <w:panose1 w:val="00000000000000000000"/>
    <w:charset w:val="00"/>
    <w:family w:val="swiss"/>
    <w:pitch w:val="default"/>
    <w:sig w:usb0="00000000" w:usb1="00000000" w:usb2="00000009" w:usb3="00000000" w:csb0="000001FF" w:csb1="00000000"/>
  </w:font>
  <w:font w:name="ˎ̥">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
    <w:altName w:val="微软雅黑"/>
    <w:panose1 w:val="00000000000000000000"/>
    <w:charset w:val="01"/>
    <w:family w:val="auto"/>
    <w:pitch w:val="default"/>
    <w:sig w:usb0="00000000" w:usb1="00000000" w:usb2="00000000" w:usb3="00000000" w:csb0="00040001" w:csb1="00000000"/>
  </w:font>
  <w:font w:name="汉仪细等线简">
    <w:altName w:val="宋体"/>
    <w:panose1 w:val="00000000000000000000"/>
    <w:charset w:val="86"/>
    <w:family w:val="modern"/>
    <w:pitch w:val="default"/>
    <w:sig w:usb0="00000000" w:usb1="00000000" w:usb2="00000012" w:usb3="00000000" w:csb0="0004009F" w:csb1="DFD70000"/>
  </w:font>
  <w:font w:name="H Yb 2gj">
    <w:altName w:val="宋体"/>
    <w:panose1 w:val="00000000000000000000"/>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t xml:space="preserve">- </w:t>
    </w:r>
    <w:r>
      <w:fldChar w:fldCharType="begin"/>
    </w:r>
    <w:r>
      <w:instrText xml:space="preserve"> PAGE </w:instrText>
    </w:r>
    <w:r>
      <w:fldChar w:fldCharType="separate"/>
    </w:r>
    <w:r>
      <w:t>74</w:t>
    </w:r>
    <w:r>
      <w:fldChar w:fldCharType="end"/>
    </w:r>
    <w:r>
      <w:t xml:space="preserve"> -</w:t>
    </w:r>
  </w:p>
  <w:p>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il"/>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702A6DD"/>
    <w:multiLevelType w:val="singleLevel"/>
    <w:tmpl w:val="A702A6DD"/>
    <w:lvl w:ilvl="0">
      <w:start w:val="1"/>
      <w:numFmt w:val="decimal"/>
      <w:suff w:val="nothing"/>
      <w:lvlText w:val="%1、"/>
      <w:lvlJc w:val="left"/>
    </w:lvl>
  </w:abstractNum>
  <w:abstractNum w:abstractNumId="1">
    <w:nsid w:val="B4F30691"/>
    <w:multiLevelType w:val="singleLevel"/>
    <w:tmpl w:val="B4F30691"/>
    <w:lvl w:ilvl="0">
      <w:start w:val="3"/>
      <w:numFmt w:val="decimal"/>
      <w:suff w:val="nothing"/>
      <w:lvlText w:val="（%1）"/>
      <w:lvlJc w:val="left"/>
    </w:lvl>
  </w:abstractNum>
  <w:abstractNum w:abstractNumId="2">
    <w:nsid w:val="B9358C2E"/>
    <w:multiLevelType w:val="singleLevel"/>
    <w:tmpl w:val="B9358C2E"/>
    <w:lvl w:ilvl="0">
      <w:start w:val="2"/>
      <w:numFmt w:val="decimal"/>
      <w:suff w:val="nothing"/>
      <w:lvlText w:val="%1、"/>
      <w:lvlJc w:val="left"/>
    </w:lvl>
  </w:abstractNum>
  <w:abstractNum w:abstractNumId="3">
    <w:nsid w:val="FFFFFF7C"/>
    <w:multiLevelType w:val="singleLevel"/>
    <w:tmpl w:val="FFFFFF7C"/>
    <w:lvl w:ilvl="0">
      <w:start w:val="1"/>
      <w:numFmt w:val="decimal"/>
      <w:pStyle w:val="41"/>
      <w:lvlText w:val="%1."/>
      <w:lvlJc w:val="left"/>
      <w:pPr>
        <w:tabs>
          <w:tab w:val="left" w:pos="2040"/>
        </w:tabs>
        <w:ind w:left="2040" w:hanging="360" w:leftChars="800" w:hangingChars="200"/>
      </w:pPr>
    </w:lvl>
  </w:abstractNum>
  <w:abstractNum w:abstractNumId="4">
    <w:nsid w:val="FFFFFF89"/>
    <w:multiLevelType w:val="singleLevel"/>
    <w:tmpl w:val="FFFFFF89"/>
    <w:lvl w:ilvl="0">
      <w:start w:val="1"/>
      <w:numFmt w:val="bullet"/>
      <w:pStyle w:val="ListBullet"/>
      <w:lvlText w:val=""/>
      <w:lvlJc w:val="left"/>
      <w:pPr>
        <w:tabs>
          <w:tab w:val="left" w:pos="360"/>
        </w:tabs>
        <w:ind w:left="360" w:hanging="360" w:hangingChars="200"/>
      </w:pPr>
      <w:rPr>
        <w:rFonts w:ascii="Wingdings" w:hAnsi="Wingdings" w:hint="default"/>
      </w:rPr>
    </w:lvl>
  </w:abstractNum>
  <w:abstractNum w:abstractNumId="5">
    <w:nsid w:val="00000003"/>
    <w:multiLevelType w:val="multilevel"/>
    <w:tmpl w:val="00000003"/>
    <w:lvl w:ilvl="0">
      <w:start w:val="1"/>
      <w:numFmt w:val="decimal"/>
      <w:lvlText w:val="（%1）"/>
      <w:lvlJc w:val="left"/>
      <w:pPr>
        <w:ind w:left="1113" w:hanging="711"/>
      </w:pPr>
      <w:rPr>
        <w:rFonts w:ascii="宋体" w:eastAsia="宋体" w:hAnsi="宋体" w:cs="宋体" w:hint="default"/>
        <w:spacing w:val="-25"/>
        <w:w w:val="99"/>
        <w:sz w:val="19"/>
        <w:szCs w:val="19"/>
        <w:lang w:val="zh-CN" w:eastAsia="zh-CN" w:bidi="zh-CN"/>
      </w:rPr>
    </w:lvl>
    <w:lvl w:ilvl="1">
      <w:start w:val="0"/>
      <w:numFmt w:val="bullet"/>
      <w:lvlText w:val="•"/>
      <w:lvlJc w:val="left"/>
      <w:pPr>
        <w:ind w:left="1944" w:hanging="711"/>
      </w:pPr>
      <w:rPr>
        <w:rFonts w:hint="default"/>
        <w:lang w:val="zh-CN" w:eastAsia="zh-CN" w:bidi="zh-CN"/>
      </w:rPr>
    </w:lvl>
    <w:lvl w:ilvl="2">
      <w:start w:val="0"/>
      <w:numFmt w:val="bullet"/>
      <w:lvlText w:val="•"/>
      <w:lvlJc w:val="left"/>
      <w:pPr>
        <w:ind w:left="2768" w:hanging="711"/>
      </w:pPr>
      <w:rPr>
        <w:rFonts w:hint="default"/>
        <w:lang w:val="zh-CN" w:eastAsia="zh-CN" w:bidi="zh-CN"/>
      </w:rPr>
    </w:lvl>
    <w:lvl w:ilvl="3">
      <w:start w:val="0"/>
      <w:numFmt w:val="bullet"/>
      <w:lvlText w:val="•"/>
      <w:lvlJc w:val="left"/>
      <w:pPr>
        <w:ind w:left="3592" w:hanging="711"/>
      </w:pPr>
      <w:rPr>
        <w:rFonts w:hint="default"/>
        <w:lang w:val="zh-CN" w:eastAsia="zh-CN" w:bidi="zh-CN"/>
      </w:rPr>
    </w:lvl>
    <w:lvl w:ilvl="4">
      <w:start w:val="0"/>
      <w:numFmt w:val="bullet"/>
      <w:lvlText w:val="•"/>
      <w:lvlJc w:val="left"/>
      <w:pPr>
        <w:ind w:left="4416" w:hanging="711"/>
      </w:pPr>
      <w:rPr>
        <w:rFonts w:hint="default"/>
        <w:lang w:val="zh-CN" w:eastAsia="zh-CN" w:bidi="zh-CN"/>
      </w:rPr>
    </w:lvl>
    <w:lvl w:ilvl="5">
      <w:start w:val="0"/>
      <w:numFmt w:val="bullet"/>
      <w:lvlText w:val="•"/>
      <w:lvlJc w:val="left"/>
      <w:pPr>
        <w:ind w:left="5240" w:hanging="711"/>
      </w:pPr>
      <w:rPr>
        <w:rFonts w:hint="default"/>
        <w:lang w:val="zh-CN" w:eastAsia="zh-CN" w:bidi="zh-CN"/>
      </w:rPr>
    </w:lvl>
    <w:lvl w:ilvl="6">
      <w:start w:val="0"/>
      <w:numFmt w:val="bullet"/>
      <w:lvlText w:val="•"/>
      <w:lvlJc w:val="left"/>
      <w:pPr>
        <w:ind w:left="6064" w:hanging="711"/>
      </w:pPr>
      <w:rPr>
        <w:rFonts w:hint="default"/>
        <w:lang w:val="zh-CN" w:eastAsia="zh-CN" w:bidi="zh-CN"/>
      </w:rPr>
    </w:lvl>
    <w:lvl w:ilvl="7">
      <w:start w:val="0"/>
      <w:numFmt w:val="bullet"/>
      <w:lvlText w:val="•"/>
      <w:lvlJc w:val="left"/>
      <w:pPr>
        <w:ind w:left="6888" w:hanging="711"/>
      </w:pPr>
      <w:rPr>
        <w:rFonts w:hint="default"/>
        <w:lang w:val="zh-CN" w:eastAsia="zh-CN" w:bidi="zh-CN"/>
      </w:rPr>
    </w:lvl>
    <w:lvl w:ilvl="8">
      <w:start w:val="0"/>
      <w:numFmt w:val="bullet"/>
      <w:lvlText w:val="•"/>
      <w:lvlJc w:val="left"/>
      <w:pPr>
        <w:ind w:left="7712" w:hanging="711"/>
      </w:pPr>
      <w:rPr>
        <w:rFonts w:hint="default"/>
        <w:lang w:val="zh-CN" w:eastAsia="zh-CN" w:bidi="zh-CN"/>
      </w:rPr>
    </w:lvl>
  </w:abstractNum>
  <w:abstractNum w:abstractNumId="6">
    <w:nsid w:val="00000004"/>
    <w:multiLevelType w:val="multilevel"/>
    <w:tmpl w:val="00000004"/>
    <w:lvl w:ilvl="0">
      <w:start w:val="1"/>
      <w:numFmt w:val="decimal"/>
      <w:lvlText w:val="%1."/>
      <w:lvlJc w:val="left"/>
      <w:pPr>
        <w:ind w:left="448" w:hanging="320"/>
      </w:pPr>
      <w:rPr>
        <w:rFonts w:ascii="宋体" w:eastAsia="宋体" w:hAnsi="宋体" w:cs="宋体" w:hint="default"/>
        <w:spacing w:val="-43"/>
        <w:w w:val="100"/>
        <w:sz w:val="19"/>
        <w:szCs w:val="19"/>
        <w:lang w:val="zh-CN" w:eastAsia="zh-CN" w:bidi="zh-CN"/>
      </w:rPr>
    </w:lvl>
    <w:lvl w:ilvl="1">
      <w:start w:val="0"/>
      <w:numFmt w:val="bullet"/>
      <w:lvlText w:val="•"/>
      <w:lvlJc w:val="left"/>
      <w:pPr>
        <w:ind w:left="677" w:hanging="320"/>
      </w:pPr>
      <w:rPr>
        <w:rFonts w:hint="default"/>
        <w:lang w:val="zh-CN" w:eastAsia="zh-CN" w:bidi="zh-CN"/>
      </w:rPr>
    </w:lvl>
    <w:lvl w:ilvl="2">
      <w:start w:val="0"/>
      <w:numFmt w:val="bullet"/>
      <w:lvlText w:val="•"/>
      <w:lvlJc w:val="left"/>
      <w:pPr>
        <w:ind w:left="915" w:hanging="320"/>
      </w:pPr>
      <w:rPr>
        <w:rFonts w:hint="default"/>
        <w:lang w:val="zh-CN" w:eastAsia="zh-CN" w:bidi="zh-CN"/>
      </w:rPr>
    </w:lvl>
    <w:lvl w:ilvl="3">
      <w:start w:val="0"/>
      <w:numFmt w:val="bullet"/>
      <w:lvlText w:val="•"/>
      <w:lvlJc w:val="left"/>
      <w:pPr>
        <w:ind w:left="1153" w:hanging="320"/>
      </w:pPr>
      <w:rPr>
        <w:rFonts w:hint="default"/>
        <w:lang w:val="zh-CN" w:eastAsia="zh-CN" w:bidi="zh-CN"/>
      </w:rPr>
    </w:lvl>
    <w:lvl w:ilvl="4">
      <w:start w:val="0"/>
      <w:numFmt w:val="bullet"/>
      <w:lvlText w:val="•"/>
      <w:lvlJc w:val="left"/>
      <w:pPr>
        <w:ind w:left="1391" w:hanging="320"/>
      </w:pPr>
      <w:rPr>
        <w:rFonts w:hint="default"/>
        <w:lang w:val="zh-CN" w:eastAsia="zh-CN" w:bidi="zh-CN"/>
      </w:rPr>
    </w:lvl>
    <w:lvl w:ilvl="5">
      <w:start w:val="0"/>
      <w:numFmt w:val="bullet"/>
      <w:lvlText w:val="•"/>
      <w:lvlJc w:val="left"/>
      <w:pPr>
        <w:ind w:left="1629" w:hanging="320"/>
      </w:pPr>
      <w:rPr>
        <w:rFonts w:hint="default"/>
        <w:lang w:val="zh-CN" w:eastAsia="zh-CN" w:bidi="zh-CN"/>
      </w:rPr>
    </w:lvl>
    <w:lvl w:ilvl="6">
      <w:start w:val="0"/>
      <w:numFmt w:val="bullet"/>
      <w:lvlText w:val="•"/>
      <w:lvlJc w:val="left"/>
      <w:pPr>
        <w:ind w:left="1866" w:hanging="320"/>
      </w:pPr>
      <w:rPr>
        <w:rFonts w:hint="default"/>
        <w:lang w:val="zh-CN" w:eastAsia="zh-CN" w:bidi="zh-CN"/>
      </w:rPr>
    </w:lvl>
    <w:lvl w:ilvl="7">
      <w:start w:val="0"/>
      <w:numFmt w:val="bullet"/>
      <w:lvlText w:val="•"/>
      <w:lvlJc w:val="left"/>
      <w:pPr>
        <w:ind w:left="2104" w:hanging="320"/>
      </w:pPr>
      <w:rPr>
        <w:rFonts w:hint="default"/>
        <w:lang w:val="zh-CN" w:eastAsia="zh-CN" w:bidi="zh-CN"/>
      </w:rPr>
    </w:lvl>
    <w:lvl w:ilvl="8">
      <w:start w:val="0"/>
      <w:numFmt w:val="bullet"/>
      <w:lvlText w:val="•"/>
      <w:lvlJc w:val="left"/>
      <w:pPr>
        <w:ind w:left="2342" w:hanging="320"/>
      </w:pPr>
      <w:rPr>
        <w:rFonts w:hint="default"/>
        <w:lang w:val="zh-CN" w:eastAsia="zh-CN" w:bidi="zh-CN"/>
      </w:rPr>
    </w:lvl>
  </w:abstractNum>
  <w:abstractNum w:abstractNumId="7">
    <w:nsid w:val="00000005"/>
    <w:multiLevelType w:val="multilevel"/>
    <w:tmpl w:val="00000005"/>
    <w:lvl w:ilvl="0">
      <w:start w:val="1"/>
      <w:numFmt w:val="decimal"/>
      <w:lvlText w:val="%1."/>
      <w:lvlJc w:val="left"/>
      <w:pPr>
        <w:ind w:left="14" w:hanging="435"/>
      </w:pPr>
      <w:rPr>
        <w:rFonts w:ascii="宋体" w:eastAsia="宋体" w:hAnsi="宋体" w:cs="宋体" w:hint="default"/>
        <w:spacing w:val="-15"/>
        <w:w w:val="100"/>
        <w:sz w:val="19"/>
        <w:szCs w:val="19"/>
        <w:lang w:val="zh-CN" w:eastAsia="zh-CN" w:bidi="zh-CN"/>
      </w:rPr>
    </w:lvl>
    <w:lvl w:ilvl="1">
      <w:start w:val="0"/>
      <w:numFmt w:val="bullet"/>
      <w:lvlText w:val="•"/>
      <w:lvlJc w:val="left"/>
      <w:pPr>
        <w:ind w:left="298" w:hanging="435"/>
      </w:pPr>
      <w:rPr>
        <w:rFonts w:hint="default"/>
        <w:lang w:val="zh-CN" w:eastAsia="zh-CN" w:bidi="zh-CN"/>
      </w:rPr>
    </w:lvl>
    <w:lvl w:ilvl="2">
      <w:start w:val="0"/>
      <w:numFmt w:val="bullet"/>
      <w:lvlText w:val="•"/>
      <w:lvlJc w:val="left"/>
      <w:pPr>
        <w:ind w:left="577" w:hanging="435"/>
      </w:pPr>
      <w:rPr>
        <w:rFonts w:hint="default"/>
        <w:lang w:val="zh-CN" w:eastAsia="zh-CN" w:bidi="zh-CN"/>
      </w:rPr>
    </w:lvl>
    <w:lvl w:ilvl="3">
      <w:start w:val="0"/>
      <w:numFmt w:val="bullet"/>
      <w:lvlText w:val="•"/>
      <w:lvlJc w:val="left"/>
      <w:pPr>
        <w:ind w:left="856" w:hanging="435"/>
      </w:pPr>
      <w:rPr>
        <w:rFonts w:hint="default"/>
        <w:lang w:val="zh-CN" w:eastAsia="zh-CN" w:bidi="zh-CN"/>
      </w:rPr>
    </w:lvl>
    <w:lvl w:ilvl="4">
      <w:start w:val="0"/>
      <w:numFmt w:val="bullet"/>
      <w:lvlText w:val="•"/>
      <w:lvlJc w:val="left"/>
      <w:pPr>
        <w:ind w:left="1135" w:hanging="435"/>
      </w:pPr>
      <w:rPr>
        <w:rFonts w:hint="default"/>
        <w:lang w:val="zh-CN" w:eastAsia="zh-CN" w:bidi="zh-CN"/>
      </w:rPr>
    </w:lvl>
    <w:lvl w:ilvl="5">
      <w:start w:val="0"/>
      <w:numFmt w:val="bullet"/>
      <w:lvlText w:val="•"/>
      <w:lvlJc w:val="left"/>
      <w:pPr>
        <w:ind w:left="1414" w:hanging="435"/>
      </w:pPr>
      <w:rPr>
        <w:rFonts w:hint="default"/>
        <w:lang w:val="zh-CN" w:eastAsia="zh-CN" w:bidi="zh-CN"/>
      </w:rPr>
    </w:lvl>
    <w:lvl w:ilvl="6">
      <w:start w:val="0"/>
      <w:numFmt w:val="bullet"/>
      <w:lvlText w:val="•"/>
      <w:lvlJc w:val="left"/>
      <w:pPr>
        <w:ind w:left="1692" w:hanging="435"/>
      </w:pPr>
      <w:rPr>
        <w:rFonts w:hint="default"/>
        <w:lang w:val="zh-CN" w:eastAsia="zh-CN" w:bidi="zh-CN"/>
      </w:rPr>
    </w:lvl>
    <w:lvl w:ilvl="7">
      <w:start w:val="0"/>
      <w:numFmt w:val="bullet"/>
      <w:lvlText w:val="•"/>
      <w:lvlJc w:val="left"/>
      <w:pPr>
        <w:ind w:left="1971" w:hanging="435"/>
      </w:pPr>
      <w:rPr>
        <w:rFonts w:hint="default"/>
        <w:lang w:val="zh-CN" w:eastAsia="zh-CN" w:bidi="zh-CN"/>
      </w:rPr>
    </w:lvl>
    <w:lvl w:ilvl="8">
      <w:start w:val="0"/>
      <w:numFmt w:val="bullet"/>
      <w:lvlText w:val="•"/>
      <w:lvlJc w:val="left"/>
      <w:pPr>
        <w:ind w:left="2250" w:hanging="435"/>
      </w:pPr>
      <w:rPr>
        <w:rFonts w:hint="default"/>
        <w:lang w:val="zh-CN" w:eastAsia="zh-CN" w:bidi="zh-CN"/>
      </w:rPr>
    </w:lvl>
  </w:abstractNum>
  <w:abstractNum w:abstractNumId="8">
    <w:nsid w:val="00000006"/>
    <w:multiLevelType w:val="multilevel"/>
    <w:tmpl w:val="00000006"/>
    <w:lvl w:ilvl="0">
      <w:start w:val="1"/>
      <w:numFmt w:val="decimal"/>
      <w:lvlText w:val="%1."/>
      <w:lvlJc w:val="left"/>
      <w:pPr>
        <w:ind w:left="245" w:hanging="220"/>
      </w:pPr>
      <w:rPr>
        <w:rFonts w:ascii="宋体" w:eastAsia="宋体" w:hAnsi="宋体" w:cs="宋体" w:hint="default"/>
        <w:spacing w:val="-8"/>
        <w:w w:val="100"/>
        <w:sz w:val="20"/>
        <w:szCs w:val="20"/>
        <w:lang w:val="zh-CN" w:eastAsia="zh-CN" w:bidi="zh-CN"/>
      </w:rPr>
    </w:lvl>
    <w:lvl w:ilvl="1">
      <w:start w:val="0"/>
      <w:numFmt w:val="bullet"/>
      <w:lvlText w:val="•"/>
      <w:lvlJc w:val="left"/>
      <w:pPr>
        <w:ind w:left="496" w:hanging="220"/>
      </w:pPr>
      <w:rPr>
        <w:rFonts w:hint="default"/>
        <w:lang w:val="zh-CN" w:eastAsia="zh-CN" w:bidi="zh-CN"/>
      </w:rPr>
    </w:lvl>
    <w:lvl w:ilvl="2">
      <w:start w:val="0"/>
      <w:numFmt w:val="bullet"/>
      <w:lvlText w:val="•"/>
      <w:lvlJc w:val="left"/>
      <w:pPr>
        <w:ind w:left="753" w:hanging="220"/>
      </w:pPr>
      <w:rPr>
        <w:rFonts w:hint="default"/>
        <w:lang w:val="zh-CN" w:eastAsia="zh-CN" w:bidi="zh-CN"/>
      </w:rPr>
    </w:lvl>
    <w:lvl w:ilvl="3">
      <w:start w:val="0"/>
      <w:numFmt w:val="bullet"/>
      <w:lvlText w:val="•"/>
      <w:lvlJc w:val="left"/>
      <w:pPr>
        <w:ind w:left="1010" w:hanging="220"/>
      </w:pPr>
      <w:rPr>
        <w:rFonts w:hint="default"/>
        <w:lang w:val="zh-CN" w:eastAsia="zh-CN" w:bidi="zh-CN"/>
      </w:rPr>
    </w:lvl>
    <w:lvl w:ilvl="4">
      <w:start w:val="0"/>
      <w:numFmt w:val="bullet"/>
      <w:lvlText w:val="•"/>
      <w:lvlJc w:val="left"/>
      <w:pPr>
        <w:ind w:left="1267" w:hanging="220"/>
      </w:pPr>
      <w:rPr>
        <w:rFonts w:hint="default"/>
        <w:lang w:val="zh-CN" w:eastAsia="zh-CN" w:bidi="zh-CN"/>
      </w:rPr>
    </w:lvl>
    <w:lvl w:ilvl="5">
      <w:start w:val="0"/>
      <w:numFmt w:val="bullet"/>
      <w:lvlText w:val="•"/>
      <w:lvlJc w:val="left"/>
      <w:pPr>
        <w:ind w:left="1524" w:hanging="220"/>
      </w:pPr>
      <w:rPr>
        <w:rFonts w:hint="default"/>
        <w:lang w:val="zh-CN" w:eastAsia="zh-CN" w:bidi="zh-CN"/>
      </w:rPr>
    </w:lvl>
    <w:lvl w:ilvl="6">
      <w:start w:val="0"/>
      <w:numFmt w:val="bullet"/>
      <w:lvlText w:val="•"/>
      <w:lvlJc w:val="left"/>
      <w:pPr>
        <w:ind w:left="1780" w:hanging="220"/>
      </w:pPr>
      <w:rPr>
        <w:rFonts w:hint="default"/>
        <w:lang w:val="zh-CN" w:eastAsia="zh-CN" w:bidi="zh-CN"/>
      </w:rPr>
    </w:lvl>
    <w:lvl w:ilvl="7">
      <w:start w:val="0"/>
      <w:numFmt w:val="bullet"/>
      <w:lvlText w:val="•"/>
      <w:lvlJc w:val="left"/>
      <w:pPr>
        <w:ind w:left="2037" w:hanging="220"/>
      </w:pPr>
      <w:rPr>
        <w:rFonts w:hint="default"/>
        <w:lang w:val="zh-CN" w:eastAsia="zh-CN" w:bidi="zh-CN"/>
      </w:rPr>
    </w:lvl>
    <w:lvl w:ilvl="8">
      <w:start w:val="0"/>
      <w:numFmt w:val="bullet"/>
      <w:lvlText w:val="•"/>
      <w:lvlJc w:val="left"/>
      <w:pPr>
        <w:ind w:left="2294" w:hanging="220"/>
      </w:pPr>
      <w:rPr>
        <w:rFonts w:hint="default"/>
        <w:lang w:val="zh-CN" w:eastAsia="zh-CN" w:bidi="zh-CN"/>
      </w:rPr>
    </w:lvl>
  </w:abstractNum>
  <w:abstractNum w:abstractNumId="9">
    <w:nsid w:val="00000007"/>
    <w:multiLevelType w:val="multilevel"/>
    <w:tmpl w:val="00000007"/>
    <w:lvl w:ilvl="0">
      <w:start w:val="1"/>
      <w:numFmt w:val="decimal"/>
      <w:lvlText w:val="%1."/>
      <w:lvlJc w:val="left"/>
      <w:pPr>
        <w:ind w:left="13" w:hanging="329"/>
      </w:pPr>
      <w:rPr>
        <w:rFonts w:ascii="宋体" w:eastAsia="宋体" w:hAnsi="宋体" w:cs="宋体" w:hint="default"/>
        <w:spacing w:val="-41"/>
        <w:w w:val="100"/>
        <w:sz w:val="19"/>
        <w:szCs w:val="19"/>
        <w:lang w:val="zh-CN" w:eastAsia="zh-CN" w:bidi="zh-CN"/>
      </w:rPr>
    </w:lvl>
    <w:lvl w:ilvl="1">
      <w:start w:val="0"/>
      <w:numFmt w:val="bullet"/>
      <w:lvlText w:val="•"/>
      <w:lvlJc w:val="left"/>
      <w:pPr>
        <w:ind w:left="269" w:hanging="329"/>
      </w:pPr>
      <w:rPr>
        <w:rFonts w:hint="default"/>
        <w:lang w:val="zh-CN" w:eastAsia="zh-CN" w:bidi="zh-CN"/>
      </w:rPr>
    </w:lvl>
    <w:lvl w:ilvl="2">
      <w:start w:val="0"/>
      <w:numFmt w:val="bullet"/>
      <w:lvlText w:val="•"/>
      <w:lvlJc w:val="left"/>
      <w:pPr>
        <w:ind w:left="519" w:hanging="329"/>
      </w:pPr>
      <w:rPr>
        <w:rFonts w:hint="default"/>
        <w:lang w:val="zh-CN" w:eastAsia="zh-CN" w:bidi="zh-CN"/>
      </w:rPr>
    </w:lvl>
    <w:lvl w:ilvl="3">
      <w:start w:val="0"/>
      <w:numFmt w:val="bullet"/>
      <w:lvlText w:val="•"/>
      <w:lvlJc w:val="left"/>
      <w:pPr>
        <w:ind w:left="769" w:hanging="329"/>
      </w:pPr>
      <w:rPr>
        <w:rFonts w:hint="default"/>
        <w:lang w:val="zh-CN" w:eastAsia="zh-CN" w:bidi="zh-CN"/>
      </w:rPr>
    </w:lvl>
    <w:lvl w:ilvl="4">
      <w:start w:val="0"/>
      <w:numFmt w:val="bullet"/>
      <w:lvlText w:val="•"/>
      <w:lvlJc w:val="left"/>
      <w:pPr>
        <w:ind w:left="1019" w:hanging="329"/>
      </w:pPr>
      <w:rPr>
        <w:rFonts w:hint="default"/>
        <w:lang w:val="zh-CN" w:eastAsia="zh-CN" w:bidi="zh-CN"/>
      </w:rPr>
    </w:lvl>
    <w:lvl w:ilvl="5">
      <w:start w:val="0"/>
      <w:numFmt w:val="bullet"/>
      <w:lvlText w:val="•"/>
      <w:lvlJc w:val="left"/>
      <w:pPr>
        <w:ind w:left="1269" w:hanging="329"/>
      </w:pPr>
      <w:rPr>
        <w:rFonts w:hint="default"/>
        <w:lang w:val="zh-CN" w:eastAsia="zh-CN" w:bidi="zh-CN"/>
      </w:rPr>
    </w:lvl>
    <w:lvl w:ilvl="6">
      <w:start w:val="0"/>
      <w:numFmt w:val="bullet"/>
      <w:lvlText w:val="•"/>
      <w:lvlJc w:val="left"/>
      <w:pPr>
        <w:ind w:left="1518" w:hanging="329"/>
      </w:pPr>
      <w:rPr>
        <w:rFonts w:hint="default"/>
        <w:lang w:val="zh-CN" w:eastAsia="zh-CN" w:bidi="zh-CN"/>
      </w:rPr>
    </w:lvl>
    <w:lvl w:ilvl="7">
      <w:start w:val="0"/>
      <w:numFmt w:val="bullet"/>
      <w:lvlText w:val="•"/>
      <w:lvlJc w:val="left"/>
      <w:pPr>
        <w:ind w:left="1768" w:hanging="329"/>
      </w:pPr>
      <w:rPr>
        <w:rFonts w:hint="default"/>
        <w:lang w:val="zh-CN" w:eastAsia="zh-CN" w:bidi="zh-CN"/>
      </w:rPr>
    </w:lvl>
    <w:lvl w:ilvl="8">
      <w:start w:val="0"/>
      <w:numFmt w:val="bullet"/>
      <w:lvlText w:val="•"/>
      <w:lvlJc w:val="left"/>
      <w:pPr>
        <w:ind w:left="2018" w:hanging="329"/>
      </w:pPr>
      <w:rPr>
        <w:rFonts w:hint="default"/>
        <w:lang w:val="zh-CN" w:eastAsia="zh-CN" w:bidi="zh-CN"/>
      </w:rPr>
    </w:lvl>
  </w:abstractNum>
  <w:abstractNum w:abstractNumId="10">
    <w:nsid w:val="00000008"/>
    <w:multiLevelType w:val="multilevel"/>
    <w:tmpl w:val="00000008"/>
    <w:lvl w:ilvl="0">
      <w:start w:val="1"/>
      <w:numFmt w:val="decimal"/>
      <w:lvlText w:val="%1."/>
      <w:lvlJc w:val="left"/>
      <w:pPr>
        <w:ind w:left="342" w:hanging="329"/>
        <w:jc w:val="right"/>
      </w:pPr>
      <w:rPr>
        <w:rFonts w:ascii="宋体" w:eastAsia="宋体" w:hAnsi="宋体" w:cs="宋体" w:hint="default"/>
        <w:spacing w:val="-2"/>
        <w:w w:val="100"/>
        <w:sz w:val="19"/>
        <w:szCs w:val="19"/>
        <w:lang w:val="zh-CN" w:eastAsia="zh-CN" w:bidi="zh-CN"/>
      </w:rPr>
    </w:lvl>
    <w:lvl w:ilvl="1">
      <w:start w:val="0"/>
      <w:numFmt w:val="bullet"/>
      <w:lvlText w:val="•"/>
      <w:lvlJc w:val="left"/>
      <w:pPr>
        <w:ind w:left="557" w:hanging="329"/>
      </w:pPr>
      <w:rPr>
        <w:rFonts w:hint="default"/>
        <w:lang w:val="zh-CN" w:eastAsia="zh-CN" w:bidi="zh-CN"/>
      </w:rPr>
    </w:lvl>
    <w:lvl w:ilvl="2">
      <w:start w:val="0"/>
      <w:numFmt w:val="bullet"/>
      <w:lvlText w:val="•"/>
      <w:lvlJc w:val="left"/>
      <w:pPr>
        <w:ind w:left="775" w:hanging="329"/>
      </w:pPr>
      <w:rPr>
        <w:rFonts w:hint="default"/>
        <w:lang w:val="zh-CN" w:eastAsia="zh-CN" w:bidi="zh-CN"/>
      </w:rPr>
    </w:lvl>
    <w:lvl w:ilvl="3">
      <w:start w:val="0"/>
      <w:numFmt w:val="bullet"/>
      <w:lvlText w:val="•"/>
      <w:lvlJc w:val="left"/>
      <w:pPr>
        <w:ind w:left="993" w:hanging="329"/>
      </w:pPr>
      <w:rPr>
        <w:rFonts w:hint="default"/>
        <w:lang w:val="zh-CN" w:eastAsia="zh-CN" w:bidi="zh-CN"/>
      </w:rPr>
    </w:lvl>
    <w:lvl w:ilvl="4">
      <w:start w:val="0"/>
      <w:numFmt w:val="bullet"/>
      <w:lvlText w:val="•"/>
      <w:lvlJc w:val="left"/>
      <w:pPr>
        <w:ind w:left="1211" w:hanging="329"/>
      </w:pPr>
      <w:rPr>
        <w:rFonts w:hint="default"/>
        <w:lang w:val="zh-CN" w:eastAsia="zh-CN" w:bidi="zh-CN"/>
      </w:rPr>
    </w:lvl>
    <w:lvl w:ilvl="5">
      <w:start w:val="0"/>
      <w:numFmt w:val="bullet"/>
      <w:lvlText w:val="•"/>
      <w:lvlJc w:val="left"/>
      <w:pPr>
        <w:ind w:left="1429" w:hanging="329"/>
      </w:pPr>
      <w:rPr>
        <w:rFonts w:hint="default"/>
        <w:lang w:val="zh-CN" w:eastAsia="zh-CN" w:bidi="zh-CN"/>
      </w:rPr>
    </w:lvl>
    <w:lvl w:ilvl="6">
      <w:start w:val="0"/>
      <w:numFmt w:val="bullet"/>
      <w:lvlText w:val="•"/>
      <w:lvlJc w:val="left"/>
      <w:pPr>
        <w:ind w:left="1646" w:hanging="329"/>
      </w:pPr>
      <w:rPr>
        <w:rFonts w:hint="default"/>
        <w:lang w:val="zh-CN" w:eastAsia="zh-CN" w:bidi="zh-CN"/>
      </w:rPr>
    </w:lvl>
    <w:lvl w:ilvl="7">
      <w:start w:val="0"/>
      <w:numFmt w:val="bullet"/>
      <w:lvlText w:val="•"/>
      <w:lvlJc w:val="left"/>
      <w:pPr>
        <w:ind w:left="1864" w:hanging="329"/>
      </w:pPr>
      <w:rPr>
        <w:rFonts w:hint="default"/>
        <w:lang w:val="zh-CN" w:eastAsia="zh-CN" w:bidi="zh-CN"/>
      </w:rPr>
    </w:lvl>
    <w:lvl w:ilvl="8">
      <w:start w:val="0"/>
      <w:numFmt w:val="bullet"/>
      <w:lvlText w:val="•"/>
      <w:lvlJc w:val="left"/>
      <w:pPr>
        <w:ind w:left="2082" w:hanging="329"/>
      </w:pPr>
      <w:rPr>
        <w:rFonts w:hint="default"/>
        <w:lang w:val="zh-CN" w:eastAsia="zh-CN" w:bidi="zh-CN"/>
      </w:rPr>
    </w:lvl>
  </w:abstractNum>
  <w:abstractNum w:abstractNumId="11">
    <w:nsid w:val="00000009"/>
    <w:multiLevelType w:val="multilevel"/>
    <w:tmpl w:val="00000009"/>
    <w:lvl w:ilvl="0">
      <w:start w:val="1"/>
      <w:numFmt w:val="decimal"/>
      <w:lvlText w:val="%1."/>
      <w:lvlJc w:val="left"/>
      <w:pPr>
        <w:ind w:left="343" w:hanging="329"/>
        <w:jc w:val="right"/>
      </w:pPr>
      <w:rPr>
        <w:rFonts w:hint="default"/>
        <w:spacing w:val="-2"/>
        <w:w w:val="100"/>
        <w:lang w:val="zh-CN" w:eastAsia="zh-CN" w:bidi="zh-CN"/>
      </w:rPr>
    </w:lvl>
    <w:lvl w:ilvl="1">
      <w:start w:val="0"/>
      <w:numFmt w:val="bullet"/>
      <w:lvlText w:val="•"/>
      <w:lvlJc w:val="left"/>
      <w:pPr>
        <w:ind w:left="659" w:hanging="329"/>
      </w:pPr>
      <w:rPr>
        <w:rFonts w:hint="default"/>
        <w:lang w:val="zh-CN" w:eastAsia="zh-CN" w:bidi="zh-CN"/>
      </w:rPr>
    </w:lvl>
    <w:lvl w:ilvl="2">
      <w:start w:val="0"/>
      <w:numFmt w:val="bullet"/>
      <w:lvlText w:val="•"/>
      <w:lvlJc w:val="left"/>
      <w:pPr>
        <w:ind w:left="979" w:hanging="329"/>
      </w:pPr>
      <w:rPr>
        <w:rFonts w:hint="default"/>
        <w:lang w:val="zh-CN" w:eastAsia="zh-CN" w:bidi="zh-CN"/>
      </w:rPr>
    </w:lvl>
    <w:lvl w:ilvl="3">
      <w:start w:val="0"/>
      <w:numFmt w:val="bullet"/>
      <w:lvlText w:val="•"/>
      <w:lvlJc w:val="left"/>
      <w:pPr>
        <w:ind w:left="1298" w:hanging="329"/>
      </w:pPr>
      <w:rPr>
        <w:rFonts w:hint="default"/>
        <w:lang w:val="zh-CN" w:eastAsia="zh-CN" w:bidi="zh-CN"/>
      </w:rPr>
    </w:lvl>
    <w:lvl w:ilvl="4">
      <w:start w:val="0"/>
      <w:numFmt w:val="bullet"/>
      <w:lvlText w:val="•"/>
      <w:lvlJc w:val="left"/>
      <w:pPr>
        <w:ind w:left="1618" w:hanging="329"/>
      </w:pPr>
      <w:rPr>
        <w:rFonts w:hint="default"/>
        <w:lang w:val="zh-CN" w:eastAsia="zh-CN" w:bidi="zh-CN"/>
      </w:rPr>
    </w:lvl>
    <w:lvl w:ilvl="5">
      <w:start w:val="0"/>
      <w:numFmt w:val="bullet"/>
      <w:lvlText w:val="•"/>
      <w:lvlJc w:val="left"/>
      <w:pPr>
        <w:ind w:left="1937" w:hanging="329"/>
      </w:pPr>
      <w:rPr>
        <w:rFonts w:hint="default"/>
        <w:lang w:val="zh-CN" w:eastAsia="zh-CN" w:bidi="zh-CN"/>
      </w:rPr>
    </w:lvl>
    <w:lvl w:ilvl="6">
      <w:start w:val="0"/>
      <w:numFmt w:val="bullet"/>
      <w:lvlText w:val="•"/>
      <w:lvlJc w:val="left"/>
      <w:pPr>
        <w:ind w:left="2257" w:hanging="329"/>
      </w:pPr>
      <w:rPr>
        <w:rFonts w:hint="default"/>
        <w:lang w:val="zh-CN" w:eastAsia="zh-CN" w:bidi="zh-CN"/>
      </w:rPr>
    </w:lvl>
    <w:lvl w:ilvl="7">
      <w:start w:val="0"/>
      <w:numFmt w:val="bullet"/>
      <w:lvlText w:val="•"/>
      <w:lvlJc w:val="left"/>
      <w:pPr>
        <w:ind w:left="2576" w:hanging="329"/>
      </w:pPr>
      <w:rPr>
        <w:rFonts w:hint="default"/>
        <w:lang w:val="zh-CN" w:eastAsia="zh-CN" w:bidi="zh-CN"/>
      </w:rPr>
    </w:lvl>
    <w:lvl w:ilvl="8">
      <w:start w:val="0"/>
      <w:numFmt w:val="bullet"/>
      <w:lvlText w:val="•"/>
      <w:lvlJc w:val="left"/>
      <w:pPr>
        <w:ind w:left="2896" w:hanging="329"/>
      </w:pPr>
      <w:rPr>
        <w:rFonts w:hint="default"/>
        <w:lang w:val="zh-CN" w:eastAsia="zh-CN" w:bidi="zh-CN"/>
      </w:rPr>
    </w:lvl>
  </w:abstractNum>
  <w:abstractNum w:abstractNumId="12">
    <w:nsid w:val="0000000A"/>
    <w:multiLevelType w:val="multilevel"/>
    <w:tmpl w:val="0000000A"/>
    <w:lvl w:ilvl="0">
      <w:start w:val="1"/>
      <w:numFmt w:val="decimal"/>
      <w:lvlText w:val="%1."/>
      <w:lvlJc w:val="left"/>
      <w:pPr>
        <w:ind w:left="14" w:hanging="222"/>
      </w:pPr>
      <w:rPr>
        <w:rFonts w:ascii="宋体" w:eastAsia="宋体" w:hAnsi="宋体" w:cs="宋体" w:hint="default"/>
        <w:spacing w:val="-1"/>
        <w:w w:val="100"/>
        <w:sz w:val="20"/>
        <w:szCs w:val="20"/>
        <w:lang w:val="zh-CN" w:eastAsia="zh-CN" w:bidi="zh-CN"/>
      </w:rPr>
    </w:lvl>
    <w:lvl w:ilvl="1">
      <w:start w:val="0"/>
      <w:numFmt w:val="bullet"/>
      <w:lvlText w:val="•"/>
      <w:lvlJc w:val="left"/>
      <w:pPr>
        <w:ind w:left="371" w:hanging="222"/>
      </w:pPr>
      <w:rPr>
        <w:rFonts w:hint="default"/>
        <w:lang w:val="zh-CN" w:eastAsia="zh-CN" w:bidi="zh-CN"/>
      </w:rPr>
    </w:lvl>
    <w:lvl w:ilvl="2">
      <w:start w:val="0"/>
      <w:numFmt w:val="bullet"/>
      <w:lvlText w:val="•"/>
      <w:lvlJc w:val="left"/>
      <w:pPr>
        <w:ind w:left="723" w:hanging="222"/>
      </w:pPr>
      <w:rPr>
        <w:rFonts w:hint="default"/>
        <w:lang w:val="zh-CN" w:eastAsia="zh-CN" w:bidi="zh-CN"/>
      </w:rPr>
    </w:lvl>
    <w:lvl w:ilvl="3">
      <w:start w:val="0"/>
      <w:numFmt w:val="bullet"/>
      <w:lvlText w:val="•"/>
      <w:lvlJc w:val="left"/>
      <w:pPr>
        <w:ind w:left="1074" w:hanging="222"/>
      </w:pPr>
      <w:rPr>
        <w:rFonts w:hint="default"/>
        <w:lang w:val="zh-CN" w:eastAsia="zh-CN" w:bidi="zh-CN"/>
      </w:rPr>
    </w:lvl>
    <w:lvl w:ilvl="4">
      <w:start w:val="0"/>
      <w:numFmt w:val="bullet"/>
      <w:lvlText w:val="•"/>
      <w:lvlJc w:val="left"/>
      <w:pPr>
        <w:ind w:left="1426" w:hanging="222"/>
      </w:pPr>
      <w:rPr>
        <w:rFonts w:hint="default"/>
        <w:lang w:val="zh-CN" w:eastAsia="zh-CN" w:bidi="zh-CN"/>
      </w:rPr>
    </w:lvl>
    <w:lvl w:ilvl="5">
      <w:start w:val="0"/>
      <w:numFmt w:val="bullet"/>
      <w:lvlText w:val="•"/>
      <w:lvlJc w:val="left"/>
      <w:pPr>
        <w:ind w:left="1777" w:hanging="222"/>
      </w:pPr>
      <w:rPr>
        <w:rFonts w:hint="default"/>
        <w:lang w:val="zh-CN" w:eastAsia="zh-CN" w:bidi="zh-CN"/>
      </w:rPr>
    </w:lvl>
    <w:lvl w:ilvl="6">
      <w:start w:val="0"/>
      <w:numFmt w:val="bullet"/>
      <w:lvlText w:val="•"/>
      <w:lvlJc w:val="left"/>
      <w:pPr>
        <w:ind w:left="2129" w:hanging="222"/>
      </w:pPr>
      <w:rPr>
        <w:rFonts w:hint="default"/>
        <w:lang w:val="zh-CN" w:eastAsia="zh-CN" w:bidi="zh-CN"/>
      </w:rPr>
    </w:lvl>
    <w:lvl w:ilvl="7">
      <w:start w:val="0"/>
      <w:numFmt w:val="bullet"/>
      <w:lvlText w:val="•"/>
      <w:lvlJc w:val="left"/>
      <w:pPr>
        <w:ind w:left="2480" w:hanging="222"/>
      </w:pPr>
      <w:rPr>
        <w:rFonts w:hint="default"/>
        <w:lang w:val="zh-CN" w:eastAsia="zh-CN" w:bidi="zh-CN"/>
      </w:rPr>
    </w:lvl>
    <w:lvl w:ilvl="8">
      <w:start w:val="0"/>
      <w:numFmt w:val="bullet"/>
      <w:lvlText w:val="•"/>
      <w:lvlJc w:val="left"/>
      <w:pPr>
        <w:ind w:left="2832" w:hanging="222"/>
      </w:pPr>
      <w:rPr>
        <w:rFonts w:hint="default"/>
        <w:lang w:val="zh-CN" w:eastAsia="zh-CN" w:bidi="zh-CN"/>
      </w:rPr>
    </w:lvl>
  </w:abstractNum>
  <w:abstractNum w:abstractNumId="13">
    <w:nsid w:val="0000000B"/>
    <w:multiLevelType w:val="multilevel"/>
    <w:tmpl w:val="0000000B"/>
    <w:lvl w:ilvl="0">
      <w:start w:val="1"/>
      <w:numFmt w:val="decimal"/>
      <w:lvlText w:val="%1."/>
      <w:lvlJc w:val="left"/>
      <w:pPr>
        <w:ind w:left="236" w:hanging="222"/>
      </w:pPr>
      <w:rPr>
        <w:rFonts w:ascii="宋体" w:eastAsia="宋体" w:hAnsi="宋体" w:cs="宋体" w:hint="default"/>
        <w:spacing w:val="-1"/>
        <w:w w:val="100"/>
        <w:sz w:val="20"/>
        <w:szCs w:val="20"/>
        <w:lang w:val="zh-CN" w:eastAsia="zh-CN" w:bidi="zh-CN"/>
      </w:rPr>
    </w:lvl>
    <w:lvl w:ilvl="1">
      <w:start w:val="0"/>
      <w:numFmt w:val="bullet"/>
      <w:lvlText w:val="•"/>
      <w:lvlJc w:val="left"/>
      <w:pPr>
        <w:ind w:left="569" w:hanging="222"/>
      </w:pPr>
      <w:rPr>
        <w:rFonts w:hint="default"/>
        <w:lang w:val="zh-CN" w:eastAsia="zh-CN" w:bidi="zh-CN"/>
      </w:rPr>
    </w:lvl>
    <w:lvl w:ilvl="2">
      <w:start w:val="0"/>
      <w:numFmt w:val="bullet"/>
      <w:lvlText w:val="•"/>
      <w:lvlJc w:val="left"/>
      <w:pPr>
        <w:ind w:left="899" w:hanging="222"/>
      </w:pPr>
      <w:rPr>
        <w:rFonts w:hint="default"/>
        <w:lang w:val="zh-CN" w:eastAsia="zh-CN" w:bidi="zh-CN"/>
      </w:rPr>
    </w:lvl>
    <w:lvl w:ilvl="3">
      <w:start w:val="0"/>
      <w:numFmt w:val="bullet"/>
      <w:lvlText w:val="•"/>
      <w:lvlJc w:val="left"/>
      <w:pPr>
        <w:ind w:left="1228" w:hanging="222"/>
      </w:pPr>
      <w:rPr>
        <w:rFonts w:hint="default"/>
        <w:lang w:val="zh-CN" w:eastAsia="zh-CN" w:bidi="zh-CN"/>
      </w:rPr>
    </w:lvl>
    <w:lvl w:ilvl="4">
      <w:start w:val="0"/>
      <w:numFmt w:val="bullet"/>
      <w:lvlText w:val="•"/>
      <w:lvlJc w:val="left"/>
      <w:pPr>
        <w:ind w:left="1558" w:hanging="222"/>
      </w:pPr>
      <w:rPr>
        <w:rFonts w:hint="default"/>
        <w:lang w:val="zh-CN" w:eastAsia="zh-CN" w:bidi="zh-CN"/>
      </w:rPr>
    </w:lvl>
    <w:lvl w:ilvl="5">
      <w:start w:val="0"/>
      <w:numFmt w:val="bullet"/>
      <w:lvlText w:val="•"/>
      <w:lvlJc w:val="left"/>
      <w:pPr>
        <w:ind w:left="1887" w:hanging="222"/>
      </w:pPr>
      <w:rPr>
        <w:rFonts w:hint="default"/>
        <w:lang w:val="zh-CN" w:eastAsia="zh-CN" w:bidi="zh-CN"/>
      </w:rPr>
    </w:lvl>
    <w:lvl w:ilvl="6">
      <w:start w:val="0"/>
      <w:numFmt w:val="bullet"/>
      <w:lvlText w:val="•"/>
      <w:lvlJc w:val="left"/>
      <w:pPr>
        <w:ind w:left="2217" w:hanging="222"/>
      </w:pPr>
      <w:rPr>
        <w:rFonts w:hint="default"/>
        <w:lang w:val="zh-CN" w:eastAsia="zh-CN" w:bidi="zh-CN"/>
      </w:rPr>
    </w:lvl>
    <w:lvl w:ilvl="7">
      <w:start w:val="0"/>
      <w:numFmt w:val="bullet"/>
      <w:lvlText w:val="•"/>
      <w:lvlJc w:val="left"/>
      <w:pPr>
        <w:ind w:left="2546" w:hanging="222"/>
      </w:pPr>
      <w:rPr>
        <w:rFonts w:hint="default"/>
        <w:lang w:val="zh-CN" w:eastAsia="zh-CN" w:bidi="zh-CN"/>
      </w:rPr>
    </w:lvl>
    <w:lvl w:ilvl="8">
      <w:start w:val="0"/>
      <w:numFmt w:val="bullet"/>
      <w:lvlText w:val="•"/>
      <w:lvlJc w:val="left"/>
      <w:pPr>
        <w:ind w:left="2876" w:hanging="222"/>
      </w:pPr>
      <w:rPr>
        <w:rFonts w:hint="default"/>
        <w:lang w:val="zh-CN" w:eastAsia="zh-CN" w:bidi="zh-CN"/>
      </w:rPr>
    </w:lvl>
  </w:abstractNum>
  <w:abstractNum w:abstractNumId="14">
    <w:nsid w:val="0000000C"/>
    <w:multiLevelType w:val="multilevel"/>
    <w:tmpl w:val="0000000C"/>
    <w:lvl w:ilvl="0">
      <w:start w:val="4"/>
      <w:numFmt w:val="decimal"/>
      <w:lvlText w:val="%1."/>
      <w:lvlJc w:val="left"/>
      <w:pPr>
        <w:ind w:left="14" w:hanging="222"/>
      </w:pPr>
      <w:rPr>
        <w:rFonts w:ascii="宋体" w:eastAsia="宋体" w:hAnsi="宋体" w:cs="宋体" w:hint="default"/>
        <w:spacing w:val="-1"/>
        <w:w w:val="100"/>
        <w:sz w:val="20"/>
        <w:szCs w:val="20"/>
        <w:lang w:val="zh-CN" w:eastAsia="zh-CN" w:bidi="zh-CN"/>
      </w:rPr>
    </w:lvl>
    <w:lvl w:ilvl="1">
      <w:start w:val="0"/>
      <w:numFmt w:val="bullet"/>
      <w:lvlText w:val="•"/>
      <w:lvlJc w:val="left"/>
      <w:pPr>
        <w:ind w:left="371" w:hanging="222"/>
      </w:pPr>
      <w:rPr>
        <w:rFonts w:hint="default"/>
        <w:lang w:val="zh-CN" w:eastAsia="zh-CN" w:bidi="zh-CN"/>
      </w:rPr>
    </w:lvl>
    <w:lvl w:ilvl="2">
      <w:start w:val="0"/>
      <w:numFmt w:val="bullet"/>
      <w:lvlText w:val="•"/>
      <w:lvlJc w:val="left"/>
      <w:pPr>
        <w:ind w:left="723" w:hanging="222"/>
      </w:pPr>
      <w:rPr>
        <w:rFonts w:hint="default"/>
        <w:lang w:val="zh-CN" w:eastAsia="zh-CN" w:bidi="zh-CN"/>
      </w:rPr>
    </w:lvl>
    <w:lvl w:ilvl="3">
      <w:start w:val="0"/>
      <w:numFmt w:val="bullet"/>
      <w:lvlText w:val="•"/>
      <w:lvlJc w:val="left"/>
      <w:pPr>
        <w:ind w:left="1074" w:hanging="222"/>
      </w:pPr>
      <w:rPr>
        <w:rFonts w:hint="default"/>
        <w:lang w:val="zh-CN" w:eastAsia="zh-CN" w:bidi="zh-CN"/>
      </w:rPr>
    </w:lvl>
    <w:lvl w:ilvl="4">
      <w:start w:val="0"/>
      <w:numFmt w:val="bullet"/>
      <w:lvlText w:val="•"/>
      <w:lvlJc w:val="left"/>
      <w:pPr>
        <w:ind w:left="1426" w:hanging="222"/>
      </w:pPr>
      <w:rPr>
        <w:rFonts w:hint="default"/>
        <w:lang w:val="zh-CN" w:eastAsia="zh-CN" w:bidi="zh-CN"/>
      </w:rPr>
    </w:lvl>
    <w:lvl w:ilvl="5">
      <w:start w:val="0"/>
      <w:numFmt w:val="bullet"/>
      <w:lvlText w:val="•"/>
      <w:lvlJc w:val="left"/>
      <w:pPr>
        <w:ind w:left="1777" w:hanging="222"/>
      </w:pPr>
      <w:rPr>
        <w:rFonts w:hint="default"/>
        <w:lang w:val="zh-CN" w:eastAsia="zh-CN" w:bidi="zh-CN"/>
      </w:rPr>
    </w:lvl>
    <w:lvl w:ilvl="6">
      <w:start w:val="0"/>
      <w:numFmt w:val="bullet"/>
      <w:lvlText w:val="•"/>
      <w:lvlJc w:val="left"/>
      <w:pPr>
        <w:ind w:left="2129" w:hanging="222"/>
      </w:pPr>
      <w:rPr>
        <w:rFonts w:hint="default"/>
        <w:lang w:val="zh-CN" w:eastAsia="zh-CN" w:bidi="zh-CN"/>
      </w:rPr>
    </w:lvl>
    <w:lvl w:ilvl="7">
      <w:start w:val="0"/>
      <w:numFmt w:val="bullet"/>
      <w:lvlText w:val="•"/>
      <w:lvlJc w:val="left"/>
      <w:pPr>
        <w:ind w:left="2480" w:hanging="222"/>
      </w:pPr>
      <w:rPr>
        <w:rFonts w:hint="default"/>
        <w:lang w:val="zh-CN" w:eastAsia="zh-CN" w:bidi="zh-CN"/>
      </w:rPr>
    </w:lvl>
    <w:lvl w:ilvl="8">
      <w:start w:val="0"/>
      <w:numFmt w:val="bullet"/>
      <w:lvlText w:val="•"/>
      <w:lvlJc w:val="left"/>
      <w:pPr>
        <w:ind w:left="2832" w:hanging="222"/>
      </w:pPr>
      <w:rPr>
        <w:rFonts w:hint="default"/>
        <w:lang w:val="zh-CN" w:eastAsia="zh-CN" w:bidi="zh-CN"/>
      </w:rPr>
    </w:lvl>
  </w:abstractNum>
  <w:abstractNum w:abstractNumId="15">
    <w:nsid w:val="0000000D"/>
    <w:multiLevelType w:val="multilevel"/>
    <w:tmpl w:val="0000000D"/>
    <w:lvl w:ilvl="0">
      <w:start w:val="1"/>
      <w:numFmt w:val="decimal"/>
      <w:lvlText w:val="%1."/>
      <w:lvlJc w:val="left"/>
      <w:pPr>
        <w:ind w:left="343" w:hanging="329"/>
      </w:pPr>
      <w:rPr>
        <w:rFonts w:ascii="宋体" w:eastAsia="宋体" w:hAnsi="宋体" w:cs="宋体" w:hint="default"/>
        <w:spacing w:val="-2"/>
        <w:w w:val="100"/>
        <w:sz w:val="19"/>
        <w:szCs w:val="19"/>
        <w:lang w:val="zh-CN" w:eastAsia="zh-CN" w:bidi="zh-CN"/>
      </w:rPr>
    </w:lvl>
    <w:lvl w:ilvl="1">
      <w:start w:val="0"/>
      <w:numFmt w:val="bullet"/>
      <w:lvlText w:val="•"/>
      <w:lvlJc w:val="left"/>
      <w:pPr>
        <w:ind w:left="659" w:hanging="329"/>
      </w:pPr>
      <w:rPr>
        <w:rFonts w:hint="default"/>
        <w:lang w:val="zh-CN" w:eastAsia="zh-CN" w:bidi="zh-CN"/>
      </w:rPr>
    </w:lvl>
    <w:lvl w:ilvl="2">
      <w:start w:val="0"/>
      <w:numFmt w:val="bullet"/>
      <w:lvlText w:val="•"/>
      <w:lvlJc w:val="left"/>
      <w:pPr>
        <w:ind w:left="979" w:hanging="329"/>
      </w:pPr>
      <w:rPr>
        <w:rFonts w:hint="default"/>
        <w:lang w:val="zh-CN" w:eastAsia="zh-CN" w:bidi="zh-CN"/>
      </w:rPr>
    </w:lvl>
    <w:lvl w:ilvl="3">
      <w:start w:val="0"/>
      <w:numFmt w:val="bullet"/>
      <w:lvlText w:val="•"/>
      <w:lvlJc w:val="left"/>
      <w:pPr>
        <w:ind w:left="1298" w:hanging="329"/>
      </w:pPr>
      <w:rPr>
        <w:rFonts w:hint="default"/>
        <w:lang w:val="zh-CN" w:eastAsia="zh-CN" w:bidi="zh-CN"/>
      </w:rPr>
    </w:lvl>
    <w:lvl w:ilvl="4">
      <w:start w:val="0"/>
      <w:numFmt w:val="bullet"/>
      <w:lvlText w:val="•"/>
      <w:lvlJc w:val="left"/>
      <w:pPr>
        <w:ind w:left="1618" w:hanging="329"/>
      </w:pPr>
      <w:rPr>
        <w:rFonts w:hint="default"/>
        <w:lang w:val="zh-CN" w:eastAsia="zh-CN" w:bidi="zh-CN"/>
      </w:rPr>
    </w:lvl>
    <w:lvl w:ilvl="5">
      <w:start w:val="0"/>
      <w:numFmt w:val="bullet"/>
      <w:lvlText w:val="•"/>
      <w:lvlJc w:val="left"/>
      <w:pPr>
        <w:ind w:left="1937" w:hanging="329"/>
      </w:pPr>
      <w:rPr>
        <w:rFonts w:hint="default"/>
        <w:lang w:val="zh-CN" w:eastAsia="zh-CN" w:bidi="zh-CN"/>
      </w:rPr>
    </w:lvl>
    <w:lvl w:ilvl="6">
      <w:start w:val="0"/>
      <w:numFmt w:val="bullet"/>
      <w:lvlText w:val="•"/>
      <w:lvlJc w:val="left"/>
      <w:pPr>
        <w:ind w:left="2257" w:hanging="329"/>
      </w:pPr>
      <w:rPr>
        <w:rFonts w:hint="default"/>
        <w:lang w:val="zh-CN" w:eastAsia="zh-CN" w:bidi="zh-CN"/>
      </w:rPr>
    </w:lvl>
    <w:lvl w:ilvl="7">
      <w:start w:val="0"/>
      <w:numFmt w:val="bullet"/>
      <w:lvlText w:val="•"/>
      <w:lvlJc w:val="left"/>
      <w:pPr>
        <w:ind w:left="2576" w:hanging="329"/>
      </w:pPr>
      <w:rPr>
        <w:rFonts w:hint="default"/>
        <w:lang w:val="zh-CN" w:eastAsia="zh-CN" w:bidi="zh-CN"/>
      </w:rPr>
    </w:lvl>
    <w:lvl w:ilvl="8">
      <w:start w:val="0"/>
      <w:numFmt w:val="bullet"/>
      <w:lvlText w:val="•"/>
      <w:lvlJc w:val="left"/>
      <w:pPr>
        <w:ind w:left="2896" w:hanging="329"/>
      </w:pPr>
      <w:rPr>
        <w:rFonts w:hint="default"/>
        <w:lang w:val="zh-CN" w:eastAsia="zh-CN" w:bidi="zh-CN"/>
      </w:rPr>
    </w:lvl>
  </w:abstractNum>
  <w:abstractNum w:abstractNumId="16">
    <w:nsid w:val="0000000E"/>
    <w:multiLevelType w:val="multilevel"/>
    <w:tmpl w:val="0000000E"/>
    <w:lvl w:ilvl="0">
      <w:start w:val="1"/>
      <w:numFmt w:val="decimal"/>
      <w:lvlText w:val="%1."/>
      <w:lvlJc w:val="left"/>
      <w:pPr>
        <w:ind w:left="343" w:hanging="329"/>
      </w:pPr>
      <w:rPr>
        <w:rFonts w:hint="default"/>
        <w:spacing w:val="-2"/>
        <w:w w:val="100"/>
        <w:lang w:val="zh-CN" w:eastAsia="zh-CN" w:bidi="zh-CN"/>
      </w:rPr>
    </w:lvl>
    <w:lvl w:ilvl="1">
      <w:start w:val="0"/>
      <w:numFmt w:val="bullet"/>
      <w:lvlText w:val="•"/>
      <w:lvlJc w:val="left"/>
      <w:pPr>
        <w:ind w:left="659" w:hanging="329"/>
      </w:pPr>
      <w:rPr>
        <w:rFonts w:hint="default"/>
        <w:lang w:val="zh-CN" w:eastAsia="zh-CN" w:bidi="zh-CN"/>
      </w:rPr>
    </w:lvl>
    <w:lvl w:ilvl="2">
      <w:start w:val="0"/>
      <w:numFmt w:val="bullet"/>
      <w:lvlText w:val="•"/>
      <w:lvlJc w:val="left"/>
      <w:pPr>
        <w:ind w:left="979" w:hanging="329"/>
      </w:pPr>
      <w:rPr>
        <w:rFonts w:hint="default"/>
        <w:lang w:val="zh-CN" w:eastAsia="zh-CN" w:bidi="zh-CN"/>
      </w:rPr>
    </w:lvl>
    <w:lvl w:ilvl="3">
      <w:start w:val="0"/>
      <w:numFmt w:val="bullet"/>
      <w:lvlText w:val="•"/>
      <w:lvlJc w:val="left"/>
      <w:pPr>
        <w:ind w:left="1298" w:hanging="329"/>
      </w:pPr>
      <w:rPr>
        <w:rFonts w:hint="default"/>
        <w:lang w:val="zh-CN" w:eastAsia="zh-CN" w:bidi="zh-CN"/>
      </w:rPr>
    </w:lvl>
    <w:lvl w:ilvl="4">
      <w:start w:val="0"/>
      <w:numFmt w:val="bullet"/>
      <w:lvlText w:val="•"/>
      <w:lvlJc w:val="left"/>
      <w:pPr>
        <w:ind w:left="1618" w:hanging="329"/>
      </w:pPr>
      <w:rPr>
        <w:rFonts w:hint="default"/>
        <w:lang w:val="zh-CN" w:eastAsia="zh-CN" w:bidi="zh-CN"/>
      </w:rPr>
    </w:lvl>
    <w:lvl w:ilvl="5">
      <w:start w:val="0"/>
      <w:numFmt w:val="bullet"/>
      <w:lvlText w:val="•"/>
      <w:lvlJc w:val="left"/>
      <w:pPr>
        <w:ind w:left="1937" w:hanging="329"/>
      </w:pPr>
      <w:rPr>
        <w:rFonts w:hint="default"/>
        <w:lang w:val="zh-CN" w:eastAsia="zh-CN" w:bidi="zh-CN"/>
      </w:rPr>
    </w:lvl>
    <w:lvl w:ilvl="6">
      <w:start w:val="0"/>
      <w:numFmt w:val="bullet"/>
      <w:lvlText w:val="•"/>
      <w:lvlJc w:val="left"/>
      <w:pPr>
        <w:ind w:left="2257" w:hanging="329"/>
      </w:pPr>
      <w:rPr>
        <w:rFonts w:hint="default"/>
        <w:lang w:val="zh-CN" w:eastAsia="zh-CN" w:bidi="zh-CN"/>
      </w:rPr>
    </w:lvl>
    <w:lvl w:ilvl="7">
      <w:start w:val="0"/>
      <w:numFmt w:val="bullet"/>
      <w:lvlText w:val="•"/>
      <w:lvlJc w:val="left"/>
      <w:pPr>
        <w:ind w:left="2576" w:hanging="329"/>
      </w:pPr>
      <w:rPr>
        <w:rFonts w:hint="default"/>
        <w:lang w:val="zh-CN" w:eastAsia="zh-CN" w:bidi="zh-CN"/>
      </w:rPr>
    </w:lvl>
    <w:lvl w:ilvl="8">
      <w:start w:val="0"/>
      <w:numFmt w:val="bullet"/>
      <w:lvlText w:val="•"/>
      <w:lvlJc w:val="left"/>
      <w:pPr>
        <w:ind w:left="2896" w:hanging="329"/>
      </w:pPr>
      <w:rPr>
        <w:rFonts w:hint="default"/>
        <w:lang w:val="zh-CN" w:eastAsia="zh-CN" w:bidi="zh-CN"/>
      </w:rPr>
    </w:lvl>
  </w:abstractNum>
  <w:abstractNum w:abstractNumId="17">
    <w:nsid w:val="0000000F"/>
    <w:multiLevelType w:val="multilevel"/>
    <w:tmpl w:val="0000000F"/>
    <w:lvl w:ilvl="0">
      <w:start w:val="1"/>
      <w:numFmt w:val="decimal"/>
      <w:lvlText w:val="%1."/>
      <w:lvlJc w:val="left"/>
      <w:pPr>
        <w:ind w:left="14" w:hanging="222"/>
      </w:pPr>
      <w:rPr>
        <w:rFonts w:ascii="宋体" w:eastAsia="宋体" w:hAnsi="宋体" w:cs="宋体" w:hint="default"/>
        <w:spacing w:val="-1"/>
        <w:w w:val="100"/>
        <w:sz w:val="20"/>
        <w:szCs w:val="20"/>
        <w:lang w:val="zh-CN" w:eastAsia="zh-CN" w:bidi="zh-CN"/>
      </w:rPr>
    </w:lvl>
    <w:lvl w:ilvl="1">
      <w:start w:val="0"/>
      <w:numFmt w:val="bullet"/>
      <w:lvlText w:val="•"/>
      <w:lvlJc w:val="left"/>
      <w:pPr>
        <w:ind w:left="216" w:hanging="222"/>
      </w:pPr>
      <w:rPr>
        <w:rFonts w:hint="default"/>
        <w:lang w:val="zh-CN" w:eastAsia="zh-CN" w:bidi="zh-CN"/>
      </w:rPr>
    </w:lvl>
    <w:lvl w:ilvl="2">
      <w:start w:val="0"/>
      <w:numFmt w:val="bullet"/>
      <w:lvlText w:val="•"/>
      <w:lvlJc w:val="left"/>
      <w:pPr>
        <w:ind w:left="413" w:hanging="222"/>
      </w:pPr>
      <w:rPr>
        <w:rFonts w:hint="default"/>
        <w:lang w:val="zh-CN" w:eastAsia="zh-CN" w:bidi="zh-CN"/>
      </w:rPr>
    </w:lvl>
    <w:lvl w:ilvl="3">
      <w:start w:val="0"/>
      <w:numFmt w:val="bullet"/>
      <w:lvlText w:val="•"/>
      <w:lvlJc w:val="left"/>
      <w:pPr>
        <w:ind w:left="610" w:hanging="222"/>
      </w:pPr>
      <w:rPr>
        <w:rFonts w:hint="default"/>
        <w:lang w:val="zh-CN" w:eastAsia="zh-CN" w:bidi="zh-CN"/>
      </w:rPr>
    </w:lvl>
    <w:lvl w:ilvl="4">
      <w:start w:val="0"/>
      <w:numFmt w:val="bullet"/>
      <w:lvlText w:val="•"/>
      <w:lvlJc w:val="left"/>
      <w:pPr>
        <w:ind w:left="806" w:hanging="222"/>
      </w:pPr>
      <w:rPr>
        <w:rFonts w:hint="default"/>
        <w:lang w:val="zh-CN" w:eastAsia="zh-CN" w:bidi="zh-CN"/>
      </w:rPr>
    </w:lvl>
    <w:lvl w:ilvl="5">
      <w:start w:val="0"/>
      <w:numFmt w:val="bullet"/>
      <w:lvlText w:val="•"/>
      <w:lvlJc w:val="left"/>
      <w:pPr>
        <w:ind w:left="1003" w:hanging="222"/>
      </w:pPr>
      <w:rPr>
        <w:rFonts w:hint="default"/>
        <w:lang w:val="zh-CN" w:eastAsia="zh-CN" w:bidi="zh-CN"/>
      </w:rPr>
    </w:lvl>
    <w:lvl w:ilvl="6">
      <w:start w:val="0"/>
      <w:numFmt w:val="bullet"/>
      <w:lvlText w:val="•"/>
      <w:lvlJc w:val="left"/>
      <w:pPr>
        <w:ind w:left="1200" w:hanging="222"/>
      </w:pPr>
      <w:rPr>
        <w:rFonts w:hint="default"/>
        <w:lang w:val="zh-CN" w:eastAsia="zh-CN" w:bidi="zh-CN"/>
      </w:rPr>
    </w:lvl>
    <w:lvl w:ilvl="7">
      <w:start w:val="0"/>
      <w:numFmt w:val="bullet"/>
      <w:lvlText w:val="•"/>
      <w:lvlJc w:val="left"/>
      <w:pPr>
        <w:ind w:left="1396" w:hanging="222"/>
      </w:pPr>
      <w:rPr>
        <w:rFonts w:hint="default"/>
        <w:lang w:val="zh-CN" w:eastAsia="zh-CN" w:bidi="zh-CN"/>
      </w:rPr>
    </w:lvl>
    <w:lvl w:ilvl="8">
      <w:start w:val="0"/>
      <w:numFmt w:val="bullet"/>
      <w:lvlText w:val="•"/>
      <w:lvlJc w:val="left"/>
      <w:pPr>
        <w:ind w:left="1593" w:hanging="222"/>
      </w:pPr>
      <w:rPr>
        <w:rFonts w:hint="default"/>
        <w:lang w:val="zh-CN" w:eastAsia="zh-CN" w:bidi="zh-CN"/>
      </w:rPr>
    </w:lvl>
  </w:abstractNum>
  <w:abstractNum w:abstractNumId="18">
    <w:nsid w:val="00000010"/>
    <w:multiLevelType w:val="multilevel"/>
    <w:tmpl w:val="00000010"/>
    <w:lvl w:ilvl="0">
      <w:start w:val="1"/>
      <w:numFmt w:val="decimal"/>
      <w:lvlText w:val="%1."/>
      <w:lvlJc w:val="left"/>
      <w:pPr>
        <w:ind w:left="236" w:hanging="222"/>
      </w:pPr>
      <w:rPr>
        <w:rFonts w:hint="default"/>
        <w:spacing w:val="-1"/>
        <w:w w:val="100"/>
        <w:lang w:val="zh-CN" w:eastAsia="zh-CN" w:bidi="zh-CN"/>
      </w:rPr>
    </w:lvl>
    <w:lvl w:ilvl="1">
      <w:start w:val="0"/>
      <w:numFmt w:val="bullet"/>
      <w:lvlText w:val="•"/>
      <w:lvlJc w:val="left"/>
      <w:pPr>
        <w:ind w:left="569" w:hanging="222"/>
      </w:pPr>
      <w:rPr>
        <w:rFonts w:hint="default"/>
        <w:lang w:val="zh-CN" w:eastAsia="zh-CN" w:bidi="zh-CN"/>
      </w:rPr>
    </w:lvl>
    <w:lvl w:ilvl="2">
      <w:start w:val="0"/>
      <w:numFmt w:val="bullet"/>
      <w:lvlText w:val="•"/>
      <w:lvlJc w:val="left"/>
      <w:pPr>
        <w:ind w:left="899" w:hanging="222"/>
      </w:pPr>
      <w:rPr>
        <w:rFonts w:hint="default"/>
        <w:lang w:val="zh-CN" w:eastAsia="zh-CN" w:bidi="zh-CN"/>
      </w:rPr>
    </w:lvl>
    <w:lvl w:ilvl="3">
      <w:start w:val="0"/>
      <w:numFmt w:val="bullet"/>
      <w:lvlText w:val="•"/>
      <w:lvlJc w:val="left"/>
      <w:pPr>
        <w:ind w:left="1228" w:hanging="222"/>
      </w:pPr>
      <w:rPr>
        <w:rFonts w:hint="default"/>
        <w:lang w:val="zh-CN" w:eastAsia="zh-CN" w:bidi="zh-CN"/>
      </w:rPr>
    </w:lvl>
    <w:lvl w:ilvl="4">
      <w:start w:val="0"/>
      <w:numFmt w:val="bullet"/>
      <w:lvlText w:val="•"/>
      <w:lvlJc w:val="left"/>
      <w:pPr>
        <w:ind w:left="1558" w:hanging="222"/>
      </w:pPr>
      <w:rPr>
        <w:rFonts w:hint="default"/>
        <w:lang w:val="zh-CN" w:eastAsia="zh-CN" w:bidi="zh-CN"/>
      </w:rPr>
    </w:lvl>
    <w:lvl w:ilvl="5">
      <w:start w:val="0"/>
      <w:numFmt w:val="bullet"/>
      <w:lvlText w:val="•"/>
      <w:lvlJc w:val="left"/>
      <w:pPr>
        <w:ind w:left="1887" w:hanging="222"/>
      </w:pPr>
      <w:rPr>
        <w:rFonts w:hint="default"/>
        <w:lang w:val="zh-CN" w:eastAsia="zh-CN" w:bidi="zh-CN"/>
      </w:rPr>
    </w:lvl>
    <w:lvl w:ilvl="6">
      <w:start w:val="0"/>
      <w:numFmt w:val="bullet"/>
      <w:lvlText w:val="•"/>
      <w:lvlJc w:val="left"/>
      <w:pPr>
        <w:ind w:left="2217" w:hanging="222"/>
      </w:pPr>
      <w:rPr>
        <w:rFonts w:hint="default"/>
        <w:lang w:val="zh-CN" w:eastAsia="zh-CN" w:bidi="zh-CN"/>
      </w:rPr>
    </w:lvl>
    <w:lvl w:ilvl="7">
      <w:start w:val="0"/>
      <w:numFmt w:val="bullet"/>
      <w:lvlText w:val="•"/>
      <w:lvlJc w:val="left"/>
      <w:pPr>
        <w:ind w:left="2546" w:hanging="222"/>
      </w:pPr>
      <w:rPr>
        <w:rFonts w:hint="default"/>
        <w:lang w:val="zh-CN" w:eastAsia="zh-CN" w:bidi="zh-CN"/>
      </w:rPr>
    </w:lvl>
    <w:lvl w:ilvl="8">
      <w:start w:val="0"/>
      <w:numFmt w:val="bullet"/>
      <w:lvlText w:val="•"/>
      <w:lvlJc w:val="left"/>
      <w:pPr>
        <w:ind w:left="2876" w:hanging="222"/>
      </w:pPr>
      <w:rPr>
        <w:rFonts w:hint="default"/>
        <w:lang w:val="zh-CN" w:eastAsia="zh-CN" w:bidi="zh-CN"/>
      </w:rPr>
    </w:lvl>
  </w:abstractNum>
  <w:abstractNum w:abstractNumId="19">
    <w:nsid w:val="00000011"/>
    <w:multiLevelType w:val="multilevel"/>
    <w:tmpl w:val="00000011"/>
    <w:lvl w:ilvl="0">
      <w:start w:val="1"/>
      <w:numFmt w:val="decimal"/>
      <w:lvlText w:val="%1."/>
      <w:lvlJc w:val="left"/>
      <w:pPr>
        <w:ind w:left="343" w:hanging="329"/>
      </w:pPr>
      <w:rPr>
        <w:rFonts w:ascii="宋体" w:eastAsia="宋体" w:hAnsi="宋体" w:cs="宋体" w:hint="default"/>
        <w:spacing w:val="-2"/>
        <w:w w:val="100"/>
        <w:sz w:val="19"/>
        <w:szCs w:val="19"/>
        <w:lang w:val="zh-CN" w:eastAsia="zh-CN" w:bidi="zh-CN"/>
      </w:rPr>
    </w:lvl>
    <w:lvl w:ilvl="1">
      <w:start w:val="0"/>
      <w:numFmt w:val="bullet"/>
      <w:lvlText w:val="•"/>
      <w:lvlJc w:val="left"/>
      <w:pPr>
        <w:ind w:left="659" w:hanging="329"/>
      </w:pPr>
      <w:rPr>
        <w:rFonts w:hint="default"/>
        <w:lang w:val="zh-CN" w:eastAsia="zh-CN" w:bidi="zh-CN"/>
      </w:rPr>
    </w:lvl>
    <w:lvl w:ilvl="2">
      <w:start w:val="0"/>
      <w:numFmt w:val="bullet"/>
      <w:lvlText w:val="•"/>
      <w:lvlJc w:val="left"/>
      <w:pPr>
        <w:ind w:left="979" w:hanging="329"/>
      </w:pPr>
      <w:rPr>
        <w:rFonts w:hint="default"/>
        <w:lang w:val="zh-CN" w:eastAsia="zh-CN" w:bidi="zh-CN"/>
      </w:rPr>
    </w:lvl>
    <w:lvl w:ilvl="3">
      <w:start w:val="0"/>
      <w:numFmt w:val="bullet"/>
      <w:lvlText w:val="•"/>
      <w:lvlJc w:val="left"/>
      <w:pPr>
        <w:ind w:left="1298" w:hanging="329"/>
      </w:pPr>
      <w:rPr>
        <w:rFonts w:hint="default"/>
        <w:lang w:val="zh-CN" w:eastAsia="zh-CN" w:bidi="zh-CN"/>
      </w:rPr>
    </w:lvl>
    <w:lvl w:ilvl="4">
      <w:start w:val="0"/>
      <w:numFmt w:val="bullet"/>
      <w:lvlText w:val="•"/>
      <w:lvlJc w:val="left"/>
      <w:pPr>
        <w:ind w:left="1618" w:hanging="329"/>
      </w:pPr>
      <w:rPr>
        <w:rFonts w:hint="default"/>
        <w:lang w:val="zh-CN" w:eastAsia="zh-CN" w:bidi="zh-CN"/>
      </w:rPr>
    </w:lvl>
    <w:lvl w:ilvl="5">
      <w:start w:val="0"/>
      <w:numFmt w:val="bullet"/>
      <w:lvlText w:val="•"/>
      <w:lvlJc w:val="left"/>
      <w:pPr>
        <w:ind w:left="1937" w:hanging="329"/>
      </w:pPr>
      <w:rPr>
        <w:rFonts w:hint="default"/>
        <w:lang w:val="zh-CN" w:eastAsia="zh-CN" w:bidi="zh-CN"/>
      </w:rPr>
    </w:lvl>
    <w:lvl w:ilvl="6">
      <w:start w:val="0"/>
      <w:numFmt w:val="bullet"/>
      <w:lvlText w:val="•"/>
      <w:lvlJc w:val="left"/>
      <w:pPr>
        <w:ind w:left="2257" w:hanging="329"/>
      </w:pPr>
      <w:rPr>
        <w:rFonts w:hint="default"/>
        <w:lang w:val="zh-CN" w:eastAsia="zh-CN" w:bidi="zh-CN"/>
      </w:rPr>
    </w:lvl>
    <w:lvl w:ilvl="7">
      <w:start w:val="0"/>
      <w:numFmt w:val="bullet"/>
      <w:lvlText w:val="•"/>
      <w:lvlJc w:val="left"/>
      <w:pPr>
        <w:ind w:left="2576" w:hanging="329"/>
      </w:pPr>
      <w:rPr>
        <w:rFonts w:hint="default"/>
        <w:lang w:val="zh-CN" w:eastAsia="zh-CN" w:bidi="zh-CN"/>
      </w:rPr>
    </w:lvl>
    <w:lvl w:ilvl="8">
      <w:start w:val="0"/>
      <w:numFmt w:val="bullet"/>
      <w:lvlText w:val="•"/>
      <w:lvlJc w:val="left"/>
      <w:pPr>
        <w:ind w:left="2896" w:hanging="329"/>
      </w:pPr>
      <w:rPr>
        <w:rFonts w:hint="default"/>
        <w:lang w:val="zh-CN" w:eastAsia="zh-CN" w:bidi="zh-CN"/>
      </w:rPr>
    </w:lvl>
  </w:abstractNum>
  <w:abstractNum w:abstractNumId="20">
    <w:nsid w:val="00000012"/>
    <w:multiLevelType w:val="multilevel"/>
    <w:tmpl w:val="00000012"/>
    <w:lvl w:ilvl="0">
      <w:start w:val="1"/>
      <w:numFmt w:val="decimal"/>
      <w:lvlText w:val="%1."/>
      <w:lvlJc w:val="left"/>
      <w:pPr>
        <w:ind w:left="343" w:hanging="329"/>
      </w:pPr>
      <w:rPr>
        <w:rFonts w:ascii="宋体" w:eastAsia="宋体" w:hAnsi="宋体" w:cs="宋体" w:hint="default"/>
        <w:spacing w:val="-2"/>
        <w:w w:val="100"/>
        <w:sz w:val="19"/>
        <w:szCs w:val="19"/>
        <w:lang w:val="zh-CN" w:eastAsia="zh-CN" w:bidi="zh-CN"/>
      </w:rPr>
    </w:lvl>
    <w:lvl w:ilvl="1">
      <w:start w:val="0"/>
      <w:numFmt w:val="bullet"/>
      <w:lvlText w:val="•"/>
      <w:lvlJc w:val="left"/>
      <w:pPr>
        <w:ind w:left="659" w:hanging="329"/>
      </w:pPr>
      <w:rPr>
        <w:rFonts w:hint="default"/>
        <w:lang w:val="zh-CN" w:eastAsia="zh-CN" w:bidi="zh-CN"/>
      </w:rPr>
    </w:lvl>
    <w:lvl w:ilvl="2">
      <w:start w:val="0"/>
      <w:numFmt w:val="bullet"/>
      <w:lvlText w:val="•"/>
      <w:lvlJc w:val="left"/>
      <w:pPr>
        <w:ind w:left="979" w:hanging="329"/>
      </w:pPr>
      <w:rPr>
        <w:rFonts w:hint="default"/>
        <w:lang w:val="zh-CN" w:eastAsia="zh-CN" w:bidi="zh-CN"/>
      </w:rPr>
    </w:lvl>
    <w:lvl w:ilvl="3">
      <w:start w:val="0"/>
      <w:numFmt w:val="bullet"/>
      <w:lvlText w:val="•"/>
      <w:lvlJc w:val="left"/>
      <w:pPr>
        <w:ind w:left="1298" w:hanging="329"/>
      </w:pPr>
      <w:rPr>
        <w:rFonts w:hint="default"/>
        <w:lang w:val="zh-CN" w:eastAsia="zh-CN" w:bidi="zh-CN"/>
      </w:rPr>
    </w:lvl>
    <w:lvl w:ilvl="4">
      <w:start w:val="0"/>
      <w:numFmt w:val="bullet"/>
      <w:lvlText w:val="•"/>
      <w:lvlJc w:val="left"/>
      <w:pPr>
        <w:ind w:left="1618" w:hanging="329"/>
      </w:pPr>
      <w:rPr>
        <w:rFonts w:hint="default"/>
        <w:lang w:val="zh-CN" w:eastAsia="zh-CN" w:bidi="zh-CN"/>
      </w:rPr>
    </w:lvl>
    <w:lvl w:ilvl="5">
      <w:start w:val="0"/>
      <w:numFmt w:val="bullet"/>
      <w:lvlText w:val="•"/>
      <w:lvlJc w:val="left"/>
      <w:pPr>
        <w:ind w:left="1937" w:hanging="329"/>
      </w:pPr>
      <w:rPr>
        <w:rFonts w:hint="default"/>
        <w:lang w:val="zh-CN" w:eastAsia="zh-CN" w:bidi="zh-CN"/>
      </w:rPr>
    </w:lvl>
    <w:lvl w:ilvl="6">
      <w:start w:val="0"/>
      <w:numFmt w:val="bullet"/>
      <w:lvlText w:val="•"/>
      <w:lvlJc w:val="left"/>
      <w:pPr>
        <w:ind w:left="2257" w:hanging="329"/>
      </w:pPr>
      <w:rPr>
        <w:rFonts w:hint="default"/>
        <w:lang w:val="zh-CN" w:eastAsia="zh-CN" w:bidi="zh-CN"/>
      </w:rPr>
    </w:lvl>
    <w:lvl w:ilvl="7">
      <w:start w:val="0"/>
      <w:numFmt w:val="bullet"/>
      <w:lvlText w:val="•"/>
      <w:lvlJc w:val="left"/>
      <w:pPr>
        <w:ind w:left="2576" w:hanging="329"/>
      </w:pPr>
      <w:rPr>
        <w:rFonts w:hint="default"/>
        <w:lang w:val="zh-CN" w:eastAsia="zh-CN" w:bidi="zh-CN"/>
      </w:rPr>
    </w:lvl>
    <w:lvl w:ilvl="8">
      <w:start w:val="0"/>
      <w:numFmt w:val="bullet"/>
      <w:lvlText w:val="•"/>
      <w:lvlJc w:val="left"/>
      <w:pPr>
        <w:ind w:left="2896" w:hanging="329"/>
      </w:pPr>
      <w:rPr>
        <w:rFonts w:hint="default"/>
        <w:lang w:val="zh-CN" w:eastAsia="zh-CN" w:bidi="zh-CN"/>
      </w:rPr>
    </w:lvl>
  </w:abstractNum>
  <w:abstractNum w:abstractNumId="21">
    <w:nsid w:val="00000013"/>
    <w:multiLevelType w:val="multilevel"/>
    <w:tmpl w:val="00000013"/>
    <w:lvl w:ilvl="0">
      <w:start w:val="1"/>
      <w:numFmt w:val="decimal"/>
      <w:lvlText w:val="%1."/>
      <w:lvlJc w:val="left"/>
      <w:pPr>
        <w:ind w:left="343" w:hanging="212"/>
        <w:jc w:val="right"/>
      </w:pPr>
      <w:rPr>
        <w:rFonts w:hint="default"/>
        <w:spacing w:val="-2"/>
        <w:w w:val="100"/>
        <w:lang w:val="zh-CN" w:eastAsia="zh-CN" w:bidi="zh-CN"/>
      </w:rPr>
    </w:lvl>
    <w:lvl w:ilvl="1">
      <w:start w:val="0"/>
      <w:numFmt w:val="bullet"/>
      <w:lvlText w:val="•"/>
      <w:lvlJc w:val="left"/>
      <w:pPr>
        <w:ind w:left="659" w:hanging="212"/>
      </w:pPr>
      <w:rPr>
        <w:rFonts w:hint="default"/>
        <w:lang w:val="zh-CN" w:eastAsia="zh-CN" w:bidi="zh-CN"/>
      </w:rPr>
    </w:lvl>
    <w:lvl w:ilvl="2">
      <w:start w:val="0"/>
      <w:numFmt w:val="bullet"/>
      <w:lvlText w:val="•"/>
      <w:lvlJc w:val="left"/>
      <w:pPr>
        <w:ind w:left="979" w:hanging="212"/>
      </w:pPr>
      <w:rPr>
        <w:rFonts w:hint="default"/>
        <w:lang w:val="zh-CN" w:eastAsia="zh-CN" w:bidi="zh-CN"/>
      </w:rPr>
    </w:lvl>
    <w:lvl w:ilvl="3">
      <w:start w:val="0"/>
      <w:numFmt w:val="bullet"/>
      <w:lvlText w:val="•"/>
      <w:lvlJc w:val="left"/>
      <w:pPr>
        <w:ind w:left="1298" w:hanging="212"/>
      </w:pPr>
      <w:rPr>
        <w:rFonts w:hint="default"/>
        <w:lang w:val="zh-CN" w:eastAsia="zh-CN" w:bidi="zh-CN"/>
      </w:rPr>
    </w:lvl>
    <w:lvl w:ilvl="4">
      <w:start w:val="0"/>
      <w:numFmt w:val="bullet"/>
      <w:lvlText w:val="•"/>
      <w:lvlJc w:val="left"/>
      <w:pPr>
        <w:ind w:left="1618" w:hanging="212"/>
      </w:pPr>
      <w:rPr>
        <w:rFonts w:hint="default"/>
        <w:lang w:val="zh-CN" w:eastAsia="zh-CN" w:bidi="zh-CN"/>
      </w:rPr>
    </w:lvl>
    <w:lvl w:ilvl="5">
      <w:start w:val="0"/>
      <w:numFmt w:val="bullet"/>
      <w:lvlText w:val="•"/>
      <w:lvlJc w:val="left"/>
      <w:pPr>
        <w:ind w:left="1937" w:hanging="212"/>
      </w:pPr>
      <w:rPr>
        <w:rFonts w:hint="default"/>
        <w:lang w:val="zh-CN" w:eastAsia="zh-CN" w:bidi="zh-CN"/>
      </w:rPr>
    </w:lvl>
    <w:lvl w:ilvl="6">
      <w:start w:val="0"/>
      <w:numFmt w:val="bullet"/>
      <w:lvlText w:val="•"/>
      <w:lvlJc w:val="left"/>
      <w:pPr>
        <w:ind w:left="2257" w:hanging="212"/>
      </w:pPr>
      <w:rPr>
        <w:rFonts w:hint="default"/>
        <w:lang w:val="zh-CN" w:eastAsia="zh-CN" w:bidi="zh-CN"/>
      </w:rPr>
    </w:lvl>
    <w:lvl w:ilvl="7">
      <w:start w:val="0"/>
      <w:numFmt w:val="bullet"/>
      <w:lvlText w:val="•"/>
      <w:lvlJc w:val="left"/>
      <w:pPr>
        <w:ind w:left="2576" w:hanging="212"/>
      </w:pPr>
      <w:rPr>
        <w:rFonts w:hint="default"/>
        <w:lang w:val="zh-CN" w:eastAsia="zh-CN" w:bidi="zh-CN"/>
      </w:rPr>
    </w:lvl>
    <w:lvl w:ilvl="8">
      <w:start w:val="0"/>
      <w:numFmt w:val="bullet"/>
      <w:lvlText w:val="•"/>
      <w:lvlJc w:val="left"/>
      <w:pPr>
        <w:ind w:left="2896" w:hanging="212"/>
      </w:pPr>
      <w:rPr>
        <w:rFonts w:hint="default"/>
        <w:lang w:val="zh-CN" w:eastAsia="zh-CN" w:bidi="zh-CN"/>
      </w:rPr>
    </w:lvl>
  </w:abstractNum>
  <w:abstractNum w:abstractNumId="22">
    <w:nsid w:val="00000014"/>
    <w:multiLevelType w:val="multilevel"/>
    <w:tmpl w:val="00000014"/>
    <w:lvl w:ilvl="0">
      <w:start w:val="1"/>
      <w:numFmt w:val="decimal"/>
      <w:lvlText w:val="%1."/>
      <w:lvlJc w:val="left"/>
      <w:pPr>
        <w:ind w:left="14" w:hanging="222"/>
      </w:pPr>
      <w:rPr>
        <w:rFonts w:ascii="宋体" w:eastAsia="宋体" w:hAnsi="宋体" w:cs="宋体" w:hint="default"/>
        <w:spacing w:val="-1"/>
        <w:w w:val="100"/>
        <w:sz w:val="20"/>
        <w:szCs w:val="20"/>
        <w:lang w:val="zh-CN" w:eastAsia="zh-CN" w:bidi="zh-CN"/>
      </w:rPr>
    </w:lvl>
    <w:lvl w:ilvl="1">
      <w:start w:val="0"/>
      <w:numFmt w:val="bullet"/>
      <w:lvlText w:val="•"/>
      <w:lvlJc w:val="left"/>
      <w:pPr>
        <w:ind w:left="371" w:hanging="222"/>
      </w:pPr>
      <w:rPr>
        <w:rFonts w:hint="default"/>
        <w:lang w:val="zh-CN" w:eastAsia="zh-CN" w:bidi="zh-CN"/>
      </w:rPr>
    </w:lvl>
    <w:lvl w:ilvl="2">
      <w:start w:val="0"/>
      <w:numFmt w:val="bullet"/>
      <w:lvlText w:val="•"/>
      <w:lvlJc w:val="left"/>
      <w:pPr>
        <w:ind w:left="723" w:hanging="222"/>
      </w:pPr>
      <w:rPr>
        <w:rFonts w:hint="default"/>
        <w:lang w:val="zh-CN" w:eastAsia="zh-CN" w:bidi="zh-CN"/>
      </w:rPr>
    </w:lvl>
    <w:lvl w:ilvl="3">
      <w:start w:val="0"/>
      <w:numFmt w:val="bullet"/>
      <w:lvlText w:val="•"/>
      <w:lvlJc w:val="left"/>
      <w:pPr>
        <w:ind w:left="1074" w:hanging="222"/>
      </w:pPr>
      <w:rPr>
        <w:rFonts w:hint="default"/>
        <w:lang w:val="zh-CN" w:eastAsia="zh-CN" w:bidi="zh-CN"/>
      </w:rPr>
    </w:lvl>
    <w:lvl w:ilvl="4">
      <w:start w:val="0"/>
      <w:numFmt w:val="bullet"/>
      <w:lvlText w:val="•"/>
      <w:lvlJc w:val="left"/>
      <w:pPr>
        <w:ind w:left="1426" w:hanging="222"/>
      </w:pPr>
      <w:rPr>
        <w:rFonts w:hint="default"/>
        <w:lang w:val="zh-CN" w:eastAsia="zh-CN" w:bidi="zh-CN"/>
      </w:rPr>
    </w:lvl>
    <w:lvl w:ilvl="5">
      <w:start w:val="0"/>
      <w:numFmt w:val="bullet"/>
      <w:lvlText w:val="•"/>
      <w:lvlJc w:val="left"/>
      <w:pPr>
        <w:ind w:left="1777" w:hanging="222"/>
      </w:pPr>
      <w:rPr>
        <w:rFonts w:hint="default"/>
        <w:lang w:val="zh-CN" w:eastAsia="zh-CN" w:bidi="zh-CN"/>
      </w:rPr>
    </w:lvl>
    <w:lvl w:ilvl="6">
      <w:start w:val="0"/>
      <w:numFmt w:val="bullet"/>
      <w:lvlText w:val="•"/>
      <w:lvlJc w:val="left"/>
      <w:pPr>
        <w:ind w:left="2129" w:hanging="222"/>
      </w:pPr>
      <w:rPr>
        <w:rFonts w:hint="default"/>
        <w:lang w:val="zh-CN" w:eastAsia="zh-CN" w:bidi="zh-CN"/>
      </w:rPr>
    </w:lvl>
    <w:lvl w:ilvl="7">
      <w:start w:val="0"/>
      <w:numFmt w:val="bullet"/>
      <w:lvlText w:val="•"/>
      <w:lvlJc w:val="left"/>
      <w:pPr>
        <w:ind w:left="2480" w:hanging="222"/>
      </w:pPr>
      <w:rPr>
        <w:rFonts w:hint="default"/>
        <w:lang w:val="zh-CN" w:eastAsia="zh-CN" w:bidi="zh-CN"/>
      </w:rPr>
    </w:lvl>
    <w:lvl w:ilvl="8">
      <w:start w:val="0"/>
      <w:numFmt w:val="bullet"/>
      <w:lvlText w:val="•"/>
      <w:lvlJc w:val="left"/>
      <w:pPr>
        <w:ind w:left="2832" w:hanging="222"/>
      </w:pPr>
      <w:rPr>
        <w:rFonts w:hint="default"/>
        <w:lang w:val="zh-CN" w:eastAsia="zh-CN" w:bidi="zh-CN"/>
      </w:rPr>
    </w:lvl>
  </w:abstractNum>
  <w:abstractNum w:abstractNumId="23">
    <w:nsid w:val="00000015"/>
    <w:multiLevelType w:val="multilevel"/>
    <w:tmpl w:val="00000015"/>
    <w:lvl w:ilvl="0">
      <w:start w:val="2"/>
      <w:numFmt w:val="decimal"/>
      <w:lvlText w:val="%1."/>
      <w:lvlJc w:val="left"/>
      <w:pPr>
        <w:ind w:left="343" w:hanging="212"/>
      </w:pPr>
      <w:rPr>
        <w:rFonts w:ascii="宋体" w:eastAsia="宋体" w:hAnsi="宋体" w:cs="宋体" w:hint="default"/>
        <w:spacing w:val="-2"/>
        <w:w w:val="100"/>
        <w:sz w:val="19"/>
        <w:szCs w:val="19"/>
        <w:lang w:val="zh-CN" w:eastAsia="zh-CN" w:bidi="zh-CN"/>
      </w:rPr>
    </w:lvl>
    <w:lvl w:ilvl="1">
      <w:start w:val="0"/>
      <w:numFmt w:val="bullet"/>
      <w:lvlText w:val="•"/>
      <w:lvlJc w:val="left"/>
      <w:pPr>
        <w:ind w:left="659" w:hanging="212"/>
      </w:pPr>
      <w:rPr>
        <w:rFonts w:hint="default"/>
        <w:lang w:val="zh-CN" w:eastAsia="zh-CN" w:bidi="zh-CN"/>
      </w:rPr>
    </w:lvl>
    <w:lvl w:ilvl="2">
      <w:start w:val="0"/>
      <w:numFmt w:val="bullet"/>
      <w:lvlText w:val="•"/>
      <w:lvlJc w:val="left"/>
      <w:pPr>
        <w:ind w:left="979" w:hanging="212"/>
      </w:pPr>
      <w:rPr>
        <w:rFonts w:hint="default"/>
        <w:lang w:val="zh-CN" w:eastAsia="zh-CN" w:bidi="zh-CN"/>
      </w:rPr>
    </w:lvl>
    <w:lvl w:ilvl="3">
      <w:start w:val="0"/>
      <w:numFmt w:val="bullet"/>
      <w:lvlText w:val="•"/>
      <w:lvlJc w:val="left"/>
      <w:pPr>
        <w:ind w:left="1298" w:hanging="212"/>
      </w:pPr>
      <w:rPr>
        <w:rFonts w:hint="default"/>
        <w:lang w:val="zh-CN" w:eastAsia="zh-CN" w:bidi="zh-CN"/>
      </w:rPr>
    </w:lvl>
    <w:lvl w:ilvl="4">
      <w:start w:val="0"/>
      <w:numFmt w:val="bullet"/>
      <w:lvlText w:val="•"/>
      <w:lvlJc w:val="left"/>
      <w:pPr>
        <w:ind w:left="1618" w:hanging="212"/>
      </w:pPr>
      <w:rPr>
        <w:rFonts w:hint="default"/>
        <w:lang w:val="zh-CN" w:eastAsia="zh-CN" w:bidi="zh-CN"/>
      </w:rPr>
    </w:lvl>
    <w:lvl w:ilvl="5">
      <w:start w:val="0"/>
      <w:numFmt w:val="bullet"/>
      <w:lvlText w:val="•"/>
      <w:lvlJc w:val="left"/>
      <w:pPr>
        <w:ind w:left="1937" w:hanging="212"/>
      </w:pPr>
      <w:rPr>
        <w:rFonts w:hint="default"/>
        <w:lang w:val="zh-CN" w:eastAsia="zh-CN" w:bidi="zh-CN"/>
      </w:rPr>
    </w:lvl>
    <w:lvl w:ilvl="6">
      <w:start w:val="0"/>
      <w:numFmt w:val="bullet"/>
      <w:lvlText w:val="•"/>
      <w:lvlJc w:val="left"/>
      <w:pPr>
        <w:ind w:left="2257" w:hanging="212"/>
      </w:pPr>
      <w:rPr>
        <w:rFonts w:hint="default"/>
        <w:lang w:val="zh-CN" w:eastAsia="zh-CN" w:bidi="zh-CN"/>
      </w:rPr>
    </w:lvl>
    <w:lvl w:ilvl="7">
      <w:start w:val="0"/>
      <w:numFmt w:val="bullet"/>
      <w:lvlText w:val="•"/>
      <w:lvlJc w:val="left"/>
      <w:pPr>
        <w:ind w:left="2576" w:hanging="212"/>
      </w:pPr>
      <w:rPr>
        <w:rFonts w:hint="default"/>
        <w:lang w:val="zh-CN" w:eastAsia="zh-CN" w:bidi="zh-CN"/>
      </w:rPr>
    </w:lvl>
    <w:lvl w:ilvl="8">
      <w:start w:val="0"/>
      <w:numFmt w:val="bullet"/>
      <w:lvlText w:val="•"/>
      <w:lvlJc w:val="left"/>
      <w:pPr>
        <w:ind w:left="2896" w:hanging="212"/>
      </w:pPr>
      <w:rPr>
        <w:rFonts w:hint="default"/>
        <w:lang w:val="zh-CN" w:eastAsia="zh-CN" w:bidi="zh-CN"/>
      </w:rPr>
    </w:lvl>
  </w:abstractNum>
  <w:abstractNum w:abstractNumId="24">
    <w:nsid w:val="00000016"/>
    <w:multiLevelType w:val="multilevel"/>
    <w:tmpl w:val="00000016"/>
    <w:lvl w:ilvl="0">
      <w:start w:val="1"/>
      <w:numFmt w:val="decimal"/>
      <w:lvlText w:val="%1."/>
      <w:lvlJc w:val="left"/>
      <w:pPr>
        <w:ind w:left="345" w:hanging="332"/>
        <w:jc w:val="right"/>
      </w:pPr>
      <w:rPr>
        <w:rFonts w:ascii="宋体" w:eastAsia="宋体" w:hAnsi="宋体" w:cs="宋体" w:hint="default"/>
        <w:spacing w:val="-48"/>
        <w:w w:val="100"/>
        <w:sz w:val="19"/>
        <w:szCs w:val="19"/>
        <w:lang w:val="zh-CN" w:eastAsia="zh-CN" w:bidi="zh-CN"/>
      </w:rPr>
    </w:lvl>
    <w:lvl w:ilvl="1">
      <w:start w:val="0"/>
      <w:numFmt w:val="bullet"/>
      <w:lvlText w:val="•"/>
      <w:lvlJc w:val="left"/>
      <w:pPr>
        <w:ind w:left="801" w:hanging="332"/>
      </w:pPr>
      <w:rPr>
        <w:rFonts w:hint="default"/>
        <w:lang w:val="zh-CN" w:eastAsia="zh-CN" w:bidi="zh-CN"/>
      </w:rPr>
    </w:lvl>
    <w:lvl w:ilvl="2">
      <w:start w:val="0"/>
      <w:numFmt w:val="bullet"/>
      <w:lvlText w:val="•"/>
      <w:lvlJc w:val="left"/>
      <w:pPr>
        <w:ind w:left="1263" w:hanging="332"/>
      </w:pPr>
      <w:rPr>
        <w:rFonts w:hint="default"/>
        <w:lang w:val="zh-CN" w:eastAsia="zh-CN" w:bidi="zh-CN"/>
      </w:rPr>
    </w:lvl>
    <w:lvl w:ilvl="3">
      <w:start w:val="0"/>
      <w:numFmt w:val="bullet"/>
      <w:lvlText w:val="•"/>
      <w:lvlJc w:val="left"/>
      <w:pPr>
        <w:ind w:left="1724" w:hanging="332"/>
      </w:pPr>
      <w:rPr>
        <w:rFonts w:hint="default"/>
        <w:lang w:val="zh-CN" w:eastAsia="zh-CN" w:bidi="zh-CN"/>
      </w:rPr>
    </w:lvl>
    <w:lvl w:ilvl="4">
      <w:start w:val="0"/>
      <w:numFmt w:val="bullet"/>
      <w:lvlText w:val="•"/>
      <w:lvlJc w:val="left"/>
      <w:pPr>
        <w:ind w:left="2186" w:hanging="332"/>
      </w:pPr>
      <w:rPr>
        <w:rFonts w:hint="default"/>
        <w:lang w:val="zh-CN" w:eastAsia="zh-CN" w:bidi="zh-CN"/>
      </w:rPr>
    </w:lvl>
    <w:lvl w:ilvl="5">
      <w:start w:val="0"/>
      <w:numFmt w:val="bullet"/>
      <w:lvlText w:val="•"/>
      <w:lvlJc w:val="left"/>
      <w:pPr>
        <w:ind w:left="2648" w:hanging="332"/>
      </w:pPr>
      <w:rPr>
        <w:rFonts w:hint="default"/>
        <w:lang w:val="zh-CN" w:eastAsia="zh-CN" w:bidi="zh-CN"/>
      </w:rPr>
    </w:lvl>
    <w:lvl w:ilvl="6">
      <w:start w:val="0"/>
      <w:numFmt w:val="bullet"/>
      <w:lvlText w:val="•"/>
      <w:lvlJc w:val="left"/>
      <w:pPr>
        <w:ind w:left="3109" w:hanging="332"/>
      </w:pPr>
      <w:rPr>
        <w:rFonts w:hint="default"/>
        <w:lang w:val="zh-CN" w:eastAsia="zh-CN" w:bidi="zh-CN"/>
      </w:rPr>
    </w:lvl>
    <w:lvl w:ilvl="7">
      <w:start w:val="0"/>
      <w:numFmt w:val="bullet"/>
      <w:lvlText w:val="•"/>
      <w:lvlJc w:val="left"/>
      <w:pPr>
        <w:ind w:left="3571" w:hanging="332"/>
      </w:pPr>
      <w:rPr>
        <w:rFonts w:hint="default"/>
        <w:lang w:val="zh-CN" w:eastAsia="zh-CN" w:bidi="zh-CN"/>
      </w:rPr>
    </w:lvl>
    <w:lvl w:ilvl="8">
      <w:start w:val="0"/>
      <w:numFmt w:val="bullet"/>
      <w:lvlText w:val="•"/>
      <w:lvlJc w:val="left"/>
      <w:pPr>
        <w:ind w:left="4032" w:hanging="332"/>
      </w:pPr>
      <w:rPr>
        <w:rFonts w:hint="default"/>
        <w:lang w:val="zh-CN" w:eastAsia="zh-CN" w:bidi="zh-CN"/>
      </w:rPr>
    </w:lvl>
  </w:abstractNum>
  <w:abstractNum w:abstractNumId="25">
    <w:nsid w:val="00000017"/>
    <w:multiLevelType w:val="multilevel"/>
    <w:tmpl w:val="00000017"/>
    <w:lvl w:ilvl="0">
      <w:start w:val="1"/>
      <w:numFmt w:val="decimal"/>
      <w:lvlText w:val="%1."/>
      <w:lvlJc w:val="left"/>
      <w:pPr>
        <w:ind w:left="345" w:hanging="332"/>
      </w:pPr>
      <w:rPr>
        <w:rFonts w:ascii="宋体" w:eastAsia="宋体" w:hAnsi="宋体" w:cs="宋体" w:hint="default"/>
        <w:spacing w:val="-48"/>
        <w:w w:val="100"/>
        <w:sz w:val="19"/>
        <w:szCs w:val="19"/>
        <w:lang w:val="zh-CN" w:eastAsia="zh-CN" w:bidi="zh-CN"/>
      </w:rPr>
    </w:lvl>
    <w:lvl w:ilvl="1">
      <w:start w:val="0"/>
      <w:numFmt w:val="bullet"/>
      <w:lvlText w:val="•"/>
      <w:lvlJc w:val="left"/>
      <w:pPr>
        <w:ind w:left="801" w:hanging="332"/>
      </w:pPr>
      <w:rPr>
        <w:rFonts w:hint="default"/>
        <w:lang w:val="zh-CN" w:eastAsia="zh-CN" w:bidi="zh-CN"/>
      </w:rPr>
    </w:lvl>
    <w:lvl w:ilvl="2">
      <w:start w:val="0"/>
      <w:numFmt w:val="bullet"/>
      <w:lvlText w:val="•"/>
      <w:lvlJc w:val="left"/>
      <w:pPr>
        <w:ind w:left="1263" w:hanging="332"/>
      </w:pPr>
      <w:rPr>
        <w:rFonts w:hint="default"/>
        <w:lang w:val="zh-CN" w:eastAsia="zh-CN" w:bidi="zh-CN"/>
      </w:rPr>
    </w:lvl>
    <w:lvl w:ilvl="3">
      <w:start w:val="0"/>
      <w:numFmt w:val="bullet"/>
      <w:lvlText w:val="•"/>
      <w:lvlJc w:val="left"/>
      <w:pPr>
        <w:ind w:left="1724" w:hanging="332"/>
      </w:pPr>
      <w:rPr>
        <w:rFonts w:hint="default"/>
        <w:lang w:val="zh-CN" w:eastAsia="zh-CN" w:bidi="zh-CN"/>
      </w:rPr>
    </w:lvl>
    <w:lvl w:ilvl="4">
      <w:start w:val="0"/>
      <w:numFmt w:val="bullet"/>
      <w:lvlText w:val="•"/>
      <w:lvlJc w:val="left"/>
      <w:pPr>
        <w:ind w:left="2186" w:hanging="332"/>
      </w:pPr>
      <w:rPr>
        <w:rFonts w:hint="default"/>
        <w:lang w:val="zh-CN" w:eastAsia="zh-CN" w:bidi="zh-CN"/>
      </w:rPr>
    </w:lvl>
    <w:lvl w:ilvl="5">
      <w:start w:val="0"/>
      <w:numFmt w:val="bullet"/>
      <w:lvlText w:val="•"/>
      <w:lvlJc w:val="left"/>
      <w:pPr>
        <w:ind w:left="2648" w:hanging="332"/>
      </w:pPr>
      <w:rPr>
        <w:rFonts w:hint="default"/>
        <w:lang w:val="zh-CN" w:eastAsia="zh-CN" w:bidi="zh-CN"/>
      </w:rPr>
    </w:lvl>
    <w:lvl w:ilvl="6">
      <w:start w:val="0"/>
      <w:numFmt w:val="bullet"/>
      <w:lvlText w:val="•"/>
      <w:lvlJc w:val="left"/>
      <w:pPr>
        <w:ind w:left="3109" w:hanging="332"/>
      </w:pPr>
      <w:rPr>
        <w:rFonts w:hint="default"/>
        <w:lang w:val="zh-CN" w:eastAsia="zh-CN" w:bidi="zh-CN"/>
      </w:rPr>
    </w:lvl>
    <w:lvl w:ilvl="7">
      <w:start w:val="0"/>
      <w:numFmt w:val="bullet"/>
      <w:lvlText w:val="•"/>
      <w:lvlJc w:val="left"/>
      <w:pPr>
        <w:ind w:left="3571" w:hanging="332"/>
      </w:pPr>
      <w:rPr>
        <w:rFonts w:hint="default"/>
        <w:lang w:val="zh-CN" w:eastAsia="zh-CN" w:bidi="zh-CN"/>
      </w:rPr>
    </w:lvl>
    <w:lvl w:ilvl="8">
      <w:start w:val="0"/>
      <w:numFmt w:val="bullet"/>
      <w:lvlText w:val="•"/>
      <w:lvlJc w:val="left"/>
      <w:pPr>
        <w:ind w:left="4032" w:hanging="332"/>
      </w:pPr>
      <w:rPr>
        <w:rFonts w:hint="default"/>
        <w:lang w:val="zh-CN" w:eastAsia="zh-CN" w:bidi="zh-CN"/>
      </w:rPr>
    </w:lvl>
  </w:abstractNum>
  <w:abstractNum w:abstractNumId="26">
    <w:nsid w:val="00000018"/>
    <w:multiLevelType w:val="multilevel"/>
    <w:tmpl w:val="00000018"/>
    <w:lvl w:ilvl="0">
      <w:start w:val="1"/>
      <w:numFmt w:val="decimal"/>
      <w:lvlText w:val="%1."/>
      <w:lvlJc w:val="left"/>
      <w:pPr>
        <w:ind w:left="345" w:hanging="332"/>
        <w:jc w:val="right"/>
      </w:pPr>
      <w:rPr>
        <w:rFonts w:ascii="宋体" w:eastAsia="宋体" w:hAnsi="宋体" w:cs="宋体" w:hint="default"/>
        <w:spacing w:val="-48"/>
        <w:w w:val="100"/>
        <w:sz w:val="19"/>
        <w:szCs w:val="19"/>
        <w:lang w:val="zh-CN" w:eastAsia="zh-CN" w:bidi="zh-CN"/>
      </w:rPr>
    </w:lvl>
    <w:lvl w:ilvl="1">
      <w:start w:val="0"/>
      <w:numFmt w:val="bullet"/>
      <w:lvlText w:val="•"/>
      <w:lvlJc w:val="left"/>
      <w:pPr>
        <w:ind w:left="801" w:hanging="332"/>
      </w:pPr>
      <w:rPr>
        <w:rFonts w:hint="default"/>
        <w:lang w:val="zh-CN" w:eastAsia="zh-CN" w:bidi="zh-CN"/>
      </w:rPr>
    </w:lvl>
    <w:lvl w:ilvl="2">
      <w:start w:val="0"/>
      <w:numFmt w:val="bullet"/>
      <w:lvlText w:val="•"/>
      <w:lvlJc w:val="left"/>
      <w:pPr>
        <w:ind w:left="1263" w:hanging="332"/>
      </w:pPr>
      <w:rPr>
        <w:rFonts w:hint="default"/>
        <w:lang w:val="zh-CN" w:eastAsia="zh-CN" w:bidi="zh-CN"/>
      </w:rPr>
    </w:lvl>
    <w:lvl w:ilvl="3">
      <w:start w:val="0"/>
      <w:numFmt w:val="bullet"/>
      <w:lvlText w:val="•"/>
      <w:lvlJc w:val="left"/>
      <w:pPr>
        <w:ind w:left="1724" w:hanging="332"/>
      </w:pPr>
      <w:rPr>
        <w:rFonts w:hint="default"/>
        <w:lang w:val="zh-CN" w:eastAsia="zh-CN" w:bidi="zh-CN"/>
      </w:rPr>
    </w:lvl>
    <w:lvl w:ilvl="4">
      <w:start w:val="0"/>
      <w:numFmt w:val="bullet"/>
      <w:lvlText w:val="•"/>
      <w:lvlJc w:val="left"/>
      <w:pPr>
        <w:ind w:left="2186" w:hanging="332"/>
      </w:pPr>
      <w:rPr>
        <w:rFonts w:hint="default"/>
        <w:lang w:val="zh-CN" w:eastAsia="zh-CN" w:bidi="zh-CN"/>
      </w:rPr>
    </w:lvl>
    <w:lvl w:ilvl="5">
      <w:start w:val="0"/>
      <w:numFmt w:val="bullet"/>
      <w:lvlText w:val="•"/>
      <w:lvlJc w:val="left"/>
      <w:pPr>
        <w:ind w:left="2648" w:hanging="332"/>
      </w:pPr>
      <w:rPr>
        <w:rFonts w:hint="default"/>
        <w:lang w:val="zh-CN" w:eastAsia="zh-CN" w:bidi="zh-CN"/>
      </w:rPr>
    </w:lvl>
    <w:lvl w:ilvl="6">
      <w:start w:val="0"/>
      <w:numFmt w:val="bullet"/>
      <w:lvlText w:val="•"/>
      <w:lvlJc w:val="left"/>
      <w:pPr>
        <w:ind w:left="3109" w:hanging="332"/>
      </w:pPr>
      <w:rPr>
        <w:rFonts w:hint="default"/>
        <w:lang w:val="zh-CN" w:eastAsia="zh-CN" w:bidi="zh-CN"/>
      </w:rPr>
    </w:lvl>
    <w:lvl w:ilvl="7">
      <w:start w:val="0"/>
      <w:numFmt w:val="bullet"/>
      <w:lvlText w:val="•"/>
      <w:lvlJc w:val="left"/>
      <w:pPr>
        <w:ind w:left="3571" w:hanging="332"/>
      </w:pPr>
      <w:rPr>
        <w:rFonts w:hint="default"/>
        <w:lang w:val="zh-CN" w:eastAsia="zh-CN" w:bidi="zh-CN"/>
      </w:rPr>
    </w:lvl>
    <w:lvl w:ilvl="8">
      <w:start w:val="0"/>
      <w:numFmt w:val="bullet"/>
      <w:lvlText w:val="•"/>
      <w:lvlJc w:val="left"/>
      <w:pPr>
        <w:ind w:left="4032" w:hanging="332"/>
      </w:pPr>
      <w:rPr>
        <w:rFonts w:hint="default"/>
        <w:lang w:val="zh-CN" w:eastAsia="zh-CN" w:bidi="zh-CN"/>
      </w:rPr>
    </w:lvl>
  </w:abstractNum>
  <w:abstractNum w:abstractNumId="27">
    <w:nsid w:val="00000019"/>
    <w:multiLevelType w:val="multilevel"/>
    <w:tmpl w:val="00000019"/>
    <w:lvl w:ilvl="0">
      <w:start w:val="1"/>
      <w:numFmt w:val="decimal"/>
      <w:lvlText w:val="%1."/>
      <w:lvlJc w:val="left"/>
      <w:pPr>
        <w:ind w:left="345" w:hanging="332"/>
      </w:pPr>
      <w:rPr>
        <w:rFonts w:ascii="宋体" w:eastAsia="宋体" w:hAnsi="宋体" w:cs="宋体" w:hint="default"/>
        <w:spacing w:val="-48"/>
        <w:w w:val="100"/>
        <w:sz w:val="19"/>
        <w:szCs w:val="19"/>
        <w:lang w:val="zh-CN" w:eastAsia="zh-CN" w:bidi="zh-CN"/>
      </w:rPr>
    </w:lvl>
    <w:lvl w:ilvl="1">
      <w:start w:val="0"/>
      <w:numFmt w:val="bullet"/>
      <w:lvlText w:val="•"/>
      <w:lvlJc w:val="left"/>
      <w:pPr>
        <w:ind w:left="801" w:hanging="332"/>
      </w:pPr>
      <w:rPr>
        <w:rFonts w:hint="default"/>
        <w:lang w:val="zh-CN" w:eastAsia="zh-CN" w:bidi="zh-CN"/>
      </w:rPr>
    </w:lvl>
    <w:lvl w:ilvl="2">
      <w:start w:val="0"/>
      <w:numFmt w:val="bullet"/>
      <w:lvlText w:val="•"/>
      <w:lvlJc w:val="left"/>
      <w:pPr>
        <w:ind w:left="1263" w:hanging="332"/>
      </w:pPr>
      <w:rPr>
        <w:rFonts w:hint="default"/>
        <w:lang w:val="zh-CN" w:eastAsia="zh-CN" w:bidi="zh-CN"/>
      </w:rPr>
    </w:lvl>
    <w:lvl w:ilvl="3">
      <w:start w:val="0"/>
      <w:numFmt w:val="bullet"/>
      <w:lvlText w:val="•"/>
      <w:lvlJc w:val="left"/>
      <w:pPr>
        <w:ind w:left="1724" w:hanging="332"/>
      </w:pPr>
      <w:rPr>
        <w:rFonts w:hint="default"/>
        <w:lang w:val="zh-CN" w:eastAsia="zh-CN" w:bidi="zh-CN"/>
      </w:rPr>
    </w:lvl>
    <w:lvl w:ilvl="4">
      <w:start w:val="0"/>
      <w:numFmt w:val="bullet"/>
      <w:lvlText w:val="•"/>
      <w:lvlJc w:val="left"/>
      <w:pPr>
        <w:ind w:left="2186" w:hanging="332"/>
      </w:pPr>
      <w:rPr>
        <w:rFonts w:hint="default"/>
        <w:lang w:val="zh-CN" w:eastAsia="zh-CN" w:bidi="zh-CN"/>
      </w:rPr>
    </w:lvl>
    <w:lvl w:ilvl="5">
      <w:start w:val="0"/>
      <w:numFmt w:val="bullet"/>
      <w:lvlText w:val="•"/>
      <w:lvlJc w:val="left"/>
      <w:pPr>
        <w:ind w:left="2648" w:hanging="332"/>
      </w:pPr>
      <w:rPr>
        <w:rFonts w:hint="default"/>
        <w:lang w:val="zh-CN" w:eastAsia="zh-CN" w:bidi="zh-CN"/>
      </w:rPr>
    </w:lvl>
    <w:lvl w:ilvl="6">
      <w:start w:val="0"/>
      <w:numFmt w:val="bullet"/>
      <w:lvlText w:val="•"/>
      <w:lvlJc w:val="left"/>
      <w:pPr>
        <w:ind w:left="3109" w:hanging="332"/>
      </w:pPr>
      <w:rPr>
        <w:rFonts w:hint="default"/>
        <w:lang w:val="zh-CN" w:eastAsia="zh-CN" w:bidi="zh-CN"/>
      </w:rPr>
    </w:lvl>
    <w:lvl w:ilvl="7">
      <w:start w:val="0"/>
      <w:numFmt w:val="bullet"/>
      <w:lvlText w:val="•"/>
      <w:lvlJc w:val="left"/>
      <w:pPr>
        <w:ind w:left="3571" w:hanging="332"/>
      </w:pPr>
      <w:rPr>
        <w:rFonts w:hint="default"/>
        <w:lang w:val="zh-CN" w:eastAsia="zh-CN" w:bidi="zh-CN"/>
      </w:rPr>
    </w:lvl>
    <w:lvl w:ilvl="8">
      <w:start w:val="0"/>
      <w:numFmt w:val="bullet"/>
      <w:lvlText w:val="•"/>
      <w:lvlJc w:val="left"/>
      <w:pPr>
        <w:ind w:left="4032" w:hanging="332"/>
      </w:pPr>
      <w:rPr>
        <w:rFonts w:hint="default"/>
        <w:lang w:val="zh-CN" w:eastAsia="zh-CN" w:bidi="zh-CN"/>
      </w:rPr>
    </w:lvl>
  </w:abstractNum>
  <w:abstractNum w:abstractNumId="28">
    <w:nsid w:val="0000001A"/>
    <w:multiLevelType w:val="multilevel"/>
    <w:tmpl w:val="0000001A"/>
    <w:lvl w:ilvl="0">
      <w:start w:val="1"/>
      <w:numFmt w:val="decimal"/>
      <w:lvlText w:val="%1."/>
      <w:lvlJc w:val="left"/>
      <w:pPr>
        <w:ind w:left="345" w:hanging="332"/>
        <w:jc w:val="right"/>
      </w:pPr>
      <w:rPr>
        <w:rFonts w:ascii="宋体" w:eastAsia="宋体" w:hAnsi="宋体" w:cs="宋体" w:hint="default"/>
        <w:spacing w:val="-48"/>
        <w:w w:val="100"/>
        <w:sz w:val="19"/>
        <w:szCs w:val="19"/>
        <w:lang w:val="zh-CN" w:eastAsia="zh-CN" w:bidi="zh-CN"/>
      </w:rPr>
    </w:lvl>
    <w:lvl w:ilvl="1">
      <w:start w:val="0"/>
      <w:numFmt w:val="bullet"/>
      <w:lvlText w:val="•"/>
      <w:lvlJc w:val="left"/>
      <w:pPr>
        <w:ind w:left="801" w:hanging="332"/>
      </w:pPr>
      <w:rPr>
        <w:rFonts w:hint="default"/>
        <w:lang w:val="zh-CN" w:eastAsia="zh-CN" w:bidi="zh-CN"/>
      </w:rPr>
    </w:lvl>
    <w:lvl w:ilvl="2">
      <w:start w:val="0"/>
      <w:numFmt w:val="bullet"/>
      <w:lvlText w:val="•"/>
      <w:lvlJc w:val="left"/>
      <w:pPr>
        <w:ind w:left="1263" w:hanging="332"/>
      </w:pPr>
      <w:rPr>
        <w:rFonts w:hint="default"/>
        <w:lang w:val="zh-CN" w:eastAsia="zh-CN" w:bidi="zh-CN"/>
      </w:rPr>
    </w:lvl>
    <w:lvl w:ilvl="3">
      <w:start w:val="0"/>
      <w:numFmt w:val="bullet"/>
      <w:lvlText w:val="•"/>
      <w:lvlJc w:val="left"/>
      <w:pPr>
        <w:ind w:left="1724" w:hanging="332"/>
      </w:pPr>
      <w:rPr>
        <w:rFonts w:hint="default"/>
        <w:lang w:val="zh-CN" w:eastAsia="zh-CN" w:bidi="zh-CN"/>
      </w:rPr>
    </w:lvl>
    <w:lvl w:ilvl="4">
      <w:start w:val="0"/>
      <w:numFmt w:val="bullet"/>
      <w:lvlText w:val="•"/>
      <w:lvlJc w:val="left"/>
      <w:pPr>
        <w:ind w:left="2186" w:hanging="332"/>
      </w:pPr>
      <w:rPr>
        <w:rFonts w:hint="default"/>
        <w:lang w:val="zh-CN" w:eastAsia="zh-CN" w:bidi="zh-CN"/>
      </w:rPr>
    </w:lvl>
    <w:lvl w:ilvl="5">
      <w:start w:val="0"/>
      <w:numFmt w:val="bullet"/>
      <w:lvlText w:val="•"/>
      <w:lvlJc w:val="left"/>
      <w:pPr>
        <w:ind w:left="2648" w:hanging="332"/>
      </w:pPr>
      <w:rPr>
        <w:rFonts w:hint="default"/>
        <w:lang w:val="zh-CN" w:eastAsia="zh-CN" w:bidi="zh-CN"/>
      </w:rPr>
    </w:lvl>
    <w:lvl w:ilvl="6">
      <w:start w:val="0"/>
      <w:numFmt w:val="bullet"/>
      <w:lvlText w:val="•"/>
      <w:lvlJc w:val="left"/>
      <w:pPr>
        <w:ind w:left="3109" w:hanging="332"/>
      </w:pPr>
      <w:rPr>
        <w:rFonts w:hint="default"/>
        <w:lang w:val="zh-CN" w:eastAsia="zh-CN" w:bidi="zh-CN"/>
      </w:rPr>
    </w:lvl>
    <w:lvl w:ilvl="7">
      <w:start w:val="0"/>
      <w:numFmt w:val="bullet"/>
      <w:lvlText w:val="•"/>
      <w:lvlJc w:val="left"/>
      <w:pPr>
        <w:ind w:left="3571" w:hanging="332"/>
      </w:pPr>
      <w:rPr>
        <w:rFonts w:hint="default"/>
        <w:lang w:val="zh-CN" w:eastAsia="zh-CN" w:bidi="zh-CN"/>
      </w:rPr>
    </w:lvl>
    <w:lvl w:ilvl="8">
      <w:start w:val="0"/>
      <w:numFmt w:val="bullet"/>
      <w:lvlText w:val="•"/>
      <w:lvlJc w:val="left"/>
      <w:pPr>
        <w:ind w:left="4032" w:hanging="332"/>
      </w:pPr>
      <w:rPr>
        <w:rFonts w:hint="default"/>
        <w:lang w:val="zh-CN" w:eastAsia="zh-CN" w:bidi="zh-CN"/>
      </w:rPr>
    </w:lvl>
  </w:abstractNum>
  <w:abstractNum w:abstractNumId="29">
    <w:nsid w:val="0000001B"/>
    <w:multiLevelType w:val="multilevel"/>
    <w:tmpl w:val="0000001B"/>
    <w:lvl w:ilvl="0">
      <w:start w:val="1"/>
      <w:numFmt w:val="decimal"/>
      <w:lvlText w:val="%1."/>
      <w:lvlJc w:val="left"/>
      <w:pPr>
        <w:ind w:left="345" w:hanging="214"/>
      </w:pPr>
      <w:rPr>
        <w:rFonts w:ascii="宋体" w:eastAsia="宋体" w:hAnsi="宋体" w:cs="宋体" w:hint="default"/>
        <w:spacing w:val="-2"/>
        <w:w w:val="100"/>
        <w:sz w:val="19"/>
        <w:szCs w:val="19"/>
        <w:lang w:val="zh-CN" w:eastAsia="zh-CN" w:bidi="zh-CN"/>
      </w:rPr>
    </w:lvl>
    <w:lvl w:ilvl="1">
      <w:start w:val="0"/>
      <w:numFmt w:val="bullet"/>
      <w:lvlText w:val="•"/>
      <w:lvlJc w:val="left"/>
      <w:pPr>
        <w:ind w:left="801" w:hanging="214"/>
      </w:pPr>
      <w:rPr>
        <w:rFonts w:hint="default"/>
        <w:lang w:val="zh-CN" w:eastAsia="zh-CN" w:bidi="zh-CN"/>
      </w:rPr>
    </w:lvl>
    <w:lvl w:ilvl="2">
      <w:start w:val="0"/>
      <w:numFmt w:val="bullet"/>
      <w:lvlText w:val="•"/>
      <w:lvlJc w:val="left"/>
      <w:pPr>
        <w:ind w:left="1263" w:hanging="214"/>
      </w:pPr>
      <w:rPr>
        <w:rFonts w:hint="default"/>
        <w:lang w:val="zh-CN" w:eastAsia="zh-CN" w:bidi="zh-CN"/>
      </w:rPr>
    </w:lvl>
    <w:lvl w:ilvl="3">
      <w:start w:val="0"/>
      <w:numFmt w:val="bullet"/>
      <w:lvlText w:val="•"/>
      <w:lvlJc w:val="left"/>
      <w:pPr>
        <w:ind w:left="1724" w:hanging="214"/>
      </w:pPr>
      <w:rPr>
        <w:rFonts w:hint="default"/>
        <w:lang w:val="zh-CN" w:eastAsia="zh-CN" w:bidi="zh-CN"/>
      </w:rPr>
    </w:lvl>
    <w:lvl w:ilvl="4">
      <w:start w:val="0"/>
      <w:numFmt w:val="bullet"/>
      <w:lvlText w:val="•"/>
      <w:lvlJc w:val="left"/>
      <w:pPr>
        <w:ind w:left="2186" w:hanging="214"/>
      </w:pPr>
      <w:rPr>
        <w:rFonts w:hint="default"/>
        <w:lang w:val="zh-CN" w:eastAsia="zh-CN" w:bidi="zh-CN"/>
      </w:rPr>
    </w:lvl>
    <w:lvl w:ilvl="5">
      <w:start w:val="0"/>
      <w:numFmt w:val="bullet"/>
      <w:lvlText w:val="•"/>
      <w:lvlJc w:val="left"/>
      <w:pPr>
        <w:ind w:left="2648" w:hanging="214"/>
      </w:pPr>
      <w:rPr>
        <w:rFonts w:hint="default"/>
        <w:lang w:val="zh-CN" w:eastAsia="zh-CN" w:bidi="zh-CN"/>
      </w:rPr>
    </w:lvl>
    <w:lvl w:ilvl="6">
      <w:start w:val="0"/>
      <w:numFmt w:val="bullet"/>
      <w:lvlText w:val="•"/>
      <w:lvlJc w:val="left"/>
      <w:pPr>
        <w:ind w:left="3109" w:hanging="214"/>
      </w:pPr>
      <w:rPr>
        <w:rFonts w:hint="default"/>
        <w:lang w:val="zh-CN" w:eastAsia="zh-CN" w:bidi="zh-CN"/>
      </w:rPr>
    </w:lvl>
    <w:lvl w:ilvl="7">
      <w:start w:val="0"/>
      <w:numFmt w:val="bullet"/>
      <w:lvlText w:val="•"/>
      <w:lvlJc w:val="left"/>
      <w:pPr>
        <w:ind w:left="3571" w:hanging="214"/>
      </w:pPr>
      <w:rPr>
        <w:rFonts w:hint="default"/>
        <w:lang w:val="zh-CN" w:eastAsia="zh-CN" w:bidi="zh-CN"/>
      </w:rPr>
    </w:lvl>
    <w:lvl w:ilvl="8">
      <w:start w:val="0"/>
      <w:numFmt w:val="bullet"/>
      <w:lvlText w:val="•"/>
      <w:lvlJc w:val="left"/>
      <w:pPr>
        <w:ind w:left="4032" w:hanging="214"/>
      </w:pPr>
      <w:rPr>
        <w:rFonts w:hint="default"/>
        <w:lang w:val="zh-CN" w:eastAsia="zh-CN" w:bidi="zh-CN"/>
      </w:rPr>
    </w:lvl>
  </w:abstractNum>
  <w:abstractNum w:abstractNumId="30">
    <w:nsid w:val="0000001C"/>
    <w:multiLevelType w:val="multilevel"/>
    <w:tmpl w:val="0000001C"/>
    <w:lvl w:ilvl="0">
      <w:start w:val="1"/>
      <w:numFmt w:val="decimal"/>
      <w:lvlText w:val="%1."/>
      <w:lvlJc w:val="left"/>
      <w:pPr>
        <w:ind w:left="13" w:hanging="222"/>
      </w:pPr>
      <w:rPr>
        <w:rFonts w:ascii="宋体" w:eastAsia="宋体" w:hAnsi="宋体" w:cs="宋体" w:hint="default"/>
        <w:spacing w:val="-1"/>
        <w:w w:val="100"/>
        <w:sz w:val="20"/>
        <w:szCs w:val="20"/>
        <w:lang w:val="zh-CN" w:eastAsia="zh-CN" w:bidi="zh-CN"/>
      </w:rPr>
    </w:lvl>
    <w:lvl w:ilvl="1">
      <w:start w:val="0"/>
      <w:numFmt w:val="bullet"/>
      <w:lvlText w:val="•"/>
      <w:lvlJc w:val="left"/>
      <w:pPr>
        <w:ind w:left="519" w:hanging="222"/>
      </w:pPr>
      <w:rPr>
        <w:rFonts w:hint="default"/>
        <w:lang w:val="zh-CN" w:eastAsia="zh-CN" w:bidi="zh-CN"/>
      </w:rPr>
    </w:lvl>
    <w:lvl w:ilvl="2">
      <w:start w:val="0"/>
      <w:numFmt w:val="bullet"/>
      <w:lvlText w:val="•"/>
      <w:lvlJc w:val="left"/>
      <w:pPr>
        <w:ind w:left="1019" w:hanging="222"/>
      </w:pPr>
      <w:rPr>
        <w:rFonts w:hint="default"/>
        <w:lang w:val="zh-CN" w:eastAsia="zh-CN" w:bidi="zh-CN"/>
      </w:rPr>
    </w:lvl>
    <w:lvl w:ilvl="3">
      <w:start w:val="0"/>
      <w:numFmt w:val="bullet"/>
      <w:lvlText w:val="•"/>
      <w:lvlJc w:val="left"/>
      <w:pPr>
        <w:ind w:left="1519" w:hanging="222"/>
      </w:pPr>
      <w:rPr>
        <w:rFonts w:hint="default"/>
        <w:lang w:val="zh-CN" w:eastAsia="zh-CN" w:bidi="zh-CN"/>
      </w:rPr>
    </w:lvl>
    <w:lvl w:ilvl="4">
      <w:start w:val="0"/>
      <w:numFmt w:val="bullet"/>
      <w:lvlText w:val="•"/>
      <w:lvlJc w:val="left"/>
      <w:pPr>
        <w:ind w:left="2019" w:hanging="222"/>
      </w:pPr>
      <w:rPr>
        <w:rFonts w:hint="default"/>
        <w:lang w:val="zh-CN" w:eastAsia="zh-CN" w:bidi="zh-CN"/>
      </w:rPr>
    </w:lvl>
    <w:lvl w:ilvl="5">
      <w:start w:val="0"/>
      <w:numFmt w:val="bullet"/>
      <w:lvlText w:val="•"/>
      <w:lvlJc w:val="left"/>
      <w:pPr>
        <w:ind w:left="2519" w:hanging="222"/>
      </w:pPr>
      <w:rPr>
        <w:rFonts w:hint="default"/>
        <w:lang w:val="zh-CN" w:eastAsia="zh-CN" w:bidi="zh-CN"/>
      </w:rPr>
    </w:lvl>
    <w:lvl w:ilvl="6">
      <w:start w:val="0"/>
      <w:numFmt w:val="bullet"/>
      <w:lvlText w:val="•"/>
      <w:lvlJc w:val="left"/>
      <w:pPr>
        <w:ind w:left="3018" w:hanging="222"/>
      </w:pPr>
      <w:rPr>
        <w:rFonts w:hint="default"/>
        <w:lang w:val="zh-CN" w:eastAsia="zh-CN" w:bidi="zh-CN"/>
      </w:rPr>
    </w:lvl>
    <w:lvl w:ilvl="7">
      <w:start w:val="0"/>
      <w:numFmt w:val="bullet"/>
      <w:lvlText w:val="•"/>
      <w:lvlJc w:val="left"/>
      <w:pPr>
        <w:ind w:left="3518" w:hanging="222"/>
      </w:pPr>
      <w:rPr>
        <w:rFonts w:hint="default"/>
        <w:lang w:val="zh-CN" w:eastAsia="zh-CN" w:bidi="zh-CN"/>
      </w:rPr>
    </w:lvl>
    <w:lvl w:ilvl="8">
      <w:start w:val="0"/>
      <w:numFmt w:val="bullet"/>
      <w:lvlText w:val="•"/>
      <w:lvlJc w:val="left"/>
      <w:pPr>
        <w:ind w:left="4018" w:hanging="222"/>
      </w:pPr>
      <w:rPr>
        <w:rFonts w:hint="default"/>
        <w:lang w:val="zh-CN" w:eastAsia="zh-CN" w:bidi="zh-CN"/>
      </w:rPr>
    </w:lvl>
  </w:abstractNum>
  <w:abstractNum w:abstractNumId="31">
    <w:nsid w:val="0000001D"/>
    <w:multiLevelType w:val="multilevel"/>
    <w:tmpl w:val="0000001D"/>
    <w:lvl w:ilvl="0">
      <w:start w:val="1"/>
      <w:numFmt w:val="decimal"/>
      <w:lvlText w:val="%1."/>
      <w:lvlJc w:val="left"/>
      <w:pPr>
        <w:ind w:left="342" w:hanging="329"/>
      </w:pPr>
      <w:rPr>
        <w:rFonts w:ascii="宋体" w:eastAsia="宋体" w:hAnsi="宋体" w:cs="宋体" w:hint="default"/>
        <w:spacing w:val="-2"/>
        <w:w w:val="100"/>
        <w:sz w:val="19"/>
        <w:szCs w:val="19"/>
        <w:lang w:val="zh-CN" w:eastAsia="zh-CN" w:bidi="zh-CN"/>
      </w:rPr>
    </w:lvl>
    <w:lvl w:ilvl="1">
      <w:start w:val="0"/>
      <w:numFmt w:val="bullet"/>
      <w:lvlText w:val="•"/>
      <w:lvlJc w:val="left"/>
      <w:pPr>
        <w:ind w:left="807" w:hanging="329"/>
      </w:pPr>
      <w:rPr>
        <w:rFonts w:hint="default"/>
        <w:lang w:val="zh-CN" w:eastAsia="zh-CN" w:bidi="zh-CN"/>
      </w:rPr>
    </w:lvl>
    <w:lvl w:ilvl="2">
      <w:start w:val="0"/>
      <w:numFmt w:val="bullet"/>
      <w:lvlText w:val="•"/>
      <w:lvlJc w:val="left"/>
      <w:pPr>
        <w:ind w:left="1275" w:hanging="329"/>
      </w:pPr>
      <w:rPr>
        <w:rFonts w:hint="default"/>
        <w:lang w:val="zh-CN" w:eastAsia="zh-CN" w:bidi="zh-CN"/>
      </w:rPr>
    </w:lvl>
    <w:lvl w:ilvl="3">
      <w:start w:val="0"/>
      <w:numFmt w:val="bullet"/>
      <w:lvlText w:val="•"/>
      <w:lvlJc w:val="left"/>
      <w:pPr>
        <w:ind w:left="1743" w:hanging="329"/>
      </w:pPr>
      <w:rPr>
        <w:rFonts w:hint="default"/>
        <w:lang w:val="zh-CN" w:eastAsia="zh-CN" w:bidi="zh-CN"/>
      </w:rPr>
    </w:lvl>
    <w:lvl w:ilvl="4">
      <w:start w:val="0"/>
      <w:numFmt w:val="bullet"/>
      <w:lvlText w:val="•"/>
      <w:lvlJc w:val="left"/>
      <w:pPr>
        <w:ind w:left="2211" w:hanging="329"/>
      </w:pPr>
      <w:rPr>
        <w:rFonts w:hint="default"/>
        <w:lang w:val="zh-CN" w:eastAsia="zh-CN" w:bidi="zh-CN"/>
      </w:rPr>
    </w:lvl>
    <w:lvl w:ilvl="5">
      <w:start w:val="0"/>
      <w:numFmt w:val="bullet"/>
      <w:lvlText w:val="•"/>
      <w:lvlJc w:val="left"/>
      <w:pPr>
        <w:ind w:left="2679" w:hanging="329"/>
      </w:pPr>
      <w:rPr>
        <w:rFonts w:hint="default"/>
        <w:lang w:val="zh-CN" w:eastAsia="zh-CN" w:bidi="zh-CN"/>
      </w:rPr>
    </w:lvl>
    <w:lvl w:ilvl="6">
      <w:start w:val="0"/>
      <w:numFmt w:val="bullet"/>
      <w:lvlText w:val="•"/>
      <w:lvlJc w:val="left"/>
      <w:pPr>
        <w:ind w:left="3146" w:hanging="329"/>
      </w:pPr>
      <w:rPr>
        <w:rFonts w:hint="default"/>
        <w:lang w:val="zh-CN" w:eastAsia="zh-CN" w:bidi="zh-CN"/>
      </w:rPr>
    </w:lvl>
    <w:lvl w:ilvl="7">
      <w:start w:val="0"/>
      <w:numFmt w:val="bullet"/>
      <w:lvlText w:val="•"/>
      <w:lvlJc w:val="left"/>
      <w:pPr>
        <w:ind w:left="3614" w:hanging="329"/>
      </w:pPr>
      <w:rPr>
        <w:rFonts w:hint="default"/>
        <w:lang w:val="zh-CN" w:eastAsia="zh-CN" w:bidi="zh-CN"/>
      </w:rPr>
    </w:lvl>
    <w:lvl w:ilvl="8">
      <w:start w:val="0"/>
      <w:numFmt w:val="bullet"/>
      <w:lvlText w:val="•"/>
      <w:lvlJc w:val="left"/>
      <w:pPr>
        <w:ind w:left="4082" w:hanging="329"/>
      </w:pPr>
      <w:rPr>
        <w:rFonts w:hint="default"/>
        <w:lang w:val="zh-CN" w:eastAsia="zh-CN" w:bidi="zh-CN"/>
      </w:rPr>
    </w:lvl>
  </w:abstractNum>
  <w:abstractNum w:abstractNumId="32">
    <w:nsid w:val="0000001E"/>
    <w:multiLevelType w:val="multilevel"/>
    <w:tmpl w:val="0000001E"/>
    <w:lvl w:ilvl="0">
      <w:start w:val="1"/>
      <w:numFmt w:val="decimal"/>
      <w:lvlText w:val="%1."/>
      <w:lvlJc w:val="left"/>
      <w:pPr>
        <w:ind w:left="342" w:hanging="329"/>
      </w:pPr>
      <w:rPr>
        <w:rFonts w:ascii="宋体" w:eastAsia="宋体" w:hAnsi="宋体" w:cs="宋体" w:hint="default"/>
        <w:spacing w:val="-2"/>
        <w:w w:val="100"/>
        <w:sz w:val="19"/>
        <w:szCs w:val="19"/>
        <w:lang w:val="zh-CN" w:eastAsia="zh-CN" w:bidi="zh-CN"/>
      </w:rPr>
    </w:lvl>
    <w:lvl w:ilvl="1">
      <w:start w:val="0"/>
      <w:numFmt w:val="bullet"/>
      <w:lvlText w:val="•"/>
      <w:lvlJc w:val="left"/>
      <w:pPr>
        <w:ind w:left="807" w:hanging="329"/>
      </w:pPr>
      <w:rPr>
        <w:rFonts w:hint="default"/>
        <w:lang w:val="zh-CN" w:eastAsia="zh-CN" w:bidi="zh-CN"/>
      </w:rPr>
    </w:lvl>
    <w:lvl w:ilvl="2">
      <w:start w:val="0"/>
      <w:numFmt w:val="bullet"/>
      <w:lvlText w:val="•"/>
      <w:lvlJc w:val="left"/>
      <w:pPr>
        <w:ind w:left="1275" w:hanging="329"/>
      </w:pPr>
      <w:rPr>
        <w:rFonts w:hint="default"/>
        <w:lang w:val="zh-CN" w:eastAsia="zh-CN" w:bidi="zh-CN"/>
      </w:rPr>
    </w:lvl>
    <w:lvl w:ilvl="3">
      <w:start w:val="0"/>
      <w:numFmt w:val="bullet"/>
      <w:lvlText w:val="•"/>
      <w:lvlJc w:val="left"/>
      <w:pPr>
        <w:ind w:left="1743" w:hanging="329"/>
      </w:pPr>
      <w:rPr>
        <w:rFonts w:hint="default"/>
        <w:lang w:val="zh-CN" w:eastAsia="zh-CN" w:bidi="zh-CN"/>
      </w:rPr>
    </w:lvl>
    <w:lvl w:ilvl="4">
      <w:start w:val="0"/>
      <w:numFmt w:val="bullet"/>
      <w:lvlText w:val="•"/>
      <w:lvlJc w:val="left"/>
      <w:pPr>
        <w:ind w:left="2211" w:hanging="329"/>
      </w:pPr>
      <w:rPr>
        <w:rFonts w:hint="default"/>
        <w:lang w:val="zh-CN" w:eastAsia="zh-CN" w:bidi="zh-CN"/>
      </w:rPr>
    </w:lvl>
    <w:lvl w:ilvl="5">
      <w:start w:val="0"/>
      <w:numFmt w:val="bullet"/>
      <w:lvlText w:val="•"/>
      <w:lvlJc w:val="left"/>
      <w:pPr>
        <w:ind w:left="2679" w:hanging="329"/>
      </w:pPr>
      <w:rPr>
        <w:rFonts w:hint="default"/>
        <w:lang w:val="zh-CN" w:eastAsia="zh-CN" w:bidi="zh-CN"/>
      </w:rPr>
    </w:lvl>
    <w:lvl w:ilvl="6">
      <w:start w:val="0"/>
      <w:numFmt w:val="bullet"/>
      <w:lvlText w:val="•"/>
      <w:lvlJc w:val="left"/>
      <w:pPr>
        <w:ind w:left="3146" w:hanging="329"/>
      </w:pPr>
      <w:rPr>
        <w:rFonts w:hint="default"/>
        <w:lang w:val="zh-CN" w:eastAsia="zh-CN" w:bidi="zh-CN"/>
      </w:rPr>
    </w:lvl>
    <w:lvl w:ilvl="7">
      <w:start w:val="0"/>
      <w:numFmt w:val="bullet"/>
      <w:lvlText w:val="•"/>
      <w:lvlJc w:val="left"/>
      <w:pPr>
        <w:ind w:left="3614" w:hanging="329"/>
      </w:pPr>
      <w:rPr>
        <w:rFonts w:hint="default"/>
        <w:lang w:val="zh-CN" w:eastAsia="zh-CN" w:bidi="zh-CN"/>
      </w:rPr>
    </w:lvl>
    <w:lvl w:ilvl="8">
      <w:start w:val="0"/>
      <w:numFmt w:val="bullet"/>
      <w:lvlText w:val="•"/>
      <w:lvlJc w:val="left"/>
      <w:pPr>
        <w:ind w:left="4082" w:hanging="329"/>
      </w:pPr>
      <w:rPr>
        <w:rFonts w:hint="default"/>
        <w:lang w:val="zh-CN" w:eastAsia="zh-CN" w:bidi="zh-CN"/>
      </w:rPr>
    </w:lvl>
  </w:abstractNum>
  <w:abstractNum w:abstractNumId="33">
    <w:nsid w:val="0000001F"/>
    <w:multiLevelType w:val="multilevel"/>
    <w:tmpl w:val="0000001F"/>
    <w:lvl w:ilvl="0">
      <w:start w:val="1"/>
      <w:numFmt w:val="decimal"/>
      <w:lvlText w:val="%1."/>
      <w:lvlJc w:val="left"/>
      <w:pPr>
        <w:ind w:left="342" w:hanging="329"/>
      </w:pPr>
      <w:rPr>
        <w:rFonts w:ascii="宋体" w:eastAsia="宋体" w:hAnsi="宋体" w:cs="宋体" w:hint="default"/>
        <w:spacing w:val="-2"/>
        <w:w w:val="100"/>
        <w:sz w:val="19"/>
        <w:szCs w:val="19"/>
        <w:lang w:val="zh-CN" w:eastAsia="zh-CN" w:bidi="zh-CN"/>
      </w:rPr>
    </w:lvl>
    <w:lvl w:ilvl="1">
      <w:start w:val="0"/>
      <w:numFmt w:val="bullet"/>
      <w:lvlText w:val="•"/>
      <w:lvlJc w:val="left"/>
      <w:pPr>
        <w:ind w:left="807" w:hanging="329"/>
      </w:pPr>
      <w:rPr>
        <w:rFonts w:hint="default"/>
        <w:lang w:val="zh-CN" w:eastAsia="zh-CN" w:bidi="zh-CN"/>
      </w:rPr>
    </w:lvl>
    <w:lvl w:ilvl="2">
      <w:start w:val="0"/>
      <w:numFmt w:val="bullet"/>
      <w:lvlText w:val="•"/>
      <w:lvlJc w:val="left"/>
      <w:pPr>
        <w:ind w:left="1275" w:hanging="329"/>
      </w:pPr>
      <w:rPr>
        <w:rFonts w:hint="default"/>
        <w:lang w:val="zh-CN" w:eastAsia="zh-CN" w:bidi="zh-CN"/>
      </w:rPr>
    </w:lvl>
    <w:lvl w:ilvl="3">
      <w:start w:val="0"/>
      <w:numFmt w:val="bullet"/>
      <w:lvlText w:val="•"/>
      <w:lvlJc w:val="left"/>
      <w:pPr>
        <w:ind w:left="1743" w:hanging="329"/>
      </w:pPr>
      <w:rPr>
        <w:rFonts w:hint="default"/>
        <w:lang w:val="zh-CN" w:eastAsia="zh-CN" w:bidi="zh-CN"/>
      </w:rPr>
    </w:lvl>
    <w:lvl w:ilvl="4">
      <w:start w:val="0"/>
      <w:numFmt w:val="bullet"/>
      <w:lvlText w:val="•"/>
      <w:lvlJc w:val="left"/>
      <w:pPr>
        <w:ind w:left="2211" w:hanging="329"/>
      </w:pPr>
      <w:rPr>
        <w:rFonts w:hint="default"/>
        <w:lang w:val="zh-CN" w:eastAsia="zh-CN" w:bidi="zh-CN"/>
      </w:rPr>
    </w:lvl>
    <w:lvl w:ilvl="5">
      <w:start w:val="0"/>
      <w:numFmt w:val="bullet"/>
      <w:lvlText w:val="•"/>
      <w:lvlJc w:val="left"/>
      <w:pPr>
        <w:ind w:left="2679" w:hanging="329"/>
      </w:pPr>
      <w:rPr>
        <w:rFonts w:hint="default"/>
        <w:lang w:val="zh-CN" w:eastAsia="zh-CN" w:bidi="zh-CN"/>
      </w:rPr>
    </w:lvl>
    <w:lvl w:ilvl="6">
      <w:start w:val="0"/>
      <w:numFmt w:val="bullet"/>
      <w:lvlText w:val="•"/>
      <w:lvlJc w:val="left"/>
      <w:pPr>
        <w:ind w:left="3146" w:hanging="329"/>
      </w:pPr>
      <w:rPr>
        <w:rFonts w:hint="default"/>
        <w:lang w:val="zh-CN" w:eastAsia="zh-CN" w:bidi="zh-CN"/>
      </w:rPr>
    </w:lvl>
    <w:lvl w:ilvl="7">
      <w:start w:val="0"/>
      <w:numFmt w:val="bullet"/>
      <w:lvlText w:val="•"/>
      <w:lvlJc w:val="left"/>
      <w:pPr>
        <w:ind w:left="3614" w:hanging="329"/>
      </w:pPr>
      <w:rPr>
        <w:rFonts w:hint="default"/>
        <w:lang w:val="zh-CN" w:eastAsia="zh-CN" w:bidi="zh-CN"/>
      </w:rPr>
    </w:lvl>
    <w:lvl w:ilvl="8">
      <w:start w:val="0"/>
      <w:numFmt w:val="bullet"/>
      <w:lvlText w:val="•"/>
      <w:lvlJc w:val="left"/>
      <w:pPr>
        <w:ind w:left="4082" w:hanging="329"/>
      </w:pPr>
      <w:rPr>
        <w:rFonts w:hint="default"/>
        <w:lang w:val="zh-CN" w:eastAsia="zh-CN" w:bidi="zh-CN"/>
      </w:rPr>
    </w:lvl>
  </w:abstractNum>
  <w:abstractNum w:abstractNumId="34">
    <w:nsid w:val="00000020"/>
    <w:multiLevelType w:val="multilevel"/>
    <w:tmpl w:val="00000020"/>
    <w:lvl w:ilvl="0">
      <w:start w:val="1"/>
      <w:numFmt w:val="decimal"/>
      <w:lvlText w:val="%1."/>
      <w:lvlJc w:val="left"/>
      <w:pPr>
        <w:ind w:left="342" w:hanging="329"/>
      </w:pPr>
      <w:rPr>
        <w:rFonts w:ascii="宋体" w:eastAsia="宋体" w:hAnsi="宋体" w:cs="宋体" w:hint="default"/>
        <w:spacing w:val="-2"/>
        <w:w w:val="100"/>
        <w:sz w:val="19"/>
        <w:szCs w:val="19"/>
        <w:lang w:val="zh-CN" w:eastAsia="zh-CN" w:bidi="zh-CN"/>
      </w:rPr>
    </w:lvl>
    <w:lvl w:ilvl="1">
      <w:start w:val="0"/>
      <w:numFmt w:val="bullet"/>
      <w:lvlText w:val="•"/>
      <w:lvlJc w:val="left"/>
      <w:pPr>
        <w:ind w:left="807" w:hanging="329"/>
      </w:pPr>
      <w:rPr>
        <w:rFonts w:hint="default"/>
        <w:lang w:val="zh-CN" w:eastAsia="zh-CN" w:bidi="zh-CN"/>
      </w:rPr>
    </w:lvl>
    <w:lvl w:ilvl="2">
      <w:start w:val="0"/>
      <w:numFmt w:val="bullet"/>
      <w:lvlText w:val="•"/>
      <w:lvlJc w:val="left"/>
      <w:pPr>
        <w:ind w:left="1275" w:hanging="329"/>
      </w:pPr>
      <w:rPr>
        <w:rFonts w:hint="default"/>
        <w:lang w:val="zh-CN" w:eastAsia="zh-CN" w:bidi="zh-CN"/>
      </w:rPr>
    </w:lvl>
    <w:lvl w:ilvl="3">
      <w:start w:val="0"/>
      <w:numFmt w:val="bullet"/>
      <w:lvlText w:val="•"/>
      <w:lvlJc w:val="left"/>
      <w:pPr>
        <w:ind w:left="1743" w:hanging="329"/>
      </w:pPr>
      <w:rPr>
        <w:rFonts w:hint="default"/>
        <w:lang w:val="zh-CN" w:eastAsia="zh-CN" w:bidi="zh-CN"/>
      </w:rPr>
    </w:lvl>
    <w:lvl w:ilvl="4">
      <w:start w:val="0"/>
      <w:numFmt w:val="bullet"/>
      <w:lvlText w:val="•"/>
      <w:lvlJc w:val="left"/>
      <w:pPr>
        <w:ind w:left="2211" w:hanging="329"/>
      </w:pPr>
      <w:rPr>
        <w:rFonts w:hint="default"/>
        <w:lang w:val="zh-CN" w:eastAsia="zh-CN" w:bidi="zh-CN"/>
      </w:rPr>
    </w:lvl>
    <w:lvl w:ilvl="5">
      <w:start w:val="0"/>
      <w:numFmt w:val="bullet"/>
      <w:lvlText w:val="•"/>
      <w:lvlJc w:val="left"/>
      <w:pPr>
        <w:ind w:left="2679" w:hanging="329"/>
      </w:pPr>
      <w:rPr>
        <w:rFonts w:hint="default"/>
        <w:lang w:val="zh-CN" w:eastAsia="zh-CN" w:bidi="zh-CN"/>
      </w:rPr>
    </w:lvl>
    <w:lvl w:ilvl="6">
      <w:start w:val="0"/>
      <w:numFmt w:val="bullet"/>
      <w:lvlText w:val="•"/>
      <w:lvlJc w:val="left"/>
      <w:pPr>
        <w:ind w:left="3146" w:hanging="329"/>
      </w:pPr>
      <w:rPr>
        <w:rFonts w:hint="default"/>
        <w:lang w:val="zh-CN" w:eastAsia="zh-CN" w:bidi="zh-CN"/>
      </w:rPr>
    </w:lvl>
    <w:lvl w:ilvl="7">
      <w:start w:val="0"/>
      <w:numFmt w:val="bullet"/>
      <w:lvlText w:val="•"/>
      <w:lvlJc w:val="left"/>
      <w:pPr>
        <w:ind w:left="3614" w:hanging="329"/>
      </w:pPr>
      <w:rPr>
        <w:rFonts w:hint="default"/>
        <w:lang w:val="zh-CN" w:eastAsia="zh-CN" w:bidi="zh-CN"/>
      </w:rPr>
    </w:lvl>
    <w:lvl w:ilvl="8">
      <w:start w:val="0"/>
      <w:numFmt w:val="bullet"/>
      <w:lvlText w:val="•"/>
      <w:lvlJc w:val="left"/>
      <w:pPr>
        <w:ind w:left="4082" w:hanging="329"/>
      </w:pPr>
      <w:rPr>
        <w:rFonts w:hint="default"/>
        <w:lang w:val="zh-CN" w:eastAsia="zh-CN" w:bidi="zh-CN"/>
      </w:rPr>
    </w:lvl>
  </w:abstractNum>
  <w:abstractNum w:abstractNumId="35">
    <w:nsid w:val="00000021"/>
    <w:multiLevelType w:val="multilevel"/>
    <w:tmpl w:val="00000021"/>
    <w:lvl w:ilvl="0">
      <w:start w:val="1"/>
      <w:numFmt w:val="decimal"/>
      <w:lvlText w:val="%1."/>
      <w:lvlJc w:val="left"/>
      <w:pPr>
        <w:ind w:left="235" w:hanging="222"/>
        <w:jc w:val="right"/>
      </w:pPr>
      <w:rPr>
        <w:rFonts w:hint="default"/>
        <w:spacing w:val="-1"/>
        <w:w w:val="100"/>
        <w:lang w:val="zh-CN" w:eastAsia="zh-CN" w:bidi="zh-CN"/>
      </w:rPr>
    </w:lvl>
    <w:lvl w:ilvl="1">
      <w:start w:val="0"/>
      <w:numFmt w:val="bullet"/>
      <w:lvlText w:val="•"/>
      <w:lvlJc w:val="left"/>
      <w:pPr>
        <w:ind w:left="717" w:hanging="222"/>
      </w:pPr>
      <w:rPr>
        <w:rFonts w:hint="default"/>
        <w:lang w:val="zh-CN" w:eastAsia="zh-CN" w:bidi="zh-CN"/>
      </w:rPr>
    </w:lvl>
    <w:lvl w:ilvl="2">
      <w:start w:val="0"/>
      <w:numFmt w:val="bullet"/>
      <w:lvlText w:val="•"/>
      <w:lvlJc w:val="left"/>
      <w:pPr>
        <w:ind w:left="1195" w:hanging="222"/>
      </w:pPr>
      <w:rPr>
        <w:rFonts w:hint="default"/>
        <w:lang w:val="zh-CN" w:eastAsia="zh-CN" w:bidi="zh-CN"/>
      </w:rPr>
    </w:lvl>
    <w:lvl w:ilvl="3">
      <w:start w:val="0"/>
      <w:numFmt w:val="bullet"/>
      <w:lvlText w:val="•"/>
      <w:lvlJc w:val="left"/>
      <w:pPr>
        <w:ind w:left="1673" w:hanging="222"/>
      </w:pPr>
      <w:rPr>
        <w:rFonts w:hint="default"/>
        <w:lang w:val="zh-CN" w:eastAsia="zh-CN" w:bidi="zh-CN"/>
      </w:rPr>
    </w:lvl>
    <w:lvl w:ilvl="4">
      <w:start w:val="0"/>
      <w:numFmt w:val="bullet"/>
      <w:lvlText w:val="•"/>
      <w:lvlJc w:val="left"/>
      <w:pPr>
        <w:ind w:left="2151" w:hanging="222"/>
      </w:pPr>
      <w:rPr>
        <w:rFonts w:hint="default"/>
        <w:lang w:val="zh-CN" w:eastAsia="zh-CN" w:bidi="zh-CN"/>
      </w:rPr>
    </w:lvl>
    <w:lvl w:ilvl="5">
      <w:start w:val="0"/>
      <w:numFmt w:val="bullet"/>
      <w:lvlText w:val="•"/>
      <w:lvlJc w:val="left"/>
      <w:pPr>
        <w:ind w:left="2629" w:hanging="222"/>
      </w:pPr>
      <w:rPr>
        <w:rFonts w:hint="default"/>
        <w:lang w:val="zh-CN" w:eastAsia="zh-CN" w:bidi="zh-CN"/>
      </w:rPr>
    </w:lvl>
    <w:lvl w:ilvl="6">
      <w:start w:val="0"/>
      <w:numFmt w:val="bullet"/>
      <w:lvlText w:val="•"/>
      <w:lvlJc w:val="left"/>
      <w:pPr>
        <w:ind w:left="3106" w:hanging="222"/>
      </w:pPr>
      <w:rPr>
        <w:rFonts w:hint="default"/>
        <w:lang w:val="zh-CN" w:eastAsia="zh-CN" w:bidi="zh-CN"/>
      </w:rPr>
    </w:lvl>
    <w:lvl w:ilvl="7">
      <w:start w:val="0"/>
      <w:numFmt w:val="bullet"/>
      <w:lvlText w:val="•"/>
      <w:lvlJc w:val="left"/>
      <w:pPr>
        <w:ind w:left="3584" w:hanging="222"/>
      </w:pPr>
      <w:rPr>
        <w:rFonts w:hint="default"/>
        <w:lang w:val="zh-CN" w:eastAsia="zh-CN" w:bidi="zh-CN"/>
      </w:rPr>
    </w:lvl>
    <w:lvl w:ilvl="8">
      <w:start w:val="0"/>
      <w:numFmt w:val="bullet"/>
      <w:lvlText w:val="•"/>
      <w:lvlJc w:val="left"/>
      <w:pPr>
        <w:ind w:left="4062" w:hanging="222"/>
      </w:pPr>
      <w:rPr>
        <w:rFonts w:hint="default"/>
        <w:lang w:val="zh-CN" w:eastAsia="zh-CN" w:bidi="zh-CN"/>
      </w:rPr>
    </w:lvl>
  </w:abstractNum>
  <w:abstractNum w:abstractNumId="36">
    <w:nsid w:val="00000022"/>
    <w:multiLevelType w:val="multilevel"/>
    <w:tmpl w:val="00000022"/>
    <w:lvl w:ilvl="0">
      <w:start w:val="1"/>
      <w:numFmt w:val="decimal"/>
      <w:lvlText w:val="%1."/>
      <w:lvlJc w:val="left"/>
      <w:pPr>
        <w:ind w:left="342" w:hanging="329"/>
      </w:pPr>
      <w:rPr>
        <w:rFonts w:ascii="宋体" w:eastAsia="宋体" w:hAnsi="宋体" w:cs="宋体" w:hint="default"/>
        <w:spacing w:val="-2"/>
        <w:w w:val="100"/>
        <w:sz w:val="19"/>
        <w:szCs w:val="19"/>
        <w:lang w:val="zh-CN" w:eastAsia="zh-CN" w:bidi="zh-CN"/>
      </w:rPr>
    </w:lvl>
    <w:lvl w:ilvl="1">
      <w:start w:val="0"/>
      <w:numFmt w:val="bullet"/>
      <w:lvlText w:val="•"/>
      <w:lvlJc w:val="left"/>
      <w:pPr>
        <w:ind w:left="807" w:hanging="329"/>
      </w:pPr>
      <w:rPr>
        <w:rFonts w:hint="default"/>
        <w:lang w:val="zh-CN" w:eastAsia="zh-CN" w:bidi="zh-CN"/>
      </w:rPr>
    </w:lvl>
    <w:lvl w:ilvl="2">
      <w:start w:val="0"/>
      <w:numFmt w:val="bullet"/>
      <w:lvlText w:val="•"/>
      <w:lvlJc w:val="left"/>
      <w:pPr>
        <w:ind w:left="1275" w:hanging="329"/>
      </w:pPr>
      <w:rPr>
        <w:rFonts w:hint="default"/>
        <w:lang w:val="zh-CN" w:eastAsia="zh-CN" w:bidi="zh-CN"/>
      </w:rPr>
    </w:lvl>
    <w:lvl w:ilvl="3">
      <w:start w:val="0"/>
      <w:numFmt w:val="bullet"/>
      <w:lvlText w:val="•"/>
      <w:lvlJc w:val="left"/>
      <w:pPr>
        <w:ind w:left="1743" w:hanging="329"/>
      </w:pPr>
      <w:rPr>
        <w:rFonts w:hint="default"/>
        <w:lang w:val="zh-CN" w:eastAsia="zh-CN" w:bidi="zh-CN"/>
      </w:rPr>
    </w:lvl>
    <w:lvl w:ilvl="4">
      <w:start w:val="0"/>
      <w:numFmt w:val="bullet"/>
      <w:lvlText w:val="•"/>
      <w:lvlJc w:val="left"/>
      <w:pPr>
        <w:ind w:left="2211" w:hanging="329"/>
      </w:pPr>
      <w:rPr>
        <w:rFonts w:hint="default"/>
        <w:lang w:val="zh-CN" w:eastAsia="zh-CN" w:bidi="zh-CN"/>
      </w:rPr>
    </w:lvl>
    <w:lvl w:ilvl="5">
      <w:start w:val="0"/>
      <w:numFmt w:val="bullet"/>
      <w:lvlText w:val="•"/>
      <w:lvlJc w:val="left"/>
      <w:pPr>
        <w:ind w:left="2679" w:hanging="329"/>
      </w:pPr>
      <w:rPr>
        <w:rFonts w:hint="default"/>
        <w:lang w:val="zh-CN" w:eastAsia="zh-CN" w:bidi="zh-CN"/>
      </w:rPr>
    </w:lvl>
    <w:lvl w:ilvl="6">
      <w:start w:val="0"/>
      <w:numFmt w:val="bullet"/>
      <w:lvlText w:val="•"/>
      <w:lvlJc w:val="left"/>
      <w:pPr>
        <w:ind w:left="3146" w:hanging="329"/>
      </w:pPr>
      <w:rPr>
        <w:rFonts w:hint="default"/>
        <w:lang w:val="zh-CN" w:eastAsia="zh-CN" w:bidi="zh-CN"/>
      </w:rPr>
    </w:lvl>
    <w:lvl w:ilvl="7">
      <w:start w:val="0"/>
      <w:numFmt w:val="bullet"/>
      <w:lvlText w:val="•"/>
      <w:lvlJc w:val="left"/>
      <w:pPr>
        <w:ind w:left="3614" w:hanging="329"/>
      </w:pPr>
      <w:rPr>
        <w:rFonts w:hint="default"/>
        <w:lang w:val="zh-CN" w:eastAsia="zh-CN" w:bidi="zh-CN"/>
      </w:rPr>
    </w:lvl>
    <w:lvl w:ilvl="8">
      <w:start w:val="0"/>
      <w:numFmt w:val="bullet"/>
      <w:lvlText w:val="•"/>
      <w:lvlJc w:val="left"/>
      <w:pPr>
        <w:ind w:left="4082" w:hanging="329"/>
      </w:pPr>
      <w:rPr>
        <w:rFonts w:hint="default"/>
        <w:lang w:val="zh-CN" w:eastAsia="zh-CN" w:bidi="zh-CN"/>
      </w:rPr>
    </w:lvl>
  </w:abstractNum>
  <w:abstractNum w:abstractNumId="37">
    <w:nsid w:val="00000023"/>
    <w:multiLevelType w:val="multilevel"/>
    <w:tmpl w:val="00000023"/>
    <w:lvl w:ilvl="0">
      <w:start w:val="1"/>
      <w:numFmt w:val="decimal"/>
      <w:lvlText w:val="%1."/>
      <w:lvlJc w:val="left"/>
      <w:pPr>
        <w:ind w:left="342" w:hanging="329"/>
      </w:pPr>
      <w:rPr>
        <w:rFonts w:ascii="宋体" w:eastAsia="宋体" w:hAnsi="宋体" w:cs="宋体" w:hint="default"/>
        <w:spacing w:val="-2"/>
        <w:w w:val="100"/>
        <w:sz w:val="19"/>
        <w:szCs w:val="19"/>
        <w:lang w:val="zh-CN" w:eastAsia="zh-CN" w:bidi="zh-CN"/>
      </w:rPr>
    </w:lvl>
    <w:lvl w:ilvl="1">
      <w:start w:val="0"/>
      <w:numFmt w:val="bullet"/>
      <w:lvlText w:val="•"/>
      <w:lvlJc w:val="left"/>
      <w:pPr>
        <w:ind w:left="807" w:hanging="329"/>
      </w:pPr>
      <w:rPr>
        <w:rFonts w:hint="default"/>
        <w:lang w:val="zh-CN" w:eastAsia="zh-CN" w:bidi="zh-CN"/>
      </w:rPr>
    </w:lvl>
    <w:lvl w:ilvl="2">
      <w:start w:val="0"/>
      <w:numFmt w:val="bullet"/>
      <w:lvlText w:val="•"/>
      <w:lvlJc w:val="left"/>
      <w:pPr>
        <w:ind w:left="1275" w:hanging="329"/>
      </w:pPr>
      <w:rPr>
        <w:rFonts w:hint="default"/>
        <w:lang w:val="zh-CN" w:eastAsia="zh-CN" w:bidi="zh-CN"/>
      </w:rPr>
    </w:lvl>
    <w:lvl w:ilvl="3">
      <w:start w:val="0"/>
      <w:numFmt w:val="bullet"/>
      <w:lvlText w:val="•"/>
      <w:lvlJc w:val="left"/>
      <w:pPr>
        <w:ind w:left="1743" w:hanging="329"/>
      </w:pPr>
      <w:rPr>
        <w:rFonts w:hint="default"/>
        <w:lang w:val="zh-CN" w:eastAsia="zh-CN" w:bidi="zh-CN"/>
      </w:rPr>
    </w:lvl>
    <w:lvl w:ilvl="4">
      <w:start w:val="0"/>
      <w:numFmt w:val="bullet"/>
      <w:lvlText w:val="•"/>
      <w:lvlJc w:val="left"/>
      <w:pPr>
        <w:ind w:left="2211" w:hanging="329"/>
      </w:pPr>
      <w:rPr>
        <w:rFonts w:hint="default"/>
        <w:lang w:val="zh-CN" w:eastAsia="zh-CN" w:bidi="zh-CN"/>
      </w:rPr>
    </w:lvl>
    <w:lvl w:ilvl="5">
      <w:start w:val="0"/>
      <w:numFmt w:val="bullet"/>
      <w:lvlText w:val="•"/>
      <w:lvlJc w:val="left"/>
      <w:pPr>
        <w:ind w:left="2679" w:hanging="329"/>
      </w:pPr>
      <w:rPr>
        <w:rFonts w:hint="default"/>
        <w:lang w:val="zh-CN" w:eastAsia="zh-CN" w:bidi="zh-CN"/>
      </w:rPr>
    </w:lvl>
    <w:lvl w:ilvl="6">
      <w:start w:val="0"/>
      <w:numFmt w:val="bullet"/>
      <w:lvlText w:val="•"/>
      <w:lvlJc w:val="left"/>
      <w:pPr>
        <w:ind w:left="3146" w:hanging="329"/>
      </w:pPr>
      <w:rPr>
        <w:rFonts w:hint="default"/>
        <w:lang w:val="zh-CN" w:eastAsia="zh-CN" w:bidi="zh-CN"/>
      </w:rPr>
    </w:lvl>
    <w:lvl w:ilvl="7">
      <w:start w:val="0"/>
      <w:numFmt w:val="bullet"/>
      <w:lvlText w:val="•"/>
      <w:lvlJc w:val="left"/>
      <w:pPr>
        <w:ind w:left="3614" w:hanging="329"/>
      </w:pPr>
      <w:rPr>
        <w:rFonts w:hint="default"/>
        <w:lang w:val="zh-CN" w:eastAsia="zh-CN" w:bidi="zh-CN"/>
      </w:rPr>
    </w:lvl>
    <w:lvl w:ilvl="8">
      <w:start w:val="0"/>
      <w:numFmt w:val="bullet"/>
      <w:lvlText w:val="•"/>
      <w:lvlJc w:val="left"/>
      <w:pPr>
        <w:ind w:left="4082" w:hanging="329"/>
      </w:pPr>
      <w:rPr>
        <w:rFonts w:hint="default"/>
        <w:lang w:val="zh-CN" w:eastAsia="zh-CN" w:bidi="zh-CN"/>
      </w:rPr>
    </w:lvl>
  </w:abstractNum>
  <w:abstractNum w:abstractNumId="38">
    <w:nsid w:val="00000024"/>
    <w:multiLevelType w:val="multilevel"/>
    <w:tmpl w:val="00000024"/>
    <w:lvl w:ilvl="0">
      <w:start w:val="1"/>
      <w:numFmt w:val="decimal"/>
      <w:lvlText w:val="%1."/>
      <w:lvlJc w:val="left"/>
      <w:pPr>
        <w:ind w:left="342" w:hanging="329"/>
      </w:pPr>
      <w:rPr>
        <w:rFonts w:ascii="宋体" w:eastAsia="宋体" w:hAnsi="宋体" w:cs="宋体" w:hint="default"/>
        <w:spacing w:val="-2"/>
        <w:w w:val="100"/>
        <w:sz w:val="19"/>
        <w:szCs w:val="19"/>
        <w:lang w:val="zh-CN" w:eastAsia="zh-CN" w:bidi="zh-CN"/>
      </w:rPr>
    </w:lvl>
    <w:lvl w:ilvl="1">
      <w:start w:val="0"/>
      <w:numFmt w:val="bullet"/>
      <w:lvlText w:val="•"/>
      <w:lvlJc w:val="left"/>
      <w:pPr>
        <w:ind w:left="807" w:hanging="329"/>
      </w:pPr>
      <w:rPr>
        <w:rFonts w:hint="default"/>
        <w:lang w:val="zh-CN" w:eastAsia="zh-CN" w:bidi="zh-CN"/>
      </w:rPr>
    </w:lvl>
    <w:lvl w:ilvl="2">
      <w:start w:val="0"/>
      <w:numFmt w:val="bullet"/>
      <w:lvlText w:val="•"/>
      <w:lvlJc w:val="left"/>
      <w:pPr>
        <w:ind w:left="1275" w:hanging="329"/>
      </w:pPr>
      <w:rPr>
        <w:rFonts w:hint="default"/>
        <w:lang w:val="zh-CN" w:eastAsia="zh-CN" w:bidi="zh-CN"/>
      </w:rPr>
    </w:lvl>
    <w:lvl w:ilvl="3">
      <w:start w:val="0"/>
      <w:numFmt w:val="bullet"/>
      <w:lvlText w:val="•"/>
      <w:lvlJc w:val="left"/>
      <w:pPr>
        <w:ind w:left="1743" w:hanging="329"/>
      </w:pPr>
      <w:rPr>
        <w:rFonts w:hint="default"/>
        <w:lang w:val="zh-CN" w:eastAsia="zh-CN" w:bidi="zh-CN"/>
      </w:rPr>
    </w:lvl>
    <w:lvl w:ilvl="4">
      <w:start w:val="0"/>
      <w:numFmt w:val="bullet"/>
      <w:lvlText w:val="•"/>
      <w:lvlJc w:val="left"/>
      <w:pPr>
        <w:ind w:left="2211" w:hanging="329"/>
      </w:pPr>
      <w:rPr>
        <w:rFonts w:hint="default"/>
        <w:lang w:val="zh-CN" w:eastAsia="zh-CN" w:bidi="zh-CN"/>
      </w:rPr>
    </w:lvl>
    <w:lvl w:ilvl="5">
      <w:start w:val="0"/>
      <w:numFmt w:val="bullet"/>
      <w:lvlText w:val="•"/>
      <w:lvlJc w:val="left"/>
      <w:pPr>
        <w:ind w:left="2679" w:hanging="329"/>
      </w:pPr>
      <w:rPr>
        <w:rFonts w:hint="default"/>
        <w:lang w:val="zh-CN" w:eastAsia="zh-CN" w:bidi="zh-CN"/>
      </w:rPr>
    </w:lvl>
    <w:lvl w:ilvl="6">
      <w:start w:val="0"/>
      <w:numFmt w:val="bullet"/>
      <w:lvlText w:val="•"/>
      <w:lvlJc w:val="left"/>
      <w:pPr>
        <w:ind w:left="3146" w:hanging="329"/>
      </w:pPr>
      <w:rPr>
        <w:rFonts w:hint="default"/>
        <w:lang w:val="zh-CN" w:eastAsia="zh-CN" w:bidi="zh-CN"/>
      </w:rPr>
    </w:lvl>
    <w:lvl w:ilvl="7">
      <w:start w:val="0"/>
      <w:numFmt w:val="bullet"/>
      <w:lvlText w:val="•"/>
      <w:lvlJc w:val="left"/>
      <w:pPr>
        <w:ind w:left="3614" w:hanging="329"/>
      </w:pPr>
      <w:rPr>
        <w:rFonts w:hint="default"/>
        <w:lang w:val="zh-CN" w:eastAsia="zh-CN" w:bidi="zh-CN"/>
      </w:rPr>
    </w:lvl>
    <w:lvl w:ilvl="8">
      <w:start w:val="0"/>
      <w:numFmt w:val="bullet"/>
      <w:lvlText w:val="•"/>
      <w:lvlJc w:val="left"/>
      <w:pPr>
        <w:ind w:left="4082" w:hanging="329"/>
      </w:pPr>
      <w:rPr>
        <w:rFonts w:hint="default"/>
        <w:lang w:val="zh-CN" w:eastAsia="zh-CN" w:bidi="zh-CN"/>
      </w:rPr>
    </w:lvl>
  </w:abstractNum>
  <w:abstractNum w:abstractNumId="39">
    <w:nsid w:val="00000025"/>
    <w:multiLevelType w:val="multilevel"/>
    <w:tmpl w:val="00000025"/>
    <w:lvl w:ilvl="0">
      <w:start w:val="1"/>
      <w:numFmt w:val="decimal"/>
      <w:lvlText w:val="%1."/>
      <w:lvlJc w:val="left"/>
      <w:pPr>
        <w:ind w:left="342" w:hanging="329"/>
      </w:pPr>
      <w:rPr>
        <w:rFonts w:ascii="宋体" w:eastAsia="宋体" w:hAnsi="宋体" w:cs="宋体" w:hint="default"/>
        <w:spacing w:val="-2"/>
        <w:w w:val="100"/>
        <w:sz w:val="19"/>
        <w:szCs w:val="19"/>
        <w:lang w:val="zh-CN" w:eastAsia="zh-CN" w:bidi="zh-CN"/>
      </w:rPr>
    </w:lvl>
    <w:lvl w:ilvl="1">
      <w:start w:val="0"/>
      <w:numFmt w:val="bullet"/>
      <w:lvlText w:val="•"/>
      <w:lvlJc w:val="left"/>
      <w:pPr>
        <w:ind w:left="807" w:hanging="329"/>
      </w:pPr>
      <w:rPr>
        <w:rFonts w:hint="default"/>
        <w:lang w:val="zh-CN" w:eastAsia="zh-CN" w:bidi="zh-CN"/>
      </w:rPr>
    </w:lvl>
    <w:lvl w:ilvl="2">
      <w:start w:val="0"/>
      <w:numFmt w:val="bullet"/>
      <w:lvlText w:val="•"/>
      <w:lvlJc w:val="left"/>
      <w:pPr>
        <w:ind w:left="1275" w:hanging="329"/>
      </w:pPr>
      <w:rPr>
        <w:rFonts w:hint="default"/>
        <w:lang w:val="zh-CN" w:eastAsia="zh-CN" w:bidi="zh-CN"/>
      </w:rPr>
    </w:lvl>
    <w:lvl w:ilvl="3">
      <w:start w:val="0"/>
      <w:numFmt w:val="bullet"/>
      <w:lvlText w:val="•"/>
      <w:lvlJc w:val="left"/>
      <w:pPr>
        <w:ind w:left="1743" w:hanging="329"/>
      </w:pPr>
      <w:rPr>
        <w:rFonts w:hint="default"/>
        <w:lang w:val="zh-CN" w:eastAsia="zh-CN" w:bidi="zh-CN"/>
      </w:rPr>
    </w:lvl>
    <w:lvl w:ilvl="4">
      <w:start w:val="0"/>
      <w:numFmt w:val="bullet"/>
      <w:lvlText w:val="•"/>
      <w:lvlJc w:val="left"/>
      <w:pPr>
        <w:ind w:left="2211" w:hanging="329"/>
      </w:pPr>
      <w:rPr>
        <w:rFonts w:hint="default"/>
        <w:lang w:val="zh-CN" w:eastAsia="zh-CN" w:bidi="zh-CN"/>
      </w:rPr>
    </w:lvl>
    <w:lvl w:ilvl="5">
      <w:start w:val="0"/>
      <w:numFmt w:val="bullet"/>
      <w:lvlText w:val="•"/>
      <w:lvlJc w:val="left"/>
      <w:pPr>
        <w:ind w:left="2679" w:hanging="329"/>
      </w:pPr>
      <w:rPr>
        <w:rFonts w:hint="default"/>
        <w:lang w:val="zh-CN" w:eastAsia="zh-CN" w:bidi="zh-CN"/>
      </w:rPr>
    </w:lvl>
    <w:lvl w:ilvl="6">
      <w:start w:val="0"/>
      <w:numFmt w:val="bullet"/>
      <w:lvlText w:val="•"/>
      <w:lvlJc w:val="left"/>
      <w:pPr>
        <w:ind w:left="3146" w:hanging="329"/>
      </w:pPr>
      <w:rPr>
        <w:rFonts w:hint="default"/>
        <w:lang w:val="zh-CN" w:eastAsia="zh-CN" w:bidi="zh-CN"/>
      </w:rPr>
    </w:lvl>
    <w:lvl w:ilvl="7">
      <w:start w:val="0"/>
      <w:numFmt w:val="bullet"/>
      <w:lvlText w:val="•"/>
      <w:lvlJc w:val="left"/>
      <w:pPr>
        <w:ind w:left="3614" w:hanging="329"/>
      </w:pPr>
      <w:rPr>
        <w:rFonts w:hint="default"/>
        <w:lang w:val="zh-CN" w:eastAsia="zh-CN" w:bidi="zh-CN"/>
      </w:rPr>
    </w:lvl>
    <w:lvl w:ilvl="8">
      <w:start w:val="0"/>
      <w:numFmt w:val="bullet"/>
      <w:lvlText w:val="•"/>
      <w:lvlJc w:val="left"/>
      <w:pPr>
        <w:ind w:left="4082" w:hanging="329"/>
      </w:pPr>
      <w:rPr>
        <w:rFonts w:hint="default"/>
        <w:lang w:val="zh-CN" w:eastAsia="zh-CN" w:bidi="zh-CN"/>
      </w:rPr>
    </w:lvl>
  </w:abstractNum>
  <w:abstractNum w:abstractNumId="40">
    <w:nsid w:val="00000026"/>
    <w:multiLevelType w:val="multilevel"/>
    <w:tmpl w:val="00000026"/>
    <w:lvl w:ilvl="0">
      <w:start w:val="1"/>
      <w:numFmt w:val="decimal"/>
      <w:lvlText w:val="%1."/>
      <w:lvlJc w:val="left"/>
      <w:pPr>
        <w:ind w:left="342" w:hanging="214"/>
        <w:jc w:val="right"/>
      </w:pPr>
      <w:rPr>
        <w:rFonts w:ascii="宋体" w:eastAsia="宋体" w:hAnsi="宋体" w:cs="宋体" w:hint="default"/>
        <w:spacing w:val="-52"/>
        <w:w w:val="100"/>
        <w:sz w:val="19"/>
        <w:szCs w:val="19"/>
        <w:lang w:val="zh-CN" w:eastAsia="zh-CN" w:bidi="zh-CN"/>
      </w:rPr>
    </w:lvl>
    <w:lvl w:ilvl="1">
      <w:start w:val="0"/>
      <w:numFmt w:val="bullet"/>
      <w:lvlText w:val="•"/>
      <w:lvlJc w:val="left"/>
      <w:pPr>
        <w:ind w:left="807" w:hanging="214"/>
      </w:pPr>
      <w:rPr>
        <w:rFonts w:hint="default"/>
        <w:lang w:val="zh-CN" w:eastAsia="zh-CN" w:bidi="zh-CN"/>
      </w:rPr>
    </w:lvl>
    <w:lvl w:ilvl="2">
      <w:start w:val="0"/>
      <w:numFmt w:val="bullet"/>
      <w:lvlText w:val="•"/>
      <w:lvlJc w:val="left"/>
      <w:pPr>
        <w:ind w:left="1275" w:hanging="214"/>
      </w:pPr>
      <w:rPr>
        <w:rFonts w:hint="default"/>
        <w:lang w:val="zh-CN" w:eastAsia="zh-CN" w:bidi="zh-CN"/>
      </w:rPr>
    </w:lvl>
    <w:lvl w:ilvl="3">
      <w:start w:val="0"/>
      <w:numFmt w:val="bullet"/>
      <w:lvlText w:val="•"/>
      <w:lvlJc w:val="left"/>
      <w:pPr>
        <w:ind w:left="1743" w:hanging="214"/>
      </w:pPr>
      <w:rPr>
        <w:rFonts w:hint="default"/>
        <w:lang w:val="zh-CN" w:eastAsia="zh-CN" w:bidi="zh-CN"/>
      </w:rPr>
    </w:lvl>
    <w:lvl w:ilvl="4">
      <w:start w:val="0"/>
      <w:numFmt w:val="bullet"/>
      <w:lvlText w:val="•"/>
      <w:lvlJc w:val="left"/>
      <w:pPr>
        <w:ind w:left="2211" w:hanging="214"/>
      </w:pPr>
      <w:rPr>
        <w:rFonts w:hint="default"/>
        <w:lang w:val="zh-CN" w:eastAsia="zh-CN" w:bidi="zh-CN"/>
      </w:rPr>
    </w:lvl>
    <w:lvl w:ilvl="5">
      <w:start w:val="0"/>
      <w:numFmt w:val="bullet"/>
      <w:lvlText w:val="•"/>
      <w:lvlJc w:val="left"/>
      <w:pPr>
        <w:ind w:left="2679" w:hanging="214"/>
      </w:pPr>
      <w:rPr>
        <w:rFonts w:hint="default"/>
        <w:lang w:val="zh-CN" w:eastAsia="zh-CN" w:bidi="zh-CN"/>
      </w:rPr>
    </w:lvl>
    <w:lvl w:ilvl="6">
      <w:start w:val="0"/>
      <w:numFmt w:val="bullet"/>
      <w:lvlText w:val="•"/>
      <w:lvlJc w:val="left"/>
      <w:pPr>
        <w:ind w:left="3146" w:hanging="214"/>
      </w:pPr>
      <w:rPr>
        <w:rFonts w:hint="default"/>
        <w:lang w:val="zh-CN" w:eastAsia="zh-CN" w:bidi="zh-CN"/>
      </w:rPr>
    </w:lvl>
    <w:lvl w:ilvl="7">
      <w:start w:val="0"/>
      <w:numFmt w:val="bullet"/>
      <w:lvlText w:val="•"/>
      <w:lvlJc w:val="left"/>
      <w:pPr>
        <w:ind w:left="3614" w:hanging="214"/>
      </w:pPr>
      <w:rPr>
        <w:rFonts w:hint="default"/>
        <w:lang w:val="zh-CN" w:eastAsia="zh-CN" w:bidi="zh-CN"/>
      </w:rPr>
    </w:lvl>
    <w:lvl w:ilvl="8">
      <w:start w:val="0"/>
      <w:numFmt w:val="bullet"/>
      <w:lvlText w:val="•"/>
      <w:lvlJc w:val="left"/>
      <w:pPr>
        <w:ind w:left="4082" w:hanging="214"/>
      </w:pPr>
      <w:rPr>
        <w:rFonts w:hint="default"/>
        <w:lang w:val="zh-CN" w:eastAsia="zh-CN" w:bidi="zh-CN"/>
      </w:rPr>
    </w:lvl>
  </w:abstractNum>
  <w:abstractNum w:abstractNumId="41">
    <w:nsid w:val="00000027"/>
    <w:multiLevelType w:val="multilevel"/>
    <w:tmpl w:val="00000027"/>
    <w:lvl w:ilvl="0">
      <w:start w:val="1"/>
      <w:numFmt w:val="decimal"/>
      <w:lvlText w:val="%1."/>
      <w:lvlJc w:val="left"/>
      <w:pPr>
        <w:ind w:left="342" w:hanging="329"/>
      </w:pPr>
      <w:rPr>
        <w:rFonts w:ascii="宋体" w:eastAsia="宋体" w:hAnsi="宋体" w:cs="宋体" w:hint="default"/>
        <w:spacing w:val="-2"/>
        <w:w w:val="100"/>
        <w:sz w:val="19"/>
        <w:szCs w:val="19"/>
        <w:lang w:val="zh-CN" w:eastAsia="zh-CN" w:bidi="zh-CN"/>
      </w:rPr>
    </w:lvl>
    <w:lvl w:ilvl="1">
      <w:start w:val="0"/>
      <w:numFmt w:val="bullet"/>
      <w:lvlText w:val="•"/>
      <w:lvlJc w:val="left"/>
      <w:pPr>
        <w:ind w:left="807" w:hanging="329"/>
      </w:pPr>
      <w:rPr>
        <w:rFonts w:hint="default"/>
        <w:lang w:val="zh-CN" w:eastAsia="zh-CN" w:bidi="zh-CN"/>
      </w:rPr>
    </w:lvl>
    <w:lvl w:ilvl="2">
      <w:start w:val="0"/>
      <w:numFmt w:val="bullet"/>
      <w:lvlText w:val="•"/>
      <w:lvlJc w:val="left"/>
      <w:pPr>
        <w:ind w:left="1275" w:hanging="329"/>
      </w:pPr>
      <w:rPr>
        <w:rFonts w:hint="default"/>
        <w:lang w:val="zh-CN" w:eastAsia="zh-CN" w:bidi="zh-CN"/>
      </w:rPr>
    </w:lvl>
    <w:lvl w:ilvl="3">
      <w:start w:val="0"/>
      <w:numFmt w:val="bullet"/>
      <w:lvlText w:val="•"/>
      <w:lvlJc w:val="left"/>
      <w:pPr>
        <w:ind w:left="1743" w:hanging="329"/>
      </w:pPr>
      <w:rPr>
        <w:rFonts w:hint="default"/>
        <w:lang w:val="zh-CN" w:eastAsia="zh-CN" w:bidi="zh-CN"/>
      </w:rPr>
    </w:lvl>
    <w:lvl w:ilvl="4">
      <w:start w:val="0"/>
      <w:numFmt w:val="bullet"/>
      <w:lvlText w:val="•"/>
      <w:lvlJc w:val="left"/>
      <w:pPr>
        <w:ind w:left="2211" w:hanging="329"/>
      </w:pPr>
      <w:rPr>
        <w:rFonts w:hint="default"/>
        <w:lang w:val="zh-CN" w:eastAsia="zh-CN" w:bidi="zh-CN"/>
      </w:rPr>
    </w:lvl>
    <w:lvl w:ilvl="5">
      <w:start w:val="0"/>
      <w:numFmt w:val="bullet"/>
      <w:lvlText w:val="•"/>
      <w:lvlJc w:val="left"/>
      <w:pPr>
        <w:ind w:left="2679" w:hanging="329"/>
      </w:pPr>
      <w:rPr>
        <w:rFonts w:hint="default"/>
        <w:lang w:val="zh-CN" w:eastAsia="zh-CN" w:bidi="zh-CN"/>
      </w:rPr>
    </w:lvl>
    <w:lvl w:ilvl="6">
      <w:start w:val="0"/>
      <w:numFmt w:val="bullet"/>
      <w:lvlText w:val="•"/>
      <w:lvlJc w:val="left"/>
      <w:pPr>
        <w:ind w:left="3146" w:hanging="329"/>
      </w:pPr>
      <w:rPr>
        <w:rFonts w:hint="default"/>
        <w:lang w:val="zh-CN" w:eastAsia="zh-CN" w:bidi="zh-CN"/>
      </w:rPr>
    </w:lvl>
    <w:lvl w:ilvl="7">
      <w:start w:val="0"/>
      <w:numFmt w:val="bullet"/>
      <w:lvlText w:val="•"/>
      <w:lvlJc w:val="left"/>
      <w:pPr>
        <w:ind w:left="3614" w:hanging="329"/>
      </w:pPr>
      <w:rPr>
        <w:rFonts w:hint="default"/>
        <w:lang w:val="zh-CN" w:eastAsia="zh-CN" w:bidi="zh-CN"/>
      </w:rPr>
    </w:lvl>
    <w:lvl w:ilvl="8">
      <w:start w:val="0"/>
      <w:numFmt w:val="bullet"/>
      <w:lvlText w:val="•"/>
      <w:lvlJc w:val="left"/>
      <w:pPr>
        <w:ind w:left="4082" w:hanging="329"/>
      </w:pPr>
      <w:rPr>
        <w:rFonts w:hint="default"/>
        <w:lang w:val="zh-CN" w:eastAsia="zh-CN" w:bidi="zh-CN"/>
      </w:rPr>
    </w:lvl>
  </w:abstractNum>
  <w:abstractNum w:abstractNumId="42">
    <w:nsid w:val="00000028"/>
    <w:multiLevelType w:val="multilevel"/>
    <w:tmpl w:val="00000028"/>
    <w:lvl w:ilvl="0">
      <w:start w:val="1"/>
      <w:numFmt w:val="decimal"/>
      <w:lvlText w:val="%1."/>
      <w:lvlJc w:val="left"/>
      <w:pPr>
        <w:ind w:left="342" w:hanging="329"/>
      </w:pPr>
      <w:rPr>
        <w:rFonts w:ascii="宋体" w:eastAsia="宋体" w:hAnsi="宋体" w:cs="宋体" w:hint="default"/>
        <w:spacing w:val="-2"/>
        <w:w w:val="100"/>
        <w:sz w:val="19"/>
        <w:szCs w:val="19"/>
        <w:lang w:val="zh-CN" w:eastAsia="zh-CN" w:bidi="zh-CN"/>
      </w:rPr>
    </w:lvl>
    <w:lvl w:ilvl="1">
      <w:start w:val="0"/>
      <w:numFmt w:val="bullet"/>
      <w:lvlText w:val="•"/>
      <w:lvlJc w:val="left"/>
      <w:pPr>
        <w:ind w:left="807" w:hanging="329"/>
      </w:pPr>
      <w:rPr>
        <w:rFonts w:hint="default"/>
        <w:lang w:val="zh-CN" w:eastAsia="zh-CN" w:bidi="zh-CN"/>
      </w:rPr>
    </w:lvl>
    <w:lvl w:ilvl="2">
      <w:start w:val="0"/>
      <w:numFmt w:val="bullet"/>
      <w:lvlText w:val="•"/>
      <w:lvlJc w:val="left"/>
      <w:pPr>
        <w:ind w:left="1275" w:hanging="329"/>
      </w:pPr>
      <w:rPr>
        <w:rFonts w:hint="default"/>
        <w:lang w:val="zh-CN" w:eastAsia="zh-CN" w:bidi="zh-CN"/>
      </w:rPr>
    </w:lvl>
    <w:lvl w:ilvl="3">
      <w:start w:val="0"/>
      <w:numFmt w:val="bullet"/>
      <w:lvlText w:val="•"/>
      <w:lvlJc w:val="left"/>
      <w:pPr>
        <w:ind w:left="1743" w:hanging="329"/>
      </w:pPr>
      <w:rPr>
        <w:rFonts w:hint="default"/>
        <w:lang w:val="zh-CN" w:eastAsia="zh-CN" w:bidi="zh-CN"/>
      </w:rPr>
    </w:lvl>
    <w:lvl w:ilvl="4">
      <w:start w:val="0"/>
      <w:numFmt w:val="bullet"/>
      <w:lvlText w:val="•"/>
      <w:lvlJc w:val="left"/>
      <w:pPr>
        <w:ind w:left="2211" w:hanging="329"/>
      </w:pPr>
      <w:rPr>
        <w:rFonts w:hint="default"/>
        <w:lang w:val="zh-CN" w:eastAsia="zh-CN" w:bidi="zh-CN"/>
      </w:rPr>
    </w:lvl>
    <w:lvl w:ilvl="5">
      <w:start w:val="0"/>
      <w:numFmt w:val="bullet"/>
      <w:lvlText w:val="•"/>
      <w:lvlJc w:val="left"/>
      <w:pPr>
        <w:ind w:left="2679" w:hanging="329"/>
      </w:pPr>
      <w:rPr>
        <w:rFonts w:hint="default"/>
        <w:lang w:val="zh-CN" w:eastAsia="zh-CN" w:bidi="zh-CN"/>
      </w:rPr>
    </w:lvl>
    <w:lvl w:ilvl="6">
      <w:start w:val="0"/>
      <w:numFmt w:val="bullet"/>
      <w:lvlText w:val="•"/>
      <w:lvlJc w:val="left"/>
      <w:pPr>
        <w:ind w:left="3146" w:hanging="329"/>
      </w:pPr>
      <w:rPr>
        <w:rFonts w:hint="default"/>
        <w:lang w:val="zh-CN" w:eastAsia="zh-CN" w:bidi="zh-CN"/>
      </w:rPr>
    </w:lvl>
    <w:lvl w:ilvl="7">
      <w:start w:val="0"/>
      <w:numFmt w:val="bullet"/>
      <w:lvlText w:val="•"/>
      <w:lvlJc w:val="left"/>
      <w:pPr>
        <w:ind w:left="3614" w:hanging="329"/>
      </w:pPr>
      <w:rPr>
        <w:rFonts w:hint="default"/>
        <w:lang w:val="zh-CN" w:eastAsia="zh-CN" w:bidi="zh-CN"/>
      </w:rPr>
    </w:lvl>
    <w:lvl w:ilvl="8">
      <w:start w:val="0"/>
      <w:numFmt w:val="bullet"/>
      <w:lvlText w:val="•"/>
      <w:lvlJc w:val="left"/>
      <w:pPr>
        <w:ind w:left="4082" w:hanging="329"/>
      </w:pPr>
      <w:rPr>
        <w:rFonts w:hint="default"/>
        <w:lang w:val="zh-CN" w:eastAsia="zh-CN" w:bidi="zh-CN"/>
      </w:rPr>
    </w:lvl>
  </w:abstractNum>
  <w:abstractNum w:abstractNumId="43">
    <w:nsid w:val="00000029"/>
    <w:multiLevelType w:val="multilevel"/>
    <w:tmpl w:val="00000029"/>
    <w:lvl w:ilvl="0">
      <w:start w:val="1"/>
      <w:numFmt w:val="decimal"/>
      <w:lvlText w:val="%1."/>
      <w:lvlJc w:val="left"/>
      <w:pPr>
        <w:ind w:left="342" w:hanging="329"/>
      </w:pPr>
      <w:rPr>
        <w:rFonts w:ascii="宋体" w:eastAsia="宋体" w:hAnsi="宋体" w:cs="宋体" w:hint="default"/>
        <w:spacing w:val="-2"/>
        <w:w w:val="100"/>
        <w:sz w:val="19"/>
        <w:szCs w:val="19"/>
        <w:lang w:val="zh-CN" w:eastAsia="zh-CN" w:bidi="zh-CN"/>
      </w:rPr>
    </w:lvl>
    <w:lvl w:ilvl="1">
      <w:start w:val="0"/>
      <w:numFmt w:val="bullet"/>
      <w:lvlText w:val="•"/>
      <w:lvlJc w:val="left"/>
      <w:pPr>
        <w:ind w:left="807" w:hanging="329"/>
      </w:pPr>
      <w:rPr>
        <w:rFonts w:hint="default"/>
        <w:lang w:val="zh-CN" w:eastAsia="zh-CN" w:bidi="zh-CN"/>
      </w:rPr>
    </w:lvl>
    <w:lvl w:ilvl="2">
      <w:start w:val="0"/>
      <w:numFmt w:val="bullet"/>
      <w:lvlText w:val="•"/>
      <w:lvlJc w:val="left"/>
      <w:pPr>
        <w:ind w:left="1275" w:hanging="329"/>
      </w:pPr>
      <w:rPr>
        <w:rFonts w:hint="default"/>
        <w:lang w:val="zh-CN" w:eastAsia="zh-CN" w:bidi="zh-CN"/>
      </w:rPr>
    </w:lvl>
    <w:lvl w:ilvl="3">
      <w:start w:val="0"/>
      <w:numFmt w:val="bullet"/>
      <w:lvlText w:val="•"/>
      <w:lvlJc w:val="left"/>
      <w:pPr>
        <w:ind w:left="1743" w:hanging="329"/>
      </w:pPr>
      <w:rPr>
        <w:rFonts w:hint="default"/>
        <w:lang w:val="zh-CN" w:eastAsia="zh-CN" w:bidi="zh-CN"/>
      </w:rPr>
    </w:lvl>
    <w:lvl w:ilvl="4">
      <w:start w:val="0"/>
      <w:numFmt w:val="bullet"/>
      <w:lvlText w:val="•"/>
      <w:lvlJc w:val="left"/>
      <w:pPr>
        <w:ind w:left="2211" w:hanging="329"/>
      </w:pPr>
      <w:rPr>
        <w:rFonts w:hint="default"/>
        <w:lang w:val="zh-CN" w:eastAsia="zh-CN" w:bidi="zh-CN"/>
      </w:rPr>
    </w:lvl>
    <w:lvl w:ilvl="5">
      <w:start w:val="0"/>
      <w:numFmt w:val="bullet"/>
      <w:lvlText w:val="•"/>
      <w:lvlJc w:val="left"/>
      <w:pPr>
        <w:ind w:left="2679" w:hanging="329"/>
      </w:pPr>
      <w:rPr>
        <w:rFonts w:hint="default"/>
        <w:lang w:val="zh-CN" w:eastAsia="zh-CN" w:bidi="zh-CN"/>
      </w:rPr>
    </w:lvl>
    <w:lvl w:ilvl="6">
      <w:start w:val="0"/>
      <w:numFmt w:val="bullet"/>
      <w:lvlText w:val="•"/>
      <w:lvlJc w:val="left"/>
      <w:pPr>
        <w:ind w:left="3146" w:hanging="329"/>
      </w:pPr>
      <w:rPr>
        <w:rFonts w:hint="default"/>
        <w:lang w:val="zh-CN" w:eastAsia="zh-CN" w:bidi="zh-CN"/>
      </w:rPr>
    </w:lvl>
    <w:lvl w:ilvl="7">
      <w:start w:val="0"/>
      <w:numFmt w:val="bullet"/>
      <w:lvlText w:val="•"/>
      <w:lvlJc w:val="left"/>
      <w:pPr>
        <w:ind w:left="3614" w:hanging="329"/>
      </w:pPr>
      <w:rPr>
        <w:rFonts w:hint="default"/>
        <w:lang w:val="zh-CN" w:eastAsia="zh-CN" w:bidi="zh-CN"/>
      </w:rPr>
    </w:lvl>
    <w:lvl w:ilvl="8">
      <w:start w:val="0"/>
      <w:numFmt w:val="bullet"/>
      <w:lvlText w:val="•"/>
      <w:lvlJc w:val="left"/>
      <w:pPr>
        <w:ind w:left="4082" w:hanging="329"/>
      </w:pPr>
      <w:rPr>
        <w:rFonts w:hint="default"/>
        <w:lang w:val="zh-CN" w:eastAsia="zh-CN" w:bidi="zh-CN"/>
      </w:rPr>
    </w:lvl>
  </w:abstractNum>
  <w:abstractNum w:abstractNumId="44">
    <w:nsid w:val="0000002A"/>
    <w:multiLevelType w:val="multilevel"/>
    <w:tmpl w:val="0000002A"/>
    <w:lvl w:ilvl="0">
      <w:start w:val="1"/>
      <w:numFmt w:val="decimal"/>
      <w:lvlText w:val="%1."/>
      <w:lvlJc w:val="left"/>
      <w:pPr>
        <w:ind w:left="342" w:hanging="329"/>
      </w:pPr>
      <w:rPr>
        <w:rFonts w:ascii="宋体" w:eastAsia="宋体" w:hAnsi="宋体" w:cs="宋体" w:hint="default"/>
        <w:spacing w:val="-38"/>
        <w:w w:val="100"/>
        <w:sz w:val="19"/>
        <w:szCs w:val="19"/>
        <w:lang w:val="zh-CN" w:eastAsia="zh-CN" w:bidi="zh-CN"/>
      </w:rPr>
    </w:lvl>
    <w:lvl w:ilvl="1">
      <w:start w:val="0"/>
      <w:numFmt w:val="bullet"/>
      <w:lvlText w:val="•"/>
      <w:lvlJc w:val="left"/>
      <w:pPr>
        <w:ind w:left="794" w:hanging="329"/>
      </w:pPr>
      <w:rPr>
        <w:rFonts w:hint="default"/>
        <w:lang w:val="zh-CN" w:eastAsia="zh-CN" w:bidi="zh-CN"/>
      </w:rPr>
    </w:lvl>
    <w:lvl w:ilvl="2">
      <w:start w:val="0"/>
      <w:numFmt w:val="bullet"/>
      <w:lvlText w:val="•"/>
      <w:lvlJc w:val="left"/>
      <w:pPr>
        <w:ind w:left="1249" w:hanging="329"/>
      </w:pPr>
      <w:rPr>
        <w:rFonts w:hint="default"/>
        <w:lang w:val="zh-CN" w:eastAsia="zh-CN" w:bidi="zh-CN"/>
      </w:rPr>
    </w:lvl>
    <w:lvl w:ilvl="3">
      <w:start w:val="0"/>
      <w:numFmt w:val="bullet"/>
      <w:lvlText w:val="•"/>
      <w:lvlJc w:val="left"/>
      <w:pPr>
        <w:ind w:left="1703" w:hanging="329"/>
      </w:pPr>
      <w:rPr>
        <w:rFonts w:hint="default"/>
        <w:lang w:val="zh-CN" w:eastAsia="zh-CN" w:bidi="zh-CN"/>
      </w:rPr>
    </w:lvl>
    <w:lvl w:ilvl="4">
      <w:start w:val="0"/>
      <w:numFmt w:val="bullet"/>
      <w:lvlText w:val="•"/>
      <w:lvlJc w:val="left"/>
      <w:pPr>
        <w:ind w:left="2158" w:hanging="329"/>
      </w:pPr>
      <w:rPr>
        <w:rFonts w:hint="default"/>
        <w:lang w:val="zh-CN" w:eastAsia="zh-CN" w:bidi="zh-CN"/>
      </w:rPr>
    </w:lvl>
    <w:lvl w:ilvl="5">
      <w:start w:val="0"/>
      <w:numFmt w:val="bullet"/>
      <w:lvlText w:val="•"/>
      <w:lvlJc w:val="left"/>
      <w:pPr>
        <w:ind w:left="2613" w:hanging="329"/>
      </w:pPr>
      <w:rPr>
        <w:rFonts w:hint="default"/>
        <w:lang w:val="zh-CN" w:eastAsia="zh-CN" w:bidi="zh-CN"/>
      </w:rPr>
    </w:lvl>
    <w:lvl w:ilvl="6">
      <w:start w:val="0"/>
      <w:numFmt w:val="bullet"/>
      <w:lvlText w:val="•"/>
      <w:lvlJc w:val="left"/>
      <w:pPr>
        <w:ind w:left="3067" w:hanging="329"/>
      </w:pPr>
      <w:rPr>
        <w:rFonts w:hint="default"/>
        <w:lang w:val="zh-CN" w:eastAsia="zh-CN" w:bidi="zh-CN"/>
      </w:rPr>
    </w:lvl>
    <w:lvl w:ilvl="7">
      <w:start w:val="0"/>
      <w:numFmt w:val="bullet"/>
      <w:lvlText w:val="•"/>
      <w:lvlJc w:val="left"/>
      <w:pPr>
        <w:ind w:left="3522" w:hanging="329"/>
      </w:pPr>
      <w:rPr>
        <w:rFonts w:hint="default"/>
        <w:lang w:val="zh-CN" w:eastAsia="zh-CN" w:bidi="zh-CN"/>
      </w:rPr>
    </w:lvl>
    <w:lvl w:ilvl="8">
      <w:start w:val="0"/>
      <w:numFmt w:val="bullet"/>
      <w:lvlText w:val="•"/>
      <w:lvlJc w:val="left"/>
      <w:pPr>
        <w:ind w:left="3976" w:hanging="329"/>
      </w:pPr>
      <w:rPr>
        <w:rFonts w:hint="default"/>
        <w:lang w:val="zh-CN" w:eastAsia="zh-CN" w:bidi="zh-CN"/>
      </w:rPr>
    </w:lvl>
  </w:abstractNum>
  <w:abstractNum w:abstractNumId="45">
    <w:nsid w:val="0000002B"/>
    <w:multiLevelType w:val="multilevel"/>
    <w:tmpl w:val="0000002B"/>
    <w:lvl w:ilvl="0">
      <w:start w:val="1"/>
      <w:numFmt w:val="decimal"/>
      <w:lvlText w:val="%1."/>
      <w:lvlJc w:val="left"/>
      <w:pPr>
        <w:ind w:left="342" w:hanging="329"/>
      </w:pPr>
      <w:rPr>
        <w:rFonts w:ascii="宋体" w:eastAsia="宋体" w:hAnsi="宋体" w:cs="宋体" w:hint="default"/>
        <w:spacing w:val="-2"/>
        <w:w w:val="100"/>
        <w:sz w:val="19"/>
        <w:szCs w:val="19"/>
        <w:lang w:val="zh-CN" w:eastAsia="zh-CN" w:bidi="zh-CN"/>
      </w:rPr>
    </w:lvl>
    <w:lvl w:ilvl="1">
      <w:start w:val="0"/>
      <w:numFmt w:val="bullet"/>
      <w:lvlText w:val="•"/>
      <w:lvlJc w:val="left"/>
      <w:pPr>
        <w:ind w:left="794" w:hanging="329"/>
      </w:pPr>
      <w:rPr>
        <w:rFonts w:hint="default"/>
        <w:lang w:val="zh-CN" w:eastAsia="zh-CN" w:bidi="zh-CN"/>
      </w:rPr>
    </w:lvl>
    <w:lvl w:ilvl="2">
      <w:start w:val="0"/>
      <w:numFmt w:val="bullet"/>
      <w:lvlText w:val="•"/>
      <w:lvlJc w:val="left"/>
      <w:pPr>
        <w:ind w:left="1249" w:hanging="329"/>
      </w:pPr>
      <w:rPr>
        <w:rFonts w:hint="default"/>
        <w:lang w:val="zh-CN" w:eastAsia="zh-CN" w:bidi="zh-CN"/>
      </w:rPr>
    </w:lvl>
    <w:lvl w:ilvl="3">
      <w:start w:val="0"/>
      <w:numFmt w:val="bullet"/>
      <w:lvlText w:val="•"/>
      <w:lvlJc w:val="left"/>
      <w:pPr>
        <w:ind w:left="1703" w:hanging="329"/>
      </w:pPr>
      <w:rPr>
        <w:rFonts w:hint="default"/>
        <w:lang w:val="zh-CN" w:eastAsia="zh-CN" w:bidi="zh-CN"/>
      </w:rPr>
    </w:lvl>
    <w:lvl w:ilvl="4">
      <w:start w:val="0"/>
      <w:numFmt w:val="bullet"/>
      <w:lvlText w:val="•"/>
      <w:lvlJc w:val="left"/>
      <w:pPr>
        <w:ind w:left="2158" w:hanging="329"/>
      </w:pPr>
      <w:rPr>
        <w:rFonts w:hint="default"/>
        <w:lang w:val="zh-CN" w:eastAsia="zh-CN" w:bidi="zh-CN"/>
      </w:rPr>
    </w:lvl>
    <w:lvl w:ilvl="5">
      <w:start w:val="0"/>
      <w:numFmt w:val="bullet"/>
      <w:lvlText w:val="•"/>
      <w:lvlJc w:val="left"/>
      <w:pPr>
        <w:ind w:left="2613" w:hanging="329"/>
      </w:pPr>
      <w:rPr>
        <w:rFonts w:hint="default"/>
        <w:lang w:val="zh-CN" w:eastAsia="zh-CN" w:bidi="zh-CN"/>
      </w:rPr>
    </w:lvl>
    <w:lvl w:ilvl="6">
      <w:start w:val="0"/>
      <w:numFmt w:val="bullet"/>
      <w:lvlText w:val="•"/>
      <w:lvlJc w:val="left"/>
      <w:pPr>
        <w:ind w:left="3067" w:hanging="329"/>
      </w:pPr>
      <w:rPr>
        <w:rFonts w:hint="default"/>
        <w:lang w:val="zh-CN" w:eastAsia="zh-CN" w:bidi="zh-CN"/>
      </w:rPr>
    </w:lvl>
    <w:lvl w:ilvl="7">
      <w:start w:val="0"/>
      <w:numFmt w:val="bullet"/>
      <w:lvlText w:val="•"/>
      <w:lvlJc w:val="left"/>
      <w:pPr>
        <w:ind w:left="3522" w:hanging="329"/>
      </w:pPr>
      <w:rPr>
        <w:rFonts w:hint="default"/>
        <w:lang w:val="zh-CN" w:eastAsia="zh-CN" w:bidi="zh-CN"/>
      </w:rPr>
    </w:lvl>
    <w:lvl w:ilvl="8">
      <w:start w:val="0"/>
      <w:numFmt w:val="bullet"/>
      <w:lvlText w:val="•"/>
      <w:lvlJc w:val="left"/>
      <w:pPr>
        <w:ind w:left="3976" w:hanging="329"/>
      </w:pPr>
      <w:rPr>
        <w:rFonts w:hint="default"/>
        <w:lang w:val="zh-CN" w:eastAsia="zh-CN" w:bidi="zh-CN"/>
      </w:rPr>
    </w:lvl>
  </w:abstractNum>
  <w:abstractNum w:abstractNumId="46">
    <w:nsid w:val="0000002C"/>
    <w:multiLevelType w:val="multilevel"/>
    <w:tmpl w:val="0000002C"/>
    <w:lvl w:ilvl="0">
      <w:start w:val="1"/>
      <w:numFmt w:val="decimal"/>
      <w:lvlText w:val="%1."/>
      <w:lvlJc w:val="left"/>
      <w:pPr>
        <w:ind w:left="342" w:hanging="329"/>
      </w:pPr>
      <w:rPr>
        <w:rFonts w:ascii="宋体" w:eastAsia="宋体" w:hAnsi="宋体" w:cs="宋体" w:hint="default"/>
        <w:spacing w:val="-2"/>
        <w:w w:val="100"/>
        <w:sz w:val="19"/>
        <w:szCs w:val="19"/>
        <w:lang w:val="zh-CN" w:eastAsia="zh-CN" w:bidi="zh-CN"/>
      </w:rPr>
    </w:lvl>
    <w:lvl w:ilvl="1">
      <w:start w:val="0"/>
      <w:numFmt w:val="bullet"/>
      <w:lvlText w:val="•"/>
      <w:lvlJc w:val="left"/>
      <w:pPr>
        <w:ind w:left="794" w:hanging="329"/>
      </w:pPr>
      <w:rPr>
        <w:rFonts w:hint="default"/>
        <w:lang w:val="zh-CN" w:eastAsia="zh-CN" w:bidi="zh-CN"/>
      </w:rPr>
    </w:lvl>
    <w:lvl w:ilvl="2">
      <w:start w:val="0"/>
      <w:numFmt w:val="bullet"/>
      <w:lvlText w:val="•"/>
      <w:lvlJc w:val="left"/>
      <w:pPr>
        <w:ind w:left="1249" w:hanging="329"/>
      </w:pPr>
      <w:rPr>
        <w:rFonts w:hint="default"/>
        <w:lang w:val="zh-CN" w:eastAsia="zh-CN" w:bidi="zh-CN"/>
      </w:rPr>
    </w:lvl>
    <w:lvl w:ilvl="3">
      <w:start w:val="0"/>
      <w:numFmt w:val="bullet"/>
      <w:lvlText w:val="•"/>
      <w:lvlJc w:val="left"/>
      <w:pPr>
        <w:ind w:left="1703" w:hanging="329"/>
      </w:pPr>
      <w:rPr>
        <w:rFonts w:hint="default"/>
        <w:lang w:val="zh-CN" w:eastAsia="zh-CN" w:bidi="zh-CN"/>
      </w:rPr>
    </w:lvl>
    <w:lvl w:ilvl="4">
      <w:start w:val="0"/>
      <w:numFmt w:val="bullet"/>
      <w:lvlText w:val="•"/>
      <w:lvlJc w:val="left"/>
      <w:pPr>
        <w:ind w:left="2158" w:hanging="329"/>
      </w:pPr>
      <w:rPr>
        <w:rFonts w:hint="default"/>
        <w:lang w:val="zh-CN" w:eastAsia="zh-CN" w:bidi="zh-CN"/>
      </w:rPr>
    </w:lvl>
    <w:lvl w:ilvl="5">
      <w:start w:val="0"/>
      <w:numFmt w:val="bullet"/>
      <w:lvlText w:val="•"/>
      <w:lvlJc w:val="left"/>
      <w:pPr>
        <w:ind w:left="2613" w:hanging="329"/>
      </w:pPr>
      <w:rPr>
        <w:rFonts w:hint="default"/>
        <w:lang w:val="zh-CN" w:eastAsia="zh-CN" w:bidi="zh-CN"/>
      </w:rPr>
    </w:lvl>
    <w:lvl w:ilvl="6">
      <w:start w:val="0"/>
      <w:numFmt w:val="bullet"/>
      <w:lvlText w:val="•"/>
      <w:lvlJc w:val="left"/>
      <w:pPr>
        <w:ind w:left="3067" w:hanging="329"/>
      </w:pPr>
      <w:rPr>
        <w:rFonts w:hint="default"/>
        <w:lang w:val="zh-CN" w:eastAsia="zh-CN" w:bidi="zh-CN"/>
      </w:rPr>
    </w:lvl>
    <w:lvl w:ilvl="7">
      <w:start w:val="0"/>
      <w:numFmt w:val="bullet"/>
      <w:lvlText w:val="•"/>
      <w:lvlJc w:val="left"/>
      <w:pPr>
        <w:ind w:left="3522" w:hanging="329"/>
      </w:pPr>
      <w:rPr>
        <w:rFonts w:hint="default"/>
        <w:lang w:val="zh-CN" w:eastAsia="zh-CN" w:bidi="zh-CN"/>
      </w:rPr>
    </w:lvl>
    <w:lvl w:ilvl="8">
      <w:start w:val="0"/>
      <w:numFmt w:val="bullet"/>
      <w:lvlText w:val="•"/>
      <w:lvlJc w:val="left"/>
      <w:pPr>
        <w:ind w:left="3976" w:hanging="329"/>
      </w:pPr>
      <w:rPr>
        <w:rFonts w:hint="default"/>
        <w:lang w:val="zh-CN" w:eastAsia="zh-CN" w:bidi="zh-CN"/>
      </w:rPr>
    </w:lvl>
  </w:abstractNum>
  <w:abstractNum w:abstractNumId="47">
    <w:nsid w:val="0000002D"/>
    <w:multiLevelType w:val="multilevel"/>
    <w:tmpl w:val="0000002D"/>
    <w:lvl w:ilvl="0">
      <w:start w:val="1"/>
      <w:numFmt w:val="decimal"/>
      <w:lvlText w:val="%1."/>
      <w:lvlJc w:val="left"/>
      <w:pPr>
        <w:ind w:left="342" w:hanging="329"/>
      </w:pPr>
      <w:rPr>
        <w:rFonts w:ascii="宋体" w:eastAsia="宋体" w:hAnsi="宋体" w:cs="宋体" w:hint="default"/>
        <w:spacing w:val="-2"/>
        <w:w w:val="100"/>
        <w:sz w:val="19"/>
        <w:szCs w:val="19"/>
        <w:lang w:val="zh-CN" w:eastAsia="zh-CN" w:bidi="zh-CN"/>
      </w:rPr>
    </w:lvl>
    <w:lvl w:ilvl="1">
      <w:start w:val="0"/>
      <w:numFmt w:val="bullet"/>
      <w:lvlText w:val="•"/>
      <w:lvlJc w:val="left"/>
      <w:pPr>
        <w:ind w:left="794" w:hanging="329"/>
      </w:pPr>
      <w:rPr>
        <w:rFonts w:hint="default"/>
        <w:lang w:val="zh-CN" w:eastAsia="zh-CN" w:bidi="zh-CN"/>
      </w:rPr>
    </w:lvl>
    <w:lvl w:ilvl="2">
      <w:start w:val="0"/>
      <w:numFmt w:val="bullet"/>
      <w:lvlText w:val="•"/>
      <w:lvlJc w:val="left"/>
      <w:pPr>
        <w:ind w:left="1249" w:hanging="329"/>
      </w:pPr>
      <w:rPr>
        <w:rFonts w:hint="default"/>
        <w:lang w:val="zh-CN" w:eastAsia="zh-CN" w:bidi="zh-CN"/>
      </w:rPr>
    </w:lvl>
    <w:lvl w:ilvl="3">
      <w:start w:val="0"/>
      <w:numFmt w:val="bullet"/>
      <w:lvlText w:val="•"/>
      <w:lvlJc w:val="left"/>
      <w:pPr>
        <w:ind w:left="1703" w:hanging="329"/>
      </w:pPr>
      <w:rPr>
        <w:rFonts w:hint="default"/>
        <w:lang w:val="zh-CN" w:eastAsia="zh-CN" w:bidi="zh-CN"/>
      </w:rPr>
    </w:lvl>
    <w:lvl w:ilvl="4">
      <w:start w:val="0"/>
      <w:numFmt w:val="bullet"/>
      <w:lvlText w:val="•"/>
      <w:lvlJc w:val="left"/>
      <w:pPr>
        <w:ind w:left="2158" w:hanging="329"/>
      </w:pPr>
      <w:rPr>
        <w:rFonts w:hint="default"/>
        <w:lang w:val="zh-CN" w:eastAsia="zh-CN" w:bidi="zh-CN"/>
      </w:rPr>
    </w:lvl>
    <w:lvl w:ilvl="5">
      <w:start w:val="0"/>
      <w:numFmt w:val="bullet"/>
      <w:lvlText w:val="•"/>
      <w:lvlJc w:val="left"/>
      <w:pPr>
        <w:ind w:left="2613" w:hanging="329"/>
      </w:pPr>
      <w:rPr>
        <w:rFonts w:hint="default"/>
        <w:lang w:val="zh-CN" w:eastAsia="zh-CN" w:bidi="zh-CN"/>
      </w:rPr>
    </w:lvl>
    <w:lvl w:ilvl="6">
      <w:start w:val="0"/>
      <w:numFmt w:val="bullet"/>
      <w:lvlText w:val="•"/>
      <w:lvlJc w:val="left"/>
      <w:pPr>
        <w:ind w:left="3067" w:hanging="329"/>
      </w:pPr>
      <w:rPr>
        <w:rFonts w:hint="default"/>
        <w:lang w:val="zh-CN" w:eastAsia="zh-CN" w:bidi="zh-CN"/>
      </w:rPr>
    </w:lvl>
    <w:lvl w:ilvl="7">
      <w:start w:val="0"/>
      <w:numFmt w:val="bullet"/>
      <w:lvlText w:val="•"/>
      <w:lvlJc w:val="left"/>
      <w:pPr>
        <w:ind w:left="3522" w:hanging="329"/>
      </w:pPr>
      <w:rPr>
        <w:rFonts w:hint="default"/>
        <w:lang w:val="zh-CN" w:eastAsia="zh-CN" w:bidi="zh-CN"/>
      </w:rPr>
    </w:lvl>
    <w:lvl w:ilvl="8">
      <w:start w:val="0"/>
      <w:numFmt w:val="bullet"/>
      <w:lvlText w:val="•"/>
      <w:lvlJc w:val="left"/>
      <w:pPr>
        <w:ind w:left="3976" w:hanging="329"/>
      </w:pPr>
      <w:rPr>
        <w:rFonts w:hint="default"/>
        <w:lang w:val="zh-CN" w:eastAsia="zh-CN" w:bidi="zh-CN"/>
      </w:rPr>
    </w:lvl>
  </w:abstractNum>
  <w:abstractNum w:abstractNumId="48">
    <w:nsid w:val="09F81FD3"/>
    <w:multiLevelType w:val="multilevel"/>
    <w:tmpl w:val="09F81FD3"/>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9">
    <w:nsid w:val="12503483"/>
    <w:multiLevelType w:val="multilevel"/>
    <w:tmpl w:val="12503483"/>
    <w:lvl w:ilvl="0">
      <w:start w:val="1"/>
      <w:numFmt w:val="bullet"/>
      <w:pStyle w:val="a14"/>
      <w:lvlText w:val=""/>
      <w:lvlJc w:val="left"/>
      <w:pPr>
        <w:tabs>
          <w:tab w:val="left" w:pos="420"/>
        </w:tabs>
        <w:ind w:left="420" w:hanging="420"/>
      </w:pPr>
      <w:rPr>
        <w:rFonts w:ascii="Wingdings" w:hAnsi="Wingdings" w:hint="default"/>
      </w:rPr>
    </w:lvl>
    <w:lvl w:ilvl="1">
      <w:start w:val="1"/>
      <w:numFmt w:val="bullet"/>
      <w:pStyle w:val="a13"/>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50">
    <w:nsid w:val="15B4919C"/>
    <w:multiLevelType w:val="singleLevel"/>
    <w:tmpl w:val="15B4919C"/>
    <w:lvl w:ilvl="0">
      <w:start w:val="5"/>
      <w:numFmt w:val="chineseCounting"/>
      <w:suff w:val="nothing"/>
      <w:lvlText w:val="%1、"/>
      <w:lvlJc w:val="left"/>
      <w:pPr>
        <w:ind w:left="630" w:firstLine="0"/>
      </w:pPr>
      <w:rPr>
        <w:rFonts w:hint="eastAsia"/>
      </w:rPr>
    </w:lvl>
  </w:abstractNum>
  <w:abstractNum w:abstractNumId="51">
    <w:nsid w:val="160D20D0"/>
    <w:multiLevelType w:val="multilevel"/>
    <w:tmpl w:val="160D20D0"/>
    <w:lvl w:ilvl="0">
      <w:start w:val="1"/>
      <w:numFmt w:val="bullet"/>
      <w:pStyle w:val="RFItextfrom3rdLevel"/>
      <w:lvlText w:val=""/>
      <w:lvlJc w:val="left"/>
      <w:pPr>
        <w:tabs>
          <w:tab w:val="left" w:pos="840"/>
        </w:tabs>
        <w:ind w:left="840" w:hanging="420"/>
      </w:pPr>
      <w:rPr>
        <w:rFonts w:ascii="Wingdings" w:hAnsi="Wingdings" w:hint="default"/>
      </w:rPr>
    </w:lvl>
    <w:lvl w:ilvl="1">
      <w:start w:val="1"/>
      <w:numFmt w:val="bullet"/>
      <w:pStyle w:val="a4"/>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52">
    <w:nsid w:val="2F395B7B"/>
    <w:multiLevelType w:val="multilevel"/>
    <w:tmpl w:val="2F395B7B"/>
    <w:lvl w:ilvl="0">
      <w:start w:val="1"/>
      <w:numFmt w:val="bullet"/>
      <w:pStyle w:val="12"/>
      <w:lvlText w:val=""/>
      <w:lvlJc w:val="left"/>
      <w:pPr>
        <w:tabs>
          <w:tab w:val="left" w:pos="360"/>
        </w:tabs>
        <w:ind w:left="360" w:hanging="360"/>
      </w:pPr>
      <w:rPr>
        <w:rFonts w:ascii="Symbol" w:hAnsi="Symbol" w:hint="default"/>
      </w:rPr>
    </w:lvl>
    <w:lvl w:ilvl="1">
      <w:start w:val="1"/>
      <w:numFmt w:val="bullet"/>
      <w:lvlText w:val=""/>
      <w:lvlJc w:val="left"/>
      <w:pPr>
        <w:tabs>
          <w:tab w:val="left" w:pos="1140"/>
        </w:tabs>
        <w:ind w:left="1140" w:hanging="420"/>
      </w:pPr>
      <w:rPr>
        <w:rFonts w:ascii="Wingdings" w:hAnsi="Wingdings" w:hint="default"/>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cs="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cs="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53">
    <w:nsid w:val="53F2EDF8"/>
    <w:multiLevelType w:val="singleLevel"/>
    <w:tmpl w:val="53F2EDF8"/>
    <w:lvl w:ilvl="0">
      <w:start w:val="1"/>
      <w:numFmt w:val="decimal"/>
      <w:suff w:val="nothing"/>
      <w:lvlText w:val="（%1）"/>
      <w:lvlJc w:val="left"/>
    </w:lvl>
  </w:abstractNum>
  <w:abstractNum w:abstractNumId="54">
    <w:nsid w:val="541A5262"/>
    <w:multiLevelType w:val="singleLevel"/>
    <w:tmpl w:val="541A5262"/>
    <w:lvl w:ilvl="0">
      <w:start w:val="4"/>
      <w:numFmt w:val="decimal"/>
      <w:suff w:val="nothing"/>
      <w:lvlText w:val="%1、"/>
      <w:lvlJc w:val="left"/>
    </w:lvl>
  </w:abstractNum>
  <w:abstractNum w:abstractNumId="55">
    <w:nsid w:val="7AEF7716"/>
    <w:multiLevelType w:val="multilevel"/>
    <w:tmpl w:val="7AEF7716"/>
    <w:lvl w:ilvl="0">
      <w:start w:val="1"/>
      <w:numFmt w:val="chineseCountingThousand"/>
      <w:pStyle w:val="32"/>
      <w:lvlText w:val="%1"/>
      <w:lvlJc w:val="left"/>
      <w:pPr>
        <w:tabs>
          <w:tab w:val="left" w:pos="1290"/>
        </w:tabs>
        <w:ind w:left="630" w:hanging="420"/>
      </w:pPr>
      <w:rPr>
        <w:rFonts w:hint="eastAsia"/>
        <w:sz w:val="32"/>
        <w:szCs w:val="32"/>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4"/>
  </w:num>
  <w:num w:numId="2">
    <w:abstractNumId w:val="3"/>
  </w:num>
  <w:num w:numId="3">
    <w:abstractNumId w:val="51"/>
  </w:num>
  <w:num w:numId="4">
    <w:abstractNumId w:val="49"/>
  </w:num>
  <w:num w:numId="5">
    <w:abstractNumId w:val="55"/>
  </w:num>
  <w:num w:numId="6">
    <w:abstractNumId w:val="52"/>
  </w:num>
  <w:num w:numId="7">
    <w:abstractNumId w:val="53"/>
  </w:num>
  <w:num w:numId="8">
    <w:abstractNumId w:val="1"/>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23"/>
  </w:num>
  <w:num w:numId="28">
    <w:abstractNumId w:val="25"/>
  </w:num>
  <w:num w:numId="29">
    <w:abstractNumId w:val="24"/>
  </w:num>
  <w:num w:numId="30">
    <w:abstractNumId w:val="26"/>
  </w:num>
  <w:num w:numId="31">
    <w:abstractNumId w:val="27"/>
  </w:num>
  <w:num w:numId="32">
    <w:abstractNumId w:val="28"/>
  </w:num>
  <w:num w:numId="33">
    <w:abstractNumId w:val="29"/>
  </w:num>
  <w:num w:numId="34">
    <w:abstractNumId w:val="30"/>
  </w:num>
  <w:num w:numId="35">
    <w:abstractNumId w:val="31"/>
  </w:num>
  <w:num w:numId="36">
    <w:abstractNumId w:val="32"/>
  </w:num>
  <w:num w:numId="37">
    <w:abstractNumId w:val="33"/>
  </w:num>
  <w:num w:numId="38">
    <w:abstractNumId w:val="34"/>
  </w:num>
  <w:num w:numId="39">
    <w:abstractNumId w:val="35"/>
  </w:num>
  <w:num w:numId="40">
    <w:abstractNumId w:val="36"/>
  </w:num>
  <w:num w:numId="41">
    <w:abstractNumId w:val="37"/>
  </w:num>
  <w:num w:numId="42">
    <w:abstractNumId w:val="38"/>
  </w:num>
  <w:num w:numId="43">
    <w:abstractNumId w:val="39"/>
  </w:num>
  <w:num w:numId="44">
    <w:abstractNumId w:val="40"/>
  </w:num>
  <w:num w:numId="45">
    <w:abstractNumId w:val="41"/>
  </w:num>
  <w:num w:numId="46">
    <w:abstractNumId w:val="42"/>
  </w:num>
  <w:num w:numId="47">
    <w:abstractNumId w:val="43"/>
  </w:num>
  <w:num w:numId="48">
    <w:abstractNumId w:val="44"/>
  </w:num>
  <w:num w:numId="49">
    <w:abstractNumId w:val="45"/>
  </w:num>
  <w:num w:numId="50">
    <w:abstractNumId w:val="46"/>
  </w:num>
  <w:num w:numId="51">
    <w:abstractNumId w:val="47"/>
  </w:num>
  <w:num w:numId="52">
    <w:abstractNumId w:val="54"/>
  </w:num>
  <w:num w:numId="53">
    <w:abstractNumId w:val="0"/>
  </w:num>
  <w:num w:numId="54">
    <w:abstractNumId w:val="50"/>
  </w:num>
  <w:num w:numId="55">
    <w:abstractNumId w:val="2"/>
  </w:num>
  <w:num w:numId="56">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40"/>
  <w:trackRevisions/>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kxNTA3MDZhNmI3YTFlMGJlZjIxYzIwZTdjOGQ4YWQ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unhideWhenUsed="0" w:qFormat="1"/>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unhideWhenUsed="0" w:qFormat="1"/>
    <w:lsdException w:name="toc 2" w:uiPriority="0" w:unhideWhenUsed="0" w:qFormat="1"/>
    <w:lsdException w:name="toc 3" w:uiPriority="0" w:unhideWhenUsed="0" w:qFormat="1"/>
    <w:lsdException w:name="toc 4" w:uiPriority="0" w:unhideWhenUsed="0" w:qFormat="1"/>
    <w:lsdException w:name="toc 5" w:uiPriority="0" w:unhideWhenUsed="0" w:qFormat="1"/>
    <w:lsdException w:name="toc 6" w:uiPriority="0" w:unhideWhenUsed="0" w:qFormat="1"/>
    <w:lsdException w:name="toc 7" w:uiPriority="0" w:unhideWhenUsed="0" w:qFormat="1"/>
    <w:lsdException w:name="toc 8" w:uiPriority="0" w:unhideWhenUsed="0" w:qFormat="1"/>
    <w:lsdException w:name="toc 9" w:uiPriority="0" w:unhideWhenUsed="0" w:qFormat="1"/>
    <w:lsdException w:name="Normal Indent" w:semiHidden="0" w:uiPriority="0" w:unhideWhenUsed="0" w:qFormat="1"/>
    <w:lsdException w:name="footnote text" w:uiPriority="0"/>
    <w:lsdException w:name="annotation text" w:semiHidden="0" w:unhideWhenUsed="0" w:qFormat="1"/>
    <w:lsdException w:name="header" w:semiHidden="0" w:unhideWhenUsed="0" w:qFormat="1"/>
    <w:lsdException w:name="footer" w:semiHidden="0" w:uiPriority="0" w:unhideWhenUsed="0" w:qFormat="1"/>
    <w:lsdException w:name="index heading" w:uiPriority="0"/>
    <w:lsdException w:name="caption" w:semiHidden="0" w:uiPriority="0" w:unhideWhenUsed="0" w:qFormat="1"/>
    <w:lsdException w:name="table of figures" w:uiPriority="0"/>
    <w:lsdException w:name="envelope address" w:uiPriority="0"/>
    <w:lsdException w:name="envelope return" w:uiPriority="0"/>
    <w:lsdException w:name="footnote reference" w:uiPriority="0"/>
    <w:lsdException w:name="annotation reference" w:semiHidden="0" w:unhideWhenUsed="0" w:qFormat="1"/>
    <w:lsdException w:name="line number" w:uiPriority="0"/>
    <w:lsdException w:name="page number" w:semiHidden="0" w:uiPriority="0" w:unhideWhenUsed="0" w:qFormat="1"/>
    <w:lsdException w:name="endnote reference" w:uiPriority="0"/>
    <w:lsdException w:name="endnote text" w:uiPriority="0"/>
    <w:lsdException w:name="table of authorities" w:semiHidden="0" w:uiPriority="0" w:unhideWhenUsed="0"/>
    <w:lsdException w:name="macro" w:uiPriority="0"/>
    <w:lsdException w:name="toa heading" w:uiPriority="0"/>
    <w:lsdException w:name="List" w:semiHidden="0" w:uiPriority="0" w:unhideWhenUsed="0"/>
    <w:lsdException w:name="List Bullet" w:semiHidden="0" w:uiPriority="0" w:unhideWhenUsed="0" w:qFormat="1"/>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semiHidden="0" w:uiPriority="1" w:qFormat="1"/>
    <w:lsdException w:name="Body Text" w:semiHidden="0" w:uiPriority="0" w:unhideWhenUsed="0" w:qFormat="1"/>
    <w:lsdException w:name="Body Text Indent" w:semiHidden="0" w:uiPriority="0" w:unhideWhenUsed="0" w:qFormat="1"/>
    <w:lsdException w:name="List Continue" w:uiPriority="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uiPriority="0"/>
    <w:lsdException w:name="Subtitle" w:semiHidden="0" w:uiPriority="0" w:unhideWhenUsed="0" w:qFormat="1"/>
    <w:lsdException w:name="Salutation" w:uiPriority="0"/>
    <w:lsdException w:name="Date" w:semiHidden="0" w:uiPriority="0" w:unhideWhenUsed="0" w:qFormat="1"/>
    <w:lsdException w:name="Body Text First Indent" w:semiHidden="0" w:uiPriority="0" w:unhideWhenUsed="0" w:qFormat="1"/>
    <w:lsdException w:name="Body Text First Indent 2" w:uiPriority="0"/>
    <w:lsdException w:name="Body Text 2" w:semiHidden="0" w:uiPriority="0" w:unhideWhenUsed="0" w:qFormat="1"/>
    <w:lsdException w:name="Body Text 3" w:semiHidden="0" w:uiPriority="0" w:unhideWhenUsed="0" w:qFormat="1"/>
    <w:lsdException w:name="Body Text Indent 2" w:semiHidden="0" w:uiPriority="0" w:unhideWhenUsed="0" w:qFormat="1"/>
    <w:lsdException w:name="Body Text Indent 3" w:semiHidden="0" w:uiPriority="0" w:unhideWhenUsed="0" w:qFormat="1"/>
    <w:lsdException w:name="Block Text" w:uiPriority="0"/>
    <w:lsdException w:name="Hyperlink" w:semiHidden="0" w:uiPriority="0" w:unhideWhenUsed="0" w:qFormat="1"/>
    <w:lsdException w:name="FollowedHyperlink" w:semiHidden="0" w:uiPriority="0" w:unhideWhenUsed="0" w:qFormat="1"/>
    <w:lsdException w:name="Strong" w:semiHidden="0" w:uiPriority="22" w:unhideWhenUsed="0" w:qFormat="1"/>
    <w:lsdException w:name="Emphasis" w:semiHidden="0" w:uiPriority="0" w:unhideWhenUsed="0" w:qFormat="1"/>
    <w:lsdException w:name="Document Map" w:uiPriority="0" w:unhideWhenUsed="0" w:qFormat="1"/>
    <w:lsdException w:name="Plain Text" w:semiHidden="0" w:uiPriority="0" w:unhideWhenUsed="0" w:qFormat="1"/>
    <w:lsdException w:name="E-mail Signature" w:uiPriority="0"/>
    <w:lsdException w:name="Normal (Web)" w:semiHidden="0" w:unhideWhenUsed="0" w:qFormat="1"/>
    <w:lsdException w:name="HTML Acronym" w:uiPriority="0" w:qFormat="1"/>
    <w:lsdException w:name="HTML Address" w:uiPriority="0"/>
    <w:lsdException w:name="HTML Cite" w:uiPriority="0" w:qFormat="1"/>
    <w:lsdException w:name="HTML Code" w:uiPriority="0" w:qFormat="1"/>
    <w:lsdException w:name="HTML Definition" w:uiPriority="0" w:qFormat="1"/>
    <w:lsdException w:name="HTML Keyboard" w:uiPriority="0" w:qFormat="1"/>
    <w:lsdException w:name="HTML Preformatted" w:semiHidden="0" w:uiPriority="0" w:unhideWhenUsed="0" w:qFormat="1"/>
    <w:lsdException w:name="HTML Sample" w:uiPriority="0" w:qFormat="1"/>
    <w:lsdException w:name="HTML Typewriter" w:uiPriority="0" w:qFormat="1"/>
    <w:lsdException w:name="HTML Variable" w:uiPriority="0" w:qFormat="1"/>
    <w:lsdException w:name="Normal Table" w:qFormat="1"/>
    <w:lsdException w:name="annotation subject" w:semiHidden="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nhideWhenUsed="0" w:qFormat="1"/>
    <w:lsdException w:name="Table Grid" w:semiHidden="0" w:uiPriority="39" w:unhideWhenUsed="0" w:qFormat="1"/>
    <w:lsdException w:name="Table Theme" w:uiPriority="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Heading3"/>
    <w:next w:val="Normal"/>
    <w:link w:val="1"/>
    <w:qFormat/>
    <w:pPr>
      <w:spacing w:before="340" w:after="330" w:line="360" w:lineRule="auto"/>
      <w:jc w:val="center"/>
      <w:outlineLvl w:val="0"/>
    </w:pPr>
    <w:rPr>
      <w:rFonts w:eastAsia="黑体"/>
      <w:kern w:val="44"/>
      <w:szCs w:val="44"/>
    </w:rPr>
  </w:style>
  <w:style w:type="paragraph" w:styleId="Heading2">
    <w:name w:val="heading 2"/>
    <w:basedOn w:val="Heading3"/>
    <w:next w:val="Heading4"/>
    <w:link w:val="2"/>
    <w:qFormat/>
    <w:pPr>
      <w:adjustRightInd w:val="0"/>
      <w:jc w:val="center"/>
      <w:textAlignment w:val="baseline"/>
      <w:outlineLvl w:val="1"/>
    </w:pPr>
    <w:rPr>
      <w:kern w:val="0"/>
      <w:sz w:val="24"/>
      <w:szCs w:val="20"/>
    </w:rPr>
  </w:style>
  <w:style w:type="paragraph" w:styleId="Heading3">
    <w:name w:val="heading 3"/>
    <w:basedOn w:val="Heading4"/>
    <w:next w:val="Normal"/>
    <w:link w:val="3"/>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
    <w:uiPriority w:val="9"/>
    <w:qFormat/>
    <w:pPr>
      <w:keepNext/>
      <w:keepLines/>
      <w:spacing w:before="280" w:after="290" w:line="376" w:lineRule="auto"/>
      <w:outlineLvl w:val="3"/>
    </w:pPr>
    <w:rPr>
      <w:rFonts w:ascii="Arial" w:eastAsia="黑体" w:hAnsi="Arial"/>
      <w:b/>
      <w:bCs/>
      <w:sz w:val="28"/>
      <w:szCs w:val="28"/>
    </w:rPr>
  </w:style>
  <w:style w:type="paragraph" w:styleId="Heading5">
    <w:name w:val="heading 5"/>
    <w:basedOn w:val="Normal"/>
    <w:next w:val="NormalIndent"/>
    <w:link w:val="5"/>
    <w:qFormat/>
    <w:pPr>
      <w:keepNext/>
      <w:keepLines/>
      <w:spacing w:before="280" w:after="290" w:line="376" w:lineRule="auto"/>
      <w:outlineLvl w:val="4"/>
    </w:pPr>
    <w:rPr>
      <w:b/>
      <w:sz w:val="28"/>
      <w:szCs w:val="20"/>
    </w:rPr>
  </w:style>
  <w:style w:type="paragraph" w:styleId="Heading6">
    <w:name w:val="heading 6"/>
    <w:basedOn w:val="Normal"/>
    <w:next w:val="NormalIndent"/>
    <w:link w:val="6"/>
    <w:qFormat/>
    <w:pPr>
      <w:keepNext/>
      <w:keepLines/>
      <w:spacing w:before="240" w:after="64" w:line="320" w:lineRule="auto"/>
      <w:outlineLvl w:val="5"/>
    </w:pPr>
    <w:rPr>
      <w:rFonts w:ascii="Arial" w:eastAsia="黑体" w:hAnsi="Arial"/>
      <w:b/>
      <w:sz w:val="24"/>
      <w:szCs w:val="20"/>
    </w:rPr>
  </w:style>
  <w:style w:type="paragraph" w:styleId="Heading7">
    <w:name w:val="heading 7"/>
    <w:basedOn w:val="Normal"/>
    <w:next w:val="NormalIndent"/>
    <w:link w:val="7"/>
    <w:qFormat/>
    <w:pPr>
      <w:keepNext/>
      <w:keepLines/>
      <w:spacing w:before="240" w:after="64" w:line="320" w:lineRule="auto"/>
      <w:outlineLvl w:val="6"/>
    </w:pPr>
    <w:rPr>
      <w:b/>
      <w:sz w:val="24"/>
      <w:szCs w:val="20"/>
    </w:rPr>
  </w:style>
  <w:style w:type="paragraph" w:styleId="Heading8">
    <w:name w:val="heading 8"/>
    <w:basedOn w:val="Normal"/>
    <w:next w:val="NormalIndent"/>
    <w:link w:val="8"/>
    <w:qFormat/>
    <w:pPr>
      <w:keepNext/>
      <w:keepLines/>
      <w:spacing w:before="240" w:after="64" w:line="320" w:lineRule="auto"/>
      <w:outlineLvl w:val="7"/>
    </w:pPr>
    <w:rPr>
      <w:rFonts w:ascii="Arial" w:eastAsia="黑体" w:hAnsi="Arial"/>
      <w:sz w:val="24"/>
      <w:szCs w:val="20"/>
    </w:rPr>
  </w:style>
  <w:style w:type="paragraph" w:styleId="Heading9">
    <w:name w:val="heading 9"/>
    <w:basedOn w:val="Normal"/>
    <w:next w:val="NormalIndent"/>
    <w:link w:val="9"/>
    <w:qFormat/>
    <w:pPr>
      <w:keepNext/>
      <w:keepLines/>
      <w:spacing w:before="240" w:after="64" w:line="320" w:lineRule="auto"/>
      <w:outlineLvl w:val="8"/>
    </w:pPr>
    <w:rPr>
      <w:rFonts w:ascii="Arial" w:eastAsia="黑体" w:hAnsi="Arial"/>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next w:val="Normal"/>
    <w:link w:val="a9"/>
    <w:qFormat/>
    <w:pPr>
      <w:spacing w:line="360" w:lineRule="auto"/>
    </w:pPr>
    <w:rPr>
      <w:b/>
      <w:bCs/>
      <w:sz w:val="24"/>
    </w:rPr>
  </w:style>
  <w:style w:type="paragraph" w:styleId="NormalIndent">
    <w:name w:val="Normal Indent"/>
    <w:basedOn w:val="Normal"/>
    <w:link w:val="a"/>
    <w:qFormat/>
    <w:pPr>
      <w:ind w:firstLine="420"/>
    </w:pPr>
    <w:rPr>
      <w:szCs w:val="20"/>
    </w:rPr>
  </w:style>
  <w:style w:type="paragraph" w:styleId="TOC7">
    <w:name w:val="toc 7"/>
    <w:basedOn w:val="Normal"/>
    <w:next w:val="Normal"/>
    <w:semiHidden/>
    <w:qFormat/>
    <w:pPr>
      <w:ind w:left="1260"/>
      <w:jc w:val="left"/>
    </w:pPr>
    <w:rPr>
      <w:szCs w:val="21"/>
    </w:rPr>
  </w:style>
  <w:style w:type="paragraph" w:styleId="Caption">
    <w:name w:val="caption"/>
    <w:basedOn w:val="Normal"/>
    <w:next w:val="Normal"/>
    <w:qFormat/>
    <w:pPr>
      <w:widowControl/>
      <w:spacing w:line="360" w:lineRule="auto"/>
      <w:ind w:firstLine="1940" w:firstLineChars="920"/>
      <w:jc w:val="left"/>
    </w:pPr>
    <w:rPr>
      <w:rFonts w:ascii="宋体" w:hAnsi="宋体"/>
      <w:b/>
      <w:bCs/>
      <w:kern w:val="0"/>
      <w:sz w:val="20"/>
      <w:szCs w:val="20"/>
    </w:rPr>
  </w:style>
  <w:style w:type="paragraph" w:styleId="ListBullet">
    <w:name w:val="List Bullet"/>
    <w:basedOn w:val="Normal"/>
    <w:qFormat/>
    <w:pPr>
      <w:numPr>
        <w:ilvl w:val="0"/>
        <w:numId w:val="1"/>
      </w:numPr>
    </w:pPr>
    <w:rPr>
      <w:szCs w:val="20"/>
    </w:rPr>
  </w:style>
  <w:style w:type="paragraph" w:styleId="DocumentMap">
    <w:name w:val="Document Map"/>
    <w:basedOn w:val="Normal"/>
    <w:semiHidden/>
    <w:qFormat/>
    <w:pPr>
      <w:shd w:val="clear" w:color="auto" w:fill="000080"/>
    </w:pPr>
  </w:style>
  <w:style w:type="paragraph" w:styleId="CommentText">
    <w:name w:val="annotation text"/>
    <w:basedOn w:val="Normal"/>
    <w:link w:val="a28"/>
    <w:uiPriority w:val="99"/>
    <w:qFormat/>
    <w:pPr>
      <w:widowControl w:val="0"/>
      <w:autoSpaceDE w:val="0"/>
      <w:autoSpaceDN w:val="0"/>
      <w:adjustRightInd w:val="0"/>
      <w:jc w:val="left"/>
      <w:textAlignment w:val="baseline"/>
      <w:pPrChange w:id="110" w:author="Administrator" w:date="2025-04-16T11:10:00Z">
        <w:pPr>
          <w:widowControl w:val="0"/>
          <w:autoSpaceDE w:val="0"/>
          <w:autoSpaceDN w:val="0"/>
          <w:adjustRightInd w:val="0"/>
          <w:textAlignment w:val="baseline"/>
        </w:pPr>
      </w:pPrChange>
    </w:pPr>
    <w:rPr>
      <w:rFonts w:ascii="宋体" w:eastAsia="宋体"/>
      <w:kern w:val="0"/>
      <w:sz w:val="34"/>
      <w:szCs w:val="20"/>
      <w:lang w:val="en-US" w:eastAsia="zh-CN" w:bidi="ar-SA"/>
      <w:rPrChange w:id="0" w:author="Administrator" w:date="2025-04-16T11:10:00Z">
        <w:rPr>
          <w:rFonts w:ascii="宋体" w:eastAsia="宋体"/>
          <w:sz w:val="34"/>
          <w:lang w:val="en-US" w:eastAsia="zh-CN" w:bidi="ar-SA"/>
        </w:rPr>
      </w:rPrChange>
    </w:rPr>
  </w:style>
  <w:style w:type="paragraph" w:styleId="BodyText3">
    <w:name w:val="Body Text 3"/>
    <w:basedOn w:val="Normal"/>
    <w:link w:val="31"/>
    <w:qFormat/>
    <w:pPr>
      <w:spacing w:after="120"/>
    </w:pPr>
    <w:rPr>
      <w:sz w:val="16"/>
      <w:szCs w:val="16"/>
    </w:rPr>
  </w:style>
  <w:style w:type="paragraph" w:styleId="BodyTextIndent">
    <w:name w:val="Body Text Indent"/>
    <w:basedOn w:val="Normal"/>
    <w:link w:val="a5"/>
    <w:qFormat/>
    <w:pPr>
      <w:spacing w:line="360" w:lineRule="auto"/>
      <w:ind w:firstLine="420" w:firstLineChars="200"/>
    </w:pPr>
  </w:style>
  <w:style w:type="paragraph" w:styleId="TOC5">
    <w:name w:val="toc 5"/>
    <w:basedOn w:val="Normal"/>
    <w:next w:val="Normal"/>
    <w:semiHidden/>
    <w:qFormat/>
    <w:pPr>
      <w:ind w:left="840"/>
      <w:jc w:val="left"/>
    </w:pPr>
    <w:rPr>
      <w:szCs w:val="21"/>
    </w:rPr>
  </w:style>
  <w:style w:type="paragraph" w:styleId="TOC3">
    <w:name w:val="toc 3"/>
    <w:basedOn w:val="Normal"/>
    <w:next w:val="Normal"/>
    <w:semiHidden/>
    <w:qFormat/>
    <w:pPr>
      <w:ind w:left="420"/>
      <w:jc w:val="left"/>
    </w:pPr>
    <w:rPr>
      <w:i/>
      <w:iCs/>
    </w:rPr>
  </w:style>
  <w:style w:type="paragraph" w:styleId="PlainText">
    <w:name w:val="Plain Text"/>
    <w:basedOn w:val="Normal"/>
    <w:link w:val="a8"/>
    <w:qFormat/>
    <w:rPr>
      <w:rFonts w:ascii="宋体" w:hAnsi="Courier New"/>
      <w:szCs w:val="20"/>
    </w:rPr>
  </w:style>
  <w:style w:type="paragraph" w:styleId="TOC8">
    <w:name w:val="toc 8"/>
    <w:basedOn w:val="Normal"/>
    <w:next w:val="Normal"/>
    <w:semiHidden/>
    <w:qFormat/>
    <w:pPr>
      <w:ind w:left="1470"/>
      <w:jc w:val="left"/>
    </w:pPr>
    <w:rPr>
      <w:szCs w:val="21"/>
    </w:rPr>
  </w:style>
  <w:style w:type="paragraph" w:styleId="Date">
    <w:name w:val="Date"/>
    <w:basedOn w:val="Normal"/>
    <w:next w:val="Normal"/>
    <w:link w:val="a7"/>
    <w:qFormat/>
    <w:rPr>
      <w:rFonts w:ascii="宋体" w:hAnsi="Courier New"/>
      <w:sz w:val="32"/>
      <w:szCs w:val="20"/>
    </w:rPr>
  </w:style>
  <w:style w:type="paragraph" w:styleId="BodyTextIndent2">
    <w:name w:val="Body Text Indent 2"/>
    <w:basedOn w:val="Normal"/>
    <w:link w:val="20"/>
    <w:qFormat/>
    <w:pPr>
      <w:spacing w:beforeLines="50" w:afterLines="50" w:line="120" w:lineRule="auto"/>
      <w:ind w:firstLine="840" w:firstLineChars="400"/>
      <w:jc w:val="left"/>
    </w:pPr>
    <w:rPr>
      <w:rFonts w:ascii="宋体" w:hAnsi="宋体"/>
    </w:rPr>
  </w:style>
  <w:style w:type="paragraph" w:styleId="BalloonText">
    <w:name w:val="Balloon Text"/>
    <w:basedOn w:val="Normal"/>
    <w:link w:val="a12"/>
    <w:uiPriority w:val="99"/>
    <w:semiHidden/>
    <w:qFormat/>
    <w:rPr>
      <w:sz w:val="18"/>
      <w:szCs w:val="18"/>
    </w:rPr>
  </w:style>
  <w:style w:type="paragraph" w:styleId="Footer">
    <w:name w:val="footer"/>
    <w:basedOn w:val="Normal"/>
    <w:link w:val="a11"/>
    <w:qFormat/>
    <w:pPr>
      <w:tabs>
        <w:tab w:val="center" w:pos="4153"/>
        <w:tab w:val="right" w:pos="8306"/>
      </w:tabs>
      <w:snapToGrid w:val="0"/>
      <w:jc w:val="left"/>
    </w:pPr>
    <w:rPr>
      <w:sz w:val="18"/>
      <w:szCs w:val="18"/>
    </w:rPr>
  </w:style>
  <w:style w:type="paragraph" w:styleId="Header">
    <w:name w:val="header"/>
    <w:basedOn w:val="Normal"/>
    <w:link w:val="a10"/>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semiHidden/>
    <w:qFormat/>
    <w:pPr>
      <w:spacing w:before="120" w:after="120"/>
      <w:jc w:val="left"/>
    </w:pPr>
    <w:rPr>
      <w:b/>
      <w:bCs/>
      <w:caps/>
    </w:rPr>
  </w:style>
  <w:style w:type="paragraph" w:styleId="TOC4">
    <w:name w:val="toc 4"/>
    <w:basedOn w:val="Normal"/>
    <w:next w:val="Normal"/>
    <w:semiHidden/>
    <w:qFormat/>
    <w:pPr>
      <w:ind w:left="630"/>
      <w:jc w:val="left"/>
    </w:pPr>
    <w:rPr>
      <w:szCs w:val="21"/>
    </w:rPr>
  </w:style>
  <w:style w:type="paragraph" w:styleId="TOC6">
    <w:name w:val="toc 6"/>
    <w:basedOn w:val="Normal"/>
    <w:next w:val="Normal"/>
    <w:semiHidden/>
    <w:qFormat/>
    <w:pPr>
      <w:ind w:left="1050"/>
      <w:jc w:val="left"/>
    </w:pPr>
    <w:rPr>
      <w:szCs w:val="21"/>
    </w:rPr>
  </w:style>
  <w:style w:type="paragraph" w:styleId="BodyTextIndent3">
    <w:name w:val="Body Text Indent 3"/>
    <w:basedOn w:val="Normal"/>
    <w:link w:val="30"/>
    <w:qFormat/>
    <w:pPr>
      <w:spacing w:line="360" w:lineRule="auto"/>
      <w:ind w:firstLine="482" w:firstLineChars="200"/>
    </w:pPr>
    <w:rPr>
      <w:rFonts w:ascii="宋体"/>
      <w:b/>
      <w:bCs/>
      <w:sz w:val="24"/>
    </w:rPr>
  </w:style>
  <w:style w:type="paragraph" w:styleId="TOC2">
    <w:name w:val="toc 2"/>
    <w:basedOn w:val="Normal"/>
    <w:next w:val="Normal"/>
    <w:semiHidden/>
    <w:qFormat/>
    <w:pPr>
      <w:tabs>
        <w:tab w:val="right" w:leader="dot" w:pos="8296"/>
      </w:tabs>
      <w:ind w:left="210"/>
      <w:jc w:val="left"/>
    </w:pPr>
    <w:rPr>
      <w:smallCaps/>
    </w:rPr>
  </w:style>
  <w:style w:type="paragraph" w:styleId="TOC9">
    <w:name w:val="toc 9"/>
    <w:basedOn w:val="Normal"/>
    <w:next w:val="Normal"/>
    <w:semiHidden/>
    <w:qFormat/>
    <w:pPr>
      <w:ind w:left="1680"/>
      <w:jc w:val="left"/>
    </w:pPr>
    <w:rPr>
      <w:szCs w:val="21"/>
    </w:rPr>
  </w:style>
  <w:style w:type="paragraph" w:styleId="BodyText2">
    <w:name w:val="Body Text 2"/>
    <w:basedOn w:val="Normal"/>
    <w:link w:val="21"/>
    <w:qFormat/>
    <w:pPr>
      <w:spacing w:line="360" w:lineRule="auto"/>
    </w:pPr>
    <w:rPr>
      <w:sz w:val="24"/>
    </w:rPr>
  </w:style>
  <w:style w:type="paragraph" w:styleId="HTMLPreformatted">
    <w:name w:val="HTML Preformatted"/>
    <w:basedOn w:val="Normal"/>
    <w:link w:val="HTML"/>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NormalWeb">
    <w:name w:val="Normal (Web)"/>
    <w:basedOn w:val="Normal"/>
    <w:link w:val="a31"/>
    <w:uiPriority w:val="99"/>
    <w:qFormat/>
    <w:rPr>
      <w:sz w:val="24"/>
    </w:rPr>
  </w:style>
  <w:style w:type="paragraph" w:styleId="Index1">
    <w:name w:val="index 1"/>
    <w:basedOn w:val="Normal"/>
    <w:next w:val="Normal"/>
    <w:semiHidden/>
    <w:qFormat/>
    <w:pPr>
      <w:tabs>
        <w:tab w:val="left" w:pos="3360"/>
      </w:tabs>
      <w:spacing w:line="520" w:lineRule="exact"/>
      <w:ind w:left="419" w:hanging="314" w:leftChars="50" w:hangingChars="131"/>
      <w:jc w:val="center"/>
      <w:outlineLvl w:val="3"/>
    </w:pPr>
    <w:rPr>
      <w:rFonts w:ascii="宋体" w:hAnsi="宋体"/>
      <w:sz w:val="24"/>
    </w:rPr>
  </w:style>
  <w:style w:type="paragraph" w:styleId="Title">
    <w:name w:val="Title"/>
    <w:basedOn w:val="Normal"/>
    <w:link w:val="a6"/>
    <w:qFormat/>
    <w:pPr>
      <w:spacing w:before="240" w:after="60"/>
      <w:jc w:val="center"/>
      <w:outlineLvl w:val="0"/>
    </w:pPr>
    <w:rPr>
      <w:rFonts w:ascii="Arial" w:eastAsia="隶书" w:hAnsi="Arial" w:cs="Arial"/>
      <w:b/>
      <w:bCs/>
      <w:sz w:val="32"/>
      <w:szCs w:val="32"/>
    </w:rPr>
  </w:style>
  <w:style w:type="paragraph" w:styleId="CommentSubject">
    <w:name w:val="annotation subject"/>
    <w:basedOn w:val="CommentText"/>
    <w:next w:val="CommentText"/>
    <w:link w:val="a29"/>
    <w:uiPriority w:val="99"/>
    <w:qFormat/>
    <w:pPr>
      <w:autoSpaceDE/>
      <w:autoSpaceDN/>
      <w:adjustRightInd/>
      <w:textAlignment w:val="auto"/>
    </w:pPr>
    <w:rPr>
      <w:rFonts w:ascii="Times New Roman"/>
      <w:b/>
      <w:bCs/>
      <w:kern w:val="2"/>
      <w:sz w:val="21"/>
      <w:szCs w:val="24"/>
    </w:rPr>
  </w:style>
  <w:style w:type="paragraph" w:styleId="BodyTextFirstIndent">
    <w:name w:val="Body Text First Indent"/>
    <w:basedOn w:val="BodyText"/>
    <w:link w:val="a20"/>
    <w:qFormat/>
    <w:pPr>
      <w:spacing w:after="120" w:line="240" w:lineRule="auto"/>
      <w:ind w:firstLine="420" w:firstLineChars="100"/>
    </w:pPr>
    <w:rPr>
      <w:sz w:val="21"/>
    </w:rPr>
  </w:style>
  <w:style w:type="table" w:styleId="TableGrid">
    <w:name w:val="Table Grid"/>
    <w:basedOn w:val="TableNormal"/>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Pr>
      <w:b/>
      <w:bCs/>
    </w:rPr>
  </w:style>
  <w:style w:type="character" w:styleId="PageNumber">
    <w:name w:val="page number"/>
    <w:basedOn w:val="DefaultParagraphFont"/>
    <w:qFormat/>
  </w:style>
  <w:style w:type="character" w:styleId="FollowedHyperlink">
    <w:name w:val="FollowedHyperlink"/>
    <w:qFormat/>
    <w:rPr>
      <w:color w:val="800080"/>
      <w:u w:val="single"/>
    </w:rPr>
  </w:style>
  <w:style w:type="character" w:styleId="Emphasis">
    <w:name w:val="Emphasis"/>
    <w:basedOn w:val="DefaultParagraphFont"/>
    <w:qFormat/>
    <w:rPr>
      <w:b/>
      <w:bCs/>
    </w:rPr>
  </w:style>
  <w:style w:type="character" w:styleId="HTMLDefinition">
    <w:name w:val="HTML Definition"/>
    <w:basedOn w:val="DefaultParagraphFont"/>
    <w:semiHidden/>
    <w:unhideWhenUsed/>
    <w:qFormat/>
  </w:style>
  <w:style w:type="character" w:styleId="HTMLTypewriter">
    <w:name w:val="HTML Typewriter"/>
    <w:basedOn w:val="DefaultParagraphFont"/>
    <w:semiHidden/>
    <w:unhideWhenUsed/>
    <w:qFormat/>
    <w:rPr>
      <w:rFonts w:ascii="monospace" w:eastAsia="monospace" w:hAnsi="monospace" w:cs="monospace" w:hint="default"/>
      <w:sz w:val="20"/>
    </w:rPr>
  </w:style>
  <w:style w:type="character" w:styleId="HTMLAcronym">
    <w:name w:val="HTML Acronym"/>
    <w:basedOn w:val="DefaultParagraphFont"/>
    <w:semiHidden/>
    <w:unhideWhenUsed/>
    <w:qFormat/>
    <w:rPr>
      <w:bdr w:val="single" w:sz="2" w:space="0" w:color="EBEBEB"/>
    </w:rPr>
  </w:style>
  <w:style w:type="character" w:styleId="HTMLVariable">
    <w:name w:val="HTML Variable"/>
    <w:basedOn w:val="DefaultParagraphFont"/>
    <w:semiHidden/>
    <w:unhideWhenUsed/>
    <w:qFormat/>
  </w:style>
  <w:style w:type="character" w:styleId="Hyperlink">
    <w:name w:val="Hyperlink"/>
    <w:qFormat/>
    <w:rPr>
      <w:color w:val="0000FF"/>
      <w:u w:val="single"/>
    </w:rPr>
  </w:style>
  <w:style w:type="character" w:styleId="HTMLCode">
    <w:name w:val="HTML Code"/>
    <w:basedOn w:val="DefaultParagraphFont"/>
    <w:semiHidden/>
    <w:unhideWhenUsed/>
    <w:qFormat/>
    <w:rPr>
      <w:rFonts w:ascii="monospace" w:eastAsia="monospace" w:hAnsi="monospace" w:cs="monospace" w:hint="default"/>
      <w:sz w:val="20"/>
    </w:rPr>
  </w:style>
  <w:style w:type="character" w:styleId="CommentReference">
    <w:name w:val="annotation reference"/>
    <w:basedOn w:val="DefaultParagraphFont"/>
    <w:uiPriority w:val="99"/>
    <w:qFormat/>
    <w:rPr>
      <w:sz w:val="21"/>
      <w:szCs w:val="21"/>
    </w:rPr>
  </w:style>
  <w:style w:type="character" w:styleId="HTMLCite">
    <w:name w:val="HTML Cite"/>
    <w:basedOn w:val="DefaultParagraphFont"/>
    <w:semiHidden/>
    <w:unhideWhenUsed/>
    <w:qFormat/>
  </w:style>
  <w:style w:type="character" w:styleId="HTMLKeyboard">
    <w:name w:val="HTML Keyboard"/>
    <w:basedOn w:val="DefaultParagraphFont"/>
    <w:semiHidden/>
    <w:unhideWhenUsed/>
    <w:qFormat/>
    <w:rPr>
      <w:rFonts w:ascii="monospace" w:eastAsia="monospace" w:hAnsi="monospace" w:cs="monospace" w:hint="default"/>
      <w:sz w:val="20"/>
    </w:rPr>
  </w:style>
  <w:style w:type="character" w:styleId="HTMLSample">
    <w:name w:val="HTML Sample"/>
    <w:basedOn w:val="DefaultParagraphFont"/>
    <w:semiHidden/>
    <w:unhideWhenUsed/>
    <w:qFormat/>
    <w:rPr>
      <w:rFonts w:ascii="monospace" w:eastAsia="monospace" w:hAnsi="monospace" w:cs="monospace"/>
    </w:rPr>
  </w:style>
  <w:style w:type="character" w:customStyle="1" w:styleId="2">
    <w:name w:val="标题 2 字符"/>
    <w:link w:val="Heading2"/>
    <w:qFormat/>
    <w:rPr>
      <w:rFonts w:ascii="宋体" w:eastAsia="宋体" w:hAnsi="宋体"/>
      <w:b/>
      <w:bCs/>
      <w:sz w:val="24"/>
      <w:lang w:val="en-US" w:eastAsia="zh-CN" w:bidi="ar-SA"/>
    </w:rPr>
  </w:style>
  <w:style w:type="character" w:customStyle="1" w:styleId="1">
    <w:name w:val="标题 1 字符"/>
    <w:link w:val="Heading1"/>
    <w:qFormat/>
    <w:rPr>
      <w:rFonts w:ascii="宋体" w:eastAsia="黑体" w:hAnsi="宋体"/>
      <w:b/>
      <w:bCs/>
      <w:kern w:val="44"/>
      <w:sz w:val="28"/>
      <w:szCs w:val="44"/>
      <w:lang w:val="en-US" w:eastAsia="zh-CN" w:bidi="ar-SA"/>
    </w:rPr>
  </w:style>
  <w:style w:type="character" w:customStyle="1" w:styleId="3">
    <w:name w:val="标题 3 字符"/>
    <w:link w:val="Heading3"/>
    <w:uiPriority w:val="9"/>
    <w:qFormat/>
    <w:rPr>
      <w:rFonts w:ascii="宋体" w:eastAsia="宋体" w:hAnsi="宋体"/>
      <w:b/>
      <w:bCs/>
      <w:kern w:val="2"/>
      <w:sz w:val="28"/>
      <w:szCs w:val="32"/>
      <w:lang w:val="en-US" w:eastAsia="zh-CN" w:bidi="ar-SA"/>
    </w:rPr>
  </w:style>
  <w:style w:type="character" w:customStyle="1" w:styleId="4">
    <w:name w:val="标题 4 字符"/>
    <w:link w:val="Heading4"/>
    <w:uiPriority w:val="9"/>
    <w:qFormat/>
    <w:rPr>
      <w:rFonts w:ascii="Arial" w:eastAsia="黑体" w:hAnsi="Arial"/>
      <w:b/>
      <w:bCs/>
      <w:kern w:val="2"/>
      <w:sz w:val="28"/>
      <w:szCs w:val="28"/>
      <w:lang w:val="en-US" w:eastAsia="zh-CN" w:bidi="ar-SA"/>
    </w:rPr>
  </w:style>
  <w:style w:type="paragraph" w:customStyle="1" w:styleId="Char">
    <w:name w:val="Char"/>
    <w:basedOn w:val="Normal"/>
    <w:qFormat/>
    <w:pPr>
      <w:widowControl/>
      <w:spacing w:after="160" w:line="240" w:lineRule="exact"/>
      <w:jc w:val="left"/>
    </w:pPr>
    <w:rPr>
      <w:rFonts w:ascii="Verdana" w:eastAsia="仿宋_GB2312" w:hAnsi="Verdana"/>
      <w:kern w:val="0"/>
      <w:sz w:val="24"/>
      <w:szCs w:val="20"/>
      <w:lang w:eastAsia="en-US"/>
    </w:rPr>
  </w:style>
  <w:style w:type="character" w:customStyle="1" w:styleId="a">
    <w:name w:val="正文缩进 字符"/>
    <w:link w:val="NormalIndent"/>
    <w:qFormat/>
    <w:rPr>
      <w:rFonts w:eastAsia="宋体"/>
      <w:kern w:val="2"/>
      <w:sz w:val="21"/>
      <w:lang w:val="en-US" w:eastAsia="zh-CN" w:bidi="ar-SA"/>
    </w:rPr>
  </w:style>
  <w:style w:type="character" w:customStyle="1" w:styleId="3Char">
    <w:name w:val="标题 3 Char"/>
    <w:qFormat/>
    <w:rPr>
      <w:rFonts w:ascii="黑体" w:eastAsia="黑体"/>
      <w:bCs/>
      <w:sz w:val="30"/>
    </w:rPr>
  </w:style>
  <w:style w:type="paragraph" w:customStyle="1" w:styleId="41">
    <w:name w:val="样式41"/>
    <w:basedOn w:val="Normal"/>
    <w:qFormat/>
    <w:pPr>
      <w:numPr>
        <w:ilvl w:val="0"/>
        <w:numId w:val="2"/>
      </w:numPr>
      <w:tabs>
        <w:tab w:val="left" w:pos="945"/>
      </w:tabs>
      <w:spacing w:line="360" w:lineRule="auto"/>
    </w:pPr>
    <w:rPr>
      <w:b/>
      <w:color w:val="000000"/>
      <w:sz w:val="24"/>
      <w:szCs w:val="20"/>
    </w:rPr>
  </w:style>
  <w:style w:type="paragraph" w:customStyle="1" w:styleId="a0">
    <w:name w:val="图"/>
    <w:basedOn w:val="Normal"/>
    <w:qFormat/>
    <w:pPr>
      <w:keepNext/>
      <w:adjustRightInd w:val="0"/>
      <w:snapToGrid w:val="0"/>
      <w:spacing w:before="60" w:after="60" w:line="300" w:lineRule="auto"/>
      <w:jc w:val="center"/>
    </w:pPr>
    <w:rPr>
      <w:spacing w:val="20"/>
      <w:kern w:val="0"/>
      <w:sz w:val="24"/>
      <w:szCs w:val="20"/>
    </w:rPr>
  </w:style>
  <w:style w:type="paragraph" w:customStyle="1" w:styleId="a1">
    <w:name w:val="文档正文"/>
    <w:basedOn w:val="Normal"/>
    <w:qFormat/>
    <w:pPr>
      <w:adjustRightInd w:val="0"/>
      <w:spacing w:line="480" w:lineRule="atLeast"/>
      <w:ind w:firstLine="567" w:firstLineChars="200"/>
      <w:textAlignment w:val="baseline"/>
    </w:pPr>
    <w:rPr>
      <w:rFonts w:ascii="长城仿宋"/>
      <w:kern w:val="0"/>
      <w:szCs w:val="20"/>
    </w:rPr>
  </w:style>
  <w:style w:type="paragraph" w:customStyle="1" w:styleId="CharCharCharChar">
    <w:name w:val="Char Char Char Char"/>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Char11">
    <w:name w:val="Char11"/>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1">
    <w:name w:val="Char Char Char Char1"/>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TableContents">
    <w:name w:val="Table Contents"/>
    <w:basedOn w:val="Normal"/>
    <w:qFormat/>
    <w:pPr>
      <w:suppressAutoHyphens/>
      <w:autoSpaceDE w:val="0"/>
      <w:spacing w:after="120"/>
      <w:jc w:val="left"/>
    </w:pPr>
    <w:rPr>
      <w:rFonts w:ascii="Helvetica" w:hAnsi="Helvetica"/>
      <w:kern w:val="1"/>
      <w:sz w:val="20"/>
      <w:szCs w:val="20"/>
    </w:rPr>
  </w:style>
  <w:style w:type="paragraph" w:customStyle="1" w:styleId="a2">
    <w:name w:val="自定义正文"/>
    <w:basedOn w:val="Normal"/>
    <w:qFormat/>
    <w:pPr>
      <w:spacing w:afterLines="50"/>
      <w:ind w:left="600" w:leftChars="600"/>
    </w:pPr>
  </w:style>
  <w:style w:type="paragraph" w:customStyle="1" w:styleId="CharCharCharCharChar">
    <w:name w:val="Char Char Char Char Char"/>
    <w:basedOn w:val="Normal"/>
    <w:qFormat/>
    <w:rPr>
      <w:rFonts w:ascii="Tahoma" w:hAnsi="Tahoma"/>
      <w:sz w:val="24"/>
      <w:szCs w:val="20"/>
    </w:rPr>
  </w:style>
  <w:style w:type="paragraph" w:customStyle="1" w:styleId="10">
    <w:name w:val="小标题 1"/>
    <w:basedOn w:val="Normal"/>
    <w:qFormat/>
    <w:pPr>
      <w:autoSpaceDE w:val="0"/>
      <w:autoSpaceDN w:val="0"/>
      <w:adjustRightInd w:val="0"/>
      <w:spacing w:line="360" w:lineRule="atLeast"/>
    </w:pPr>
    <w:rPr>
      <w:rFonts w:ascii="文鼎粗黑" w:eastAsia="文鼎粗黑"/>
      <w:kern w:val="0"/>
      <w:sz w:val="22"/>
      <w:szCs w:val="20"/>
    </w:rPr>
  </w:style>
  <w:style w:type="paragraph" w:customStyle="1" w:styleId="CharChar">
    <w:name w:val="Char Char"/>
    <w:basedOn w:val="Normal"/>
    <w:qFormat/>
    <w:rPr>
      <w:rFonts w:ascii="Tahoma" w:hAnsi="Tahoma"/>
      <w:sz w:val="24"/>
      <w:szCs w:val="20"/>
    </w:rPr>
  </w:style>
  <w:style w:type="paragraph" w:customStyle="1" w:styleId="a3">
    <w:name w:val="È±Ê¡ÎÄ±¾"/>
    <w:basedOn w:val="Normal"/>
    <w:qFormat/>
    <w:pPr>
      <w:widowControl/>
      <w:overflowPunct w:val="0"/>
      <w:autoSpaceDE w:val="0"/>
      <w:autoSpaceDN w:val="0"/>
      <w:adjustRightInd w:val="0"/>
      <w:jc w:val="left"/>
      <w:textAlignment w:val="baseline"/>
    </w:pPr>
    <w:rPr>
      <w:kern w:val="0"/>
      <w:sz w:val="24"/>
      <w:szCs w:val="20"/>
    </w:rPr>
  </w:style>
  <w:style w:type="paragraph" w:customStyle="1" w:styleId="CharCharCharCharCharChar1Char">
    <w:name w:val="Char Char Char Char Char Char1 Char"/>
    <w:basedOn w:val="Normal"/>
    <w:qFormat/>
    <w:pPr>
      <w:widowControl/>
      <w:spacing w:after="160" w:line="240" w:lineRule="exact"/>
      <w:jc w:val="left"/>
    </w:pPr>
    <w:rPr>
      <w:rFonts w:ascii="Verdana" w:hAnsi="Verdana"/>
      <w:kern w:val="0"/>
      <w:szCs w:val="20"/>
      <w:lang w:eastAsia="en-US"/>
    </w:rPr>
  </w:style>
  <w:style w:type="paragraph" w:styleId="ListParagraph">
    <w:name w:val="List Paragraph"/>
    <w:basedOn w:val="Normal"/>
    <w:uiPriority w:val="34"/>
    <w:qFormat/>
    <w:pPr>
      <w:ind w:firstLine="420" w:firstLineChars="200"/>
    </w:pPr>
    <w:rPr>
      <w:rFonts w:ascii="Calibri" w:hAnsi="Calibri"/>
      <w:szCs w:val="22"/>
    </w:rPr>
  </w:style>
  <w:style w:type="paragraph" w:customStyle="1" w:styleId="USE1">
    <w:name w:val="USE 1"/>
    <w:basedOn w:val="Normal"/>
    <w:qFormat/>
    <w:pPr>
      <w:spacing w:line="200" w:lineRule="atLeast"/>
      <w:jc w:val="left"/>
    </w:pPr>
    <w:rPr>
      <w:rFonts w:ascii="宋体" w:hAnsi="宋体"/>
      <w:b/>
      <w:sz w:val="24"/>
      <w:szCs w:val="28"/>
    </w:rPr>
  </w:style>
  <w:style w:type="paragraph" w:customStyle="1" w:styleId="RFItextfrom3rdLevel">
    <w:name w:val="RFI text from 3rd Level"/>
    <w:basedOn w:val="Normal"/>
    <w:qFormat/>
    <w:pPr>
      <w:widowControl/>
      <w:numPr>
        <w:ilvl w:val="0"/>
        <w:numId w:val="3"/>
      </w:numPr>
      <w:tabs>
        <w:tab w:val="clear" w:pos="840"/>
        <w:tab w:val="left" w:pos="1080"/>
      </w:tabs>
      <w:spacing w:beforeLines="50" w:line="360" w:lineRule="auto"/>
      <w:ind w:left="0" w:firstLine="0"/>
    </w:pPr>
    <w:rPr>
      <w:rFonts w:ascii="Arial (W1)" w:hAnsi="Arial (W1)"/>
      <w:bCs/>
      <w:kern w:val="0"/>
      <w:sz w:val="24"/>
      <w:lang w:val="en-GB"/>
    </w:rPr>
  </w:style>
  <w:style w:type="paragraph" w:customStyle="1" w:styleId="a4">
    <w:name w:val="正文文字缩进项目"/>
    <w:basedOn w:val="BodyTextIndent"/>
    <w:qFormat/>
    <w:pPr>
      <w:numPr>
        <w:ilvl w:val="1"/>
        <w:numId w:val="3"/>
      </w:numPr>
      <w:tabs>
        <w:tab w:val="left" w:pos="840"/>
        <w:tab w:val="clear" w:pos="1260"/>
      </w:tabs>
      <w:spacing w:after="120" w:line="240" w:lineRule="auto"/>
      <w:ind w:left="840" w:firstLine="0" w:firstLineChars="0"/>
    </w:pPr>
    <w:rPr>
      <w:rFonts w:ascii="Tahoma" w:hAnsi="Tahoma"/>
      <w:sz w:val="22"/>
      <w:szCs w:val="20"/>
    </w:rPr>
  </w:style>
  <w:style w:type="paragraph" w:customStyle="1" w:styleId="21313">
    <w:name w:val="样式 标题 2 + 段前: 13 磅 段后: 13 磅 行距: 单倍行距"/>
    <w:basedOn w:val="Heading2"/>
    <w:qFormat/>
    <w:pPr>
      <w:adjustRightInd/>
      <w:spacing w:before="0" w:after="0"/>
      <w:jc w:val="both"/>
      <w:textAlignment w:val="auto"/>
    </w:pPr>
    <w:rPr>
      <w:rFonts w:ascii="Cambria" w:hAnsi="Cambria" w:cs="宋体"/>
      <w:kern w:val="2"/>
      <w:sz w:val="32"/>
    </w:rPr>
  </w:style>
  <w:style w:type="character" w:customStyle="1" w:styleId="H4Char2">
    <w:name w:val="H4 Char2"/>
    <w:qFormat/>
    <w:rPr>
      <w:rFonts w:ascii="Arial" w:eastAsia="黑体" w:hAnsi="Arial"/>
      <w:b/>
      <w:bCs/>
      <w:kern w:val="2"/>
      <w:sz w:val="28"/>
      <w:szCs w:val="28"/>
      <w:lang w:val="en-US" w:eastAsia="zh-CN" w:bidi="ar-SA"/>
    </w:rPr>
  </w:style>
  <w:style w:type="character" w:customStyle="1" w:styleId="a5">
    <w:name w:val="正文文本缩进 字符"/>
    <w:link w:val="BodyTextIndent"/>
    <w:qFormat/>
    <w:rPr>
      <w:rFonts w:eastAsia="宋体"/>
      <w:kern w:val="2"/>
      <w:sz w:val="21"/>
      <w:szCs w:val="24"/>
      <w:lang w:val="en-US" w:eastAsia="zh-CN" w:bidi="ar-SA"/>
    </w:rPr>
  </w:style>
  <w:style w:type="character" w:customStyle="1" w:styleId="5">
    <w:name w:val="标题 5 字符"/>
    <w:link w:val="Heading5"/>
    <w:qFormat/>
    <w:rPr>
      <w:rFonts w:eastAsia="宋体"/>
      <w:b/>
      <w:kern w:val="2"/>
      <w:sz w:val="28"/>
      <w:lang w:val="en-US" w:eastAsia="zh-CN" w:bidi="ar-SA"/>
    </w:rPr>
  </w:style>
  <w:style w:type="character" w:customStyle="1" w:styleId="Char0">
    <w:name w:val="第*章 Char"/>
    <w:qFormat/>
    <w:rPr>
      <w:rFonts w:ascii="Arial" w:eastAsia="黑体" w:hAnsi="Arial"/>
      <w:b/>
      <w:bCs/>
      <w:kern w:val="2"/>
      <w:sz w:val="32"/>
      <w:szCs w:val="32"/>
    </w:rPr>
  </w:style>
  <w:style w:type="character" w:customStyle="1" w:styleId="1Char">
    <w:name w:val="章标题1 Char"/>
    <w:qFormat/>
    <w:rPr>
      <w:rFonts w:eastAsia="宋体"/>
      <w:b/>
      <w:bCs/>
      <w:kern w:val="2"/>
      <w:sz w:val="32"/>
      <w:szCs w:val="32"/>
      <w:lang w:val="en-US" w:eastAsia="zh-CN" w:bidi="ar-SA"/>
    </w:rPr>
  </w:style>
  <w:style w:type="character" w:customStyle="1" w:styleId="6">
    <w:name w:val="标题 6 字符"/>
    <w:link w:val="Heading6"/>
    <w:qFormat/>
    <w:rPr>
      <w:rFonts w:ascii="Arial" w:eastAsia="黑体" w:hAnsi="Arial"/>
      <w:b/>
      <w:kern w:val="2"/>
      <w:sz w:val="24"/>
      <w:lang w:val="en-US" w:eastAsia="zh-CN" w:bidi="ar-SA"/>
    </w:rPr>
  </w:style>
  <w:style w:type="character" w:customStyle="1" w:styleId="7">
    <w:name w:val="标题 7 字符"/>
    <w:link w:val="Heading7"/>
    <w:qFormat/>
    <w:rPr>
      <w:rFonts w:eastAsia="宋体"/>
      <w:b/>
      <w:kern w:val="2"/>
      <w:sz w:val="24"/>
      <w:lang w:val="en-US" w:eastAsia="zh-CN" w:bidi="ar-SA"/>
    </w:rPr>
  </w:style>
  <w:style w:type="character" w:customStyle="1" w:styleId="8">
    <w:name w:val="标题 8 字符"/>
    <w:link w:val="Heading8"/>
    <w:qFormat/>
    <w:rPr>
      <w:rFonts w:ascii="Arial" w:eastAsia="黑体" w:hAnsi="Arial"/>
      <w:kern w:val="2"/>
      <w:sz w:val="24"/>
      <w:lang w:val="en-US" w:eastAsia="zh-CN" w:bidi="ar-SA"/>
    </w:rPr>
  </w:style>
  <w:style w:type="character" w:customStyle="1" w:styleId="9">
    <w:name w:val="标题 9 字符"/>
    <w:link w:val="Heading9"/>
    <w:qFormat/>
    <w:rPr>
      <w:rFonts w:ascii="Arial" w:eastAsia="黑体" w:hAnsi="Arial"/>
      <w:kern w:val="2"/>
      <w:sz w:val="21"/>
      <w:lang w:val="en-US" w:eastAsia="zh-CN" w:bidi="ar-SA"/>
    </w:rPr>
  </w:style>
  <w:style w:type="character" w:customStyle="1" w:styleId="a6">
    <w:name w:val="标题 字符"/>
    <w:link w:val="Title"/>
    <w:qFormat/>
    <w:rPr>
      <w:rFonts w:ascii="Arial" w:eastAsia="隶书" w:hAnsi="Arial" w:cs="Arial"/>
      <w:b/>
      <w:bCs/>
      <w:kern w:val="2"/>
      <w:sz w:val="32"/>
      <w:szCs w:val="32"/>
      <w:lang w:val="en-US" w:eastAsia="zh-CN" w:bidi="ar-SA"/>
    </w:rPr>
  </w:style>
  <w:style w:type="character" w:customStyle="1" w:styleId="a7">
    <w:name w:val="日期 字符"/>
    <w:link w:val="Date"/>
    <w:qFormat/>
    <w:rPr>
      <w:rFonts w:ascii="宋体" w:eastAsia="宋体" w:hAnsi="Courier New"/>
      <w:kern w:val="2"/>
      <w:sz w:val="32"/>
      <w:lang w:val="en-US" w:eastAsia="zh-CN" w:bidi="ar-SA"/>
    </w:rPr>
  </w:style>
  <w:style w:type="character" w:customStyle="1" w:styleId="HTML">
    <w:name w:val="HTML 预设格式 字符"/>
    <w:link w:val="HTMLPreformatted"/>
    <w:qFormat/>
    <w:rPr>
      <w:rFonts w:ascii="Arial Unicode MS" w:eastAsia="Arial Unicode MS" w:hAnsi="Arial Unicode MS"/>
      <w:color w:val="000000"/>
      <w:lang w:val="en-US" w:eastAsia="zh-CN" w:bidi="ar-SA"/>
    </w:rPr>
  </w:style>
  <w:style w:type="character" w:customStyle="1" w:styleId="a8">
    <w:name w:val="纯文本 字符"/>
    <w:link w:val="PlainText"/>
    <w:qFormat/>
    <w:rPr>
      <w:rFonts w:ascii="宋体" w:eastAsia="宋体" w:hAnsi="Courier New"/>
      <w:kern w:val="2"/>
      <w:sz w:val="21"/>
      <w:lang w:val="en-US" w:eastAsia="zh-CN" w:bidi="ar-SA"/>
    </w:rPr>
  </w:style>
  <w:style w:type="character" w:customStyle="1" w:styleId="Char1">
    <w:name w:val="正文文字首行缩进 Char"/>
    <w:qFormat/>
    <w:rPr>
      <w:kern w:val="2"/>
      <w:sz w:val="21"/>
      <w:szCs w:val="24"/>
    </w:rPr>
  </w:style>
  <w:style w:type="character" w:customStyle="1" w:styleId="a9">
    <w:name w:val="正文文本 字符"/>
    <w:link w:val="BodyText"/>
    <w:qFormat/>
    <w:rPr>
      <w:rFonts w:eastAsia="宋体"/>
      <w:b/>
      <w:bCs/>
      <w:kern w:val="2"/>
      <w:sz w:val="24"/>
      <w:szCs w:val="24"/>
      <w:lang w:val="en-US" w:eastAsia="zh-CN" w:bidi="ar-SA"/>
    </w:rPr>
  </w:style>
  <w:style w:type="character" w:customStyle="1" w:styleId="20">
    <w:name w:val="正文文本缩进 2 字符"/>
    <w:link w:val="BodyTextIndent2"/>
    <w:qFormat/>
    <w:rPr>
      <w:rFonts w:ascii="宋体" w:eastAsia="宋体" w:hAnsi="宋体"/>
      <w:kern w:val="2"/>
      <w:sz w:val="21"/>
      <w:szCs w:val="24"/>
      <w:lang w:val="en-US" w:eastAsia="zh-CN" w:bidi="ar-SA"/>
    </w:rPr>
  </w:style>
  <w:style w:type="character" w:customStyle="1" w:styleId="a10">
    <w:name w:val="页眉 字符"/>
    <w:link w:val="Header"/>
    <w:uiPriority w:val="99"/>
    <w:qFormat/>
    <w:rPr>
      <w:rFonts w:eastAsia="宋体"/>
      <w:kern w:val="2"/>
      <w:sz w:val="18"/>
      <w:szCs w:val="18"/>
      <w:lang w:val="en-US" w:eastAsia="zh-CN" w:bidi="ar-SA"/>
    </w:rPr>
  </w:style>
  <w:style w:type="character" w:customStyle="1" w:styleId="30">
    <w:name w:val="正文文本缩进 3 字符"/>
    <w:link w:val="BodyTextIndent3"/>
    <w:qFormat/>
    <w:rPr>
      <w:rFonts w:ascii="宋体" w:eastAsia="宋体"/>
      <w:b/>
      <w:bCs/>
      <w:kern w:val="2"/>
      <w:sz w:val="24"/>
      <w:szCs w:val="24"/>
      <w:lang w:val="en-US" w:eastAsia="zh-CN" w:bidi="ar-SA"/>
    </w:rPr>
  </w:style>
  <w:style w:type="character" w:customStyle="1" w:styleId="21">
    <w:name w:val="正文文本 2 字符"/>
    <w:link w:val="BodyText2"/>
    <w:qFormat/>
    <w:rPr>
      <w:rFonts w:eastAsia="宋体"/>
      <w:kern w:val="2"/>
      <w:sz w:val="24"/>
      <w:szCs w:val="24"/>
      <w:lang w:val="en-US" w:eastAsia="zh-CN" w:bidi="ar-SA"/>
    </w:rPr>
  </w:style>
  <w:style w:type="character" w:customStyle="1" w:styleId="a11">
    <w:name w:val="页脚 字符"/>
    <w:link w:val="Footer"/>
    <w:qFormat/>
    <w:rPr>
      <w:rFonts w:eastAsia="宋体"/>
      <w:kern w:val="2"/>
      <w:sz w:val="18"/>
      <w:szCs w:val="18"/>
      <w:lang w:val="en-US" w:eastAsia="zh-CN" w:bidi="ar-SA"/>
    </w:rPr>
  </w:style>
  <w:style w:type="character" w:customStyle="1" w:styleId="31">
    <w:name w:val="正文文本 3 字符"/>
    <w:link w:val="BodyText3"/>
    <w:qFormat/>
    <w:rPr>
      <w:rFonts w:eastAsia="宋体"/>
      <w:kern w:val="2"/>
      <w:sz w:val="16"/>
      <w:szCs w:val="16"/>
      <w:lang w:val="en-US" w:eastAsia="zh-CN" w:bidi="ar-SA"/>
    </w:rPr>
  </w:style>
  <w:style w:type="character" w:customStyle="1" w:styleId="a12">
    <w:name w:val="批注框文本 字符"/>
    <w:link w:val="BalloonText"/>
    <w:uiPriority w:val="99"/>
    <w:semiHidden/>
    <w:qFormat/>
    <w:rPr>
      <w:rFonts w:eastAsia="宋体"/>
      <w:kern w:val="2"/>
      <w:sz w:val="18"/>
      <w:szCs w:val="18"/>
      <w:lang w:val="en-US" w:eastAsia="zh-CN" w:bidi="ar-SA"/>
    </w:rPr>
  </w:style>
  <w:style w:type="paragraph" w:customStyle="1" w:styleId="11">
    <w:name w:val="样式1"/>
    <w:basedOn w:val="Title"/>
    <w:qFormat/>
    <w:pPr>
      <w:spacing w:before="120" w:after="120"/>
    </w:pPr>
    <w:rPr>
      <w:rFonts w:eastAsia="黑体"/>
      <w:b w:val="0"/>
      <w:sz w:val="30"/>
      <w:szCs w:val="21"/>
    </w:rPr>
  </w:style>
  <w:style w:type="paragraph" w:customStyle="1" w:styleId="22">
    <w:name w:val="样式2"/>
    <w:basedOn w:val="Title"/>
    <w:next w:val="11"/>
    <w:qFormat/>
    <w:pPr>
      <w:spacing w:before="120" w:after="120"/>
    </w:pPr>
    <w:rPr>
      <w:rFonts w:eastAsia="黑体"/>
      <w:b w:val="0"/>
      <w:sz w:val="30"/>
      <w:szCs w:val="30"/>
    </w:rPr>
  </w:style>
  <w:style w:type="character" w:customStyle="1" w:styleId="3CharChar">
    <w:name w:val="标题 3 Char Char"/>
    <w:qFormat/>
    <w:rPr>
      <w:rFonts w:eastAsia="宋体"/>
      <w:b/>
      <w:bCs/>
      <w:kern w:val="2"/>
      <w:sz w:val="32"/>
      <w:szCs w:val="32"/>
      <w:lang w:val="en-US" w:eastAsia="zh-CN" w:bidi="ar-SA"/>
    </w:rPr>
  </w:style>
  <w:style w:type="paragraph" w:customStyle="1" w:styleId="CharCharCharCharCharChar1CharCharCharCharCharCharCharCharCharCharCharCharChar">
    <w:name w:val="Char Char Char Char Char Char1 Char Char Char Char Char Char Char Char Char Char Char Char Char"/>
    <w:basedOn w:val="Normal"/>
    <w:qFormat/>
    <w:pPr>
      <w:widowControl/>
      <w:spacing w:after="160" w:line="240" w:lineRule="exact"/>
      <w:jc w:val="left"/>
    </w:pPr>
    <w:rPr>
      <w:rFonts w:ascii="Arial" w:eastAsia="Times New Roman" w:hAnsi="Arial" w:cs="Verdana"/>
      <w:b/>
      <w:kern w:val="0"/>
      <w:sz w:val="24"/>
      <w:lang w:eastAsia="en-US"/>
    </w:rPr>
  </w:style>
  <w:style w:type="paragraph" w:customStyle="1" w:styleId="cont">
    <w:name w:val="cont"/>
    <w:basedOn w:val="Normal"/>
    <w:qFormat/>
    <w:pPr>
      <w:adjustRightInd w:val="0"/>
      <w:spacing w:before="100" w:after="100" w:line="360" w:lineRule="auto"/>
      <w:ind w:firstLine="200" w:firstLineChars="200"/>
      <w:jc w:val="left"/>
      <w:textAlignment w:val="baseline"/>
    </w:pPr>
    <w:rPr>
      <w:rFonts w:ascii="Arial" w:hAnsi="Arial"/>
      <w:kern w:val="0"/>
      <w:sz w:val="24"/>
      <w:szCs w:val="20"/>
    </w:rPr>
  </w:style>
  <w:style w:type="paragraph" w:customStyle="1" w:styleId="--">
    <w:name w:val="--规划正文"/>
    <w:basedOn w:val="Normal"/>
    <w:qFormat/>
    <w:pPr>
      <w:spacing w:line="360" w:lineRule="auto"/>
      <w:ind w:firstLine="200" w:firstLineChars="200"/>
    </w:pPr>
    <w:rPr>
      <w:szCs w:val="20"/>
    </w:rPr>
  </w:style>
  <w:style w:type="paragraph" w:customStyle="1" w:styleId="a13">
    <w:name w:val="设计依据"/>
    <w:basedOn w:val="BodyText"/>
    <w:qFormat/>
    <w:pPr>
      <w:numPr>
        <w:ilvl w:val="1"/>
        <w:numId w:val="4"/>
      </w:numPr>
      <w:tabs>
        <w:tab w:val="clear" w:pos="840"/>
        <w:tab w:val="left" w:pos="1440"/>
      </w:tabs>
      <w:adjustRightInd w:val="0"/>
      <w:ind w:left="1440"/>
      <w:textAlignment w:val="baseline"/>
    </w:pPr>
    <w:rPr>
      <w:rFonts w:ascii="宋体" w:hAnsi="宋体"/>
      <w:b w:val="0"/>
      <w:kern w:val="0"/>
      <w:sz w:val="28"/>
      <w:szCs w:val="18"/>
    </w:rPr>
  </w:style>
  <w:style w:type="paragraph" w:customStyle="1" w:styleId="a14">
    <w:name w:val="方案要点"/>
    <w:basedOn w:val="Normal"/>
    <w:qFormat/>
    <w:pPr>
      <w:numPr>
        <w:ilvl w:val="0"/>
        <w:numId w:val="4"/>
      </w:numPr>
      <w:spacing w:line="360" w:lineRule="auto"/>
    </w:pPr>
    <w:rPr>
      <w:rFonts w:ascii="仿宋_GB2312" w:eastAsia="仿宋_GB2312" w:hAnsi="宋体"/>
      <w:color w:val="000000"/>
      <w:sz w:val="28"/>
      <w:szCs w:val="28"/>
    </w:rPr>
  </w:style>
  <w:style w:type="paragraph" w:customStyle="1" w:styleId="40">
    <w:name w:val="样式4"/>
    <w:basedOn w:val="Normal"/>
    <w:qFormat/>
    <w:pPr>
      <w:tabs>
        <w:tab w:val="left" w:pos="842"/>
      </w:tabs>
      <w:spacing w:line="360" w:lineRule="auto"/>
      <w:ind w:left="842" w:hanging="420"/>
    </w:pPr>
    <w:rPr>
      <w:sz w:val="24"/>
    </w:rPr>
  </w:style>
  <w:style w:type="paragraph" w:customStyle="1" w:styleId="a15">
    <w:name w:val="文字"/>
    <w:basedOn w:val="Normal"/>
    <w:qFormat/>
    <w:pPr>
      <w:tabs>
        <w:tab w:val="left" w:pos="8520"/>
      </w:tabs>
      <w:spacing w:line="312" w:lineRule="auto"/>
      <w:ind w:right="-210" w:firstLine="556"/>
    </w:pPr>
    <w:rPr>
      <w:rFonts w:ascii="宋体"/>
      <w:sz w:val="28"/>
      <w:szCs w:val="20"/>
    </w:rPr>
  </w:style>
  <w:style w:type="paragraph" w:customStyle="1" w:styleId="----">
    <w:name w:val="--规划-表格-居左"/>
    <w:basedOn w:val="--"/>
    <w:qFormat/>
    <w:pPr>
      <w:spacing w:line="240" w:lineRule="auto"/>
      <w:ind w:firstLine="0" w:firstLineChars="0"/>
    </w:pPr>
    <w:rPr>
      <w:sz w:val="20"/>
    </w:rPr>
  </w:style>
  <w:style w:type="paragraph" w:customStyle="1" w:styleId="----0">
    <w:name w:val="--规划-表格-居中"/>
    <w:basedOn w:val="--"/>
    <w:qFormat/>
    <w:pPr>
      <w:spacing w:line="240" w:lineRule="auto"/>
      <w:ind w:firstLine="0" w:firstLineChars="0"/>
      <w:jc w:val="center"/>
    </w:pPr>
    <w:rPr>
      <w:sz w:val="20"/>
    </w:rPr>
  </w:style>
  <w:style w:type="paragraph" w:customStyle="1" w:styleId="--0">
    <w:name w:val="--编号内缩进"/>
    <w:basedOn w:val="Normal"/>
    <w:qFormat/>
    <w:pPr>
      <w:spacing w:line="360" w:lineRule="auto"/>
      <w:ind w:left="420" w:firstLine="200" w:firstLineChars="200"/>
    </w:pPr>
    <w:rPr>
      <w:szCs w:val="21"/>
    </w:rPr>
  </w:style>
  <w:style w:type="paragraph" w:customStyle="1" w:styleId="---">
    <w:name w:val="--规划-题注"/>
    <w:basedOn w:val="Normal"/>
    <w:next w:val="--"/>
    <w:qFormat/>
    <w:pPr>
      <w:spacing w:line="360" w:lineRule="auto"/>
      <w:jc w:val="center"/>
    </w:pPr>
    <w:rPr>
      <w:rFonts w:eastAsia="黑体"/>
    </w:rPr>
  </w:style>
  <w:style w:type="paragraph" w:customStyle="1" w:styleId="---0">
    <w:name w:val="--规划-图和表"/>
    <w:next w:val="--"/>
    <w:qFormat/>
    <w:pPr>
      <w:jc w:val="center"/>
    </w:pPr>
    <w:rPr>
      <w:rFonts w:ascii="Times New Roman" w:eastAsia="宋体" w:hAnsi="Times New Roman" w:cs="Times New Roman"/>
      <w:kern w:val="2"/>
      <w:sz w:val="21"/>
      <w:lang w:val="en-US" w:eastAsia="zh-CN" w:bidi="ar-SA"/>
    </w:rPr>
  </w:style>
  <w:style w:type="paragraph" w:customStyle="1" w:styleId="---1">
    <w:name w:val="--规划-小标题"/>
    <w:basedOn w:val="Normal"/>
    <w:next w:val="--"/>
    <w:qFormat/>
    <w:pPr>
      <w:keepNext/>
      <w:keepLines/>
      <w:spacing w:line="360" w:lineRule="auto"/>
      <w:outlineLvl w:val="4"/>
    </w:pPr>
    <w:rPr>
      <w:rFonts w:eastAsia="黑体"/>
    </w:rPr>
  </w:style>
  <w:style w:type="paragraph" w:customStyle="1" w:styleId="--Char">
    <w:name w:val="--规划正文 Char"/>
    <w:basedOn w:val="Normal"/>
    <w:qFormat/>
    <w:pPr>
      <w:spacing w:line="360" w:lineRule="auto"/>
      <w:ind w:firstLine="200" w:firstLineChars="200"/>
    </w:pPr>
    <w:rPr>
      <w:sz w:val="24"/>
    </w:rPr>
  </w:style>
  <w:style w:type="paragraph" w:customStyle="1" w:styleId="a16">
    <w:name w:val="缺省文本"/>
    <w:basedOn w:val="Normal"/>
    <w:qFormat/>
    <w:pPr>
      <w:autoSpaceDE w:val="0"/>
      <w:autoSpaceDN w:val="0"/>
      <w:adjustRightInd w:val="0"/>
      <w:jc w:val="left"/>
    </w:pPr>
    <w:rPr>
      <w:kern w:val="0"/>
    </w:rPr>
  </w:style>
  <w:style w:type="paragraph" w:customStyle="1" w:styleId="a17">
    <w:name w:val="封面文档标题"/>
    <w:basedOn w:val="Normal"/>
    <w:qFormat/>
    <w:pPr>
      <w:autoSpaceDE w:val="0"/>
      <w:autoSpaceDN w:val="0"/>
      <w:adjustRightInd w:val="0"/>
      <w:spacing w:line="360" w:lineRule="auto"/>
      <w:jc w:val="center"/>
    </w:pPr>
    <w:rPr>
      <w:rFonts w:ascii="Arial" w:hAnsi="Arial"/>
      <w:b/>
      <w:kern w:val="0"/>
      <w:sz w:val="56"/>
    </w:rPr>
  </w:style>
  <w:style w:type="character" w:customStyle="1" w:styleId="--CharChar">
    <w:name w:val="--规划正文 Char Char"/>
    <w:qFormat/>
    <w:rPr>
      <w:rFonts w:eastAsia="宋体"/>
      <w:kern w:val="2"/>
      <w:sz w:val="24"/>
      <w:szCs w:val="24"/>
      <w:lang w:val="en-US" w:eastAsia="zh-CN" w:bidi="ar-SA"/>
    </w:rPr>
  </w:style>
  <w:style w:type="paragraph" w:customStyle="1" w:styleId="32">
    <w:name w:val="样式3"/>
    <w:basedOn w:val="Heading1"/>
    <w:qFormat/>
    <w:pPr>
      <w:numPr>
        <w:ilvl w:val="0"/>
        <w:numId w:val="5"/>
      </w:numPr>
      <w:spacing w:before="240" w:after="240" w:line="480" w:lineRule="auto"/>
      <w:ind w:right="210" w:rightChars="100"/>
      <w:jc w:val="left"/>
    </w:pPr>
    <w:rPr>
      <w:rFonts w:ascii="Times New Roman" w:hAnsi="Times New Roman"/>
      <w:sz w:val="32"/>
    </w:rPr>
  </w:style>
  <w:style w:type="character" w:customStyle="1" w:styleId="--Char1">
    <w:name w:val="--规划正文 Char1"/>
    <w:qFormat/>
    <w:rPr>
      <w:rFonts w:eastAsia="宋体"/>
      <w:kern w:val="2"/>
      <w:sz w:val="21"/>
      <w:lang w:val="en-US" w:eastAsia="zh-CN" w:bidi="ar-SA"/>
    </w:rPr>
  </w:style>
  <w:style w:type="paragraph" w:customStyle="1" w:styleId="word">
    <w:name w:val="word"/>
    <w:basedOn w:val="Normal"/>
    <w:qFormat/>
    <w:pPr>
      <w:widowControl/>
      <w:spacing w:before="100" w:beforeAutospacing="1" w:after="100" w:afterAutospacing="1" w:line="301" w:lineRule="atLeast"/>
      <w:jc w:val="left"/>
    </w:pPr>
    <w:rPr>
      <w:rFonts w:ascii="ˎ̥" w:hAnsi="ˎ̥"/>
      <w:color w:val="000000"/>
      <w:kern w:val="0"/>
      <w:sz w:val="20"/>
      <w:szCs w:val="20"/>
    </w:rPr>
  </w:style>
  <w:style w:type="paragraph" w:customStyle="1" w:styleId="a18">
    <w:name w:val="列表项目"/>
    <w:basedOn w:val="Normal"/>
    <w:qFormat/>
    <w:pPr>
      <w:tabs>
        <w:tab w:val="left" w:pos="420"/>
        <w:tab w:val="left" w:pos="1080"/>
      </w:tabs>
      <w:spacing w:line="288" w:lineRule="auto"/>
      <w:ind w:left="1080" w:hanging="360"/>
    </w:pPr>
    <w:rPr>
      <w:sz w:val="24"/>
      <w:szCs w:val="20"/>
    </w:rPr>
  </w:style>
  <w:style w:type="character" w:customStyle="1" w:styleId="content1">
    <w:name w:val="content1"/>
    <w:qFormat/>
    <w:rPr>
      <w:rFonts w:ascii="??" w:hAnsi="??" w:hint="default"/>
      <w:sz w:val="16"/>
      <w:szCs w:val="16"/>
      <w:u w:val="none"/>
    </w:rPr>
  </w:style>
  <w:style w:type="character" w:customStyle="1" w:styleId="unnamed4">
    <w:name w:val="unnamed4"/>
    <w:basedOn w:val="DefaultParagraphFont"/>
    <w:qFormat/>
  </w:style>
  <w:style w:type="character" w:customStyle="1" w:styleId="font2">
    <w:name w:val="font2"/>
    <w:basedOn w:val="DefaultParagraphFont"/>
    <w:qFormat/>
  </w:style>
  <w:style w:type="character" w:customStyle="1" w:styleId="font41">
    <w:name w:val="font41"/>
    <w:qFormat/>
    <w:rPr>
      <w:color w:val="000000"/>
      <w:spacing w:val="260"/>
      <w:sz w:val="18"/>
      <w:szCs w:val="18"/>
      <w:u w:val="none"/>
    </w:rPr>
  </w:style>
  <w:style w:type="paragraph" w:customStyle="1" w:styleId="a19">
    <w:name w:val="正文(首行缩进)"/>
    <w:qFormat/>
    <w:pPr>
      <w:spacing w:line="360" w:lineRule="auto"/>
      <w:ind w:firstLine="488" w:firstLineChars="200"/>
      <w:jc w:val="both"/>
    </w:pPr>
    <w:rPr>
      <w:rFonts w:ascii="Times New Roman" w:eastAsia="仿宋_GB2312" w:hAnsi="Times New Roman" w:cs="Times New Roman"/>
      <w:spacing w:val="2"/>
      <w:sz w:val="24"/>
      <w:szCs w:val="24"/>
      <w:lang w:val="en-US" w:eastAsia="zh-CN" w:bidi="ar-SA"/>
    </w:rPr>
  </w:style>
  <w:style w:type="paragraph" w:customStyle="1" w:styleId="xl72">
    <w:name w:val="xl72"/>
    <w:basedOn w:val="Normal"/>
    <w:qFormat/>
    <w:pPr>
      <w:widowControl/>
      <w:spacing w:before="100" w:beforeAutospacing="1" w:after="100" w:afterAutospacing="1"/>
      <w:jc w:val="left"/>
    </w:pPr>
    <w:rPr>
      <w:rFonts w:ascii="宋体" w:hAnsi="宋体"/>
      <w:b/>
      <w:bCs/>
      <w:kern w:val="0"/>
      <w:sz w:val="28"/>
      <w:szCs w:val="28"/>
    </w:rPr>
  </w:style>
  <w:style w:type="character" w:customStyle="1" w:styleId="a20">
    <w:name w:val="正文文本首行缩进 字符"/>
    <w:link w:val="BodyTextFirstIndent"/>
    <w:qFormat/>
    <w:rPr>
      <w:rFonts w:eastAsia="宋体"/>
      <w:b/>
      <w:bCs/>
      <w:kern w:val="2"/>
      <w:sz w:val="21"/>
      <w:szCs w:val="24"/>
      <w:lang w:val="en-US" w:eastAsia="zh-CN" w:bidi="ar-SA"/>
    </w:rPr>
  </w:style>
  <w:style w:type="paragraph" w:customStyle="1" w:styleId="Char2">
    <w:name w:val="正文(首行缩进) Char"/>
    <w:qFormat/>
    <w:pPr>
      <w:spacing w:before="120" w:after="60" w:line="360" w:lineRule="auto"/>
      <w:ind w:firstLine="200" w:firstLineChars="200"/>
    </w:pPr>
    <w:rPr>
      <w:rFonts w:ascii="Times New Roman" w:eastAsia="仿宋_GB2312" w:hAnsi="Times New Roman" w:cs="Times New Roman"/>
      <w:spacing w:val="2"/>
      <w:kern w:val="24"/>
      <w:sz w:val="24"/>
      <w:szCs w:val="24"/>
      <w:lang w:val="en-US" w:eastAsia="zh-CN" w:bidi="ar-SA"/>
    </w:rPr>
  </w:style>
  <w:style w:type="paragraph" w:customStyle="1" w:styleId="80">
    <w:name w:val="汉议细等线简8"/>
    <w:qFormat/>
    <w:pPr>
      <w:widowControl w:val="0"/>
      <w:autoSpaceDE w:val="0"/>
      <w:autoSpaceDN w:val="0"/>
      <w:adjustRightInd w:val="0"/>
      <w:spacing w:line="260" w:lineRule="atLeast"/>
      <w:jc w:val="both"/>
    </w:pPr>
    <w:rPr>
      <w:rFonts w:ascii="汉仪细等线简" w:eastAsia="汉仪细等线简" w:hAnsi="Times New Roman" w:cs="Times New Roman"/>
      <w:color w:val="000000"/>
      <w:sz w:val="16"/>
      <w:szCs w:val="16"/>
      <w:lang w:val="en-US" w:eastAsia="zh-CN" w:bidi="ar-SA"/>
    </w:rPr>
  </w:style>
  <w:style w:type="paragraph" w:customStyle="1" w:styleId="9BOLD">
    <w:name w:val="汉仪细等线简9BOLD"/>
    <w:basedOn w:val="Normal"/>
    <w:qFormat/>
    <w:pPr>
      <w:autoSpaceDE w:val="0"/>
      <w:autoSpaceDN w:val="0"/>
      <w:adjustRightInd w:val="0"/>
      <w:spacing w:line="240" w:lineRule="atLeast"/>
    </w:pPr>
    <w:rPr>
      <w:rFonts w:ascii="汉仪细等线简" w:eastAsia="汉仪细等线简"/>
      <w:b/>
      <w:bCs/>
      <w:kern w:val="0"/>
      <w:sz w:val="18"/>
      <w:szCs w:val="18"/>
    </w:rPr>
  </w:style>
  <w:style w:type="character" w:customStyle="1" w:styleId="mode">
    <w:name w:val="mode"/>
    <w:basedOn w:val="DefaultParagraphFont"/>
    <w:qFormat/>
  </w:style>
  <w:style w:type="paragraph" w:customStyle="1" w:styleId="90">
    <w:name w:val="9"/>
    <w:basedOn w:val="Normal"/>
    <w:next w:val="NormalIndent"/>
    <w:qFormat/>
    <w:pPr>
      <w:autoSpaceDE w:val="0"/>
      <w:autoSpaceDN w:val="0"/>
      <w:adjustRightInd w:val="0"/>
      <w:ind w:firstLine="420"/>
      <w:jc w:val="left"/>
      <w:textAlignment w:val="baseline"/>
    </w:pPr>
    <w:rPr>
      <w:rFonts w:ascii="宋体"/>
      <w:kern w:val="0"/>
      <w:sz w:val="34"/>
      <w:szCs w:val="20"/>
    </w:rPr>
  </w:style>
  <w:style w:type="character" w:customStyle="1" w:styleId="unnamed3">
    <w:name w:val="unnamed3"/>
    <w:basedOn w:val="DefaultParagraphFont"/>
    <w:qFormat/>
  </w:style>
  <w:style w:type="paragraph" w:customStyle="1" w:styleId="81">
    <w:name w:val="8"/>
    <w:basedOn w:val="Normal"/>
    <w:next w:val="BodyTextIndent"/>
    <w:qFormat/>
    <w:pPr>
      <w:spacing w:after="120"/>
      <w:ind w:left="420" w:leftChars="200"/>
    </w:pPr>
  </w:style>
  <w:style w:type="paragraph" w:customStyle="1" w:styleId="70">
    <w:name w:val="7"/>
    <w:basedOn w:val="Normal"/>
    <w:qFormat/>
    <w:pPr>
      <w:autoSpaceDE w:val="0"/>
      <w:autoSpaceDN w:val="0"/>
      <w:adjustRightInd w:val="0"/>
      <w:spacing w:line="270" w:lineRule="atLeast"/>
      <w:jc w:val="left"/>
    </w:pPr>
    <w:rPr>
      <w:rFonts w:ascii="宋体"/>
      <w:kern w:val="0"/>
      <w:sz w:val="18"/>
      <w:szCs w:val="18"/>
    </w:rPr>
  </w:style>
  <w:style w:type="paragraph" w:customStyle="1" w:styleId="00">
    <w:name w:val="00"/>
    <w:basedOn w:val="Normal"/>
    <w:qFormat/>
    <w:pPr>
      <w:autoSpaceDE w:val="0"/>
      <w:autoSpaceDN w:val="0"/>
      <w:adjustRightInd w:val="0"/>
      <w:jc w:val="left"/>
    </w:pPr>
    <w:rPr>
      <w:rFonts w:ascii="黑体" w:eastAsia="黑体"/>
      <w:b/>
      <w:bCs/>
      <w:kern w:val="0"/>
      <w:sz w:val="20"/>
      <w:szCs w:val="20"/>
    </w:rPr>
  </w:style>
  <w:style w:type="paragraph" w:customStyle="1" w:styleId="50">
    <w:name w:val="5"/>
    <w:basedOn w:val="Normal"/>
    <w:qFormat/>
    <w:pPr>
      <w:autoSpaceDE w:val="0"/>
      <w:autoSpaceDN w:val="0"/>
      <w:adjustRightInd w:val="0"/>
      <w:jc w:val="left"/>
    </w:pPr>
    <w:rPr>
      <w:rFonts w:ascii="宋体"/>
      <w:b/>
      <w:bCs/>
      <w:kern w:val="0"/>
      <w:sz w:val="18"/>
      <w:szCs w:val="18"/>
    </w:rPr>
  </w:style>
  <w:style w:type="paragraph" w:customStyle="1" w:styleId="60">
    <w:name w:val="6"/>
    <w:basedOn w:val="50"/>
    <w:qFormat/>
    <w:pPr>
      <w:spacing w:line="270" w:lineRule="atLeast"/>
      <w:jc w:val="both"/>
    </w:pPr>
    <w:rPr>
      <w:b w:val="0"/>
      <w:bCs w:val="0"/>
    </w:rPr>
  </w:style>
  <w:style w:type="paragraph" w:customStyle="1" w:styleId="a21">
    <w:name w:val="产品描述"/>
    <w:qFormat/>
    <w:pPr>
      <w:widowControl w:val="0"/>
      <w:autoSpaceDE w:val="0"/>
      <w:autoSpaceDN w:val="0"/>
      <w:adjustRightInd w:val="0"/>
      <w:spacing w:line="270" w:lineRule="atLeast"/>
      <w:ind w:firstLine="397"/>
      <w:jc w:val="both"/>
    </w:pPr>
    <w:rPr>
      <w:rFonts w:ascii="宋体" w:eastAsia="宋体" w:hAnsi="Times New Roman" w:cs="Times New Roman"/>
      <w:sz w:val="18"/>
      <w:szCs w:val="18"/>
      <w:lang w:val="en-US" w:eastAsia="zh-CN" w:bidi="ar-SA"/>
    </w:rPr>
  </w:style>
  <w:style w:type="paragraph" w:customStyle="1" w:styleId="a22">
    <w:name w:val="姜文清定义的正文"/>
    <w:basedOn w:val="Normal"/>
    <w:qFormat/>
    <w:pPr>
      <w:spacing w:line="240" w:lineRule="atLeast"/>
      <w:ind w:firstLine="567"/>
    </w:pPr>
    <w:rPr>
      <w:szCs w:val="20"/>
    </w:rPr>
  </w:style>
  <w:style w:type="paragraph" w:customStyle="1" w:styleId="Default">
    <w:name w:val="Default"/>
    <w:qFormat/>
    <w:pPr>
      <w:widowControl w:val="0"/>
      <w:autoSpaceDE w:val="0"/>
      <w:autoSpaceDN w:val="0"/>
      <w:adjustRightInd w:val="0"/>
    </w:pPr>
    <w:rPr>
      <w:rFonts w:ascii="H Yb 2gj" w:eastAsia="H Yb 2gj" w:hAnsi="Times New Roman" w:cs="H Yb 2gj"/>
      <w:color w:val="000000"/>
      <w:sz w:val="24"/>
      <w:szCs w:val="24"/>
      <w:lang w:val="en-US" w:eastAsia="zh-CN" w:bidi="ar-SA"/>
    </w:rPr>
  </w:style>
  <w:style w:type="paragraph" w:customStyle="1" w:styleId="CM2">
    <w:name w:val="CM2"/>
    <w:basedOn w:val="Default"/>
    <w:next w:val="Default"/>
    <w:qFormat/>
    <w:pPr>
      <w:spacing w:line="200" w:lineRule="atLeast"/>
    </w:pPr>
    <w:rPr>
      <w:rFonts w:ascii="Arial" w:eastAsia="宋体" w:hAnsi="Arial" w:cs="Times New Roman"/>
      <w:color w:val="auto"/>
    </w:rPr>
  </w:style>
  <w:style w:type="paragraph" w:customStyle="1" w:styleId="NormalParagraph">
    <w:name w:val="Normal Paragraph"/>
    <w:basedOn w:val="Normal"/>
    <w:qFormat/>
    <w:pPr>
      <w:widowControl/>
      <w:spacing w:before="120" w:line="360" w:lineRule="auto"/>
      <w:ind w:firstLine="425"/>
    </w:pPr>
    <w:rPr>
      <w:kern w:val="0"/>
      <w:sz w:val="24"/>
    </w:rPr>
  </w:style>
  <w:style w:type="character" w:customStyle="1" w:styleId="blue">
    <w:name w:val="blue"/>
    <w:basedOn w:val="DefaultParagraphFont"/>
    <w:qFormat/>
  </w:style>
  <w:style w:type="paragraph" w:customStyle="1" w:styleId="blue1">
    <w:name w:val="blue1"/>
    <w:basedOn w:val="Normal"/>
    <w:qFormat/>
    <w:pPr>
      <w:widowControl/>
      <w:spacing w:before="100" w:beforeAutospacing="1" w:after="100" w:afterAutospacing="1"/>
      <w:jc w:val="left"/>
    </w:pPr>
    <w:rPr>
      <w:rFonts w:ascii="宋体" w:hAnsi="宋体" w:cs="宋体"/>
      <w:kern w:val="0"/>
      <w:sz w:val="24"/>
    </w:rPr>
  </w:style>
  <w:style w:type="character" w:customStyle="1" w:styleId="font">
    <w:name w:val="font"/>
    <w:basedOn w:val="DefaultParagraphFont"/>
    <w:qFormat/>
  </w:style>
  <w:style w:type="character" w:customStyle="1" w:styleId="font11">
    <w:name w:val="font11"/>
    <w:qFormat/>
    <w:rPr>
      <w:rFonts w:ascii="ˎ̥" w:hAnsi="ˎ̥" w:hint="default"/>
    </w:rPr>
  </w:style>
  <w:style w:type="paragraph" w:customStyle="1" w:styleId="a140">
    <w:name w:val="a14"/>
    <w:basedOn w:val="Normal"/>
    <w:qFormat/>
    <w:pPr>
      <w:widowControl/>
      <w:spacing w:before="100" w:beforeAutospacing="1" w:after="100" w:afterAutospacing="1" w:line="300" w:lineRule="atLeast"/>
      <w:ind w:firstLine="375"/>
      <w:jc w:val="left"/>
    </w:pPr>
    <w:rPr>
      <w:rFonts w:ascii="宋体" w:hAnsi="宋体" w:cs="宋体"/>
      <w:kern w:val="0"/>
      <w:szCs w:val="21"/>
    </w:rPr>
  </w:style>
  <w:style w:type="character" w:customStyle="1" w:styleId="proddescription">
    <w:name w:val="proddescription"/>
    <w:basedOn w:val="DefaultParagraphFont"/>
    <w:qFormat/>
  </w:style>
  <w:style w:type="character" w:customStyle="1" w:styleId="prodheadlines">
    <w:name w:val="prodheadlines"/>
    <w:basedOn w:val="DefaultParagraphFont"/>
    <w:qFormat/>
  </w:style>
  <w:style w:type="character" w:customStyle="1" w:styleId="text">
    <w:name w:val="text"/>
    <w:basedOn w:val="DefaultParagraphFont"/>
    <w:qFormat/>
  </w:style>
  <w:style w:type="paragraph" w:customStyle="1" w:styleId="text1">
    <w:name w:val="text1"/>
    <w:basedOn w:val="Normal"/>
    <w:qFormat/>
    <w:pPr>
      <w:widowControl/>
      <w:spacing w:before="100" w:beforeAutospacing="1" w:after="100" w:afterAutospacing="1"/>
      <w:jc w:val="left"/>
    </w:pPr>
    <w:rPr>
      <w:rFonts w:ascii="宋体" w:hAnsi="宋体" w:cs="宋体"/>
      <w:kern w:val="0"/>
      <w:sz w:val="24"/>
    </w:rPr>
  </w:style>
  <w:style w:type="paragraph" w:customStyle="1" w:styleId="z-1">
    <w:name w:val="z-窗体顶端1"/>
    <w:basedOn w:val="Normal"/>
    <w:next w:val="Normal"/>
    <w:hidden/>
    <w:qFormat/>
    <w:pPr>
      <w:widowControl/>
      <w:pBdr>
        <w:bottom w:val="single" w:sz="6" w:space="1" w:color="auto"/>
      </w:pBdr>
      <w:jc w:val="center"/>
    </w:pPr>
    <w:rPr>
      <w:rFonts w:ascii="Arial" w:hAnsi="Arial" w:cs="Arial"/>
      <w:vanish/>
      <w:kern w:val="0"/>
      <w:sz w:val="16"/>
      <w:szCs w:val="16"/>
    </w:rPr>
  </w:style>
  <w:style w:type="paragraph" w:customStyle="1" w:styleId="z-10">
    <w:name w:val="z-窗体底端1"/>
    <w:basedOn w:val="Normal"/>
    <w:next w:val="Normal"/>
    <w:hidden/>
    <w:qFormat/>
    <w:pPr>
      <w:widowControl/>
      <w:pBdr>
        <w:top w:val="single" w:sz="6" w:space="1" w:color="auto"/>
      </w:pBdr>
      <w:jc w:val="center"/>
    </w:pPr>
    <w:rPr>
      <w:rFonts w:ascii="Arial" w:hAnsi="Arial" w:cs="Arial"/>
      <w:vanish/>
      <w:kern w:val="0"/>
      <w:sz w:val="16"/>
      <w:szCs w:val="16"/>
    </w:rPr>
  </w:style>
  <w:style w:type="paragraph" w:customStyle="1" w:styleId="a23">
    <w:name w:val="正文样式"/>
    <w:basedOn w:val="Normal"/>
    <w:qFormat/>
    <w:pPr>
      <w:adjustRightInd w:val="0"/>
      <w:spacing w:line="400" w:lineRule="atLeast"/>
      <w:ind w:firstLine="570" w:firstLineChars="203"/>
      <w:textAlignment w:val="baseline"/>
    </w:pPr>
    <w:rPr>
      <w:rFonts w:eastAsia="仿宋_GB2312"/>
      <w:kern w:val="0"/>
      <w:sz w:val="28"/>
      <w:szCs w:val="20"/>
    </w:rPr>
  </w:style>
  <w:style w:type="paragraph" w:customStyle="1" w:styleId="xl34">
    <w:name w:val="xl34"/>
    <w:basedOn w:val="Normal"/>
    <w:qFormat/>
    <w:pPr>
      <w:widowControl/>
      <w:pBdr>
        <w:left w:val="single" w:sz="4" w:space="0" w:color="auto"/>
      </w:pBdr>
      <w:spacing w:before="100" w:beforeAutospacing="1" w:after="100" w:afterAutospacing="1"/>
      <w:jc w:val="center"/>
      <w:textAlignment w:val="center"/>
    </w:pPr>
    <w:rPr>
      <w:rFonts w:ascii="宋体" w:hAnsi="宋体"/>
      <w:kern w:val="0"/>
      <w:sz w:val="24"/>
    </w:rPr>
  </w:style>
  <w:style w:type="paragraph" w:customStyle="1" w:styleId="a24">
    <w:name w:val="段落正文"/>
    <w:basedOn w:val="PlainText"/>
    <w:qFormat/>
    <w:pPr>
      <w:ind w:firstLine="560" w:firstLineChars="200"/>
    </w:pPr>
    <w:rPr>
      <w:sz w:val="28"/>
    </w:rPr>
  </w:style>
  <w:style w:type="character" w:customStyle="1" w:styleId="gray6">
    <w:name w:val="gray6"/>
    <w:basedOn w:val="DefaultParagraphFont"/>
    <w:qFormat/>
  </w:style>
  <w:style w:type="character" w:customStyle="1" w:styleId="style9">
    <w:name w:val="style9"/>
    <w:basedOn w:val="DefaultParagraphFont"/>
    <w:qFormat/>
  </w:style>
  <w:style w:type="paragraph" w:customStyle="1" w:styleId="24">
    <w:name w:val="2册标题4"/>
    <w:basedOn w:val="Normal"/>
    <w:next w:val="Normal"/>
    <w:qFormat/>
    <w:pPr>
      <w:spacing w:beforeLines="50" w:afterLines="50" w:line="300" w:lineRule="auto"/>
      <w:ind w:left="420" w:leftChars="200"/>
      <w:outlineLvl w:val="3"/>
    </w:pPr>
    <w:rPr>
      <w:rFonts w:ascii="Arial" w:eastAsia="幼圆" w:hAnsi="Arial" w:cs="Arial"/>
      <w:b/>
      <w:sz w:val="24"/>
    </w:rPr>
  </w:style>
  <w:style w:type="character" w:customStyle="1" w:styleId="grame">
    <w:name w:val="grame"/>
    <w:basedOn w:val="DefaultParagraphFont"/>
    <w:qFormat/>
  </w:style>
  <w:style w:type="paragraph" w:customStyle="1" w:styleId="style2">
    <w:name w:val="style2"/>
    <w:basedOn w:val="Normal"/>
    <w:qFormat/>
    <w:pPr>
      <w:widowControl/>
      <w:spacing w:before="100" w:beforeAutospacing="1" w:after="100" w:afterAutospacing="1"/>
      <w:jc w:val="left"/>
    </w:pPr>
    <w:rPr>
      <w:rFonts w:ascii="宋体" w:hAnsi="宋体" w:cs="宋体"/>
      <w:kern w:val="0"/>
      <w:sz w:val="18"/>
      <w:szCs w:val="18"/>
    </w:rPr>
  </w:style>
  <w:style w:type="paragraph" w:customStyle="1" w:styleId="Char10">
    <w:name w:val="Char1"/>
    <w:basedOn w:val="Normal"/>
    <w:qFormat/>
    <w:pPr>
      <w:jc w:val="left"/>
    </w:pPr>
    <w:rPr>
      <w:rFonts w:ascii="Tahoma" w:hAnsi="Tahoma"/>
      <w:sz w:val="24"/>
      <w:szCs w:val="20"/>
    </w:rPr>
  </w:style>
  <w:style w:type="paragraph" w:customStyle="1" w:styleId="12">
    <w:name w:val="编号1"/>
    <w:basedOn w:val="Normal"/>
    <w:qFormat/>
    <w:pPr>
      <w:numPr>
        <w:ilvl w:val="0"/>
        <w:numId w:val="6"/>
      </w:numPr>
      <w:adjustRightInd w:val="0"/>
      <w:spacing w:line="300" w:lineRule="auto"/>
      <w:ind w:right="210"/>
      <w:textAlignment w:val="center"/>
    </w:pPr>
    <w:rPr>
      <w:rFonts w:ascii="宋体" w:hAnsi="宋体"/>
      <w:snapToGrid w:val="0"/>
      <w:spacing w:val="10"/>
      <w:kern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qFormat/>
    <w:pPr>
      <w:widowControl/>
      <w:spacing w:line="400" w:lineRule="exact"/>
      <w:jc w:val="center"/>
    </w:pPr>
    <w:rPr>
      <w:rFonts w:ascii="Verdana" w:hAnsi="Verdana"/>
      <w:kern w:val="0"/>
      <w:szCs w:val="20"/>
      <w:lang w:eastAsia="en-US"/>
    </w:rPr>
  </w:style>
  <w:style w:type="paragraph" w:customStyle="1" w:styleId="font0">
    <w:name w:val="font0"/>
    <w:basedOn w:val="Normal"/>
    <w:qFormat/>
    <w:pPr>
      <w:widowControl/>
      <w:spacing w:before="100" w:beforeAutospacing="1" w:after="100" w:afterAutospacing="1"/>
      <w:jc w:val="left"/>
    </w:pPr>
    <w:rPr>
      <w:rFonts w:ascii="宋体" w:hAnsi="宋体" w:hint="eastAsia"/>
      <w:kern w:val="0"/>
      <w:sz w:val="24"/>
    </w:rPr>
  </w:style>
  <w:style w:type="paragraph" w:customStyle="1" w:styleId="font5">
    <w:name w:val="font5"/>
    <w:basedOn w:val="Normal"/>
    <w:qFormat/>
    <w:pPr>
      <w:widowControl/>
      <w:spacing w:before="100" w:beforeAutospacing="1" w:after="100" w:afterAutospacing="1"/>
      <w:jc w:val="left"/>
    </w:pPr>
    <w:rPr>
      <w:rFonts w:ascii="宋体" w:hAnsi="宋体" w:hint="eastAsia"/>
      <w:kern w:val="0"/>
      <w:sz w:val="18"/>
      <w:szCs w:val="18"/>
    </w:rPr>
  </w:style>
  <w:style w:type="paragraph" w:customStyle="1" w:styleId="font6">
    <w:name w:val="font6"/>
    <w:basedOn w:val="Normal"/>
    <w:qFormat/>
    <w:pPr>
      <w:widowControl/>
      <w:spacing w:before="100" w:beforeAutospacing="1" w:after="100" w:afterAutospacing="1"/>
      <w:jc w:val="left"/>
    </w:pPr>
    <w:rPr>
      <w:kern w:val="0"/>
      <w:sz w:val="24"/>
    </w:rPr>
  </w:style>
  <w:style w:type="paragraph" w:customStyle="1" w:styleId="xl24">
    <w:name w:val="xl24"/>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xl25">
    <w:name w:val="xl25"/>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a25">
    <w:name w:val="表格字"/>
    <w:basedOn w:val="Normal"/>
    <w:qFormat/>
    <w:pPr>
      <w:adjustRightInd w:val="0"/>
      <w:jc w:val="center"/>
    </w:pPr>
    <w:rPr>
      <w:rFonts w:ascii="宋体"/>
      <w:sz w:val="24"/>
      <w:szCs w:val="20"/>
    </w:rPr>
  </w:style>
  <w:style w:type="character" w:customStyle="1" w:styleId="a26">
    <w:name w:val="样式 小三 加粗"/>
    <w:qFormat/>
    <w:rPr>
      <w:rFonts w:eastAsia="宋体"/>
      <w:b/>
      <w:bCs/>
      <w:sz w:val="32"/>
    </w:rPr>
  </w:style>
  <w:style w:type="paragraph" w:customStyle="1" w:styleId="xl28">
    <w:name w:val="xl28"/>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qw">
    <w:name w:val="qw"/>
    <w:qFormat/>
    <w:pPr>
      <w:widowControl w:val="0"/>
      <w:adjustRightInd w:val="0"/>
      <w:spacing w:line="312" w:lineRule="atLeast"/>
      <w:jc w:val="both"/>
      <w:textAlignment w:val="baseline"/>
    </w:pPr>
    <w:rPr>
      <w:rFonts w:ascii="宋体" w:eastAsia="宋体" w:hAnsi="Times New Roman" w:cs="Times New Roman"/>
      <w:sz w:val="24"/>
      <w:lang w:val="en-US" w:eastAsia="zh-CN" w:bidi="ar-SA"/>
    </w:rPr>
  </w:style>
  <w:style w:type="paragraph" w:customStyle="1" w:styleId="CharCharChar">
    <w:name w:val="Char Char Char"/>
    <w:basedOn w:val="Normal"/>
    <w:qFormat/>
    <w:rPr>
      <w:rFonts w:ascii="Tahoma" w:hAnsi="Tahoma"/>
      <w:sz w:val="24"/>
      <w:szCs w:val="20"/>
    </w:rPr>
  </w:style>
  <w:style w:type="paragraph" w:customStyle="1" w:styleId="Char20">
    <w:name w:val="Char2"/>
    <w:basedOn w:val="Normal"/>
    <w:qFormat/>
    <w:pPr>
      <w:widowControl/>
      <w:spacing w:after="160" w:line="240" w:lineRule="exact"/>
      <w:jc w:val="left"/>
    </w:pPr>
    <w:rPr>
      <w:rFonts w:ascii="Verdana" w:eastAsia="仿宋_GB2312" w:hAnsi="Verdana"/>
      <w:kern w:val="0"/>
      <w:sz w:val="24"/>
      <w:szCs w:val="20"/>
      <w:lang w:eastAsia="en-US"/>
    </w:rPr>
  </w:style>
  <w:style w:type="character" w:customStyle="1" w:styleId="info4">
    <w:name w:val="info4"/>
    <w:basedOn w:val="DefaultParagraphFont"/>
    <w:qFormat/>
  </w:style>
  <w:style w:type="paragraph" w:customStyle="1" w:styleId="a27">
    <w:name w:val="缩进正文"/>
    <w:basedOn w:val="Normal"/>
    <w:link w:val="Char3"/>
    <w:qFormat/>
    <w:pPr>
      <w:ind w:firstLine="560" w:firstLineChars="200"/>
    </w:pPr>
    <w:rPr>
      <w:rFonts w:eastAsia="仿宋_GB2312" w:cs="宋体"/>
      <w:sz w:val="28"/>
      <w:szCs w:val="20"/>
    </w:rPr>
  </w:style>
  <w:style w:type="character" w:customStyle="1" w:styleId="Char3">
    <w:name w:val="缩进正文 Char"/>
    <w:link w:val="a27"/>
    <w:qFormat/>
    <w:rPr>
      <w:rFonts w:eastAsia="仿宋_GB2312" w:cs="宋体"/>
      <w:kern w:val="2"/>
      <w:sz w:val="28"/>
      <w:lang w:val="en-US" w:eastAsia="zh-CN" w:bidi="ar-SA"/>
    </w:rPr>
  </w:style>
  <w:style w:type="paragraph" w:customStyle="1" w:styleId="13">
    <w:name w:val="列出段落1"/>
    <w:basedOn w:val="Normal"/>
    <w:qFormat/>
    <w:pPr>
      <w:ind w:firstLine="420" w:firstLineChars="200"/>
    </w:pPr>
    <w:rPr>
      <w:rFonts w:ascii="Calibri" w:hAnsi="Calibri" w:cs="Calibri"/>
      <w:szCs w:val="21"/>
    </w:rPr>
  </w:style>
  <w:style w:type="character" w:customStyle="1" w:styleId="a28">
    <w:name w:val="批注文字 字符"/>
    <w:basedOn w:val="DefaultParagraphFont"/>
    <w:link w:val="CommentText"/>
    <w:uiPriority w:val="99"/>
    <w:qFormat/>
    <w:rPr>
      <w:rFonts w:ascii="宋体"/>
      <w:sz w:val="34"/>
    </w:rPr>
  </w:style>
  <w:style w:type="character" w:customStyle="1" w:styleId="a29">
    <w:name w:val="批注主题 字符"/>
    <w:basedOn w:val="a28"/>
    <w:link w:val="CommentSubject"/>
    <w:uiPriority w:val="99"/>
    <w:qFormat/>
    <w:rPr>
      <w:rFonts w:ascii="宋体"/>
      <w:sz w:val="34"/>
    </w:rPr>
  </w:style>
  <w:style w:type="paragraph" w:customStyle="1" w:styleId="a30">
    <w:name w:val="评价"/>
    <w:basedOn w:val="Normal"/>
    <w:qFormat/>
    <w:pPr>
      <w:spacing w:afterLines="20"/>
      <w:ind w:firstLine="1446" w:firstLineChars="200"/>
    </w:pPr>
    <w:rPr>
      <w:rFonts w:ascii="Calibri" w:hAnsi="Calibri"/>
      <w:sz w:val="24"/>
    </w:rPr>
  </w:style>
  <w:style w:type="paragraph" w:customStyle="1" w:styleId="14">
    <w:name w:val="修订1"/>
    <w:hidden/>
    <w:uiPriority w:val="99"/>
    <w:semiHidden/>
    <w:qFormat/>
    <w:rPr>
      <w:rFonts w:ascii="Times New Roman" w:eastAsia="宋体" w:hAnsi="Times New Roman" w:cs="Times New Roman"/>
      <w:kern w:val="2"/>
      <w:sz w:val="21"/>
      <w:szCs w:val="24"/>
      <w:lang w:val="en-US" w:eastAsia="zh-CN" w:bidi="ar-SA"/>
    </w:rPr>
  </w:style>
  <w:style w:type="character" w:customStyle="1" w:styleId="alt-edited1">
    <w:name w:val="alt-edited1"/>
    <w:qFormat/>
    <w:rPr>
      <w:color w:val="4D90F0"/>
    </w:rPr>
  </w:style>
  <w:style w:type="character" w:customStyle="1" w:styleId="bodytextChar1">
    <w:name w:val="body text Char1"/>
    <w:qFormat/>
    <w:rPr>
      <w:rFonts w:eastAsia="宋体"/>
      <w:kern w:val="2"/>
      <w:sz w:val="21"/>
      <w:lang w:val="en-US" w:eastAsia="zh-CN" w:bidi="ar-SA"/>
    </w:rPr>
  </w:style>
  <w:style w:type="character" w:customStyle="1" w:styleId="a31">
    <w:name w:val="普通(网站) 字符"/>
    <w:link w:val="NormalWeb"/>
    <w:uiPriority w:val="99"/>
    <w:qFormat/>
    <w:rPr>
      <w:kern w:val="2"/>
      <w:sz w:val="24"/>
      <w:szCs w:val="24"/>
    </w:rPr>
  </w:style>
  <w:style w:type="character" w:customStyle="1" w:styleId="Char12">
    <w:name w:val="批注文字 Char1"/>
    <w:uiPriority w:val="99"/>
    <w:qFormat/>
    <w:rPr>
      <w:rFonts w:ascii="宋体"/>
      <w:sz w:val="34"/>
    </w:rPr>
  </w:style>
  <w:style w:type="character" w:customStyle="1" w:styleId="Char13">
    <w:name w:val="正文缩进 Char1"/>
    <w:qFormat/>
    <w:rPr>
      <w:rFonts w:eastAsia="宋体"/>
      <w:kern w:val="2"/>
      <w:sz w:val="21"/>
      <w:lang w:val="en-US" w:eastAsia="zh-CN" w:bidi="ar-SA"/>
    </w:rPr>
  </w:style>
  <w:style w:type="table" w:customStyle="1" w:styleId="15">
    <w:name w:val="网格型1"/>
    <w:basedOn w:val="TableNormal"/>
    <w:qFormat/>
    <w:pPr>
      <w:widowControl w:val="0"/>
      <w:jc w:val="both"/>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修订2"/>
    <w:hidden/>
    <w:uiPriority w:val="99"/>
    <w:unhideWhenUsed/>
    <w:qFormat/>
    <w:rPr>
      <w:rFonts w:ascii="Times New Roman" w:eastAsia="宋体" w:hAnsi="Times New Roman" w:cs="Times New Roman"/>
      <w:kern w:val="2"/>
      <w:sz w:val="21"/>
      <w:szCs w:val="24"/>
      <w:lang w:val="en-US" w:eastAsia="zh-CN" w:bidi="ar-SA"/>
    </w:rPr>
  </w:style>
  <w:style w:type="paragraph" w:styleId="NoSpacing">
    <w:name w:val="No Spacing"/>
    <w:uiPriority w:val="1"/>
    <w:qFormat/>
    <w:pPr>
      <w:widowControl w:val="0"/>
      <w:jc w:val="both"/>
    </w:pPr>
    <w:rPr>
      <w:rFonts w:ascii="Calibri" w:eastAsia="宋体" w:hAnsi="Calibri" w:cs="Times New Roman"/>
      <w:kern w:val="2"/>
      <w:sz w:val="21"/>
      <w:szCs w:val="22"/>
      <w:lang w:val="en-US" w:eastAsia="zh-CN" w:bidi="ar-SA"/>
    </w:rPr>
  </w:style>
  <w:style w:type="paragraph" w:customStyle="1" w:styleId="25">
    <w:name w:val="列出段落2"/>
    <w:basedOn w:val="Normal"/>
    <w:uiPriority w:val="34"/>
    <w:qFormat/>
    <w:pPr>
      <w:ind w:firstLine="420" w:firstLineChars="200"/>
    </w:pPr>
  </w:style>
  <w:style w:type="paragraph" w:customStyle="1" w:styleId="TableParagraph">
    <w:name w:val="Table Paragraph"/>
    <w:basedOn w:val="Normal"/>
    <w:qFormat/>
    <w:pPr>
      <w:widowControl/>
      <w:autoSpaceDE w:val="0"/>
      <w:autoSpaceDN w:val="0"/>
      <w:jc w:val="left"/>
    </w:pPr>
    <w:rPr>
      <w:rFonts w:ascii="宋体" w:hAnsi="宋体" w:cs="宋体"/>
      <w:kern w:val="0"/>
      <w:sz w:val="22"/>
      <w:szCs w:val="22"/>
      <w:lang w:val="zh-CN" w:bidi="zh-CN"/>
    </w:rPr>
  </w:style>
  <w:style w:type="paragraph" w:customStyle="1" w:styleId="33">
    <w:name w:val="修订3"/>
    <w:hidden/>
    <w:uiPriority w:val="99"/>
    <w:semiHidden/>
    <w:qFormat/>
    <w:rPr>
      <w:rFonts w:ascii="Times New Roman" w:eastAsia="宋体" w:hAnsi="Times New Roman" w:cs="Times New Roman"/>
      <w:kern w:val="2"/>
      <w:sz w:val="21"/>
      <w:szCs w:val="24"/>
      <w:lang w:val="en-US" w:eastAsia="zh-CN" w:bidi="ar-SA"/>
    </w:rPr>
  </w:style>
  <w:style w:type="paragraph" w:customStyle="1" w:styleId="42">
    <w:name w:val="修订4"/>
    <w:hidden/>
    <w:uiPriority w:val="99"/>
    <w:unhideWhenUsed/>
    <w:qFormat/>
    <w:rPr>
      <w:rFonts w:ascii="Times New Roman" w:eastAsia="宋体" w:hAnsi="Times New Roman" w:cs="Times New Roman"/>
      <w:kern w:val="2"/>
      <w:sz w:val="21"/>
      <w:szCs w:val="24"/>
      <w:lang w:val="en-US" w:eastAsia="zh-CN" w:bidi="ar-SA"/>
    </w:rPr>
  </w:style>
  <w:style w:type="paragraph" w:customStyle="1" w:styleId="Revision">
    <w:name w:val="Revision"/>
    <w:hidden/>
    <w:uiPriority w:val="99"/>
    <w:unhideWhenUsed/>
    <w:qFormat/>
    <w:rPr>
      <w:rFonts w:ascii="Times New Roman" w:eastAsia="宋体" w:hAnsi="Times New Roman" w:cs="Times New Roman"/>
      <w:kern w:val="2"/>
      <w:sz w:val="21"/>
      <w:szCs w:val="24"/>
      <w:lang w:val="en-US" w:eastAsia="zh-CN" w:bidi="ar-SA"/>
    </w:rPr>
  </w:style>
  <w:style w:type="character" w:customStyle="1" w:styleId="hover">
    <w:name w:val="hover"/>
    <w:basedOn w:val="DefaultParagraphFont"/>
    <w:qFormat/>
    <w:rPr>
      <w:color w:val="2590EB"/>
    </w:rPr>
  </w:style>
  <w:style w:type="character" w:customStyle="1" w:styleId="hover1">
    <w:name w:val="hover1"/>
    <w:basedOn w:val="DefaultParagraphFont"/>
    <w:qFormat/>
    <w:rPr>
      <w:color w:val="2590EB"/>
    </w:rPr>
  </w:style>
  <w:style w:type="character" w:customStyle="1" w:styleId="hover2">
    <w:name w:val="hover2"/>
    <w:basedOn w:val="DefaultParagraphFont"/>
    <w:qFormat/>
  </w:style>
  <w:style w:type="character" w:customStyle="1" w:styleId="hover3">
    <w:name w:val="hover3"/>
    <w:basedOn w:val="DefaultParagraphFont"/>
    <w:qFormat/>
    <w:rPr>
      <w:color w:val="2590EB"/>
      <w:shd w:val="clear" w:color="auto" w:fill="E9F4FD"/>
    </w:rPr>
  </w:style>
  <w:style w:type="character" w:customStyle="1" w:styleId="mini-outputtext1">
    <w:name w:val="mini-outputtext1"/>
    <w:basedOn w:val="DefaultParagraphFont"/>
    <w:qFormat/>
  </w:style>
  <w:style w:type="character" w:customStyle="1" w:styleId="hover4">
    <w:name w:val="hover4"/>
    <w:basedOn w:val="DefaultParagraphFont"/>
    <w:qFormat/>
    <w:rPr>
      <w:color w:val="2590EB"/>
      <w:shd w:val="clear" w:color="auto" w:fill="E9F4F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3.png"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header" Target="header1.xml" /><Relationship Id="rId8" Type="http://schemas.openxmlformats.org/officeDocument/2006/relationships/image" Target="media/image1.png" /><Relationship Id="rId9"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SixthEditionOfficeOnline.xsl" Version="6" StyleName="APA"/>
</file>

<file path=customXml/itemProps1.xml><?xml version="1.0" encoding="utf-8"?>
<ds:datastoreItem xmlns:ds="http://schemas.openxmlformats.org/officeDocument/2006/customXml" ds:itemID="{B982A56E-625E-42A2-A207-929A094C1A8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3745</Words>
  <Characters>3814</Characters>
  <Application>Microsoft Office Word</Application>
  <DocSecurity>0</DocSecurity>
  <Lines>2691</Lines>
  <Paragraphs>2932</Paragraphs>
  <ScaleCrop>false</ScaleCrop>
  <Company>Microsoft</Company>
  <LinksUpToDate>false</LinksUpToDate>
  <CharactersWithSpaces>3824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thsware</dc:creator>
  <cp:lastModifiedBy>李瑞蒙</cp:lastModifiedBy>
  <cp:revision>6</cp:revision>
  <cp:lastPrinted>2021-05-10T00:02:00Z</cp:lastPrinted>
  <dcterms:created xsi:type="dcterms:W3CDTF">2025-04-23T10:13:00Z</dcterms:created>
  <dcterms:modified xsi:type="dcterms:W3CDTF">2025-05-19T04:08:09Z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FCE4F0EB40294F48A070D0DBD042F472_13</vt:lpwstr>
  </property>
  <property fmtid="{D5CDD505-2E9C-101B-9397-08002B2CF9AE}" pid="3" name="KSOProductBuildVer">
    <vt:lpwstr>2052-12.1.0.21171</vt:lpwstr>
  </property>
  <property fmtid="{D5CDD505-2E9C-101B-9397-08002B2CF9AE}" pid="4" name="KSOTemplateDocerSaveRecord">
    <vt:lpwstr>eyJoZGlkIjoiNzJkYzlkMTNmZDBjZTYzMGJlNGE2YTYwZDQxNDllN2QiLCJ1c2VySWQiOiIzMjk3MDk4MzkifQ==</vt:lpwstr>
  </property>
</Properties>
</file>