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widowControl/>
        <w:autoSpaceDE w:val="0"/>
        <w:autoSpaceDN w:val="0"/>
        <w:ind w:right="-34"/>
        <w:jc w:val="center"/>
        <w:textAlignment w:val="bottom"/>
        <w:rPr>
          <w:rFonts w:ascii="黑体" w:eastAsia="黑体" w:hAnsi="黑体" w:cs="黑体" w:hint="eastAsia"/>
          <w:b/>
          <w:color w:val="000000"/>
          <w:sz w:val="80"/>
          <w:szCs w:val="80"/>
          <w:highlight w:val="none"/>
        </w:rPr>
      </w:pPr>
    </w:p>
    <w:p>
      <w:pPr>
        <w:widowControl/>
        <w:autoSpaceDE w:val="0"/>
        <w:autoSpaceDN w:val="0"/>
        <w:ind w:right="-34"/>
        <w:jc w:val="center"/>
        <w:textAlignment w:val="bottom"/>
        <w:rPr>
          <w:rFonts w:ascii="黑体" w:eastAsia="黑体" w:hAnsi="黑体" w:cs="宋体" w:hint="eastAsia"/>
          <w:b/>
          <w:bCs/>
          <w:color w:val="000000"/>
          <w:sz w:val="84"/>
          <w:szCs w:val="84"/>
          <w:highlight w:val="none"/>
        </w:rPr>
      </w:pPr>
      <w:r>
        <w:rPr>
          <w:rFonts w:ascii="黑体" w:eastAsia="黑体" w:hAnsi="黑体" w:cs="黑体" w:hint="eastAsia"/>
          <w:b/>
          <w:color w:val="000000"/>
          <w:sz w:val="80"/>
          <w:szCs w:val="80"/>
          <w:highlight w:val="none"/>
        </w:rPr>
        <w:t>环境工程-三重串联四极杆电感耦合等离子体质谱仪</w:t>
      </w:r>
      <w:r>
        <w:rPr>
          <w:rFonts w:ascii="黑体" w:eastAsia="黑体" w:hAnsi="黑体" w:cs="黑体" w:hint="eastAsia"/>
          <w:b/>
          <w:color w:val="000000"/>
          <w:sz w:val="84"/>
          <w:szCs w:val="84"/>
          <w:highlight w:val="none"/>
        </w:rPr>
        <w:t xml:space="preserve"> </w:t>
      </w:r>
    </w:p>
    <w:p>
      <w:pPr>
        <w:widowControl/>
        <w:autoSpaceDE w:val="0"/>
        <w:autoSpaceDN w:val="0"/>
        <w:spacing w:line="300" w:lineRule="auto"/>
        <w:ind w:right="-36"/>
        <w:textAlignment w:val="bottom"/>
        <w:rPr>
          <w:rFonts w:ascii="宋体" w:hAnsi="宋体" w:cs="宋体"/>
          <w:color w:val="000000"/>
          <w:sz w:val="44"/>
          <w:szCs w:val="44"/>
          <w:highlight w:val="none"/>
        </w:rPr>
      </w:pPr>
    </w:p>
    <w:p>
      <w:pPr>
        <w:pStyle w:val="BodyText"/>
        <w:rPr>
          <w:color w:val="000000"/>
          <w:highlight w:val="none"/>
        </w:rPr>
      </w:pPr>
    </w:p>
    <w:p>
      <w:pPr>
        <w:rPr>
          <w:color w:val="000000"/>
          <w:highlight w:val="none"/>
        </w:rPr>
      </w:pPr>
    </w:p>
    <w:p>
      <w:pPr>
        <w:pStyle w:val="a0"/>
        <w:rPr>
          <w:rFonts w:ascii="宋体" w:hAnsi="宋体" w:cs="宋体"/>
          <w:color w:val="000000"/>
          <w:highlight w:val="none"/>
        </w:rPr>
      </w:pPr>
    </w:p>
    <w:p>
      <w:pPr>
        <w:pStyle w:val="a0"/>
        <w:rPr>
          <w:rFonts w:ascii="宋体" w:hAnsi="宋体" w:cs="宋体"/>
          <w:color w:val="000000"/>
          <w:highlight w:val="none"/>
        </w:rPr>
      </w:pPr>
    </w:p>
    <w:p>
      <w:pPr>
        <w:pStyle w:val="a0"/>
        <w:rPr>
          <w:rFonts w:ascii="宋体" w:hAnsi="宋体" w:cs="宋体"/>
          <w:color w:val="000000"/>
          <w:highlight w:val="none"/>
        </w:rPr>
      </w:pPr>
    </w:p>
    <w:p>
      <w:pPr>
        <w:pStyle w:val="a0"/>
        <w:rPr>
          <w:rFonts w:ascii="宋体" w:hAnsi="宋体" w:cs="宋体"/>
          <w:color w:val="000000"/>
          <w:highlight w:val="none"/>
        </w:rPr>
      </w:pPr>
    </w:p>
    <w:p>
      <w:pPr>
        <w:pStyle w:val="a0"/>
        <w:rPr>
          <w:rFonts w:ascii="宋体" w:hAnsi="宋体" w:cs="宋体"/>
          <w:color w:val="000000"/>
          <w:highlight w:val="none"/>
        </w:rPr>
      </w:pPr>
    </w:p>
    <w:p>
      <w:pPr>
        <w:widowControl/>
        <w:autoSpaceDE w:val="0"/>
        <w:autoSpaceDN w:val="0"/>
        <w:spacing w:line="300" w:lineRule="auto"/>
        <w:ind w:right="-36"/>
        <w:jc w:val="center"/>
        <w:textAlignment w:val="bottom"/>
        <w:rPr>
          <w:rFonts w:ascii="黑体" w:eastAsia="黑体" w:hAnsi="黑体" w:cs="黑体"/>
          <w:b/>
          <w:color w:val="000000"/>
          <w:sz w:val="80"/>
          <w:szCs w:val="80"/>
          <w:highlight w:val="none"/>
        </w:rPr>
      </w:pPr>
      <w:r>
        <w:rPr>
          <w:rFonts w:ascii="黑体" w:eastAsia="黑体" w:hAnsi="黑体" w:cs="黑体" w:hint="eastAsia"/>
          <w:b/>
          <w:color w:val="000000"/>
          <w:sz w:val="80"/>
          <w:szCs w:val="80"/>
          <w:highlight w:val="none"/>
        </w:rPr>
        <w:t>招标文件</w:t>
      </w:r>
    </w:p>
    <w:p>
      <w:pPr>
        <w:widowControl/>
        <w:autoSpaceDE w:val="0"/>
        <w:autoSpaceDN w:val="0"/>
        <w:spacing w:line="300" w:lineRule="auto"/>
        <w:ind w:right="-36"/>
        <w:jc w:val="center"/>
        <w:textAlignment w:val="bottom"/>
        <w:rPr>
          <w:rFonts w:ascii="宋体" w:hAnsi="宋体" w:cs="宋体" w:hint="eastAsia"/>
          <w:b/>
          <w:color w:val="000000"/>
          <w:sz w:val="36"/>
          <w:szCs w:val="36"/>
          <w:highlight w:val="none"/>
        </w:rPr>
      </w:pPr>
      <w:r>
        <w:rPr>
          <w:rFonts w:ascii="宋体" w:hAnsi="宋体" w:cs="宋体" w:hint="eastAsia"/>
          <w:b/>
          <w:color w:val="000000"/>
          <w:sz w:val="36"/>
          <w:szCs w:val="36"/>
          <w:highlight w:val="none"/>
        </w:rPr>
        <w:t>项目编号：</w:t>
      </w:r>
      <w:r>
        <w:rPr>
          <w:rFonts w:ascii="宋体" w:hAnsi="宋体" w:cs="宋体" w:hint="eastAsia"/>
          <w:b/>
          <w:color w:val="000000"/>
          <w:sz w:val="36"/>
          <w:szCs w:val="36"/>
          <w:highlight w:val="none"/>
          <w:lang w:eastAsia="zh-CN"/>
        </w:rPr>
        <w:t>SZDL2023001804</w:t>
      </w:r>
      <w:r>
        <w:rPr>
          <w:rFonts w:ascii="宋体" w:hAnsi="宋体" w:cs="宋体" w:hint="eastAsia"/>
          <w:b/>
          <w:color w:val="000000"/>
          <w:sz w:val="36"/>
          <w:szCs w:val="36"/>
          <w:highlight w:val="none"/>
        </w:rPr>
        <w:t xml:space="preserve">    </w:t>
      </w:r>
    </w:p>
    <w:p>
      <w:pPr>
        <w:widowControl/>
        <w:autoSpaceDE w:val="0"/>
        <w:autoSpaceDN w:val="0"/>
        <w:spacing w:line="300" w:lineRule="auto"/>
        <w:ind w:right="-36"/>
        <w:jc w:val="center"/>
        <w:textAlignment w:val="bottom"/>
        <w:rPr>
          <w:rFonts w:ascii="宋体" w:hAnsi="宋体" w:cs="宋体"/>
          <w:b/>
          <w:color w:val="000000"/>
          <w:sz w:val="28"/>
          <w:szCs w:val="28"/>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a1"/>
        <w:ind w:firstLine="420"/>
        <w:rPr>
          <w:color w:val="000000"/>
          <w:highlight w:val="none"/>
        </w:rPr>
      </w:pPr>
    </w:p>
    <w:p>
      <w:pPr>
        <w:pStyle w:val="NormalInden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BodyTex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widowControl/>
        <w:autoSpaceDE w:val="0"/>
        <w:autoSpaceDN w:val="0"/>
        <w:spacing w:line="300" w:lineRule="auto"/>
        <w:ind w:right="-36" w:firstLine="735" w:firstLineChars="350"/>
        <w:textAlignment w:val="bottom"/>
        <w:rPr>
          <w:rFonts w:ascii="黑体" w:eastAsia="黑体" w:hAnsi="黑体" w:cs="黑体" w:hint="eastAsia"/>
          <w:b/>
          <w:color w:val="000000"/>
          <w:sz w:val="36"/>
          <w:szCs w:val="36"/>
          <w:highlight w:val="none"/>
        </w:rPr>
      </w:pPr>
      <w:r>
        <w:rPr>
          <w:rFonts w:ascii="黑体" w:eastAsia="黑体" w:hAnsi="黑体" w:cs="黑体" w:hint="eastAsia"/>
          <w:b/>
          <w:color w:val="000000"/>
          <w:sz w:val="36"/>
          <w:szCs w:val="36"/>
          <w:highlight w:val="none"/>
        </w:rPr>
        <w:t xml:space="preserve"> 采   购   人: 清华大学深圳国际研究生院</w:t>
      </w:r>
    </w:p>
    <w:p>
      <w:pPr>
        <w:widowControl/>
        <w:autoSpaceDE w:val="0"/>
        <w:autoSpaceDN w:val="0"/>
        <w:spacing w:line="300" w:lineRule="auto"/>
        <w:ind w:right="-36"/>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 xml:space="preserve">        采购代理机构: 中国远东国际招标有限公司</w:t>
      </w:r>
    </w:p>
    <w:p>
      <w:pPr>
        <w:widowControl/>
        <w:autoSpaceDE w:val="0"/>
        <w:autoSpaceDN w:val="0"/>
        <w:spacing w:line="300" w:lineRule="auto"/>
        <w:ind w:right="-36"/>
        <w:jc w:val="center"/>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2023年08月</w:t>
      </w:r>
    </w:p>
    <w:p>
      <w:pPr>
        <w:pStyle w:val="Heading2"/>
        <w:spacing w:line="260" w:lineRule="exact"/>
        <w:jc w:val="both"/>
        <w:rPr>
          <w:rFonts w:ascii="黑体" w:eastAsia="黑体" w:hAnsi="黑体" w:cs="黑体"/>
          <w:color w:val="000000"/>
          <w:highlight w:val="none"/>
        </w:rPr>
        <w:sectPr>
          <w:headerReference w:type="default" r:id="rId4"/>
          <w:footerReference w:type="even" r:id="rId5"/>
          <w:footerReference w:type="default" r:id="rId6"/>
          <w:headerReference w:type="first" r:id="rId7"/>
          <w:footerReference w:type="first" r:id="rId8"/>
          <w:pgSz w:w="11907" w:h="16840"/>
          <w:pgMar w:top="1440" w:right="850" w:bottom="1440" w:left="1080" w:header="851" w:footer="992" w:gutter="0"/>
          <w:cols w:space="720"/>
          <w:titlePg/>
          <w:docGrid w:linePitch="462"/>
        </w:sectPr>
      </w:pPr>
    </w:p>
    <w:p>
      <w:pPr>
        <w:pStyle w:val="Heading1"/>
        <w:spacing w:before="240" w:after="240" w:line="240" w:lineRule="auto"/>
        <w:rPr>
          <w:rFonts w:ascii="黑体" w:hAnsi="黑体" w:cs="黑体"/>
          <w:color w:val="000000"/>
          <w:sz w:val="36"/>
          <w:szCs w:val="52"/>
          <w:highlight w:val="none"/>
        </w:rPr>
      </w:pPr>
      <w:r>
        <w:rPr>
          <w:rFonts w:ascii="黑体" w:hAnsi="黑体" w:cs="黑体" w:hint="eastAsia"/>
          <w:color w:val="000000"/>
          <w:sz w:val="36"/>
          <w:szCs w:val="52"/>
          <w:highlight w:val="none"/>
        </w:rPr>
        <w:t>警示条款</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（一）在采购活动中应当回避而未回避的；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（二）未按本条例规定签订、履行采购合同，造成严重后果的；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（三）隐瞒真实情况，提供虚假资料的；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（四）以非法手段排斥其他供应商参与竞争的；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（五）与其他采购参加人串通投标的；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（六）恶意投诉的；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（七）向采购项目相关人行贿或者提供其他不当利益的；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（八）阻碍、抗拒主管部门监督检查的；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（九）其他违反本条例规定的行为。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（一）投标截止后，撤销投标的；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（二）中标后无正当理由未在规定期限内签订合同的；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（三）将中标项目转让给他人、或者在投标文件中未说明且未经采购人、采购招标机构同意，将中标项目分包给他人的；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（四）拒绝履行合同义务的。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三、《深圳经济特区政府采购条例实施细则》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第七十</w:t>
      </w:r>
      <w:r>
        <w:rPr>
          <w:rFonts w:ascii="宋体" w:hAnsi="宋体" w:hint="eastAsia"/>
          <w:color w:val="000000"/>
          <w:sz w:val="24"/>
          <w:highlight w:val="none"/>
        </w:rPr>
        <w:t>五</w:t>
      </w:r>
      <w:r>
        <w:rPr>
          <w:rFonts w:ascii="宋体" w:hAnsi="宋体"/>
          <w:color w:val="000000"/>
          <w:sz w:val="24"/>
          <w:highlight w:val="none"/>
        </w:rPr>
        <w:t>条 供应商有下列情形的，属于采购条例所称的串通投标行为，按照采购条例第五十七条有关规定处理：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（一）投标供应商之间相互约定给予未中标的供应商利益补偿；</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（二）不同投标供应商的法定代表人、主要经营负责人、项目投标授权代表人、项目负责人、主要技术人员为同一人、属同一单位或者在同一单位缴纳社会保险；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（三）不同投标供应商的投标文件由同一单位或者同一人编制，或者由同一人分阶段参与编制的；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（四）不同投标供应商的投标文件或部分投标文件相互混装；</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（五）不同投标供应商的投标文件内容存在非正常一致；</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（六）由同一单位工作人员为两家以上（含两家）供应商进行同一项投标活动的；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（七）主管部门依照法律、法规认定的其他情形。</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w:t>
      </w:r>
      <w:r>
        <w:rPr>
          <w:rFonts w:ascii="宋体" w:hAnsi="宋体" w:hint="eastAsia"/>
          <w:color w:val="000000"/>
          <w:sz w:val="24"/>
          <w:highlight w:val="none"/>
        </w:rPr>
        <w:t>七十七</w:t>
      </w:r>
      <w:r>
        <w:rPr>
          <w:rFonts w:ascii="宋体" w:hAnsi="宋体"/>
          <w:color w:val="000000"/>
          <w:sz w:val="24"/>
          <w:highlight w:val="none"/>
        </w:rPr>
        <w:t>条 供应商有下列情形之一的，属于隐瞒真实情况，提供虚假资料，按照采购条例第五十七的有关规定处理：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（一）通过转让或者租借等方式从其他单位获取资格或者资质证书投标的；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（二）由其他单位或者其他单位负责人在投标供应商编制的投标文件上加盖印章或者签字的；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（三）项目负责人或者主要技术人员不是本单位人员的；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（四）投标保证金不是从投标供应商基本账户转出的；</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（五）其他隐瞒真实情况、提供虚假资料的行为。</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投标供应商不能提供项目负责人或者主要技术人员的劳动合同、社会保险等劳动关系证明材料的，视为存在前款第（三）项规定的情形。</w:t>
      </w:r>
    </w:p>
    <w:p>
      <w:pPr>
        <w:widowControl/>
        <w:snapToGrid w:val="0"/>
        <w:spacing w:line="360" w:lineRule="exact"/>
        <w:textAlignment w:val="baseline"/>
        <w:rPr>
          <w:rFonts w:ascii="宋体" w:hAnsi="宋体"/>
          <w:color w:val="000000"/>
          <w:szCs w:val="21"/>
          <w:highlight w:val="none"/>
        </w:rPr>
      </w:pPr>
    </w:p>
    <w:p>
      <w:pPr>
        <w:widowControl/>
        <w:snapToGrid w:val="0"/>
        <w:spacing w:line="300" w:lineRule="atLeast"/>
        <w:ind w:firstLine="525" w:firstLineChars="250"/>
        <w:textAlignment w:val="baseline"/>
        <w:rPr>
          <w:rFonts w:ascii="宋体" w:hAnsi="宋体" w:cs="宋体"/>
          <w:bCs/>
          <w:color w:val="000000"/>
          <w:sz w:val="28"/>
          <w:szCs w:val="28"/>
          <w:highlight w:val="none"/>
        </w:rPr>
      </w:pPr>
      <w:r>
        <w:rPr>
          <w:rFonts w:ascii="宋体" w:hAnsi="宋体"/>
          <w:bCs/>
          <w:color w:val="000000"/>
          <w:sz w:val="24"/>
          <w:highlight w:val="none"/>
        </w:rPr>
        <w:t>四、《中华人民共和国政府采购法实施条例》 </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bCs/>
          <w:color w:val="000000"/>
          <w:sz w:val="24"/>
          <w:highlight w:val="none"/>
        </w:rPr>
        <w:t>第十八条</w:t>
      </w:r>
      <w:r>
        <w:rPr>
          <w:rFonts w:ascii="宋体" w:hAnsi="宋体"/>
          <w:color w:val="000000"/>
          <w:sz w:val="24"/>
          <w:highlight w:val="none"/>
        </w:rPr>
        <w:t>单位负责人为同一人或者存在直接控股、管理关系的不同供应商，不得参加同一合同项下的政府采购活动。</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color w:val="000000"/>
          <w:sz w:val="24"/>
          <w:highlight w:val="none"/>
        </w:rPr>
        <w:t>除单一来源采购项目外，为采购项目提供整体设计、规范编制或者项目管理、监 理、检测等服务的供应商，不得再参加该采购项目的其他采购活动。</w:t>
      </w:r>
    </w:p>
    <w:p>
      <w:pPr>
        <w:widowControl/>
        <w:snapToGrid w:val="0"/>
        <w:spacing w:line="300" w:lineRule="atLeast"/>
        <w:ind w:firstLine="525" w:firstLineChars="250"/>
        <w:textAlignment w:val="baseline"/>
        <w:rPr>
          <w:rFonts w:ascii="宋体" w:hAnsi="宋体"/>
          <w:color w:val="000000"/>
          <w:sz w:val="24"/>
          <w:highlight w:val="none"/>
        </w:rPr>
      </w:pPr>
    </w:p>
    <w:p>
      <w:pPr>
        <w:widowControl/>
        <w:snapToGrid w:val="0"/>
        <w:spacing w:line="300" w:lineRule="atLeast"/>
        <w:ind w:firstLine="525" w:firstLineChars="250"/>
        <w:textAlignment w:val="baseline"/>
        <w:rPr>
          <w:rFonts w:ascii="宋体" w:hAnsi="宋体"/>
          <w:bCs/>
          <w:color w:val="000000"/>
          <w:sz w:val="24"/>
          <w:highlight w:val="none"/>
        </w:rPr>
      </w:pPr>
      <w:r>
        <w:rPr>
          <w:rFonts w:ascii="宋体" w:hAnsi="宋体"/>
          <w:bCs/>
          <w:color w:val="000000"/>
          <w:sz w:val="24"/>
          <w:highlight w:val="none"/>
        </w:rPr>
        <w:t>五、《深圳市财政局关于采购文件增加风险告知有关事项的通知》</w:t>
      </w:r>
    </w:p>
    <w:p>
      <w:pPr>
        <w:widowControl/>
        <w:snapToGrid w:val="0"/>
        <w:spacing w:line="360" w:lineRule="exact"/>
        <w:ind w:firstLine="525" w:firstLineChars="250"/>
        <w:textAlignment w:val="baseline"/>
        <w:rPr>
          <w:color w:val="000000"/>
          <w:highlight w:val="none"/>
        </w:rPr>
      </w:pPr>
      <w:r>
        <w:rPr>
          <w:rFonts w:ascii="宋体" w:hAnsi="宋体"/>
          <w:color w:val="000000"/>
          <w:sz w:val="24"/>
          <w:highlight w:val="none"/>
        </w:rPr>
        <w:t>各投标供应商应按要求提交《政府采购违法行为风险知悉确认书》（详见第三章投标文件格式、附件《政府采购违法行为风险知悉确认书》）。该文件由负责人或投标授权代表签字并加盖单位公章后，与投标文件一并提交。</w:t>
      </w:r>
    </w:p>
    <w:p>
      <w:pPr>
        <w:widowControl/>
        <w:snapToGrid w:val="0"/>
        <w:spacing w:line="300" w:lineRule="atLeast"/>
        <w:ind w:firstLine="525" w:firstLineChars="250"/>
        <w:textAlignment w:val="baseline"/>
        <w:rPr>
          <w:rFonts w:ascii="宋体" w:hAnsi="宋体"/>
          <w:bCs/>
          <w:color w:val="000000"/>
          <w:sz w:val="24"/>
          <w:highlight w:val="none"/>
        </w:rPr>
      </w:pPr>
    </w:p>
    <w:p>
      <w:pPr>
        <w:widowControl/>
        <w:snapToGrid w:val="0"/>
        <w:spacing w:line="300" w:lineRule="atLeast"/>
        <w:ind w:firstLine="525" w:firstLineChars="250"/>
        <w:textAlignment w:val="baseline"/>
        <w:rPr>
          <w:rFonts w:ascii="宋体" w:hAnsi="宋体" w:hint="eastAsia"/>
          <w:color w:val="000000"/>
          <w:sz w:val="24"/>
          <w:highlight w:val="none"/>
        </w:rPr>
      </w:pPr>
      <w:r>
        <w:rPr>
          <w:rFonts w:ascii="宋体" w:hAnsi="宋体" w:hint="eastAsia"/>
          <w:color w:val="000000"/>
          <w:sz w:val="24"/>
          <w:highlight w:val="none"/>
        </w:rPr>
        <w:t>六、特别提醒</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hint="eastAsia"/>
          <w:color w:val="000000"/>
          <w:sz w:val="24"/>
          <w:highlight w:val="none"/>
        </w:rPr>
        <w:t>（一）供应商在使用深圳政府采购智慧平台的投标文件制作工具创建投标文件时，该工具将自动在投标文件中记录文件创建标识码，同时提取投标文件制作电脑的网卡 MAC 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hint="eastAsia"/>
          <w:color w:val="000000"/>
          <w:sz w:val="24"/>
          <w:highlight w:val="none"/>
        </w:rPr>
        <w:br/>
      </w:r>
      <w:r>
        <w:rPr>
          <w:rFonts w:ascii="宋体" w:hAnsi="宋体" w:hint="eastAsia"/>
          <w:color w:val="000000"/>
          <w:sz w:val="24"/>
          <w:highlight w:val="none"/>
        </w:rPr>
        <w:t xml:space="preserve">    （二）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w:t>
      </w:r>
      <w:r>
        <w:rPr>
          <w:rFonts w:ascii="宋体" w:hAnsi="宋体" w:hint="eastAsia"/>
          <w:color w:val="000000"/>
          <w:sz w:val="24"/>
          <w:highlight w:val="none"/>
        </w:rPr>
        <w:br/>
      </w:r>
      <w:r>
        <w:rPr>
          <w:rFonts w:ascii="宋体" w:hAnsi="宋体" w:hint="eastAsia"/>
          <w:color w:val="000000"/>
          <w:sz w:val="24"/>
          <w:highlight w:val="none"/>
        </w:rPr>
        <w:t xml:space="preserve">    （三）不同投标供应商使用同一网络或同一设备编制、提交投标文件，将可能涉嫌投标违法行为而被立案调查。为避免出现不同供应商投标文件的文件制作机器码、文件创建标识码、IP地址一致的异常情况，建议并请各供应商编制、上传投标文件时不要使用公共电脑设备或公共网络，妥善保管和使用电子密钥，依法依规参与政府采购活动。</w:t>
      </w:r>
    </w:p>
    <w:p>
      <w:pPr>
        <w:widowControl/>
        <w:snapToGrid w:val="0"/>
        <w:spacing w:before="360" w:beforeLines="150" w:after="120" w:afterLines="50" w:line="360" w:lineRule="auto"/>
        <w:ind w:firstLine="420" w:firstLineChars="200"/>
        <w:jc w:val="center"/>
        <w:textAlignment w:val="baseline"/>
        <w:rPr>
          <w:rFonts w:ascii="黑体" w:hAnsi="黑体" w:cs="黑体"/>
          <w:b/>
          <w:bCs/>
          <w:color w:val="000000"/>
          <w:sz w:val="48"/>
          <w:szCs w:val="48"/>
          <w:highlight w:val="none"/>
        </w:rPr>
      </w:pPr>
      <w:r>
        <w:rPr>
          <w:rFonts w:cs="宋体" w:hint="eastAsia"/>
          <w:b/>
          <w:bCs/>
          <w:color w:val="000000"/>
          <w:sz w:val="24"/>
          <w:highlight w:val="none"/>
        </w:rPr>
        <w:br w:type="page"/>
      </w:r>
      <w:r>
        <w:rPr>
          <w:rFonts w:ascii="黑体" w:hAnsi="黑体" w:cs="黑体" w:hint="eastAsia"/>
          <w:b/>
          <w:bCs/>
          <w:color w:val="000000"/>
          <w:sz w:val="40"/>
          <w:szCs w:val="40"/>
          <w:highlight w:val="none"/>
        </w:rPr>
        <w:t>项目信息</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项目编号：</w:t>
      </w:r>
      <w:r>
        <w:rPr>
          <w:rFonts w:ascii="宋体" w:hAnsi="宋体" w:cs="宋体" w:hint="eastAsia"/>
          <w:color w:val="000000"/>
          <w:sz w:val="28"/>
          <w:szCs w:val="22"/>
          <w:highlight w:val="none"/>
          <w:lang w:eastAsia="zh-CN"/>
        </w:rPr>
        <w:t>SZDL2023001804</w:t>
      </w:r>
      <w:r>
        <w:rPr>
          <w:rFonts w:ascii="宋体" w:hAnsi="宋体" w:cs="宋体" w:hint="eastAsia"/>
          <w:color w:val="000000"/>
          <w:sz w:val="28"/>
          <w:szCs w:val="22"/>
          <w:highlight w:val="none"/>
        </w:rPr>
        <w:t xml:space="preserve">            </w:t>
      </w:r>
    </w:p>
    <w:p>
      <w:pPr>
        <w:spacing w:line="300" w:lineRule="auto"/>
        <w:ind w:firstLine="210" w:firstLineChars="100"/>
        <w:rPr>
          <w:rFonts w:ascii="宋体" w:hAnsi="宋体" w:cs="宋体" w:hint="eastAsia"/>
          <w:color w:val="000000"/>
          <w:sz w:val="28"/>
          <w:szCs w:val="22"/>
          <w:highlight w:val="none"/>
        </w:rPr>
      </w:pPr>
      <w:r>
        <w:rPr>
          <w:rFonts w:ascii="宋体" w:hAnsi="宋体" w:cs="宋体" w:hint="eastAsia"/>
          <w:color w:val="000000"/>
          <w:sz w:val="28"/>
          <w:szCs w:val="22"/>
          <w:highlight w:val="none"/>
        </w:rPr>
        <w:t xml:space="preserve">项目名称：环境工程-三重串联四极杆电感耦合等离子体质谱仪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 xml:space="preserve">包    号：A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项目类型：货物类</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采购方式：公开招标</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货币类型：人民币</w:t>
      </w:r>
    </w:p>
    <w:p>
      <w:pPr>
        <w:pStyle w:val="Heading2"/>
        <w:spacing w:line="300" w:lineRule="auto"/>
        <w:rPr>
          <w:rFonts w:ascii="黑体" w:eastAsia="黑体" w:hAnsi="黑体" w:cs="黑体"/>
          <w:color w:val="000000"/>
          <w:sz w:val="36"/>
          <w:highlight w:val="none"/>
        </w:rPr>
      </w:pPr>
      <w:r>
        <w:rPr>
          <w:rFonts w:ascii="黑体" w:eastAsia="黑体" w:hAnsi="黑体" w:cs="黑体" w:hint="eastAsia"/>
          <w:color w:val="000000"/>
          <w:sz w:val="36"/>
          <w:highlight w:val="none"/>
        </w:rPr>
        <w:t xml:space="preserve"> 投标文件初审表</w:t>
      </w:r>
    </w:p>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08"/>
        <w:gridCol w:w="8390"/>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trHeight w:val="345"/>
          <w:jc w:val="center"/>
        </w:trPr>
        <w:tc>
          <w:tcPr>
            <w:tcW w:w="708"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序号</w:t>
            </w:r>
          </w:p>
        </w:tc>
        <w:tc>
          <w:tcPr>
            <w:tcW w:w="8390"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
                <w:bCs/>
                <w:color w:val="000000"/>
                <w:szCs w:val="21"/>
                <w:highlight w:val="none"/>
              </w:rPr>
            </w:pPr>
            <w:r>
              <w:rPr>
                <w:rFonts w:ascii="宋体" w:hAnsi="宋体" w:cs="宋体" w:hint="eastAsia"/>
                <w:b/>
                <w:bCs/>
                <w:color w:val="000000"/>
                <w:szCs w:val="21"/>
                <w:highlight w:val="none"/>
              </w:rPr>
              <w:t>营业执照【其他组织提供《事业单位法人证书》或《民办非企业单位登记证书》】及税务登记证（若提供的营业执照为三证合一，则税务登记证可不单独提供）</w:t>
            </w:r>
          </w:p>
          <w:p>
            <w:pPr>
              <w:spacing w:line="300" w:lineRule="exact"/>
              <w:rPr>
                <w:rFonts w:ascii="长城仿宋" w:hint="eastAsia"/>
                <w:color w:val="000000"/>
                <w:szCs w:val="20"/>
                <w:highlight w:val="none"/>
              </w:rPr>
            </w:pPr>
            <w:r>
              <w:rPr>
                <w:rFonts w:ascii="宋体" w:hAnsi="宋体" w:cs="宋体" w:hint="eastAsia"/>
                <w:bCs/>
                <w:color w:val="000000"/>
                <w:sz w:val="22"/>
                <w:szCs w:val="22"/>
                <w:highlight w:val="none"/>
              </w:rPr>
              <w:t>注：未按招标文件提供有效证书扫描件或无法判断的投标无效。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8390" w:type="dxa"/>
            <w:tcBorders>
              <w:top w:val="single" w:sz="8" w:space="0" w:color="000000"/>
              <w:left w:val="single" w:sz="8" w:space="0" w:color="000000"/>
              <w:bottom w:val="single" w:sz="8" w:space="0" w:color="000000"/>
              <w:right w:val="single" w:sz="8" w:space="0" w:color="000000"/>
            </w:tcBorders>
            <w:vAlign w:val="center"/>
          </w:tcPr>
          <w:p>
            <w:pPr>
              <w:snapToGrid w:val="0"/>
              <w:spacing w:line="300" w:lineRule="exact"/>
              <w:jc w:val="left"/>
              <w:rPr>
                <w:rFonts w:ascii="宋体" w:hAnsi="宋体" w:cs="宋体" w:hint="eastAsia"/>
                <w:b/>
                <w:color w:val="000000"/>
                <w:szCs w:val="21"/>
                <w:highlight w:val="none"/>
              </w:rPr>
            </w:pPr>
            <w:r>
              <w:rPr>
                <w:rFonts w:ascii="宋体" w:hAnsi="宋体" w:cs="宋体" w:hint="eastAsia"/>
                <w:b/>
                <w:color w:val="000000"/>
                <w:szCs w:val="21"/>
                <w:highlight w:val="none"/>
              </w:rPr>
              <w:t>政府采购投标及履约承诺函</w:t>
            </w:r>
          </w:p>
          <w:p>
            <w:pPr>
              <w:spacing w:line="300" w:lineRule="exact"/>
              <w:rPr>
                <w:rFonts w:hint="eastAsia"/>
                <w:color w:val="000000"/>
                <w:highlight w:val="none"/>
              </w:rPr>
            </w:pPr>
            <w:r>
              <w:rPr>
                <w:rFonts w:ascii="宋体" w:hAnsi="宋体" w:cs="宋体" w:hint="eastAsia"/>
                <w:bCs/>
                <w:color w:val="000000"/>
                <w:sz w:val="22"/>
                <w:szCs w:val="22"/>
                <w:highlight w:val="none"/>
              </w:rPr>
              <w:t>注：未按招标文件格式要求提供或无法判断的投标无效。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Cs/>
                <w:color w:val="000000"/>
                <w:sz w:val="22"/>
                <w:szCs w:val="22"/>
                <w:highlight w:val="none"/>
              </w:rPr>
            </w:pPr>
            <w:r>
              <w:rPr>
                <w:rFonts w:ascii="宋体" w:hAnsi="宋体" w:cs="宋体" w:hint="eastAsia"/>
                <w:color w:val="000000"/>
                <w:szCs w:val="21"/>
                <w:highlight w:val="none"/>
              </w:rPr>
              <w:t>投标人所投产品是否符合财库〔2007〕119号《政府采购进口产品管理办法》和财办库〔2008〕248号文的要求。</w:t>
            </w:r>
          </w:p>
        </w:tc>
      </w:tr>
    </w:tbl>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符合性检查表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89"/>
        <w:gridCol w:w="83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1</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宋体" w:hAnsi="宋体" w:cs="宋体"/>
                <w:b/>
                <w:color w:val="000000"/>
                <w:highlight w:val="none"/>
              </w:rPr>
            </w:pPr>
            <w:r>
              <w:rPr>
                <w:rFonts w:ascii="宋体" w:hAnsi="宋体" w:cs="宋体" w:hint="eastAsia"/>
                <w:b/>
                <w:color w:val="000000"/>
                <w:highlight w:val="none"/>
              </w:rPr>
              <w:t>法定代表人（负责人）资格证明书和投标文件签署授权委托书（投标代表为法定代表人的，无需提供投标文件签署授权委托书）；</w:t>
            </w:r>
          </w:p>
          <w:p>
            <w:pPr>
              <w:pStyle w:val="a1"/>
              <w:spacing w:line="300" w:lineRule="exact"/>
              <w:ind w:firstLine="0" w:firstLineChars="0"/>
              <w:rPr>
                <w:rFonts w:ascii="Times New Roman"/>
                <w:color w:val="000000"/>
                <w:highlight w:val="none"/>
              </w:rPr>
            </w:pPr>
            <w:r>
              <w:rPr>
                <w:rFonts w:ascii="宋体" w:hAnsi="宋体" w:cs="宋体" w:hint="eastAsia"/>
                <w:b/>
                <w:color w:val="000000"/>
                <w:highlight w:val="none"/>
              </w:rPr>
              <w:t>注：本考察内容为非信息公开部分投标人可放入附件</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2</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b/>
                <w:bCs/>
                <w:color w:val="000000"/>
                <w:szCs w:val="21"/>
                <w:highlight w:val="none"/>
              </w:rPr>
              <w:t>未按招标文件所提供的样式填写《投标函》的投标无效；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b/>
                <w:color w:val="000000"/>
                <w:szCs w:val="21"/>
                <w:highlight w:val="none"/>
              </w:rPr>
              <w:t>未按招标文件所提供的《招标代理服务费承诺书》进行承诺的投标无效；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b/>
                <w:bCs/>
                <w:color w:val="000000"/>
                <w:highlight w:val="none"/>
              </w:rPr>
              <w:t>对招标文件中带“★”号条款的响应没有负偏离；【依据投标人提供的《技术条款偏离表》和《商务条款求偏离表》及要求提供的证明材料等进行评审】</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color w:val="000000"/>
                <w:szCs w:val="21"/>
                <w:highlight w:val="none"/>
              </w:rPr>
            </w:pPr>
            <w:r>
              <w:rPr>
                <w:rFonts w:ascii="宋体" w:hAnsi="宋体" w:cs="宋体" w:hint="eastAsia"/>
                <w:b/>
                <w:bCs/>
                <w:color w:val="000000"/>
                <w:szCs w:val="21"/>
                <w:highlight w:val="none"/>
              </w:rPr>
              <w:t>5</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hint="eastAsia"/>
                <w:b/>
                <w:color w:val="000000"/>
                <w:szCs w:val="21"/>
                <w:highlight w:val="none"/>
              </w:rPr>
            </w:pPr>
            <w:r>
              <w:rPr>
                <w:rFonts w:hint="eastAsia"/>
                <w:b/>
                <w:color w:val="000000"/>
                <w:szCs w:val="21"/>
                <w:highlight w:val="none"/>
              </w:rPr>
              <w:t>分项报价或投标总价</w:t>
            </w:r>
            <w:r>
              <w:rPr>
                <w:b/>
                <w:color w:val="000000"/>
                <w:szCs w:val="21"/>
                <w:highlight w:val="none"/>
              </w:rPr>
              <w:t>高于预算</w:t>
            </w:r>
            <w:r>
              <w:rPr>
                <w:rFonts w:hint="eastAsia"/>
                <w:b/>
                <w:color w:val="000000"/>
                <w:szCs w:val="21"/>
                <w:highlight w:val="none"/>
              </w:rPr>
              <w:t>金额</w:t>
            </w:r>
            <w:r>
              <w:rPr>
                <w:b/>
                <w:color w:val="000000"/>
                <w:szCs w:val="21"/>
                <w:highlight w:val="none"/>
              </w:rPr>
              <w:t>（最高投标限价）</w:t>
            </w:r>
            <w:r>
              <w:rPr>
                <w:rFonts w:hint="eastAsia"/>
                <w:b/>
                <w:color w:val="000000"/>
                <w:szCs w:val="21"/>
                <w:highlight w:val="none"/>
              </w:rPr>
              <w:t>，同一项目出现两个及以上报价的投标无效</w:t>
            </w:r>
            <w:r>
              <w:rPr>
                <w:rFonts w:ascii="宋体" w:hAnsi="宋体" w:cs="宋体" w:hint="eastAsia"/>
                <w:b/>
                <w:color w:val="000000"/>
                <w:szCs w:val="21"/>
                <w:highlight w:val="none"/>
              </w:rPr>
              <w:t>。</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Cs/>
                <w:color w:val="000000"/>
                <w:szCs w:val="21"/>
                <w:highlight w:val="none"/>
              </w:rPr>
              <w:t>6</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对同一项目投标时，提供两套以上投标方案（招标文件另有规定的除外）的投标无效；</w:t>
            </w:r>
          </w:p>
        </w:tc>
      </w:tr>
      <w:tr>
        <w:tblPrEx>
          <w:tblW w:w="0" w:type="auto"/>
          <w:jc w:val="center"/>
          <w:tblLayout w:type="fixed"/>
          <w:tblCellMar>
            <w:top w:w="0" w:type="dxa"/>
            <w:left w:w="108" w:type="dxa"/>
            <w:bottom w:w="0" w:type="dxa"/>
            <w:right w:w="108" w:type="dxa"/>
          </w:tblCellMar>
          <w:tblLook w:val="0000"/>
        </w:tblPrEx>
        <w:trPr>
          <w:trHeight w:val="495"/>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7</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将一个包或一个标段的内容拆开投标的投标无效。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8</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9</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投标报价有严重缺漏项目且对招标文件规定的服务清单项目及数量进行修改的投标无效；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10</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投标文件存在规避信息公开情形的投标无效。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11</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投标文件电子文档带病毒的投标无效。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12</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投标文件用不属于本公司的电子密钥进行加密的投标无效。</w:t>
            </w:r>
          </w:p>
        </w:tc>
      </w:tr>
      <w:tr>
        <w:tblPrEx>
          <w:tblW w:w="0" w:type="auto"/>
          <w:jc w:val="center"/>
          <w:tblLayout w:type="fixed"/>
          <w:tblCellMar>
            <w:top w:w="0" w:type="dxa"/>
            <w:left w:w="108" w:type="dxa"/>
            <w:bottom w:w="0" w:type="dxa"/>
            <w:right w:w="108" w:type="dxa"/>
          </w:tblCellMar>
          <w:tblLook w:val="0000"/>
        </w:tblPrEx>
        <w:trPr>
          <w:trHeight w:val="460"/>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误选了非本项目的最新加密规则文件，导致投标文件不能在开标时解密的投标无效。</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法律、法规规定的其他情形。</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15</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出现以下情形之一的供应商作投标无效处理，并依法上报监管机关。</w:t>
            </w:r>
            <w:r>
              <w:rPr>
                <w:rFonts w:ascii="宋体" w:hAnsi="宋体" w:cs="宋体" w:hint="eastAsia"/>
                <w:b/>
                <w:bCs/>
                <w:color w:val="000000"/>
                <w:szCs w:val="21"/>
                <w:highlight w:val="none"/>
              </w:rPr>
              <w:br/>
            </w:r>
            <w:r>
              <w:rPr>
                <w:rFonts w:ascii="宋体" w:hAnsi="宋体" w:cs="宋体" w:hint="eastAsia"/>
                <w:b/>
                <w:bCs/>
                <w:color w:val="000000"/>
                <w:szCs w:val="21"/>
                <w:highlight w:val="none"/>
              </w:rPr>
              <w:t>（1）不同投标供应商投标文件“文件制作机器码”和“IP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（2）不同投标供应商投标文件“文件创建标识码”和“IP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（3）不同投标供应商投标文件“文件制作机器码”一致的；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（4）不同投标供应商投标文件“文件创建标识码”一致的。</w:t>
            </w:r>
          </w:p>
        </w:tc>
      </w:tr>
    </w:tbl>
    <w:p>
      <w:pPr>
        <w:widowControl/>
        <w:spacing w:line="300" w:lineRule="auto"/>
        <w:jc w:val="center"/>
        <w:rPr>
          <w:rFonts w:ascii="宋体" w:hAnsi="宋体" w:cs="宋体"/>
          <w:color w:val="000000"/>
          <w:sz w:val="28"/>
          <w:szCs w:val="28"/>
          <w:highlight w:val="none"/>
        </w:rPr>
      </w:pPr>
    </w:p>
    <w:p>
      <w:pPr>
        <w:widowControl/>
        <w:spacing w:line="300" w:lineRule="auto"/>
        <w:jc w:val="center"/>
        <w:rPr>
          <w:rFonts w:ascii="宋体" w:hAnsi="宋体" w:cs="宋体"/>
          <w:color w:val="000000"/>
          <w:sz w:val="24"/>
          <w:highlight w:val="none"/>
        </w:rPr>
        <w:sectPr>
          <w:headerReference w:type="default" r:id="rId9"/>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《资格性审查表》和《符合性审查表》初审不通过，按投标无效处理。</w:t>
      </w:r>
    </w:p>
    <w:p>
      <w:pPr>
        <w:keepNext/>
        <w:keepLines/>
        <w:tabs>
          <w:tab w:val="left" w:pos="1002"/>
          <w:tab w:val="center" w:pos="4748"/>
        </w:tabs>
        <w:adjustRightInd w:val="0"/>
        <w:jc w:val="center"/>
        <w:textAlignment w:val="baseline"/>
        <w:outlineLvl w:val="1"/>
        <w:rPr>
          <w:rFonts w:ascii="黑体" w:eastAsia="黑体" w:hAnsi="黑体" w:cs="黑体" w:hint="eastAsia"/>
          <w:b/>
          <w:bCs/>
          <w:color w:val="000000"/>
          <w:kern w:val="0"/>
          <w:sz w:val="36"/>
          <w:szCs w:val="20"/>
          <w:highlight w:val="none"/>
        </w:rPr>
      </w:pPr>
      <w:r>
        <w:rPr>
          <w:rFonts w:ascii="黑体" w:eastAsia="黑体" w:hAnsi="黑体" w:cs="黑体" w:hint="eastAsia"/>
          <w:b/>
          <w:bCs/>
          <w:color w:val="000000"/>
          <w:kern w:val="0"/>
          <w:sz w:val="36"/>
          <w:szCs w:val="20"/>
          <w:highlight w:val="none"/>
        </w:rPr>
        <w:t>评定标方法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564"/>
        <w:gridCol w:w="7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44"/>
          <w:jc w:val="center"/>
        </w:trPr>
        <w:tc>
          <w:tcPr>
            <w:tcW w:w="2564" w:type="dxa"/>
            <w:vAlign w:val="center"/>
          </w:tcPr>
          <w:p>
            <w:pPr>
              <w:spacing w:before="120" w:beforeLines="50" w:after="120" w:afterLines="50" w:line="300" w:lineRule="exact"/>
              <w:jc w:val="center"/>
              <w:rPr>
                <w:rFonts w:ascii="宋体" w:hAnsi="宋体" w:cs="宋体"/>
                <w:b/>
                <w:color w:val="000000"/>
                <w:highlight w:val="none"/>
              </w:rPr>
            </w:pPr>
            <w:r>
              <w:rPr>
                <w:rFonts w:ascii="宋体" w:hAnsi="宋体" w:cs="宋体" w:hint="eastAsia"/>
                <w:b/>
                <w:color w:val="000000"/>
                <w:highlight w:val="none"/>
              </w:rPr>
              <w:t>评标方法</w:t>
            </w:r>
          </w:p>
        </w:tc>
        <w:tc>
          <w:tcPr>
            <w:tcW w:w="7055" w:type="dxa"/>
            <w:vAlign w:val="center"/>
          </w:tcPr>
          <w:p>
            <w:pPr>
              <w:spacing w:before="120" w:beforeLines="50" w:after="120" w:afterLines="50" w:line="300" w:lineRule="exact"/>
              <w:jc w:val="center"/>
              <w:rPr>
                <w:rFonts w:ascii="宋体" w:hAnsi="宋体" w:cs="宋体"/>
                <w:color w:val="000000"/>
                <w:highlight w:val="none"/>
              </w:rPr>
            </w:pPr>
            <w:r>
              <w:rPr>
                <w:rFonts w:ascii="宋体" w:hAnsi="宋体" w:cs="宋体" w:hint="eastAsia"/>
                <w:color w:val="000000"/>
                <w:highlight w:val="none"/>
              </w:rPr>
              <w:t>综合评分法（新价格分算法）</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napToGrid w:val="0"/>
              <w:spacing w:line="300" w:lineRule="exact"/>
              <w:jc w:val="center"/>
              <w:rPr>
                <w:rFonts w:ascii="宋体" w:hAnsi="宋体" w:cs="宋体"/>
                <w:b/>
                <w:color w:val="000000"/>
                <w:highlight w:val="none"/>
              </w:rPr>
            </w:pPr>
            <w:r>
              <w:rPr>
                <w:rStyle w:val="NormalCharacter"/>
                <w:rFonts w:ascii="宋体" w:hAnsi="宋体" w:hint="eastAsia"/>
                <w:b/>
                <w:color w:val="000000"/>
                <w:highlight w:val="none"/>
              </w:rPr>
              <w:t>候选</w:t>
            </w:r>
            <w:r>
              <w:rPr>
                <w:rStyle w:val="NormalCharacter"/>
                <w:rFonts w:ascii="宋体" w:hAnsi="宋体"/>
                <w:b/>
                <w:color w:val="000000"/>
                <w:highlight w:val="none"/>
              </w:rPr>
              <w:t>中标供应商数量</w:t>
            </w:r>
          </w:p>
        </w:tc>
        <w:tc>
          <w:tcPr>
            <w:tcW w:w="7055" w:type="dxa"/>
            <w:vAlign w:val="center"/>
          </w:tcPr>
          <w:p>
            <w:pPr>
              <w:snapToGrid w:val="0"/>
              <w:spacing w:line="300" w:lineRule="exact"/>
              <w:jc w:val="center"/>
              <w:rPr>
                <w:rFonts w:ascii="宋体" w:hAnsi="宋体" w:cs="宋体"/>
                <w:color w:val="000000"/>
                <w:highlight w:val="none"/>
              </w:rPr>
            </w:pPr>
            <w:r>
              <w:rPr>
                <w:rFonts w:ascii="宋体" w:hAnsi="宋体" w:cs="宋体" w:hint="eastAsia"/>
                <w:color w:val="000000"/>
                <w:highlight w:val="none"/>
              </w:rPr>
              <w:t>3</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pacing w:line="300" w:lineRule="exact"/>
              <w:jc w:val="center"/>
              <w:rPr>
                <w:rFonts w:ascii="宋体" w:hAnsi="宋体" w:cs="宋体" w:hint="eastAsia"/>
                <w:b/>
                <w:color w:val="000000"/>
                <w:highlight w:val="none"/>
              </w:rPr>
            </w:pPr>
            <w:r>
              <w:rPr>
                <w:rFonts w:ascii="宋体" w:hAnsi="宋体" w:cs="宋体" w:hint="eastAsia"/>
                <w:b/>
                <w:color w:val="000000"/>
                <w:highlight w:val="none"/>
              </w:rPr>
              <w:t>中标供应商家数</w:t>
            </w:r>
          </w:p>
        </w:tc>
        <w:tc>
          <w:tcPr>
            <w:tcW w:w="7055" w:type="dxa"/>
            <w:vAlign w:val="center"/>
          </w:tcPr>
          <w:p>
            <w:pPr>
              <w:spacing w:line="300" w:lineRule="exact"/>
              <w:jc w:val="center"/>
              <w:rPr>
                <w:rFonts w:ascii="宋体" w:hAnsi="宋体" w:cs="宋体" w:hint="eastAsia"/>
                <w:color w:val="000000"/>
                <w:highlight w:val="none"/>
              </w:rPr>
            </w:pPr>
            <w:r>
              <w:rPr>
                <w:rFonts w:ascii="宋体" w:hAnsi="宋体" w:cs="宋体" w:hint="eastAsia"/>
                <w:color w:val="000000"/>
                <w:highlight w:val="none"/>
              </w:rPr>
              <w:t>1</w:t>
            </w:r>
          </w:p>
        </w:tc>
      </w:tr>
    </w:tbl>
    <w:p>
      <w:pPr>
        <w:spacing w:line="300" w:lineRule="auto"/>
        <w:ind w:firstLine="420" w:firstLineChars="200"/>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综合评分法，是指投标文件满足招标文件全部实质性要求，且按照评审因素的量化指标评审得分最高的投标人为中标候选人的评标方法。</w:t>
      </w:r>
    </w:p>
    <w:p>
      <w:pPr>
        <w:spacing w:line="300" w:lineRule="auto"/>
        <w:rPr>
          <w:rFonts w:ascii="宋体" w:hAnsi="宋体" w:cs="宋体"/>
          <w:color w:val="000000"/>
          <w:highlight w:val="none"/>
        </w:rPr>
      </w:pPr>
      <w:r>
        <w:rPr>
          <w:rFonts w:ascii="宋体" w:hAnsi="宋体" w:cs="宋体" w:hint="eastAsia"/>
          <w:color w:val="000000"/>
          <w:highlight w:val="none"/>
        </w:rPr>
        <w:t xml:space="preserve">    价格分计算方法：</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采用低价优先法计算，即满足招标文件要求且投标价格最低的投标报价为评标基准价，其价格分为满分。其他投标人的价格分统一按照下列公式计算： </w:t>
      </w:r>
    </w:p>
    <w:p>
      <w:pPr>
        <w:spacing w:line="300" w:lineRule="auto"/>
        <w:ind w:firstLine="420"/>
        <w:rPr>
          <w:rFonts w:ascii="宋体" w:hAnsi="宋体" w:cs="宋体"/>
          <w:color w:val="000000"/>
          <w:highlight w:val="none"/>
        </w:rPr>
      </w:pPr>
      <w:r>
        <w:rPr>
          <w:rFonts w:ascii="宋体" w:hAnsi="宋体" w:cs="宋体" w:hint="eastAsia"/>
          <w:color w:val="000000"/>
          <w:highlight w:val="none"/>
        </w:rPr>
        <w:br/>
      </w:r>
      <w:r>
        <w:rPr>
          <w:rFonts w:ascii="宋体" w:hAnsi="宋体" w:cs="宋体" w:hint="eastAsia"/>
          <w:color w:val="000000"/>
          <w:highlight w:val="none"/>
        </w:rPr>
        <w:t xml:space="preserve">                   </w:t>
      </w:r>
      <w:r>
        <w:rPr>
          <w:rFonts w:ascii="宋体" w:hAnsi="宋体" w:cs="宋体" w:hint="eastAsia"/>
          <w:b/>
          <w:color w:val="000000"/>
          <w:highlight w:val="none"/>
        </w:rPr>
        <w:t xml:space="preserve">  投标报价得分=(评标基准价／投标报价)×100×价格分权重</w:t>
      </w:r>
      <w:r>
        <w:rPr>
          <w:rFonts w:ascii="宋体" w:hAnsi="宋体" w:cs="宋体" w:hint="eastAsia"/>
          <w:color w:val="000000"/>
          <w:highlight w:val="none"/>
        </w:rPr>
        <w:br/>
      </w:r>
      <w:r>
        <w:rPr>
          <w:rFonts w:ascii="宋体" w:hAnsi="宋体" w:cs="宋体" w:hint="eastAsia"/>
          <w:color w:val="000000"/>
          <w:highlight w:val="none"/>
        </w:rPr>
        <w:t xml:space="preserve">    评标总得分＝F1×A1＋F2×A2＋……＋Fn×An</w:t>
      </w:r>
      <w:r>
        <w:rPr>
          <w:rFonts w:ascii="宋体" w:hAnsi="宋体" w:cs="宋体" w:hint="eastAsia"/>
          <w:color w:val="000000"/>
          <w:highlight w:val="none"/>
        </w:rPr>
        <w:br/>
      </w:r>
      <w:r>
        <w:rPr>
          <w:rFonts w:ascii="宋体" w:hAnsi="宋体" w:cs="宋体" w:hint="eastAsia"/>
          <w:color w:val="000000"/>
          <w:highlight w:val="none"/>
        </w:rPr>
        <w:t xml:space="preserve">    F1、F2……Fn分别为各项评审因素的得分；</w:t>
      </w:r>
      <w:r>
        <w:rPr>
          <w:rFonts w:ascii="宋体" w:hAnsi="宋体" w:cs="宋体" w:hint="eastAsia"/>
          <w:color w:val="000000"/>
          <w:highlight w:val="none"/>
        </w:rPr>
        <w:br/>
      </w:r>
      <w:r>
        <w:rPr>
          <w:rFonts w:ascii="宋体" w:hAnsi="宋体" w:cs="宋体" w:hint="eastAsia"/>
          <w:color w:val="000000"/>
          <w:highlight w:val="none"/>
        </w:rPr>
        <w:t xml:space="preserve">    A1、A2、……An 分别为各项评审因素所占的权重(A1＋A2＋……＋An＝1)。</w:t>
      </w:r>
      <w:r>
        <w:rPr>
          <w:rFonts w:ascii="宋体" w:hAnsi="宋体" w:cs="宋体" w:hint="eastAsia"/>
          <w:color w:val="000000"/>
          <w:highlight w:val="none"/>
        </w:rPr>
        <w:br/>
      </w:r>
      <w:r>
        <w:rPr>
          <w:rFonts w:ascii="宋体" w:hAnsi="宋体" w:cs="宋体" w:hint="eastAsia"/>
          <w:color w:val="000000"/>
          <w:highlight w:val="none"/>
        </w:rPr>
        <w:t xml:space="preserve">    评标过程中，不得去掉报价中的最高报价和最低报价。</w:t>
      </w:r>
      <w:r>
        <w:rPr>
          <w:rFonts w:ascii="宋体" w:hAnsi="宋体" w:cs="宋体" w:hint="eastAsia"/>
          <w:color w:val="000000"/>
          <w:highlight w:val="none"/>
        </w:rPr>
        <w:br/>
      </w:r>
      <w:r>
        <w:rPr>
          <w:rFonts w:ascii="宋体" w:hAnsi="宋体" w:cs="宋体" w:hint="eastAsia"/>
          <w:color w:val="000000"/>
          <w:highlight w:val="none"/>
        </w:rPr>
        <w:t xml:space="preserve">    此方法适用于货物类、服务类、工程类项目。</w:t>
      </w:r>
    </w:p>
    <w:p>
      <w:pPr>
        <w:numPr>
          <w:ilvl w:val="0"/>
          <w:numId w:val="8"/>
        </w:numPr>
        <w:spacing w:line="300" w:lineRule="auto"/>
        <w:rPr>
          <w:rFonts w:ascii="宋体" w:hAnsi="宋体" w:cs="宋体"/>
          <w:b/>
          <w:bCs/>
          <w:color w:val="000000"/>
          <w:sz w:val="22"/>
          <w:szCs w:val="28"/>
          <w:highlight w:val="none"/>
        </w:rPr>
      </w:pPr>
      <w:r>
        <w:rPr>
          <w:rFonts w:ascii="宋体" w:hAnsi="宋体" w:cs="宋体" w:hint="eastAsia"/>
          <w:b/>
          <w:bCs/>
          <w:color w:val="000000"/>
          <w:sz w:val="22"/>
          <w:szCs w:val="28"/>
          <w:highlight w:val="none"/>
        </w:rPr>
        <w:t>评标优惠政策</w:t>
      </w:r>
    </w:p>
    <w:p>
      <w:pPr>
        <w:spacing w:line="300" w:lineRule="auto"/>
        <w:rPr>
          <w:rFonts w:ascii="宋体" w:hAnsi="宋体" w:cs="宋体"/>
          <w:color w:val="000000"/>
          <w:highlight w:val="none"/>
        </w:rPr>
      </w:pPr>
      <w:r>
        <w:rPr>
          <w:rFonts w:ascii="宋体" w:hAnsi="宋体" w:cs="宋体" w:hint="eastAsia"/>
          <w:b/>
          <w:bCs/>
          <w:color w:val="000000"/>
          <w:highlight w:val="none"/>
        </w:rPr>
        <w:t xml:space="preserve">    </w:t>
      </w:r>
      <w:r>
        <w:rPr>
          <w:rFonts w:ascii="宋体" w:hAnsi="宋体" w:cs="宋体" w:hint="eastAsia"/>
          <w:color w:val="000000"/>
          <w:highlight w:val="none"/>
        </w:rPr>
        <w:t>1.根据《政府采购促进中小企业发展管理办法》财库〔2020〕46号、《财政部司法部关于政府采购支持监狱企业发展有关问题的通知》（财库〔2014〕68号）、《三部门联合发布关于促进残疾人就业政府采购政策的通知》（财库〔2017〕141号）和财库〔2022〕19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宋体" w:hAnsi="宋体" w:cs="宋体" w:hint="eastAsia"/>
          <w:b/>
          <w:color w:val="000000"/>
          <w:highlight w:val="none"/>
          <w:shd w:val="pct10" w:color="auto" w:fill="FFFFFF"/>
        </w:rPr>
        <w:t>其投标报价扣除</w:t>
      </w:r>
      <w:r>
        <w:rPr>
          <w:rFonts w:hint="eastAsia"/>
          <w:b/>
          <w:color w:val="000000"/>
          <w:highlight w:val="none"/>
          <w:u w:val="single"/>
          <w:shd w:val="pct10" w:color="auto" w:fill="FFFFFF"/>
        </w:rPr>
        <w:t>10</w:t>
      </w:r>
      <w:r>
        <w:rPr>
          <w:rFonts w:ascii="宋体" w:hAnsi="宋体" w:cs="宋体" w:hint="eastAsia"/>
          <w:b/>
          <w:color w:val="000000"/>
          <w:highlight w:val="none"/>
          <w:u w:val="single"/>
          <w:shd w:val="pct10" w:color="auto" w:fill="FFFFFF"/>
        </w:rPr>
        <w:t>%</w:t>
      </w:r>
      <w:r>
        <w:rPr>
          <w:rFonts w:ascii="宋体" w:hAnsi="宋体" w:cs="宋体" w:hint="eastAsia"/>
          <w:b/>
          <w:color w:val="000000"/>
          <w:highlight w:val="none"/>
          <w:shd w:val="pct10" w:color="auto" w:fill="FFFFFF"/>
        </w:rPr>
        <w:t>后参与评审【本项目所属行业为：</w:t>
      </w:r>
      <w:r>
        <w:rPr>
          <w:rFonts w:ascii="宋体" w:hAnsi="宋体" w:cs="宋体" w:hint="eastAsia"/>
          <w:b/>
          <w:color w:val="000000"/>
          <w:highlight w:val="none"/>
          <w:u w:val="single"/>
          <w:shd w:val="pct10" w:color="auto" w:fill="FFFFFF"/>
        </w:rPr>
        <w:t xml:space="preserve"> </w:t>
      </w:r>
      <w:r>
        <w:rPr>
          <w:rFonts w:ascii="宋体" w:hAnsi="宋体" w:cs="宋体" w:hint="eastAsia"/>
          <w:b/>
          <w:color w:val="000000"/>
          <w:highlight w:val="none"/>
          <w:u w:val="single"/>
          <w:shd w:val="pct10" w:color="auto" w:fill="FFFFFF"/>
        </w:rPr>
        <w:t>工业</w:t>
      </w:r>
      <w:r>
        <w:rPr>
          <w:rFonts w:ascii="宋体" w:hAnsi="宋体" w:cs="宋体" w:hint="eastAsia"/>
          <w:b/>
          <w:color w:val="000000"/>
          <w:highlight w:val="none"/>
          <w:u w:val="single"/>
          <w:shd w:val="pct10" w:color="auto" w:fill="FFFFFF"/>
        </w:rPr>
        <w:t xml:space="preserve"> </w:t>
      </w:r>
      <w:r>
        <w:rPr>
          <w:rFonts w:ascii="宋体" w:hAnsi="宋体" w:cs="宋体" w:hint="eastAsia"/>
          <w:b/>
          <w:color w:val="000000"/>
          <w:highlight w:val="none"/>
          <w:shd w:val="pct10" w:color="auto" w:fill="FFFFFF"/>
        </w:rPr>
        <w:t>】</w:t>
      </w:r>
      <w:r>
        <w:rPr>
          <w:rFonts w:ascii="宋体" w:hAnsi="宋体" w:cs="宋体" w:hint="eastAsia"/>
          <w:color w:val="000000"/>
          <w:highlight w:val="none"/>
        </w:rPr>
        <w:t>。对于同时属于小微企业、监狱企业或残疾人福利性单位的，不重复进行投标报价扣除。如有其它政策支持因素（如鼓励创新等）需一并列出。</w:t>
      </w:r>
    </w:p>
    <w:p>
      <w:pPr>
        <w:spacing w:line="300" w:lineRule="auto"/>
        <w:rPr>
          <w:rFonts w:ascii="宋体" w:hAnsi="宋体" w:cs="宋体"/>
          <w:color w:val="000000"/>
          <w:highlight w:val="none"/>
        </w:rPr>
      </w:pPr>
      <w:r>
        <w:rPr>
          <w:rFonts w:ascii="宋体" w:hAnsi="宋体" w:cs="宋体" w:hint="eastAsia"/>
          <w:color w:val="000000"/>
          <w:highlight w:val="none"/>
        </w:rPr>
        <w:t xml:space="preserve">    2.联合协议中约定，小型、微型企业和监狱企业的协议合同金额占到联合体协议合同总金额30%以上的，可给予联合体</w:t>
      </w:r>
      <w:r>
        <w:rPr>
          <w:rFonts w:ascii="宋体" w:hAnsi="宋体" w:cs="宋体" w:hint="eastAsia"/>
          <w:b/>
          <w:bCs/>
          <w:color w:val="000000"/>
          <w:highlight w:val="none"/>
        </w:rPr>
        <w:t>4%</w:t>
      </w:r>
      <w:r>
        <w:rPr>
          <w:rFonts w:ascii="宋体" w:hAnsi="宋体" w:cs="宋体" w:hint="eastAsia"/>
          <w:color w:val="000000"/>
          <w:highlight w:val="none"/>
        </w:rPr>
        <w:t>的价格扣除。</w:t>
      </w:r>
    </w:p>
    <w:p>
      <w:pPr>
        <w:spacing w:line="300" w:lineRule="auto"/>
        <w:rPr>
          <w:rFonts w:ascii="宋体" w:hAnsi="宋体" w:cs="宋体"/>
          <w:color w:val="000000"/>
          <w:highlight w:val="none"/>
        </w:rPr>
      </w:pPr>
      <w:r>
        <w:rPr>
          <w:rFonts w:ascii="宋体" w:hAnsi="宋体" w:cs="宋体" w:hint="eastAsia"/>
          <w:color w:val="000000"/>
          <w:highlight w:val="none"/>
        </w:rPr>
        <w:t xml:space="preserve">    联合体各方均为小型、微型企业和监狱企业的，联合体视同为小型、微型企业和监狱企业，均享受</w:t>
      </w:r>
      <w:r>
        <w:rPr>
          <w:rFonts w:ascii="宋体" w:hAnsi="宋体" w:cs="宋体" w:hint="eastAsia"/>
          <w:b/>
          <w:bCs/>
          <w:color w:val="000000"/>
          <w:highlight w:val="none"/>
        </w:rPr>
        <w:t>评标优惠政策</w:t>
      </w:r>
      <w:r>
        <w:rPr>
          <w:rFonts w:ascii="宋体" w:hAnsi="宋体" w:cs="宋体" w:hint="eastAsia"/>
          <w:color w:val="000000"/>
          <w:highlight w:val="none"/>
        </w:rPr>
        <w:t>第一款的优惠政策。</w:t>
      </w:r>
    </w:p>
    <w:p>
      <w:pPr>
        <w:numPr>
          <w:ilvl w:val="0"/>
          <w:numId w:val="8"/>
        </w:numPr>
        <w:spacing w:line="300" w:lineRule="auto"/>
        <w:rPr>
          <w:rFonts w:ascii="宋体" w:hAnsi="宋体" w:cs="宋体" w:hint="eastAsia"/>
          <w:b/>
          <w:bCs/>
          <w:color w:val="000000"/>
          <w:sz w:val="22"/>
          <w:szCs w:val="28"/>
          <w:highlight w:val="none"/>
        </w:rPr>
      </w:pPr>
      <w:r>
        <w:rPr>
          <w:rFonts w:ascii="宋体" w:hAnsi="宋体" w:cs="宋体" w:hint="eastAsia"/>
          <w:b/>
          <w:bCs/>
          <w:color w:val="000000"/>
          <w:sz w:val="22"/>
          <w:szCs w:val="28"/>
          <w:highlight w:val="none"/>
        </w:rPr>
        <w:t>评标信息</w:t>
      </w:r>
    </w:p>
    <w:tbl>
      <w:tblPr>
        <w:tblStyle w:val="TableNormal"/>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51"/>
        <w:gridCol w:w="726"/>
        <w:gridCol w:w="1136"/>
        <w:gridCol w:w="693"/>
        <w:gridCol w:w="1109"/>
        <w:gridCol w:w="5734"/>
      </w:tblGrid>
      <w:tr>
        <w:tblPrEx>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67"/>
          <w:jc w:val="center"/>
        </w:trPr>
        <w:tc>
          <w:tcPr>
            <w:tcW w:w="324" w:type="pct"/>
            <w:vAlign w:val="center"/>
          </w:tcPr>
          <w:p>
            <w:pPr>
              <w:widowControl/>
              <w:jc w:val="center"/>
              <w:rPr>
                <w:rFonts w:ascii="宋体" w:hAnsi="宋体" w:cs="宋体" w:hint="eastAsia"/>
                <w:b/>
                <w:bCs/>
                <w:color w:val="000000"/>
                <w:kern w:val="0"/>
                <w:szCs w:val="21"/>
                <w:highlight w:val="none"/>
              </w:rPr>
            </w:pPr>
            <w:bookmarkStart w:id="0" w:name="_Hlk72360569"/>
            <w:r>
              <w:rPr>
                <w:rFonts w:ascii="宋体" w:hAnsi="宋体" w:cs="宋体" w:hint="eastAsia"/>
                <w:b/>
                <w:bCs/>
                <w:color w:val="000000"/>
                <w:kern w:val="0"/>
                <w:szCs w:val="21"/>
                <w:highlight w:val="none"/>
              </w:rPr>
              <w:t>序号</w:t>
            </w:r>
          </w:p>
        </w:tc>
        <w:tc>
          <w:tcPr>
            <w:tcW w:w="1823"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评分项</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2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1</w:t>
            </w:r>
          </w:p>
        </w:tc>
        <w:tc>
          <w:tcPr>
            <w:tcW w:w="1823"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价格部分</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30</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2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2</w:t>
            </w:r>
          </w:p>
        </w:tc>
        <w:tc>
          <w:tcPr>
            <w:tcW w:w="1823"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技术部分</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54</w:t>
            </w:r>
          </w:p>
        </w:tc>
      </w:tr>
      <w:tr>
        <w:tblPrEx>
          <w:tblW w:w="4999" w:type="pct"/>
          <w:jc w:val="center"/>
          <w:tblLayout w:type="fixed"/>
          <w:tblCellMar>
            <w:top w:w="0" w:type="dxa"/>
            <w:left w:w="108" w:type="dxa"/>
            <w:bottom w:w="0" w:type="dxa"/>
            <w:right w:w="108" w:type="dxa"/>
          </w:tblCellMar>
          <w:tblLook w:val="0000"/>
        </w:tblPrEx>
        <w:trPr>
          <w:trHeight w:val="510"/>
          <w:jc w:val="center"/>
        </w:trPr>
        <w:tc>
          <w:tcPr>
            <w:tcW w:w="324" w:type="pct"/>
            <w:vMerge w:val="restart"/>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56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评分因素</w:t>
            </w:r>
          </w:p>
        </w:tc>
        <w:tc>
          <w:tcPr>
            <w:tcW w:w="3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c>
          <w:tcPr>
            <w:tcW w:w="549"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评分方式</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trHeight w:val="4397"/>
          <w:jc w:val="center"/>
        </w:trPr>
        <w:tc>
          <w:tcPr>
            <w:tcW w:w="324" w:type="pct"/>
            <w:vMerge/>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1</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技术保障措施</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3</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专家打分</w:t>
            </w:r>
          </w:p>
        </w:tc>
        <w:tc>
          <w:tcPr>
            <w:tcW w:w="285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投标人结合本项目实际提供项目技术保障措施，应包括内容：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1、投标产品的质量可靠性和先进性说明；</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2、供货和安装进度计划；</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3、供货时间节点和步骤；</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4、人员安排和分工；</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5、突发情况应对措施。</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 xml:space="preserve">（二）评分标准：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每满足一点得15分，最高得75分。在此基础上，专家根据各供应商的具体响应内容按照量化的评审因素指标进一步评审：</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1.评分标准为优：项目技术保障措施思路清晰明确，方案合理可行，满足服务要求，针对性强的加25分；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2.评分标准为良：项目技术保障措施总体思路比较清晰，方案比较合理可行，可以满足服务要求的加15分；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3.评分标准为中：项目技术保障措施思路基本清晰，方案基本合理可行，基本可以满足服务要求的加10分；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4.评分标准为差：项目技术保障措施思路不清晰，方案不完整，不能满足服务需要的不得分。如果评审为差，要求专家书面说明理由，并记录在档。</w:t>
            </w:r>
          </w:p>
        </w:tc>
      </w:tr>
      <w:tr>
        <w:tblPrEx>
          <w:tblW w:w="4999" w:type="pct"/>
          <w:jc w:val="center"/>
          <w:tblLayout w:type="fixed"/>
          <w:tblCellMar>
            <w:top w:w="0" w:type="dxa"/>
            <w:left w:w="108" w:type="dxa"/>
            <w:bottom w:w="0" w:type="dxa"/>
            <w:right w:w="108" w:type="dxa"/>
          </w:tblCellMar>
          <w:tblLook w:val="0000"/>
        </w:tblPrEx>
        <w:trPr>
          <w:trHeight w:val="1905"/>
          <w:jc w:val="center"/>
        </w:trPr>
        <w:tc>
          <w:tcPr>
            <w:tcW w:w="324" w:type="pct"/>
            <w:vMerge/>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2</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技术条款偏离情况</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51</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专家打分</w:t>
            </w:r>
          </w:p>
        </w:tc>
        <w:tc>
          <w:tcPr>
            <w:tcW w:w="285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技术条款偏离表》，评审委员会根据技术需求参数响应情况进行打分，各项技术参数指标及要求全部满足的得100分，标注“▲”的重要参数每负偏离一项扣4分，一般参数每负偏离一项扣0.5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依据《技术条款偏离表》及技术要求提供的证明材料进行打分。</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2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3</w:t>
            </w:r>
          </w:p>
        </w:tc>
        <w:tc>
          <w:tcPr>
            <w:tcW w:w="1823"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商务部分</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8</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24" w:type="pct"/>
            <w:vMerge w:val="restart"/>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56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评分因素</w:t>
            </w:r>
          </w:p>
        </w:tc>
        <w:tc>
          <w:tcPr>
            <w:tcW w:w="3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c>
          <w:tcPr>
            <w:tcW w:w="549"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评分方式</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trHeight w:val="1246"/>
          <w:jc w:val="center"/>
        </w:trPr>
        <w:tc>
          <w:tcPr>
            <w:tcW w:w="324" w:type="pct"/>
            <w:vMerge/>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1</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免费保修期内售后服务条款偏离情况</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4</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专家评分</w:t>
            </w:r>
          </w:p>
        </w:tc>
        <w:tc>
          <w:tcPr>
            <w:tcW w:w="2852" w:type="pct"/>
            <w:vAlign w:val="center"/>
          </w:tcPr>
          <w:p>
            <w:pPr>
              <w:widowControl/>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widowControl/>
              <w:spacing w:before="120" w:beforeLines="50"/>
              <w:jc w:val="left"/>
              <w:rPr>
                <w:color w:val="000000"/>
                <w:highlight w:val="none"/>
              </w:rPr>
            </w:pPr>
            <w:r>
              <w:rPr>
                <w:rFonts w:ascii="宋体" w:hAnsi="宋体" w:cs="宋体" w:hint="eastAsia"/>
                <w:color w:val="000000"/>
                <w:szCs w:val="21"/>
                <w:highlight w:val="none"/>
              </w:rPr>
              <w:t>投标人应如实填写《商务条款偏离表（免费保修期内售后服务要求）》，评审委员会根据响应情况进行打分，全部满足要求的得100分，每负偏离一项扣33.5分，总扣分不超过100分。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hint="eastAsia"/>
                <w:color w:val="000000"/>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trHeight w:val="1348"/>
          <w:jc w:val="center"/>
        </w:trPr>
        <w:tc>
          <w:tcPr>
            <w:tcW w:w="324" w:type="pct"/>
            <w:vMerge/>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2</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免费保修期外售后服务条款偏离情况</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2</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专家评分</w:t>
            </w:r>
          </w:p>
        </w:tc>
        <w:tc>
          <w:tcPr>
            <w:tcW w:w="2852" w:type="pct"/>
            <w:vAlign w:val="center"/>
          </w:tcPr>
          <w:p>
            <w:pPr>
              <w:widowControl/>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投标人应如实填写《商务条款偏离表（免费保修期外售后服务要求）》，评审委员会根据响应情况进行打分，全部满足要求的得100分，每负偏离一项扣25分，总扣分不超过100分。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trHeight w:val="1531"/>
          <w:jc w:val="center"/>
        </w:trPr>
        <w:tc>
          <w:tcPr>
            <w:tcW w:w="324" w:type="pct"/>
            <w:vMerge/>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3</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其他商务条款偏离情况</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2</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专家评分</w:t>
            </w:r>
          </w:p>
        </w:tc>
        <w:tc>
          <w:tcPr>
            <w:tcW w:w="2852" w:type="pct"/>
            <w:vAlign w:val="center"/>
          </w:tcPr>
          <w:p>
            <w:pPr>
              <w:widowControl/>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投标人应如实填写《商务条款偏离表（其他商务要求）》，评审委员会根据响应情况进行打分，全部满足要求的得100分，每负偏离一条扣12.5分，总扣分不超过100分。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2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4</w:t>
            </w:r>
          </w:p>
        </w:tc>
        <w:tc>
          <w:tcPr>
            <w:tcW w:w="1823"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诚信情况</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5</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24" w:type="pct"/>
            <w:vMerge w:val="restart"/>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56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评分因素</w:t>
            </w:r>
          </w:p>
        </w:tc>
        <w:tc>
          <w:tcPr>
            <w:tcW w:w="3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c>
          <w:tcPr>
            <w:tcW w:w="549"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评分方式</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trHeight w:val="1703"/>
          <w:jc w:val="center"/>
        </w:trPr>
        <w:tc>
          <w:tcPr>
            <w:tcW w:w="324" w:type="pct"/>
            <w:vMerge/>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1</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诚信</w:t>
            </w:r>
            <w:r>
              <w:rPr>
                <w:rFonts w:hint="eastAsia"/>
                <w:color w:val="000000"/>
                <w:highlight w:val="none"/>
              </w:rPr>
              <w:t>评价</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5</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专家评分</w:t>
            </w:r>
          </w:p>
        </w:tc>
        <w:tc>
          <w:tcPr>
            <w:tcW w:w="2852" w:type="pct"/>
            <w:vAlign w:val="center"/>
          </w:tcPr>
          <w:p>
            <w:pPr>
              <w:spacing w:before="120" w:beforeLines="5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投标人在参与政府采购活动中存在诚信相关问题且在主管部门相关处理措施实施期限内的，本项不得分，否则得100分。投标人无需提供任何证明材料，由工作人员向评审委员会提供相关信息。</w:t>
            </w:r>
          </w:p>
        </w:tc>
      </w:tr>
      <w:tr>
        <w:tblPrEx>
          <w:tblW w:w="4999" w:type="pct"/>
          <w:jc w:val="center"/>
          <w:tblLayout w:type="fixed"/>
          <w:tblCellMar>
            <w:top w:w="0" w:type="dxa"/>
            <w:left w:w="108" w:type="dxa"/>
            <w:bottom w:w="0" w:type="dxa"/>
            <w:right w:w="108" w:type="dxa"/>
          </w:tblCellMar>
          <w:tblLook w:val="0000"/>
        </w:tblPrEx>
        <w:trPr>
          <w:trHeight w:val="383"/>
          <w:jc w:val="center"/>
        </w:trPr>
        <w:tc>
          <w:tcPr>
            <w:tcW w:w="32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5</w:t>
            </w:r>
          </w:p>
        </w:tc>
        <w:tc>
          <w:tcPr>
            <w:tcW w:w="1823"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业绩</w:t>
            </w:r>
          </w:p>
        </w:tc>
        <w:tc>
          <w:tcPr>
            <w:tcW w:w="28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3</w:t>
            </w:r>
          </w:p>
        </w:tc>
      </w:tr>
      <w:tr>
        <w:tblPrEx>
          <w:tblW w:w="4999" w:type="pct"/>
          <w:jc w:val="center"/>
          <w:tblLayout w:type="fixed"/>
          <w:tblCellMar>
            <w:top w:w="0" w:type="dxa"/>
            <w:left w:w="108" w:type="dxa"/>
            <w:bottom w:w="0" w:type="dxa"/>
            <w:right w:w="108" w:type="dxa"/>
          </w:tblCellMar>
          <w:tblLook w:val="0000"/>
        </w:tblPrEx>
        <w:trPr>
          <w:trHeight w:val="2693"/>
          <w:jc w:val="center"/>
        </w:trPr>
        <w:tc>
          <w:tcPr>
            <w:tcW w:w="324" w:type="pct"/>
            <w:vAlign w:val="center"/>
          </w:tcPr>
          <w:p>
            <w:pPr>
              <w:widowControl/>
              <w:jc w:val="center"/>
              <w:rPr>
                <w:rFonts w:ascii="宋体" w:hAnsi="宋体" w:cs="宋体" w:hint="eastAsia"/>
                <w:b/>
                <w:bCs/>
                <w:color w:val="000000"/>
                <w:kern w:val="0"/>
                <w:szCs w:val="21"/>
                <w:highlight w:val="none"/>
              </w:rPr>
            </w:pPr>
          </w:p>
        </w:tc>
        <w:tc>
          <w:tcPr>
            <w:tcW w:w="361"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1</w:t>
            </w:r>
          </w:p>
        </w:tc>
        <w:tc>
          <w:tcPr>
            <w:tcW w:w="56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投标人同类业绩</w:t>
            </w:r>
          </w:p>
        </w:tc>
        <w:tc>
          <w:tcPr>
            <w:tcW w:w="345"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3</w:t>
            </w:r>
          </w:p>
        </w:tc>
        <w:tc>
          <w:tcPr>
            <w:tcW w:w="549" w:type="pct"/>
            <w:vAlign w:val="center"/>
          </w:tcPr>
          <w:p>
            <w:pPr>
              <w:widowControl/>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专家打分</w:t>
            </w:r>
          </w:p>
        </w:tc>
        <w:tc>
          <w:tcPr>
            <w:tcW w:w="285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2020年</w:t>
            </w:r>
            <w:r>
              <w:rPr>
                <w:rFonts w:ascii="宋体" w:hAnsi="宋体" w:cs="宋体"/>
                <w:color w:val="000000"/>
                <w:szCs w:val="21"/>
                <w:highlight w:val="none"/>
              </w:rPr>
              <w:t>1</w:t>
            </w:r>
            <w:r>
              <w:rPr>
                <w:rFonts w:ascii="宋体" w:hAnsi="宋体" w:cs="宋体" w:hint="eastAsia"/>
                <w:color w:val="000000"/>
                <w:szCs w:val="21"/>
                <w:highlight w:val="none"/>
              </w:rPr>
              <w:t>月1日至本项目投标截止日（以合同签订时间为准）提供3个或以上同类产品业绩（电感耦合等离子体质谱类）得100分，提供2个得60分，提供1个得30分，未提供不得分。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提供</w:t>
            </w:r>
            <w:r>
              <w:rPr>
                <w:rFonts w:hint="eastAsia"/>
                <w:color w:val="000000"/>
                <w:highlight w:val="none"/>
              </w:rPr>
              <w:t>有效</w:t>
            </w:r>
            <w:r>
              <w:rPr>
                <w:rFonts w:ascii="宋体" w:hAnsi="宋体" w:cs="宋体" w:hint="eastAsia"/>
                <w:color w:val="000000"/>
                <w:szCs w:val="21"/>
                <w:highlight w:val="none"/>
              </w:rPr>
              <w:t>合同和验收报告（均加盖合同甲方公章或业务章）扫描件，未提供或无法判断的不得分。</w:t>
            </w:r>
          </w:p>
        </w:tc>
      </w:tr>
    </w:tbl>
    <w:p>
      <w:pPr>
        <w:pStyle w:val="a1"/>
        <w:ind w:firstLine="442"/>
        <w:rPr>
          <w:rFonts w:ascii="宋体" w:hAnsi="宋体" w:cs="宋体" w:hint="eastAsia"/>
          <w:b/>
          <w:bCs/>
          <w:color w:val="000000"/>
          <w:sz w:val="22"/>
          <w:szCs w:val="28"/>
          <w:highlight w:val="none"/>
        </w:rPr>
      </w:pPr>
      <w:bookmarkEnd w:id="0"/>
    </w:p>
    <w:p>
      <w:pPr>
        <w:pStyle w:val="a1"/>
        <w:ind w:firstLine="442"/>
        <w:rPr>
          <w:rFonts w:ascii="宋体" w:hAnsi="宋体" w:cs="宋体" w:hint="eastAsia"/>
          <w:b/>
          <w:bCs/>
          <w:color w:val="000000"/>
          <w:sz w:val="22"/>
          <w:szCs w:val="28"/>
          <w:highlight w:val="none"/>
        </w:rPr>
      </w:pPr>
    </w:p>
    <w:p>
      <w:pPr>
        <w:pStyle w:val="a1"/>
        <w:ind w:firstLine="442"/>
        <w:rPr>
          <w:rFonts w:ascii="宋体" w:hAnsi="宋体" w:cs="宋体" w:hint="eastAsia"/>
          <w:b/>
          <w:bCs/>
          <w:color w:val="000000"/>
          <w:sz w:val="22"/>
          <w:szCs w:val="28"/>
          <w:highlight w:val="none"/>
        </w:rPr>
      </w:pPr>
    </w:p>
    <w:p>
      <w:pPr>
        <w:pStyle w:val="a1"/>
        <w:ind w:firstLine="442"/>
        <w:rPr>
          <w:rFonts w:ascii="宋体" w:hAnsi="宋体" w:cs="宋体" w:hint="eastAsia"/>
          <w:b/>
          <w:bCs/>
          <w:color w:val="000000"/>
          <w:sz w:val="22"/>
          <w:szCs w:val="28"/>
          <w:highlight w:val="none"/>
        </w:rPr>
      </w:pPr>
    </w:p>
    <w:p>
      <w:pPr>
        <w:pStyle w:val="Heading1"/>
        <w:spacing w:before="240" w:beforeLines="100" w:after="0" w:line="240" w:lineRule="auto"/>
        <w:rPr>
          <w:rFonts w:eastAsia="宋体" w:cs="宋体"/>
          <w:color w:val="000000"/>
          <w:kern w:val="2"/>
          <w:szCs w:val="21"/>
          <w:highlight w:val="none"/>
        </w:rPr>
      </w:pPr>
      <w:r>
        <w:rPr>
          <w:rFonts w:eastAsia="宋体" w:cs="宋体" w:hint="eastAsia"/>
          <w:color w:val="000000"/>
          <w:kern w:val="2"/>
          <w:szCs w:val="21"/>
          <w:highlight w:val="none"/>
        </w:rPr>
        <w:br w:type="page"/>
      </w:r>
      <w:r>
        <w:rPr>
          <w:rFonts w:eastAsia="宋体" w:cs="宋体" w:hint="eastAsia"/>
          <w:color w:val="000000"/>
          <w:highlight w:val="none"/>
        </w:rPr>
        <w:t>目   录</w:t>
      </w:r>
    </w:p>
    <w:p>
      <w:pPr>
        <w:rPr>
          <w:rFonts w:ascii="宋体" w:hAnsi="宋体" w:cs="宋体"/>
          <w:b/>
          <w:color w:val="000000"/>
          <w:sz w:val="24"/>
          <w:highlight w:val="none"/>
        </w:rPr>
      </w:pPr>
      <w:r>
        <w:rPr>
          <w:rFonts w:ascii="宋体" w:hAnsi="宋体" w:cs="宋体" w:hint="eastAsia"/>
          <w:b/>
          <w:color w:val="000000"/>
          <w:sz w:val="24"/>
          <w:highlight w:val="none"/>
        </w:rPr>
        <w:t>第一册  专用条款</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关键信息</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第三章  投标文件格式、附件</w:t>
      </w:r>
    </w:p>
    <w:p>
      <w:pPr>
        <w:spacing w:line="360" w:lineRule="exact"/>
        <w:ind w:firstLine="567" w:firstLineChars="270"/>
        <w:jc w:val="left"/>
        <w:rPr>
          <w:rFonts w:ascii="宋体" w:hAnsi="宋体" w:cs="宋体"/>
          <w:b/>
          <w:color w:val="000000"/>
          <w:szCs w:val="21"/>
          <w:highlight w:val="none"/>
        </w:rPr>
      </w:pPr>
      <w:r>
        <w:rPr>
          <w:rFonts w:ascii="宋体" w:hAnsi="宋体" w:cs="宋体" w:hint="eastAsia"/>
          <w:color w:val="000000"/>
          <w:szCs w:val="21"/>
          <w:highlight w:val="none"/>
        </w:rPr>
        <w:t>第四章  政府采购合同的签订、履行及验收</w:t>
      </w:r>
    </w:p>
    <w:p>
      <w:pPr>
        <w:rPr>
          <w:rFonts w:ascii="宋体" w:hAnsi="宋体" w:cs="宋体"/>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第二册  通用条款</w:t>
      </w:r>
    </w:p>
    <w:p>
      <w:pPr>
        <w:spacing w:line="360" w:lineRule="exact"/>
        <w:ind w:firstLine="567" w:firstLineChars="270"/>
        <w:jc w:val="left"/>
        <w:rPr>
          <w:rFonts w:ascii="宋体" w:hAnsi="宋体" w:cs="宋体"/>
          <w:color w:val="000000"/>
          <w:szCs w:val="21"/>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第三册  相关政策</w:t>
      </w: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备注：</w:t>
      </w:r>
    </w:p>
    <w:p>
      <w:pPr>
        <w:rPr>
          <w:rFonts w:ascii="宋体" w:hAnsi="宋体" w:cs="宋体"/>
          <w:color w:val="000000"/>
          <w:szCs w:val="21"/>
          <w:highlight w:val="none"/>
        </w:rPr>
      </w:pPr>
      <w:r>
        <w:rPr>
          <w:rFonts w:ascii="宋体" w:hAnsi="宋体" w:cs="宋体" w:hint="eastAsia"/>
          <w:color w:val="000000"/>
          <w:szCs w:val="21"/>
          <w:highlight w:val="none"/>
        </w:rPr>
        <w:t>1.本招标文件分为第一册“专用条款”、第二册“通用条款”和第三册“相关政策”。</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2.“专用条款”是对本次采购项目的具体要求，包含招标公告、招标项目需求、投标文件格式、合同条款及格式、附件等内容。</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3.“通用条款”是通用于政府采购项目的基础性条款，具有普遍性和通用性。</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4.当出现“专用条款”和“通用条款”表述不一致或有冲突时，以“专用条款”为准。</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5.对通用条款的补充内容</w:t>
      </w:r>
    </w:p>
    <w:p>
      <w:pPr>
        <w:pStyle w:val="BodyTextFirstIndent2"/>
        <w:rPr>
          <w:rFonts w:ascii="宋体" w:hAnsi="宋体" w:cs="宋体"/>
          <w:color w:val="000000"/>
          <w:highlight w:val="none"/>
        </w:rPr>
      </w:pPr>
    </w:p>
    <w:p>
      <w:pPr>
        <w:pStyle w:val="Heading1"/>
        <w:spacing w:line="300" w:lineRule="auto"/>
        <w:rPr>
          <w:rFonts w:eastAsia="宋体" w:cs="宋体"/>
          <w:color w:val="000000"/>
          <w:sz w:val="24"/>
          <w:highlight w:val="none"/>
        </w:rPr>
      </w:pPr>
      <w:r>
        <w:rPr>
          <w:rFonts w:eastAsia="宋体" w:cs="宋体" w:hint="eastAsia"/>
          <w:color w:val="000000"/>
          <w:kern w:val="2"/>
          <w:szCs w:val="21"/>
          <w:highlight w:val="none"/>
        </w:rPr>
        <w:br w:type="page"/>
      </w:r>
      <w:bookmarkStart w:id="1" w:name="合同格式"/>
      <w:bookmarkStart w:id="2" w:name="bt合同条款及格式"/>
      <w:bookmarkStart w:id="3" w:name="bt投标函"/>
      <w:bookmarkStart w:id="4" w:name="bt投标文件签署授权委托书"/>
      <w:bookmarkStart w:id="5" w:name="bt投标人须知"/>
      <w:bookmarkStart w:id="6" w:name="bt合同格式"/>
      <w:bookmarkStart w:id="7" w:name="bt投标报价汇总表"/>
      <w:bookmarkStart w:id="8" w:name="bt合同条款"/>
      <w:bookmarkStart w:id="9" w:name="bt商务标投标文件格式"/>
      <w:bookmarkStart w:id="10" w:name="bt技术标投标文件格式"/>
      <w:bookmarkStart w:id="11" w:name="bt其他资料由投标人自定"/>
      <w:bookmarkStart w:id="12" w:name="bt本工程承诺书"/>
      <w:bookmarkStart w:id="13" w:name="bt投标人情况介绍"/>
      <w:bookmarkStart w:id="14" w:name="bt项目管理班子配备情况"/>
      <w:bookmarkStart w:id="15" w:name="bt其他资料2"/>
      <w:bookmarkStart w:id="16" w:name="bt说明"/>
      <w:bookmarkStart w:id="17" w:name="bt开标一览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eastAsia="宋体" w:cs="宋体" w:hint="eastAsia"/>
          <w:color w:val="000000"/>
          <w:sz w:val="32"/>
          <w:szCs w:val="48"/>
          <w:highlight w:val="none"/>
        </w:rPr>
        <w:t>第一册  专用条款</w:t>
      </w:r>
    </w:p>
    <w:p>
      <w:pPr>
        <w:pStyle w:val="Heading2"/>
        <w:spacing w:line="300" w:lineRule="auto"/>
        <w:rPr>
          <w:rFonts w:cs="宋体"/>
          <w:color w:val="000000"/>
          <w:sz w:val="28"/>
          <w:szCs w:val="21"/>
          <w:highlight w:val="none"/>
        </w:rPr>
      </w:pPr>
      <w:r>
        <w:rPr>
          <w:rFonts w:cs="宋体" w:hint="eastAsia"/>
          <w:color w:val="000000"/>
          <w:sz w:val="28"/>
          <w:szCs w:val="21"/>
          <w:highlight w:val="none"/>
        </w:rPr>
        <w:t>第一章  招标公告</w:t>
      </w:r>
    </w:p>
    <w:p>
      <w:pPr>
        <w:pStyle w:val="Heading3"/>
        <w:wordWrap w:val="0"/>
        <w:jc w:val="right"/>
        <w:rPr>
          <w:rFonts w:eastAsia="宋体" w:cs="宋体" w:hint="eastAsia"/>
          <w:color w:val="000000"/>
          <w:sz w:val="20"/>
          <w:highlight w:val="none"/>
          <w:lang w:eastAsia="zh-CN"/>
        </w:rPr>
      </w:pPr>
      <w:r>
        <w:rPr>
          <w:rFonts w:cs="宋体" w:hint="eastAsia"/>
          <w:color w:val="000000"/>
          <w:sz w:val="20"/>
          <w:highlight w:val="none"/>
        </w:rPr>
        <w:t>文件编码：</w:t>
      </w:r>
      <w:r>
        <w:rPr>
          <w:rFonts w:cs="宋体" w:hint="eastAsia"/>
          <w:color w:val="000000"/>
          <w:sz w:val="20"/>
          <w:highlight w:val="none"/>
          <w:lang w:eastAsia="zh-CN"/>
        </w:rPr>
        <w:t>0722-2023FE5499SZF-0</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项目概况：</w:t>
      </w:r>
    </w:p>
    <w:p>
      <w:pPr>
        <w:spacing w:line="360" w:lineRule="exact"/>
        <w:ind w:left="105" w:firstLine="315" w:leftChars="50" w:firstLineChars="150"/>
        <w:rPr>
          <w:rFonts w:ascii="宋体" w:hAnsi="宋体" w:cs="宋体"/>
          <w:color w:val="000000"/>
          <w:szCs w:val="21"/>
          <w:highlight w:val="none"/>
        </w:rPr>
      </w:pPr>
      <w:r>
        <w:rPr>
          <w:rFonts w:ascii="宋体" w:hAnsi="宋体" w:cs="宋体" w:hint="eastAsia"/>
          <w:color w:val="000000"/>
          <w:szCs w:val="21"/>
          <w:highlight w:val="none"/>
        </w:rPr>
        <w:t>环境工程-三重串联四极杆电感耦合等离子体质谱仪招标项目的潜在投标人应</w:t>
      </w:r>
      <w:r>
        <w:rPr>
          <w:rStyle w:val="Hyperlink"/>
          <w:rFonts w:ascii="宋体" w:hAnsi="宋体" w:cs="宋体" w:hint="eastAsia"/>
          <w:color w:val="000000"/>
          <w:highlight w:val="none"/>
        </w:rPr>
        <w:t>按本招标公告“三、获取招标文件”要求下载获取本项目的招标文件，并于**年**月**日**:**（北京时间）</w:t>
      </w:r>
      <w:r>
        <w:rPr>
          <w:rStyle w:val="Hyperlink"/>
          <w:rFonts w:ascii="宋体" w:hAnsi="宋体" w:cs="宋体" w:hint="eastAsia"/>
          <w:b/>
          <w:bCs/>
          <w:color w:val="000000"/>
          <w:highlight w:val="none"/>
          <w:shd w:val="clear" w:color="FFFFFF" w:fill="D9D9D9"/>
        </w:rPr>
        <w:t>[具体时间详见“深圳公共资源交易网”招标（采购）公告，以公告公布信息为准]</w:t>
      </w:r>
      <w:r>
        <w:rPr>
          <w:rStyle w:val="Hyperlink"/>
          <w:rFonts w:ascii="宋体" w:hAnsi="宋体" w:cs="宋体" w:hint="eastAsia"/>
          <w:color w:val="000000"/>
          <w:highlight w:val="none"/>
        </w:rPr>
        <w:t>前递交投标文件</w:t>
      </w:r>
      <w:r>
        <w:rPr>
          <w:rFonts w:ascii="宋体" w:hAnsi="宋体" w:cs="宋体" w:hint="eastAsia"/>
          <w:color w:val="00000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一、项目基本情况：</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1.项目编号：</w:t>
      </w:r>
      <w:r>
        <w:rPr>
          <w:rFonts w:ascii="宋体" w:hAnsi="宋体" w:cs="宋体" w:hint="eastAsia"/>
          <w:color w:val="000000"/>
          <w:szCs w:val="21"/>
          <w:highlight w:val="none"/>
          <w:lang w:eastAsia="zh-CN"/>
        </w:rPr>
        <w:t>SZDL2023001804</w:t>
      </w:r>
      <w:r>
        <w:rPr>
          <w:rFonts w:ascii="宋体" w:hAnsi="宋体" w:cs="宋体" w:hint="eastAsia"/>
          <w:color w:val="000000"/>
          <w:szCs w:val="21"/>
          <w:highlight w:val="none"/>
        </w:rPr>
        <w:t xml:space="preserve">    </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2.项目名称：</w:t>
      </w:r>
      <w:r>
        <w:rPr>
          <w:rFonts w:ascii="宋体" w:hAnsi="宋体" w:cs="宋体" w:hint="eastAsia"/>
          <w:color w:val="000000"/>
          <w:kern w:val="0"/>
          <w:szCs w:val="21"/>
          <w:highlight w:val="none"/>
        </w:rPr>
        <w:t xml:space="preserve">环境工程-三重串联四极杆电感耦合等离子体质谱仪   </w:t>
      </w:r>
    </w:p>
    <w:p>
      <w:pPr>
        <w:spacing w:line="360" w:lineRule="exact"/>
        <w:ind w:firstLine="420" w:firstLineChars="200"/>
        <w:rPr>
          <w:rFonts w:ascii="宋体" w:hAnsi="宋体" w:cs="宋体"/>
          <w:color w:val="000000"/>
          <w:szCs w:val="21"/>
          <w:highlight w:val="none"/>
        </w:rPr>
      </w:pPr>
      <w:r>
        <w:rPr>
          <w:rFonts w:ascii="宋体" w:hAnsi="宋体" w:cs="宋体" w:hint="eastAsia"/>
          <w:color w:val="000000"/>
          <w:szCs w:val="21"/>
          <w:highlight w:val="none"/>
        </w:rPr>
        <w:t>3.预算金额：人民币叁佰捌拾万零壹仟陆佰元整（¥3,801,600.00）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4.最高限价：人民币叁佰捌拾万零壹仟陆佰元整（¥3,801,600.00）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5.采购需求：</w:t>
      </w:r>
    </w:p>
    <w:tbl>
      <w:tblPr>
        <w:tblStyle w:val="TableNormal"/>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938"/>
        <w:gridCol w:w="3462"/>
        <w:gridCol w:w="754"/>
        <w:gridCol w:w="1015"/>
        <w:gridCol w:w="2829"/>
        <w:gridCol w:w="945"/>
      </w:tblGrid>
      <w:tr>
        <w:tblPrEx>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Ex>
        <w:trPr>
          <w:trHeight w:val="211"/>
          <w:jc w:val="center"/>
        </w:trPr>
        <w:tc>
          <w:tcPr>
            <w:tcW w:w="472"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1740"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标的名称</w:t>
            </w:r>
          </w:p>
        </w:tc>
        <w:tc>
          <w:tcPr>
            <w:tcW w:w="379"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w:t>
            </w:r>
          </w:p>
        </w:tc>
        <w:tc>
          <w:tcPr>
            <w:tcW w:w="510"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数量</w:t>
            </w:r>
          </w:p>
        </w:tc>
        <w:tc>
          <w:tcPr>
            <w:tcW w:w="1422"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简要技术需求（项目需求）</w:t>
            </w:r>
          </w:p>
        </w:tc>
        <w:tc>
          <w:tcPr>
            <w:tcW w:w="475"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备注</w:t>
            </w:r>
          </w:p>
        </w:tc>
      </w:tr>
      <w:tr>
        <w:tblPrEx>
          <w:tblW w:w="4994" w:type="pct"/>
          <w:jc w:val="center"/>
          <w:tblCellMar>
            <w:top w:w="60" w:type="dxa"/>
            <w:left w:w="60" w:type="dxa"/>
            <w:bottom w:w="60" w:type="dxa"/>
            <w:right w:w="60" w:type="dxa"/>
          </w:tblCellMar>
          <w:tblLook w:val="0000"/>
        </w:tblPrEx>
        <w:trPr>
          <w:trHeight w:val="226"/>
          <w:jc w:val="center"/>
        </w:trPr>
        <w:tc>
          <w:tcPr>
            <w:tcW w:w="472"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一</w:t>
            </w:r>
          </w:p>
        </w:tc>
        <w:tc>
          <w:tcPr>
            <w:tcW w:w="1740"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三重串联四极杆电感耦合等离子体质谱仪</w:t>
            </w:r>
          </w:p>
        </w:tc>
        <w:tc>
          <w:tcPr>
            <w:tcW w:w="379"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套</w:t>
            </w:r>
          </w:p>
        </w:tc>
        <w:tc>
          <w:tcPr>
            <w:tcW w:w="510"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2</w:t>
            </w:r>
          </w:p>
        </w:tc>
        <w:tc>
          <w:tcPr>
            <w:tcW w:w="1422" w:type="pct"/>
            <w:vAlign w:val="center"/>
          </w:tcPr>
          <w:p>
            <w:pPr>
              <w:widowControl/>
              <w:spacing w:before="100" w:beforeAutospacing="1" w:after="100" w:afterAutospacing="1"/>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详见招标文件</w:t>
            </w:r>
          </w:p>
        </w:tc>
        <w:tc>
          <w:tcPr>
            <w:tcW w:w="475" w:type="pct"/>
            <w:vAlign w:val="center"/>
          </w:tcPr>
          <w:p>
            <w:pPr>
              <w:jc w:val="center"/>
              <w:rPr>
                <w:rFonts w:ascii="宋体" w:hAnsi="宋体"/>
                <w:color w:val="000000"/>
                <w:szCs w:val="21"/>
                <w:highlight w:val="none"/>
              </w:rPr>
            </w:pPr>
          </w:p>
        </w:tc>
      </w:tr>
    </w:tbl>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6.</w:t>
      </w:r>
      <w:r>
        <w:rPr>
          <w:rFonts w:ascii="宋体" w:hAnsi="宋体" w:cs="宋体" w:hint="eastAsia"/>
          <w:b/>
          <w:bCs/>
          <w:color w:val="000000"/>
          <w:highlight w:val="none"/>
        </w:rPr>
        <w:t xml:space="preserve"> </w:t>
      </w:r>
      <w:r>
        <w:rPr>
          <w:rFonts w:ascii="宋体" w:hAnsi="宋体" w:cs="宋体" w:hint="eastAsia"/>
          <w:b/>
          <w:color w:val="000000"/>
          <w:szCs w:val="21"/>
          <w:highlight w:val="none"/>
        </w:rPr>
        <w:t>交货期：</w:t>
      </w:r>
      <w:r>
        <w:rPr>
          <w:rFonts w:ascii="宋体" w:hAnsi="宋体" w:cs="宋体" w:hint="eastAsia"/>
          <w:bCs/>
          <w:color w:val="000000"/>
          <w:szCs w:val="21"/>
          <w:highlight w:val="none"/>
          <w:lang w:val="de-DE"/>
        </w:rPr>
        <w:t>合同签订后180个日历日内</w:t>
      </w:r>
      <w:r>
        <w:rPr>
          <w:rFonts w:ascii="宋体" w:hAnsi="宋体" w:cs="宋体" w:hint="eastAsia"/>
          <w:color w:val="000000"/>
          <w:szCs w:val="21"/>
          <w:highlight w:val="none"/>
        </w:rPr>
        <w:t>。</w:t>
      </w:r>
    </w:p>
    <w:p>
      <w:pPr>
        <w:spacing w:line="360" w:lineRule="exact"/>
        <w:ind w:firstLine="420" w:firstLineChars="200"/>
        <w:rPr>
          <w:rFonts w:ascii="宋体" w:hAnsi="宋体" w:cs="宋体"/>
          <w:b/>
          <w:bCs/>
          <w:color w:val="000000"/>
          <w:sz w:val="24"/>
          <w:highlight w:val="none"/>
        </w:rPr>
      </w:pPr>
      <w:r>
        <w:rPr>
          <w:rFonts w:ascii="宋体" w:hAnsi="宋体" w:cs="宋体" w:hint="eastAsia"/>
          <w:b/>
          <w:color w:val="000000"/>
          <w:szCs w:val="21"/>
          <w:highlight w:val="none"/>
        </w:rPr>
        <w:t>7. 本项目接受进口设备参与投标，不接受联合体参与投标，不允许转包、分包。</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二、投标人资格要求：</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满足《中华人民共和国政府采购法》第二十二条规定</w:t>
      </w:r>
      <w:r>
        <w:rPr>
          <w:rFonts w:ascii="宋体" w:hAnsi="宋体" w:cs="宋体" w:hint="eastAsia"/>
          <w:b/>
          <w:color w:val="000000"/>
          <w:kern w:val="0"/>
          <w:szCs w:val="21"/>
          <w:highlight w:val="none"/>
        </w:rPr>
        <w:t>（投标人提供营业执照或事业单位法人证等法人证明扫描件以及《政府采购投标及履约承诺函》，原件备查）</w:t>
      </w:r>
      <w:r>
        <w:rPr>
          <w:rFonts w:ascii="宋体" w:hAnsi="宋体" w:cs="宋体" w:hint="eastAsia"/>
          <w:bCs/>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投标人及其法定代表人参与政府采购项目投标近三年内（投标人成立不足三年的可从成立之日起算）在经营活动中没有重大违法记录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未被列入失信被执行人、重大税收违法案件当事人名单、政府采购严重违法失信行为记录名单”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tabs>
          <w:tab w:val="left" w:pos="420"/>
        </w:tabs>
        <w:spacing w:before="60" w:beforeLines="25" w:after="60" w:afterLines="25" w:line="320" w:lineRule="exact"/>
        <w:ind w:left="420" w:firstLine="105" w:leftChars="200" w:firstLineChars="50"/>
        <w:rPr>
          <w:rFonts w:ascii="宋体" w:hAnsi="宋体" w:cs="宋体"/>
          <w:color w:val="000000"/>
          <w:kern w:val="0"/>
          <w:szCs w:val="21"/>
          <w:highlight w:val="none"/>
        </w:rPr>
      </w:pPr>
      <w:r>
        <w:rPr>
          <w:rFonts w:ascii="宋体" w:hAnsi="宋体" w:cs="宋体" w:hint="eastAsia"/>
          <w:color w:val="000000"/>
          <w:kern w:val="0"/>
          <w:szCs w:val="21"/>
          <w:highlight w:val="none"/>
        </w:rPr>
        <w:t>注：“信用中国”、中国政府采购网”、“深圳信用网”以及“深圳市政府采购监督管理网”为供应商信用信息的查询渠道，相关信息以开标当日的查询信息为准。</w:t>
      </w:r>
    </w:p>
    <w:p>
      <w:pPr>
        <w:numPr>
          <w:ilvl w:val="0"/>
          <w:numId w:val="9"/>
        </w:numPr>
        <w:spacing w:before="60" w:beforeLines="25" w:after="60" w:afterLines="25" w:line="320" w:lineRule="exact"/>
        <w:rPr>
          <w:rFonts w:ascii="宋体" w:hAnsi="宋体" w:cs="宋体"/>
          <w:b/>
          <w:bCs/>
          <w:color w:val="000000"/>
          <w:kern w:val="0"/>
          <w:szCs w:val="21"/>
          <w:highlight w:val="none"/>
        </w:rPr>
      </w:pPr>
      <w:r>
        <w:rPr>
          <w:rFonts w:ascii="宋体" w:hAnsi="宋体" w:cs="宋体" w:hint="eastAsia"/>
          <w:b/>
          <w:bCs/>
          <w:color w:val="000000"/>
          <w:kern w:val="0"/>
          <w:szCs w:val="21"/>
          <w:highlight w:val="none"/>
        </w:rPr>
        <w:t>本项目不属于专门面向特定企业（单位）的采购项目；</w:t>
      </w:r>
    </w:p>
    <w:p>
      <w:pPr>
        <w:numPr>
          <w:ilvl w:val="0"/>
          <w:numId w:val="9"/>
        </w:numPr>
        <w:spacing w:before="60" w:beforeLines="25" w:after="60" w:afterLines="25" w:line="320" w:lineRule="exact"/>
        <w:rPr>
          <w:rFonts w:ascii="宋体" w:hAnsi="宋体" w:cs="宋体"/>
          <w:b/>
          <w:color w:val="000000"/>
          <w:kern w:val="0"/>
          <w:szCs w:val="21"/>
          <w:highlight w:val="none"/>
        </w:rPr>
      </w:pPr>
      <w:r>
        <w:rPr>
          <w:rFonts w:ascii="宋体" w:hAnsi="宋体" w:cs="宋体" w:hint="eastAsia"/>
          <w:b/>
          <w:color w:val="000000"/>
          <w:szCs w:val="21"/>
          <w:highlight w:val="none"/>
        </w:rPr>
        <w:t>本项目接受进口设备参与投标，不接受联合体参与投标，不允许转包、分包</w:t>
      </w:r>
      <w:r>
        <w:rPr>
          <w:rFonts w:ascii="宋体" w:hAnsi="宋体" w:cs="宋体" w:hint="eastAsia"/>
          <w:b/>
          <w:color w:val="000000"/>
          <w:kern w:val="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三、获取招标文件：</w:t>
      </w:r>
    </w:p>
    <w:p>
      <w:pPr>
        <w:pStyle w:val="a1"/>
        <w:spacing w:line="240" w:lineRule="auto"/>
        <w:ind w:firstLine="525" w:firstLineChars="250"/>
        <w:rPr>
          <w:rFonts w:ascii="宋体" w:hAnsi="宋体" w:cs="宋体" w:hint="eastAsia"/>
          <w:color w:val="000000"/>
          <w:highlight w:val="none"/>
        </w:rPr>
      </w:pPr>
      <w:r>
        <w:rPr>
          <w:rFonts w:ascii="宋体" w:hAnsi="宋体" w:cs="宋体" w:hint="eastAsia"/>
          <w:color w:val="000000"/>
          <w:highlight w:val="none"/>
        </w:rPr>
        <w:t>时间：**年** 月**日至**年**月**日**:**（北京时间）</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，每天上午00:00至12:00，下午12:00至24:00。</w:t>
      </w:r>
    </w:p>
    <w:p>
      <w:pPr>
        <w:pStyle w:val="a1"/>
        <w:spacing w:line="240" w:lineRule="auto"/>
        <w:ind w:firstLine="420"/>
        <w:rPr>
          <w:rFonts w:ascii="宋体" w:hAnsi="宋体" w:cs="宋体" w:hint="eastAsia"/>
          <w:color w:val="000000"/>
          <w:highlight w:val="none"/>
        </w:rPr>
      </w:pPr>
      <w:r>
        <w:rPr>
          <w:rFonts w:ascii="宋体" w:hAnsi="宋体" w:cs="宋体" w:hint="eastAsia"/>
          <w:color w:val="000000"/>
          <w:highlight w:val="none"/>
        </w:rPr>
        <w:t>地点：登录深圳政府采购智慧平台（http://zfcg.szggzy.com:8081/）下载本项目的招标文件。</w:t>
      </w:r>
    </w:p>
    <w:p>
      <w:pPr>
        <w:pStyle w:val="a1"/>
        <w:spacing w:line="240" w:lineRule="auto"/>
        <w:ind w:firstLine="420"/>
        <w:rPr>
          <w:rFonts w:ascii="宋体" w:hAnsi="宋体" w:cs="宋体" w:hint="eastAsia"/>
          <w:color w:val="000000"/>
          <w:highlight w:val="none"/>
        </w:rPr>
      </w:pPr>
      <w:r>
        <w:rPr>
          <w:rFonts w:ascii="宋体" w:hAnsi="宋体" w:cs="宋体" w:hint="eastAsia"/>
          <w:color w:val="000000"/>
          <w:highlight w:val="none"/>
        </w:rPr>
        <w:t>方式：在线下载。</w:t>
      </w:r>
    </w:p>
    <w:p>
      <w:pPr>
        <w:pStyle w:val="a1"/>
        <w:spacing w:line="240" w:lineRule="auto"/>
        <w:ind w:firstLine="420"/>
        <w:rPr>
          <w:rFonts w:ascii="宋体" w:hAnsi="宋体" w:cs="宋体" w:hint="eastAsia"/>
          <w:color w:val="000000"/>
          <w:highlight w:val="none"/>
        </w:rPr>
      </w:pPr>
      <w:r>
        <w:rPr>
          <w:rFonts w:ascii="宋体" w:hAnsi="宋体" w:cs="宋体" w:hint="eastAsia"/>
          <w:color w:val="000000"/>
          <w:highlight w:val="none"/>
        </w:rPr>
        <w:t>售价：免费。</w:t>
      </w:r>
    </w:p>
    <w:p>
      <w:pPr>
        <w:pStyle w:val="a1"/>
        <w:spacing w:line="240" w:lineRule="auto"/>
        <w:ind w:firstLine="420"/>
        <w:rPr>
          <w:rFonts w:hint="eastAsia"/>
          <w:color w:val="000000"/>
          <w:highlight w:val="none"/>
        </w:rPr>
      </w:pPr>
      <w:r>
        <w:rPr>
          <w:rFonts w:ascii="宋体" w:hAnsi="宋体" w:cs="宋体" w:hint="eastAsia"/>
          <w:color w:val="000000"/>
          <w:highlight w:val="none"/>
        </w:rPr>
        <w:t>凡已注册的深圳市网上政府采购供应商，按照授予的操作权限，可于</w:t>
      </w:r>
      <w:r>
        <w:rPr>
          <w:rFonts w:ascii="宋体" w:hAnsi="宋体" w:cs="宋体" w:hint="eastAsia"/>
          <w:b/>
          <w:bCs/>
          <w:color w:val="000000"/>
          <w:highlight w:val="none"/>
        </w:rPr>
        <w:t>**年**月**日至**年**月**日**:**</w:t>
      </w:r>
      <w:r>
        <w:rPr>
          <w:rFonts w:ascii="宋体" w:hAnsi="宋体" w:cs="宋体" w:hint="eastAsia"/>
          <w:b/>
          <w:bCs/>
          <w:color w:val="000000"/>
          <w:highlight w:val="none"/>
          <w:shd w:val="clear" w:color="FFFFFF" w:fill="D9D9D9"/>
        </w:rPr>
        <w:t xml:space="preserve">[具体时间详见“深圳公共资源交易网”招标（采购）公告，以公告公布信息为准] </w:t>
      </w:r>
      <w:r>
        <w:rPr>
          <w:rFonts w:ascii="宋体" w:hAnsi="宋体" w:cs="宋体" w:hint="eastAsia"/>
          <w:color w:val="000000"/>
          <w:highlight w:val="none"/>
        </w:rPr>
        <w:t>期间登录深圳政府采购智慧平台（http://zfcg.szggzy.com:8081/）下载本项目的招标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keepLines/>
        <w:spacing w:before="120" w:beforeLines="50" w:after="120" w:afterLines="50" w:line="300" w:lineRule="exact"/>
        <w:outlineLvl w:val="2"/>
        <w:rPr>
          <w:rFonts w:ascii="宋体" w:hAnsi="宋体" w:cs="宋体"/>
          <w:b/>
          <w:bCs/>
          <w:color w:val="000000"/>
          <w:sz w:val="24"/>
          <w:highlight w:val="none"/>
        </w:rPr>
      </w:pPr>
      <w:r>
        <w:rPr>
          <w:rFonts w:ascii="宋体" w:hAnsi="宋体" w:cs="宋体" w:hint="eastAsia"/>
          <w:b/>
          <w:bCs/>
          <w:color w:val="000000"/>
          <w:sz w:val="24"/>
          <w:highlight w:val="none"/>
        </w:rPr>
        <w:t>四、提交投标文件截止时间、开标时间和地点：</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1.投标截止时间：所有投标文件应于**年**月**日**:**（北京时间）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2.开标时间和地点：定于**年**月**日**:**（北京时间）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在中国远东国际招标有限公司（深圳市福田区上步南路1001号锦峰大厦22楼）公开开标。供应商可以登录“深圳政府采购智慧平台用户网上办事子系统（http://zfcg.szggzy.com:8081/TPBidder/memberLogin）”，在“【我的项目】→【项目流程】→【开标及解密】”进行在线解密、查询开标情况。</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3.在线解密：投标人须在开标当日**:** -**:**期间进行解密</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逾期未解密的作投标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248" w:hanging="216" w:hangingChars="103"/>
        <w:jc w:val="left"/>
        <w:outlineLvl w:val="2"/>
        <w:rPr>
          <w:rFonts w:ascii="宋体" w:hAnsi="宋体" w:cs="宋体" w:hint="eastAsia"/>
          <w:b/>
          <w:bCs/>
          <w:color w:val="000000"/>
          <w:sz w:val="24"/>
          <w:highlight w:val="none"/>
        </w:rPr>
      </w:pPr>
      <w:r>
        <w:rPr>
          <w:rFonts w:ascii="宋体" w:hAnsi="宋体" w:cs="宋体" w:hint="eastAsia"/>
          <w:b/>
          <w:bCs/>
          <w:color w:val="000000"/>
          <w:sz w:val="24"/>
          <w:highlight w:val="none"/>
        </w:rPr>
        <w:t>五、公告期限:</w:t>
      </w:r>
    </w:p>
    <w:p>
      <w:pPr>
        <w:widowControl/>
        <w:spacing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自本公告发布之日起5个工作日。</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六、其他补充事宜：</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1.本项目实行网上投标，采用电子投标文件。</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2.</w:t>
      </w:r>
      <w:r>
        <w:rPr>
          <w:rFonts w:ascii="宋体" w:hAnsi="宋体" w:cs="宋体" w:hint="eastAsia"/>
          <w:b/>
          <w:bCs/>
          <w:color w:val="000000"/>
          <w:highlight w:val="none"/>
        </w:rPr>
        <w:t>报名操作：</w:t>
      </w:r>
      <w:r>
        <w:rPr>
          <w:rFonts w:ascii="宋体" w:hAnsi="宋体" w:cs="宋体" w:hint="eastAsia"/>
          <w:color w:val="000000"/>
          <w:highlight w:val="none"/>
        </w:rPr>
        <w:t>投标人如确定参加投标，首先要在深圳政府采购网上报名投标，方法为登录深圳公共资源交易中心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http://www.szzfcg.cn/）,先办理注册手续（注册咨询：83938966；电子密钥咨询：83948165 4008301330 ），再进行投标报名。在网上报名后，点击“我的项目→项目流程”中进行招标文件的下载。</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3.</w:t>
      </w:r>
      <w:r>
        <w:rPr>
          <w:rFonts w:ascii="宋体" w:hAnsi="宋体" w:cs="宋体" w:hint="eastAsia"/>
          <w:b/>
          <w:bCs/>
          <w:color w:val="000000"/>
          <w:highlight w:val="none"/>
        </w:rPr>
        <w:t>投标操作：</w:t>
      </w:r>
      <w:r>
        <w:rPr>
          <w:rFonts w:ascii="宋体" w:hAnsi="宋体" w:cs="宋体" w:hint="eastAsia"/>
          <w:color w:val="000000"/>
          <w:highlight w:val="none"/>
        </w:rPr>
        <w:t>具体操作为登录“深圳公共资源交易中心网站”，用“我的项目→项目流程→递交投标(应答)文件→上传投标文件”功能点上传投标文件。本项目电子投标文件最大容量为100MB，超过此容量的文件将被拒绝。</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4.</w:t>
      </w:r>
      <w:r>
        <w:rPr>
          <w:rFonts w:ascii="宋体" w:hAnsi="宋体" w:cs="宋体" w:hint="eastAsia"/>
          <w:b/>
          <w:bCs/>
          <w:color w:val="000000"/>
          <w:highlight w:val="none"/>
        </w:rPr>
        <w:t>开标操作：</w:t>
      </w:r>
      <w:r>
        <w:rPr>
          <w:rFonts w:ascii="宋体" w:hAnsi="宋体" w:cs="宋体" w:hint="eastAsia"/>
          <w:color w:val="000000"/>
          <w:highlight w:val="none"/>
        </w:rPr>
        <w:t>投标人可以登录“深圳公共资源交易中心网站”，在系统登录首页面即可查看开标情况。</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5.</w:t>
      </w:r>
      <w:r>
        <w:rPr>
          <w:rFonts w:ascii="宋体" w:hAnsi="宋体" w:cs="宋体" w:hint="eastAsia"/>
          <w:b/>
          <w:bCs/>
          <w:color w:val="000000"/>
          <w:highlight w:val="none"/>
        </w:rPr>
        <w:t>采购（招标）文件澄清/修改事项：</w:t>
      </w:r>
      <w:r>
        <w:rPr>
          <w:rFonts w:ascii="宋体" w:hAnsi="宋体" w:cs="宋体" w:hint="eastAsia"/>
          <w:color w:val="000000"/>
          <w:highlight w:val="none"/>
        </w:rPr>
        <w:t>**年**月**日00:00（北京时间）前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供应商如果认为招标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将采购文件澄清/修改情况在“【我的项目】→【项目流程】→【答疑澄清文件下载】”中公布，望投标人予以关注。</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6.（重要提示：“提出采购文件澄清要求”不等同于“对采购文件质疑”，供应商提出的澄清要求内容如出现“质疑”字眼，将予以退回。供应商如认为采购文件存在限制性、倾向性、其权益受到损害，应在采购文件公布之日起七个工作日内。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现场提交、邮寄地址：深圳市福田区上步南路1001号锦峰大厦22楼。根据《深圳经济特区政府采购条例》第四十二条“供应商投诉的事项应当是经过质疑的事项”的规定，未经正式质疑的，将影响供应商行使向财政部门提起投诉的权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7.中国远东国际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8.本招标公告及本项目招标文件所涉及的时间一律为北京时间。投标人有义务在招标活动期间浏览深圳公共资源交易中心网（www.szzfcg.cn）/深圳政府采购智慧平台（http://zfcg.szggzy.com:8081/），在深圳公共资源交易中心（www.szzfcg.cn）/深圳政府采购智慧平台（http://zfcg.szggzy.com:8081/）网上公布的与本次招标项目有关的信息视为已送达各投标人。</w:t>
      </w:r>
    </w:p>
    <w:p>
      <w:pPr>
        <w:widowControl/>
        <w:spacing w:line="320" w:lineRule="exact"/>
        <w:ind w:left="216" w:hanging="216" w:hangingChars="103"/>
        <w:jc w:val="left"/>
        <w:rPr>
          <w:rFonts w:ascii="宋体" w:hAnsi="宋体" w:cs="宋体"/>
          <w:color w:val="000000"/>
          <w:kern w:val="0"/>
          <w:szCs w:val="21"/>
          <w:highlight w:val="none"/>
        </w:rPr>
      </w:pPr>
      <w:r>
        <w:rPr>
          <w:rFonts w:ascii="宋体" w:hAnsi="宋体" w:cs="宋体" w:hint="eastAsia"/>
          <w:color w:val="000000"/>
          <w:highlight w:val="none"/>
        </w:rPr>
        <w:t>9.本项目不需要投标保证金。</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七、对本次采购提出询问，请按以下方式联系</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1.采购人信息 </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名    称：清华大学深圳国际研究生院</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地    址：深圳市南山区西丽大学城清华园区</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联系方式：刘老师  0755-26036029 </w:t>
      </w:r>
    </w:p>
    <w:p>
      <w:pPr>
        <w:widowControl/>
        <w:tabs>
          <w:tab w:val="left" w:pos="2578"/>
        </w:tabs>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 xml:space="preserve">2.采购代理机构信息 </w:t>
      </w:r>
      <w:r>
        <w:rPr>
          <w:rFonts w:ascii="宋体" w:hAnsi="宋体" w:cs="宋体" w:hint="eastAsia"/>
          <w:color w:val="000000"/>
          <w:highlight w:val="none"/>
        </w:rPr>
        <w:tab/>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名    称：中国远东国际招标有限公司</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地　  址：深圳市福田区上步南路锦峰大厦22B  </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联系方式：0755-83004312转124</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3.项目联系方式</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项目联系人：李工</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电　    话：0755-83004312转124</w:t>
      </w: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r>
        <w:rPr>
          <w:b/>
          <w:bCs/>
          <w:color w:val="000000"/>
          <w:highlight w:val="none"/>
          <w:shd w:val="pct10" w:color="auto" w:fill="FFFFFF"/>
        </w:rPr>
        <w:t>“</w:t>
      </w:r>
      <w:r>
        <w:rPr>
          <w:rFonts w:hint="eastAsia"/>
          <w:b/>
          <w:bCs/>
          <w:color w:val="000000"/>
          <w:highlight w:val="none"/>
          <w:shd w:val="pct10" w:color="auto" w:fill="FFFFFF"/>
        </w:rPr>
        <w:t>**</w:t>
      </w:r>
      <w:r>
        <w:rPr>
          <w:b/>
          <w:bCs/>
          <w:color w:val="000000"/>
          <w:highlight w:val="none"/>
          <w:shd w:val="pct10" w:color="auto" w:fill="FFFFFF"/>
        </w:rPr>
        <w:t>”</w:t>
      </w:r>
      <w:r>
        <w:rPr>
          <w:rFonts w:hint="eastAsia"/>
          <w:b/>
          <w:bCs/>
          <w:color w:val="000000"/>
          <w:highlight w:val="none"/>
          <w:shd w:val="pct10" w:color="auto" w:fill="FFFFFF"/>
        </w:rPr>
        <w:t>备注：各项时间节点以“深圳公共资源交易网（https://www.szggzy.com）” 招标（采购）公告的公布信息为准。</w:t>
      </w:r>
    </w:p>
    <w:p>
      <w:pPr>
        <w:pStyle w:val="Heading2"/>
        <w:numPr>
          <w:ilvl w:val="0"/>
          <w:numId w:val="10"/>
        </w:numPr>
        <w:spacing w:line="264" w:lineRule="auto"/>
        <w:rPr>
          <w:rFonts w:cs="宋体" w:hint="eastAsia"/>
          <w:color w:val="000000"/>
          <w:sz w:val="36"/>
          <w:szCs w:val="24"/>
          <w:highlight w:val="none"/>
        </w:rPr>
      </w:pPr>
      <w:r>
        <w:rPr>
          <w:rFonts w:cs="宋体" w:hint="eastAsia"/>
          <w:color w:val="000000"/>
          <w:sz w:val="36"/>
          <w:szCs w:val="24"/>
          <w:highlight w:val="none"/>
        </w:rPr>
        <w:br w:type="page"/>
      </w:r>
      <w:r>
        <w:rPr>
          <w:rFonts w:cs="宋体" w:hint="eastAsia"/>
          <w:color w:val="000000"/>
          <w:sz w:val="36"/>
          <w:szCs w:val="24"/>
          <w:highlight w:val="none"/>
        </w:rPr>
        <w:t xml:space="preserve"> 招标项目需求</w:t>
      </w:r>
    </w:p>
    <w:p>
      <w:pPr>
        <w:numPr>
          <w:ilvl w:val="0"/>
          <w:numId w:val="11"/>
        </w:numPr>
        <w:adjustRightInd w:val="0"/>
        <w:spacing w:before="120" w:beforeLines="50" w:after="120"/>
        <w:jc w:val="center"/>
        <w:textAlignment w:val="baseline"/>
        <w:outlineLvl w:val="1"/>
        <w:rPr>
          <w:rFonts w:hint="eastAsia"/>
          <w:b/>
          <w:bCs/>
          <w:color w:val="000000"/>
          <w:sz w:val="30"/>
          <w:szCs w:val="30"/>
          <w:highlight w:val="none"/>
          <w:shd w:val="pct10" w:color="auto" w:fill="FFFFFF"/>
        </w:rPr>
      </w:pPr>
      <w:r>
        <w:rPr>
          <w:rFonts w:hint="eastAsia"/>
          <w:b/>
          <w:bCs/>
          <w:color w:val="000000"/>
          <w:sz w:val="30"/>
          <w:szCs w:val="30"/>
          <w:highlight w:val="none"/>
          <w:shd w:val="pct10" w:color="auto" w:fill="FFFFFF"/>
        </w:rPr>
        <w:t>采购范围</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28"/>
        <w:gridCol w:w="4573"/>
        <w:gridCol w:w="869"/>
        <w:gridCol w:w="883"/>
        <w:gridCol w:w="1651"/>
        <w:gridCol w:w="1343"/>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06"/>
          <w:jc w:val="center"/>
        </w:trPr>
        <w:tc>
          <w:tcPr>
            <w:tcW w:w="362"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2274"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名称</w:t>
            </w:r>
          </w:p>
        </w:tc>
        <w:tc>
          <w:tcPr>
            <w:tcW w:w="432"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数量</w:t>
            </w:r>
          </w:p>
        </w:tc>
        <w:tc>
          <w:tcPr>
            <w:tcW w:w="439"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单位</w:t>
            </w:r>
          </w:p>
        </w:tc>
        <w:tc>
          <w:tcPr>
            <w:tcW w:w="821" w:type="pct"/>
            <w:vAlign w:val="center"/>
          </w:tcPr>
          <w:p>
            <w:pPr>
              <w:spacing w:before="120" w:beforeLines="50" w:line="360" w:lineRule="auto"/>
              <w:jc w:val="center"/>
              <w:rPr>
                <w:rFonts w:ascii="宋体" w:hAnsi="宋体" w:cs="宋体"/>
                <w:b/>
                <w:color w:val="000000"/>
                <w:szCs w:val="21"/>
                <w:highlight w:val="none"/>
              </w:rPr>
            </w:pPr>
            <w:r>
              <w:rPr>
                <w:rFonts w:ascii="宋体" w:hAnsi="宋体" w:cs="宋体" w:hint="eastAsia"/>
                <w:b/>
                <w:color w:val="000000"/>
                <w:szCs w:val="21"/>
                <w:highlight w:val="none"/>
              </w:rPr>
              <w:t>分项控制金额</w:t>
            </w:r>
          </w:p>
        </w:tc>
        <w:tc>
          <w:tcPr>
            <w:tcW w:w="668"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备注</w:t>
            </w:r>
          </w:p>
        </w:tc>
      </w:tr>
      <w:tr>
        <w:tblPrEx>
          <w:tblW w:w="4998" w:type="pct"/>
          <w:jc w:val="center"/>
          <w:tblCellMar>
            <w:top w:w="0" w:type="dxa"/>
            <w:left w:w="108" w:type="dxa"/>
            <w:bottom w:w="0" w:type="dxa"/>
            <w:right w:w="108" w:type="dxa"/>
          </w:tblCellMar>
          <w:tblLook w:val="0000"/>
        </w:tblPrEx>
        <w:trPr>
          <w:trHeight w:val="508"/>
          <w:jc w:val="center"/>
        </w:trPr>
        <w:tc>
          <w:tcPr>
            <w:tcW w:w="36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2274"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lang w:val="zh-TW"/>
              </w:rPr>
              <w:t>三重串联四极杆电感耦合等离子体质谱仪（</w:t>
            </w:r>
            <w:r>
              <w:rPr>
                <w:rFonts w:ascii="宋体" w:hAnsi="宋体" w:cs="宋体" w:hint="eastAsia"/>
                <w:color w:val="000000"/>
                <w:szCs w:val="21"/>
                <w:highlight w:val="none"/>
              </w:rPr>
              <w:t>一</w:t>
            </w:r>
            <w:r>
              <w:rPr>
                <w:rFonts w:ascii="宋体" w:hAnsi="宋体" w:cs="宋体" w:hint="eastAsia"/>
                <w:color w:val="000000"/>
                <w:szCs w:val="21"/>
                <w:highlight w:val="none"/>
                <w:lang w:val="zh-TW"/>
              </w:rPr>
              <w:t>）</w:t>
            </w:r>
          </w:p>
        </w:tc>
        <w:tc>
          <w:tcPr>
            <w:tcW w:w="432"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rPr>
              <w:t>1</w:t>
            </w:r>
          </w:p>
        </w:tc>
        <w:tc>
          <w:tcPr>
            <w:tcW w:w="439"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821" w:type="pct"/>
            <w:vAlign w:val="center"/>
          </w:tcPr>
          <w:p>
            <w:pPr>
              <w:jc w:val="center"/>
              <w:rPr>
                <w:rFonts w:ascii="宋体" w:hAnsi="宋体" w:cs="宋体"/>
                <w:color w:val="000000"/>
                <w:szCs w:val="21"/>
                <w:highlight w:val="none"/>
              </w:rPr>
            </w:pPr>
            <w:r>
              <w:rPr>
                <w:rFonts w:ascii="宋体" w:hAnsi="宋体" w:cs="宋体" w:hint="eastAsia"/>
                <w:color w:val="000000"/>
                <w:szCs w:val="21"/>
                <w:highlight w:val="none"/>
              </w:rPr>
              <w:t>¥1,908,000.00</w:t>
            </w:r>
          </w:p>
        </w:tc>
        <w:tc>
          <w:tcPr>
            <w:tcW w:w="668"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r>
        <w:tblPrEx>
          <w:tblW w:w="4998" w:type="pct"/>
          <w:jc w:val="center"/>
          <w:tblCellMar>
            <w:top w:w="0" w:type="dxa"/>
            <w:left w:w="108" w:type="dxa"/>
            <w:bottom w:w="0" w:type="dxa"/>
            <w:right w:w="108" w:type="dxa"/>
          </w:tblCellMar>
          <w:tblLook w:val="0000"/>
        </w:tblPrEx>
        <w:trPr>
          <w:trHeight w:val="508"/>
          <w:jc w:val="center"/>
        </w:trPr>
        <w:tc>
          <w:tcPr>
            <w:tcW w:w="36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2</w:t>
            </w:r>
          </w:p>
        </w:tc>
        <w:tc>
          <w:tcPr>
            <w:tcW w:w="2274" w:type="pct"/>
            <w:vAlign w:val="center"/>
          </w:tcPr>
          <w:p>
            <w:pPr>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rPr>
              <w:t>三重串联四极杆电感耦合等离子体质谱仪（</w:t>
            </w:r>
            <w:r>
              <w:rPr>
                <w:rFonts w:ascii="宋体" w:hAnsi="宋体" w:cs="宋体" w:hint="eastAsia"/>
                <w:color w:val="000000"/>
                <w:szCs w:val="21"/>
                <w:highlight w:val="none"/>
              </w:rPr>
              <w:t>二</w:t>
            </w:r>
            <w:r>
              <w:rPr>
                <w:rFonts w:ascii="宋体" w:hAnsi="宋体" w:cs="宋体" w:hint="eastAsia"/>
                <w:color w:val="000000"/>
                <w:szCs w:val="21"/>
                <w:highlight w:val="none"/>
                <w:lang w:val="zh-TW"/>
              </w:rPr>
              <w:t>）</w:t>
            </w:r>
          </w:p>
        </w:tc>
        <w:tc>
          <w:tcPr>
            <w:tcW w:w="432" w:type="pct"/>
            <w:vAlign w:val="center"/>
          </w:tcPr>
          <w:p>
            <w:pPr>
              <w:jc w:val="center"/>
              <w:rPr>
                <w:rFonts w:ascii="宋体" w:hAnsi="宋体" w:cs="宋体"/>
                <w:color w:val="000000"/>
                <w:szCs w:val="21"/>
                <w:highlight w:val="none"/>
              </w:rPr>
            </w:pPr>
            <w:r>
              <w:rPr>
                <w:rFonts w:ascii="宋体" w:hAnsi="宋体" w:cs="宋体" w:hint="eastAsia"/>
                <w:color w:val="000000"/>
                <w:szCs w:val="21"/>
                <w:highlight w:val="none"/>
              </w:rPr>
              <w:t>1</w:t>
            </w:r>
          </w:p>
        </w:tc>
        <w:tc>
          <w:tcPr>
            <w:tcW w:w="439"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821" w:type="pct"/>
            <w:vAlign w:val="center"/>
          </w:tcPr>
          <w:p>
            <w:pPr>
              <w:jc w:val="center"/>
              <w:rPr>
                <w:rFonts w:ascii="宋体" w:hAnsi="宋体" w:cs="宋体"/>
                <w:color w:val="000000"/>
                <w:szCs w:val="21"/>
                <w:highlight w:val="none"/>
              </w:rPr>
            </w:pPr>
            <w:r>
              <w:rPr>
                <w:rFonts w:ascii="宋体" w:hAnsi="宋体" w:cs="宋体" w:hint="eastAsia"/>
                <w:color w:val="000000"/>
                <w:szCs w:val="21"/>
                <w:highlight w:val="none"/>
              </w:rPr>
              <w:t>¥1,908,000.00</w:t>
            </w:r>
          </w:p>
        </w:tc>
        <w:tc>
          <w:tcPr>
            <w:tcW w:w="668"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bl>
    <w:p>
      <w:pPr>
        <w:pStyle w:val="a1"/>
        <w:ind w:firstLine="602"/>
        <w:rPr>
          <w:rFonts w:ascii="Times New Roman" w:hint="eastAsia"/>
          <w:b/>
          <w:bCs/>
          <w:color w:val="000000"/>
          <w:kern w:val="2"/>
          <w:sz w:val="30"/>
          <w:szCs w:val="30"/>
          <w:highlight w:val="none"/>
          <w:shd w:val="pct10" w:color="auto" w:fill="FFFFFF"/>
        </w:rPr>
      </w:pPr>
    </w:p>
    <w:p>
      <w:pPr>
        <w:numPr>
          <w:ilvl w:val="0"/>
          <w:numId w:val="11"/>
        </w:numPr>
        <w:adjustRightInd w:val="0"/>
        <w:spacing w:before="192" w:beforeLines="80" w:after="120"/>
        <w:jc w:val="center"/>
        <w:textAlignment w:val="baseline"/>
        <w:outlineLvl w:val="1"/>
        <w:rPr>
          <w:rFonts w:ascii="宋体" w:hAnsi="宋体" w:cs="宋体"/>
          <w:b/>
          <w:bCs/>
          <w:color w:val="000000"/>
          <w:sz w:val="32"/>
          <w:szCs w:val="32"/>
          <w:highlight w:val="none"/>
          <w:shd w:val="clear" w:color="FFFFFF" w:fill="D9D9D9"/>
        </w:rPr>
      </w:pPr>
      <w:r>
        <w:rPr>
          <w:rFonts w:hint="eastAsia"/>
          <w:b/>
          <w:bCs/>
          <w:color w:val="000000"/>
          <w:sz w:val="30"/>
          <w:szCs w:val="30"/>
          <w:highlight w:val="none"/>
          <w:shd w:val="pct10" w:color="auto" w:fill="FFFFFF"/>
        </w:rPr>
        <w:t>技术部分</w:t>
      </w:r>
    </w:p>
    <w:p>
      <w:pPr>
        <w:pStyle w:val="a1"/>
        <w:ind w:firstLine="602"/>
        <w:rPr>
          <w:rFonts w:ascii="Times New Roman"/>
          <w:b/>
          <w:bCs/>
          <w:color w:val="000000"/>
          <w:kern w:val="2"/>
          <w:sz w:val="30"/>
          <w:szCs w:val="30"/>
          <w:highlight w:val="none"/>
          <w:shd w:val="pct10" w:color="auto" w:fill="FFFFFF"/>
        </w:rPr>
      </w:pPr>
    </w:p>
    <w:p>
      <w:pPr>
        <w:spacing w:line="360" w:lineRule="auto"/>
        <w:jc w:val="center"/>
        <w:rPr>
          <w:rFonts w:ascii="宋体" w:hAnsi="宋体" w:cs="宋体"/>
          <w:b/>
          <w:color w:val="000000"/>
          <w:sz w:val="30"/>
          <w:szCs w:val="30"/>
          <w:highlight w:val="none"/>
        </w:rPr>
      </w:pPr>
      <w:r>
        <w:rPr>
          <w:rFonts w:ascii="宋体" w:hAnsi="宋体" w:cs="宋体" w:hint="eastAsia"/>
          <w:b/>
          <w:color w:val="000000"/>
          <w:sz w:val="30"/>
          <w:szCs w:val="30"/>
          <w:highlight w:val="none"/>
        </w:rPr>
        <w:t>三重串联四极杆电感耦合等离子体质谱仪（一）    1套</w:t>
      </w:r>
    </w:p>
    <w:p>
      <w:pPr>
        <w:numPr>
          <w:ilvl w:val="0"/>
          <w:numId w:val="12"/>
        </w:numPr>
        <w:spacing w:line="360" w:lineRule="auto"/>
        <w:ind w:left="425" w:hanging="5" w:leftChars="200"/>
        <w:rPr>
          <w:rFonts w:ascii="宋体" w:hAnsi="宋体" w:cs="宋体" w:hint="eastAsia"/>
          <w:b/>
          <w:color w:val="000000"/>
          <w:szCs w:val="21"/>
          <w:highlight w:val="none"/>
        </w:rPr>
      </w:pPr>
      <w:bookmarkStart w:id="18" w:name="_Toc88839304"/>
      <w:r>
        <w:rPr>
          <w:rFonts w:ascii="宋体" w:hAnsi="宋体" w:cs="宋体" w:hint="eastAsia"/>
          <w:b/>
          <w:color w:val="000000"/>
          <w:szCs w:val="21"/>
          <w:highlight w:val="none"/>
        </w:rPr>
        <w:t>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三重串联四极杆电感耦合等离子体质谱仪配备的稳定等离子体和耐高盐进样系统可测定样品中痕量与常量无机元素和同位素。</w:t>
      </w:r>
    </w:p>
    <w:p>
      <w:pPr>
        <w:numPr>
          <w:ilvl w:val="0"/>
          <w:numId w:val="12"/>
        </w:numPr>
        <w:spacing w:line="360" w:lineRule="auto"/>
        <w:ind w:left="425" w:hanging="5" w:leftChars="200"/>
        <w:rPr>
          <w:rFonts w:ascii="宋体" w:hAnsi="宋体" w:cs="宋体" w:hint="eastAsia"/>
          <w:b/>
          <w:color w:val="000000"/>
          <w:szCs w:val="21"/>
          <w:highlight w:val="none"/>
        </w:rPr>
      </w:pPr>
      <w:bookmarkStart w:id="19" w:name="_Toc88839307"/>
      <w:bookmarkEnd w:id="18"/>
      <w:r>
        <w:rPr>
          <w:rFonts w:ascii="宋体" w:hAnsi="宋体" w:cs="宋体" w:hint="eastAsia"/>
          <w:b/>
          <w:color w:val="000000"/>
          <w:szCs w:val="21"/>
          <w:highlight w:val="none"/>
        </w:rPr>
        <w:t>★配置要求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三重串联四极杆电感耦合等离子体质谱仪主机1台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自动进样器1台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软件1套</w:t>
      </w:r>
      <w:bookmarkStart w:id="20" w:name="_Toc88839306"/>
    </w:p>
    <w:p>
      <w:pPr>
        <w:numPr>
          <w:ilvl w:val="0"/>
          <w:numId w:val="12"/>
        </w:numPr>
        <w:spacing w:line="360" w:lineRule="auto"/>
        <w:ind w:hanging="5"/>
        <w:rPr>
          <w:rFonts w:ascii="宋体" w:hAnsi="宋体" w:cs="宋体" w:hint="eastAsia"/>
          <w:b/>
          <w:color w:val="000000"/>
          <w:szCs w:val="21"/>
          <w:highlight w:val="none"/>
        </w:rPr>
      </w:pPr>
      <w:r>
        <w:rPr>
          <w:rFonts w:ascii="宋体" w:hAnsi="宋体" w:cs="宋体" w:hint="eastAsia"/>
          <w:b/>
          <w:color w:val="000000"/>
          <w:szCs w:val="21"/>
          <w:highlight w:val="none"/>
        </w:rPr>
        <w:t>技术要求</w:t>
      </w:r>
      <w:bookmarkEnd w:id="20"/>
    </w:p>
    <w:p>
      <w:pPr>
        <w:adjustRightInd w:val="0"/>
        <w:snapToGrid w:val="0"/>
        <w:spacing w:line="360" w:lineRule="auto"/>
        <w:ind w:firstLine="420" w:firstLineChars="200"/>
        <w:rPr>
          <w:rFonts w:ascii="宋体" w:hAnsi="宋体" w:cs="宋体" w:hint="eastAsia"/>
          <w:color w:val="000000"/>
          <w:szCs w:val="21"/>
          <w:highlight w:val="none"/>
        </w:rPr>
      </w:pPr>
      <w:bookmarkStart w:id="21" w:name="_Hlk138246565"/>
      <w:r>
        <w:rPr>
          <w:rFonts w:ascii="宋体" w:hAnsi="宋体" w:cs="宋体" w:hint="eastAsia"/>
          <w:color w:val="000000"/>
          <w:szCs w:val="21"/>
          <w:highlight w:val="none"/>
        </w:rPr>
        <w:t>3.</w:t>
      </w:r>
      <w:bookmarkEnd w:id="21"/>
      <w:r>
        <w:rPr>
          <w:rFonts w:ascii="宋体" w:hAnsi="宋体" w:cs="宋体" w:hint="eastAsia"/>
          <w:color w:val="000000"/>
          <w:szCs w:val="21"/>
          <w:highlight w:val="none"/>
        </w:rPr>
        <w:t>1 三重串联四极杆电感耦合等离子体质谱仪主机：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3.1.1雾化器：高精度、高效同心雾化器。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 雾化室：应采用双通道设计，并配有半导体控温装置。</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 耐高盐进样：仪器配置全自动在线稀释装置，稀释方式为气体自动稀释，避免使用溶剂稀释引入污染，最高稀释100倍，可以连续测定含盐量25%及以上的样品，能实现海水直接进样</w:t>
      </w:r>
      <w:r>
        <w:rPr>
          <w:rFonts w:ascii="宋体" w:hAnsi="宋体" w:cs="宋体" w:hint="eastAsia"/>
          <w:b/>
          <w:bCs/>
          <w:color w:val="000000"/>
          <w:szCs w:val="21"/>
          <w:highlight w:val="none"/>
        </w:rPr>
        <w:t>（在投标文件中提供应用文献扫描件证明仪器具有该能力，否则视为负偏离，原件备查）。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▲3.1.4电感耦合等离子体发生器：数字式驱动的固态电感耦合等离子体发生器，工作频率27.12MHz及以上，最大功率不小于1.6kW</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 射频线圈：采用主动式水冷</w:t>
      </w:r>
      <w:bookmarkStart w:id="22" w:name="_Hlk142661143"/>
      <w:r>
        <w:rPr>
          <w:rFonts w:ascii="宋体" w:hAnsi="宋体" w:cs="宋体" w:hint="eastAsia"/>
          <w:color w:val="000000"/>
          <w:szCs w:val="21"/>
          <w:highlight w:val="none"/>
        </w:rPr>
        <w:t>或气冷设计</w:t>
      </w:r>
      <w:bookmarkEnd w:id="22"/>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 二次放电消除技术：具备屏蔽矩物理接地技术，或者额外多配20套工作线圈，预防意外放电造成的工作线圈击穿</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 接口：镍材质采样锥与截取锥，锥数量≤2个，具有≤1.0mm采样锥，≤0.45mm的截取锥孔设计，减少高基体样品进入仪器真空腔，保证质谱系统的长期稳定性。</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 离子透镜组：包括提取透镜和偏转透镜，离子经过提取透镜聚焦后，经过偏转透镜所施加电场发生多次偏转，彻底与光子及其他中性粒子分离。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3.1.8.1提取透镜：必须配置不少于2个离子提取透镜，可通过分别施加不同电压来实现多种离子提取效果。</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3.1.8.2偏转透镜：配置多次偏转设计的透镜技术，在有效去除中性离子的同时减少各质量段的灵敏度的差异。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 工作气体控制：可由仪器软件控制的高精度气体质量流量控制器控制各个工作气体，质量流量控制气体流路不少于9个。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3.1.9.1进样系统气体控制：配置不少于5个气体质量流量控制器，用于精确控制等离子体气、辅助气、载气、稀释气、补偿气等。</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3.1.9.2 碰撞反应池气体控制：配置不少于4个气体质量流量控制器，用于精确控制He、H</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、NH</w:t>
      </w:r>
      <w:r>
        <w:rPr>
          <w:rFonts w:ascii="宋体" w:hAnsi="宋体" w:cs="宋体" w:hint="eastAsia"/>
          <w:color w:val="000000"/>
          <w:szCs w:val="21"/>
          <w:highlight w:val="none"/>
          <w:vertAlign w:val="subscript"/>
        </w:rPr>
        <w:t>3</w:t>
      </w:r>
      <w:r>
        <w:rPr>
          <w:rFonts w:ascii="宋体" w:hAnsi="宋体" w:cs="宋体" w:hint="eastAsia"/>
          <w:color w:val="000000"/>
          <w:szCs w:val="21"/>
          <w:highlight w:val="none"/>
        </w:rPr>
        <w:t>/He、O</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等池气体。</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 一级四极杆Q1：双曲面四极杆设计，可以进行单质量数过滤，使非选定质量的离子无法进入碰撞反应池。</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★3.1.10.1 驱动频率：至少包含2.8-3.0MHz。</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3.1.10.2 质量范围：至少包含2-255amu。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 碰撞反应池：由一级四级杆Q1滤除了选定质量数之外的离子束入池，池可同时使用至少四路不同的碰撞/反应气体。</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▲3.1.11.1 离子导杆：碰撞反应池采用六极杆或八极杆离子导杆</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3.1.11.2 池气体性能：除常规使用的池气体外，还具备使用N</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O、CH</w:t>
      </w:r>
      <w:r>
        <w:rPr>
          <w:rFonts w:ascii="宋体" w:hAnsi="宋体" w:cs="宋体" w:hint="eastAsia"/>
          <w:color w:val="000000"/>
          <w:szCs w:val="21"/>
          <w:highlight w:val="none"/>
          <w:vertAlign w:val="subscript"/>
        </w:rPr>
        <w:t>3</w:t>
      </w:r>
      <w:r>
        <w:rPr>
          <w:rFonts w:ascii="宋体" w:hAnsi="宋体" w:cs="宋体" w:hint="eastAsia"/>
          <w:color w:val="000000"/>
          <w:szCs w:val="21"/>
          <w:highlight w:val="none"/>
        </w:rPr>
        <w:t>F、CH</w:t>
      </w:r>
      <w:r>
        <w:rPr>
          <w:rFonts w:ascii="宋体" w:hAnsi="宋体" w:cs="宋体" w:hint="eastAsia"/>
          <w:color w:val="000000"/>
          <w:szCs w:val="21"/>
          <w:highlight w:val="none"/>
          <w:vertAlign w:val="subscript"/>
        </w:rPr>
        <w:t>4</w:t>
      </w:r>
      <w:r>
        <w:rPr>
          <w:rFonts w:ascii="宋体" w:hAnsi="宋体" w:cs="宋体" w:hint="eastAsia"/>
          <w:color w:val="000000"/>
          <w:szCs w:val="21"/>
          <w:highlight w:val="none"/>
        </w:rPr>
        <w:t>、N</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等气体进行研究的能力</w:t>
      </w:r>
      <w:r>
        <w:rPr>
          <w:rFonts w:ascii="宋体" w:hAnsi="宋体" w:cs="宋体" w:hint="eastAsia"/>
          <w:b/>
          <w:bCs/>
          <w:color w:val="000000"/>
          <w:szCs w:val="21"/>
          <w:highlight w:val="none"/>
        </w:rPr>
        <w:t>（在投标文件中提供使用</w:t>
      </w:r>
      <w:r>
        <w:rPr>
          <w:rFonts w:ascii="宋体" w:hAnsi="宋体" w:cs="宋体" w:hint="eastAsia"/>
          <w:b/>
          <w:bCs/>
          <w:color w:val="000000"/>
          <w:szCs w:val="21"/>
          <w:highlight w:val="none"/>
        </w:rPr>
        <w:t>N</w:t>
      </w:r>
      <w:r>
        <w:rPr>
          <w:rFonts w:ascii="宋体" w:hAnsi="宋体" w:cs="宋体" w:hint="eastAsia"/>
          <w:b/>
          <w:bCs/>
          <w:color w:val="000000"/>
          <w:szCs w:val="21"/>
          <w:highlight w:val="none"/>
          <w:vertAlign w:val="subscript"/>
        </w:rPr>
        <w:t>2</w:t>
      </w:r>
      <w:r>
        <w:rPr>
          <w:rFonts w:ascii="宋体" w:hAnsi="宋体" w:cs="宋体" w:hint="eastAsia"/>
          <w:b/>
          <w:bCs/>
          <w:color w:val="000000"/>
          <w:szCs w:val="21"/>
          <w:highlight w:val="none"/>
        </w:rPr>
        <w:t>O、CH</w:t>
      </w:r>
      <w:r>
        <w:rPr>
          <w:rFonts w:ascii="宋体" w:hAnsi="宋体" w:cs="宋体" w:hint="eastAsia"/>
          <w:b/>
          <w:bCs/>
          <w:color w:val="000000"/>
          <w:szCs w:val="21"/>
          <w:highlight w:val="none"/>
          <w:vertAlign w:val="subscript"/>
        </w:rPr>
        <w:t>3</w:t>
      </w:r>
      <w:r>
        <w:rPr>
          <w:rFonts w:ascii="宋体" w:hAnsi="宋体" w:cs="宋体" w:hint="eastAsia"/>
          <w:b/>
          <w:bCs/>
          <w:color w:val="000000"/>
          <w:szCs w:val="21"/>
          <w:highlight w:val="none"/>
        </w:rPr>
        <w:t>F</w:t>
      </w:r>
      <w:r>
        <w:rPr>
          <w:rFonts w:ascii="宋体" w:hAnsi="宋体" w:cs="宋体" w:hint="eastAsia"/>
          <w:b/>
          <w:bCs/>
          <w:color w:val="000000"/>
          <w:szCs w:val="21"/>
          <w:highlight w:val="none"/>
        </w:rPr>
        <w:t>气体的公开发表文献各两篇及以上扫描件证明仪器具有该能力，否则视为负偏离）</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▲3.1.11.3 池工作模式：拥有不少于4种工作模式，标准模式（No Gas）、氦气碰撞模式、高能干扰消除模式、反应模式，不同模式切换时间小于5秒</w:t>
      </w:r>
      <w:r>
        <w:rPr>
          <w:rFonts w:ascii="宋体" w:hAnsi="宋体" w:cs="宋体" w:hint="eastAsia"/>
          <w:b/>
          <w:bCs/>
          <w:color w:val="000000"/>
          <w:szCs w:val="21"/>
          <w:highlight w:val="none"/>
        </w:rPr>
        <w:t>（在投标文件中提供软件截图证明，否则视为负偏离）</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3.1.12 二级四极杆（主四极杆）Q2：双曲面四极杆设计，可以进行单质量数过滤，使非目标质量元素无法进入检测器。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▲3.1.12.1 驱动频率：至少包含2.8-3.0MHz</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3.1.12.2 质量范围：至少包含2-255amu。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3.1.13 检测器：双通道模式的高速检测器；离子动态计数范围不小于0.1-8×10</w:t>
      </w:r>
      <w:r>
        <w:rPr>
          <w:rFonts w:ascii="宋体" w:hAnsi="宋体" w:cs="宋体" w:hint="eastAsia"/>
          <w:color w:val="000000"/>
          <w:szCs w:val="21"/>
          <w:highlight w:val="none"/>
          <w:vertAlign w:val="superscript"/>
        </w:rPr>
        <w:t>9</w:t>
      </w:r>
      <w:r>
        <w:rPr>
          <w:rFonts w:ascii="宋体" w:hAnsi="宋体" w:cs="宋体" w:hint="eastAsia"/>
          <w:color w:val="000000"/>
          <w:szCs w:val="21"/>
          <w:highlight w:val="none"/>
        </w:rPr>
        <w:t>cps，即不少于10个数量级。</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3.1.14 真空系统：具有4级真空，至少包括1个叉分式涡轮泵、1个涡轮泵和1个外置机械泵。</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3.1.15 自动进样器：配置原厂高速自动进样器，样品位不少于200位并可根据样品量升级至350位以上。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 操作软件及应用软件：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 操作系统：Windows10及以上操作系统。</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3.2.2 全自动调谐及打印所有仪器工作参数报告功能。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3.2.3 用户自定义报告格式功能。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 性能指标：</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 灵敏度：</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▲3.3.1.1 低质量数：Li（7）≥150Mcps/ppm</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3.3.1.2 中质量数：Y（89）≥500Mcps/ppm。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3.3.1.3 高质量数：Tl（205）≥300Mcps/ppm 或 U（238）≥450Mcps/ppm。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 检测限：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3.3.2.1 Be（9）≤0.1ng/L。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3.3.2.2 In（115）≤0.05ng/L。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3.3.2.3 U（238）≤0.05ng/L。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▲3.3.3 氧化物（CeO</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/Ce</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）≤1.5%</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3.3.4 双电荷离子（Ce</w:t>
      </w:r>
      <w:r>
        <w:rPr>
          <w:rFonts w:ascii="宋体" w:hAnsi="宋体" w:cs="宋体" w:hint="eastAsia"/>
          <w:color w:val="000000"/>
          <w:szCs w:val="21"/>
          <w:highlight w:val="none"/>
          <w:vertAlign w:val="superscript"/>
        </w:rPr>
        <w:t>2+</w:t>
      </w:r>
      <w:r>
        <w:rPr>
          <w:rFonts w:ascii="宋体" w:hAnsi="宋体" w:cs="宋体" w:hint="eastAsia"/>
          <w:color w:val="000000"/>
          <w:szCs w:val="21"/>
          <w:highlight w:val="none"/>
        </w:rPr>
        <w:t>/Ce</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）≤3.0%。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▲3.3.5 丰度灵敏度</w:t>
      </w:r>
      <w:r>
        <w:rPr>
          <w:rFonts w:ascii="宋体" w:hAnsi="宋体" w:cs="宋体" w:hint="eastAsia"/>
          <w:b/>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 xml:space="preserve">： </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3.3.5.1 低质量端：1×10</w:t>
      </w:r>
      <w:r>
        <w:rPr>
          <w:rFonts w:ascii="宋体" w:hAnsi="宋体" w:cs="宋体" w:hint="eastAsia"/>
          <w:color w:val="000000"/>
          <w:szCs w:val="21"/>
          <w:highlight w:val="none"/>
          <w:vertAlign w:val="superscript"/>
        </w:rPr>
        <w:t>-9</w:t>
      </w:r>
      <w:r>
        <w:rPr>
          <w:rFonts w:ascii="宋体" w:hAnsi="宋体" w:cs="宋体" w:hint="eastAsia"/>
          <w:color w:val="000000"/>
          <w:szCs w:val="21"/>
          <w:highlight w:val="none"/>
        </w:rPr>
        <w:t>（即＜0.001ppm）。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3.3.5.2 高质量端：1×10</w:t>
      </w:r>
      <w:r>
        <w:rPr>
          <w:rFonts w:ascii="宋体" w:hAnsi="宋体" w:cs="宋体" w:hint="eastAsia"/>
          <w:color w:val="000000"/>
          <w:szCs w:val="21"/>
          <w:highlight w:val="none"/>
          <w:vertAlign w:val="superscript"/>
        </w:rPr>
        <w:t>-9</w:t>
      </w:r>
      <w:r>
        <w:rPr>
          <w:rFonts w:ascii="宋体" w:hAnsi="宋体" w:cs="宋体" w:hint="eastAsia"/>
          <w:color w:val="000000"/>
          <w:szCs w:val="21"/>
          <w:highlight w:val="none"/>
        </w:rPr>
        <w:t>（即＜0.001ppm）。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3.3.6 短期稳定性（相对标准偏差）：≤2%（20分钟）。</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3.3.7 长期稳定性（相对标准偏差）：≤3%（2小时）。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3.3.8 同位素比精度：＜0.2%（107 Ag/109 Ag）。</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3.3.9 抗干扰能力：</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3.3.9.1 S（SO</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）检出限＜0.2ug/L。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3.3.9.2 P（PO</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）检出限＜0.05ug/L。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3.3.9.3 Se元素：≤1 ng/L。</w:t>
      </w:r>
      <w:bookmarkEnd w:id="19"/>
    </w:p>
    <w:p>
      <w:pPr>
        <w:pStyle w:val="a1"/>
        <w:ind w:firstLine="0" w:firstLineChars="0"/>
        <w:jc w:val="center"/>
        <w:rPr>
          <w:rFonts w:ascii="宋体" w:hAnsi="宋体" w:cs="宋体" w:hint="eastAsia"/>
          <w:b/>
          <w:color w:val="000000"/>
          <w:sz w:val="30"/>
          <w:szCs w:val="30"/>
          <w:highlight w:val="none"/>
        </w:rPr>
      </w:pPr>
      <w:r>
        <w:rPr>
          <w:rFonts w:ascii="宋体" w:hAnsi="宋体" w:cs="宋体" w:hint="eastAsia"/>
          <w:b/>
          <w:color w:val="000000"/>
          <w:sz w:val="30"/>
          <w:szCs w:val="30"/>
          <w:highlight w:val="none"/>
        </w:rPr>
        <w:t>三重串联四极杆电感耦合等离子体质谱仪（二） 1套</w:t>
      </w:r>
    </w:p>
    <w:p>
      <w:pPr>
        <w:numPr>
          <w:ilvl w:val="0"/>
          <w:numId w:val="13"/>
        </w:numPr>
        <w:spacing w:before="120" w:beforeLines="50" w:line="360" w:lineRule="auto"/>
        <w:ind w:left="0" w:firstLine="420"/>
        <w:rPr>
          <w:rFonts w:ascii="宋体" w:hAnsi="宋体" w:cs="宋体" w:hint="eastAsia"/>
          <w:b/>
          <w:color w:val="000000"/>
          <w:szCs w:val="21"/>
          <w:highlight w:val="none"/>
        </w:rPr>
      </w:pPr>
      <w:r>
        <w:rPr>
          <w:rFonts w:ascii="宋体" w:hAnsi="宋体" w:cs="宋体" w:hint="eastAsia"/>
          <w:b/>
          <w:color w:val="000000"/>
          <w:szCs w:val="21"/>
          <w:highlight w:val="none"/>
        </w:rPr>
        <w:t>用途</w:t>
      </w:r>
    </w:p>
    <w:p>
      <w:pPr>
        <w:adjustRightInd w:val="0"/>
        <w:snapToGrid w:val="0"/>
        <w:spacing w:line="360" w:lineRule="auto"/>
        <w:ind w:firstLine="420" w:firstLineChars="200"/>
        <w:rPr>
          <w:rFonts w:ascii="宋体" w:hAnsi="宋体" w:cs="宋体" w:hint="eastAsia"/>
          <w:b/>
          <w:color w:val="000000"/>
          <w:sz w:val="30"/>
          <w:szCs w:val="30"/>
          <w:highlight w:val="none"/>
        </w:rPr>
      </w:pPr>
      <w:r>
        <w:rPr>
          <w:rFonts w:ascii="宋体" w:hAnsi="宋体" w:cs="宋体" w:hint="eastAsia"/>
          <w:color w:val="000000"/>
          <w:szCs w:val="21"/>
          <w:highlight w:val="none"/>
        </w:rPr>
        <w:t>三重串联四极杆电感耦合等离子体质谱仪配备的稳定等离子体和耐高盐进样系统可测定样品中痕量与常量无机元素和同位素。</w:t>
      </w:r>
    </w:p>
    <w:p>
      <w:pPr>
        <w:numPr>
          <w:ilvl w:val="0"/>
          <w:numId w:val="13"/>
        </w:numPr>
        <w:spacing w:before="120" w:beforeLines="50" w:line="360" w:lineRule="auto"/>
        <w:ind w:hanging="5"/>
        <w:rPr>
          <w:rFonts w:ascii="宋体" w:hAnsi="宋体" w:cs="宋体" w:hint="eastAsia"/>
          <w:b/>
          <w:color w:val="000000"/>
          <w:szCs w:val="21"/>
          <w:highlight w:val="none"/>
        </w:rPr>
      </w:pPr>
      <w:r>
        <w:rPr>
          <w:rFonts w:ascii="宋体" w:hAnsi="宋体" w:cs="宋体" w:hint="eastAsia"/>
          <w:b/>
          <w:color w:val="000000"/>
          <w:szCs w:val="21"/>
          <w:highlight w:val="none"/>
        </w:rPr>
        <w:t>★配置要求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三重串联四极杆电感耦合等离子体质谱仪主机1台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2.2.自动进样器1台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2.3.软件1套</w:t>
      </w:r>
    </w:p>
    <w:p>
      <w:pPr>
        <w:numPr>
          <w:ilvl w:val="0"/>
          <w:numId w:val="13"/>
        </w:numPr>
        <w:spacing w:before="120" w:beforeLines="50" w:line="360" w:lineRule="auto"/>
        <w:ind w:hanging="5"/>
        <w:rPr>
          <w:rFonts w:ascii="宋体" w:hAnsi="宋体" w:cs="宋体" w:hint="eastAsia"/>
          <w:b/>
          <w:color w:val="000000"/>
          <w:szCs w:val="21"/>
          <w:highlight w:val="none"/>
        </w:rPr>
      </w:pPr>
      <w:r>
        <w:rPr>
          <w:rFonts w:ascii="宋体" w:hAnsi="宋体" w:cs="宋体" w:hint="eastAsia"/>
          <w:b/>
          <w:color w:val="000000"/>
          <w:szCs w:val="21"/>
          <w:highlight w:val="none"/>
        </w:rPr>
        <w:t>技术要求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 三重串联四极杆电感耦合等离子体质谱仪主机：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3.1.1雾化器：高精度、高效同心雾化器。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 雾化室：应采用双通道设计，并配有半导体控温装置。</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▲3.1.3电感耦合等离子体发生器：数字式驱动的固态电感耦合等离子体发生器，工作频率27.12MHz及以上，最大功率不小于1.6kW</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 射频线圈：采用主动式水冷或气冷设计</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 二次放电消除技术：需具备屏蔽矩物理接地技术，或者额外多配20套工作线圈，预防意外放电造成的工作线圈击穿</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 接口：镍材质采样锥与截取锥，锥数量≤2个，具有≤1.0mm采样锥，≤0.45mm的截取锥孔设计，减少高基体样品进入仪器真空腔，保证质谱系统的长期稳定性</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 离子透镜组：包括提取透镜和偏转透镜，离子经过提取透镜聚焦后，经过偏转透镜所施加电场发生多次偏转，彻底与光子及其他中性粒子分离。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3.1.7.1提取透镜：必须配置不少于2个离子提取透镜，可通过分别施加不同电压来实现多种离子提取效果。</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3.1.7.2偏转透镜：使用多次偏转设计的透镜技术，在有效去除中性离子的同时减少各质量段的灵敏度的差异。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 工作气体控制：可由仪器软件控制的高精度气体质量流量控制器控制各个工作气体，质量流量控制气体流路不少于9个。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▲3.1.8.1进样系统气体控制：配置不少于5个气体质量流量控制器，用于精确控制等离子体气、辅助气、载气、稀释气、补偿气等</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3.1.8.2 碰撞反应池气体控制：配置不少于4个气体质量流量控制器，用于精确控制He、H</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、NH</w:t>
      </w:r>
      <w:r>
        <w:rPr>
          <w:rFonts w:ascii="宋体" w:hAnsi="宋体" w:cs="宋体" w:hint="eastAsia"/>
          <w:color w:val="000000"/>
          <w:szCs w:val="21"/>
          <w:highlight w:val="none"/>
          <w:vertAlign w:val="subscript"/>
        </w:rPr>
        <w:t>3</w:t>
      </w:r>
      <w:r>
        <w:rPr>
          <w:rFonts w:ascii="宋体" w:hAnsi="宋体" w:cs="宋体" w:hint="eastAsia"/>
          <w:color w:val="000000"/>
          <w:szCs w:val="21"/>
          <w:highlight w:val="none"/>
        </w:rPr>
        <w:t>/He、O</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等池气体。</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▲3.1.8.3 配置有机加氧系统，可实现有机物直接进样，如乙醇、乙腈等。由于添加了氧气与有机物中的碳元素反应，分析有机物时锥孔不会发生积碳现象</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 一级四极杆Q1：双曲面四极杆设计，可以进行单质量数过滤，使非选定质量的离子无法进入碰撞反应池（投标文件中提供官网技术资料截图或公开发行的技术彩页或产品说明书证明扫描件，证明本条款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▲3.1.9.1 驱动频率：至少包含2.8-3.0MHz</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3.1.9.2 质量范围：至少包含2-255amu。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 碰撞反应池：由一级四级杆Q1滤除了选定质量数之外的离子束入池，池可同时使用至少四路不同的碰撞/反应气体。</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3.1.10.1 池工作模式：拥有不少于4种工作模式，标准模式（No Gas）、氦气碰撞模式、高能干扰消除模式、反应模式，不同模式切换时间小于10秒。</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3.1.10.2 反应池内必须具备轴向场加速功能，可提升仪器灵敏度，同时可控制反应最终产物的产率。</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 二级四极杆（主四极杆）Q2：双曲面四极杆设计，可以进行单质量数过滤，使非目标质量元素无法进入检测器</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▲3.1.11.1 驱动频率：至少包含2.8-3.0MHz</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3.1.11.2 质量范围：至少包含2-255amu。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3.1.12 检测器：双通道模式的高速检测器；离子动态计数范围不小于0.1-8×10</w:t>
      </w:r>
      <w:r>
        <w:rPr>
          <w:rFonts w:ascii="宋体" w:hAnsi="宋体" w:cs="宋体" w:hint="eastAsia"/>
          <w:color w:val="000000"/>
          <w:szCs w:val="21"/>
          <w:highlight w:val="none"/>
          <w:vertAlign w:val="superscript"/>
        </w:rPr>
        <w:t>9</w:t>
      </w:r>
      <w:r>
        <w:rPr>
          <w:rFonts w:ascii="宋体" w:hAnsi="宋体" w:cs="宋体" w:hint="eastAsia"/>
          <w:color w:val="000000"/>
          <w:szCs w:val="21"/>
          <w:highlight w:val="none"/>
        </w:rPr>
        <w:t>cps，即不得少于10个数量级。</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3.1.13 真空系统：具有4级真空，至少包括1个叉分式涡轮泵、1个涡轮泵和1个外置机械泵。</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3.1.14 自动进样器：需配置原厂高速自动进样器。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 操作软件及应用软件：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 操作系统：Windows10及以上操作系统。</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3.2.2 全自动调谐及打印所有仪器工作参数报告功能。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3.2.3 用户自定义报告格式功能。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 性能指标：</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 灵敏度：</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3.3.1.1 低质量数：Li（7）≥200Mcps/ppm。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3.3.1.2 中质量数：Y（89）≥1200Mcps/ppm。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3.3.1.3 高质量数：Tl（205）≥400Mcps/ppm。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 检测限：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3.3.2.1 Be（9）≤0.1ng/L。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3.3.2.2 In（115）≤0.05ng/L。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3.3.2.3 U（238）≤0.05ng/L。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3.3.3 氧化物（CeO</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/Ce</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）≤1.5%。</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 xml:space="preserve">3.3.4 丰度灵敏度： </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3.3.4.1 低质量端≤1×10</w:t>
      </w:r>
      <w:r>
        <w:rPr>
          <w:rFonts w:ascii="宋体" w:hAnsi="宋体" w:cs="宋体" w:hint="eastAsia"/>
          <w:color w:val="000000"/>
          <w:szCs w:val="21"/>
          <w:highlight w:val="none"/>
          <w:vertAlign w:val="superscript"/>
        </w:rPr>
        <w:t>-9</w:t>
      </w:r>
      <w:r>
        <w:rPr>
          <w:rFonts w:ascii="宋体" w:hAnsi="宋体" w:cs="宋体" w:hint="eastAsia"/>
          <w:color w:val="000000"/>
          <w:szCs w:val="21"/>
          <w:highlight w:val="none"/>
        </w:rPr>
        <w:t>（即＜0.001ppm）。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3.3.4.2 高质量端≤1×10</w:t>
      </w:r>
      <w:r>
        <w:rPr>
          <w:rFonts w:ascii="宋体" w:hAnsi="宋体" w:cs="宋体" w:hint="eastAsia"/>
          <w:color w:val="000000"/>
          <w:szCs w:val="21"/>
          <w:highlight w:val="none"/>
          <w:vertAlign w:val="superscript"/>
        </w:rPr>
        <w:t>-9</w:t>
      </w:r>
      <w:r>
        <w:rPr>
          <w:rFonts w:ascii="宋体" w:hAnsi="宋体" w:cs="宋体" w:hint="eastAsia"/>
          <w:color w:val="000000"/>
          <w:szCs w:val="21"/>
          <w:highlight w:val="none"/>
        </w:rPr>
        <w:t>（即＜0.001ppm）。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3.3.5 短期稳定性（相对标准偏差）≤2%（20分钟）。</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3.3.6 长期稳定性（相对标准偏差）≤3%（2小时）。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3.3.7 抗干扰能力：</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3.3.7.1 S（SO</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）检出限＜0.05ug/L。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3.3.7.2 P（PO</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）检出限＜0.05ug/L。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3.3.8 背景噪音Be（9）&lt;0.3cps。</w:t>
      </w:r>
    </w:p>
    <w:p>
      <w:pPr>
        <w:numPr>
          <w:ilvl w:val="0"/>
          <w:numId w:val="11"/>
        </w:numPr>
        <w:adjustRightInd w:val="0"/>
        <w:spacing w:before="120" w:beforeLines="50" w:after="120"/>
        <w:jc w:val="center"/>
        <w:textAlignment w:val="baseline"/>
        <w:outlineLvl w:val="1"/>
        <w:rPr>
          <w:rFonts w:ascii="宋体" w:hAnsi="宋体" w:cs="宋体"/>
          <w:b/>
          <w:bCs/>
          <w:color w:val="000000"/>
          <w:sz w:val="32"/>
          <w:szCs w:val="32"/>
          <w:highlight w:val="none"/>
          <w:shd w:val="clear" w:color="FFFFFF" w:fill="D9D9D9"/>
        </w:rPr>
      </w:pPr>
      <w:r>
        <w:rPr>
          <w:b/>
          <w:bCs/>
          <w:color w:val="000000"/>
          <w:sz w:val="30"/>
          <w:szCs w:val="30"/>
          <w:highlight w:val="none"/>
          <w:shd w:val="pct10" w:color="auto" w:fill="FFFFFF"/>
        </w:rPr>
        <w:t>商务</w:t>
      </w:r>
      <w:r>
        <w:rPr>
          <w:rFonts w:hint="eastAsia"/>
          <w:b/>
          <w:bCs/>
          <w:color w:val="000000"/>
          <w:sz w:val="30"/>
          <w:szCs w:val="30"/>
          <w:highlight w:val="none"/>
          <w:shd w:val="pct10" w:color="auto" w:fill="FFFFFF"/>
        </w:rPr>
        <w:t>部分</w:t>
      </w:r>
    </w:p>
    <w:p>
      <w:pPr>
        <w:numPr>
          <w:ilvl w:val="0"/>
          <w:numId w:val="14"/>
        </w:numPr>
        <w:autoSpaceDE w:val="0"/>
        <w:autoSpaceDN w:val="0"/>
        <w:adjustRightInd w:val="0"/>
        <w:spacing w:line="360" w:lineRule="auto"/>
        <w:rPr>
          <w:rFonts w:ascii="宋体" w:hAnsi="宋体" w:cs="宋体" w:hint="eastAsia"/>
          <w:b/>
          <w:color w:val="000000"/>
          <w:szCs w:val="21"/>
          <w:highlight w:val="none"/>
        </w:rPr>
      </w:pPr>
      <w:r>
        <w:rPr>
          <w:rFonts w:ascii="宋体" w:hAnsi="宋体" w:cs="宋体" w:hint="eastAsia"/>
          <w:b/>
          <w:bCs/>
          <w:color w:val="000000"/>
          <w:kern w:val="0"/>
          <w:szCs w:val="21"/>
          <w:highlight w:val="none"/>
          <w:lang w:val="zh-CN"/>
        </w:rPr>
        <w:t>★</w:t>
      </w:r>
      <w:r>
        <w:rPr>
          <w:rFonts w:ascii="宋体" w:hAnsi="宋体" w:cs="宋体" w:hint="eastAsia"/>
          <w:b/>
          <w:color w:val="000000"/>
          <w:szCs w:val="21"/>
          <w:highlight w:val="none"/>
        </w:rPr>
        <w:t>付款方式</w:t>
      </w:r>
    </w:p>
    <w:p>
      <w:pPr>
        <w:spacing w:line="360" w:lineRule="auto"/>
        <w:ind w:firstLine="368" w:firstLineChars="175"/>
        <w:rPr>
          <w:rFonts w:ascii="宋体" w:hAnsi="宋体" w:cs="宋体" w:hint="eastAsia"/>
          <w:b/>
          <w:bCs/>
          <w:color w:val="000000"/>
          <w:szCs w:val="21"/>
          <w:highlight w:val="none"/>
        </w:rPr>
      </w:pPr>
      <w:r>
        <w:rPr>
          <w:rFonts w:ascii="宋体" w:hAnsi="宋体" w:cs="宋体" w:hint="eastAsia"/>
          <w:b/>
          <w:bCs/>
          <w:color w:val="000000"/>
          <w:szCs w:val="21"/>
          <w:highlight w:val="none"/>
        </w:rPr>
        <w:t>1.国内合同：</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（1）合同生效后，采购人在15日内，向中标人支付合同价款的50%，作为预付款；</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（2）中标人按照合同约定交付全部合同货物，完成安装、调试并经采购人验收合格后，采购人在收到中标人提交的下列全部单据并经审核无误后15日内，向中标人支付合同价款的50%。</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① 中标人出具的交货清单原件一份；</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② 采购人签署的收货清单复印件一份；</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③ 货物验收记录复印件一份；</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④ 制造商出具的出厂质量合格证原件一份；</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⑤ 增值税（专用/普通）发票原件一份。</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（3）质量保证期自验收合格之日起计。</w:t>
      </w:r>
    </w:p>
    <w:p>
      <w:pPr>
        <w:spacing w:line="360" w:lineRule="auto"/>
        <w:ind w:firstLine="368" w:firstLineChars="175"/>
        <w:rPr>
          <w:rFonts w:ascii="宋体" w:hAnsi="宋体" w:cs="宋体" w:hint="eastAsia"/>
          <w:b/>
          <w:bCs/>
          <w:color w:val="000000"/>
          <w:szCs w:val="21"/>
          <w:highlight w:val="none"/>
        </w:rPr>
      </w:pPr>
      <w:r>
        <w:rPr>
          <w:rFonts w:ascii="宋体" w:hAnsi="宋体" w:cs="宋体" w:hint="eastAsia"/>
          <w:b/>
          <w:bCs/>
          <w:color w:val="000000"/>
          <w:szCs w:val="21"/>
          <w:highlight w:val="none"/>
        </w:rPr>
        <w:t>2.进口（外贸）合同：</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货款支付上限为：中标/成交人民币价格。</w:t>
      </w:r>
    </w:p>
    <w:p>
      <w:pPr>
        <w:spacing w:line="360" w:lineRule="auto"/>
        <w:ind w:firstLine="368" w:firstLineChars="175"/>
        <w:rPr>
          <w:rFonts w:hint="eastAsia"/>
          <w:color w:val="000000"/>
          <w:highlight w:val="none"/>
        </w:rPr>
      </w:pPr>
      <w:r>
        <w:rPr>
          <w:rFonts w:ascii="宋体" w:hAnsi="宋体" w:cs="宋体" w:hint="eastAsia"/>
          <w:color w:val="000000"/>
          <w:szCs w:val="21"/>
          <w:highlight w:val="none"/>
        </w:rPr>
        <w:t>信用证付款</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（1）签订外贸合同后，买方代理收到买方50%货款后，买方代理对外开具合同总额的50%不可撤销信用证给卖方；</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（2）货到验收合格后，买方代理收到买方50%货款后，买方代理电汇支付50%货款给卖方（合同执行期间产生的外币汇率损失由卖方承担）。</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（3）质量保证期自验收合格之日起计。</w:t>
      </w:r>
    </w:p>
    <w:p>
      <w:pPr>
        <w:spacing w:line="360" w:lineRule="auto"/>
        <w:ind w:firstLine="368" w:firstLineChars="175"/>
        <w:rPr>
          <w:rFonts w:ascii="宋体" w:hAnsi="宋体" w:cs="宋体"/>
          <w:color w:val="000000"/>
          <w:szCs w:val="21"/>
          <w:highlight w:val="none"/>
        </w:rPr>
      </w:pPr>
      <w:r>
        <w:rPr>
          <w:rFonts w:ascii="宋体" w:hAnsi="宋体" w:cs="宋体" w:hint="eastAsia"/>
          <w:color w:val="000000"/>
          <w:szCs w:val="21"/>
          <w:highlight w:val="none"/>
        </w:rPr>
        <w:t>（4）如果采用外币结算，汇率取开标日中国人民银行公布的汇率中间价。</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所有付款计划均以政府财政部门划拨款项时间为准，采购人不承担因财政审批或拨款延迟造成延迟付款的违约责任。</w:t>
      </w:r>
    </w:p>
    <w:p>
      <w:pPr>
        <w:numPr>
          <w:ilvl w:val="0"/>
          <w:numId w:val="14"/>
        </w:numPr>
        <w:autoSpaceDE w:val="0"/>
        <w:autoSpaceDN w:val="0"/>
        <w:adjustRightInd w:val="0"/>
        <w:spacing w:line="360" w:lineRule="auto"/>
        <w:rPr>
          <w:rFonts w:ascii="宋体" w:hAnsi="宋体" w:cs="宋体" w:hint="eastAsia"/>
          <w:b/>
          <w:color w:val="000000"/>
          <w:szCs w:val="21"/>
          <w:highlight w:val="none"/>
          <w:lang w:val="zh-CN"/>
        </w:rPr>
      </w:pPr>
      <w:r>
        <w:rPr>
          <w:rFonts w:ascii="宋体" w:hAnsi="宋体" w:cs="宋体" w:hint="eastAsia"/>
          <w:b/>
          <w:color w:val="000000"/>
          <w:szCs w:val="21"/>
          <w:highlight w:val="none"/>
          <w:lang w:val="zh-CN"/>
        </w:rPr>
        <w:t>关于交货</w:t>
      </w:r>
    </w:p>
    <w:p>
      <w:pPr>
        <w:spacing w:line="360" w:lineRule="auto"/>
        <w:ind w:firstLine="368" w:firstLineChars="175"/>
        <w:rPr>
          <w:rFonts w:ascii="宋体" w:hAnsi="宋体" w:cs="宋体" w:hint="eastAsia"/>
          <w:bCs/>
          <w:color w:val="000000"/>
          <w:szCs w:val="21"/>
          <w:highlight w:val="none"/>
          <w:lang w:val="zh-CN"/>
        </w:rPr>
      </w:pPr>
      <w:r>
        <w:rPr>
          <w:rFonts w:ascii="宋体" w:hAnsi="宋体" w:cs="宋体" w:hint="eastAsia"/>
          <w:color w:val="000000"/>
          <w:szCs w:val="21"/>
          <w:highlight w:val="none"/>
        </w:rPr>
        <w:t>1</w:t>
      </w:r>
      <w:r>
        <w:rPr>
          <w:rFonts w:ascii="宋体" w:hAnsi="宋体" w:cs="宋体"/>
          <w:color w:val="000000"/>
          <w:szCs w:val="21"/>
          <w:highlight w:val="none"/>
        </w:rPr>
        <w:t>.</w:t>
      </w:r>
      <w:r>
        <w:rPr>
          <w:rFonts w:ascii="宋体" w:hAnsi="宋体" w:cs="宋体" w:hint="eastAsia"/>
          <w:color w:val="000000"/>
          <w:szCs w:val="21"/>
          <w:highlight w:val="none"/>
        </w:rPr>
        <w:t>★交货时间：合同签订后180个日历日内</w:t>
      </w:r>
      <w:r>
        <w:rPr>
          <w:rFonts w:ascii="宋体" w:hAnsi="宋体" w:cs="宋体" w:hint="eastAsia"/>
          <w:bCs/>
          <w:color w:val="000000"/>
          <w:szCs w:val="21"/>
          <w:highlight w:val="none"/>
          <w:lang w:val="zh-CN"/>
        </w:rPr>
        <w:t>。</w:t>
      </w:r>
    </w:p>
    <w:p>
      <w:pPr>
        <w:spacing w:line="360" w:lineRule="auto"/>
        <w:ind w:firstLine="368" w:firstLineChars="175"/>
        <w:rPr>
          <w:rFonts w:ascii="宋体" w:hAnsi="宋体" w:cs="宋体" w:hint="eastAsia"/>
          <w:color w:val="000000"/>
          <w:szCs w:val="21"/>
          <w:highlight w:val="none"/>
          <w:lang w:val="zh-CN"/>
        </w:rPr>
      </w:pPr>
      <w:r>
        <w:rPr>
          <w:rFonts w:ascii="宋体" w:hAnsi="宋体" w:cs="宋体"/>
          <w:color w:val="000000"/>
          <w:szCs w:val="21"/>
          <w:highlight w:val="none"/>
        </w:rPr>
        <w:t>2</w:t>
      </w:r>
      <w:r>
        <w:rPr>
          <w:rFonts w:ascii="宋体" w:hAnsi="宋体" w:cs="宋体" w:hint="eastAsia"/>
          <w:color w:val="000000"/>
          <w:szCs w:val="21"/>
          <w:highlight w:val="none"/>
        </w:rPr>
        <w:t>.</w:t>
      </w:r>
      <w:r>
        <w:rPr>
          <w:rFonts w:ascii="宋体" w:hAnsi="宋体" w:cs="宋体"/>
          <w:color w:val="000000"/>
          <w:szCs w:val="21"/>
          <w:highlight w:val="none"/>
        </w:rPr>
        <w:t xml:space="preserve"> </w:t>
      </w:r>
      <w:r>
        <w:rPr>
          <w:rFonts w:ascii="宋体" w:hAnsi="宋体" w:cs="宋体" w:hint="eastAsia"/>
          <w:color w:val="000000"/>
          <w:szCs w:val="21"/>
          <w:highlight w:val="none"/>
          <w:lang w:val="de-DE"/>
        </w:rPr>
        <w:t>清华大学深圳国际研究生院用户指定地点</w:t>
      </w:r>
      <w:r>
        <w:rPr>
          <w:rFonts w:ascii="宋体" w:hAnsi="宋体" w:cs="宋体" w:hint="eastAsia"/>
          <w:color w:val="000000"/>
          <w:szCs w:val="21"/>
          <w:highlight w:val="none"/>
          <w:lang w:val="zh-CN"/>
        </w:rPr>
        <w:t>。</w:t>
      </w:r>
    </w:p>
    <w:p>
      <w:pPr>
        <w:spacing w:line="360" w:lineRule="auto"/>
        <w:ind w:firstLine="368" w:firstLineChars="175"/>
        <w:rPr>
          <w:rFonts w:ascii="宋体" w:hAnsi="宋体" w:cs="宋体"/>
          <w:color w:val="000000"/>
          <w:szCs w:val="21"/>
          <w:highlight w:val="none"/>
        </w:rPr>
      </w:pPr>
      <w:r>
        <w:rPr>
          <w:rFonts w:ascii="宋体" w:hAnsi="宋体" w:cs="宋体"/>
          <w:color w:val="000000"/>
          <w:szCs w:val="21"/>
          <w:highlight w:val="none"/>
        </w:rPr>
        <w:t>3</w:t>
      </w:r>
      <w:r>
        <w:rPr>
          <w:rFonts w:ascii="宋体" w:hAnsi="宋体" w:cs="宋体" w:hint="eastAsia"/>
          <w:color w:val="000000"/>
          <w:szCs w:val="21"/>
          <w:highlight w:val="none"/>
        </w:rPr>
        <w:t>.</w:t>
      </w:r>
      <w:r>
        <w:rPr>
          <w:rFonts w:ascii="宋体" w:hAnsi="宋体" w:cs="宋体" w:hint="eastAsia"/>
          <w:color w:val="000000"/>
          <w:szCs w:val="21"/>
          <w:highlight w:val="none"/>
          <w:lang w:val="zh-CN"/>
        </w:rPr>
        <w:t>投标</w:t>
      </w:r>
      <w:r>
        <w:rPr>
          <w:rFonts w:hint="eastAsia"/>
          <w:color w:val="000000"/>
          <w:highlight w:val="none"/>
        </w:rPr>
        <w:t>人需承担的设备运输、安装调试、验收检测和提供设备操作说明书、图纸等其他类似的义务。</w:t>
      </w:r>
    </w:p>
    <w:p>
      <w:pPr>
        <w:numPr>
          <w:ilvl w:val="0"/>
          <w:numId w:val="14"/>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关于验收</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1.投标人货物经过双方检验认可后，签署验收报告，产品保修期自验收合格之日起算，由投标人提供产品保修文件。</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2.当满足以下条件时，采购人才向中标人签发货物验收报告：</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a、中标人已按照合同规定提供了全部产品及完整的技术资料。</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b、货物符合招标文件技术规格书的要求，性能满足要求。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c、货物具备产品合格证。</w:t>
      </w:r>
    </w:p>
    <w:p>
      <w:pPr>
        <w:numPr>
          <w:ilvl w:val="0"/>
          <w:numId w:val="14"/>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售后服务</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kern w:val="0"/>
          <w:szCs w:val="21"/>
          <w:highlight w:val="none"/>
        </w:rPr>
        <w:t>1.</w:t>
      </w:r>
      <w:r>
        <w:rPr>
          <w:rFonts w:ascii="宋体" w:hAnsi="宋体" w:cs="宋体" w:hint="eastAsia"/>
          <w:b/>
          <w:bCs/>
          <w:color w:val="000000"/>
          <w:szCs w:val="21"/>
          <w:highlight w:val="none"/>
          <w:lang w:val="zh-CN"/>
        </w:rPr>
        <w:t>免费保修期内售后服务要求：</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kern w:val="0"/>
          <w:szCs w:val="21"/>
          <w:highlight w:val="none"/>
          <w:lang w:val="zh-CN"/>
        </w:rPr>
        <w:t>★(</w:t>
      </w:r>
      <w:r>
        <w:rPr>
          <w:rFonts w:ascii="宋体" w:hAnsi="宋体" w:cs="宋体" w:hint="eastAsia"/>
          <w:b/>
          <w:bCs/>
          <w:color w:val="000000"/>
          <w:szCs w:val="21"/>
          <w:highlight w:val="none"/>
          <w:lang w:val="zh-CN"/>
        </w:rPr>
        <w:t>1)合同货物整体质量保证期为验收合格之日起12个月。如果对</w:t>
      </w:r>
      <w:r>
        <w:rPr>
          <w:rFonts w:ascii="宋体" w:hAnsi="宋体" w:cs="宋体" w:hint="eastAsia"/>
          <w:b/>
          <w:bCs/>
          <w:color w:val="000000"/>
          <w:szCs w:val="21"/>
          <w:highlight w:val="none"/>
        </w:rPr>
        <w:t>本项目</w:t>
      </w:r>
      <w:r>
        <w:rPr>
          <w:rFonts w:ascii="宋体" w:hAnsi="宋体" w:cs="宋体" w:hint="eastAsia"/>
          <w:b/>
          <w:bCs/>
          <w:color w:val="000000"/>
          <w:szCs w:val="21"/>
          <w:highlight w:val="none"/>
          <w:lang w:val="zh-CN"/>
        </w:rPr>
        <w:t>货物中关键部件的质量保证期有特殊要求的，双方可以在</w:t>
      </w:r>
      <w:r>
        <w:rPr>
          <w:rFonts w:ascii="宋体" w:hAnsi="宋体" w:cs="宋体" w:hint="eastAsia"/>
          <w:b/>
          <w:bCs/>
          <w:color w:val="000000"/>
          <w:szCs w:val="21"/>
          <w:highlight w:val="none"/>
        </w:rPr>
        <w:t>合同</w:t>
      </w:r>
      <w:r>
        <w:rPr>
          <w:rFonts w:ascii="宋体" w:hAnsi="宋体" w:cs="宋体" w:hint="eastAsia"/>
          <w:b/>
          <w:bCs/>
          <w:color w:val="000000"/>
          <w:szCs w:val="21"/>
          <w:highlight w:val="none"/>
          <w:lang w:val="zh-CN"/>
        </w:rPr>
        <w:t>补充条款中约定。</w:t>
      </w:r>
    </w:p>
    <w:p>
      <w:pPr>
        <w:spacing w:line="360" w:lineRule="auto"/>
        <w:ind w:firstLine="368" w:firstLineChars="175"/>
        <w:rPr>
          <w:rFonts w:ascii="宋体" w:hAnsi="宋体" w:cs="宋体" w:hint="eastAsia"/>
          <w:color w:val="000000"/>
          <w:szCs w:val="21"/>
          <w:highlight w:val="none"/>
          <w:lang w:val="zh-CN"/>
        </w:rPr>
      </w:pPr>
      <w:bookmarkStart w:id="23" w:name="_Hlk96337424"/>
      <w:r>
        <w:rPr>
          <w:rFonts w:ascii="宋体" w:hAnsi="宋体" w:cs="宋体" w:hint="eastAsia"/>
          <w:color w:val="000000"/>
          <w:szCs w:val="21"/>
          <w:highlight w:val="none"/>
          <w:lang w:val="zh-CN"/>
        </w:rPr>
        <w:t>（2)免费提供原厂技术人员对采购人的操作技术培训和相关技术资料。培训时间不少于 5 天。</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（3)</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应为质量保证期服务配备充足的技术人员、工具和备件并保证提供的联系方式畅通。</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应在收到采购人通知后4小时内作出响应，如需</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到合同货物现场，</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应在收到采购人通知后48小时内到达，并在到达后7日内解决合同货物的故障（重大故障除外）。如果</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未在上述时间内作出响应，则采购人有权自行或委托他人解决相关问题或查找和解决合同货物的故障，</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应承担由此发生的全部费用。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（4)</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在质量保证期内应对设备进行定期巡检。</w:t>
      </w:r>
      <w:bookmarkEnd w:id="23"/>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lang w:val="zh-CN"/>
        </w:rPr>
        <w:t>2.免费保修期外售后服务要求：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（1)软件更新：设备主体不升级情况下，确保所提供的软件可随设备终身免费有效使用。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（2)整机承保及费用：需对所提供的设备终身承保，延保费用不高于同期同类型设备维修或维护的市场价格。</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（3)年度巡检：</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厂家工程师每年两次上门回访主动维护设备、使用培训。</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lang w:val="zh-CN"/>
        </w:rPr>
        <w:t>（4)质保期外设备维修：仍按照质保期内约定的响应时间进行响应，设备维修、耗材更换费用不高于设备配置清单中配件、耗材的价格。</w:t>
      </w:r>
    </w:p>
    <w:p>
      <w:pPr>
        <w:numPr>
          <w:ilvl w:val="0"/>
          <w:numId w:val="14"/>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关于质量</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1.</w:t>
      </w:r>
      <w:r>
        <w:rPr>
          <w:rFonts w:ascii="宋体" w:hAnsi="宋体" w:cs="宋体" w:hint="eastAsia"/>
          <w:color w:val="000000"/>
          <w:szCs w:val="21"/>
          <w:highlight w:val="none"/>
          <w:lang w:val="zh-CN"/>
        </w:rPr>
        <w:t>中标人保证所供货物系最好材料、最好的工艺制造，货物应是新的和未用过的，并且其品质和规格完全符合本合同规定。品质保证期为自货物验收合格日起1年。</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b/>
          <w:color w:val="000000"/>
          <w:szCs w:val="21"/>
          <w:highlight w:val="none"/>
          <w:lang w:val="zh-CN"/>
        </w:rPr>
        <w:t>★</w:t>
      </w:r>
      <w:r>
        <w:rPr>
          <w:rFonts w:ascii="宋体" w:hAnsi="宋体" w:cs="宋体" w:hint="eastAsia"/>
          <w:color w:val="000000"/>
          <w:szCs w:val="21"/>
          <w:highlight w:val="none"/>
        </w:rPr>
        <w:t>2.</w:t>
      </w:r>
      <w:r>
        <w:rPr>
          <w:rFonts w:ascii="宋体" w:hAnsi="宋体" w:cs="宋体" w:hint="eastAsia"/>
          <w:color w:val="000000"/>
          <w:szCs w:val="21"/>
          <w:highlight w:val="none"/>
          <w:lang w:val="zh-CN"/>
        </w:rPr>
        <w:t>中标人所交付产品、工程或服务需符合其投标承诺，不得在投标阶段为了中标而盲目虚假承诺、低价恶性竞争，在履约阶段则通过偷工减料、以次充好而获取利润。</w:t>
      </w:r>
    </w:p>
    <w:p>
      <w:pPr>
        <w:numPr>
          <w:ilvl w:val="0"/>
          <w:numId w:val="14"/>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质量及知识产权要求</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w:t>
      </w:r>
      <w:r>
        <w:rPr>
          <w:rFonts w:ascii="宋体" w:hAnsi="宋体" w:cs="宋体"/>
          <w:color w:val="000000"/>
          <w:szCs w:val="21"/>
          <w:highlight w:val="none"/>
        </w:rPr>
        <w:t xml:space="preserve"> </w:t>
      </w:r>
      <w:r>
        <w:rPr>
          <w:rFonts w:ascii="宋体" w:hAnsi="宋体" w:cs="宋体" w:hint="eastAsia"/>
          <w:color w:val="000000"/>
          <w:szCs w:val="21"/>
          <w:highlight w:val="none"/>
        </w:rPr>
        <w:t>采购人在履行合同过程中提供给中标人的全部图纸、文件和其他含有数据和信息的资料，其知识产权属于采购人。未经采购人同意，中标人不得将其用于本合同目的之外的其他用途，且不得擅自向第三方转让、披露。</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w:t>
      </w:r>
      <w:r>
        <w:rPr>
          <w:rFonts w:ascii="宋体" w:hAnsi="宋体" w:cs="宋体"/>
          <w:color w:val="000000"/>
          <w:szCs w:val="21"/>
          <w:highlight w:val="none"/>
        </w:rPr>
        <w:t xml:space="preserve"> </w:t>
      </w:r>
      <w:r>
        <w:rPr>
          <w:rFonts w:ascii="宋体" w:hAnsi="宋体" w:cs="宋体" w:hint="eastAsia"/>
          <w:color w:val="000000"/>
          <w:szCs w:val="21"/>
          <w:highlight w:val="none"/>
        </w:rPr>
        <w:t>如合同货物涉及知识产权，则中标人保证采购人在使用合同货物的过程中免于受到第三方提出的有关知识产权侵权的主张、索赔或诉讼的损失。</w:t>
      </w:r>
    </w:p>
    <w:p>
      <w:pPr>
        <w:spacing w:line="360" w:lineRule="auto"/>
        <w:ind w:firstLine="420" w:firstLineChars="200"/>
        <w:rPr>
          <w:rFonts w:ascii="宋体" w:hAnsi="宋体" w:cs="宋体" w:hint="eastAsia"/>
          <w:color w:val="000000"/>
          <w:szCs w:val="21"/>
          <w:highlight w:val="none"/>
        </w:rPr>
      </w:pPr>
      <w:r>
        <w:rPr>
          <w:rFonts w:ascii="宋体" w:hAnsi="宋体" w:cs="宋体"/>
          <w:color w:val="000000"/>
          <w:szCs w:val="21"/>
          <w:highlight w:val="none"/>
        </w:rPr>
        <w:t>3</w:t>
      </w:r>
      <w:r>
        <w:rPr>
          <w:rFonts w:ascii="宋体" w:hAnsi="宋体" w:cs="宋体" w:hint="eastAsia"/>
          <w:color w:val="000000"/>
          <w:szCs w:val="21"/>
          <w:highlight w:val="none"/>
        </w:rPr>
        <w:t>.如果采购人收到任何第三方有关知识产权的主张、索赔或诉讼，中标人应自付费用处理与第三方的索赔或诉讼，并赔偿采购人因此发生的费用和遭受的损失。如果中标人拒绝处理前述索赔或诉讼，采购人以自己的名义进行这些索赔或诉讼，因此发生的费用和遭受的损失均由中标人承担。</w:t>
      </w:r>
    </w:p>
    <w:p>
      <w:pPr>
        <w:numPr>
          <w:ilvl w:val="0"/>
          <w:numId w:val="14"/>
        </w:numPr>
        <w:autoSpaceDE w:val="0"/>
        <w:autoSpaceDN w:val="0"/>
        <w:spacing w:before="120" w:beforeLines="50" w:after="120" w:afterLines="50" w:line="360" w:lineRule="auto"/>
        <w:rPr>
          <w:rFonts w:hint="eastAsia"/>
          <w:color w:val="000000"/>
          <w:highlight w:val="none"/>
        </w:rPr>
      </w:pPr>
      <w:r>
        <w:rPr>
          <w:rFonts w:ascii="宋体" w:hAnsi="宋体" w:cs="宋体" w:hint="eastAsia"/>
          <w:b/>
          <w:bCs/>
          <w:color w:val="000000"/>
          <w:kern w:val="0"/>
          <w:szCs w:val="21"/>
          <w:highlight w:val="none"/>
          <w:lang w:val="zh-CN"/>
        </w:rPr>
        <w:t>★</w:t>
      </w:r>
      <w:r>
        <w:rPr>
          <w:rFonts w:hint="eastAsia"/>
          <w:b/>
          <w:bCs/>
          <w:color w:val="000000"/>
          <w:szCs w:val="21"/>
          <w:highlight w:val="none"/>
        </w:rPr>
        <w:t>如果所投产品为进口，则投标人必须提供由设备制造商或授权的中国总代理签署的合法有效的针对所投标产品对应商品授权书；若所投产品为国产产品，则无需提供</w:t>
      </w:r>
      <w:r>
        <w:rPr>
          <w:rFonts w:ascii="宋体" w:hAnsi="宋体" w:cs="宋体" w:hint="eastAsia"/>
          <w:b/>
          <w:bCs/>
          <w:color w:val="000000"/>
          <w:kern w:val="0"/>
          <w:szCs w:val="21"/>
          <w:highlight w:val="none"/>
          <w:lang w:val="zh-CN"/>
        </w:rPr>
        <w:t>。</w:t>
      </w:r>
    </w:p>
    <w:p>
      <w:pPr>
        <w:numPr>
          <w:ilvl w:val="0"/>
          <w:numId w:val="14"/>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★报价方式及要求</w:t>
      </w:r>
    </w:p>
    <w:p>
      <w:pPr>
        <w:numPr>
          <w:ilvl w:val="0"/>
          <w:numId w:val="15"/>
        </w:num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国产货物：</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人民币报价，投标价包含仪器设备的价款、税费、包装、运输、装卸、安装、调试、技术指导、培训、咨询、服务、保险、检测、验收合格交付使用之前以及技术和售后服务、质保期退运返修等其他所有费用。</w:t>
      </w:r>
    </w:p>
    <w:p>
      <w:pPr>
        <w:numPr>
          <w:ilvl w:val="0"/>
          <w:numId w:val="15"/>
        </w:num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进口货物：</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（2）进口免税产品报价说明：本项目采购的是用于教学、科研的仪器设备，对于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注：</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1）若本项目需要使用美元结算时，则按中国银行（现汇卖出价）开标当日开标时人民币兑美元的汇率作为结算汇率；</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2）若参与投标的进口货物免税报价时，如有国内供货部分需在《投标分项报价表》上注明含税报价，届时需要提供税务局出具的有效发票，否则不予支付该部分货款。</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3）依据国家相关法律法规，项目中不可免税部分请单报人民币含税价格。</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4)若投标人所投产品产地为美国，且在国家加征关税范围内的，则投标人报价中须包含此项费，采购人不再另行支付。</w:t>
      </w:r>
    </w:p>
    <w:p>
      <w:pPr>
        <w:pStyle w:val="a1"/>
        <w:spacing w:line="360" w:lineRule="auto"/>
        <w:ind w:firstLine="420"/>
        <w:rPr>
          <w:rFonts w:ascii="Times New Roman" w:hint="eastAsia"/>
          <w:b/>
          <w:bCs/>
          <w:color w:val="000000"/>
          <w:kern w:val="2"/>
          <w:sz w:val="30"/>
          <w:szCs w:val="30"/>
          <w:highlight w:val="none"/>
          <w:shd w:val="pct10" w:color="auto" w:fill="FFFFFF"/>
        </w:rPr>
      </w:pPr>
      <w:r>
        <w:rPr>
          <w:rFonts w:ascii="宋体" w:hAnsi="宋体" w:cs="宋体" w:hint="eastAsia"/>
          <w:bCs/>
          <w:color w:val="000000"/>
          <w:kern w:val="2"/>
          <w:szCs w:val="21"/>
          <w:highlight w:val="none"/>
        </w:rPr>
        <w:t>3.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tabs>
          <w:tab w:val="left" w:pos="900"/>
        </w:tabs>
        <w:spacing w:line="288" w:lineRule="auto"/>
        <w:ind w:left="482" w:hanging="482"/>
        <w:rPr>
          <w:rFonts w:ascii="宋体" w:hAnsi="宋体" w:cs="宋体"/>
          <w:b/>
          <w:color w:val="000000"/>
          <w:szCs w:val="21"/>
          <w:highlight w:val="none"/>
          <w:lang w:val="zh-CN"/>
        </w:rPr>
      </w:pPr>
      <w:r>
        <w:rPr>
          <w:rFonts w:ascii="宋体" w:hAnsi="宋体" w:cs="宋体" w:hint="eastAsia"/>
          <w:b/>
          <w:color w:val="000000"/>
          <w:szCs w:val="21"/>
          <w:highlight w:val="none"/>
          <w:lang w:val="zh-CN"/>
        </w:rPr>
        <w:t>注：</w:t>
      </w:r>
    </w:p>
    <w:p>
      <w:pPr>
        <w:numPr>
          <w:ilvl w:val="0"/>
          <w:numId w:val="16"/>
        </w:numPr>
        <w:tabs>
          <w:tab w:val="left" w:pos="142"/>
          <w:tab w:val="left" w:pos="425"/>
          <w:tab w:val="left" w:pos="567"/>
          <w:tab w:val="left" w:pos="709"/>
        </w:tabs>
        <w:spacing w:line="288" w:lineRule="auto"/>
        <w:rPr>
          <w:rFonts w:ascii="宋体" w:hAnsi="宋体" w:cs="宋体"/>
          <w:bCs/>
          <w:color w:val="000000"/>
          <w:kern w:val="0"/>
          <w:szCs w:val="21"/>
          <w:highlight w:val="none"/>
          <w:lang w:val="zh-CN"/>
        </w:rPr>
      </w:pPr>
      <w:r>
        <w:rPr>
          <w:rFonts w:ascii="宋体" w:hAnsi="宋体" w:cs="宋体" w:hint="eastAsia"/>
          <w:bCs/>
          <w:color w:val="000000"/>
          <w:szCs w:val="21"/>
          <w:highlight w:val="none"/>
          <w:lang w:val="zh-CN"/>
        </w:rPr>
        <w:t>超出</w:t>
      </w:r>
      <w:r>
        <w:rPr>
          <w:rFonts w:ascii="宋体" w:hAnsi="宋体" w:cs="宋体" w:hint="eastAsia"/>
          <w:bCs/>
          <w:color w:val="000000"/>
          <w:szCs w:val="21"/>
          <w:highlight w:val="none"/>
        </w:rPr>
        <w:t>本项目</w:t>
      </w:r>
      <w:r>
        <w:rPr>
          <w:rFonts w:ascii="宋体" w:hAnsi="宋体" w:cs="宋体" w:hint="eastAsia"/>
          <w:bCs/>
          <w:color w:val="000000"/>
          <w:szCs w:val="21"/>
          <w:highlight w:val="none"/>
          <w:lang w:val="zh-CN"/>
        </w:rPr>
        <w:t>预算金额/最高限价/分项控制金额的投标，作投标无效处理</w:t>
      </w:r>
      <w:r>
        <w:rPr>
          <w:rFonts w:ascii="宋体" w:hAnsi="宋体" w:cs="宋体" w:hint="eastAsia"/>
          <w:bCs/>
          <w:color w:val="000000"/>
          <w:kern w:val="0"/>
          <w:szCs w:val="21"/>
          <w:highlight w:val="none"/>
          <w:lang w:val="zh-CN"/>
        </w:rPr>
        <w:t>。</w:t>
      </w:r>
    </w:p>
    <w:p>
      <w:pPr>
        <w:numPr>
          <w:ilvl w:val="0"/>
          <w:numId w:val="16"/>
        </w:numPr>
        <w:tabs>
          <w:tab w:val="left" w:pos="142"/>
          <w:tab w:val="left" w:pos="425"/>
          <w:tab w:val="left" w:pos="567"/>
          <w:tab w:val="left" w:pos="709"/>
        </w:tabs>
        <w:spacing w:line="288" w:lineRule="auto"/>
        <w:rPr>
          <w:rFonts w:ascii="宋体" w:hAnsi="宋体" w:cs="宋体"/>
          <w:bCs/>
          <w:color w:val="000000"/>
          <w:szCs w:val="21"/>
          <w:highlight w:val="none"/>
          <w:lang w:val="zh-CN"/>
        </w:rPr>
      </w:pPr>
      <w:r>
        <w:rPr>
          <w:rFonts w:ascii="宋体" w:hAnsi="宋体" w:cs="宋体" w:hint="eastAsia"/>
          <w:bCs/>
          <w:color w:val="000000"/>
          <w:szCs w:val="21"/>
          <w:highlight w:val="none"/>
          <w:lang w:val="zh-CN"/>
        </w:rPr>
        <w:t>本《</w:t>
      </w:r>
      <w:r>
        <w:rPr>
          <w:rFonts w:ascii="宋体" w:hAnsi="宋体" w:cs="宋体" w:hint="eastAsia"/>
          <w:bCs/>
          <w:color w:val="000000"/>
          <w:szCs w:val="21"/>
          <w:highlight w:val="none"/>
        </w:rPr>
        <w:t>招标项目需求</w:t>
      </w:r>
      <w:r>
        <w:rPr>
          <w:rFonts w:ascii="宋体" w:hAnsi="宋体" w:cs="宋体" w:hint="eastAsia"/>
          <w:bCs/>
          <w:color w:val="000000"/>
          <w:szCs w:val="21"/>
          <w:highlight w:val="none"/>
          <w:lang w:val="zh-CN"/>
        </w:rPr>
        <w:t>》所提有关技术和商务要求（</w:t>
      </w:r>
      <w:r>
        <w:rPr>
          <w:rFonts w:ascii="宋体" w:hAnsi="宋体" w:cs="宋体" w:hint="eastAsia"/>
          <w:b/>
          <w:bCs/>
          <w:color w:val="000000"/>
          <w:szCs w:val="21"/>
          <w:highlight w:val="none"/>
          <w:lang w:val="zh-CN"/>
        </w:rPr>
        <w:t>打“★”的条款必须满足，否则作投标无效处理； “</w:t>
      </w:r>
      <w:r>
        <w:rPr>
          <w:rFonts w:hint="eastAsia"/>
          <w:color w:val="000000"/>
          <w:sz w:val="24"/>
          <w:highlight w:val="none"/>
        </w:rPr>
        <w:t>▲</w:t>
      </w:r>
      <w:r>
        <w:rPr>
          <w:rFonts w:ascii="宋体" w:hAnsi="宋体" w:cs="宋体" w:hint="eastAsia"/>
          <w:b/>
          <w:bCs/>
          <w:color w:val="000000"/>
          <w:szCs w:val="21"/>
          <w:highlight w:val="none"/>
          <w:lang w:val="zh-CN"/>
        </w:rPr>
        <w:t>”为重点扣分项</w:t>
      </w:r>
      <w:r>
        <w:rPr>
          <w:rFonts w:ascii="宋体" w:hAnsi="宋体" w:cs="宋体" w:hint="eastAsia"/>
          <w:bCs/>
          <w:color w:val="000000"/>
          <w:szCs w:val="21"/>
          <w:highlight w:val="none"/>
          <w:lang w:val="zh-CN"/>
        </w:rPr>
        <w:t>）；仅供参考，投标人在投标文件中可提出替代标准，但此替代标准应不低于招标文件技术要求。</w:t>
      </w:r>
    </w:p>
    <w:p>
      <w:pPr>
        <w:numPr>
          <w:ilvl w:val="0"/>
          <w:numId w:val="16"/>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评审委员会有权对以谋取中标为目的的技术规格模糊响应（如有意照搬照抄招标文件的技术要求）或虚假响应予以认定。投标人上述行为一经发现或查实，除扣分或投标无效外，招标代理机构可视情况报政府采购监督管理部门做进一步处理。</w:t>
      </w:r>
    </w:p>
    <w:p>
      <w:pPr>
        <w:numPr>
          <w:ilvl w:val="0"/>
          <w:numId w:val="16"/>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当招标文件中出现前后表述不一致的时候，以招标文件中对投标人责任规定较严格的为准。</w:t>
      </w:r>
    </w:p>
    <w:p>
      <w:pPr>
        <w:numPr>
          <w:ilvl w:val="0"/>
          <w:numId w:val="16"/>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当投标文件中出现前后表述不一致的时候，以投标文件中对投标人责任规定较严格的为准。</w:t>
      </w:r>
    </w:p>
    <w:p>
      <w:pPr>
        <w:numPr>
          <w:ilvl w:val="0"/>
          <w:numId w:val="16"/>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一名作为确定获得中标人推荐资格的投标人），其他同品牌投标人不作为中标候选人；多家投标人提供的核心产品品牌相同的，按上述规定处理。</w:t>
      </w:r>
    </w:p>
    <w:p>
      <w:pPr>
        <w:numPr>
          <w:ilvl w:val="0"/>
          <w:numId w:val="16"/>
        </w:numPr>
        <w:tabs>
          <w:tab w:val="left" w:pos="142"/>
          <w:tab w:val="left" w:pos="425"/>
          <w:tab w:val="left" w:pos="567"/>
          <w:tab w:val="left" w:pos="709"/>
        </w:tabs>
        <w:spacing w:line="288" w:lineRule="auto"/>
        <w:ind w:left="482" w:hanging="482"/>
        <w:rPr>
          <w:rFonts w:ascii="宋体" w:hAnsi="宋体" w:cs="宋体"/>
          <w:bCs/>
          <w:color w:val="000000"/>
          <w:szCs w:val="21"/>
          <w:highlight w:val="none"/>
        </w:rPr>
      </w:pPr>
      <w:r>
        <w:rPr>
          <w:rFonts w:ascii="宋体" w:hAnsi="宋体" w:cs="宋体" w:hint="eastAsia"/>
          <w:bCs/>
          <w:color w:val="000000"/>
          <w:szCs w:val="21"/>
          <w:highlight w:val="none"/>
          <w:lang w:val="zh-CN"/>
        </w:rPr>
        <w:t>招标文件中如出现参考品牌，那么参考品牌仅作为参考使用，投标人在投标时可提供参考品牌产品也可提供同等品牌或优于参考品牌的产品参与投标。</w:t>
      </w:r>
    </w:p>
    <w:p>
      <w:pPr>
        <w:numPr>
          <w:ilvl w:val="0"/>
          <w:numId w:val="16"/>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根据“财政部、发展改革委、生态环境部、市场监督总局联合下发《关于调整优化节能产品 环境标志产品政府采购执行机制的通知》（财库〔2019〕9号）”的要求，所投产品属于已列入“财政部、生态环境部《关于印发环境标志产品政府采购品目清单的通知》（财库〔2019〕18号），财政部、发展改革委《关于印发节能产品政府采购品目清单的通知》（财库〔2019〕19号）”的，需出具“国家确定的认证机构出具的、处于有效期之内的节能产品、环境标志产品认证证书”</w:t>
      </w:r>
      <w:r>
        <w:rPr>
          <w:rFonts w:ascii="宋体" w:hAnsi="宋体" w:cs="宋体" w:hint="eastAsia"/>
          <w:bCs/>
          <w:color w:val="000000"/>
          <w:kern w:val="0"/>
          <w:szCs w:val="21"/>
          <w:highlight w:val="none"/>
        </w:rPr>
        <w:t>扫描件</w:t>
      </w:r>
      <w:r>
        <w:rPr>
          <w:rFonts w:ascii="宋体" w:hAnsi="宋体" w:cs="宋体" w:hint="eastAsia"/>
          <w:bCs/>
          <w:color w:val="000000"/>
          <w:kern w:val="0"/>
          <w:szCs w:val="21"/>
          <w:highlight w:val="none"/>
          <w:lang w:val="zh-CN"/>
        </w:rPr>
        <w:t>并在《技术规格偏离表》的说明栏中说明</w:t>
      </w:r>
      <w:r>
        <w:rPr>
          <w:rFonts w:ascii="宋体" w:hAnsi="宋体" w:cs="宋体" w:hint="eastAsia"/>
          <w:bCs/>
          <w:color w:val="000000"/>
          <w:szCs w:val="21"/>
          <w:highlight w:val="none"/>
          <w:lang w:val="zh-CN"/>
        </w:rPr>
        <w:t>。</w:t>
      </w:r>
    </w:p>
    <w:p>
      <w:pPr>
        <w:numPr>
          <w:ilvl w:val="0"/>
          <w:numId w:val="16"/>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若本项目是允许进口产品参与投标的项目，则不限制潜在的同类国产产品参与竞争，不对国产产品实行歧视性待遇，不对不同来源或不同品牌的进口产品实行差别待遇，不限制或者拒绝符合要求的国产产品中标（成交）。</w:t>
      </w:r>
    </w:p>
    <w:p>
      <w:pPr>
        <w:numPr>
          <w:ilvl w:val="0"/>
          <w:numId w:val="16"/>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投标报价合理性的提交及认定：</w:t>
      </w:r>
    </w:p>
    <w:p>
      <w:pPr>
        <w:tabs>
          <w:tab w:val="left" w:pos="142"/>
          <w:tab w:val="left" w:pos="567"/>
          <w:tab w:val="left" w:pos="709"/>
        </w:tabs>
        <w:spacing w:line="288" w:lineRule="auto"/>
        <w:ind w:firstLine="420" w:firstLineChars="20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a.投标报价合理性说明的提交方式：现场或电子邮件提交（邮箱地址：dwq@zgyd11.com）。</w:t>
      </w:r>
    </w:p>
    <w:p>
      <w:pPr>
        <w:tabs>
          <w:tab w:val="left" w:pos="142"/>
          <w:tab w:val="left" w:pos="567"/>
          <w:tab w:val="left" w:pos="709"/>
        </w:tabs>
        <w:spacing w:line="288" w:lineRule="auto"/>
        <w:ind w:left="399" w:leftChars="19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b.若评审委员会成员对是否须由投标人作出报价合理性说明，以及书面说明是否采纳等判断不一致的，按照“少数服从多数”的原则确定评审委员会的意见。</w:t>
      </w:r>
    </w:p>
    <w:p>
      <w:pPr>
        <w:pStyle w:val="Heading2"/>
        <w:spacing w:line="300" w:lineRule="auto"/>
        <w:rPr>
          <w:rFonts w:cs="宋体"/>
          <w:color w:val="000000"/>
          <w:sz w:val="28"/>
          <w:szCs w:val="21"/>
          <w:highlight w:val="none"/>
        </w:rPr>
      </w:pPr>
      <w:r>
        <w:rPr>
          <w:rFonts w:cs="宋体" w:hint="eastAsia"/>
          <w:color w:val="000000"/>
          <w:sz w:val="28"/>
          <w:szCs w:val="21"/>
          <w:highlight w:val="none"/>
        </w:rPr>
        <w:br w:type="page"/>
      </w:r>
      <w:r>
        <w:rPr>
          <w:rFonts w:cs="宋体" w:hint="eastAsia"/>
          <w:color w:val="000000"/>
          <w:sz w:val="28"/>
          <w:szCs w:val="21"/>
          <w:highlight w:val="none"/>
        </w:rPr>
        <w:t>第三章  投标文件格式、附件</w:t>
      </w: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特别提醒：</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color w:val="000000"/>
          <w:szCs w:val="21"/>
          <w:highlight w:val="none"/>
        </w:rPr>
      </w:pPr>
      <w:r>
        <w:rPr>
          <w:rFonts w:ascii="宋体" w:hAnsi="宋体" w:cs="宋体" w:hint="eastAsia"/>
          <w:color w:val="000000"/>
          <w:szCs w:val="21"/>
          <w:highlight w:val="none"/>
        </w:rPr>
        <w:t xml:space="preserve">    投标文件正文（信息公开部分）必须编制于“标书”，投标文件附件（非信息公开部分）必须编制于“附件”，如下图所示。</w:t>
      </w:r>
    </w:p>
    <w:p>
      <w:pPr>
        <w:spacing w:line="300" w:lineRule="auto"/>
        <w:jc w:val="center"/>
        <w:rPr>
          <w:rFonts w:ascii="宋体" w:hAnsi="宋体" w:cs="宋体"/>
          <w:b/>
          <w:color w:val="000000"/>
          <w:szCs w:val="21"/>
          <w:highlight w:val="none"/>
        </w:rPr>
      </w:pPr>
      <w:r>
        <w:rPr>
          <w:rFonts w:ascii="宋体" w:hAnsi="宋体" w:cs="宋体"/>
          <w:b/>
          <w:color w:val="000000"/>
          <w:szCs w:val="21"/>
          <w:highlight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height:257.4pt;mso-position-horizontal-relative:char;mso-position-vertical-relative:line;width:396.45pt" o:preferrelative="t" filled="f" stroked="f">
            <v:fill o:detectmouseclick="t"/>
            <v:imagedata r:id="rId10" o:title=""/>
            <v:shadow color="gray"/>
            <v:path o:extrusionok="f"/>
            <o:lock v:ext="edit" aspectratio="t"/>
            <w10:wrap type="none"/>
            <w10:anchorlock/>
          </v:shape>
        </w:pict>
      </w:r>
    </w:p>
    <w:p>
      <w:pPr>
        <w:spacing w:line="300" w:lineRule="auto"/>
        <w:jc w:val="center"/>
        <w:rPr>
          <w:rFonts w:ascii="宋体" w:hAnsi="宋体" w:cs="宋体"/>
          <w:b/>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我招标代理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证明文件与业绩等相关资料列放位置错误，由此引发的不利于投标人的后果由投标人承担。</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各投标供应商：</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根据《中华人民共和国政府采购法》、《深圳经济特区政府采购条例》及《深圳市财政局关于进一步规范政府采购中标（成交）结果公示（公开）信息的通知》等的规定，为增强各供应商诚信守法、公平竞争意识，规范各供应商投标行为，有效遏制投标供应商在政府采购活动中的串通投标、造假等不诚信行为，促进我市政府采购市场诚信体系建设，确保我市政府采购工作公开、公平和公正，中国远东国际招标有限公司将依法依规对投标信息予以公示，望各投标供应商给予配合，履行好自身的权益和义务。</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望各供应商要珍惜本次投标机会，诚实、守信、依法、依规投标。</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备注：</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2.关于“开标一览表”的评标说明：“开标一览表”中除“投标总价”外，其他信息不作评审依据。</w:t>
      </w:r>
    </w:p>
    <w:p>
      <w:pPr>
        <w:ind w:firstLine="424" w:firstLineChars="202"/>
        <w:rPr>
          <w:rFonts w:ascii="宋体" w:hAnsi="宋体" w:cs="宋体"/>
          <w:bCs/>
          <w:color w:val="000000"/>
          <w:sz w:val="24"/>
          <w:highlight w:val="none"/>
        </w:rPr>
      </w:pPr>
      <w:r>
        <w:rPr>
          <w:rFonts w:ascii="宋体" w:hAnsi="宋体" w:cs="宋体" w:hint="eastAsia"/>
          <w:color w:val="000000"/>
          <w:szCs w:val="21"/>
          <w:highlight w:val="none"/>
        </w:rPr>
        <w:t>3.关于投标书编制软件中“开标一览表”的填写说明：“开标一览表”中“完工期”一栏的填写内容不作任何要求，由投标人自行填写</w:t>
      </w:r>
      <w:r>
        <w:rPr>
          <w:rFonts w:ascii="宋体" w:hAnsi="宋体" w:cs="宋体" w:hint="eastAsia"/>
          <w:bCs/>
          <w:color w:val="000000"/>
          <w:szCs w:val="21"/>
          <w:highlight w:val="none"/>
        </w:rPr>
        <w:t>。</w:t>
      </w:r>
    </w:p>
    <w:p>
      <w:pPr>
        <w:spacing w:line="360" w:lineRule="auto"/>
        <w:ind w:firstLine="424" w:firstLineChars="202"/>
        <w:rPr>
          <w:rFonts w:ascii="宋体" w:hAnsi="宋体" w:cs="宋体"/>
          <w:b/>
          <w:bCs/>
          <w:color w:val="000000"/>
          <w:sz w:val="24"/>
          <w:highlight w:val="none"/>
          <w:shd w:val="pct10" w:color="auto" w:fill="FFFFFF"/>
        </w:rPr>
      </w:pPr>
    </w:p>
    <w:p>
      <w:pPr>
        <w:keepNext/>
        <w:keepLines/>
        <w:adjustRightInd w:val="0"/>
        <w:spacing w:before="260" w:after="260" w:line="360" w:lineRule="auto"/>
        <w:ind w:firstLine="2617" w:firstLineChars="1246"/>
        <w:textAlignment w:val="baseline"/>
        <w:outlineLvl w:val="1"/>
        <w:rPr>
          <w:rFonts w:ascii="宋体" w:hAnsi="宋体" w:cs="宋体"/>
          <w:b/>
          <w:bCs/>
          <w:color w:val="000000"/>
          <w:kern w:val="0"/>
          <w:sz w:val="30"/>
          <w:szCs w:val="30"/>
          <w:highlight w:val="none"/>
        </w:rPr>
      </w:pPr>
      <w:r>
        <w:rPr>
          <w:rFonts w:ascii="宋体" w:hAnsi="宋体" w:cs="宋体" w:hint="eastAsia"/>
          <w:b/>
          <w:bCs/>
          <w:color w:val="000000"/>
          <w:kern w:val="0"/>
          <w:sz w:val="30"/>
          <w:szCs w:val="30"/>
          <w:highlight w:val="none"/>
        </w:rPr>
        <w:br w:type="page"/>
      </w:r>
      <w:r>
        <w:rPr>
          <w:rFonts w:ascii="宋体" w:hAnsi="宋体" w:cs="宋体" w:hint="eastAsia"/>
          <w:b/>
          <w:bCs/>
          <w:color w:val="000000"/>
          <w:kern w:val="0"/>
          <w:sz w:val="30"/>
          <w:szCs w:val="30"/>
          <w:highlight w:val="none"/>
        </w:rPr>
        <w:t>投标文件目录</w:t>
      </w:r>
    </w:p>
    <w:p>
      <w:pPr>
        <w:numPr>
          <w:ilvl w:val="0"/>
          <w:numId w:val="17"/>
        </w:numPr>
        <w:spacing w:before="240" w:beforeLines="100" w:line="360" w:lineRule="auto"/>
        <w:rPr>
          <w:rFonts w:ascii="宋体" w:hAnsi="宋体" w:cs="宋体"/>
          <w:b/>
          <w:color w:val="000000"/>
          <w:szCs w:val="21"/>
          <w:highlight w:val="none"/>
        </w:rPr>
      </w:pPr>
      <w:r>
        <w:rPr>
          <w:rFonts w:ascii="宋体" w:hAnsi="宋体" w:cs="宋体" w:hint="eastAsia"/>
          <w:b/>
          <w:color w:val="000000"/>
          <w:szCs w:val="21"/>
          <w:highlight w:val="none"/>
        </w:rPr>
        <w:t>信息公开部分</w:t>
      </w:r>
    </w:p>
    <w:p>
      <w:pPr>
        <w:numPr>
          <w:ilvl w:val="0"/>
          <w:numId w:val="18"/>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开标一览表</w:t>
      </w:r>
    </w:p>
    <w:p>
      <w:pPr>
        <w:numPr>
          <w:ilvl w:val="0"/>
          <w:numId w:val="18"/>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项目分项报价表</w:t>
      </w:r>
    </w:p>
    <w:p>
      <w:pPr>
        <w:numPr>
          <w:ilvl w:val="0"/>
          <w:numId w:val="18"/>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中小企业声明函、监狱企业的证明文件或残疾人福利性单位声明函</w:t>
      </w:r>
    </w:p>
    <w:p>
      <w:pPr>
        <w:numPr>
          <w:ilvl w:val="0"/>
          <w:numId w:val="18"/>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政府采购违法行为风险知悉确认书</w:t>
      </w:r>
    </w:p>
    <w:p>
      <w:pPr>
        <w:numPr>
          <w:ilvl w:val="0"/>
          <w:numId w:val="18"/>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资格性审查文件(详见资格性检查表)</w:t>
      </w:r>
    </w:p>
    <w:p>
      <w:pPr>
        <w:numPr>
          <w:ilvl w:val="0"/>
          <w:numId w:val="18"/>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符合性审查文件(详见符合性检查表)</w:t>
      </w:r>
    </w:p>
    <w:p>
      <w:pPr>
        <w:numPr>
          <w:ilvl w:val="0"/>
          <w:numId w:val="18"/>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技术条款偏离情况</w:t>
      </w:r>
    </w:p>
    <w:p>
      <w:pPr>
        <w:numPr>
          <w:ilvl w:val="0"/>
          <w:numId w:val="18"/>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免费保修期内售后服务条款偏离情况</w:t>
      </w:r>
    </w:p>
    <w:p>
      <w:pPr>
        <w:numPr>
          <w:ilvl w:val="0"/>
          <w:numId w:val="18"/>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免费保修期外售后服务条款偏离情况</w:t>
      </w:r>
    </w:p>
    <w:p>
      <w:pPr>
        <w:numPr>
          <w:ilvl w:val="0"/>
          <w:numId w:val="18"/>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其他商务条款偏离情况</w:t>
      </w:r>
    </w:p>
    <w:p>
      <w:pPr>
        <w:numPr>
          <w:ilvl w:val="0"/>
          <w:numId w:val="18"/>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 xml:space="preserve">投标人同类业绩 </w:t>
      </w:r>
    </w:p>
    <w:p>
      <w:pPr>
        <w:numPr>
          <w:ilvl w:val="0"/>
          <w:numId w:val="18"/>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投标人认为有必要提供的其他材料1</w:t>
      </w:r>
    </w:p>
    <w:p>
      <w:pPr>
        <w:tabs>
          <w:tab w:val="left" w:pos="567"/>
        </w:tabs>
        <w:spacing w:before="240" w:beforeLines="100" w:line="360" w:lineRule="auto"/>
        <w:ind w:left="420"/>
        <w:rPr>
          <w:rFonts w:ascii="宋体" w:hAnsi="宋体" w:cs="宋体"/>
          <w:b/>
          <w:color w:val="000000"/>
          <w:szCs w:val="21"/>
          <w:highlight w:val="none"/>
        </w:rPr>
      </w:pPr>
      <w:r>
        <w:rPr>
          <w:rFonts w:ascii="宋体" w:hAnsi="宋体" w:cs="宋体" w:hint="eastAsia"/>
          <w:b/>
          <w:color w:val="000000"/>
          <w:szCs w:val="21"/>
          <w:highlight w:val="none"/>
        </w:rPr>
        <w:t>二、非信息公开部分（请放附件）</w:t>
      </w:r>
    </w:p>
    <w:p>
      <w:pPr>
        <w:numPr>
          <w:ilvl w:val="0"/>
          <w:numId w:val="19"/>
        </w:numPr>
        <w:tabs>
          <w:tab w:val="left" w:pos="567"/>
        </w:tabs>
        <w:spacing w:before="240" w:beforeLines="100" w:line="360" w:lineRule="auto"/>
        <w:rPr>
          <w:rFonts w:ascii="宋体" w:hAnsi="宋体" w:cs="宋体" w:hint="eastAsia"/>
          <w:color w:val="000000"/>
          <w:szCs w:val="21"/>
          <w:highlight w:val="none"/>
          <w:lang w:val="zh-CN" w:bidi="zh-CN"/>
        </w:rPr>
      </w:pPr>
      <w:r>
        <w:rPr>
          <w:rFonts w:ascii="宋体" w:hAnsi="宋体" w:cs="宋体" w:hint="eastAsia"/>
          <w:color w:val="000000"/>
          <w:szCs w:val="21"/>
          <w:highlight w:val="none"/>
        </w:rPr>
        <w:t>法定代表人(负责人)资格证明书和投标文件签署授权委托书(详见符合性检查表)</w:t>
      </w:r>
    </w:p>
    <w:p>
      <w:pPr>
        <w:numPr>
          <w:ilvl w:val="0"/>
          <w:numId w:val="19"/>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技术保障措施</w:t>
      </w:r>
    </w:p>
    <w:p>
      <w:pPr>
        <w:numPr>
          <w:ilvl w:val="0"/>
          <w:numId w:val="19"/>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投标人认为有必要提供的其他材料2</w:t>
      </w:r>
    </w:p>
    <w:p>
      <w:pPr>
        <w:numPr>
          <w:ilvl w:val="0"/>
          <w:numId w:val="19"/>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投标人联络信息</w:t>
      </w:r>
    </w:p>
    <w:p>
      <w:pPr>
        <w:pStyle w:val="NormalIndent"/>
        <w:rPr>
          <w:rFonts w:hint="eastAsia"/>
          <w:color w:val="000000"/>
          <w:highlight w:val="none"/>
        </w:rPr>
      </w:pPr>
    </w:p>
    <w:p>
      <w:pPr>
        <w:pStyle w:val="Footer"/>
        <w:tabs>
          <w:tab w:val="center" w:pos="4153"/>
          <w:tab w:val="right" w:pos="8306"/>
        </w:tabs>
        <w:rPr>
          <w:rFonts w:hint="eastAsia"/>
          <w:color w:val="000000"/>
          <w:highlight w:val="none"/>
        </w:rPr>
      </w:pPr>
    </w:p>
    <w:p>
      <w:pPr>
        <w:tabs>
          <w:tab w:val="left" w:pos="567"/>
        </w:tabs>
        <w:spacing w:line="360" w:lineRule="auto"/>
        <w:ind w:left="399" w:firstLine="105" w:leftChars="190" w:firstLineChars="50"/>
        <w:jc w:val="center"/>
        <w:outlineLvl w:val="2"/>
        <w:rPr>
          <w:rFonts w:cs="宋体"/>
          <w:b/>
          <w:color w:val="000000"/>
          <w:sz w:val="24"/>
          <w:highlight w:val="none"/>
        </w:rPr>
      </w:pPr>
      <w:r>
        <w:rPr>
          <w:rFonts w:cs="宋体"/>
          <w:color w:val="000000"/>
          <w:sz w:val="24"/>
          <w:highlight w:val="none"/>
        </w:rPr>
        <w:br w:type="page"/>
      </w:r>
      <w:r>
        <w:rPr>
          <w:rFonts w:cs="宋体" w:hint="eastAsia"/>
          <w:b/>
          <w:color w:val="000000"/>
          <w:sz w:val="24"/>
          <w:highlight w:val="none"/>
        </w:rPr>
        <w:t>一、投标函</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致：中国远东国际招标有限公司</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1.根据已收到贵方的项目编号为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3.如果我方中标，我方将按照合同规定提交履约担保（可提供保函或现金）。</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4.我方同意所递交的投标文件在“对通用条款的补充内容”中的投标有效期内有效，在此期间内我方的投标有可能中标，我方将受此约束。</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5.除非另外达成协议并生效，贵方的中标通知书和本投标文件将构成约束我们双方的合同。</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6.我方理解贵方将不受必须接受你们所收到的最低报价或其它任何投标文件的约束。</w:t>
      </w:r>
    </w:p>
    <w:p>
      <w:pPr>
        <w:spacing w:after="120" w:afterLines="50" w:line="360" w:lineRule="auto"/>
        <w:ind w:firstLine="412" w:firstLineChars="196"/>
        <w:rPr>
          <w:rFonts w:ascii="宋体" w:hAnsi="宋体" w:cs="宋体"/>
          <w:color w:val="000000"/>
          <w:szCs w:val="21"/>
          <w:highlight w:val="none"/>
        </w:rPr>
      </w:pP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投标人：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单位地址：</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法定代表人或其委托代理人：</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电话：</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传真：</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开户银行名称：</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开户银行帐号：</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开户银行地址：</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开户银行电话：</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firstLine="540" w:firstLineChars="257"/>
        <w:rPr>
          <w:rFonts w:ascii="宋体" w:hAnsi="宋体" w:cs="宋体"/>
          <w:color w:val="000000"/>
          <w:sz w:val="24"/>
          <w:highlight w:val="none"/>
        </w:rPr>
      </w:pPr>
      <w:r>
        <w:rPr>
          <w:rFonts w:ascii="宋体" w:hAnsi="宋体" w:cs="宋体" w:hint="eastAsia"/>
          <w:color w:val="000000"/>
          <w:szCs w:val="21"/>
          <w:highlight w:val="none"/>
        </w:rPr>
        <w:t>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r>
        <w:rPr>
          <w:rFonts w:ascii="宋体" w:hAnsi="宋体" w:cs="宋体" w:hint="eastAsia"/>
          <w:color w:val="000000"/>
          <w:sz w:val="24"/>
          <w:highlight w:val="none"/>
        </w:rPr>
        <w:t xml:space="preserve">                                </w:t>
      </w:r>
    </w:p>
    <w:p>
      <w:pPr>
        <w:spacing w:after="120" w:afterLines="50" w:line="360" w:lineRule="auto"/>
        <w:ind w:firstLine="412" w:firstLineChars="196"/>
        <w:rPr>
          <w:rFonts w:ascii="宋体" w:hAnsi="宋体" w:cs="宋体"/>
          <w:color w:val="000000"/>
          <w:szCs w:val="21"/>
          <w:highlight w:val="none"/>
        </w:rPr>
      </w:pPr>
    </w:p>
    <w:p>
      <w:pPr>
        <w:spacing w:after="120" w:afterLines="50"/>
        <w:ind w:firstLine="412" w:firstLineChars="196"/>
        <w:rPr>
          <w:rFonts w:ascii="宋体" w:hAnsi="宋体" w:cs="宋体"/>
          <w:color w:val="000000"/>
          <w:szCs w:val="21"/>
          <w:highlight w:val="none"/>
        </w:rPr>
      </w:pPr>
    </w:p>
    <w:p>
      <w:pPr>
        <w:widowControl/>
        <w:jc w:val="left"/>
        <w:rPr>
          <w:rFonts w:ascii="宋体" w:hAnsi="宋体" w:cs="宋体"/>
          <w:bCs/>
          <w:color w:val="000000"/>
          <w:kern w:val="0"/>
          <w:sz w:val="24"/>
          <w:szCs w:val="32"/>
          <w:highlight w:val="none"/>
        </w:rPr>
      </w:pPr>
    </w:p>
    <w:p>
      <w:pPr>
        <w:pStyle w:val="Heading3"/>
        <w:numPr>
          <w:ilvl w:val="0"/>
          <w:numId w:val="20"/>
        </w:numPr>
        <w:jc w:val="center"/>
        <w:rPr>
          <w:rFonts w:cs="宋体"/>
          <w:color w:val="000000"/>
          <w:kern w:val="0"/>
          <w:sz w:val="24"/>
          <w:highlight w:val="none"/>
        </w:rPr>
      </w:pPr>
      <w:r>
        <w:rPr>
          <w:rFonts w:cs="宋体" w:hint="eastAsia"/>
          <w:color w:val="000000"/>
          <w:kern w:val="0"/>
          <w:sz w:val="24"/>
          <w:highlight w:val="none"/>
        </w:rPr>
        <w:br w:type="page"/>
      </w:r>
      <w:r>
        <w:rPr>
          <w:rFonts w:cs="宋体" w:hint="eastAsia"/>
          <w:color w:val="000000"/>
          <w:kern w:val="0"/>
          <w:sz w:val="24"/>
          <w:highlight w:val="none"/>
        </w:rPr>
        <w:t>政府采购投标及履约承诺函</w:t>
      </w:r>
    </w:p>
    <w:p>
      <w:pPr>
        <w:rPr>
          <w:rFonts w:ascii="宋体" w:hAnsi="宋体" w:cs="宋体"/>
          <w:color w:val="000000"/>
          <w:highlight w:val="none"/>
        </w:rPr>
      </w:pPr>
    </w:p>
    <w:p>
      <w:pPr>
        <w:rPr>
          <w:rFonts w:ascii="宋体" w:hAnsi="宋体" w:cs="宋体"/>
          <w:b/>
          <w:bCs/>
          <w:color w:val="000000"/>
          <w:szCs w:val="21"/>
          <w:highlight w:val="none"/>
        </w:rPr>
      </w:pPr>
      <w:r>
        <w:rPr>
          <w:rFonts w:ascii="宋体" w:hAnsi="宋体" w:cs="宋体" w:hint="eastAsia"/>
          <w:b/>
          <w:bCs/>
          <w:color w:val="000000"/>
          <w:szCs w:val="21"/>
          <w:highlight w:val="none"/>
        </w:rPr>
        <w:t>致：中国远东国际招标有限公司</w:t>
      </w:r>
    </w:p>
    <w:p>
      <w:pPr>
        <w:pStyle w:val="a0"/>
        <w:rPr>
          <w:rFonts w:ascii="宋体" w:hAnsi="宋体" w:cs="宋体"/>
          <w:color w:val="000000"/>
          <w:highlight w:val="none"/>
        </w:rPr>
      </w:pP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我单位深知本项目对采购人的重要性和紧迫性，亦了解采购人对廉政建设的相关要求，因此我单位承诺如下：</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自愿参加采购代理机构组织的招标采购活动。按照《深圳经济特区知识产权保护条例》第五十三条等规定和活动组织方发布的有关文件要求，我单位郑重承诺：我单位所提供的货物或服务未侵犯他人知识产权，并承诺在实施本项目时不侵犯他人知识产权，若违反承诺，我单位将依法承担相应的刑事、行政和民事责任（优先选择和解、调解、行政裁决、仲裁等方式解决知识产权纠纷），并根据与采购人签订的协议承担违约责任。</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我单位承诺近三年内我单位及我单位法定代表人无行贿犯罪记录。</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我单位承诺参与本项目投标前三年内我单位及我单位法定代表人，在经营活动中没有违法记录。</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我单位参与本项目政府采购活动时不存在被有关部门禁止参与政府采购活动且在有效期内的情况。</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我单位符合《深圳市经济特区政府采购条例》第18条和《深圳市经济特区政府采购条例实施细则》第12条和第13条的规定。</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我单位具备《中华人民共和国政府采购法》第二十二条的条件。</w:t>
      </w:r>
    </w:p>
    <w:p>
      <w:pPr>
        <w:numPr>
          <w:ilvl w:val="0"/>
          <w:numId w:val="21"/>
        </w:numPr>
        <w:spacing w:line="360" w:lineRule="auto"/>
        <w:rPr>
          <w:rFonts w:ascii="宋体" w:hAnsi="宋体" w:cs="宋体"/>
          <w:color w:val="000000"/>
          <w:highlight w:val="none"/>
        </w:rPr>
      </w:pPr>
      <w:r>
        <w:rPr>
          <w:rFonts w:ascii="宋体" w:hAnsi="宋体" w:cs="宋体" w:hint="eastAsia"/>
          <w:color w:val="000000"/>
          <w:kern w:val="0"/>
          <w:szCs w:val="21"/>
          <w:highlight w:val="none"/>
        </w:rPr>
        <w:t>我单位承诺符合国家和深圳市关于诚信管理的要求，至投标截止时间，我单位未被“信用中国”、中国政府采购网、“深圳信用网”以及“深圳市政府采购监督管理网”等官网列入“失信被执行人、重大税收违法案件当事人名单、政府采购严重违法失信行为记录名单”</w:t>
      </w:r>
      <w:r>
        <w:rPr>
          <w:rFonts w:ascii="宋体" w:hAnsi="宋体" w:cs="宋体" w:hint="eastAsia"/>
          <w:color w:val="000000"/>
          <w:highlight w:val="none"/>
        </w:rPr>
        <w:t xml:space="preserve"> ；</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我单位如果中标，做到诚实守信，依照本项目招标文件需求内容、签署的采购合同及本单位在投标中所作的一切承诺履；</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21"/>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numPr>
          <w:ilvl w:val="0"/>
          <w:numId w:val="21"/>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我单位保证，若所投货物涉及《财政部生态环境部关于印发节能产品政府采购品目清单的通知》（财库〔2019〕19号）列明的政府采购强制产品的，则所投该产品符合节能产品的认证要求。</w:t>
      </w:r>
    </w:p>
    <w:p>
      <w:pPr>
        <w:numPr>
          <w:ilvl w:val="0"/>
          <w:numId w:val="21"/>
        </w:numPr>
        <w:spacing w:line="360" w:lineRule="auto"/>
        <w:rPr>
          <w:rFonts w:ascii="宋体" w:hAnsi="宋体" w:cs="宋体" w:hint="eastAsia"/>
          <w:color w:val="000000"/>
          <w:highlight w:val="none"/>
        </w:rPr>
      </w:pPr>
      <w:r>
        <w:rPr>
          <w:rFonts w:ascii="宋体" w:hAnsi="宋体" w:cs="宋体" w:hint="eastAsia"/>
          <w:color w:val="000000"/>
          <w:highlight w:val="none"/>
        </w:rPr>
        <w:t>已知悉并同意中标（成交）结果信息公示（公开）的内容。</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我单位承诺不非法转包、分包。</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我单位承诺未参与本项目的采购需求、技术指标、商务指标等内容的设定，不存在对其他投标单位不公平的行为。</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我单位承诺不对采购人进行贿赂，进行有偿报答。</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我单位承诺不对采购人进行任何形式的利益输送。</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我单位承诺不对采购人进行宴请和娱乐等消费活动。</w:t>
      </w:r>
    </w:p>
    <w:p>
      <w:pPr>
        <w:numPr>
          <w:ilvl w:val="0"/>
          <w:numId w:val="21"/>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我单位承诺不对采购人进行赠送各种礼品、现金、有价证券、中介费、好处费等行为。</w:t>
      </w: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以上承诺，如有违反，愿依照国家相关法律处理，并承担由此给采购人带来的损失。</w:t>
      </w:r>
    </w:p>
    <w:p>
      <w:pPr>
        <w:pStyle w:val="a1"/>
        <w:spacing w:line="360" w:lineRule="auto"/>
        <w:ind w:firstLine="420"/>
        <w:rPr>
          <w:rFonts w:ascii="宋体" w:hAnsi="宋体" w:cs="宋体"/>
          <w:color w:val="000000"/>
          <w:highlight w:val="none"/>
        </w:rPr>
      </w:pP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r>
        <w:rPr>
          <w:rFonts w:ascii="宋体" w:hAnsi="宋体" w:cs="宋体" w:hint="eastAsia"/>
          <w:b/>
          <w:bCs/>
          <w:color w:val="000000"/>
          <w:szCs w:val="21"/>
          <w:highlight w:val="none"/>
          <w:u w:val="single"/>
        </w:rPr>
        <w:t xml:space="preserve">   </w:t>
      </w:r>
      <w:r>
        <w:rPr>
          <w:rFonts w:ascii="宋体" w:hAnsi="宋体" w:cs="宋体" w:hint="eastAsia"/>
          <w:color w:val="000000"/>
          <w:szCs w:val="21"/>
          <w:highlight w:val="none"/>
          <w:u w:val="single"/>
        </w:rPr>
        <w:t xml:space="preserve"> </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color w:val="000000"/>
          <w:szCs w:val="21"/>
          <w:highlight w:val="none"/>
          <w:u w:val="single"/>
        </w:rPr>
        <w:t xml:space="preserve">                             </w:t>
      </w:r>
    </w:p>
    <w:p>
      <w:pPr>
        <w:rPr>
          <w:rFonts w:ascii="宋体" w:hAnsi="宋体" w:cs="宋体"/>
          <w:color w:val="000000"/>
          <w:highlight w:val="none"/>
        </w:rPr>
      </w:pPr>
      <w:r>
        <w:rPr>
          <w:rFonts w:ascii="宋体" w:hAnsi="宋体" w:cs="宋体" w:hint="eastAsia"/>
          <w:b/>
          <w:color w:val="000000"/>
          <w:szCs w:val="21"/>
          <w:highlight w:val="none"/>
        </w:rPr>
        <w:t>注：若投标人有</w:t>
      </w:r>
      <w:r>
        <w:rPr>
          <w:rFonts w:ascii="宋体" w:hAnsi="宋体" w:cs="宋体" w:hint="eastAsia"/>
          <w:b/>
          <w:bCs/>
          <w:color w:val="000000"/>
          <w:szCs w:val="21"/>
          <w:highlight w:val="none"/>
        </w:rPr>
        <w:t>上述任意一个行为，</w:t>
      </w:r>
      <w:r>
        <w:rPr>
          <w:rFonts w:ascii="宋体" w:hAnsi="宋体" w:cs="宋体" w:hint="eastAsia"/>
          <w:b/>
          <w:color w:val="000000"/>
          <w:szCs w:val="21"/>
          <w:highlight w:val="none"/>
        </w:rPr>
        <w:t>不可提供该承诺函，否则按相关规定处理；若没有</w:t>
      </w:r>
      <w:r>
        <w:rPr>
          <w:rFonts w:ascii="宋体" w:hAnsi="宋体" w:cs="宋体" w:hint="eastAsia"/>
          <w:b/>
          <w:bCs/>
          <w:color w:val="000000"/>
          <w:szCs w:val="21"/>
          <w:highlight w:val="none"/>
        </w:rPr>
        <w:t>上述</w:t>
      </w:r>
    </w:p>
    <w:p>
      <w:pPr>
        <w:ind w:firstLine="420" w:firstLineChars="200"/>
        <w:rPr>
          <w:rFonts w:ascii="宋体" w:hAnsi="宋体" w:cs="宋体"/>
          <w:color w:val="000000"/>
          <w:highlight w:val="none"/>
        </w:rPr>
      </w:pPr>
      <w:r>
        <w:rPr>
          <w:rFonts w:ascii="宋体" w:hAnsi="宋体" w:cs="宋体" w:hint="eastAsia"/>
          <w:b/>
          <w:bCs/>
          <w:color w:val="000000"/>
          <w:szCs w:val="21"/>
          <w:highlight w:val="none"/>
        </w:rPr>
        <w:t>行为</w:t>
      </w:r>
      <w:r>
        <w:rPr>
          <w:rFonts w:ascii="宋体" w:hAnsi="宋体" w:cs="宋体" w:hint="eastAsia"/>
          <w:b/>
          <w:color w:val="000000"/>
          <w:szCs w:val="21"/>
          <w:highlight w:val="none"/>
        </w:rPr>
        <w:t>按要求填写，不得更改承诺内容。</w:t>
      </w:r>
    </w:p>
    <w:p>
      <w:pPr>
        <w:spacing w:line="300" w:lineRule="auto"/>
        <w:ind w:firstLine="645"/>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 xml:space="preserve">  </w:t>
      </w:r>
    </w:p>
    <w:p>
      <w:pPr>
        <w:pStyle w:val="Heading3"/>
        <w:spacing w:line="300" w:lineRule="auto"/>
        <w:jc w:val="center"/>
        <w:rPr>
          <w:rFonts w:cs="宋体"/>
          <w:color w:val="000000"/>
          <w:sz w:val="21"/>
          <w:szCs w:val="21"/>
          <w:highlight w:val="none"/>
        </w:rPr>
        <w:sectPr>
          <w:headerReference w:type="default" r:id="rId11"/>
          <w:footerReference w:type="default" r:id="rId12"/>
          <w:headerReference w:type="first" r:id="rId13"/>
          <w:pgSz w:w="11907" w:h="16840"/>
          <w:pgMar w:top="1440" w:right="992" w:bottom="1440" w:left="1080" w:header="851" w:footer="992" w:gutter="0"/>
          <w:cols w:space="720"/>
          <w:titlePg/>
          <w:docGrid w:linePitch="462"/>
        </w:sectPr>
      </w:pPr>
    </w:p>
    <w:p>
      <w:pPr>
        <w:pStyle w:val="Heading3"/>
        <w:spacing w:line="300" w:lineRule="auto"/>
        <w:jc w:val="center"/>
        <w:rPr>
          <w:rFonts w:cs="宋体"/>
          <w:color w:val="000000"/>
          <w:sz w:val="24"/>
          <w:szCs w:val="24"/>
          <w:highlight w:val="none"/>
        </w:rPr>
      </w:pPr>
      <w:r>
        <w:rPr>
          <w:rFonts w:cs="宋体"/>
          <w:color w:val="000000"/>
          <w:sz w:val="24"/>
          <w:szCs w:val="24"/>
          <w:highlight w:val="none"/>
        </w:rPr>
        <w:br w:type="page"/>
      </w:r>
      <w:r>
        <w:rPr>
          <w:rFonts w:cs="宋体" w:hint="eastAsia"/>
          <w:color w:val="000000"/>
          <w:sz w:val="24"/>
          <w:szCs w:val="24"/>
          <w:highlight w:val="none"/>
        </w:rPr>
        <w:t>三、投标报价表</w:t>
      </w:r>
    </w:p>
    <w:p>
      <w:pPr>
        <w:pStyle w:val="Heading3"/>
        <w:spacing w:line="300" w:lineRule="auto"/>
        <w:jc w:val="center"/>
        <w:rPr>
          <w:rFonts w:cs="宋体"/>
          <w:color w:val="000000"/>
          <w:sz w:val="24"/>
          <w:highlight w:val="none"/>
        </w:rPr>
      </w:pPr>
      <w:r>
        <w:rPr>
          <w:rFonts w:cs="宋体" w:hint="eastAsia"/>
          <w:color w:val="000000"/>
          <w:sz w:val="24"/>
          <w:highlight w:val="none"/>
        </w:rPr>
        <w:t>（一）投标一览表</w:t>
      </w:r>
    </w:p>
    <w:p>
      <w:pPr>
        <w:spacing w:after="60" w:line="360" w:lineRule="exact"/>
        <w:jc w:val="left"/>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30"/>
        <w:gridCol w:w="1644"/>
        <w:gridCol w:w="902"/>
        <w:gridCol w:w="1116"/>
        <w:gridCol w:w="691"/>
        <w:gridCol w:w="1182"/>
        <w:gridCol w:w="868"/>
        <w:gridCol w:w="683"/>
        <w:gridCol w:w="778"/>
        <w:gridCol w:w="1535"/>
      </w:tblGrid>
      <w:tr>
        <w:tblPrEx>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51"/>
          <w:jc w:val="center"/>
        </w:trPr>
        <w:tc>
          <w:tcPr>
            <w:tcW w:w="26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序号</w:t>
            </w:r>
          </w:p>
        </w:tc>
        <w:tc>
          <w:tcPr>
            <w:tcW w:w="82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货物名称</w:t>
            </w:r>
          </w:p>
        </w:tc>
        <w:tc>
          <w:tcPr>
            <w:tcW w:w="454"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数量和单位</w:t>
            </w:r>
          </w:p>
        </w:tc>
        <w:tc>
          <w:tcPr>
            <w:tcW w:w="562"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主要制造商名称和产地</w:t>
            </w:r>
          </w:p>
        </w:tc>
        <w:tc>
          <w:tcPr>
            <w:tcW w:w="34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品牌和型号</w:t>
            </w:r>
          </w:p>
        </w:tc>
        <w:tc>
          <w:tcPr>
            <w:tcW w:w="595"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价格条件</w:t>
            </w:r>
          </w:p>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（含税</w:t>
            </w:r>
            <w:r>
              <w:rPr>
                <w:rFonts w:ascii="宋体" w:hAnsi="宋体" w:cs="宋体"/>
                <w:b/>
                <w:color w:val="000000"/>
                <w:sz w:val="22"/>
                <w:szCs w:val="22"/>
                <w:highlight w:val="none"/>
              </w:rPr>
              <w:t>/</w:t>
            </w:r>
            <w:r>
              <w:rPr>
                <w:rFonts w:ascii="宋体" w:hAnsi="宋体" w:cs="宋体" w:hint="eastAsia"/>
                <w:b/>
                <w:color w:val="000000"/>
                <w:sz w:val="22"/>
                <w:szCs w:val="22"/>
                <w:highlight w:val="none"/>
              </w:rPr>
              <w:t>免税）</w:t>
            </w:r>
          </w:p>
        </w:tc>
        <w:tc>
          <w:tcPr>
            <w:tcW w:w="43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投标币种</w:t>
            </w:r>
          </w:p>
        </w:tc>
        <w:tc>
          <w:tcPr>
            <w:tcW w:w="344"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投标总价</w:t>
            </w:r>
          </w:p>
        </w:tc>
        <w:tc>
          <w:tcPr>
            <w:tcW w:w="392"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交货期</w:t>
            </w:r>
          </w:p>
        </w:tc>
        <w:tc>
          <w:tcPr>
            <w:tcW w:w="76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投标声明（关境内/关境外）</w:t>
            </w:r>
          </w:p>
        </w:tc>
      </w:tr>
      <w:tr>
        <w:tblPrEx>
          <w:tblW w:w="4980" w:type="pct"/>
          <w:jc w:val="center"/>
          <w:tblCellMar>
            <w:top w:w="0" w:type="dxa"/>
            <w:left w:w="108" w:type="dxa"/>
            <w:bottom w:w="0" w:type="dxa"/>
            <w:right w:w="108" w:type="dxa"/>
          </w:tblCellMar>
          <w:tblLook w:val="0000"/>
        </w:tblPrEx>
        <w:trPr>
          <w:trHeight w:val="435"/>
          <w:jc w:val="center"/>
        </w:trPr>
        <w:tc>
          <w:tcPr>
            <w:tcW w:w="267"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828"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三重串联四极杆电感耦合等离子体质谱仪</w:t>
            </w:r>
          </w:p>
        </w:tc>
        <w:tc>
          <w:tcPr>
            <w:tcW w:w="454"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2套</w:t>
            </w:r>
          </w:p>
        </w:tc>
        <w:tc>
          <w:tcPr>
            <w:tcW w:w="562" w:type="pct"/>
            <w:vAlign w:val="center"/>
          </w:tcPr>
          <w:p>
            <w:pPr>
              <w:spacing w:line="300" w:lineRule="atLeast"/>
              <w:jc w:val="center"/>
              <w:rPr>
                <w:rFonts w:ascii="宋体" w:hAnsi="宋体" w:cs="宋体"/>
                <w:color w:val="000000"/>
                <w:sz w:val="22"/>
                <w:szCs w:val="22"/>
                <w:highlight w:val="none"/>
              </w:rPr>
            </w:pPr>
          </w:p>
        </w:tc>
        <w:tc>
          <w:tcPr>
            <w:tcW w:w="348" w:type="pct"/>
            <w:vAlign w:val="center"/>
          </w:tcPr>
          <w:p>
            <w:pPr>
              <w:spacing w:line="300" w:lineRule="atLeast"/>
              <w:jc w:val="center"/>
              <w:rPr>
                <w:rFonts w:ascii="宋体" w:hAnsi="宋体" w:cs="宋体"/>
                <w:color w:val="000000"/>
                <w:sz w:val="22"/>
                <w:szCs w:val="22"/>
                <w:highlight w:val="none"/>
              </w:rPr>
            </w:pPr>
          </w:p>
        </w:tc>
        <w:tc>
          <w:tcPr>
            <w:tcW w:w="595" w:type="pct"/>
            <w:vAlign w:val="center"/>
          </w:tcPr>
          <w:p>
            <w:pPr>
              <w:widowControl/>
              <w:spacing w:line="300" w:lineRule="atLeast"/>
              <w:jc w:val="center"/>
              <w:rPr>
                <w:rFonts w:ascii="宋体" w:hAnsi="宋体" w:cs="宋体"/>
                <w:color w:val="000000"/>
                <w:kern w:val="0"/>
                <w:szCs w:val="21"/>
                <w:highlight w:val="none"/>
              </w:rPr>
            </w:pPr>
          </w:p>
        </w:tc>
        <w:tc>
          <w:tcPr>
            <w:tcW w:w="437" w:type="pct"/>
            <w:vAlign w:val="center"/>
          </w:tcPr>
          <w:p>
            <w:pPr>
              <w:widowControl/>
              <w:spacing w:line="300" w:lineRule="atLeast"/>
              <w:jc w:val="center"/>
              <w:rPr>
                <w:rFonts w:ascii="宋体" w:hAnsi="宋体" w:cs="宋体"/>
                <w:color w:val="000000"/>
                <w:kern w:val="0"/>
                <w:szCs w:val="21"/>
                <w:highlight w:val="none"/>
              </w:rPr>
            </w:pPr>
            <w:r>
              <w:rPr>
                <w:rFonts w:ascii="宋体" w:hAnsi="宋体" w:cs="宋体" w:hint="eastAsia"/>
                <w:color w:val="000000"/>
                <w:kern w:val="0"/>
                <w:szCs w:val="21"/>
                <w:highlight w:val="none"/>
              </w:rPr>
              <w:t>人民币</w:t>
            </w:r>
          </w:p>
        </w:tc>
        <w:tc>
          <w:tcPr>
            <w:tcW w:w="344" w:type="pct"/>
            <w:vAlign w:val="center"/>
          </w:tcPr>
          <w:p>
            <w:pPr>
              <w:spacing w:line="300" w:lineRule="atLeast"/>
              <w:rPr>
                <w:rFonts w:ascii="宋体" w:hAnsi="宋体" w:cs="宋体"/>
                <w:color w:val="000000"/>
                <w:sz w:val="22"/>
                <w:szCs w:val="22"/>
                <w:highlight w:val="none"/>
              </w:rPr>
            </w:pPr>
            <w:r>
              <w:rPr>
                <w:rFonts w:ascii="宋体" w:hAnsi="宋体" w:cs="宋体" w:hint="eastAsia"/>
                <w:color w:val="000000"/>
                <w:sz w:val="22"/>
                <w:szCs w:val="22"/>
                <w:highlight w:val="none"/>
              </w:rPr>
              <w:t>¥</w:t>
            </w:r>
          </w:p>
        </w:tc>
        <w:tc>
          <w:tcPr>
            <w:tcW w:w="392" w:type="pct"/>
            <w:vAlign w:val="center"/>
          </w:tcPr>
          <w:p>
            <w:pPr>
              <w:spacing w:line="300" w:lineRule="atLeast"/>
              <w:jc w:val="center"/>
              <w:rPr>
                <w:rFonts w:ascii="宋体" w:hAnsi="宋体" w:cs="宋体"/>
                <w:color w:val="000000"/>
                <w:sz w:val="22"/>
                <w:szCs w:val="22"/>
                <w:highlight w:val="none"/>
              </w:rPr>
            </w:pPr>
          </w:p>
        </w:tc>
        <w:tc>
          <w:tcPr>
            <w:tcW w:w="768" w:type="pct"/>
            <w:vAlign w:val="center"/>
          </w:tcPr>
          <w:p>
            <w:pPr>
              <w:spacing w:line="300" w:lineRule="atLeast"/>
              <w:jc w:val="center"/>
              <w:rPr>
                <w:rFonts w:ascii="宋体" w:hAnsi="宋体" w:cs="宋体"/>
                <w:color w:val="000000"/>
                <w:sz w:val="22"/>
                <w:szCs w:val="22"/>
                <w:highlight w:val="none"/>
              </w:rPr>
            </w:pPr>
          </w:p>
        </w:tc>
      </w:tr>
      <w:tr>
        <w:tblPrEx>
          <w:tblW w:w="4980" w:type="pct"/>
          <w:jc w:val="center"/>
          <w:tblCellMar>
            <w:top w:w="0" w:type="dxa"/>
            <w:left w:w="108" w:type="dxa"/>
            <w:bottom w:w="0" w:type="dxa"/>
            <w:right w:w="108" w:type="dxa"/>
          </w:tblCellMar>
          <w:tblLook w:val="0000"/>
        </w:tblPrEx>
        <w:trPr>
          <w:trHeight w:val="435"/>
          <w:jc w:val="center"/>
        </w:trPr>
        <w:tc>
          <w:tcPr>
            <w:tcW w:w="5000" w:type="pct"/>
            <w:gridSpan w:val="10"/>
            <w:vAlign w:val="center"/>
          </w:tcPr>
          <w:p>
            <w:pPr>
              <w:spacing w:line="300" w:lineRule="atLeast"/>
              <w:jc w:val="left"/>
              <w:rPr>
                <w:rFonts w:ascii="宋体" w:hAnsi="宋体" w:cs="宋体"/>
                <w:color w:val="000000"/>
                <w:sz w:val="22"/>
                <w:szCs w:val="22"/>
                <w:highlight w:val="none"/>
              </w:rPr>
            </w:pPr>
            <w:r>
              <w:rPr>
                <w:rFonts w:ascii="宋体" w:hAnsi="宋体" w:cs="宋体" w:hint="eastAsia"/>
                <w:b/>
                <w:bCs/>
                <w:color w:val="000000"/>
                <w:kern w:val="0"/>
                <w:szCs w:val="21"/>
                <w:highlight w:val="none"/>
              </w:rPr>
              <w:t>合计：¥           （人民币：          ）</w:t>
            </w:r>
          </w:p>
        </w:tc>
      </w:tr>
    </w:tbl>
    <w:p>
      <w:pPr>
        <w:spacing w:line="300" w:lineRule="auto"/>
        <w:ind w:left="425"/>
        <w:rPr>
          <w:rFonts w:ascii="宋体" w:hAnsi="宋体" w:cs="宋体" w:hint="eastAsia"/>
          <w:b/>
          <w:bCs/>
          <w:color w:val="000000"/>
          <w:szCs w:val="21"/>
          <w:highlight w:val="none"/>
        </w:rPr>
      </w:pPr>
    </w:p>
    <w:p>
      <w:pPr>
        <w:spacing w:line="300" w:lineRule="auto"/>
        <w:ind w:left="425"/>
        <w:rPr>
          <w:rFonts w:ascii="宋体" w:hAnsi="宋体" w:cs="宋体"/>
          <w:b/>
          <w:bCs/>
          <w:color w:val="000000"/>
          <w:szCs w:val="21"/>
          <w:highlight w:val="none"/>
        </w:rPr>
      </w:pPr>
      <w:r>
        <w:rPr>
          <w:rFonts w:ascii="宋体" w:hAnsi="宋体" w:cs="宋体" w:hint="eastAsia"/>
          <w:b/>
          <w:bCs/>
          <w:color w:val="000000"/>
          <w:szCs w:val="21"/>
          <w:highlight w:val="none"/>
        </w:rPr>
        <w:t>注：具体报价要求详见招标文件第一册第二章商务部分。</w:t>
      </w:r>
    </w:p>
    <w:p>
      <w:pPr>
        <w:snapToGrid w:val="0"/>
        <w:spacing w:line="360" w:lineRule="exact"/>
        <w:ind w:firstLine="525" w:firstLineChars="250"/>
        <w:jc w:val="right"/>
        <w:rPr>
          <w:rFonts w:ascii="宋体" w:hAnsi="宋体" w:cs="宋体"/>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right"/>
        <w:rPr>
          <w:rFonts w:ascii="宋体" w:hAnsi="宋体" w:cs="宋体"/>
          <w:b/>
          <w:bCs/>
          <w:color w:val="000000"/>
          <w:szCs w:val="21"/>
          <w:highlight w:val="none"/>
        </w:rPr>
        <w:sectPr>
          <w:type w:val="continuous"/>
          <w:pgSz w:w="11907" w:h="16840"/>
          <w:pgMar w:top="1440" w:right="1077" w:bottom="1440" w:left="1077" w:header="851" w:footer="992" w:gutter="0"/>
          <w:cols w:space="720"/>
          <w:titlePg/>
          <w:docGrid w:linePitch="462"/>
        </w:sect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rPr>
        <w:t>（二）项目分项报价表</w:t>
      </w:r>
    </w:p>
    <w:p>
      <w:pPr>
        <w:spacing w:after="60" w:line="360" w:lineRule="auto"/>
        <w:jc w:val="center"/>
        <w:rPr>
          <w:rFonts w:ascii="宋体" w:hAnsi="宋体" w:cs="宋体" w:hint="eastAsia"/>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4"/>
        <w:gridCol w:w="1591"/>
        <w:gridCol w:w="600"/>
        <w:gridCol w:w="629"/>
        <w:gridCol w:w="956"/>
        <w:gridCol w:w="465"/>
        <w:gridCol w:w="656"/>
        <w:gridCol w:w="1145"/>
        <w:gridCol w:w="800"/>
        <w:gridCol w:w="812"/>
        <w:gridCol w:w="677"/>
        <w:gridCol w:w="607"/>
      </w:tblGrid>
      <w:tr>
        <w:tblPrEx>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62"/>
        </w:trPr>
        <w:tc>
          <w:tcPr>
            <w:tcW w:w="365"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序号</w:t>
            </w:r>
          </w:p>
        </w:tc>
        <w:tc>
          <w:tcPr>
            <w:tcW w:w="825"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名称</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单位</w:t>
            </w:r>
          </w:p>
        </w:tc>
        <w:tc>
          <w:tcPr>
            <w:tcW w:w="326"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数量</w:t>
            </w:r>
          </w:p>
        </w:tc>
        <w:tc>
          <w:tcPr>
            <w:tcW w:w="496"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主要制造商名称和产地</w:t>
            </w:r>
          </w:p>
        </w:tc>
        <w:tc>
          <w:tcPr>
            <w:tcW w:w="24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品牌</w:t>
            </w:r>
          </w:p>
        </w:tc>
        <w:tc>
          <w:tcPr>
            <w:tcW w:w="340"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规格型号</w:t>
            </w:r>
          </w:p>
        </w:tc>
        <w:tc>
          <w:tcPr>
            <w:tcW w:w="594"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价格条件</w:t>
            </w:r>
          </w:p>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（含税</w:t>
            </w:r>
            <w:r>
              <w:rPr>
                <w:rFonts w:ascii="宋体" w:hAnsi="宋体" w:cs="宋体"/>
                <w:b/>
                <w:color w:val="000000"/>
                <w:sz w:val="18"/>
                <w:szCs w:val="18"/>
                <w:highlight w:val="none"/>
              </w:rPr>
              <w:t>/</w:t>
            </w:r>
            <w:r>
              <w:rPr>
                <w:rFonts w:ascii="宋体" w:hAnsi="宋体" w:cs="宋体" w:hint="eastAsia"/>
                <w:b/>
                <w:color w:val="000000"/>
                <w:sz w:val="18"/>
                <w:szCs w:val="18"/>
                <w:highlight w:val="none"/>
              </w:rPr>
              <w:t>免税）</w:t>
            </w:r>
          </w:p>
        </w:tc>
        <w:tc>
          <w:tcPr>
            <w:tcW w:w="415"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投标币种</w:t>
            </w:r>
          </w:p>
        </w:tc>
        <w:tc>
          <w:tcPr>
            <w:tcW w:w="42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单价（元）</w:t>
            </w:r>
          </w:p>
        </w:tc>
        <w:tc>
          <w:tcPr>
            <w:tcW w:w="35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小计（元）</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备注</w:t>
            </w: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1</w:t>
            </w:r>
          </w:p>
        </w:tc>
        <w:tc>
          <w:tcPr>
            <w:tcW w:w="82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lang w:val="zh-TW" w:eastAsia="zh-TW"/>
              </w:rPr>
              <w:t>三重</w:t>
            </w:r>
            <w:r>
              <w:rPr>
                <w:rFonts w:ascii="宋体" w:hAnsi="宋体" w:hint="eastAsia"/>
                <w:color w:val="000000"/>
                <w:sz w:val="18"/>
                <w:szCs w:val="18"/>
                <w:highlight w:val="none"/>
                <w:lang w:val="en-US" w:eastAsia="zh-CN"/>
              </w:rPr>
              <w:t>串联</w:t>
            </w:r>
            <w:r>
              <w:rPr>
                <w:rFonts w:ascii="宋体" w:hAnsi="宋体" w:hint="eastAsia"/>
                <w:color w:val="000000"/>
                <w:sz w:val="18"/>
                <w:szCs w:val="18"/>
                <w:highlight w:val="none"/>
                <w:lang w:val="zh-TW" w:eastAsia="zh-TW"/>
              </w:rPr>
              <w:t>四极杆电感耦合等离子体质谱仪（一）</w:t>
            </w:r>
          </w:p>
        </w:tc>
        <w:tc>
          <w:tcPr>
            <w:tcW w:w="311" w:type="pct"/>
            <w:vAlign w:val="center"/>
          </w:tcPr>
          <w:p>
            <w:pPr>
              <w:jc w:val="center"/>
              <w:rPr>
                <w:rFonts w:ascii="宋体" w:hAnsi="宋体" w:hint="eastAsia"/>
                <w:color w:val="000000"/>
                <w:sz w:val="18"/>
                <w:szCs w:val="18"/>
                <w:highlight w:val="none"/>
              </w:rPr>
            </w:pPr>
            <w:r>
              <w:rPr>
                <w:rFonts w:ascii="宋体" w:hAnsi="宋体" w:cs="宋体" w:hint="eastAsia"/>
                <w:color w:val="000000"/>
                <w:position w:val="-20"/>
                <w:sz w:val="18"/>
                <w:szCs w:val="18"/>
                <w:highlight w:val="none"/>
                <w:lang w:val="zh-TW" w:eastAsia="zh-TW"/>
              </w:rPr>
              <w:t>套</w:t>
            </w:r>
          </w:p>
        </w:tc>
        <w:tc>
          <w:tcPr>
            <w:tcW w:w="326" w:type="pct"/>
            <w:vAlign w:val="center"/>
          </w:tcPr>
          <w:p>
            <w:pPr>
              <w:jc w:val="center"/>
              <w:rPr>
                <w:rFonts w:ascii="宋体" w:hAnsi="宋体" w:hint="eastAsia"/>
                <w:color w:val="000000"/>
                <w:sz w:val="18"/>
                <w:szCs w:val="18"/>
                <w:highlight w:val="none"/>
              </w:rPr>
            </w:pPr>
            <w:r>
              <w:rPr>
                <w:rFonts w:ascii="宋体" w:hAnsi="宋体"/>
                <w:color w:val="000000"/>
                <w:sz w:val="18"/>
                <w:szCs w:val="18"/>
                <w:highlight w:val="none"/>
                <w:lang w:val="zh-TW" w:eastAsia="zh-TW"/>
              </w:rPr>
              <w:t>1</w:t>
            </w: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94" w:type="pct"/>
            <w:vAlign w:val="center"/>
          </w:tcPr>
          <w:p>
            <w:pPr>
              <w:spacing w:line="300" w:lineRule="exact"/>
              <w:jc w:val="center"/>
              <w:rPr>
                <w:rFonts w:ascii="宋体" w:hAnsi="宋体" w:cs="宋体"/>
                <w:b/>
                <w:color w:val="000000"/>
                <w:sz w:val="18"/>
                <w:szCs w:val="18"/>
                <w:highlight w:val="none"/>
              </w:rPr>
            </w:pPr>
          </w:p>
        </w:tc>
        <w:tc>
          <w:tcPr>
            <w:tcW w:w="415"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2</w:t>
            </w:r>
          </w:p>
        </w:tc>
        <w:tc>
          <w:tcPr>
            <w:tcW w:w="82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lang w:val="zh-TW" w:eastAsia="zh-TW"/>
              </w:rPr>
              <w:t>三重</w:t>
            </w:r>
            <w:r>
              <w:rPr>
                <w:rFonts w:ascii="宋体" w:hAnsi="宋体" w:hint="eastAsia"/>
                <w:color w:val="000000"/>
                <w:sz w:val="18"/>
                <w:szCs w:val="18"/>
                <w:highlight w:val="none"/>
                <w:lang w:val="en-US" w:eastAsia="zh-CN"/>
              </w:rPr>
              <w:t>串联</w:t>
            </w:r>
            <w:r>
              <w:rPr>
                <w:rFonts w:ascii="宋体" w:hAnsi="宋体" w:hint="eastAsia"/>
                <w:color w:val="000000"/>
                <w:sz w:val="18"/>
                <w:szCs w:val="18"/>
                <w:highlight w:val="none"/>
                <w:lang w:val="zh-TW" w:eastAsia="zh-TW"/>
              </w:rPr>
              <w:t>四极杆电感耦合等离子体质谱仪（</w:t>
            </w:r>
            <w:r>
              <w:rPr>
                <w:rFonts w:ascii="宋体" w:hAnsi="宋体" w:hint="eastAsia"/>
                <w:color w:val="000000"/>
                <w:sz w:val="18"/>
                <w:szCs w:val="18"/>
                <w:highlight w:val="none"/>
              </w:rPr>
              <w:t>二</w:t>
            </w:r>
            <w:r>
              <w:rPr>
                <w:rFonts w:ascii="宋体" w:hAnsi="宋体" w:hint="eastAsia"/>
                <w:color w:val="000000"/>
                <w:sz w:val="18"/>
                <w:szCs w:val="18"/>
                <w:highlight w:val="none"/>
                <w:lang w:val="zh-TW" w:eastAsia="zh-TW"/>
              </w:rPr>
              <w:t>）</w:t>
            </w:r>
          </w:p>
        </w:tc>
        <w:tc>
          <w:tcPr>
            <w:tcW w:w="311" w:type="pct"/>
            <w:vAlign w:val="center"/>
          </w:tcPr>
          <w:p>
            <w:pPr>
              <w:jc w:val="center"/>
              <w:rPr>
                <w:rFonts w:ascii="宋体" w:hAnsi="宋体" w:hint="eastAsia"/>
                <w:color w:val="000000"/>
                <w:sz w:val="18"/>
                <w:szCs w:val="18"/>
                <w:highlight w:val="none"/>
              </w:rPr>
            </w:pPr>
            <w:r>
              <w:rPr>
                <w:rFonts w:ascii="宋体" w:hAnsi="宋体" w:cs="宋体" w:hint="eastAsia"/>
                <w:color w:val="000000"/>
                <w:position w:val="-20"/>
                <w:sz w:val="18"/>
                <w:szCs w:val="18"/>
                <w:highlight w:val="none"/>
                <w:lang w:val="zh-TW" w:eastAsia="zh-TW"/>
              </w:rPr>
              <w:t>套</w:t>
            </w:r>
          </w:p>
        </w:tc>
        <w:tc>
          <w:tcPr>
            <w:tcW w:w="326" w:type="pct"/>
            <w:vAlign w:val="center"/>
          </w:tcPr>
          <w:p>
            <w:pPr>
              <w:jc w:val="center"/>
              <w:rPr>
                <w:rFonts w:ascii="宋体" w:hAnsi="宋体" w:hint="eastAsia"/>
                <w:color w:val="000000"/>
                <w:sz w:val="18"/>
                <w:szCs w:val="18"/>
                <w:highlight w:val="none"/>
              </w:rPr>
            </w:pPr>
            <w:r>
              <w:rPr>
                <w:rFonts w:ascii="宋体" w:hAnsi="宋体"/>
                <w:color w:val="000000"/>
                <w:sz w:val="18"/>
                <w:szCs w:val="18"/>
                <w:highlight w:val="none"/>
                <w:lang w:val="zh-TW" w:eastAsia="zh-TW"/>
              </w:rPr>
              <w:t>1</w:t>
            </w:r>
          </w:p>
        </w:tc>
        <w:tc>
          <w:tcPr>
            <w:tcW w:w="496" w:type="pct"/>
          </w:tcPr>
          <w:p>
            <w:pPr>
              <w:widowControl/>
              <w:snapToGrid w:val="0"/>
              <w:spacing w:line="300" w:lineRule="exact"/>
              <w:rPr>
                <w:rFonts w:ascii="宋体" w:hAnsi="宋体" w:hint="eastAsia"/>
                <w:bCs/>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color w:val="000000"/>
                <w:sz w:val="18"/>
                <w:szCs w:val="18"/>
                <w:highlight w:val="none"/>
              </w:rPr>
            </w:pPr>
          </w:p>
        </w:tc>
        <w:tc>
          <w:tcPr>
            <w:tcW w:w="421" w:type="pct"/>
            <w:vAlign w:val="center"/>
          </w:tcPr>
          <w:p>
            <w:pPr>
              <w:spacing w:line="300" w:lineRule="exact"/>
              <w:rPr>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rPr>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227"/>
        </w:trPr>
        <w:tc>
          <w:tcPr>
            <w:tcW w:w="365"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25" w:type="pct"/>
          </w:tcPr>
          <w:p>
            <w:pPr>
              <w:widowControl/>
              <w:snapToGrid w:val="0"/>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9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24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40"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594"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15"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2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5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227"/>
        </w:trPr>
        <w:tc>
          <w:tcPr>
            <w:tcW w:w="5000" w:type="pct"/>
            <w:gridSpan w:val="12"/>
            <w:vAlign w:val="center"/>
          </w:tcPr>
          <w:p>
            <w:pPr>
              <w:spacing w:line="300" w:lineRule="exact"/>
              <w:jc w:val="left"/>
              <w:rPr>
                <w:rFonts w:ascii="宋体" w:hAnsi="宋体" w:cs="宋体" w:hint="eastAsia"/>
                <w:color w:val="000000"/>
                <w:sz w:val="18"/>
                <w:szCs w:val="18"/>
                <w:highlight w:val="none"/>
              </w:rPr>
            </w:pPr>
            <w:r>
              <w:rPr>
                <w:rFonts w:ascii="宋体" w:hAnsi="宋体" w:cs="宋体" w:hint="eastAsia"/>
                <w:color w:val="000000"/>
                <w:sz w:val="18"/>
                <w:szCs w:val="18"/>
                <w:highlight w:val="none"/>
              </w:rPr>
              <w:t xml:space="preserve">合计：¥ </w:t>
            </w:r>
            <w:r>
              <w:rPr>
                <w:rFonts w:ascii="宋体" w:hAnsi="宋体" w:cs="宋体" w:hint="eastAsia"/>
                <w:color w:val="000000"/>
                <w:sz w:val="18"/>
                <w:szCs w:val="18"/>
                <w:highlight w:val="none"/>
                <w:u w:val="single"/>
              </w:rPr>
              <w:t xml:space="preserve">          </w:t>
            </w:r>
            <w:r>
              <w:rPr>
                <w:rFonts w:ascii="宋体" w:hAnsi="宋体" w:cs="宋体" w:hint="eastAsia"/>
                <w:color w:val="000000"/>
                <w:sz w:val="18"/>
                <w:szCs w:val="18"/>
                <w:highlight w:val="none"/>
              </w:rPr>
              <w:t>（人民币：</w:t>
            </w:r>
            <w:r>
              <w:rPr>
                <w:rFonts w:ascii="宋体" w:hAnsi="宋体" w:cs="宋体" w:hint="eastAsia"/>
                <w:color w:val="000000"/>
                <w:sz w:val="18"/>
                <w:szCs w:val="18"/>
                <w:highlight w:val="none"/>
                <w:u w:val="single"/>
              </w:rPr>
              <w:t xml:space="preserve">          </w:t>
            </w:r>
            <w:r>
              <w:rPr>
                <w:rFonts w:ascii="宋体" w:hAnsi="宋体" w:cs="宋体" w:hint="eastAsia"/>
                <w:b/>
                <w:color w:val="000000"/>
                <w:sz w:val="18"/>
                <w:szCs w:val="18"/>
                <w:highlight w:val="none"/>
              </w:rPr>
              <w:t>）</w:t>
            </w:r>
          </w:p>
        </w:tc>
      </w:tr>
    </w:tbl>
    <w:p>
      <w:pPr>
        <w:numPr>
          <w:ilvl w:val="0"/>
          <w:numId w:val="22"/>
        </w:numPr>
        <w:spacing w:before="120" w:beforeLines="5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numPr>
          <w:ilvl w:val="0"/>
          <w:numId w:val="22"/>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具体报价要求详见招标文件第一册第二章商务部分。</w:t>
      </w:r>
    </w:p>
    <w:p>
      <w:pPr>
        <w:numPr>
          <w:ilvl w:val="0"/>
          <w:numId w:val="22"/>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投标人不得以低于成本的报价竞标；评审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审委员会应当将其作为无效投标处理。</w:t>
      </w:r>
    </w:p>
    <w:p>
      <w:pPr>
        <w:numPr>
          <w:ilvl w:val="0"/>
          <w:numId w:val="22"/>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开标一览表的投标总价必须与项目投标报价表的投标总价一致。</w:t>
      </w:r>
    </w:p>
    <w:p>
      <w:pPr>
        <w:numPr>
          <w:ilvl w:val="0"/>
          <w:numId w:val="22"/>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“原产地”是指该产品的实际生产加工地，而非品牌总公司所在地。</w:t>
      </w:r>
    </w:p>
    <w:p>
      <w:pPr>
        <w:snapToGrid w:val="0"/>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详细填写所投货物的制造商名称；若如所投产品属于定制类的非量产货物或无具体型号的货物，可以不填写型号等信息，但应当标注投标产品为定制产品。</w:t>
      </w:r>
    </w:p>
    <w:p>
      <w:pPr>
        <w:pStyle w:val="a1"/>
        <w:ind w:firstLine="420"/>
        <w:rPr>
          <w:rFonts w:hint="eastAsia"/>
          <w:color w:val="000000"/>
          <w:highlight w:val="none"/>
        </w:rPr>
      </w:pPr>
    </w:p>
    <w:p>
      <w:pPr>
        <w:pStyle w:val="Footer"/>
        <w:tabs>
          <w:tab w:val="center" w:pos="4153"/>
          <w:tab w:val="right" w:pos="8306"/>
        </w:tabs>
        <w:rPr>
          <w:rFonts w:hint="eastAsia"/>
          <w:color w:val="000000"/>
          <w:highlight w:val="none"/>
        </w:rPr>
      </w:pP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ind w:right="105" w:firstLine="560"/>
        <w:jc w:val="right"/>
        <w:rPr>
          <w:rFonts w:ascii="宋体" w:hAnsi="宋体" w:cs="宋体"/>
          <w:color w:val="000000"/>
          <w:highlight w:val="none"/>
        </w:rPr>
      </w:pP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jc w:val="center"/>
        <w:rPr>
          <w:rFonts w:ascii="宋体" w:hAnsi="宋体" w:cs="宋体"/>
          <w:b/>
          <w:color w:val="000000"/>
          <w:sz w:val="24"/>
          <w:highlight w:val="none"/>
          <w:shd w:val="clear" w:color="FFFFFF" w:fill="D9D9D9"/>
        </w:rPr>
        <w:sectPr>
          <w:type w:val="continuous"/>
          <w:pgSz w:w="11907" w:h="16840"/>
          <w:pgMar w:top="1080" w:right="1440" w:bottom="1080" w:left="1440" w:header="851" w:footer="992" w:gutter="0"/>
          <w:cols w:space="720"/>
          <w:titlePg/>
          <w:docGrid w:linePitch="462"/>
        </w:sectPr>
      </w:pPr>
    </w:p>
    <w:p>
      <w:pPr>
        <w:numPr>
          <w:ilvl w:val="0"/>
          <w:numId w:val="23"/>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核心产品的品牌情况</w:t>
      </w:r>
    </w:p>
    <w:p>
      <w:pPr>
        <w:spacing w:line="300" w:lineRule="auto"/>
        <w:ind w:firstLine="420" w:firstLineChars="200"/>
        <w:rPr>
          <w:rFonts w:ascii="宋体" w:hAnsi="宋体" w:cs="宋体"/>
          <w:b/>
          <w:color w:val="000000"/>
          <w:sz w:val="24"/>
          <w:highlight w:val="none"/>
        </w:rPr>
      </w:pPr>
    </w:p>
    <w:p>
      <w:pPr>
        <w:spacing w:line="300" w:lineRule="auto"/>
        <w:ind w:firstLine="420" w:firstLineChars="200"/>
        <w:rPr>
          <w:rFonts w:ascii="宋体" w:hAnsi="宋体" w:cs="宋体"/>
          <w:b/>
          <w:color w:val="000000"/>
          <w:szCs w:val="21"/>
          <w:highlight w:val="none"/>
        </w:rPr>
      </w:pPr>
      <w:r>
        <w:rPr>
          <w:rFonts w:ascii="宋体" w:hAnsi="宋体" w:cs="宋体" w:hint="eastAsia"/>
          <w:b/>
          <w:color w:val="000000"/>
          <w:szCs w:val="21"/>
          <w:highlight w:val="none"/>
        </w:rPr>
        <w:t>我公司所投核心产品的品牌为：</w:t>
      </w:r>
      <w:r>
        <w:rPr>
          <w:rFonts w:ascii="宋体" w:hAnsi="宋体" w:cs="宋体" w:hint="eastAsia"/>
          <w:b/>
          <w:color w:val="000000"/>
          <w:szCs w:val="21"/>
          <w:highlight w:val="none"/>
          <w:u w:val="single"/>
        </w:rPr>
        <w:t xml:space="preserve">               </w:t>
      </w:r>
      <w:r>
        <w:rPr>
          <w:rFonts w:ascii="宋体" w:hAnsi="宋体" w:cs="宋体" w:hint="eastAsia"/>
          <w:b/>
          <w:color w:val="000000"/>
          <w:szCs w:val="21"/>
          <w:highlight w:val="none"/>
        </w:rPr>
        <w:t>。</w:t>
      </w:r>
    </w:p>
    <w:p>
      <w:pPr>
        <w:spacing w:line="300" w:lineRule="auto"/>
        <w:ind w:firstLine="420" w:firstLineChars="200"/>
        <w:rPr>
          <w:rFonts w:ascii="宋体" w:hAnsi="宋体" w:cs="宋体"/>
          <w:b/>
          <w:color w:val="000000"/>
          <w:szCs w:val="21"/>
          <w:highlight w:val="none"/>
        </w:rPr>
      </w:pP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备注：招标文件未列明核心品牌的，无需填写该项。</w:t>
      </w:r>
    </w:p>
    <w:p>
      <w:pPr>
        <w:spacing w:line="300" w:lineRule="auto"/>
        <w:ind w:firstLine="420" w:firstLineChars="200"/>
        <w:rPr>
          <w:rFonts w:ascii="宋体" w:hAnsi="宋体" w:cs="宋体"/>
          <w:b/>
          <w:color w:val="000000"/>
          <w:sz w:val="24"/>
          <w:highlight w:val="none"/>
        </w:rPr>
      </w:pPr>
    </w:p>
    <w:p>
      <w:pPr>
        <w:pStyle w:val="a0"/>
        <w:rPr>
          <w:rFonts w:ascii="宋体" w:hAnsi="宋体" w:cs="宋体"/>
          <w:color w:val="000000"/>
          <w:highlight w:val="none"/>
        </w:rPr>
      </w:pPr>
    </w:p>
    <w:p>
      <w:pPr>
        <w:pStyle w:val="a0"/>
        <w:rPr>
          <w:rFonts w:ascii="宋体" w:hAnsi="宋体" w:cs="宋体"/>
          <w:color w:val="000000"/>
          <w:highlight w:val="none"/>
        </w:rPr>
      </w:pPr>
    </w:p>
    <w:p>
      <w:pPr>
        <w:spacing w:line="300" w:lineRule="auto"/>
        <w:rPr>
          <w:rFonts w:ascii="宋体" w:hAnsi="宋体" w:cs="宋体"/>
          <w:b/>
          <w:color w:val="000000"/>
          <w:sz w:val="24"/>
          <w:highlight w:val="none"/>
        </w:rPr>
      </w:pPr>
    </w:p>
    <w:p>
      <w:pPr>
        <w:numPr>
          <w:ilvl w:val="0"/>
          <w:numId w:val="23"/>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可选配件报价清单（不包括在总报价内）</w:t>
      </w:r>
    </w:p>
    <w:p>
      <w:pPr>
        <w:spacing w:line="300" w:lineRule="auto"/>
        <w:ind w:firstLine="420" w:firstLineChars="200"/>
        <w:rPr>
          <w:rFonts w:ascii="宋体" w:hAnsi="宋体" w:cs="宋体"/>
          <w:b/>
          <w:bCs/>
          <w:color w:val="000000"/>
          <w:szCs w:val="21"/>
          <w:highlight w:val="none"/>
        </w:rPr>
      </w:pPr>
      <w:r>
        <w:rPr>
          <w:rFonts w:ascii="宋体" w:hAnsi="宋体" w:cs="宋体" w:hint="eastAsia"/>
          <w:b/>
          <w:bCs/>
          <w:color w:val="000000"/>
          <w:szCs w:val="21"/>
          <w:highlight w:val="none"/>
        </w:rPr>
        <w:t>注：格式参照《（一）项目报价表》表格，但须提供相应的品牌、规格型号、原产地、单价等详细信息</w:t>
      </w:r>
    </w:p>
    <w:p>
      <w:pPr>
        <w:spacing w:line="300" w:lineRule="auto"/>
        <w:ind w:firstLine="420" w:firstLineChars="200"/>
        <w:rPr>
          <w:rFonts w:ascii="宋体" w:hAnsi="宋体" w:cs="宋体"/>
          <w:b/>
          <w:bCs/>
          <w:color w:val="000000"/>
          <w:sz w:val="24"/>
          <w:highlight w:val="none"/>
        </w:rPr>
      </w:pPr>
    </w:p>
    <w:p>
      <w:pPr>
        <w:spacing w:line="300" w:lineRule="auto"/>
        <w:ind w:firstLine="420" w:firstLineChars="200"/>
        <w:rPr>
          <w:rFonts w:ascii="宋体" w:hAnsi="宋体" w:cs="宋体"/>
          <w:b/>
          <w:bCs/>
          <w:color w:val="000000"/>
          <w:sz w:val="24"/>
          <w:highlight w:val="none"/>
        </w:rPr>
      </w:pPr>
    </w:p>
    <w:p>
      <w:pPr>
        <w:pStyle w:val="a0"/>
        <w:rPr>
          <w:rFonts w:ascii="宋体" w:hAnsi="宋体" w:cs="宋体"/>
          <w:color w:val="000000"/>
          <w:highlight w:val="none"/>
        </w:rPr>
      </w:pPr>
    </w:p>
    <w:p>
      <w:pPr>
        <w:pStyle w:val="a0"/>
        <w:rPr>
          <w:rFonts w:ascii="宋体" w:hAnsi="宋体" w:cs="宋体"/>
          <w:color w:val="000000"/>
          <w:highlight w:val="none"/>
        </w:rPr>
      </w:pPr>
    </w:p>
    <w:p>
      <w:pPr>
        <w:numPr>
          <w:ilvl w:val="0"/>
          <w:numId w:val="23"/>
        </w:numPr>
        <w:tabs>
          <w:tab w:val="left" w:pos="720"/>
        </w:tabs>
        <w:spacing w:line="300" w:lineRule="auto"/>
        <w:ind w:left="482" w:hanging="482"/>
        <w:jc w:val="center"/>
        <w:rPr>
          <w:rFonts w:ascii="宋体" w:hAnsi="宋体" w:cs="宋体"/>
          <w:color w:val="000000"/>
          <w:sz w:val="24"/>
          <w:highlight w:val="none"/>
        </w:rPr>
        <w:sectPr>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供应商认为需要涉及的其他内容报价清单</w:t>
      </w:r>
    </w:p>
    <w:p>
      <w:pPr>
        <w:pStyle w:val="Heading3"/>
        <w:spacing w:line="300" w:lineRule="auto"/>
        <w:jc w:val="center"/>
        <w:rPr>
          <w:rFonts w:cs="宋体"/>
          <w:color w:val="000000"/>
          <w:sz w:val="24"/>
          <w:szCs w:val="24"/>
          <w:highlight w:val="none"/>
        </w:rPr>
      </w:pPr>
      <w:r>
        <w:rPr>
          <w:rFonts w:cs="宋体" w:hint="eastAsia"/>
          <w:color w:val="000000"/>
          <w:sz w:val="24"/>
          <w:szCs w:val="24"/>
          <w:highlight w:val="none"/>
        </w:rPr>
        <w:t>四、联合体协议书</w:t>
      </w:r>
      <w:r>
        <w:rPr>
          <w:rFonts w:cs="宋体" w:hint="eastAsia"/>
          <w:color w:val="000000"/>
          <w:sz w:val="24"/>
          <w:szCs w:val="24"/>
          <w:highlight w:val="none"/>
          <w:shd w:val="pct10" w:color="auto" w:fill="FFFFFF"/>
        </w:rPr>
        <w:t>（本项目不适用）</w:t>
      </w:r>
    </w:p>
    <w:p>
      <w:pPr>
        <w:widowControl/>
        <w:wordWrap w:val="0"/>
        <w:spacing w:before="100" w:beforeAutospacing="1" w:after="100" w:afterAutospacing="1" w:line="360" w:lineRule="auto"/>
        <w:jc w:val="left"/>
        <w:rPr>
          <w:rFonts w:ascii="宋体" w:hAnsi="宋体" w:cs="宋体"/>
          <w:color w:val="000000"/>
          <w:kern w:val="0"/>
          <w:szCs w:val="21"/>
          <w:highlight w:val="none"/>
        </w:rPr>
      </w:pPr>
      <w:r>
        <w:rPr>
          <w:rFonts w:ascii="宋体" w:hAnsi="宋体" w:cs="宋体" w:hint="eastAsia"/>
          <w:color w:val="000000"/>
          <w:kern w:val="0"/>
          <w:szCs w:val="21"/>
          <w:highlight w:val="none"/>
        </w:rPr>
        <w:t>   （甲公司名称）  、  （乙公司名称）  ……联合体协议书愿意组成联合体，参加 （项目名称）投标。现就有关事宜订立协议如下：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    （甲公司名称） 为联合体主办人，（乙公司名称） 为联合体成员；</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2．联合体内部有关事项规定如下：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（1）联合体由主办人负责与业主联系；</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（2）投标工作由联合体主办人负责，由双方组成的投标小组具体实施；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（3）联合体将严格按照招标文件的各项要求，递交投标文件，切实执行一切合同文件，共同承担合同规定的一切义务和责任，同时按照内部职责的划分，承担自身所负的责任和风险；</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（4）如中标，联合体内部将签订服务协议书，各自按协议规定负责服务；</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主办人  （甲公司名称）  承担总服务量的    ％，联合体成员   （乙公司名称） 承担总服务量的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（5）投标工作和联合体在中标后服务实施过程中的有关费用按各自承担的工作量分摊。</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3．本协议书自签署之日起生效，在上述2（4）所述的联合体服务协议书签订后自行失效；联合体主办人应立即将该服务协议书送交业主一份。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4．本协议书正本一式三份，送交业主一份，联合体成员各一份；副本一式六份，联合体成员各执三份。</w:t>
      </w:r>
    </w:p>
    <w:p>
      <w:pPr>
        <w:widowControl/>
        <w:wordWrap w:val="0"/>
        <w:spacing w:before="100" w:beforeAutospacing="1" w:after="100" w:afterAutospacing="1" w:line="360" w:lineRule="exact"/>
        <w:jc w:val="left"/>
        <w:rPr>
          <w:rFonts w:ascii="宋体" w:hAnsi="宋体" w:cs="宋体"/>
          <w:color w:val="000000"/>
          <w:kern w:val="0"/>
          <w:szCs w:val="21"/>
          <w:highlight w:val="none"/>
        </w:rPr>
      </w:pPr>
    </w:p>
    <w:p>
      <w:pPr>
        <w:widowControl/>
        <w:wordWrap w:val="0"/>
        <w:spacing w:before="100" w:beforeAutospacing="1" w:after="100" w:afterAutospacing="1"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甲公司名称：（全称）  （盖章）          乙公司名称：（全称）  （盖章）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法定代表人：         （职务）             法定代表人：       （职务）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（姓名）                          （姓名）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（签名）                         （签名）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年    月    日              年   月    日</w:t>
      </w:r>
    </w:p>
    <w:p>
      <w:pPr>
        <w:pStyle w:val="BodyTextIndent2"/>
        <w:spacing w:before="120" w:after="120"/>
        <w:rPr>
          <w:rFonts w:cs="宋体"/>
          <w:color w:val="000000"/>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br w:type="page"/>
      </w:r>
      <w:r>
        <w:rPr>
          <w:rFonts w:cs="宋体" w:hint="eastAsia"/>
          <w:color w:val="000000"/>
          <w:sz w:val="24"/>
          <w:highlight w:val="none"/>
        </w:rPr>
        <w:t>五、投标人情况介绍</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（一）投标人</w:t>
      </w:r>
      <w:r>
        <w:rPr>
          <w:rFonts w:ascii="宋体" w:hAnsi="宋体" w:cs="宋体" w:hint="eastAsia"/>
          <w:b/>
          <w:color w:val="000000"/>
          <w:sz w:val="24"/>
          <w:highlight w:val="none"/>
        </w:rPr>
        <w:t>资格证明文件</w:t>
      </w:r>
    </w:p>
    <w:p>
      <w:pPr>
        <w:spacing w:before="120" w:beforeLines="50" w:line="300" w:lineRule="auto"/>
        <w:ind w:firstLine="309" w:firstLineChars="147"/>
        <w:rPr>
          <w:rFonts w:ascii="宋体" w:hAnsi="宋体" w:cs="宋体"/>
          <w:bCs/>
          <w:color w:val="000000"/>
          <w:highlight w:val="none"/>
        </w:rPr>
      </w:pPr>
      <w:r>
        <w:rPr>
          <w:rFonts w:ascii="宋体" w:hAnsi="宋体" w:cs="宋体" w:hint="eastAsia"/>
          <w:bCs/>
          <w:color w:val="000000"/>
          <w:highlight w:val="none"/>
        </w:rPr>
        <w:t>特别提示：投标人须按本招标文件第一章招标公告 “投标人资质要求”提供相关的资质证明，未提供或提供不完整、不符合要求的，投标文件将按无效投标处理。</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（二）中小企业声明函（详见第三册“相关政策”）</w:t>
      </w:r>
    </w:p>
    <w:p>
      <w:pPr>
        <w:spacing w:line="300" w:lineRule="auto"/>
        <w:jc w:val="left"/>
        <w:outlineLvl w:val="3"/>
        <w:rPr>
          <w:rFonts w:ascii="宋体" w:hAnsi="宋体" w:cs="宋体"/>
          <w:b/>
          <w:color w:val="000000"/>
          <w:kern w:val="0"/>
          <w:sz w:val="24"/>
          <w:szCs w:val="32"/>
          <w:highlight w:val="none"/>
        </w:rPr>
      </w:pPr>
      <w:r>
        <w:rPr>
          <w:rFonts w:ascii="宋体" w:hAnsi="宋体" w:cs="宋体" w:hint="eastAsia"/>
          <w:b/>
          <w:color w:val="000000"/>
          <w:sz w:val="24"/>
          <w:highlight w:val="none"/>
        </w:rPr>
        <w:t>（三）</w:t>
      </w:r>
      <w:r>
        <w:rPr>
          <w:rFonts w:ascii="宋体" w:hAnsi="宋体" w:cs="宋体" w:hint="eastAsia"/>
          <w:b/>
          <w:color w:val="000000"/>
          <w:kern w:val="0"/>
          <w:sz w:val="24"/>
          <w:szCs w:val="32"/>
          <w:highlight w:val="none"/>
        </w:rPr>
        <w:t>残疾人福利性单位声明函（</w:t>
      </w:r>
      <w:r>
        <w:rPr>
          <w:rFonts w:ascii="宋体" w:hAnsi="宋体" w:cs="宋体" w:hint="eastAsia"/>
          <w:b/>
          <w:bCs/>
          <w:color w:val="000000"/>
          <w:kern w:val="0"/>
          <w:sz w:val="24"/>
          <w:szCs w:val="32"/>
          <w:highlight w:val="none"/>
        </w:rPr>
        <w:t>（详见第三册“相关政策”）</w:t>
      </w:r>
    </w:p>
    <w:p>
      <w:pPr>
        <w:spacing w:line="300" w:lineRule="auto"/>
        <w:outlineLvl w:val="3"/>
        <w:rPr>
          <w:rFonts w:ascii="宋体" w:hAnsi="宋体" w:cs="宋体"/>
          <w:b/>
          <w:bCs/>
          <w:color w:val="000000"/>
          <w:kern w:val="0"/>
          <w:sz w:val="24"/>
          <w:szCs w:val="32"/>
          <w:highlight w:val="none"/>
        </w:rPr>
      </w:pPr>
      <w:r>
        <w:rPr>
          <w:rFonts w:ascii="宋体" w:hAnsi="宋体" w:cs="宋体" w:hint="eastAsia"/>
          <w:b/>
          <w:bCs/>
          <w:color w:val="000000"/>
          <w:kern w:val="0"/>
          <w:sz w:val="24"/>
          <w:szCs w:val="32"/>
          <w:highlight w:val="none"/>
        </w:rPr>
        <w:t>（四）或省级以上监狱管理局、戒毒管理局（含新疆生产建设兵团）出具的属于监狱企业的证明文件）</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省级以上监狱管理局、戒毒管理局（含新疆生产建设兵团）出具的属于监狱企业的证明文件</w:t>
      </w:r>
    </w:p>
    <w:p>
      <w:pPr>
        <w:spacing w:line="300" w:lineRule="auto"/>
        <w:ind w:firstLine="420" w:firstLineChars="200"/>
        <w:jc w:val="center"/>
        <w:rPr>
          <w:rFonts w:ascii="宋体" w:hAnsi="宋体" w:cs="宋体"/>
          <w:b/>
          <w:color w:val="000000"/>
          <w:szCs w:val="21"/>
          <w:highlight w:val="none"/>
        </w:rPr>
      </w:pPr>
      <w:r>
        <w:rPr>
          <w:rFonts w:ascii="宋体" w:hAnsi="宋体" w:cs="宋体" w:hint="eastAsia"/>
          <w:b/>
          <w:color w:val="000000"/>
          <w:szCs w:val="21"/>
          <w:highlight w:val="none"/>
        </w:rPr>
        <w:t>（样表）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郑重声明，根据《财政部司法部关于政府采购支持监狱企业发展有关问题的通知》（财库〔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本单位对上述声明的真实性负责。如有虚假，将依法承担相应责任。</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附：省级以上监狱管理局、戒毒管理局（含新疆生产建设兵团）出具的监狱企业证明文件。</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单位名称（盖章）：       </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日期：      </w:t>
      </w: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color w:val="000000"/>
          <w:highlight w:val="none"/>
        </w:rPr>
      </w:pPr>
      <w:r>
        <w:rPr>
          <w:rFonts w:ascii="宋体" w:hAnsi="宋体" w:cs="宋体" w:hint="eastAsia"/>
          <w:b/>
          <w:bCs/>
          <w:color w:val="000000"/>
          <w:sz w:val="24"/>
          <w:highlight w:val="none"/>
        </w:rPr>
        <w:br w:type="page"/>
      </w:r>
    </w:p>
    <w:p>
      <w:pPr>
        <w:spacing w:line="300" w:lineRule="auto"/>
        <w:outlineLvl w:val="3"/>
        <w:rPr>
          <w:rFonts w:ascii="宋体" w:hAnsi="宋体" w:cs="宋体"/>
          <w:b/>
          <w:color w:val="000000"/>
          <w:sz w:val="24"/>
          <w:highlight w:val="none"/>
        </w:rPr>
      </w:pPr>
      <w:r>
        <w:rPr>
          <w:rFonts w:ascii="宋体" w:hAnsi="宋体" w:cs="宋体" w:hint="eastAsia"/>
          <w:b/>
          <w:bCs/>
          <w:color w:val="000000"/>
          <w:sz w:val="24"/>
          <w:highlight w:val="none"/>
        </w:rPr>
        <w:t>（</w:t>
      </w:r>
      <w:r>
        <w:rPr>
          <w:rFonts w:ascii="宋体" w:hAnsi="宋体" w:cs="宋体" w:hint="eastAsia"/>
          <w:b/>
          <w:color w:val="000000"/>
          <w:sz w:val="24"/>
          <w:highlight w:val="none"/>
        </w:rPr>
        <w:t>五）投标人资质情况（格式自定）</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bCs/>
          <w:color w:val="000000"/>
          <w:sz w:val="24"/>
          <w:highlight w:val="none"/>
        </w:rPr>
      </w:pPr>
      <w:r>
        <w:rPr>
          <w:rFonts w:ascii="宋体" w:hAnsi="宋体" w:cs="宋体" w:hint="eastAsia"/>
          <w:b/>
          <w:color w:val="000000"/>
          <w:sz w:val="24"/>
          <w:highlight w:val="none"/>
        </w:rPr>
        <w:t>（六）</w:t>
      </w:r>
      <w:r>
        <w:rPr>
          <w:rFonts w:ascii="宋体" w:hAnsi="宋体" w:cs="宋体" w:hint="eastAsia"/>
          <w:b/>
          <w:bCs/>
          <w:color w:val="000000"/>
          <w:sz w:val="24"/>
          <w:highlight w:val="none"/>
        </w:rPr>
        <w:t>业绩</w:t>
      </w:r>
      <w:r>
        <w:rPr>
          <w:rFonts w:ascii="宋体" w:hAnsi="宋体" w:cs="宋体" w:hint="eastAsia"/>
          <w:b/>
          <w:color w:val="000000"/>
          <w:sz w:val="24"/>
          <w:highlight w:val="none"/>
        </w:rPr>
        <w:t>（可选）</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94"/>
        <w:gridCol w:w="1175"/>
        <w:gridCol w:w="1900"/>
        <w:gridCol w:w="1487"/>
        <w:gridCol w:w="1438"/>
        <w:gridCol w:w="2001"/>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94"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w:t>
            </w:r>
          </w:p>
        </w:tc>
        <w:tc>
          <w:tcPr>
            <w:tcW w:w="1175"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项目名称</w:t>
            </w:r>
          </w:p>
        </w:tc>
        <w:tc>
          <w:tcPr>
            <w:tcW w:w="190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项目规模（金额）</w:t>
            </w:r>
          </w:p>
        </w:tc>
        <w:tc>
          <w:tcPr>
            <w:tcW w:w="1487"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合同签订日期</w:t>
            </w:r>
          </w:p>
        </w:tc>
        <w:tc>
          <w:tcPr>
            <w:tcW w:w="1438"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履约验收时间</w:t>
            </w:r>
          </w:p>
        </w:tc>
        <w:tc>
          <w:tcPr>
            <w:tcW w:w="2001"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完成质量情况（以履约验收报告为准）</w:t>
            </w: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bl>
    <w:p>
      <w:pPr>
        <w:pStyle w:val="NormalIndent"/>
        <w:spacing w:line="300" w:lineRule="auto"/>
        <w:rPr>
          <w:rFonts w:ascii="宋体" w:hAnsi="宋体" w:cs="宋体"/>
          <w:b/>
          <w:color w:val="000000"/>
          <w:szCs w:val="21"/>
          <w:highlight w:val="none"/>
        </w:rPr>
      </w:pPr>
      <w:r>
        <w:rPr>
          <w:rFonts w:ascii="宋体" w:hAnsi="宋体" w:cs="宋体" w:hint="eastAsia"/>
          <w:b/>
          <w:color w:val="000000"/>
          <w:szCs w:val="21"/>
          <w:highlight w:val="none"/>
        </w:rPr>
        <w:t>注：后附相关证明材料（具体要求详见评标信息）</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color w:val="000000"/>
          <w:sz w:val="24"/>
          <w:highlight w:val="none"/>
        </w:rPr>
      </w:pPr>
      <w:r>
        <w:rPr>
          <w:rFonts w:ascii="宋体" w:hAnsi="宋体" w:cs="宋体" w:hint="eastAsia"/>
          <w:b/>
          <w:color w:val="000000"/>
          <w:sz w:val="24"/>
          <w:highlight w:val="none"/>
        </w:rPr>
        <w:t>（七）投标人认为需提供的其他证明文件</w:t>
      </w:r>
    </w:p>
    <w:p>
      <w:pPr>
        <w:pStyle w:val="Heading3"/>
        <w:spacing w:line="300" w:lineRule="auto"/>
        <w:jc w:val="center"/>
        <w:rPr>
          <w:rFonts w:cs="宋体" w:hint="eastAsia"/>
          <w:color w:val="000000"/>
          <w:sz w:val="24"/>
          <w:highlight w:val="none"/>
        </w:rPr>
      </w:pPr>
      <w:r>
        <w:rPr>
          <w:rFonts w:cs="宋体" w:hint="eastAsia"/>
          <w:color w:val="000000"/>
          <w:sz w:val="24"/>
          <w:highlight w:val="none"/>
        </w:rPr>
        <w:br w:type="page"/>
      </w:r>
      <w:r>
        <w:rPr>
          <w:rFonts w:cs="宋体" w:hint="eastAsia"/>
          <w:color w:val="000000"/>
          <w:sz w:val="24"/>
          <w:highlight w:val="none"/>
        </w:rPr>
        <w:t>六、招标项目需求偏离表</w:t>
      </w:r>
    </w:p>
    <w:p>
      <w:pPr>
        <w:pStyle w:val="Heading3"/>
        <w:spacing w:line="300" w:lineRule="auto"/>
        <w:jc w:val="center"/>
        <w:rPr>
          <w:rFonts w:cs="宋体"/>
          <w:color w:val="000000"/>
          <w:sz w:val="24"/>
          <w:highlight w:val="none"/>
        </w:rPr>
      </w:pPr>
      <w:r>
        <w:rPr>
          <w:rFonts w:cs="宋体" w:hint="eastAsia"/>
          <w:color w:val="000000"/>
          <w:sz w:val="24"/>
          <w:highlight w:val="none"/>
        </w:rPr>
        <w:t>1.技术条款偏离表</w:t>
      </w:r>
    </w:p>
    <w:p>
      <w:pPr>
        <w:spacing w:after="60" w:line="360" w:lineRule="exact"/>
        <w:rPr>
          <w:rFonts w:ascii="宋体" w:hAnsi="宋体" w:cs="宋体"/>
          <w:color w:val="000000"/>
          <w:highlight w:val="none"/>
        </w:rPr>
      </w:pPr>
      <w:r>
        <w:rPr>
          <w:rFonts w:ascii="宋体" w:hAnsi="宋体" w:cs="宋体" w:hint="eastAsia"/>
          <w:color w:val="000000"/>
          <w:highlight w:val="none"/>
        </w:rPr>
        <w:t>投标人名称__________________项目编号____________________</w:t>
      </w:r>
    </w:p>
    <w:tbl>
      <w:tblPr>
        <w:tblStyle w:val="TableNormal"/>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86"/>
        <w:gridCol w:w="1603"/>
        <w:gridCol w:w="2138"/>
        <w:gridCol w:w="2099"/>
        <w:gridCol w:w="1928"/>
        <w:gridCol w:w="1473"/>
      </w:tblGrid>
      <w:tr>
        <w:tblPrEx>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80"/>
          <w:jc w:val="center"/>
        </w:trPr>
        <w:tc>
          <w:tcPr>
            <w:tcW w:w="1086"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序号</w:t>
            </w:r>
          </w:p>
        </w:tc>
        <w:tc>
          <w:tcPr>
            <w:tcW w:w="160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货物名称</w:t>
            </w:r>
          </w:p>
        </w:tc>
        <w:tc>
          <w:tcPr>
            <w:tcW w:w="213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招标技术要求</w:t>
            </w:r>
          </w:p>
        </w:tc>
        <w:tc>
          <w:tcPr>
            <w:tcW w:w="2099"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投标技术响应</w:t>
            </w:r>
          </w:p>
        </w:tc>
        <w:tc>
          <w:tcPr>
            <w:tcW w:w="192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偏离情况</w:t>
            </w:r>
          </w:p>
        </w:tc>
        <w:tc>
          <w:tcPr>
            <w:tcW w:w="147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说明</w:t>
            </w: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1、“招标技术要求”一栏应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“技术部分”的内容进行填写；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2、“投标技术响应”一栏必须详细填写投标产品的具体参数，并应对照招标技术要求一一对应响应；</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3、“偏离情况”一栏应如实填写“正偏离”、“负偏离”或“无偏离”。</w:t>
      </w: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4、投标产品的技术参数应按《技术条款偏离表》中的要求提供相应的证明资料</w:t>
      </w:r>
      <w:r>
        <w:rPr>
          <w:rFonts w:ascii="宋体" w:hAnsi="宋体" w:cs="宋体" w:hint="eastAsia"/>
          <w:b/>
          <w:bCs/>
          <w:color w:val="000000"/>
          <w:szCs w:val="21"/>
          <w:highlight w:val="none"/>
        </w:rPr>
        <w:t>（证明资料须附于本表后）</w:t>
      </w:r>
      <w:r>
        <w:rPr>
          <w:rFonts w:ascii="宋体" w:hAnsi="宋体" w:cs="宋体" w:hint="eastAsia"/>
          <w:color w:val="000000"/>
          <w:szCs w:val="21"/>
          <w:highlight w:val="none"/>
        </w:rPr>
        <w:t>，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宋体" w:hAnsi="宋体" w:cs="宋体" w:hint="eastAsia"/>
          <w:b/>
          <w:color w:val="000000"/>
          <w:szCs w:val="21"/>
          <w:highlight w:val="none"/>
        </w:rPr>
        <w:t>若《技术条款偏离表》中未要求提供相应证明材料的，投标人可以不提供。</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rFonts w:ascii="宋体" w:hAnsi="宋体" w:cs="宋体"/>
          <w:color w:val="000000"/>
          <w:szCs w:val="21"/>
          <w:highlight w:val="none"/>
        </w:rPr>
      </w:pPr>
      <w:r>
        <w:rPr>
          <w:rFonts w:ascii="宋体" w:hAnsi="宋体" w:cs="宋体" w:hint="eastAsia"/>
          <w:color w:val="000000"/>
          <w:szCs w:val="21"/>
          <w:highlight w:val="none"/>
        </w:rPr>
        <w:t>（2）我国政府机构出具的产品检验和核准证件应为证件正面、背面和附件标注的全部具体内容；产品检验和核准证件的尺寸和清晰度应该能够在电脑上被阅读、识别和判断。</w:t>
      </w:r>
    </w:p>
    <w:p>
      <w:pPr>
        <w:jc w:val="left"/>
        <w:rPr>
          <w:rFonts w:ascii="宋体" w:hAnsi="宋体" w:cs="宋体" w:hint="eastAsia"/>
          <w:color w:val="000000"/>
          <w:szCs w:val="21"/>
          <w:highlight w:val="none"/>
        </w:rPr>
      </w:pPr>
      <w:r>
        <w:rPr>
          <w:rFonts w:ascii="宋体" w:hAnsi="宋体" w:cs="宋体" w:hint="eastAsia"/>
          <w:color w:val="000000"/>
          <w:szCs w:val="21"/>
          <w:highlight w:val="none"/>
        </w:rPr>
        <w:t>6、评审委员会有权对以谋取中标为目的的技术规格模糊响应（如有意照搬照抄招标文件的技术要求）或虚假响应予以认定，并视情况经集中采购机构报市政府采购监督管理部门予以处罚。</w:t>
      </w:r>
    </w:p>
    <w:p>
      <w:pPr>
        <w:pStyle w:val="a1"/>
        <w:ind w:firstLine="420"/>
        <w:rPr>
          <w:rFonts w:ascii="宋体" w:hAnsi="宋体" w:cs="宋体" w:hint="eastAsia"/>
          <w:color w:val="000000"/>
          <w:szCs w:val="21"/>
          <w:highlight w:val="none"/>
        </w:rPr>
      </w:pPr>
    </w:p>
    <w:p>
      <w:pPr>
        <w:pStyle w:val="a1"/>
        <w:ind w:firstLine="420"/>
        <w:rPr>
          <w:rFonts w:ascii="宋体" w:hAnsi="宋体" w:cs="宋体" w:hint="eastAsia"/>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rPr>
        <w:t>2.商务条款偏离表</w:t>
      </w:r>
    </w:p>
    <w:p>
      <w:pPr>
        <w:spacing w:after="60" w:line="360" w:lineRule="exact"/>
        <w:jc w:val="center"/>
        <w:rPr>
          <w:rFonts w:ascii="宋体" w:hAnsi="宋体" w:cs="宋体"/>
          <w:b/>
          <w:color w:val="000000"/>
          <w:highlight w:val="none"/>
        </w:rPr>
      </w:pPr>
      <w:r>
        <w:rPr>
          <w:rFonts w:ascii="宋体" w:hAnsi="宋体" w:cs="宋体" w:hint="eastAsia"/>
          <w:b/>
          <w:color w:val="000000"/>
          <w:highlight w:val="none"/>
        </w:rPr>
        <w:t>投标人名称__________________项目编号____________________</w:t>
      </w:r>
    </w:p>
    <w:tbl>
      <w:tblPr>
        <w:tblStyle w:val="TableNormal"/>
        <w:tblpPr w:leftFromText="180" w:rightFromText="180" w:vertAnchor="text" w:tblpXSpec="center" w:tblpX="1"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74"/>
        <w:gridCol w:w="1142"/>
        <w:gridCol w:w="2093"/>
        <w:gridCol w:w="2093"/>
        <w:gridCol w:w="1522"/>
        <w:gridCol w:w="17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序号</w:t>
            </w:r>
          </w:p>
        </w:tc>
        <w:tc>
          <w:tcPr>
            <w:tcW w:w="114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目录</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招标商务条款</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投标商务条款</w:t>
            </w:r>
          </w:p>
        </w:tc>
        <w:tc>
          <w:tcPr>
            <w:tcW w:w="152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0"/>
                <w:szCs w:val="22"/>
                <w:highlight w:val="none"/>
              </w:rPr>
              <w:t>偏离情况</w:t>
            </w:r>
          </w:p>
        </w:tc>
        <w:tc>
          <w:tcPr>
            <w:tcW w:w="171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说明</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1</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2</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3</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87"/>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4</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bl>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 “招标商务要求”一栏应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“商务部分”的内容进行填写；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2.“投标商务条款”一栏必须详细填写投标商务条款的内容。</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 “偏离情况”栏中应如实填写“正偏离”、“负偏离”或“无偏离”。</w:t>
      </w:r>
    </w:p>
    <w:p>
      <w:pPr>
        <w:spacing w:line="300" w:lineRule="auto"/>
        <w:rPr>
          <w:rFonts w:ascii="宋体" w:hAnsi="宋体" w:cs="宋体" w:hint="eastAsia"/>
          <w:color w:val="000000"/>
          <w:szCs w:val="21"/>
          <w:highlight w:val="none"/>
        </w:rPr>
      </w:pPr>
      <w:r>
        <w:rPr>
          <w:rFonts w:ascii="宋体" w:hAnsi="宋体" w:cs="宋体" w:hint="eastAsia"/>
          <w:color w:val="000000"/>
          <w:szCs w:val="21"/>
          <w:highlight w:val="none"/>
        </w:rPr>
        <w:t>4. 交货期条款为不可负偏离条款，投标文件响应为“负偏离”的，投标文件将按无效投标处理。</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5、证明资料（均为扫描件）的提供要求：如商务部分要求投标人提供证明材料或承诺须附与本表后。</w:t>
      </w:r>
    </w:p>
    <w:p>
      <w:pPr>
        <w:spacing w:line="300" w:lineRule="auto"/>
        <w:rPr>
          <w:rFonts w:ascii="宋体" w:hAnsi="宋体" w:cs="宋体"/>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hint="eastAsia"/>
          <w:b/>
          <w:bCs/>
          <w:color w:val="000000"/>
          <w:szCs w:val="21"/>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t>七、货物说明一览表</w:t>
      </w:r>
    </w:p>
    <w:p>
      <w:pPr>
        <w:spacing w:after="60" w:line="360" w:lineRule="exact"/>
        <w:ind w:firstLine="210" w:firstLineChars="100"/>
        <w:jc w:val="center"/>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2"/>
        <w:gridCol w:w="942"/>
        <w:gridCol w:w="1285"/>
        <w:gridCol w:w="1188"/>
        <w:gridCol w:w="788"/>
        <w:gridCol w:w="749"/>
        <w:gridCol w:w="762"/>
        <w:gridCol w:w="1142"/>
        <w:gridCol w:w="915"/>
        <w:gridCol w:w="1276"/>
        <w:gridCol w:w="26"/>
      </w:tblGrid>
      <w:tr>
        <w:tblPrEx>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02"/>
          <w:jc w:val="center"/>
        </w:trPr>
        <w:tc>
          <w:tcPr>
            <w:tcW w:w="8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包号</w:t>
            </w:r>
          </w:p>
        </w:tc>
        <w:tc>
          <w:tcPr>
            <w:tcW w:w="942" w:type="dxa"/>
            <w:vAlign w:val="center"/>
          </w:tcPr>
          <w:p>
            <w:pPr>
              <w:spacing w:line="300" w:lineRule="auto"/>
              <w:jc w:val="center"/>
              <w:rPr>
                <w:rFonts w:ascii="宋体" w:hAnsi="宋体" w:cs="宋体" w:hint="eastAsia"/>
                <w:color w:val="000000"/>
                <w:sz w:val="24"/>
                <w:highlight w:val="none"/>
              </w:rPr>
            </w:pPr>
            <w:r>
              <w:rPr>
                <w:rFonts w:ascii="宋体" w:hAnsi="宋体" w:cs="宋体" w:hint="eastAsia"/>
                <w:color w:val="000000"/>
                <w:sz w:val="24"/>
                <w:highlight w:val="none"/>
              </w:rPr>
              <w:t>序号</w:t>
            </w:r>
          </w:p>
        </w:tc>
        <w:tc>
          <w:tcPr>
            <w:tcW w:w="128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货物</w:t>
            </w:r>
          </w:p>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名称</w:t>
            </w:r>
          </w:p>
        </w:tc>
        <w:tc>
          <w:tcPr>
            <w:tcW w:w="11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制造商名称</w:t>
            </w:r>
          </w:p>
        </w:tc>
        <w:tc>
          <w:tcPr>
            <w:tcW w:w="7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品牌</w:t>
            </w:r>
          </w:p>
        </w:tc>
        <w:tc>
          <w:tcPr>
            <w:tcW w:w="749"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型号</w:t>
            </w:r>
          </w:p>
        </w:tc>
        <w:tc>
          <w:tcPr>
            <w:tcW w:w="76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数量</w:t>
            </w:r>
          </w:p>
        </w:tc>
        <w:tc>
          <w:tcPr>
            <w:tcW w:w="11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交货期</w:t>
            </w:r>
          </w:p>
        </w:tc>
        <w:tc>
          <w:tcPr>
            <w:tcW w:w="91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交货地点</w:t>
            </w:r>
          </w:p>
        </w:tc>
        <w:tc>
          <w:tcPr>
            <w:tcW w:w="1302" w:type="dxa"/>
            <w:gridSpan w:val="2"/>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是否属于进口产品</w:t>
            </w: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78"/>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bl>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pacing w:line="300" w:lineRule="auto"/>
        <w:rPr>
          <w:rFonts w:ascii="宋体" w:hAnsi="宋体" w:cs="宋体"/>
          <w:color w:val="000000"/>
          <w:sz w:val="24"/>
          <w:highlight w:val="none"/>
        </w:rPr>
      </w:pPr>
    </w:p>
    <w:p>
      <w:pPr>
        <w:pStyle w:val="a1"/>
        <w:ind w:firstLine="420"/>
        <w:rPr>
          <w:rFonts w:ascii="Times New Roman"/>
          <w:color w:val="000000"/>
          <w:highlight w:val="none"/>
        </w:rPr>
      </w:pPr>
    </w:p>
    <w:p>
      <w:pPr>
        <w:pStyle w:val="Heading3"/>
        <w:spacing w:before="120" w:after="120" w:line="360" w:lineRule="exact"/>
        <w:jc w:val="center"/>
        <w:rPr>
          <w:rFonts w:cs="宋体"/>
          <w:color w:val="000000"/>
          <w:szCs w:val="21"/>
          <w:highlight w:val="none"/>
        </w:rPr>
      </w:pPr>
      <w:r>
        <w:rPr>
          <w:rFonts w:cs="宋体" w:hint="eastAsia"/>
          <w:color w:val="000000"/>
          <w:szCs w:val="21"/>
          <w:highlight w:val="none"/>
        </w:rPr>
        <w:t>八、招标代理服务费承诺书</w:t>
      </w:r>
    </w:p>
    <w:p>
      <w:pPr>
        <w:spacing w:after="60" w:line="300" w:lineRule="auto"/>
        <w:rPr>
          <w:rFonts w:ascii="宋体" w:hAnsi="宋体" w:cs="宋体"/>
          <w:b/>
          <w:bCs/>
          <w:color w:val="000000"/>
          <w:sz w:val="24"/>
          <w:highlight w:val="none"/>
        </w:rPr>
      </w:pPr>
    </w:p>
    <w:p>
      <w:pPr>
        <w:spacing w:after="60" w:line="300" w:lineRule="auto"/>
        <w:rPr>
          <w:rFonts w:ascii="宋体" w:hAnsi="宋体" w:cs="宋体"/>
          <w:b/>
          <w:color w:val="000000"/>
          <w:sz w:val="24"/>
          <w:highlight w:val="none"/>
        </w:rPr>
      </w:pPr>
      <w:r>
        <w:rPr>
          <w:rFonts w:ascii="宋体" w:hAnsi="宋体" w:cs="宋体" w:hint="eastAsia"/>
          <w:b/>
          <w:bCs/>
          <w:color w:val="000000"/>
          <w:sz w:val="24"/>
          <w:highlight w:val="none"/>
        </w:rPr>
        <w:t>致：中国</w:t>
      </w:r>
      <w:r>
        <w:rPr>
          <w:rFonts w:ascii="宋体" w:hAnsi="宋体" w:cs="宋体" w:hint="eastAsia"/>
          <w:b/>
          <w:color w:val="000000"/>
          <w:sz w:val="24"/>
          <w:highlight w:val="none"/>
        </w:rPr>
        <w:t>远东国际招标有限公司</w:t>
      </w:r>
    </w:p>
    <w:p>
      <w:pPr>
        <w:widowControl/>
        <w:autoSpaceDE w:val="0"/>
        <w:autoSpaceDN w:val="0"/>
        <w:spacing w:line="360" w:lineRule="auto"/>
        <w:ind w:right="28" w:firstLine="420" w:firstLineChars="200"/>
        <w:textAlignment w:val="bottom"/>
        <w:rPr>
          <w:rFonts w:ascii="宋体" w:hAnsi="宋体" w:cs="宋体"/>
          <w:color w:val="000000"/>
          <w:szCs w:val="21"/>
          <w:highlight w:val="none"/>
        </w:rPr>
      </w:pPr>
      <w:r>
        <w:rPr>
          <w:rFonts w:ascii="宋体" w:hAnsi="宋体" w:cs="宋体" w:hint="eastAsia"/>
          <w:color w:val="000000"/>
          <w:szCs w:val="21"/>
          <w:highlight w:val="none"/>
        </w:rPr>
        <w:t>我们在贵司代理的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招标采购中若获中标，我们承诺并保证在收到“领取《中标（成交）通知书》通知”的电子邮件后5个工作日内按本项目《招标文件》的规定，以现金或电汇向贵公司指定的中国远东国际招标有限公司分公司的银行帐号一次性支付全额招标代理服务费。如有违反，我们全责承担因我方违反行为而可能引起的诚信记录、无法合规签订合同及顺利完成后续审计验收工作、经济损失赔偿等法律后果。</w:t>
      </w:r>
    </w:p>
    <w:p>
      <w:pPr>
        <w:widowControl/>
        <w:autoSpaceDE w:val="0"/>
        <w:autoSpaceDN w:val="0"/>
        <w:spacing w:line="360" w:lineRule="auto"/>
        <w:ind w:left="420" w:right="28" w:firstLine="63" w:leftChars="200" w:firstLineChars="30"/>
        <w:textAlignment w:val="bottom"/>
        <w:rPr>
          <w:rFonts w:ascii="宋体" w:hAnsi="宋体" w:cs="宋体"/>
          <w:color w:val="000000"/>
          <w:szCs w:val="21"/>
          <w:highlight w:val="none"/>
        </w:rPr>
      </w:pPr>
      <w:r>
        <w:rPr>
          <w:rFonts w:ascii="宋体" w:hAnsi="宋体" w:cs="宋体" w:hint="eastAsia"/>
          <w:color w:val="000000"/>
          <w:szCs w:val="21"/>
          <w:highlight w:val="none"/>
        </w:rPr>
        <w:t>特此承诺。</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exact"/>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p>
    <w:p>
      <w:pPr>
        <w:pStyle w:val="a1"/>
        <w:ind w:firstLine="420"/>
        <w:rPr>
          <w:rFonts w:ascii="Times New Roman"/>
          <w:color w:val="000000"/>
          <w:highlight w:val="none"/>
        </w:rPr>
      </w:pPr>
    </w:p>
    <w:p>
      <w:pPr>
        <w:pStyle w:val="a1"/>
        <w:ind w:firstLine="420"/>
        <w:rPr>
          <w:rFonts w:ascii="Times New Roman"/>
          <w:color w:val="000000"/>
          <w:highlight w:val="none"/>
        </w:rPr>
      </w:pPr>
    </w:p>
    <w:p>
      <w:pPr>
        <w:spacing w:line="300" w:lineRule="auto"/>
        <w:jc w:val="center"/>
        <w:rPr>
          <w:rFonts w:ascii="宋体" w:hAnsi="宋体" w:cs="宋体"/>
          <w:color w:val="000000"/>
          <w:highlight w:val="none"/>
        </w:rPr>
      </w:pPr>
      <w:r>
        <w:rPr>
          <w:rFonts w:ascii="宋体" w:hAnsi="宋体" w:cs="宋体" w:hint="eastAsia"/>
          <w:b/>
          <w:color w:val="000000"/>
          <w:szCs w:val="21"/>
          <w:highlight w:val="none"/>
        </w:rPr>
        <w:t>注：按要求填写，不得更改承诺内。</w:t>
      </w: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九、法定代表人证明书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同志，现任我单位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职务，为法定代表人，特此证明。</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签发日期：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有效日期：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附：代表人性别：   年龄：      身份证号码：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营业执照号码：                 经济性质：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进口物品经营许可证号码：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说明：1、法定代表人为企业事业单位、国家机关、社会团体的主要行政负责人。</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2、内容必须填写真实、清楚，涂改无效，不得转让、买卖.</w:t>
      </w:r>
    </w:p>
    <w:p>
      <w:pPr>
        <w:spacing w:line="300" w:lineRule="auto"/>
        <w:rPr>
          <w:rFonts w:ascii="宋体" w:hAnsi="宋体" w:cs="宋体"/>
          <w:b/>
          <w:color w:val="000000"/>
          <w:szCs w:val="21"/>
          <w:highlight w:val="none"/>
        </w:rPr>
      </w:pPr>
    </w:p>
    <w:p>
      <w:pPr>
        <w:spacing w:line="300" w:lineRule="auto"/>
        <w:rPr>
          <w:rFonts w:ascii="宋体" w:hAnsi="宋体" w:cs="宋体"/>
          <w:b/>
          <w:bCs/>
          <w:color w:val="000000"/>
          <w:sz w:val="24"/>
          <w:highlight w:val="none"/>
        </w:rPr>
      </w:pPr>
      <w:r>
        <w:rPr>
          <w:rFonts w:ascii="宋体" w:hAnsi="宋体" w:cs="宋体" w:hint="eastAsia"/>
          <w:b/>
          <w:color w:val="000000"/>
          <w:szCs w:val="21"/>
          <w:highlight w:val="none"/>
        </w:rPr>
        <w:t>附：要求必须提供法定代表人（负责人）身份证（境外人员无法提供身份证的，可提供护照）扫描件（正反两面）。</w:t>
      </w:r>
    </w:p>
    <w:p>
      <w:pPr>
        <w:pStyle w:val="Heading3"/>
        <w:spacing w:line="300" w:lineRule="auto"/>
        <w:jc w:val="center"/>
        <w:rPr>
          <w:rFonts w:cs="宋体"/>
          <w:color w:val="000000"/>
          <w:szCs w:val="21"/>
          <w:highlight w:val="none"/>
        </w:rPr>
      </w:pPr>
      <w:r>
        <w:rPr>
          <w:rFonts w:cs="宋体" w:hint="eastAsia"/>
          <w:color w:val="000000"/>
          <w:szCs w:val="21"/>
          <w:highlight w:val="none"/>
        </w:rPr>
        <w:t>十、投标文件签署授权委托书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本授权委托书声明：我</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系</w:t>
      </w:r>
      <w:r>
        <w:rPr>
          <w:rFonts w:ascii="宋体" w:hAnsi="宋体" w:cs="宋体" w:hint="eastAsia"/>
          <w:color w:val="000000"/>
          <w:szCs w:val="21"/>
          <w:highlight w:val="none"/>
          <w:u w:val="single"/>
        </w:rPr>
        <w:t>（投标供应商名称）</w:t>
      </w:r>
      <w:r>
        <w:rPr>
          <w:rFonts w:ascii="宋体" w:hAnsi="宋体" w:cs="宋体" w:hint="eastAsia"/>
          <w:color w:val="000000"/>
          <w:szCs w:val="21"/>
          <w:highlight w:val="none"/>
        </w:rPr>
        <w:t>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，现授权委托</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为我公司签署本项目已递交的投标文件的法定代表人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的授权委托代理人，代理人全权代表我所签署的本项目已递交的投标文件内容我均承认。</w:t>
      </w:r>
    </w:p>
    <w:p>
      <w:pPr>
        <w:pStyle w:val="NormalIndent"/>
        <w:spacing w:line="300" w:lineRule="auto"/>
        <w:rPr>
          <w:rFonts w:ascii="宋体" w:hAnsi="宋体" w:cs="宋体"/>
          <w:color w:val="000000"/>
          <w:szCs w:val="21"/>
          <w:highlight w:val="none"/>
        </w:rPr>
      </w:pPr>
      <w:r>
        <w:rPr>
          <w:rFonts w:ascii="宋体" w:hAnsi="宋体" w:cs="宋体" w:hint="eastAsia"/>
          <w:color w:val="000000"/>
          <w:szCs w:val="21"/>
          <w:highlight w:val="none"/>
        </w:rPr>
        <w:t>代理人无转委托权，特此委托。</w:t>
      </w:r>
    </w:p>
    <w:p>
      <w:pPr>
        <w:pStyle w:val="NormalIndent"/>
        <w:spacing w:line="300" w:lineRule="auto"/>
        <w:rPr>
          <w:rFonts w:ascii="宋体" w:hAnsi="宋体" w:cs="宋体"/>
          <w:color w:val="000000"/>
          <w:szCs w:val="21"/>
          <w:highlight w:val="none"/>
        </w:rPr>
      </w:pP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代理人：</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rPr>
      </w:pPr>
      <w:r>
        <w:rPr>
          <w:rFonts w:ascii="宋体" w:hAnsi="宋体" w:cs="宋体" w:hint="eastAsia"/>
          <w:color w:val="000000"/>
          <w:szCs w:val="21"/>
          <w:highlight w:val="none"/>
        </w:rPr>
        <w:t>联系电话：</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手机：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邮箱：</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身份证号码：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b/>
          <w:color w:val="000000"/>
          <w:sz w:val="32"/>
          <w:szCs w:val="32"/>
          <w:highlight w:val="none"/>
        </w:rPr>
      </w:pPr>
      <w:r>
        <w:rPr>
          <w:rFonts w:ascii="宋体" w:hAnsi="宋体" w:cs="宋体" w:hint="eastAsia"/>
          <w:color w:val="000000"/>
          <w:szCs w:val="21"/>
          <w:highlight w:val="none"/>
        </w:rPr>
        <w:t>授权委托日期：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p>
    <w:p>
      <w:pPr>
        <w:spacing w:line="300" w:lineRule="auto"/>
        <w:rPr>
          <w:rFonts w:ascii="宋体" w:hAnsi="宋体" w:cs="宋体"/>
          <w:b/>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附：要求必须提供代理人身份证（境外人员无法提供身份证的，可提供护照）扫描件（正反两面）。</w:t>
      </w:r>
    </w:p>
    <w:p>
      <w:pPr>
        <w:rPr>
          <w:rFonts w:cs="宋体"/>
          <w:color w:val="000000"/>
          <w:szCs w:val="21"/>
          <w:highlight w:val="none"/>
        </w:rPr>
      </w:pPr>
      <w:r>
        <w:rPr>
          <w:rFonts w:cs="宋体" w:hint="eastAsia"/>
          <w:color w:val="000000"/>
          <w:szCs w:val="21"/>
          <w:highlight w:val="none"/>
        </w:rPr>
        <w:br w:type="page"/>
      </w:r>
    </w:p>
    <w:p>
      <w:pPr>
        <w:pStyle w:val="Heading3"/>
        <w:spacing w:line="300" w:lineRule="auto"/>
        <w:jc w:val="center"/>
        <w:rPr>
          <w:rFonts w:cs="宋体"/>
          <w:color w:val="000000"/>
          <w:sz w:val="24"/>
          <w:szCs w:val="24"/>
          <w:highlight w:val="none"/>
        </w:rPr>
      </w:pPr>
      <w:r>
        <w:rPr>
          <w:rFonts w:cs="宋体" w:hint="eastAsia"/>
          <w:color w:val="000000"/>
          <w:szCs w:val="21"/>
          <w:highlight w:val="none"/>
        </w:rPr>
        <w:t>十一、项目实施方案</w:t>
      </w: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1、项目交货期、实施进度表</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2、相关配套措施</w:t>
      </w:r>
    </w:p>
    <w:p>
      <w:pPr>
        <w:spacing w:line="300" w:lineRule="auto"/>
        <w:rPr>
          <w:rFonts w:ascii="宋体" w:hAnsi="宋体" w:cs="宋体"/>
          <w:b/>
          <w:bCs/>
          <w:color w:val="000000"/>
          <w:sz w:val="24"/>
          <w:highlight w:val="none"/>
        </w:rPr>
      </w:pPr>
      <w:r>
        <w:rPr>
          <w:rFonts w:ascii="宋体" w:hAnsi="宋体" w:cs="宋体" w:hint="eastAsia"/>
          <w:b/>
          <w:bCs/>
          <w:color w:val="000000"/>
          <w:sz w:val="24"/>
          <w:highlight w:val="none"/>
        </w:rPr>
        <w:t>备注：该部分须与“技术保障措施”、“施工安全保障措施”、“商务需求”等部分承诺的内容相呼应，不得前后矛盾。</w:t>
      </w:r>
    </w:p>
    <w:p>
      <w:pPr>
        <w:pStyle w:val="Heading3"/>
        <w:spacing w:line="300" w:lineRule="auto"/>
        <w:jc w:val="center"/>
        <w:rPr>
          <w:rFonts w:cs="宋体"/>
          <w:color w:val="000000"/>
          <w:szCs w:val="21"/>
          <w:highlight w:val="none"/>
        </w:rPr>
      </w:pPr>
      <w:r>
        <w:rPr>
          <w:rFonts w:cs="宋体" w:hint="eastAsia"/>
          <w:color w:val="000000"/>
          <w:szCs w:val="21"/>
          <w:highlight w:val="none"/>
        </w:rPr>
        <w:t>十二、售后服务方案</w:t>
      </w:r>
    </w:p>
    <w:p>
      <w:pPr>
        <w:spacing w:line="300" w:lineRule="auto"/>
        <w:rPr>
          <w:rFonts w:ascii="宋体" w:hAnsi="宋体" w:cs="宋体"/>
          <w:color w:val="000000"/>
          <w:sz w:val="24"/>
          <w:highlight w:val="none"/>
        </w:rPr>
      </w:pP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1、保修期；</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2、故障或技术支持响应时间；</w:t>
      </w:r>
    </w:p>
    <w:p>
      <w:pPr>
        <w:spacing w:line="300" w:lineRule="auto"/>
        <w:rPr>
          <w:rFonts w:ascii="宋体" w:hAnsi="宋体" w:cs="宋体"/>
          <w:color w:val="000000"/>
          <w:sz w:val="24"/>
          <w:highlight w:val="none"/>
        </w:rPr>
      </w:pPr>
      <w:r>
        <w:rPr>
          <w:rFonts w:ascii="宋体" w:hAnsi="宋体" w:cs="宋体" w:hint="eastAsia"/>
          <w:color w:val="000000"/>
          <w:sz w:val="24"/>
          <w:highlight w:val="none"/>
        </w:rPr>
        <w:t>3、投标人承诺的其他维修维护方案、措施</w:t>
      </w:r>
    </w:p>
    <w:p>
      <w:pPr>
        <w:spacing w:line="300" w:lineRule="auto"/>
        <w:rPr>
          <w:rFonts w:ascii="宋体" w:hAnsi="宋体" w:cs="宋体"/>
          <w:color w:val="000000"/>
          <w:sz w:val="24"/>
          <w:highlight w:val="none"/>
        </w:rPr>
      </w:pPr>
      <w:r>
        <w:rPr>
          <w:rFonts w:ascii="宋体" w:hAnsi="宋体" w:cs="宋体" w:hint="eastAsia"/>
          <w:color w:val="000000"/>
          <w:sz w:val="24"/>
          <w:highlight w:val="none"/>
        </w:rPr>
        <w:t>4、质量保证及违约承诺。</w:t>
      </w:r>
    </w:p>
    <w:p>
      <w:pPr>
        <w:spacing w:line="300" w:lineRule="auto"/>
        <w:rPr>
          <w:rFonts w:ascii="宋体" w:hAnsi="宋体" w:cs="宋体"/>
          <w:b/>
          <w:color w:val="000000"/>
          <w:sz w:val="24"/>
          <w:highlight w:val="none"/>
        </w:rPr>
      </w:pPr>
      <w:r>
        <w:rPr>
          <w:rFonts w:ascii="宋体" w:hAnsi="宋体" w:cs="宋体" w:hint="eastAsia"/>
          <w:b/>
          <w:color w:val="000000"/>
          <w:sz w:val="24"/>
          <w:highlight w:val="none"/>
        </w:rPr>
        <w:t>备注：该部分须与“商务需求”承诺的内容相呼应，不得前后矛盾。</w:t>
      </w:r>
    </w:p>
    <w:p>
      <w:pPr>
        <w:spacing w:line="300" w:lineRule="auto"/>
        <w:rPr>
          <w:rFonts w:ascii="宋体" w:hAnsi="宋体" w:cs="宋体"/>
          <w:color w:val="000000"/>
          <w:highlight w:val="none"/>
        </w:rPr>
      </w:pP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十三、</w:t>
      </w:r>
      <w:r>
        <w:rPr>
          <w:rFonts w:cs="宋体"/>
          <w:color w:val="000000"/>
          <w:szCs w:val="21"/>
          <w:highlight w:val="none"/>
        </w:rPr>
        <w:t>政府采购违法行为风险知悉确认书</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本公司（单位）在投标前已充分知悉以下情形为参与政府采购活动时的重大风险事项，并承诺已对下述风险提示事项重点排查，做到严谨、诚信、依法依规参与政府采购活动。</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一、本公司（单位）已充分知悉“隐瞒真实情况，提供虚假资料”的法定情形，相关情形包括但不限于：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（一）通过转让或者租借等方式从其他单位获取资格或者资质证书投标的。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（二）由其他单位或者其他单位负责人在投标供应商编制的投标文件上加盖印章或者签字的。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（三）项目负责人或者主要技术人员不是本单位人员的。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（四）投标保证金不是从投标供应商基本账户转出的。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（五）其他隐瞒真实情况、提供虚假资料的行为。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二、本公司（单位）已充分知悉“与其他采购参加人串通投标”的法定情形，相关情形包括但不限于：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（一）投标供应商之间相互约定给予未中标的供应商利益补偿。</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（三）不同投标供应商的投标文件由同一单位或者同一人编制，或者由同一人分阶段参与编制的。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（四）不同投标供应商的投标文件或部分投标文件相互混装。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（五）不同投标供应商的投标文件内容存在非正常一致。</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（六）由同一单位工作人员为两家以上（含两家）供应商进行同一项投标活动的。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（七）不同投标人的投标报价呈规律性差异。</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（八）不同投标人的投标保证金从同一单位或者个人的账户转出。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（九）主管部门依照法律、法规认定的其他情形。</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三、本公司（单位）已充分知悉下列情形所对应的法律风险，并在投标前已对相关风险事项进行排查。</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主管部门对供应商存在“隐瞒真实情况，提供虚假资料”违法行为的认定。</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（三）对于涉及安全生产、特种作业、抢险救灾、防疫等政府采购项目，供应商实施提供虚假资料、串通投标等违法行为的，主管部门将依法从严处理。</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四、本公司（单位）已充分知悉政府采购违法、违规行为的法律后果。经查实，若投标供应商存在政府采购违法、违规行为，主管部门将依据《深圳经济特区政府采购条例》第五十七条的规定，处以</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snapToGrid w:val="0"/>
        <w:spacing w:line="360" w:lineRule="auto"/>
        <w:jc w:val="left"/>
        <w:textAlignment w:val="baseline"/>
        <w:rPr>
          <w:rFonts w:ascii="宋体" w:hAnsi="宋体"/>
          <w:color w:val="000000"/>
          <w:kern w:val="0"/>
          <w:szCs w:val="21"/>
          <w:highlight w:val="none"/>
        </w:rPr>
      </w:pPr>
    </w:p>
    <w:p>
      <w:pPr>
        <w:widowControl/>
        <w:snapToGrid w:val="0"/>
        <w:spacing w:line="360" w:lineRule="auto"/>
        <w:ind w:firstLine="420" w:firstLineChars="200"/>
        <w:jc w:val="left"/>
        <w:textAlignment w:val="baseline"/>
        <w:rPr>
          <w:rFonts w:ascii="宋体" w:hAnsi="宋体"/>
          <w:color w:val="000000"/>
          <w:kern w:val="0"/>
          <w:szCs w:val="21"/>
          <w:highlight w:val="none"/>
          <w:u w:val="double"/>
        </w:rPr>
      </w:pPr>
      <w:r>
        <w:rPr>
          <w:rFonts w:ascii="宋体" w:hAnsi="宋体"/>
          <w:color w:val="000000"/>
          <w:kern w:val="0"/>
          <w:szCs w:val="21"/>
          <w:highlight w:val="none"/>
          <w:u w:val="double"/>
        </w:rPr>
        <w:t>以下文字请投标供应商抄写并确认：“本公司（单位）已仔细阅读《政府采购违法行为风险知悉确认书》，充分知悉违法行为的法律后果，并承诺将严谨、诚信、依法依规参与政府采购活动”。</w:t>
      </w:r>
    </w:p>
    <w:p>
      <w:pPr>
        <w:widowControl/>
        <w:pBdr>
          <w:bottom w:val="single" w:sz="4" w:space="0" w:color="auto"/>
        </w:pBdr>
        <w:snapToGrid w:val="0"/>
        <w:ind w:firstLine="1890" w:firstLineChars="900"/>
        <w:jc w:val="left"/>
        <w:textAlignment w:val="baseline"/>
        <w:rPr>
          <w:rFonts w:ascii="宋体" w:hAnsi="宋体"/>
          <w:color w:val="000000"/>
          <w:kern w:val="0"/>
          <w:szCs w:val="21"/>
          <w:highlight w:val="none"/>
          <w:u w:val="single"/>
        </w:rPr>
      </w:pPr>
    </w:p>
    <w:p>
      <w:pPr>
        <w:pStyle w:val="BodyTextFirstIndent2"/>
        <w:spacing w:after="0"/>
        <w:ind w:left="0" w:leftChars="0"/>
        <w:rPr>
          <w:color w:val="000000"/>
          <w:highlight w:val="none"/>
        </w:rPr>
      </w:pPr>
      <w:r>
        <w:rPr>
          <w:rFonts w:hint="eastAsia"/>
          <w:color w:val="000000"/>
          <w:highlight w:val="none"/>
        </w:rPr>
        <w:t xml:space="preserve"> </w:t>
      </w: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pStyle w:val="BodyTextFirstIndent2"/>
        <w:rPr>
          <w:rFonts w:hint="eastAsia"/>
          <w:color w:val="000000"/>
          <w:highlight w:val="none"/>
        </w:rPr>
      </w:pP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color w:val="000000"/>
          <w:kern w:val="0"/>
          <w:szCs w:val="21"/>
          <w:highlight w:val="none"/>
          <w:u w:val="single"/>
        </w:rPr>
      </w:pPr>
      <w:r>
        <w:rPr>
          <w:rFonts w:ascii="宋体" w:hAnsi="宋体" w:hint="eastAsia"/>
          <w:color w:val="000000"/>
          <w:kern w:val="0"/>
          <w:szCs w:val="21"/>
          <w:highlight w:val="none"/>
        </w:rPr>
        <w:t>负责人/</w:t>
      </w:r>
      <w:r>
        <w:rPr>
          <w:rFonts w:ascii="宋体" w:hAnsi="宋体"/>
          <w:color w:val="000000"/>
          <w:kern w:val="0"/>
          <w:szCs w:val="21"/>
          <w:highlight w:val="none"/>
        </w:rPr>
        <w:t>投标授权代表</w:t>
      </w:r>
      <w:r>
        <w:rPr>
          <w:rFonts w:ascii="宋体" w:hAnsi="宋体" w:hint="eastAsia"/>
          <w:color w:val="000000"/>
          <w:kern w:val="0"/>
          <w:szCs w:val="21"/>
          <w:highlight w:val="none"/>
        </w:rPr>
        <w:t>签名</w:t>
      </w:r>
      <w:r>
        <w:rPr>
          <w:rFonts w:ascii="宋体" w:hAnsi="宋体"/>
          <w:color w:val="000000"/>
          <w:kern w:val="0"/>
          <w:szCs w:val="21"/>
          <w:highlight w:val="none"/>
        </w:rPr>
        <w:t>：</w:t>
      </w:r>
    </w:p>
    <w:p>
      <w:pPr>
        <w:widowControl/>
        <w:snapToGrid w:val="0"/>
        <w:spacing w:line="360" w:lineRule="auto"/>
        <w:ind w:left="5460" w:leftChars="2600"/>
        <w:jc w:val="left"/>
        <w:textAlignment w:val="baseline"/>
        <w:rPr>
          <w:rFonts w:ascii="宋体" w:hAnsi="宋体" w:hint="eastAsia"/>
          <w:color w:val="000000"/>
          <w:kern w:val="0"/>
          <w:szCs w:val="21"/>
          <w:highlight w:val="none"/>
        </w:rPr>
      </w:pPr>
      <w:r>
        <w:rPr>
          <w:rFonts w:ascii="宋体" w:hAnsi="宋体" w:hint="eastAsia"/>
          <w:color w:val="000000"/>
          <w:kern w:val="0"/>
          <w:szCs w:val="21"/>
          <w:highlight w:val="none"/>
        </w:rPr>
        <w:t>知悉人（公章）</w:t>
      </w:r>
      <w:r>
        <w:rPr>
          <w:rFonts w:ascii="宋体" w:hAnsi="宋体"/>
          <w:color w:val="000000"/>
          <w:kern w:val="0"/>
          <w:szCs w:val="21"/>
          <w:highlight w:val="none"/>
        </w:rPr>
        <w:t>：                                                    日期：</w:t>
      </w:r>
    </w:p>
    <w:p>
      <w:pPr>
        <w:pStyle w:val="BodyText"/>
        <w:rPr>
          <w:color w:val="000000"/>
          <w:highlight w:val="none"/>
        </w:rPr>
      </w:pPr>
    </w:p>
    <w:p>
      <w:pPr>
        <w:spacing w:after="120"/>
        <w:rPr>
          <w:rFonts w:ascii="宋体" w:hAnsi="宋体" w:cs="宋体" w:hint="eastAsia"/>
          <w:color w:val="000000"/>
          <w:szCs w:val="21"/>
          <w:highlight w:val="none"/>
        </w:rPr>
      </w:pPr>
    </w:p>
    <w:p>
      <w:pPr>
        <w:keepNext/>
        <w:keepLines/>
        <w:spacing w:before="120" w:after="120" w:line="360" w:lineRule="exact"/>
        <w:jc w:val="center"/>
        <w:outlineLvl w:val="2"/>
        <w:rPr>
          <w:rFonts w:ascii="宋体" w:hAnsi="宋体" w:cs="宋体"/>
          <w:b/>
          <w:bCs/>
          <w:color w:val="000000"/>
          <w:sz w:val="28"/>
          <w:szCs w:val="32"/>
          <w:highlight w:val="none"/>
        </w:rPr>
      </w:pPr>
      <w:r>
        <w:rPr>
          <w:rFonts w:ascii="宋体" w:hAnsi="宋体" w:cs="宋体" w:hint="eastAsia"/>
          <w:b/>
          <w:bCs/>
          <w:color w:val="000000"/>
          <w:sz w:val="28"/>
          <w:szCs w:val="32"/>
          <w:highlight w:val="none"/>
        </w:rPr>
        <w:t>十四、投标人联络信息</w:t>
      </w:r>
    </w:p>
    <w:p>
      <w:pPr>
        <w:spacing w:after="120"/>
        <w:rPr>
          <w:rFonts w:ascii="宋体" w:hAnsi="宋体" w:cs="宋体"/>
          <w:color w:val="000000"/>
          <w:highlight w:val="none"/>
        </w:rPr>
      </w:pPr>
      <w:r>
        <w:rPr>
          <w:rFonts w:ascii="宋体" w:hAnsi="宋体" w:cs="宋体" w:hint="eastAsia"/>
          <w:color w:val="000000"/>
          <w:highlight w:val="none"/>
        </w:rPr>
        <w:t>以下信息投标人必须真实准确填写，若因填写不实造成快递延误送达，其责任由投标人承担！</w:t>
      </w:r>
    </w:p>
    <w:p>
      <w:pPr>
        <w:spacing w:after="120"/>
        <w:rPr>
          <w:rFonts w:ascii="宋体" w:hAnsi="宋体" w:cs="宋体"/>
          <w:color w:val="000000"/>
          <w:szCs w:val="21"/>
          <w:highlight w:val="none"/>
        </w:rPr>
      </w:pPr>
      <w:r>
        <w:rPr>
          <w:rFonts w:ascii="宋体" w:hAnsi="宋体" w:cs="宋体" w:hint="eastAsia"/>
          <w:color w:val="000000"/>
          <w:szCs w:val="21"/>
          <w:highlight w:val="none"/>
        </w:rPr>
        <w:t>收件人：</w:t>
      </w:r>
    </w:p>
    <w:p>
      <w:pPr>
        <w:spacing w:after="120"/>
        <w:rPr>
          <w:rFonts w:ascii="宋体" w:hAnsi="宋体" w:cs="宋体"/>
          <w:color w:val="000000"/>
          <w:szCs w:val="21"/>
          <w:highlight w:val="none"/>
        </w:rPr>
      </w:pPr>
      <w:r>
        <w:rPr>
          <w:rFonts w:ascii="宋体" w:hAnsi="宋体" w:cs="宋体" w:hint="eastAsia"/>
          <w:color w:val="000000"/>
          <w:szCs w:val="21"/>
          <w:highlight w:val="none"/>
        </w:rPr>
        <w:t>收件人联系方式（手机号）：</w:t>
      </w:r>
    </w:p>
    <w:p>
      <w:pPr>
        <w:spacing w:after="120"/>
        <w:rPr>
          <w:rFonts w:ascii="宋体" w:hAnsi="宋体" w:cs="宋体"/>
          <w:color w:val="000000"/>
          <w:szCs w:val="21"/>
          <w:highlight w:val="none"/>
        </w:rPr>
      </w:pPr>
      <w:r>
        <w:rPr>
          <w:rFonts w:ascii="宋体" w:hAnsi="宋体" w:cs="宋体" w:hint="eastAsia"/>
          <w:color w:val="000000"/>
          <w:szCs w:val="21"/>
          <w:highlight w:val="none"/>
        </w:rPr>
        <w:t>收件人地址：</w:t>
      </w:r>
    </w:p>
    <w:p>
      <w:pPr>
        <w:spacing w:after="120"/>
        <w:rPr>
          <w:rFonts w:ascii="宋体" w:hAnsi="宋体" w:cs="宋体"/>
          <w:color w:val="000000"/>
          <w:szCs w:val="21"/>
          <w:highlight w:val="none"/>
        </w:rPr>
      </w:pPr>
      <w:r>
        <w:rPr>
          <w:rFonts w:ascii="宋体" w:hAnsi="宋体" w:cs="宋体" w:hint="eastAsia"/>
          <w:color w:val="000000"/>
          <w:szCs w:val="21"/>
          <w:highlight w:val="none"/>
        </w:rPr>
        <w:t>邮箱（E-Mail）：</w:t>
      </w:r>
    </w:p>
    <w:p>
      <w:pPr>
        <w:pStyle w:val="a1"/>
        <w:ind w:firstLine="420"/>
        <w:rPr>
          <w:rFonts w:ascii="宋体" w:hAnsi="宋体" w:cs="宋体"/>
          <w:color w:val="000000"/>
          <w:highlight w:val="none"/>
        </w:rPr>
      </w:pPr>
    </w:p>
    <w:p>
      <w:pPr>
        <w:pStyle w:val="a1"/>
        <w:ind w:firstLine="420"/>
        <w:rPr>
          <w:rFonts w:ascii="Times New Roman"/>
          <w:color w:val="000000"/>
          <w:highlight w:val="none"/>
        </w:rPr>
      </w:pPr>
    </w:p>
    <w:p>
      <w:pPr>
        <w:spacing w:line="300" w:lineRule="auto"/>
        <w:rPr>
          <w:rFonts w:ascii="宋体" w:hAnsi="宋体" w:cs="宋体"/>
          <w:color w:val="000000"/>
          <w:highlight w:val="none"/>
        </w:rPr>
      </w:pPr>
    </w:p>
    <w:p>
      <w:pPr>
        <w:pStyle w:val="Heading2"/>
        <w:spacing w:line="300" w:lineRule="auto"/>
        <w:rPr>
          <w:rFonts w:cs="宋体"/>
          <w:color w:val="000000"/>
          <w:sz w:val="28"/>
          <w:szCs w:val="21"/>
          <w:highlight w:val="none"/>
        </w:rPr>
      </w:pPr>
      <w:r>
        <w:rPr>
          <w:rFonts w:cs="宋体"/>
          <w:color w:val="000000"/>
          <w:highlight w:val="none"/>
        </w:rPr>
        <w:br w:type="page"/>
      </w:r>
      <w:r>
        <w:rPr>
          <w:rFonts w:cs="宋体" w:hint="eastAsia"/>
          <w:color w:val="000000"/>
          <w:sz w:val="28"/>
          <w:szCs w:val="21"/>
          <w:highlight w:val="none"/>
        </w:rPr>
        <w:t>第四章  合同及履约情况反馈格式</w:t>
      </w:r>
    </w:p>
    <w:p>
      <w:pPr>
        <w:pStyle w:val="Heading3"/>
        <w:spacing w:line="300" w:lineRule="auto"/>
        <w:jc w:val="center"/>
        <w:rPr>
          <w:rFonts w:cs="宋体"/>
          <w:color w:val="000000"/>
          <w:sz w:val="24"/>
          <w:highlight w:val="none"/>
        </w:rPr>
      </w:pPr>
      <w:bookmarkStart w:id="24" w:name="_Toc73517685"/>
      <w:bookmarkStart w:id="25" w:name="_Toc73521592"/>
      <w:bookmarkStart w:id="26" w:name="_Toc100052414"/>
      <w:bookmarkStart w:id="27" w:name="_Toc73518163"/>
      <w:bookmarkStart w:id="28" w:name="_Toc73521680"/>
      <w:bookmarkStart w:id="29" w:name="_Toc101074886"/>
      <w:bookmarkStart w:id="30" w:name="_Toc84303603"/>
      <w:r>
        <w:rPr>
          <w:rFonts w:cs="宋体" w:hint="eastAsia"/>
          <w:color w:val="000000"/>
          <w:sz w:val="24"/>
          <w:highlight w:val="none"/>
        </w:rPr>
        <w:t>一、合同条款</w:t>
      </w:r>
    </w:p>
    <w:p>
      <w:pPr>
        <w:spacing w:line="300" w:lineRule="auto"/>
        <w:jc w:val="center"/>
        <w:rPr>
          <w:rFonts w:ascii="宋体" w:hAnsi="宋体" w:cs="宋体"/>
          <w:color w:val="000000"/>
          <w:highlight w:val="none"/>
        </w:rPr>
      </w:pPr>
      <w:r>
        <w:rPr>
          <w:rFonts w:ascii="宋体" w:hAnsi="宋体" w:cs="宋体" w:hint="eastAsia"/>
          <w:b/>
          <w:color w:val="000000"/>
          <w:sz w:val="24"/>
          <w:highlight w:val="none"/>
        </w:rPr>
        <w:t>（仅供参考，项目具体要求以招标项目需求为准）</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甲方：</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乙方：</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根据中国远东国际招标有限公司就</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）的招标采购结果，</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单位为中标（成交）方。按照《中华人民共和国民法典》和《深圳经济特区政府采购条例》，依照采购文件和中标（成交）方的响应与承诺，经采购人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（以下简称甲方）和中标（成交）方</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（以下简称乙方）协商、确定，达成以下合同条款：</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第一条 合同标的</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乙方根据甲方需求提供下列货物：</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1、货物名称：</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2、规格：</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3、数量：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第二条 合同价款</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本合同项下总价款为人民币（大写）:</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分项价款详见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本合同总价款已包括乙方为履行本合同义务所发生的一切费用，系固定不变价格，且不随通货膨胀的影响而波动。</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第三条 权利保证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第四条 质量保证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1、乙方所提供的货物的技术规格符合招标(采购)文件规定的技术规格，货物符合中华人民共和国的设计和制造生产标准或行业标准。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3、乙方保证交货时一并提供货物的质量合格凭证或文件。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第五条 交货和验收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1、乙方应按照本合同或招（采）投标文件规定的时间和方式向甲方交付货物，交货地点由甲方指定。因交货产生的费用由乙方自行承担。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交付货物时间：</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甲方指定交货地点：</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2、乙方交付的货物应当完全符合招投标文件所规定的货物、数量、质量和规格要求。乙方提供的货物不符合招（采）投标文件和合同规定的，甲方有权拒收货物，由此引起的风险，由乙方承担。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4、甲方应当在到货后的_____个工作日内对货物进行验收；需要乙方对货物或系统进行安装调试的，甲方应在货物安装调试完毕后的_____个工作日内进行质量验收。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第六条 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1、乙方应按照国家有关法律法规规章和“三包”规定和招标文件的要求及乙方在投标文件的相关承诺提供保修及其他服务。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第七条 履约保证金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1、乙方可自主选择履约保证金方式：□现金、□非现金其它方式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2、履约保证金的缴付、退还、补偿等</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a、乙方应在签订本合同之日，向甲方或甲方指定的机构提交履约保证金_________元。</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b、如乙方未能履行合同规定的义务，甲方有权从履约保证金中取得补偿。</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c、甲方在乙方履行完毕本合同项下全部义务后______天内无息退还乙方。</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第八条 货款支付</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1、付款方式：_________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2、付款期限：_________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3、其它约定：________</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第九条 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１、甲方无正当理由拒收货物、拒付货物款的，由甲方向乙方偿付合同总价的</w:t>
      </w:r>
      <w:r>
        <w:rPr>
          <w:rFonts w:ascii="宋体" w:hAnsi="宋体" w:cs="宋体" w:hint="eastAsia"/>
          <w:color w:val="000000"/>
          <w:szCs w:val="21"/>
          <w:highlight w:val="none"/>
          <w:u w:val="single"/>
        </w:rPr>
        <w:t>xx</w:t>
      </w:r>
      <w:r>
        <w:rPr>
          <w:rFonts w:ascii="宋体" w:hAnsi="宋体" w:cs="宋体" w:hint="eastAsia"/>
          <w:color w:val="000000"/>
          <w:szCs w:val="21"/>
          <w:highlight w:val="none"/>
        </w:rPr>
        <w:t>%违约金。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２、甲方未按合同规定的期限向乙方支付货款的，每逾期1天甲方向乙方偿付欠款总额的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‰滞纳金，但累计滞纳金总额不超过欠款总额的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３、乙方逾期交付货物的，每逾期1天，乙方向甲方偿付逾期交货部分货款总额的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‰的滞纳金。如乙方逾期交货达天，甲方有权解除合同，履约保证金不予退回，同时乙方应向甲方支付合同总价</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4、乙方所交付的货物品种、型号、规格不符合合同规定的，甲方有权拒收。甲方拒收的，乙方应向甲方支付货款总额</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6、乙方未履行本合同项下的其他义务或违反其在投标文件中的相关承诺的，应按合同总价款的</w:t>
      </w:r>
      <w:r>
        <w:rPr>
          <w:rFonts w:ascii="宋体" w:hAnsi="宋体" w:cs="宋体" w:hint="eastAsia"/>
          <w:color w:val="000000"/>
          <w:szCs w:val="21"/>
          <w:highlight w:val="none"/>
          <w:u w:val="single"/>
        </w:rPr>
        <w:t>xx</w:t>
      </w:r>
      <w:r>
        <w:rPr>
          <w:rFonts w:ascii="宋体" w:hAnsi="宋体" w:cs="宋体" w:hint="eastAsia"/>
          <w:color w:val="000000"/>
          <w:szCs w:val="21"/>
          <w:highlight w:val="none"/>
        </w:rPr>
        <w:t>%向甲方承担违约责任。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第十条 合同的变更和终止</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除《中华人民共和国政府采购法》第49条、第50条规定的情形外，本合同一经签订，甲乙双方不得擅自变更、中止或终止合同。</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第十一条 争议的解决</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1、因货物的质量问题发生争议的，应当邀请国家认可的质量检测机构对货物质量进行鉴定。货物符合标准的，鉴定费由甲方承担；货物不符合质量标准的，鉴定费由乙方承担。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2、因履行本合同引起的或与本合同有关的争议，甲、乙双方应首先通过友好协商解决，如果协商不能解决争议，则向甲方所在地有管辖权的人民法院提起诉讼。</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第十二条 合同生效及其他</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1、下列文件均为本合同的组成部分：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（1）本项目招标（采购）文件、答疑及补充通知；</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（2）乙方的投标（应答）文件；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（3）本合同执行中甲乙双方共同签署的补充与修正文件。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2、本合同一式</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份，甲、乙方双方各执</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份，具有同等法律效力。本合同自双方法定代表人（或授权代表）签字并盖章之日起生效。</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甲方（采购人）：   （盖章）                     乙方（供应商）：    （盖章）</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 xml:space="preserve">法定代表人：                                    法定代表人：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委托代理人：                                    委托代理人：</w:t>
      </w:r>
    </w:p>
    <w:p>
      <w:pPr>
        <w:spacing w:line="360" w:lineRule="auto"/>
        <w:rPr>
          <w:rFonts w:ascii="宋体" w:hAnsi="宋体" w:cs="宋体"/>
          <w:b/>
          <w:color w:val="000000"/>
          <w:szCs w:val="21"/>
          <w:highlight w:val="none"/>
        </w:rPr>
      </w:pPr>
      <w:r>
        <w:rPr>
          <w:rFonts w:ascii="宋体" w:hAnsi="宋体" w:cs="宋体" w:hint="eastAsia"/>
          <w:color w:val="000000"/>
          <w:szCs w:val="21"/>
          <w:highlight w:val="none"/>
        </w:rPr>
        <w:t>日期：   年     月    日                        日期：   年     月    日</w:t>
      </w:r>
    </w:p>
    <w:p>
      <w:pPr>
        <w:pStyle w:val="NormalIndent"/>
        <w:spacing w:line="300" w:lineRule="auto"/>
        <w:rPr>
          <w:rFonts w:ascii="宋体" w:hAnsi="宋体" w:cs="宋体"/>
          <w:color w:val="000000"/>
          <w:szCs w:val="21"/>
          <w:highlight w:val="none"/>
        </w:rPr>
      </w:pPr>
      <w:bookmarkEnd w:id="24"/>
      <w:bookmarkEnd w:id="25"/>
      <w:bookmarkEnd w:id="26"/>
      <w:bookmarkEnd w:id="27"/>
      <w:bookmarkEnd w:id="28"/>
      <w:bookmarkEnd w:id="29"/>
      <w:bookmarkEnd w:id="30"/>
    </w:p>
    <w:p>
      <w:pPr>
        <w:pStyle w:val="Heading3"/>
        <w:spacing w:line="300" w:lineRule="auto"/>
        <w:jc w:val="center"/>
        <w:rPr>
          <w:rFonts w:cs="宋体"/>
          <w:color w:val="000000"/>
          <w:kern w:val="0"/>
          <w:sz w:val="24"/>
          <w:szCs w:val="24"/>
          <w:highlight w:val="none"/>
        </w:rPr>
      </w:pPr>
      <w:r>
        <w:rPr>
          <w:rFonts w:cs="宋体" w:hint="eastAsia"/>
          <w:color w:val="000000"/>
          <w:kern w:val="0"/>
          <w:sz w:val="24"/>
          <w:szCs w:val="24"/>
          <w:highlight w:val="none"/>
        </w:rPr>
        <w:br w:type="page"/>
      </w:r>
      <w:r>
        <w:rPr>
          <w:rFonts w:cs="宋体" w:hint="eastAsia"/>
          <w:color w:val="000000"/>
          <w:kern w:val="0"/>
          <w:sz w:val="24"/>
          <w:szCs w:val="24"/>
          <w:highlight w:val="none"/>
        </w:rPr>
        <w:t>二、政府采购履约情况反馈表</w:t>
      </w:r>
    </w:p>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采购人名称：                       联系人及电话：</w:t>
      </w:r>
    </w:p>
    <w:p>
      <w:pPr>
        <w:spacing w:line="300" w:lineRule="auto"/>
        <w:rPr>
          <w:rFonts w:ascii="宋体" w:hAnsi="宋体" w:cs="宋体"/>
          <w:b/>
          <w:color w:val="000000"/>
          <w:szCs w:val="21"/>
          <w:highlight w:val="none"/>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842"/>
        <w:gridCol w:w="720"/>
        <w:gridCol w:w="720"/>
        <w:gridCol w:w="2520"/>
        <w:gridCol w:w="1980"/>
        <w:gridCol w:w="2135"/>
      </w:tblGrid>
      <w:tr>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450"/>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采购项目名称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项目编号</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61"/>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中标供应商名称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供应商</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联系人及电话</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38"/>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中标金额</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合同履约时间</w:t>
            </w:r>
          </w:p>
        </w:tc>
        <w:tc>
          <w:tcPr>
            <w:tcW w:w="2135" w:type="dxa"/>
            <w:vAlign w:val="center"/>
          </w:tcPr>
          <w:p>
            <w:pPr>
              <w:spacing w:line="300" w:lineRule="auto"/>
              <w:rPr>
                <w:rFonts w:ascii="宋体" w:hAnsi="宋体" w:cs="宋体"/>
                <w:color w:val="000000"/>
                <w:szCs w:val="21"/>
                <w:highlight w:val="none"/>
              </w:rPr>
            </w:pPr>
            <w:r>
              <w:rPr>
                <w:rFonts w:ascii="宋体" w:hAnsi="宋体" w:cs="宋体" w:hint="eastAsia"/>
                <w:color w:val="000000"/>
                <w:szCs w:val="21"/>
                <w:highlight w:val="none"/>
              </w:rPr>
              <w:t>自       至</w:t>
            </w:r>
          </w:p>
        </w:tc>
      </w:tr>
      <w:tr>
        <w:tblPrEx>
          <w:tblW w:w="0" w:type="auto"/>
          <w:jc w:val="center"/>
          <w:tblLayout w:type="fixed"/>
          <w:tblCellMar>
            <w:top w:w="0" w:type="dxa"/>
            <w:left w:w="108" w:type="dxa"/>
            <w:bottom w:w="0" w:type="dxa"/>
            <w:right w:w="108" w:type="dxa"/>
          </w:tblCellMar>
          <w:tblLook w:val="0000"/>
        </w:tblPrEx>
        <w:trPr>
          <w:trHeight w:val="544"/>
          <w:jc w:val="center"/>
        </w:trPr>
        <w:tc>
          <w:tcPr>
            <w:tcW w:w="842" w:type="dxa"/>
            <w:vMerge w:val="restart"/>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履约情况评价</w:t>
            </w:r>
          </w:p>
        </w:tc>
        <w:tc>
          <w:tcPr>
            <w:tcW w:w="1440" w:type="dxa"/>
            <w:gridSpan w:val="2"/>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总体评价</w:t>
            </w:r>
          </w:p>
        </w:tc>
        <w:tc>
          <w:tcPr>
            <w:tcW w:w="6635" w:type="dxa"/>
            <w:gridSpan w:val="3"/>
            <w:tcBorders>
              <w:left w:val="single" w:sz="4" w:space="0" w:color="auto"/>
            </w:tcBorders>
            <w:vAlign w:val="center"/>
          </w:tcPr>
          <w:p>
            <w:pPr>
              <w:spacing w:line="300" w:lineRule="auto"/>
              <w:ind w:firstLine="105" w:firstLineChars="50"/>
              <w:jc w:val="center"/>
              <w:rPr>
                <w:rFonts w:ascii="宋体" w:hAnsi="宋体" w:cs="宋体"/>
                <w:color w:val="000000"/>
                <w:szCs w:val="21"/>
                <w:highlight w:val="none"/>
              </w:rPr>
            </w:pPr>
            <w:r>
              <w:rPr>
                <w:rFonts w:ascii="宋体" w:hAnsi="宋体" w:cs="宋体" w:hint="eastAsia"/>
                <w:color w:val="000000"/>
                <w:szCs w:val="21"/>
                <w:highlight w:val="none"/>
              </w:rPr>
              <w:t>□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val="restart"/>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分项评价</w:t>
            </w: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质量方面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价格方面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服务方面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时间方面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环境保护</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其他</w:t>
            </w:r>
          </w:p>
        </w:tc>
        <w:tc>
          <w:tcPr>
            <w:tcW w:w="6635" w:type="dxa"/>
            <w:gridSpan w:val="3"/>
            <w:tcBorders>
              <w:left w:val="single" w:sz="4" w:space="0" w:color="auto"/>
            </w:tcBorders>
            <w:vAlign w:val="center"/>
          </w:tcPr>
          <w:p>
            <w:pPr>
              <w:spacing w:before="120" w:beforeLines="50" w:after="120" w:afterLines="50" w:line="300" w:lineRule="auto"/>
              <w:rPr>
                <w:rFonts w:ascii="宋体" w:hAnsi="宋体" w:cs="宋体"/>
                <w:color w:val="000000"/>
                <w:szCs w:val="21"/>
                <w:highlight w:val="none"/>
                <w:u w:val="single"/>
              </w:rPr>
            </w:pPr>
            <w:r>
              <w:rPr>
                <w:rFonts w:ascii="宋体" w:hAnsi="宋体" w:cs="宋体" w:hint="eastAsia"/>
                <w:color w:val="000000"/>
                <w:szCs w:val="21"/>
                <w:highlight w:val="none"/>
              </w:rPr>
              <w:t>评价内容为：</w:t>
            </w:r>
            <w:r>
              <w:rPr>
                <w:rFonts w:ascii="宋体" w:hAnsi="宋体" w:cs="宋体" w:hint="eastAsia"/>
                <w:color w:val="000000"/>
                <w:szCs w:val="21"/>
                <w:highlight w:val="none"/>
                <w:u w:val="single"/>
              </w:rPr>
              <w:t xml:space="preserve">                    </w:t>
            </w:r>
          </w:p>
          <w:p>
            <w:pPr>
              <w:spacing w:before="120" w:beforeLines="50" w:after="120" w:afterLines="50" w:line="300" w:lineRule="auto"/>
              <w:rPr>
                <w:rFonts w:ascii="宋体" w:hAnsi="宋体" w:cs="宋体"/>
                <w:color w:val="000000"/>
                <w:szCs w:val="21"/>
                <w:highlight w:val="none"/>
              </w:rPr>
            </w:pPr>
            <w:r>
              <w:rPr>
                <w:rFonts w:ascii="宋体" w:hAnsi="宋体" w:cs="宋体" w:hint="eastAsia"/>
                <w:color w:val="000000"/>
                <w:szCs w:val="21"/>
                <w:highlight w:val="none"/>
              </w:rPr>
              <w:t>评价等级为：  □ 优       □ 良        □ 中         □ 差</w:t>
            </w:r>
          </w:p>
        </w:tc>
      </w:tr>
      <w:tr>
        <w:tblPrEx>
          <w:tblW w:w="0" w:type="auto"/>
          <w:jc w:val="center"/>
          <w:tblLayout w:type="fixed"/>
          <w:tblCellMar>
            <w:top w:w="0" w:type="dxa"/>
            <w:left w:w="108" w:type="dxa"/>
            <w:bottom w:w="0" w:type="dxa"/>
            <w:right w:w="108" w:type="dxa"/>
          </w:tblCellMar>
          <w:tblLook w:val="0000"/>
        </w:tblPrEx>
        <w:trPr>
          <w:trHeight w:val="1039"/>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具体情况说明</w:t>
            </w:r>
          </w:p>
        </w:tc>
        <w:tc>
          <w:tcPr>
            <w:tcW w:w="7355" w:type="dxa"/>
            <w:gridSpan w:val="4"/>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1498"/>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采购人意见</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（公章）</w:t>
            </w:r>
          </w:p>
        </w:tc>
        <w:tc>
          <w:tcPr>
            <w:tcW w:w="7355" w:type="dxa"/>
            <w:gridSpan w:val="4"/>
            <w:vAlign w:val="center"/>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3780" w:firstLineChars="1800"/>
              <w:rPr>
                <w:rFonts w:ascii="宋体" w:hAnsi="宋体" w:cs="宋体"/>
                <w:color w:val="000000"/>
                <w:szCs w:val="21"/>
                <w:highlight w:val="none"/>
              </w:rPr>
            </w:pPr>
          </w:p>
          <w:p>
            <w:pPr>
              <w:spacing w:line="300" w:lineRule="auto"/>
              <w:ind w:firstLine="3780" w:firstLineChars="1800"/>
              <w:rPr>
                <w:rFonts w:ascii="宋体" w:hAnsi="宋体" w:cs="宋体"/>
                <w:color w:val="000000"/>
                <w:szCs w:val="21"/>
                <w:highlight w:val="none"/>
              </w:rPr>
            </w:pPr>
            <w:r>
              <w:rPr>
                <w:rFonts w:ascii="宋体" w:hAnsi="宋体" w:cs="宋体" w:hint="eastAsia"/>
                <w:color w:val="000000"/>
                <w:szCs w:val="21"/>
                <w:highlight w:val="none"/>
              </w:rPr>
              <w:t>日期：   年   月   日</w:t>
            </w: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说明：</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1、本表为采购人向深圳市公共资源交易中心反映政府采购项目履约情况时所用；</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2、履约情况评价分为优、良、中、差四个等级，请在对应的框前打“√”，然后在“具体情况说明”一栏详细说明有关情况。</w:t>
      </w:r>
    </w:p>
    <w:p>
      <w:pPr>
        <w:spacing w:line="300" w:lineRule="auto"/>
        <w:rPr>
          <w:rFonts w:ascii="宋体" w:hAnsi="宋体" w:cs="宋体"/>
          <w:color w:val="000000"/>
          <w:szCs w:val="21"/>
          <w:highlight w:val="none"/>
        </w:rPr>
      </w:pP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br w:type="page"/>
      </w:r>
      <w:r>
        <w:rPr>
          <w:rFonts w:eastAsia="宋体" w:cs="宋体" w:hint="eastAsia"/>
          <w:color w:val="000000"/>
          <w:sz w:val="32"/>
          <w:szCs w:val="48"/>
          <w:highlight w:val="none"/>
        </w:rPr>
        <w:t>第二册  通用条款（公开招标）</w:t>
      </w:r>
    </w:p>
    <w:p>
      <w:pPr>
        <w:spacing w:before="120" w:beforeLines="50" w:after="120" w:afterLines="50"/>
        <w:jc w:val="center"/>
        <w:rPr>
          <w:b/>
          <w:color w:val="000000"/>
          <w:sz w:val="24"/>
          <w:highlight w:val="none"/>
        </w:rPr>
      </w:pPr>
      <w:r>
        <w:rPr>
          <w:rFonts w:ascii="黑体" w:hAnsi="黑体" w:cs="黑体" w:hint="eastAsia"/>
          <w:b/>
          <w:color w:val="000000"/>
          <w:sz w:val="24"/>
          <w:highlight w:val="none"/>
        </w:rPr>
        <w:t>通用条款的补充</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48"/>
        <w:gridCol w:w="2045"/>
        <w:gridCol w:w="6846"/>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328"/>
          <w:jc w:val="center"/>
        </w:trPr>
        <w:tc>
          <w:tcPr>
            <w:tcW w:w="948"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序号</w:t>
            </w:r>
          </w:p>
        </w:tc>
        <w:tc>
          <w:tcPr>
            <w:tcW w:w="2045"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内容</w:t>
            </w:r>
          </w:p>
        </w:tc>
        <w:tc>
          <w:tcPr>
            <w:tcW w:w="6846"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规定</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1</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联合体投标</w:t>
            </w:r>
          </w:p>
        </w:tc>
        <w:tc>
          <w:tcPr>
            <w:tcW w:w="6846" w:type="dxa"/>
            <w:noWrap/>
            <w:vAlign w:val="center"/>
          </w:tcPr>
          <w:p>
            <w:pPr>
              <w:rPr>
                <w:rFonts w:ascii="宋体" w:hAnsi="宋体" w:cs="宋体"/>
                <w:snapToGrid w:val="0"/>
                <w:color w:val="000000"/>
                <w:kern w:val="0"/>
                <w:szCs w:val="32"/>
                <w:highlight w:val="none"/>
                <w:u w:val="single"/>
                <w:lang w:val="zh-CN"/>
              </w:rPr>
            </w:pPr>
            <w:r>
              <w:rPr>
                <w:rFonts w:ascii="宋体" w:hAnsi="宋体" w:cs="宋体" w:hint="eastAsia"/>
                <w:snapToGrid w:val="0"/>
                <w:color w:val="000000"/>
                <w:kern w:val="0"/>
                <w:szCs w:val="32"/>
                <w:highlight w:val="none"/>
                <w:u w:val="single"/>
                <w:lang w:val="zh-CN"/>
              </w:rPr>
              <w:t>见《招标公告》中“投标人资格要求”部分的相关内容</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2</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投标有效期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u w:val="single"/>
              </w:rPr>
              <w:t>120日历天</w:t>
            </w:r>
            <w:r>
              <w:rPr>
                <w:rFonts w:ascii="宋体" w:hAnsi="宋体" w:cs="宋体" w:hint="eastAsia"/>
                <w:color w:val="000000"/>
                <w:highlight w:val="none"/>
              </w:rPr>
              <w:t>（从投标截止之日算起）</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3</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投标人的替代方案</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不允许</w:t>
            </w:r>
          </w:p>
        </w:tc>
      </w:tr>
      <w:tr>
        <w:tblPrEx>
          <w:tblW w:w="0" w:type="auto"/>
          <w:jc w:val="center"/>
          <w:tblLayout w:type="fixed"/>
          <w:tblCellMar>
            <w:top w:w="0" w:type="dxa"/>
            <w:left w:w="108" w:type="dxa"/>
            <w:bottom w:w="0" w:type="dxa"/>
            <w:right w:w="108" w:type="dxa"/>
          </w:tblCellMar>
          <w:tblLook w:val="0000"/>
        </w:tblPrEx>
        <w:trPr>
          <w:cantSplit/>
          <w:trHeight w:val="1118"/>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4</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投标文件的投递</w:t>
            </w:r>
          </w:p>
        </w:tc>
        <w:tc>
          <w:tcPr>
            <w:tcW w:w="6846" w:type="dxa"/>
            <w:noWrap/>
            <w:vAlign w:val="center"/>
          </w:tcPr>
          <w:p>
            <w:pPr>
              <w:spacing w:line="360" w:lineRule="exact"/>
              <w:rPr>
                <w:rFonts w:ascii="宋体" w:hAnsi="宋体" w:cs="宋体"/>
                <w:color w:val="000000"/>
                <w:highlight w:val="none"/>
              </w:rPr>
            </w:pPr>
            <w:r>
              <w:rPr>
                <w:rFonts w:ascii="宋体" w:hAnsi="宋体" w:cs="宋体" w:hint="eastAsia"/>
                <w:color w:val="000000"/>
                <w:highlight w:val="none"/>
              </w:rPr>
              <w:t>本项目实行网上投标，投标人必须在招标文件规定的投标截止时间前</w:t>
            </w:r>
          </w:p>
          <w:p>
            <w:pPr>
              <w:spacing w:line="360" w:lineRule="exact"/>
              <w:rPr>
                <w:rFonts w:ascii="宋体" w:hAnsi="宋体" w:cs="宋体"/>
                <w:color w:val="000000"/>
                <w:highlight w:val="none"/>
              </w:rPr>
            </w:pPr>
            <w:r>
              <w:rPr>
                <w:rStyle w:val="NormalCharacter"/>
                <w:rFonts w:ascii="宋体" w:hAnsi="宋体"/>
                <w:color w:val="000000"/>
                <w:highlight w:val="none"/>
              </w:rPr>
              <w:t>登录“深圳政府采购智慧平台用户网上办事子系统（http://zfcg.szggzy.com:8081/TPBidder/memberLogin）”，用“【我的项目】→【项目流程】→【递交投标(应答)文件】”功能点上传投标文件。本项目电子投标文件最大容量为100MB，超过此容量的文件将被拒绝</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5</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履约保证金</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签订合同时约定</w:t>
            </w:r>
          </w:p>
        </w:tc>
      </w:tr>
      <w:tr>
        <w:tblPrEx>
          <w:tblW w:w="0" w:type="auto"/>
          <w:jc w:val="center"/>
          <w:tblLayout w:type="fixed"/>
          <w:tblCellMar>
            <w:top w:w="0" w:type="dxa"/>
            <w:left w:w="108" w:type="dxa"/>
            <w:bottom w:w="0" w:type="dxa"/>
            <w:right w:w="108" w:type="dxa"/>
          </w:tblCellMar>
          <w:tblLook w:val="0000"/>
        </w:tblPrEx>
        <w:trPr>
          <w:cantSplit/>
          <w:trHeight w:val="1062"/>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6</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服务期或完工期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由于投标书编制软件设置的原因，“开标一览表”除“投标总价”外，“交货期（服务期或完工期）”、“备注”、“数量”等其他信息填写不作投标无效条款。</w:t>
            </w:r>
          </w:p>
        </w:tc>
      </w:tr>
      <w:tr>
        <w:tblPrEx>
          <w:tblW w:w="0" w:type="auto"/>
          <w:jc w:val="center"/>
          <w:tblLayout w:type="fixed"/>
          <w:tblCellMar>
            <w:top w:w="0" w:type="dxa"/>
            <w:left w:w="108" w:type="dxa"/>
            <w:bottom w:w="0" w:type="dxa"/>
            <w:right w:w="108" w:type="dxa"/>
          </w:tblCellMar>
          <w:tblLook w:val="0000"/>
        </w:tblPrEx>
        <w:trPr>
          <w:cantSplit/>
          <w:trHeight w:val="387"/>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7</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评审委员会组成</w:t>
            </w:r>
          </w:p>
        </w:tc>
        <w:tc>
          <w:tcPr>
            <w:tcW w:w="6846" w:type="dxa"/>
            <w:noWrap/>
            <w:vAlign w:val="center"/>
          </w:tcPr>
          <w:p>
            <w:pPr>
              <w:rPr>
                <w:rFonts w:ascii="宋体" w:hAnsi="宋体" w:cs="宋体"/>
                <w:color w:val="000000"/>
                <w:highlight w:val="none"/>
              </w:rPr>
            </w:pPr>
            <w:r>
              <w:rPr>
                <w:rFonts w:ascii="宋体" w:hAnsi="宋体" w:cs="宋体" w:hint="eastAsia"/>
                <w:color w:val="000000"/>
                <w:szCs w:val="21"/>
                <w:highlight w:val="none"/>
              </w:rPr>
              <w:t>评审委员会由评审专家组成，成员人数为五人或以上的单数。</w:t>
            </w:r>
          </w:p>
        </w:tc>
      </w:tr>
    </w:tbl>
    <w:p>
      <w:pPr>
        <w:spacing w:line="360" w:lineRule="exact"/>
        <w:ind w:firstLine="708" w:firstLineChars="337"/>
        <w:rPr>
          <w:rFonts w:ascii="宋体" w:hAnsi="宋体" w:cs="宋体"/>
          <w:color w:val="000000"/>
          <w:szCs w:val="21"/>
          <w:highlight w:val="none"/>
        </w:rPr>
      </w:pPr>
      <w:r>
        <w:rPr>
          <w:rFonts w:ascii="宋体" w:hAnsi="宋体" w:cs="宋体" w:hint="eastAsia"/>
          <w:color w:val="000000"/>
          <w:szCs w:val="21"/>
          <w:highlight w:val="none"/>
        </w:rPr>
        <w:t>备注：本表为通用条款相关内容的补充和明确，如与通用条款相冲突的以本表为准。</w:t>
      </w:r>
    </w:p>
    <w:p>
      <w:pPr>
        <w:keepNext/>
        <w:keepLines/>
        <w:numPr>
          <w:ilvl w:val="0"/>
          <w:numId w:val="24"/>
        </w:numPr>
        <w:tabs>
          <w:tab w:val="left" w:pos="720"/>
        </w:tabs>
        <w:adjustRightInd w:val="0"/>
        <w:spacing w:before="120" w:beforeLines="50" w:after="120" w:afterLines="50"/>
        <w:ind w:left="562" w:hanging="562"/>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总则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 通用条款说明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1.1政府采购代理机构发出招标文件通用条款版本，列出深圳市政府采购项目进行招标采购所适用的通用条款内容。如有需要，政府采购代理机构可以对通用条款增加附录或补充内容。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1.2招标文件分为第一册“专用条款”、第二册“通用条款”和第三册“相关政策”。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1.3“专用条款”是对本次采购项目的具体要求，包含投标人资格要求、招标项目需求、投标文件格式、附件等内容。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1.4“通用条款”是适用于政府采购项目的基础性条款，具有普遍性和通用性。</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1.5 “专用条款”和“通用条款”表述不一致或有冲突时，以“专用条款”为准。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2．招标说明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本项目按照《深圳经济特区政府采购条例》、《深圳经济特区政府采购条例实施细则》等规定，并参考有关法规，通过招标方式确定中标供应商。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3．定义</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招标文件中下列术语应解释为：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3.1“采购代理机构”是指中国远东国际招标有限公司；</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 xml:space="preserve">3.2“采购人”、“采购方”、“采购单位”、“买方”或“招标人”：指利用财政性资金依法进行政府采购的国家机关、事业单位、团体组织； </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3.3“投标人”、“投标方”、“投标单位”或“卖方”，即供应商，指参加投标竞争并愿意按照招标文件要求向采购人提供货物、工程或者服务的依法成立的法人、其他组织或者自然人；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3.5“日期”指公历日；</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3.6“合同”指由本次招标所产生的合同或合约文件；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3.7“电子投标文件”指利用深圳公共资源交易中心市区政府采购统一平台提供的投标书加密软件加密的投标文件,适用于网上投标；（此投标书加密软件可从</w:t>
      </w:r>
      <w:r>
        <w:rPr>
          <w:rFonts w:ascii="宋体" w:hAnsi="宋体" w:cs="宋体" w:hint="eastAsia"/>
          <w:color w:val="000000"/>
          <w:highlight w:val="none"/>
        </w:rPr>
        <w:t>http://www.szzfcg.cn/</w:t>
      </w:r>
      <w:r>
        <w:rPr>
          <w:rFonts w:ascii="宋体" w:hAnsi="宋体" w:cs="宋体" w:hint="eastAsia"/>
          <w:color w:val="000000"/>
          <w:szCs w:val="21"/>
          <w:highlight w:val="none"/>
        </w:rPr>
        <w:t>网站“相关软件”栏目中下载）；</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3.8“网上投标”指通过深圳公共资源交易中心市区政府采购统一平台上传电子投标文件；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3.9招标文件中的标题或题名仅起引导作用，而不应视为对招标文件内容的理解和解释。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 政府采购供应商责任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4.1欢迎诚信、有实力和有社会责任心的供应商参与政府采购事业。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5．投标人参加政府采购的条件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5.1投标人应在投标前到政府集中采购机构进行注册。《</w:t>
      </w:r>
      <w:r>
        <w:rPr>
          <w:color w:val="000000"/>
          <w:highlight w:val="none"/>
        </w:rPr>
        <w:fldChar w:fldCharType="begin"/>
      </w:r>
      <w:r>
        <w:rPr>
          <w:color w:val="000000"/>
          <w:highlight w:val="none"/>
        </w:rPr>
        <w:instrText xml:space="preserve"> HYPERLINK "http://www.szzfcg.cn/viewer.do?id=2455258" \t "documentViewer2455258" </w:instrText>
      </w:r>
      <w:r>
        <w:rPr>
          <w:color w:val="000000"/>
          <w:highlight w:val="none"/>
        </w:rPr>
        <w:fldChar w:fldCharType="separate"/>
      </w:r>
      <w:r>
        <w:rPr>
          <w:rFonts w:ascii="宋体" w:hAnsi="宋体" w:cs="宋体" w:hint="eastAsia"/>
          <w:color w:val="000000"/>
          <w:szCs w:val="21"/>
          <w:highlight w:val="none"/>
        </w:rPr>
        <w:t>供应商注册及电子密钥新申请指引</w:t>
      </w:r>
      <w:r>
        <w:rPr>
          <w:rFonts w:ascii="宋体" w:hAnsi="宋体" w:cs="宋体" w:hint="eastAsia"/>
          <w:color w:val="000000"/>
          <w:szCs w:val="21"/>
          <w:highlight w:val="none"/>
        </w:rPr>
        <w:fldChar w:fldCharType="end"/>
      </w:r>
      <w:r>
        <w:rPr>
          <w:rFonts w:ascii="宋体" w:hAnsi="宋体" w:cs="宋体" w:hint="eastAsia"/>
          <w:color w:val="000000"/>
          <w:szCs w:val="21"/>
          <w:highlight w:val="none"/>
        </w:rPr>
        <w:t>》详见</w:t>
      </w:r>
      <w:r>
        <w:rPr>
          <w:rFonts w:ascii="宋体" w:hAnsi="宋体" w:cs="宋体" w:hint="eastAsia"/>
          <w:color w:val="000000"/>
          <w:highlight w:val="none"/>
        </w:rPr>
        <w:t>http://www.szzfcg.cn/</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5.2投标人的资格要求</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5.2.1参加本项目的投标人应具备的资格条件详见本项目招标公告中 “投标人资格要求”的内容。</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5.2.2为采购项目提供整体设计、规范编制或者项目管理、监理、检测等服务的供应商，不得再参加该采购项目同一合同项下的其他采购活动。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kern w:val="0"/>
          <w:szCs w:val="21"/>
          <w:highlight w:val="none"/>
        </w:rPr>
        <w:t>5.2.3单位负责人为同一人或者存在直接控股、管理关系的不同供应商，不得参加同一合同项下的政府采购活动。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5.3联合体投标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5.3.1　以下有关联合体投标的条款仅适用于允许投标人组成联合体投标的项目。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5.3.2  由两个或两个以上的自然人、法人或者其他组织可以组成一个联合体，以一个供应商的身份共同投标时，应符合以下原则：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 xml:space="preserve">（1）投标联合体各方参加政府采购活动应当具备下列条件：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1、具有独立承担民事责任的能力； </w:t>
      </w:r>
    </w:p>
    <w:p>
      <w:pPr>
        <w:spacing w:line="300" w:lineRule="atLeast"/>
        <w:ind w:left="420" w:firstLine="412" w:firstLineChars="196"/>
        <w:rPr>
          <w:rFonts w:ascii="宋体" w:hAnsi="宋体" w:cs="宋体"/>
          <w:color w:val="000000"/>
          <w:highlight w:val="none"/>
        </w:rPr>
      </w:pPr>
      <w:r>
        <w:rPr>
          <w:rFonts w:ascii="宋体" w:hAnsi="宋体" w:cs="宋体" w:hint="eastAsia"/>
          <w:color w:val="000000"/>
          <w:highlight w:val="none"/>
        </w:rPr>
        <w:t xml:space="preserve">2、有良好的商业信誉和健全的财务会计制度；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3、具有履行合同所必需的设备和专业技术能力；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4、有依法缴纳税收和社会保障资金的良好记录；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5、参加政府采购活动前三年内，在经营活动中没有重大违法记录；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6、法律、行政法规规定的其他条件。 </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（2）投标联合体各方必须有一方先行注册成政府集中采购机构供应商；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（3）联合体中有同类资质的供应商按照联合体分工承担相同工作的，应当按照资质等级较低的供应商确定资质等级。</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（4）是否允许联合体参加投标，应当由采购人和采购代理机构根据项目的实际情况和潜在供应商的数量自主决定，如果决定接受联合体投标则应当在采购公告中明示。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（5）投标人的投标文件及中标后签署的合同协议对联合体各方均具法律约束力；</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（6）联合体各方应当签订共同投标协议，明确约定各方拟承担的工作和责任，并将该共同投标协议随投标文件一并递交给采购代理机构；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（7）联合体中标后，联合体各方应当共同与采购人签订合同，就中标项目向采购人承担连带责任；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highlight w:val="none"/>
        </w:rPr>
        <w:t>（9）本通用条款中“投标人”一词亦指联合体各方，专用条款另有规定或说明的除外。</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6．政策导向</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6.3供应商在中标（成交）后需要融资时可以申请政府采购订单融资。有关政府采购订单融资的业务流程、金融机构申请参考模板、合同账户变更补充协议参考模板、业务统计数据等资料和信息，可到深圳市政府采购监管网“政府采购订单融资专区”查询、下载。</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7. 本项目若涉及采购货物，则合格的货物及相应服务应满足以下要求：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7.1  必须是全新、未使用过的原装合格正品（包括零部件），如安装或配置了软件的，须为正版软件。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7.2  国产的货物及其有关服务必须符合中华人民共和国的设计、制造生产标准及行业标准。招标公告有其他要求的，亦应符合其要求。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7.6  对工期的要求：投标人在投标时对其所投项目应提交交货进度、交货计划等，在合同规定的时间内完工验收。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7.7  投标人必须承担的设备运输、安装调试、验收检测和提供设备操作说明书、图纸等其他相关及类似的义务。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8．投标费用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不论投标结果如何，投标人应承担其编制投标文件与递交投标文件所涉及的一切费用。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9．踏勘现场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9.2投标人及其人员经过采购人的允许，可以进入采购人的项目现场踏勘。若招标文件要求投标人于统一时间地点踏勘现场的，投标人应当按时前往。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9.3采购人必须通过采购代理机构向投标人提供有关现场的资料和数据。</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9.4任何人或任何组织在踏勘现场时向投标人提交的任何书面资料或口头承诺，未经采购代理机构在网上发布或书面通知，均作无效处理。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10．招标答疑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10.1招标答疑的目的是澄清、解答投标人在查阅招标文件后或现场踏勘中可能提出的与投标有关的疑问或询问。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10.2投标人如对招标文件内容有疑问，必须在招标文件规定的答疑截止时间前以网上提问形式提交至采购代理机构。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10.3采购代理机构对疑问所做出的澄清和解答，以书面答复（包括网站发布信息）为准。答疑纪要的有效性规定按照本通用条款第13.3、13.4款规定执行。</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10.5未参与招标答疑不作为否定投标人资格的理由。</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招标文件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11．招标文件的编制与组成</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11.1招标文件除以下内容外，采购代理机构在招标（或谈判）期间发出的答疑、澄清或修改等相关公告或通知内容，均是招标文件的组成部分，对投标人起约束作用；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招标文件包括下列内容：</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第一册  专用条款</w:t>
      </w:r>
    </w:p>
    <w:p>
      <w:pPr>
        <w:spacing w:line="300" w:lineRule="atLeast"/>
        <w:ind w:left="1079" w:leftChars="514"/>
        <w:rPr>
          <w:rFonts w:ascii="宋体" w:hAnsi="宋体" w:cs="宋体"/>
          <w:b/>
          <w:color w:val="000000"/>
          <w:szCs w:val="21"/>
          <w:highlight w:val="none"/>
        </w:rPr>
      </w:pPr>
      <w:r>
        <w:rPr>
          <w:rFonts w:ascii="宋体" w:hAnsi="宋体" w:cs="宋体" w:hint="eastAsia"/>
          <w:b/>
          <w:color w:val="000000"/>
          <w:szCs w:val="21"/>
          <w:highlight w:val="none"/>
        </w:rPr>
        <w:t>关键信息</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 xml:space="preserve">第三章  </w:t>
      </w:r>
      <w:r>
        <w:rPr>
          <w:rFonts w:ascii="宋体" w:hAnsi="宋体" w:cs="宋体" w:hint="eastAsia"/>
          <w:color w:val="000000"/>
          <w:highlight w:val="none"/>
        </w:rPr>
        <w:t>投标文件格式、附件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合同及履约情况反馈格式</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第二册  通用条款</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总则</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招标文件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第三章  投标文件的编制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投标文件的递交</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第五章  开标</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第六章  评标要求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第七章  评标程序及评标方法</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第八章  定标及公示</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第九章  公开招标失败的后续处理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第十章  合同的授予与备案</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第十一章  质疑处理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第十二章  招标代理服务费收费标准</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第三册  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11.3</w:t>
      </w:r>
      <w:r>
        <w:rPr>
          <w:rFonts w:ascii="宋体" w:hAnsi="宋体" w:cs="宋体" w:hint="eastAsia"/>
          <w:color w:val="000000"/>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12．招标文件的澄清</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政府集中采购机构网站公开发布方式）答复或发送给所有投标人。澄清纪要作为招标文件的组成部分，对投标人起约束作用；</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12.2对于没有提出澄清又参与了该项目投标的供应商将被视为完全认同该</w:t>
      </w:r>
      <w:r>
        <w:rPr>
          <w:rFonts w:ascii="宋体" w:hAnsi="宋体" w:cs="宋体" w:hint="eastAsia"/>
          <w:color w:val="000000"/>
          <w:highlight w:val="none"/>
        </w:rPr>
        <w:t>招标文件（含澄清纪要）</w:t>
      </w:r>
      <w:r>
        <w:rPr>
          <w:rFonts w:ascii="宋体" w:hAnsi="宋体" w:cs="宋体" w:hint="eastAsia"/>
          <w:color w:val="000000"/>
          <w:szCs w:val="21"/>
          <w:highlight w:val="none"/>
        </w:rPr>
        <w:t>，投标截止期后不再受理针对招标文件的相关质疑或投诉。</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12.3 对招标文件中描述有歧意或前后不一致的地方，评审委员会有权进行评判，但对同一条款的评判应适用于每个投标人。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13．招标文件的修改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13.1招标文件发出后，在投标截止日期前任何时候，确需要变更招标内容的，采购代理机构可主动或在解答投标人提出的澄清问题时对招标文件进行修改；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13.2招标文件的修改以书面形式（包括网站公开发布方式）发送给所有投标人，招标文件的修改内容作为招标文件的组成部分，并具有约束力。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投标文件的编制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14．投标文件的编制、语言及度量单位</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14.1  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14.2投标人必须保证投标文件所提供的全部信息和资料是真实的和正确的，并接受评审委员会对其中任何资料进一步审查的要求。投标人提交的资料将被保密，但不退还。</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人投标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14.3  投标文件须对招标文件中的内容做出实质性和完整的响应，否则其投标将被视为无效标被拒绝。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14.4 投标文件的编制可在招标文件提供的格式基础上扩展加页。需投标人自行编写的投标内容，投标人应采用简洁、清晰的文件格式。投标文件编制格式其它特殊要求详见本须知前附表。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14.5 投标人在投标文件中提供的有关证明文件（如营业执照、经营许可证、生产许可证、产品注册证、第三方检测报告、质量体系证书、荣誉证书、奖励奖项、产品说明书和样本等）等应为原件的复印件或者清晰的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14.6 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14.7 除技术规范另有规定外，投标文件使用的度量单位，均采用中华人民共和国法定计量单位。</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15．投标文件的组成</w:t>
      </w:r>
    </w:p>
    <w:p>
      <w:pPr>
        <w:spacing w:line="300" w:lineRule="atLeast"/>
        <w:ind w:firstLine="412" w:firstLineChars="196"/>
        <w:rPr>
          <w:rFonts w:ascii="宋体" w:hAnsi="宋体" w:cs="宋体"/>
          <w:b/>
          <w:color w:val="000000"/>
          <w:szCs w:val="21"/>
          <w:highlight w:val="none"/>
        </w:rPr>
      </w:pPr>
      <w:r>
        <w:rPr>
          <w:rFonts w:ascii="宋体" w:hAnsi="宋体" w:cs="宋体" w:hint="eastAsia"/>
          <w:b/>
          <w:color w:val="000000"/>
          <w:szCs w:val="21"/>
          <w:highlight w:val="none"/>
        </w:rPr>
        <w:t>具体内容请详见本项目</w:t>
      </w:r>
      <w:r>
        <w:rPr>
          <w:rFonts w:ascii="宋体" w:hAnsi="宋体" w:cs="宋体" w:hint="eastAsia"/>
          <w:b/>
          <w:bCs/>
          <w:color w:val="000000"/>
          <w:szCs w:val="21"/>
          <w:highlight w:val="none"/>
        </w:rPr>
        <w:t>招标文件第一册“专用条款”</w:t>
      </w:r>
      <w:r>
        <w:rPr>
          <w:rFonts w:ascii="宋体" w:hAnsi="宋体" w:cs="宋体" w:hint="eastAsia"/>
          <w:b/>
          <w:color w:val="000000"/>
          <w:szCs w:val="21"/>
          <w:highlight w:val="none"/>
        </w:rPr>
        <w:t>的相关内容。</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16．投标文件格式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投标文件包括本通用条款第15条中规定的内容。如招标文件提供了投标文件格式，则</w:t>
      </w:r>
      <w:r>
        <w:rPr>
          <w:rFonts w:ascii="宋体" w:hAnsi="宋体" w:cs="宋体" w:hint="eastAsia"/>
          <w:b/>
          <w:bCs/>
          <w:color w:val="000000"/>
          <w:szCs w:val="21"/>
          <w:highlight w:val="none"/>
        </w:rPr>
        <w:t>投标人提交的投标文件应毫无例外地使用招标文件所提供的相应格式</w:t>
      </w:r>
      <w:r>
        <w:rPr>
          <w:rFonts w:ascii="宋体" w:hAnsi="宋体" w:cs="宋体" w:hint="eastAsia"/>
          <w:color w:val="000000"/>
          <w:szCs w:val="21"/>
          <w:highlight w:val="none"/>
        </w:rPr>
        <w:t>（表格可以按同样格式扩展）。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17．投标货币</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本项目的投标应以人民币计。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18．证明投标文件投标技术方案的合格性和符合招标文件规定的文件要求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18.1 投标人应提交证明文件证明其投标技术方案项下的货物、工程和服务的合格性符合招标文件规定。该投标技术方案及其证明文件作为投标文件的一部分。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18.2.1主要技术指标和性能的详细说明。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18.2.2投标产品从采购人开始使用至招标文件中规定的周期内正常、连续地使用所必须的备件和专用工具清单，包括备件和专用工具的货源及现行价格。</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hAnsi="宋体" w:cs="宋体" w:hint="eastAsia"/>
          <w:color w:val="000000"/>
          <w:highlight w:val="none"/>
        </w:rPr>
        <w:t>清晰度要求能够使用电脑阅读、识别和判断</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18.3相关资料不符合18.2款要求的，评审委员会有权认定为投标技术方案不合格响应，其相关分数予以扣减或作投标无效处理。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hAnsi="宋体" w:cs="宋体" w:hint="eastAsia"/>
          <w:color w:val="000000"/>
          <w:highlight w:val="none"/>
        </w:rPr>
        <w:t>满足要求</w:t>
      </w:r>
      <w:r>
        <w:rPr>
          <w:rFonts w:ascii="宋体" w:hAnsi="宋体" w:cs="宋体" w:hint="eastAsia"/>
          <w:color w:val="000000"/>
          <w:szCs w:val="21"/>
          <w:highlight w:val="none"/>
        </w:rPr>
        <w:t>，由评审委员会来评判。</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18.5为保证公平公正，除非另有规定或说明，投标人对同一项目投标时，不得同时提供两套或两套以上的投标方案。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19．投标文件其他证明文件的要求</w:t>
      </w:r>
    </w:p>
    <w:p>
      <w:pPr>
        <w:spacing w:line="300" w:lineRule="atLeast"/>
        <w:rPr>
          <w:rFonts w:ascii="宋体" w:hAnsi="宋体" w:cs="宋体"/>
          <w:color w:val="000000"/>
          <w:szCs w:val="21"/>
          <w:highlight w:val="none"/>
        </w:rPr>
      </w:pPr>
      <w:r>
        <w:rPr>
          <w:rFonts w:ascii="宋体" w:hAnsi="宋体" w:cs="宋体" w:hint="eastAsia"/>
          <w:color w:val="000000"/>
          <w:sz w:val="24"/>
          <w:highlight w:val="none"/>
        </w:rPr>
        <w:t xml:space="preserve">    </w:t>
      </w:r>
      <w:r>
        <w:rPr>
          <w:rFonts w:ascii="宋体" w:hAnsi="宋体" w:cs="宋体" w:hint="eastAsia"/>
          <w:color w:val="000000"/>
          <w:szCs w:val="21"/>
          <w:highlight w:val="none"/>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（1）被质疑供应商未能在合理时间内提供资料原件核对，且不能合理说明的；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（2）被质疑供应商提供的资料原件与投标文件资料不一致的；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（3）被质疑供应商投标文件资料信息与在相应官方查询渠道查询到的信息不一致，且不能合理说明的。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20．投标有效期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20.1 投标有效期为从投标截止之日算起的日历天数，具体见专用条款中投标有效期的天数要求。在此期限内，所有投标文件均保持有效；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20.3 中标人的投标书有效期，截止于完成本招标文件规定的全部项目内容，并通过竣工验收及保修结束。</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 xml:space="preserve">21．关于投标保证金 </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21.1 自2019年8月15日起，深圳公共资源交易中心停止收取投标保证金和履约保证金。深圳公共资源交易中心将同时为所有注册供应商开放投标权限（因受到主管部门处罚锁定投标权限的除外）。</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21.2 咨询电话：0755-83948155。</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22．投标人的替代方案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23．投标文件的制作要求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23.1投标人应准备所投项目的电子投标文件一份。此电子投标文件须由投标人根据采购代理机构提供的后缀名为.szczf的电子招标文件、《投标书编制软件》编制【要求下载安装《投标书编辑软件》及其配套软件，使用电子密钥登录深圳市网上政府采购系统（http://www.szzfcg.cn/），然后在右侧的“相关链接”栏目中下载。在安装此软件之前，须先安装Adobe Reader 7.0以上版本】。</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23.2投标人在使用《投标书编制软件》编制投标书时须注意：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23.2.1导入《投标书编制软件》的招标文件项目编号、包号应与以此制作的投标文件项目编号、包号一致。例如，不能将甲项目A包的招标书导入《投标书编制软件》，制作乙项目B包的投标书。</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23.2.2不能用非本公司的电子密钥加密本公司的投标文件，或者用其它公司的登录用户上传本公司的投标文件。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23.2.3要求用《投标书编制软件》编制投标书的包，不能用其它方式编制投标书。编制投标文件时，电脑须连通互联网。</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23.2.4投标文件不能带病毒。采购代理机构将用专业杀毒软件对投标文件进行病毒检测，如果这两种软件均报告发现病毒，则采购代理机构认为该投标文件带病毒。</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23.2.5完整填写“投标关键信息”，如下图所示：</w:t>
      </w:r>
    </w:p>
    <w:p>
      <w:pPr>
        <w:spacing w:line="300" w:lineRule="atLeast"/>
        <w:ind w:firstLine="412" w:firstLineChars="196"/>
        <w:jc w:val="center"/>
        <w:rPr>
          <w:rFonts w:ascii="宋体" w:hAnsi="宋体" w:cs="宋体"/>
          <w:color w:val="000000"/>
          <w:highlight w:val="none"/>
        </w:rPr>
      </w:pPr>
      <w:r>
        <w:rPr>
          <w:rFonts w:ascii="宋体" w:hAnsi="宋体"/>
          <w:color w:val="000000"/>
          <w:highlight w:val="none"/>
        </w:rPr>
        <w:pict>
          <v:shape id="图片 1" o:spid="_x0000_i1026" type="#_x0000_t75" alt="说明: 图形用户界面, 应用程序&#10;&#10;描述已自动生成" style="height:198.38pt;mso-position-horizontal-relative:page;mso-position-vertical-relative:page;width:385.12pt" o:preferrelative="t" filled="f" stroked="f">
            <v:fill o:detectmouseclick="t"/>
            <v:imagedata r:id="rId14" o:title="说明: 图形用户界面, 应用程序&#10;&#10;描述已自动生成"/>
            <v:shadow color="gray"/>
            <v:path o:extrusionok="f"/>
            <o:lock v:ext="edit" aspectratio="t"/>
          </v:shape>
        </w:pic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备注：上述“开标一览表”中的“投标总价”将作为价格分计算依据；其它信息仅是对投标文件相关内容的概括性表述，不作为评审依据。</w:t>
      </w:r>
    </w:p>
    <w:p>
      <w:pPr>
        <w:spacing w:line="300" w:lineRule="atLeast"/>
        <w:rPr>
          <w:rFonts w:ascii="宋体" w:hAnsi="宋体" w:cs="宋体"/>
          <w:color w:val="000000"/>
          <w:highlight w:val="none"/>
        </w:rPr>
      </w:pPr>
      <w:r>
        <w:rPr>
          <w:rFonts w:ascii="宋体" w:hAnsi="宋体" w:cs="宋体" w:hint="eastAsia"/>
          <w:color w:val="000000"/>
          <w:highlight w:val="none"/>
        </w:rPr>
        <w:t>23.2.6投标人在编辑投标文件时，</w:t>
      </w:r>
      <w:r>
        <w:rPr>
          <w:rFonts w:ascii="宋体" w:hAnsi="宋体" w:cs="宋体" w:hint="eastAsia"/>
          <w:b/>
          <w:color w:val="000000"/>
          <w:highlight w:val="none"/>
        </w:rPr>
        <w:t>在投标文件目录中属于本节点内容的必须在本节点中填写，填写到其他节点或附件，</w:t>
      </w:r>
      <w:r>
        <w:rPr>
          <w:rFonts w:ascii="宋体" w:hAnsi="宋体" w:cs="宋体" w:hint="eastAsia"/>
          <w:color w:val="000000"/>
          <w:highlight w:val="none"/>
        </w:rPr>
        <w:t>一切后果由供应商自行承担。</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23.2.7投标书编写完成后，</w:t>
      </w:r>
      <w:r>
        <w:rPr>
          <w:rFonts w:ascii="宋体" w:hAnsi="宋体" w:cs="宋体" w:hint="eastAsia"/>
          <w:b/>
          <w:color w:val="000000"/>
          <w:highlight w:val="none"/>
        </w:rPr>
        <w:t>必须用属于投标人的电子密钥进行加密，否则视同未盖公章，将导致投标文件无效。</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23.2.9如果开标时出现网络故障、技术故障，影响了招投标活动，采购代理机构有权采取措施如延期、接受无法从网上上传的投标书等，以保障招投标活动的公开、公平和公正。</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23.3电报、电话、传真形式的投标概不接受。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23.4经投标人电子密钥加密的投标文件无须盖章或签字，</w:t>
      </w:r>
      <w:r>
        <w:rPr>
          <w:rFonts w:ascii="宋体" w:hAnsi="宋体" w:cs="宋体" w:hint="eastAsia"/>
          <w:color w:val="000000"/>
          <w:highlight w:val="none"/>
        </w:rPr>
        <w:t>专用条款另有要求的除外。</w:t>
      </w:r>
    </w:p>
    <w:p>
      <w:pPr>
        <w:spacing w:line="300" w:lineRule="atLeast"/>
        <w:ind w:firstLine="412" w:firstLineChars="196"/>
        <w:rPr>
          <w:rFonts w:ascii="宋体" w:hAnsi="宋体" w:cs="宋体"/>
          <w:color w:val="000000"/>
          <w:highlight w:val="none"/>
        </w:rPr>
      </w:pPr>
      <w:r>
        <w:rPr>
          <w:rFonts w:ascii="宋体" w:hAnsi="宋体" w:cs="宋体" w:hint="eastAsia"/>
          <w:b/>
          <w:color w:val="000000"/>
          <w:highlight w:val="none"/>
        </w:rPr>
        <w:t>23.5</w:t>
      </w:r>
      <w:r>
        <w:rPr>
          <w:rFonts w:ascii="宋体" w:hAnsi="宋体" w:cs="宋体" w:hint="eastAsia"/>
          <w:color w:val="000000"/>
          <w:highlight w:val="none"/>
        </w:rPr>
        <w:t xml:space="preserve"> 资格证明文件提供扫描件，专用条款另有要求的除外。</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投标文件的递交</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24．投标书的保密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spacing w:line="300" w:lineRule="atLeast"/>
        <w:jc w:val="center"/>
        <w:rPr>
          <w:rFonts w:ascii="宋体" w:hAnsi="宋体" w:cs="宋体"/>
          <w:color w:val="000000"/>
          <w:kern w:val="0"/>
          <w:sz w:val="24"/>
          <w:highlight w:val="none"/>
        </w:rPr>
      </w:pPr>
    </w:p>
    <w:p>
      <w:pPr>
        <w:spacing w:line="300" w:lineRule="atLeast"/>
        <w:rPr>
          <w:rFonts w:ascii="宋体" w:hAnsi="宋体" w:cs="宋体"/>
          <w:color w:val="000000"/>
          <w:sz w:val="24"/>
          <w:highlight w:val="none"/>
        </w:rPr>
      </w:pPr>
      <w:r>
        <w:rPr>
          <w:rFonts w:ascii="宋体" w:hAnsi="宋体"/>
          <w:color w:val="000000"/>
          <w:highlight w:val="none"/>
        </w:rPr>
        <w:pict>
          <v:shape id="图片 3" o:spid="_x0000_i1027" type="#_x0000_t75" alt="说明: 图形用户界面, 应用程序&#10;&#10;描述已自动生成" style="height:197.71pt;mso-position-horizontal-relative:page;mso-position-vertical-relative:page;width:383.69pt" o:preferrelative="t" filled="f" stroked="f">
            <v:fill o:detectmouseclick="t"/>
            <v:imagedata r:id="rId14" o:title="说明: 图形用户界面, 应用程序&#10;&#10;描述已自动生成"/>
            <v:shadow color="gray"/>
            <v:path o:extrusionok="f"/>
            <o:lock v:ext="edit" aspectratio="t"/>
          </v:shape>
        </w:pict>
      </w:r>
    </w:p>
    <w:p>
      <w:pPr>
        <w:widowControl/>
        <w:ind w:firstLine="412" w:firstLineChars="196"/>
        <w:jc w:val="left"/>
        <w:rPr>
          <w:rFonts w:ascii="宋体" w:hAnsi="宋体"/>
          <w:color w:val="000000"/>
          <w:kern w:val="0"/>
          <w:sz w:val="24"/>
          <w:highlight w:val="none"/>
        </w:rPr>
      </w:pPr>
      <w:r>
        <w:rPr>
          <w:rFonts w:ascii="宋体" w:hAnsi="宋体" w:hint="eastAsia"/>
          <w:color w:val="000000"/>
          <w:kern w:val="0"/>
          <w:sz w:val="24"/>
          <w:highlight w:val="none"/>
        </w:rPr>
        <w:t>在投标文件制作软件点击【生成标书】按钮进入【填写开标一览表界面】界面，在该界面填写完开标一览表信息后点击【确定】，进入投标文件生成环节。</w:t>
      </w:r>
      <w:r>
        <w:rPr>
          <w:rFonts w:ascii="宋体" w:hAnsi="宋体"/>
          <w:color w:val="000000"/>
          <w:kern w:val="0"/>
          <w:sz w:val="24"/>
          <w:highlight w:val="none"/>
        </w:rPr>
        <w:pict>
          <v:shape id="图片 4" o:spid="_x0000_i1028" type="#_x0000_t75" alt="说明: 图形用户界面&#10;&#10;描述已自动生成" style="height:195.48pt;mso-position-horizontal-relative:page;mso-position-vertical-relative:page;width:378.06pt" o:preferrelative="t" filled="f" stroked="f">
            <v:fill o:detectmouseclick="t"/>
            <v:imagedata r:id="rId15" o:title="说明: 图形用户界面&#10;&#10;描述已自动生成"/>
            <v:shadow color="gray"/>
            <v:path o:extrusionok="f"/>
            <o:lock v:ext="edit" aspectratio="t"/>
          </v:shape>
        </w:pict>
      </w:r>
    </w:p>
    <w:p>
      <w:pPr>
        <w:spacing w:line="300" w:lineRule="atLeast"/>
        <w:ind w:firstLine="420" w:firstLineChars="200"/>
        <w:jc w:val="left"/>
        <w:rPr>
          <w:rFonts w:ascii="宋体" w:hAnsi="宋体" w:cs="宋体"/>
          <w:color w:val="000000"/>
          <w:sz w:val="24"/>
          <w:highlight w:val="none"/>
        </w:rPr>
      </w:pPr>
      <w:r>
        <w:rPr>
          <w:rFonts w:ascii="宋体" w:hAnsi="宋体" w:hint="eastAsia"/>
          <w:color w:val="000000"/>
          <w:kern w:val="0"/>
          <w:sz w:val="24"/>
          <w:highlight w:val="none"/>
        </w:rPr>
        <w:t>投标文件制作软件会在投标文件生成过程中，提示用户输入密码，输入密码后对投标文件自动进行加密。</w:t>
      </w:r>
    </w:p>
    <w:p>
      <w:pPr>
        <w:spacing w:line="300" w:lineRule="atLeast"/>
        <w:rPr>
          <w:rFonts w:ascii="宋体" w:hAnsi="宋体" w:cs="宋体"/>
          <w:b/>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24.2若采购项目出现延期情况：</w:t>
      </w:r>
    </w:p>
    <w:p>
      <w:pPr>
        <w:spacing w:line="300" w:lineRule="atLeast"/>
        <w:ind w:firstLine="412" w:firstLineChars="196"/>
        <w:rPr>
          <w:rFonts w:ascii="宋体" w:hAnsi="宋体" w:cs="宋体"/>
          <w:b/>
          <w:color w:val="000000"/>
          <w:sz w:val="24"/>
          <w:highlight w:val="none"/>
        </w:rPr>
      </w:pPr>
      <w:r>
        <w:rPr>
          <w:rFonts w:ascii="宋体" w:hAnsi="宋体" w:cs="宋体" w:hint="eastAsia"/>
          <w:b/>
          <w:color w:val="000000"/>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25．投标截止日期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25.1实行网上投标，投标人必须在招标文件规定的投标截止时间前用电子密钥登录““深圳公共资源交易中心网站”，使用“我的项目→项目流程→递交投标(应答)文件→上传投标文件”功能点上传投标文件。如果没有该功能点，请用本公司的机构管理员在 “系统维护”—》“修改用户权限”中增加该功能点，如果增加不成功，请在工作日与深圳政府采购智慧平台联系。如果确有困难，多次上传均告失败，请在投标截止时间之拔打平台帮助热线电话:83938599，83948100，83938584。</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25.3投标截止时间以后不得上传投标文件。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26. 样品的递交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00" w:lineRule="atLeast"/>
        <w:ind w:firstLine="42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26.2.1</w:t>
      </w:r>
      <w:r>
        <w:rPr>
          <w:rFonts w:ascii="宋体" w:hAnsi="宋体" w:cs="宋体" w:hint="eastAsia"/>
          <w:color w:val="000000"/>
          <w:kern w:val="0"/>
          <w:szCs w:val="18"/>
          <w:highlight w:val="none"/>
        </w:rPr>
        <w:t>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投标供应商授权人需在本项目投标截止时间前，提供法定代表人证明书（盖公章）、法定代表人授权委托书（盖公章）、授权委托人身份证原件和复印件、样品清单（加盖公章），到中国远东国际招标有限公司，按采购代理机构工作人员指引进行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特别注意事项：（1）上述资料提供不齐全的，不予签到；（2）本项目投标截止时间后，不再受理签到；（3）未进行签到的，样品不予接收。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2 样品接收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 xml:space="preserve">本项目投标截止时间后进行投标样品接收。投标样品接收必须进行身份核对、样品核对、登记确认、顺序编号。 </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（1）身份核对。采购代理机构核对投标供应商授权委托人提供的“法定代表人证明书（盖公章）、法定代表人授权委托书（盖公章）、授权委托人身份证原件和复印件”。资料不齐全的，不得接收投标样品。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（2）样品核对。采购代理机构工作人员将投标样品与投标供应商提供的《样品清单》（盖公章）进行一一核对。有不一致的或损坏情况的，将要求供应商授权委托人在《样品清单》上注明。</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（3）登记确认。在完成身份核对及样品核对后，投标供应商授权委托人必须在《样品接收登记表》上登记确认。</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（4）顺序编号。采购代理机构工作人员按投标样品接收的先后顺序进行编号。</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26.3</w:t>
      </w:r>
      <w:r>
        <w:rPr>
          <w:rFonts w:ascii="宋体" w:hAnsi="宋体" w:cs="宋体" w:hint="eastAsia"/>
          <w:color w:val="000000"/>
          <w:kern w:val="0"/>
          <w:szCs w:val="18"/>
          <w:highlight w:val="none"/>
        </w:rPr>
        <w:t>采购代理机构工作人员负责组织投标样品摆样，指引供应商授权委托人将投标样品搬运到指定地点摆放、拆除包装，按要求摆放整齐。完成样品摆样后，供应商授权委托人应及时立场，不得在摆样现场滞留。</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26.4样品的退回：（1）未中标的供应商投标样品，采购代理机构工作人员将按规定进行通知，并要求供应商授权委托人在项目完成评审后的三个工作日内凭身份证及样品受理回执原件办理退回手续。（2）中标的供应商投标样品，采购代理机构工作人员将按规定进行通知，并要求采购人代表在中标通知书发放后三个工作日内凭中标通知书复印件及身份证原件办理领取手续。</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投标样品移交时，采购代理机构工作人员将再次核对供应商授权委托人或采购人代表身份、核对《样品清单》，签字确认后并取走样品。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26.5未能及时退回的样品的处理：</w:t>
      </w:r>
    </w:p>
    <w:p>
      <w:pPr>
        <w:spacing w:line="300" w:lineRule="atLeast"/>
        <w:ind w:firstLine="420"/>
        <w:rPr>
          <w:rFonts w:ascii="宋体" w:hAnsi="宋体" w:cs="宋体"/>
          <w:color w:val="000000"/>
          <w:kern w:val="0"/>
          <w:szCs w:val="18"/>
          <w:highlight w:val="none"/>
        </w:rPr>
      </w:pPr>
      <w:r>
        <w:rPr>
          <w:rFonts w:ascii="宋体" w:hAnsi="宋体" w:cs="宋体" w:hint="eastAsia"/>
          <w:color w:val="000000"/>
          <w:kern w:val="0"/>
          <w:szCs w:val="18"/>
          <w:highlight w:val="none"/>
        </w:rPr>
        <w:t>（1）未中标供应商未在规定时间内（项目完成评审后三个工作日）内取回投标样品的，视为放弃取回，采购代理机构将定期清理。</w:t>
      </w:r>
    </w:p>
    <w:p>
      <w:pPr>
        <w:spacing w:line="300" w:lineRule="atLeast"/>
        <w:ind w:firstLine="420"/>
        <w:rPr>
          <w:rFonts w:ascii="宋体" w:hAnsi="宋体" w:cs="宋体"/>
          <w:color w:val="000000"/>
          <w:szCs w:val="21"/>
          <w:highlight w:val="none"/>
        </w:rPr>
      </w:pPr>
      <w:r>
        <w:rPr>
          <w:rFonts w:ascii="宋体" w:hAnsi="宋体" w:cs="宋体" w:hint="eastAsia"/>
          <w:color w:val="000000"/>
          <w:kern w:val="0"/>
          <w:szCs w:val="18"/>
          <w:highlight w:val="none"/>
        </w:rPr>
        <w:t>（2）采购人未在规定时间内（中标通知书发放后三个工作日内）内领取中标供应商投标样品的，采购代理机构工作人员将发函或电话敦促。经敦促仍拒不领取的，将视同投标人放弃取回，采购代理机构将定期清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27．投标文件的修改和撤销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27.1投标方在提交投标文件后可对其投标文件进行修改并重新上传投标文件或在网上进行撤销投标的操作。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27.2投标截止时间以后不得修改投标文件。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27.3从投标截止期至投标人在投标书中确定的投标有效期之间的这段时间内，投标人不得撤回其投标。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27.4采购代理机构不退还投标文件，专用条款另有规定的除外。</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开标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28．开标</w:t>
      </w:r>
    </w:p>
    <w:p>
      <w:pPr>
        <w:spacing w:line="300" w:lineRule="atLeast"/>
        <w:ind w:firstLine="359" w:firstLineChars="171"/>
        <w:rPr>
          <w:rFonts w:ascii="宋体" w:hAnsi="宋体" w:cs="宋体"/>
          <w:color w:val="000000"/>
          <w:szCs w:val="21"/>
          <w:highlight w:val="none"/>
        </w:rPr>
      </w:pPr>
      <w:r>
        <w:rPr>
          <w:rFonts w:ascii="宋体" w:hAnsi="宋体" w:cs="宋体" w:hint="eastAsia"/>
          <w:color w:val="000000"/>
          <w:szCs w:val="21"/>
          <w:highlight w:val="none"/>
        </w:rPr>
        <w:t>28.1投标人可以登录“深圳公共资源交易中心网站”，在系统登录首页面即可查看开标情况。</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评标要求</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29．评审委员会组成</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29.1网上开标结束后召开评标会议，</w:t>
      </w:r>
      <w:r>
        <w:rPr>
          <w:rFonts w:ascii="宋体" w:hAnsi="宋体" w:cs="宋体" w:hint="eastAsia"/>
          <w:color w:val="000000"/>
          <w:szCs w:val="21"/>
          <w:highlight w:val="none"/>
        </w:rPr>
        <w:t>评审委员会</w:t>
      </w:r>
      <w:r>
        <w:rPr>
          <w:rFonts w:ascii="宋体" w:hAnsi="宋体" w:cs="宋体" w:hint="eastAsia"/>
          <w:color w:val="000000"/>
          <w:highlight w:val="none"/>
        </w:rPr>
        <w:t>由采购代理机构依法组建，负责评标活动。</w:t>
      </w:r>
    </w:p>
    <w:p>
      <w:pPr>
        <w:widowControl/>
        <w:shd w:val="clear" w:color="auto" w:fill="FFFFFF"/>
        <w:spacing w:before="47" w:after="206"/>
        <w:jc w:val="left"/>
        <w:rPr>
          <w:rFonts w:ascii="宋体" w:hAnsi="宋体" w:cs="宋体"/>
          <w:color w:val="000000"/>
          <w:highlight w:val="none"/>
        </w:rPr>
      </w:pPr>
      <w:r>
        <w:rPr>
          <w:rFonts w:ascii="宋体" w:hAnsi="宋体" w:cs="宋体" w:hint="eastAsia"/>
          <w:color w:val="000000"/>
          <w:highlight w:val="none"/>
        </w:rPr>
        <w:t xml:space="preserve">    评审委员会由采购人代表和评审专家组成，成员人数为五人以上的单数。评定分离项目评审专家均由评审专家组成。</w:t>
      </w:r>
    </w:p>
    <w:p>
      <w:pPr>
        <w:ind w:firstLine="412" w:firstLineChars="196"/>
        <w:rPr>
          <w:rFonts w:ascii="宋体" w:hAnsi="宋体" w:cs="宋体"/>
          <w:color w:val="000000"/>
          <w:highlight w:val="none"/>
        </w:rPr>
      </w:pPr>
      <w:r>
        <w:rPr>
          <w:rFonts w:ascii="宋体" w:hAnsi="宋体" w:cs="宋体" w:hint="eastAsia"/>
          <w:color w:val="000000"/>
          <w:highlight w:val="none"/>
        </w:rPr>
        <w:t>为保证评委人选的专业性，以及评标中的公平公正性，</w:t>
      </w:r>
      <w:r>
        <w:rPr>
          <w:rFonts w:ascii="宋体" w:hAnsi="宋体" w:cs="宋体" w:hint="eastAsia"/>
          <w:color w:val="000000"/>
          <w:szCs w:val="21"/>
          <w:highlight w:val="none"/>
        </w:rPr>
        <w:t>评审专家</w:t>
      </w:r>
      <w:r>
        <w:rPr>
          <w:rFonts w:ascii="宋体" w:hAnsi="宋体" w:cs="宋体" w:hint="eastAsia"/>
          <w:color w:val="000000"/>
          <w:highlight w:val="none"/>
        </w:rPr>
        <w:t>从深圳市财政局评标专家库中随机抽取。</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采购人代表须持本单位签发的《评标授权书》参加评标。</w:t>
      </w:r>
    </w:p>
    <w:p>
      <w:pPr>
        <w:spacing w:line="300" w:lineRule="atLeast"/>
        <w:ind w:firstLine="412" w:firstLineChars="196"/>
        <w:rPr>
          <w:rFonts w:ascii="宋体" w:hAnsi="宋体" w:cs="宋体"/>
          <w:color w:val="000000"/>
          <w:sz w:val="24"/>
          <w:highlight w:val="none"/>
        </w:rPr>
      </w:pPr>
      <w:r>
        <w:rPr>
          <w:rFonts w:ascii="宋体" w:hAnsi="宋体" w:cs="宋体" w:hint="eastAsia"/>
          <w:color w:val="000000"/>
          <w:szCs w:val="21"/>
          <w:highlight w:val="none"/>
        </w:rPr>
        <w:t>注：《评标授权书》模板可以从“政府集中采购机构网站”（https://www.szggzy.com/）采购人页面下“采购”环节“通用表格”处下载</w:t>
      </w:r>
      <w:r>
        <w:rPr>
          <w:rFonts w:ascii="宋体" w:hAnsi="宋体" w:cs="宋体" w:hint="eastAsia"/>
          <w:color w:val="000000"/>
          <w:sz w:val="24"/>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29.2评标定标应当遵循公平、公正、科学、择优的原则。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29.3评标活动依法进行，任何单位和个人不得非法干预评标过程和结果。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29.4评标过程中不允许违背评标程序或采用招标文件未载明的评标方法或评标因素进行评标。</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29.5 开标后，直到签订合同为止，凡属于对投标文件的审查、澄清、评价和比较的有关资料以及中标候选人的推荐情况、与评标有关的其他任何情况均严格保密（</w:t>
      </w:r>
      <w:r>
        <w:rPr>
          <w:rFonts w:ascii="宋体" w:hAnsi="宋体" w:cs="宋体" w:hint="eastAsia"/>
          <w:color w:val="000000"/>
          <w:highlight w:val="none"/>
        </w:rPr>
        <w:t>信息公开的内容除外</w:t>
      </w:r>
      <w:r>
        <w:rPr>
          <w:rFonts w:ascii="宋体" w:hAnsi="宋体" w:cs="宋体" w:hint="eastAsia"/>
          <w:bCs/>
          <w:color w:val="000000"/>
          <w:highlight w:val="none"/>
        </w:rPr>
        <w:t>）。</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30．向评审委员会提供的资料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30.1公开发布的招标文件，包括图纸、服务清单、答疑文件等；</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30.2其他评标必须的资料。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30.3</w:t>
      </w:r>
      <w:r>
        <w:rPr>
          <w:rFonts w:ascii="宋体" w:hAnsi="宋体" w:cs="宋体" w:hint="eastAsia"/>
          <w:color w:val="000000"/>
          <w:szCs w:val="21"/>
          <w:highlight w:val="none"/>
        </w:rPr>
        <w:t>评审委员会</w:t>
      </w:r>
      <w:r>
        <w:rPr>
          <w:rFonts w:ascii="宋体" w:hAnsi="宋体" w:cs="宋体" w:hint="eastAsia"/>
          <w:color w:val="000000"/>
          <w:highlight w:val="none"/>
        </w:rPr>
        <w:t>应当认真研究招标文件，至少应了解熟悉以下内容：</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（1）招标的目的；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（2）招标项目需求的范围和性质；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（3）招标文件规定的投标人的资格、财政预算限额、商务条款；</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（4）招标文件规定的评标程序、评标方法和评标因素；</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（5）招标文件所列示的资格性审查表及符合性审查表。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31．独立评标</w:t>
      </w:r>
    </w:p>
    <w:p>
      <w:pPr>
        <w:spacing w:line="300" w:lineRule="atLeast"/>
        <w:ind w:firstLine="412" w:firstLineChars="196"/>
        <w:rPr>
          <w:rFonts w:ascii="宋体" w:hAnsi="宋体" w:cs="宋体" w:hint="eastAsia"/>
          <w:bCs/>
          <w:color w:val="000000"/>
          <w:highlight w:val="none"/>
        </w:rPr>
      </w:pPr>
      <w:r>
        <w:rPr>
          <w:rFonts w:ascii="宋体" w:hAnsi="宋体" w:cs="宋体" w:hint="eastAsia"/>
          <w:bCs/>
          <w:color w:val="000000"/>
          <w:highlight w:val="none"/>
        </w:rPr>
        <w:t>31.1</w:t>
      </w:r>
      <w:r>
        <w:rPr>
          <w:rFonts w:ascii="宋体" w:hAnsi="宋体" w:cs="宋体" w:hint="eastAsia"/>
          <w:color w:val="000000"/>
          <w:szCs w:val="21"/>
          <w:highlight w:val="none"/>
        </w:rPr>
        <w:t>评审委员会</w:t>
      </w:r>
      <w:r>
        <w:rPr>
          <w:rFonts w:ascii="宋体" w:hAnsi="宋体" w:cs="宋体" w:hint="eastAsia"/>
          <w:bCs/>
          <w:color w:val="000000"/>
          <w:highlight w:val="none"/>
        </w:rPr>
        <w:t>成员的评标活动应当独立进行，并应遵循投标文件初审、澄清有关问题、比较与评价、确定中标供应商、编写评标报告的工作程序。</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31.2 当项目评标系统中的评审内容与招标文件内容不一致时以招标文件评审内容为准（发布更正公告的以更正公告为准）。</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评标程序及评标方法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32．投标文件初审</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300" w:lineRule="atLeast"/>
        <w:jc w:val="left"/>
        <w:rPr>
          <w:rFonts w:ascii="宋体" w:hAnsi="宋体" w:cs="宋体"/>
          <w:b/>
          <w:color w:val="000000"/>
          <w:highlight w:val="none"/>
        </w:rPr>
      </w:pPr>
      <w:r>
        <w:rPr>
          <w:rFonts w:ascii="宋体" w:hAnsi="宋体" w:cs="宋体" w:hint="eastAsia"/>
          <w:b/>
          <w:color w:val="000000"/>
          <w:highlight w:val="none"/>
        </w:rPr>
        <w:t xml:space="preserve">    32.2 投标文件初审内容请详见《资格性审查表》和《符合性审查表》部分。投标人若有一条审查不通过则按投标无效处理。评审委员会对投标单位打√为通过审查，打×为未通过审查。</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 投标文件初审中关于供应商家数的计算: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
          <w:color w:val="000000"/>
          <w:szCs w:val="21"/>
          <w:highlight w:val="none"/>
        </w:rPr>
        <w:t>评审委员会</w:t>
      </w:r>
      <w:r>
        <w:rPr>
          <w:rFonts w:ascii="宋体" w:hAnsi="宋体" w:cs="宋体" w:hint="eastAsia"/>
          <w:b/>
          <w:color w:val="000000"/>
          <w:highlight w:val="none"/>
        </w:rPr>
        <w:t>按照招标文件规定的方式确定一个投标人获得中标人推荐资格，招标文件未规定的采取随机抽取方式确定，其他同品牌投标人不作为中标候选人。</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32.3.3非单一产品采购项目，采购人应当根据采购项目技术构成、产品价格比重等合理确定核心产品，并在招标文件中载明。多家投标人提供的核心产品品牌相同的，按前两款规定处理。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32.4投标人投标文件作无效处理的情形，具体包括但不限于以下：</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32.4.1不同投标人的投标文件由同一单位或者同一个人编制，或者由同一个人分阶段参与编制；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32.4.2不同投标人委托同一单位或者个人办理投标事宜；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32.4.3不同投标人的投标文件载明的项目管理成员或者联系人员为同一人；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32.4.4不同投标人的投标文件异常一致或者投标报价呈规律性差异；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32.4.5</w:t>
      </w:r>
      <w:r>
        <w:rPr>
          <w:rFonts w:ascii="宋体" w:hAnsi="宋体" w:cs="宋体" w:hint="eastAsia"/>
          <w:b/>
          <w:color w:val="000000"/>
          <w:kern w:val="0"/>
          <w:szCs w:val="21"/>
          <w:highlight w:val="none"/>
        </w:rPr>
        <w:t>不同投标供应商的投标文件或部分投标文件相互混装</w:t>
      </w:r>
      <w:r>
        <w:rPr>
          <w:rFonts w:ascii="宋体" w:hAnsi="宋体" w:cs="宋体" w:hint="eastAsia"/>
          <w:color w:val="000000"/>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32.4.6投标供应商之间相互约定给予未中标的供应商利益补偿；</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32.4.7不同投标供应商的法定代表人、主要经营负责人、项目投标授权代表人、项目负责人、主要技术人员为同一人、属同一单位或者同一单位缴纳社会保险；</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32.4.8不同投标供应商的投标文件内容存在非正常一致；</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32.4.9在同一单位工作人员为两家以上（含两家）供应商进行同一项投标活动；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32.4.10主管部门依照法律、法规认定的其他情形。</w:t>
      </w:r>
    </w:p>
    <w:p>
      <w:pPr>
        <w:spacing w:line="300" w:lineRule="atLeast"/>
        <w:ind w:firstLine="420" w:firstLineChars="200"/>
        <w:rPr>
          <w:rFonts w:ascii="宋体" w:hAnsi="宋体" w:cs="宋体"/>
          <w:color w:val="000000"/>
          <w:highlight w:val="none"/>
        </w:rPr>
      </w:pPr>
      <w:r>
        <w:rPr>
          <w:rFonts w:ascii="宋体" w:hAnsi="宋体" w:cs="宋体" w:hint="eastAsia"/>
          <w:color w:val="000000"/>
          <w:highlight w:val="none"/>
        </w:rPr>
        <w:t>32.5对不属于《资格性审查表》和《符合性审查表》所列的其他情形，除专用条款另有规定和32.4条款所列情形外，不得作为投标无效的理由。</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33．澄清有关问题</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对于投标文件中含义不明确、同类问题表述不一致或者有明显文字和计算错误的内容，评审委员会应当以书面形式要求投标人作出必要的澄清、说明或者补正。</w:t>
      </w:r>
    </w:p>
    <w:p>
      <w:pPr>
        <w:widowControl/>
        <w:spacing w:line="300" w:lineRule="atLeast"/>
        <w:jc w:val="left"/>
        <w:textAlignment w:val="baseline"/>
        <w:rPr>
          <w:rFonts w:ascii="宋体" w:hAnsi="宋体" w:cs="宋体"/>
          <w:color w:val="000000"/>
          <w:highlight w:val="none"/>
        </w:rPr>
      </w:pPr>
      <w:r>
        <w:rPr>
          <w:rFonts w:ascii="宋体" w:hAnsi="宋体" w:cs="宋体" w:hint="eastAsia"/>
          <w:color w:val="000000"/>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根据本通用条款第34条，凡属于评审委员会在评审中发现的算术错误进行核实的修改不在此列。</w:t>
      </w:r>
    </w:p>
    <w:p>
      <w:pPr>
        <w:spacing w:line="300" w:lineRule="atLeast"/>
        <w:rPr>
          <w:rFonts w:ascii="宋体" w:hAnsi="宋体" w:cs="宋体"/>
          <w:b/>
          <w:bCs/>
          <w:color w:val="000000"/>
          <w:szCs w:val="21"/>
          <w:highlight w:val="none"/>
        </w:rPr>
      </w:pPr>
      <w:bookmarkStart w:id="31" w:name="_Toc73517673"/>
      <w:bookmarkStart w:id="32" w:name="_Toc73521669"/>
      <w:bookmarkStart w:id="33" w:name="_Toc73521581"/>
      <w:bookmarkStart w:id="34" w:name="_Toc73518151"/>
      <w:bookmarkStart w:id="35" w:name="_Toc100052400"/>
      <w:r>
        <w:rPr>
          <w:rFonts w:ascii="宋体" w:hAnsi="宋体" w:cs="宋体" w:hint="eastAsia"/>
          <w:b/>
          <w:bCs/>
          <w:color w:val="000000"/>
          <w:szCs w:val="21"/>
          <w:highlight w:val="none"/>
        </w:rPr>
        <w:t>34．错误的修正</w:t>
      </w:r>
      <w:bookmarkEnd w:id="31"/>
      <w:bookmarkEnd w:id="32"/>
      <w:bookmarkEnd w:id="33"/>
      <w:bookmarkEnd w:id="34"/>
      <w:bookmarkEnd w:id="35"/>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投标文件报价出现前后不一致的，除专用条款另有规定外，按照下列规定修正：</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34.1投标文件中开标一览表内容与投标文件中相应内容不一致的，以开标一览表为准；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34.2大写金额和小写金额不一致的，以大写金额为准；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34.3单价金额小数点或者百分比有明显错位，以开标一览表的总价为准，并修改单价；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34.4总价金额与按单价汇总金额不一致的，以单价金额计算结果为准。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34.5同时出现两种以上不一致的，按照前款规定的顺序修正。修正后的报价按照本通用条款33条的规定，经投标人确认后产生约束力，投标人不确认的，其投标无效。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35．投标文件的比较与评价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36. 实地考察、演示或设备测试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36.1在招标过程中，评审委员会有权决定是否对本项目投标人进行现场勘察或实地考察或检验有关证明材料的原件。投标人应随时做好接受检查的准备。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36.2若招标文件要求进行现场演示或设备测试的，投标人应做好相应准备。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37．评标方法</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37.1.1最低价法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37.1.2综合评分法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供应商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37.1.3定性评审法</w:t>
      </w:r>
    </w:p>
    <w:p>
      <w:pPr>
        <w:spacing w:line="300" w:lineRule="atLeast"/>
        <w:ind w:firstLine="412" w:firstLineChars="196"/>
        <w:rPr>
          <w:rFonts w:ascii="宋体" w:hAnsi="宋体" w:cs="宋体"/>
          <w:color w:val="000000"/>
          <w:highlight w:val="none"/>
        </w:rPr>
      </w:pPr>
      <w:r>
        <w:rPr>
          <w:rFonts w:ascii="宋体" w:hAnsi="宋体" w:cs="宋体" w:hint="eastAsia"/>
          <w:color w:val="000000"/>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宋体" w:hAnsi="宋体" w:cs="宋体" w:hint="eastAsia"/>
          <w:bCs/>
          <w:color w:val="000000"/>
          <w:szCs w:val="21"/>
          <w:highlight w:val="none"/>
        </w:rPr>
        <w:t xml:space="preserve">                                                                                                                                                                                                                                                                                                                                                                                                                                                                                                                                                                                                                                                                                                                                                                                                                                                                                                                                                                                                                                                                                                                                                                                                                                                                                                                                                                                                                                                                                                                                                                                                                                                                                                                                                                                                                                                                                                                                                                                                                                                                                                                                                                                                                                                                                                                                                                                                                                                                                                                                                                                                                                                                                                                                                                                                                                                                                                                                                                                                                                             </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37.2 本项目采用的评标方法见本项目招标文件第一册“专用条款”的相关内容。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37.3重新评审的情形</w:t>
      </w:r>
    </w:p>
    <w:p>
      <w:pPr>
        <w:spacing w:line="300" w:lineRule="atLeast"/>
        <w:ind w:firstLine="412" w:firstLineChars="196"/>
        <w:rPr>
          <w:rFonts w:ascii="宋体" w:hAnsi="宋体" w:cs="宋体"/>
          <w:b/>
          <w:bCs/>
          <w:color w:val="000000"/>
          <w:szCs w:val="21"/>
          <w:highlight w:val="none"/>
        </w:rPr>
      </w:pPr>
      <w:r>
        <w:rPr>
          <w:rFonts w:ascii="宋体" w:hAnsi="宋体" w:cs="宋体" w:hint="eastAsia"/>
          <w:color w:val="000000"/>
          <w:kern w:val="0"/>
          <w:szCs w:val="21"/>
          <w:highlight w:val="none"/>
        </w:rPr>
        <w:t>评标结果汇总完成后，除下列情形外，任何人不得修改评标结果：</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37.3.1分值汇总计算错误的；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37.3.2分项评分超出评分标准范围的；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37.3.3评审委员会成员对客观评审因素评分不一致的；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37.3.4经评审委员会认定评分畸高、畸低的。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37.4重新组建评审委员会的情形</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评审委员会或者其成员存在下列情形导致评标结果无效的，重新组建评审委员会进行评标，并书面报告本级财政部门：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37.4.1评审委员会组成不符合《政府采购货物和服务招标投标管理办法》规定的；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37.4.2有《政府采购货物和服务招标投标管理办法》第六十二条第一至五项情形的；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37.4.3评审委员会及其成员独立评标受到非法干预的；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37.4.4有政府采购法实施条例第七十五条规定的违法行为的。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有违法违规行为的原评审委员会成员不得参加重新组建的评审委员会。</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定标及公示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38．定标方法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38.1非评定分离项目定标方法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38.1.1评审委员会依据本项目招标文件所约定的评标方法进行评审和比较，向采购代理机构提交书面评标报告，并根据评标方法比较评价结果从优到劣进行排序，确定中标供应商及中标候选人。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38.1.2</w:t>
      </w:r>
      <w:r>
        <w:rPr>
          <w:rFonts w:ascii="宋体" w:hAnsi="宋体" w:cs="宋体" w:hint="eastAsia"/>
          <w:color w:val="000000"/>
          <w:highlight w:val="none"/>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38.1.3采</w:t>
      </w:r>
      <w:r>
        <w:rPr>
          <w:rFonts w:ascii="宋体" w:hAnsi="宋体" w:cs="宋体" w:hint="eastAsia"/>
          <w:color w:val="000000"/>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出现得分且投标报价相同的并列情况时，采取随机抽取的方式确定，具体操作办法及流程由评审委员会确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38.2.2采用“综合评分法”评审方法的项目，评审委员会按照评审结果，依照招标文件第一册关键信息的内容推荐相应数量的候选中标供应商。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38.2.3采购人应当按照自定法确定中标供应商：自定法是指采购人组织定标委员会，由定标委员会在候选中标供应商中确定中标供应商。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38.2.3.1自定法。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操作程序：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①采购代理机构自评审结束之日起2个工作日内通过系统将评审报告送交采购人。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采购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④采购人应当在公示结束后3个工作日内，通过系统将定标报告送采购代理机构备案。定标报告包括但不限于定标委员会候选人员名单、正式成员名单、定标委员会的产生过程、定标程序及定标结果等内容。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⑤采购人逾期不确定的，采购代理机构将报主管部门处理，处理期间不计入采购期间。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说明：采购人及投标供应商应按照上述方法提前做好相关准备。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38.3专用条款另有规定的，按专用条款相关要求定标。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39．编写评标报告</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40．中标公告</w:t>
      </w:r>
    </w:p>
    <w:p>
      <w:pPr>
        <w:spacing w:line="300" w:lineRule="atLeast"/>
        <w:ind w:firstLine="480"/>
        <w:rPr>
          <w:rFonts w:ascii="宋体" w:hAnsi="宋体" w:cs="宋体"/>
          <w:color w:val="000000"/>
          <w:szCs w:val="21"/>
          <w:highlight w:val="none"/>
        </w:rPr>
      </w:pPr>
      <w:r>
        <w:rPr>
          <w:rFonts w:ascii="宋体" w:hAnsi="宋体" w:cs="宋体" w:hint="eastAsia"/>
          <w:color w:val="000000"/>
          <w:szCs w:val="21"/>
          <w:highlight w:val="none"/>
        </w:rPr>
        <w:t>40.1为体现“公开、公平、公正”的原则，评标结束后，采购代理机构将在“深圳公共资源交易网（</w:t>
      </w:r>
      <w:r>
        <w:rPr>
          <w:rFonts w:ascii="宋体" w:hAnsi="宋体" w:cs="宋体"/>
          <w:color w:val="000000"/>
          <w:szCs w:val="21"/>
          <w:highlight w:val="none"/>
        </w:rPr>
        <w:t>https://www.szggzy.com/</w:t>
      </w:r>
      <w:r>
        <w:rPr>
          <w:rFonts w:ascii="宋体" w:hAnsi="宋体" w:cs="宋体" w:hint="eastAsia"/>
          <w:color w:val="000000"/>
          <w:szCs w:val="21"/>
          <w:highlight w:val="none"/>
        </w:rPr>
        <w:t>）</w:t>
      </w:r>
      <w:r>
        <w:rPr>
          <w:rFonts w:ascii="宋体" w:hAnsi="宋体" w:cs="宋体" w:hint="eastAsia"/>
          <w:color w:val="000000"/>
          <w:highlight w:val="none"/>
        </w:rPr>
        <w:t>/深圳政府采购智慧平台（http://zfcg.szggzy.com:8081/）</w:t>
      </w:r>
      <w:r>
        <w:rPr>
          <w:rFonts w:ascii="宋体" w:hAnsi="宋体" w:cs="宋体" w:hint="eastAsia"/>
          <w:color w:val="000000"/>
          <w:szCs w:val="21"/>
          <w:highlight w:val="none"/>
        </w:rPr>
        <w:t>”上发布中标结果公告。供应商如对评标结果有异议，可在发布公示日期起七个工作日内向采购代理机构提出。 监督电话：0755-83948143。若在公示期内未提出质疑，则视为认同该评标结果。</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40.2质疑投诉人应保证质疑投诉内容的真实性和可靠性，并承担相应的法律责任。</w:t>
      </w:r>
    </w:p>
    <w:p>
      <w:pPr>
        <w:spacing w:line="300" w:lineRule="atLeast"/>
        <w:ind w:firstLine="412" w:firstLineChars="196"/>
        <w:rPr>
          <w:rFonts w:ascii="宋体" w:hAnsi="宋体" w:cs="宋体"/>
          <w:color w:val="000000"/>
          <w:szCs w:val="21"/>
          <w:highlight w:val="none"/>
        </w:rPr>
      </w:pP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41．中标通知书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41.1中标公告公布以后,公示期内无有效质疑投诉,采购代理机构依据有关规定向中标人发出中标通知书。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41.2中标通知书是合同的重要组成部分。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41.3因质疑投诉或其它原因导致项目结果变更或采购终止的，采购代理机构有权吊销中标通知书或终止采购合同。</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公开招标失败的后续处理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42．公开招标失败的处理</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42.1本项目公开招标过程中若由于投标截止后</w:t>
      </w:r>
      <w:r>
        <w:rPr>
          <w:rFonts w:ascii="宋体" w:hAnsi="宋体" w:cs="宋体" w:hint="eastAsia"/>
          <w:color w:val="000000"/>
          <w:highlight w:val="none"/>
        </w:rPr>
        <w:t>实际递交投标文件的供应商数量不足、经</w:t>
      </w:r>
      <w:r>
        <w:rPr>
          <w:rFonts w:ascii="宋体" w:hAnsi="宋体" w:cs="宋体" w:hint="eastAsia"/>
          <w:color w:val="000000"/>
          <w:szCs w:val="21"/>
          <w:highlight w:val="none"/>
        </w:rPr>
        <w:t>评审委员会</w:t>
      </w:r>
      <w:r>
        <w:rPr>
          <w:rFonts w:ascii="宋体" w:hAnsi="宋体" w:cs="宋体" w:hint="eastAsia"/>
          <w:color w:val="000000"/>
          <w:highlight w:val="none"/>
        </w:rPr>
        <w:t>评审对招标文件作实质响应的供应商不足等原因造成公开招标失败，可由采购代理机构重新组织采购。</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42.2对公开招标失败的项目，评审委员会在出具该项目招标失败结论的同时，提出重新采购组织形式的建议，以及进一步完善招标文件的资格、技术、商务要求的修改建议。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42.3重新组织采购有以下两种组织形式：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（1）由采购代理机构重新组织公开招标；</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（2）根据实际情况需要向政府采购监督管理部门提出非公开招标方式申请，经政府采购监督管理部门批准，公开招标失败采购项目可转为竞争性谈判或单一来源谈判方式采购。</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42.4公开招标失败的采购项目重新组织公开招标，由采购代理机构重新按公开招标流程组织采购活动。</w:t>
      </w:r>
    </w:p>
    <w:p>
      <w:pPr>
        <w:spacing w:line="300" w:lineRule="atLeast"/>
        <w:ind w:firstLine="480"/>
        <w:rPr>
          <w:rFonts w:ascii="宋体" w:hAnsi="宋体" w:cs="宋体" w:hint="eastAsia"/>
          <w:color w:val="000000"/>
          <w:highlight w:val="none"/>
        </w:rPr>
      </w:pPr>
      <w:r>
        <w:rPr>
          <w:rFonts w:ascii="宋体" w:hAnsi="宋体" w:cs="宋体" w:hint="eastAsia"/>
          <w:color w:val="000000"/>
          <w:highlight w:val="none"/>
        </w:rPr>
        <w:t>42.5公开招标失败的采购项目经政府采购监督管理部门批准转为竞争性谈判或单一来源谈判方式采购的，按规定要求组织政府采购工作。</w:t>
      </w:r>
    </w:p>
    <w:p>
      <w:pPr>
        <w:keepNext/>
        <w:keepLines/>
        <w:numPr>
          <w:ilvl w:val="0"/>
          <w:numId w:val="24"/>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4"/>
          <w:szCs w:val="20"/>
          <w:highlight w:val="none"/>
        </w:rPr>
        <w:t>合同的授予与备案</w:t>
      </w:r>
    </w:p>
    <w:p>
      <w:pPr>
        <w:spacing w:line="300" w:lineRule="atLeast"/>
        <w:rPr>
          <w:rFonts w:ascii="宋体" w:hAnsi="宋体" w:cs="宋体"/>
          <w:b/>
          <w:bCs/>
          <w:color w:val="000000"/>
          <w:szCs w:val="21"/>
          <w:highlight w:val="none"/>
        </w:rPr>
      </w:pPr>
      <w:bookmarkStart w:id="36" w:name="_Toc73518157"/>
      <w:bookmarkStart w:id="37" w:name="_Toc73521586"/>
      <w:bookmarkStart w:id="38" w:name="_Toc73521674"/>
      <w:bookmarkStart w:id="39" w:name="_Toc73517679"/>
      <w:bookmarkStart w:id="40" w:name="_Toc100052408"/>
      <w:r>
        <w:rPr>
          <w:rFonts w:ascii="宋体" w:hAnsi="宋体" w:cs="宋体" w:hint="eastAsia"/>
          <w:b/>
          <w:bCs/>
          <w:color w:val="000000"/>
          <w:szCs w:val="21"/>
          <w:highlight w:val="none"/>
        </w:rPr>
        <w:t>43．合同授予标准</w:t>
      </w:r>
      <w:bookmarkEnd w:id="36"/>
      <w:bookmarkEnd w:id="37"/>
      <w:bookmarkEnd w:id="38"/>
      <w:bookmarkEnd w:id="39"/>
      <w:bookmarkEnd w:id="40"/>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本项目的合同将授予按本招标文件规定评审确定的中标人。</w:t>
      </w:r>
    </w:p>
    <w:p>
      <w:pPr>
        <w:spacing w:line="300" w:lineRule="atLeast"/>
        <w:rPr>
          <w:rFonts w:ascii="宋体" w:hAnsi="宋体" w:cs="宋体"/>
          <w:b/>
          <w:bCs/>
          <w:color w:val="000000"/>
          <w:szCs w:val="21"/>
          <w:highlight w:val="none"/>
        </w:rPr>
      </w:pPr>
      <w:bookmarkStart w:id="41" w:name="_Toc73518158"/>
      <w:bookmarkStart w:id="42" w:name="_Toc73521675"/>
      <w:bookmarkStart w:id="43" w:name="_Toc100052409"/>
      <w:bookmarkStart w:id="44" w:name="_Toc73517680"/>
      <w:bookmarkStart w:id="45" w:name="_Toc73521587"/>
      <w:r>
        <w:rPr>
          <w:rFonts w:ascii="宋体" w:hAnsi="宋体" w:cs="宋体" w:hint="eastAsia"/>
          <w:b/>
          <w:bCs/>
          <w:color w:val="000000"/>
          <w:szCs w:val="21"/>
          <w:highlight w:val="none"/>
        </w:rPr>
        <w:t>44．</w:t>
      </w:r>
      <w:bookmarkEnd w:id="41"/>
      <w:bookmarkEnd w:id="42"/>
      <w:bookmarkEnd w:id="43"/>
      <w:bookmarkEnd w:id="44"/>
      <w:bookmarkEnd w:id="45"/>
      <w:r>
        <w:rPr>
          <w:rFonts w:ascii="宋体" w:hAnsi="宋体" w:cs="宋体" w:hint="eastAsia"/>
          <w:b/>
          <w:bCs/>
          <w:color w:val="000000"/>
          <w:szCs w:val="21"/>
          <w:highlight w:val="none"/>
        </w:rPr>
        <w:t>接受和拒绝任何或所有投标的权力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00" w:lineRule="atLeast"/>
        <w:rPr>
          <w:rFonts w:ascii="宋体" w:hAnsi="宋体" w:cs="宋体" w:hint="eastAsia"/>
          <w:b/>
          <w:bCs/>
          <w:color w:val="000000"/>
          <w:szCs w:val="21"/>
          <w:highlight w:val="none"/>
        </w:rPr>
      </w:pPr>
      <w:bookmarkStart w:id="46" w:name="_Toc73521677"/>
      <w:bookmarkStart w:id="47" w:name="_Toc73521589"/>
      <w:bookmarkStart w:id="48" w:name="_Toc73517682"/>
      <w:bookmarkStart w:id="49" w:name="_Toc100052410"/>
      <w:bookmarkStart w:id="50" w:name="_Toc73518160"/>
      <w:r>
        <w:rPr>
          <w:rFonts w:ascii="宋体" w:hAnsi="宋体" w:cs="宋体" w:hint="eastAsia"/>
          <w:b/>
          <w:bCs/>
          <w:color w:val="000000"/>
          <w:szCs w:val="21"/>
          <w:highlight w:val="none"/>
        </w:rPr>
        <w:t>45．合同协议书的签订</w:t>
      </w:r>
      <w:bookmarkEnd w:id="46"/>
      <w:bookmarkEnd w:id="47"/>
      <w:bookmarkEnd w:id="48"/>
      <w:bookmarkEnd w:id="49"/>
      <w:bookmarkEnd w:id="50"/>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45.2中标人如不按本通用条款第45.1款的规定与采购人签订合同，</w:t>
      </w:r>
      <w:r>
        <w:rPr>
          <w:rFonts w:ascii="宋体" w:hAnsi="宋体" w:cs="宋体" w:hint="eastAsia"/>
          <w:color w:val="000000"/>
          <w:kern w:val="0"/>
          <w:szCs w:val="21"/>
          <w:highlight w:val="none"/>
        </w:rPr>
        <w:t>情节严重的，并由主管部门记入供应商诚信档案，予以通报</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45.3中标人应当按照合同约定履行义务，完成中标项目，不得将中标项目转让（转包）给他人。</w:t>
      </w:r>
    </w:p>
    <w:p>
      <w:pPr>
        <w:spacing w:line="300" w:lineRule="atLeast"/>
        <w:rPr>
          <w:rFonts w:ascii="宋体" w:hAnsi="宋体" w:cs="宋体"/>
          <w:b/>
          <w:bCs/>
          <w:color w:val="000000"/>
          <w:szCs w:val="21"/>
          <w:highlight w:val="none"/>
        </w:rPr>
      </w:pPr>
      <w:bookmarkStart w:id="51" w:name="_Toc73517683"/>
      <w:bookmarkStart w:id="52" w:name="_Toc73518161"/>
      <w:bookmarkStart w:id="53" w:name="_Toc73521590"/>
      <w:bookmarkStart w:id="54" w:name="_Toc73521678"/>
      <w:bookmarkStart w:id="55" w:name="_Toc100052411"/>
      <w:r>
        <w:rPr>
          <w:rFonts w:ascii="宋体" w:hAnsi="宋体" w:cs="宋体" w:hint="eastAsia"/>
          <w:b/>
          <w:bCs/>
          <w:color w:val="000000"/>
          <w:szCs w:val="21"/>
          <w:highlight w:val="none"/>
        </w:rPr>
        <w:t>46．履约担保</w:t>
      </w:r>
      <w:bookmarkEnd w:id="51"/>
      <w:bookmarkEnd w:id="52"/>
      <w:bookmarkEnd w:id="53"/>
      <w:bookmarkEnd w:id="54"/>
      <w:bookmarkEnd w:id="55"/>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46.1在签订项目合同的同时，中标人应按“对通用条款的补充内容”中规定的金额向采购人提交履约保证金（除现金方式外，允许供应商自主选择以支票、汇票、本票、保函等非现金方式缴纳或提交保证金）；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46.3项目服务期满之后,经验收合格后，采购人在七日内办理解除履约担保手续。</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47. 合同的备案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采购人与中标人应于合同签订之日起十日内，由采购人或委托中标人将采购合同副本抄送政府集中采购机构备案。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48. 合同的变更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合同变更事宜按《深圳市财政局 深圳市政府采购中心关于进一步加强市本级政府采购合同备案管理工作的通知》（深财购〔2019〕43号）相关规定执行。</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49. 履约抽检及情况的反馈</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49.1供应商必须诚信履约，采购人必须对采购项目实施组织履约验收。必要时，采购代理机构将对采购项目进行履约抽检评价。如未按合同履约，将按《深圳经济特区政府采购条例》第五十七条有关规定、《深圳市政府采购供应商诚信管理暂行办法》及其操作细则进行处理。</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49.2采购人和供应商应当在采购合同履行完毕三十日之内将政府采购合同履行情况和相关政府采购建议等反馈至政府集中采购机构。</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50. 宣传</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凡与政府采购活动有关的宣传或广告，若当中提及政府采购，必须事先将具体对外宣传方案报市财政委和采购代理机构，并征得其同意。对外市场宣传包括但不限于以下形式：</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a.名片、宣传册、广告标语等；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b.案例介绍、推广等；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c.工作人员向其他消费群体宣传。</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51. 供应商违法责任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（1）在采购活动中应当回避而未回避的；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（2）未按本条例规定签订、履行采购合同，造成严重后果的；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（3）隐瞒真实情况，提供虚假资料的；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（4）以非法手段排斥其他供应商参与竞争的；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（5）与其他采购参加人串通投标的；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（6）恶意投诉的；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（7）向采购项目相关人行贿或者提供其他不当利益的；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（8）阻碍、抗拒主管部门监督检查的；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（9）其他违反本条例规定的行为。</w:t>
      </w:r>
    </w:p>
    <w:p>
      <w:pPr>
        <w:keepNext/>
        <w:keepLines/>
        <w:numPr>
          <w:ilvl w:val="0"/>
          <w:numId w:val="24"/>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质疑处理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52.质疑提出与答复</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52.1提出质疑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52.2法律依据</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52.3质疑条件</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52.3.1提出质疑的供应商应当是参与所质疑项目采购活动的供应商；</w:t>
      </w:r>
    </w:p>
    <w:p>
      <w:pPr>
        <w:spacing w:line="300" w:lineRule="atLeast"/>
        <w:textAlignment w:val="center"/>
        <w:rPr>
          <w:rFonts w:ascii="宋体" w:hAnsi="宋体" w:cs="宋体"/>
          <w:color w:val="000000"/>
          <w:kern w:val="0"/>
          <w:sz w:val="17"/>
          <w:szCs w:val="17"/>
          <w:highlight w:val="none"/>
        </w:rPr>
      </w:pPr>
      <w:r>
        <w:rPr>
          <w:rFonts w:ascii="宋体" w:hAnsi="宋体" w:cs="宋体" w:hint="eastAsia"/>
          <w:color w:val="000000"/>
          <w:szCs w:val="21"/>
          <w:highlight w:val="none"/>
        </w:rPr>
        <w:t xml:space="preserve">    52.3.2</w:t>
      </w:r>
      <w:r>
        <w:rPr>
          <w:rFonts w:ascii="宋体" w:hAnsi="宋体" w:cs="宋体" w:hint="eastAsia"/>
          <w:color w:val="000000"/>
          <w:kern w:val="0"/>
          <w:sz w:val="22"/>
          <w:szCs w:val="22"/>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52.4提交材料</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质疑函、营业执照复印件、法定代表人证明。如委托代理人提交的，还需提交授权委托书及代理人身份证明。</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52.5收文部门</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采购代理机构信息和评审区管理部，地址：深圳市福田区上步南路锦峰大厦22B，质疑咨询电话：0755-83004312。</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52.6收文办理程序</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52.6.1供应商提交的质疑材料符合质疑条件的办理收文，出具收文回执；</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52.7质疑答复时限</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自收文之日起七个工作日内。</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52.8投诉</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对质疑答复不满意或者未在规定时间内答复的，提出质疑的供应商可以在答复期满后15个工作日内向深圳市财政局投诉。</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53. 质疑后续处理</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53.1供应商质疑不成立，或者成立但未对中标、成交结果构成影响的，继续开展采购活动。</w:t>
      </w:r>
    </w:p>
    <w:p>
      <w:pPr>
        <w:spacing w:line="300" w:lineRule="atLeast"/>
        <w:ind w:firstLine="420"/>
        <w:rPr>
          <w:rFonts w:ascii="宋体" w:hAnsi="宋体" w:cs="宋体"/>
          <w:color w:val="000000"/>
          <w:szCs w:val="21"/>
          <w:highlight w:val="none"/>
        </w:rPr>
      </w:pPr>
      <w:r>
        <w:rPr>
          <w:rFonts w:ascii="宋体" w:hAnsi="宋体" w:cs="宋体" w:hint="eastAsia"/>
          <w:color w:val="000000"/>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keepNext/>
        <w:keepLines/>
        <w:numPr>
          <w:ilvl w:val="0"/>
          <w:numId w:val="24"/>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招标代理服务费收费标准</w:t>
      </w:r>
    </w:p>
    <w:tbl>
      <w:tblPr>
        <w:tblStyle w:val="TableNormal"/>
        <w:tblW w:w="5004" w:type="pct"/>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tblPr>
      <w:tblGrid>
        <w:gridCol w:w="4923"/>
        <w:gridCol w:w="4855"/>
      </w:tblGrid>
      <w:tr>
        <w:tblPrEx>
          <w:tblW w:w="5004" w:type="pct"/>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lang w:val="zh-CN"/>
              </w:rPr>
              <w:pict>
                <v:line id="直线 8" o:spid="_x0000_s1029" style="mso-wrap-style:square;position:absolute;z-index:251658240" from="99pt,2.3pt" to="99.05pt,2.3pt">
                  <v:stroke linestyle="single"/>
                </v:line>
              </w:pict>
            </w:r>
            <w:r>
              <w:rPr>
                <w:rFonts w:ascii="宋体" w:hAnsi="宋体" w:cs="宋体" w:hint="eastAsia"/>
                <w:b/>
                <w:bCs/>
                <w:color w:val="000000"/>
                <w:szCs w:val="21"/>
                <w:highlight w:val="none"/>
              </w:rPr>
              <w:t>中标金额（万元）</w:t>
            </w:r>
          </w:p>
        </w:tc>
        <w:tc>
          <w:tcPr>
            <w:tcW w:w="2482" w:type="pct"/>
            <w:vAlign w:val="center"/>
          </w:tcPr>
          <w:p>
            <w:pPr>
              <w:spacing w:line="260" w:lineRule="atLeast"/>
              <w:ind w:right="-193" w:rightChars="-92"/>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货物招标费率</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100以下</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100-500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1.1%</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500-1,000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0.8%</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1,000-5,000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5,000-10,000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0.25%</w:t>
            </w:r>
          </w:p>
        </w:tc>
      </w:tr>
      <w:tr>
        <w:tblPrEx>
          <w:tblW w:w="5004" w:type="pct"/>
          <w:jc w:val="center"/>
          <w:tblCellSpacing w:w="0" w:type="dxa"/>
          <w:tblInd w:w="-10" w:type="dxa"/>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10,000-100,000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0.05%</w:t>
            </w:r>
          </w:p>
        </w:tc>
      </w:tr>
    </w:tbl>
    <w:p>
      <w:pPr>
        <w:spacing w:line="280" w:lineRule="atLeast"/>
        <w:ind w:firstLine="420" w:firstLineChars="200"/>
        <w:rPr>
          <w:rFonts w:ascii="宋体" w:hAnsi="宋体" w:cs="宋体" w:hint="eastAsia"/>
          <w:color w:val="000000"/>
          <w:highlight w:val="none"/>
        </w:rPr>
      </w:pPr>
      <w:r>
        <w:rPr>
          <w:rFonts w:ascii="宋体" w:hAnsi="宋体" w:cs="宋体" w:hint="eastAsia"/>
          <w:color w:val="000000"/>
          <w:highlight w:val="none"/>
        </w:rPr>
        <w:t>1、招标机构服务收费按差额定率累进法计算（招标代理服务费金额=中标金额*招标费率*0.8），最低收费不低于人民币伍仟元整；</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2、本次按招标文件“项目类型”中规定的类别收取招标代理服务费，招标计费标准如上。</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3、招标代理服务费缴纳至：</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开户名称：中国远东国际招标有限公司深圳分公司</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银行账号：11013651025501</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开户银行：平安银行深圳中电支行</w:t>
      </w: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t>第三册  相关政策</w:t>
      </w:r>
    </w:p>
    <w:p>
      <w:pPr>
        <w:autoSpaceDE w:val="0"/>
        <w:autoSpaceDN w:val="0"/>
        <w:adjustRightInd w:val="0"/>
        <w:jc w:val="left"/>
        <w:rPr>
          <w:rFonts w:ascii="宋体" w:hAnsi="宋体" w:cs="宋体"/>
          <w:b/>
          <w:color w:val="000000"/>
          <w:kern w:val="0"/>
          <w:sz w:val="28"/>
          <w:szCs w:val="28"/>
          <w:highlight w:val="none"/>
        </w:rPr>
      </w:pPr>
      <w:bookmarkStart w:id="56" w:name="_Toc423897870"/>
      <w:bookmarkStart w:id="57" w:name="_Toc423902167"/>
      <w:bookmarkStart w:id="58" w:name="_Toc423897875"/>
      <w:bookmarkStart w:id="59" w:name="_Toc423902169"/>
      <w:r>
        <w:rPr>
          <w:rFonts w:ascii="宋体" w:hAnsi="宋体" w:cs="宋体" w:hint="eastAsia"/>
          <w:color w:val="000000"/>
          <w:kern w:val="0"/>
          <w:sz w:val="28"/>
          <w:szCs w:val="28"/>
          <w:highlight w:val="none"/>
        </w:rPr>
        <w:t xml:space="preserve">  </w:t>
      </w:r>
      <w:r>
        <w:rPr>
          <w:rFonts w:ascii="宋体" w:hAnsi="宋体" w:cs="宋体" w:hint="eastAsia"/>
          <w:b/>
          <w:color w:val="000000"/>
          <w:kern w:val="0"/>
          <w:sz w:val="28"/>
          <w:szCs w:val="28"/>
          <w:highlight w:val="none"/>
        </w:rPr>
        <w:t>1, 财政部、工业和信息化部《关于印发〈政府采购促进中小企业发展管理办法〉的通知》（财库〔2020〕46 号）</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财库〔2020〕46号</w:t>
      </w:r>
    </w:p>
    <w:p>
      <w:pPr>
        <w:widowControl/>
        <w:shd w:val="clear" w:color="auto" w:fill="FFFFFF"/>
        <w:spacing w:after="240"/>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附件：政府采购促进中小企业发展管理办法</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财  政  部</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工业和信息化部</w:t>
      </w:r>
    </w:p>
    <w:p>
      <w:pPr>
        <w:widowControl/>
        <w:shd w:val="clear" w:color="auto" w:fill="FFFFFF"/>
        <w:jc w:val="right"/>
        <w:rPr>
          <w:rFonts w:ascii="宋体" w:hAnsi="宋体" w:cs="宋体"/>
          <w:color w:val="000000"/>
          <w:kern w:val="0"/>
          <w:sz w:val="24"/>
          <w:highlight w:val="none"/>
        </w:rPr>
      </w:pPr>
      <w:r>
        <w:rPr>
          <w:rFonts w:ascii="宋体" w:hAnsi="宋体" w:cs="宋体" w:hint="eastAsia"/>
          <w:color w:val="000000"/>
          <w:kern w:val="0"/>
          <w:sz w:val="24"/>
          <w:highlight w:val="none"/>
        </w:rPr>
        <w:t>2020年12月18日</w:t>
      </w:r>
    </w:p>
    <w:p>
      <w:pPr>
        <w:autoSpaceDE w:val="0"/>
        <w:autoSpaceDN w:val="0"/>
        <w:adjustRightInd w:val="0"/>
        <w:jc w:val="left"/>
        <w:rPr>
          <w:rFonts w:ascii="宋体" w:hAnsi="宋体" w:cs="宋体"/>
          <w:color w:val="000000"/>
          <w:kern w:val="0"/>
          <w:sz w:val="28"/>
          <w:szCs w:val="28"/>
          <w:highlight w:val="none"/>
        </w:rPr>
      </w:pPr>
    </w:p>
    <w:p>
      <w:pPr>
        <w:jc w:val="center"/>
        <w:rPr>
          <w:rFonts w:ascii="宋体" w:hAnsi="宋体" w:cs="宋体"/>
          <w:b/>
          <w:color w:val="000000"/>
          <w:sz w:val="24"/>
          <w:highlight w:val="none"/>
        </w:rPr>
      </w:pPr>
      <w:r>
        <w:rPr>
          <w:rFonts w:ascii="宋体" w:hAnsi="宋体" w:cs="宋体" w:hint="eastAsia"/>
          <w:b/>
          <w:color w:val="000000"/>
          <w:sz w:val="24"/>
          <w:highlight w:val="none"/>
        </w:rPr>
        <w:t>政府采购促进中小企业发展管理办法</w:t>
      </w:r>
    </w:p>
    <w:p>
      <w:pPr>
        <w:autoSpaceDE w:val="0"/>
        <w:autoSpaceDN w:val="0"/>
        <w:jc w:val="left"/>
        <w:rPr>
          <w:rFonts w:ascii="宋体" w:hAnsi="宋体" w:cs="宋体"/>
          <w:color w:val="000000"/>
          <w:kern w:val="0"/>
          <w:sz w:val="44"/>
          <w:szCs w:val="32"/>
          <w:highlight w:val="none"/>
          <w:lang w:val="zh-CN" w:bidi="zh-CN"/>
        </w:rPr>
      </w:pP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第一条</w:t>
      </w:r>
      <w:r>
        <w:rPr>
          <w:rFonts w:ascii="宋体" w:hAnsi="宋体" w:cs="宋体" w:hint="eastAsia"/>
          <w:color w:val="000000"/>
          <w:kern w:val="0"/>
          <w:szCs w:val="21"/>
          <w:highlight w:val="none"/>
        </w:rPr>
        <w:t xml:space="preserve"> </w:t>
      </w:r>
      <w:r>
        <w:rPr>
          <w:rFonts w:ascii="宋体" w:hAnsi="宋体" w:cs="宋体" w:hint="eastAsia"/>
          <w:color w:val="000000"/>
          <w:kern w:val="0"/>
          <w:szCs w:val="21"/>
          <w:highlight w:val="none"/>
          <w:lang w:val="zh-CN"/>
        </w:rPr>
        <w:t>为了发挥政府采购的政策功能，促进中小企业健康发展，根据《中华人民共和国政府采购法》、《中华人民共和国中小企业促进法》等有关法律法规，制定本办法。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第二条 本办法所称中小企业，是指在中华人民共和国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符合中小企业划分标准的个体工商户，在政府采购活动中视同中小企业。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第三条 采购人在政府采购活动中应当通过加强采购需求管理，落实预留采购份额、价格评审优惠、优先采购等 措施，提高中小企业在政府采购中的份额，支持中小企业发展。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第四条 在政府采购活动中，供应商提供的货物、工程或者服务符合下列情形的，享受</w:t>
      </w:r>
      <w:r>
        <w:rPr>
          <w:rFonts w:ascii="宋体" w:hAnsi="宋体" w:cs="宋体" w:hint="eastAsia"/>
          <w:color w:val="000000"/>
          <w:spacing w:val="-2"/>
          <w:kern w:val="0"/>
          <w:szCs w:val="21"/>
          <w:highlight w:val="none"/>
          <w:lang w:val="zh-CN" w:bidi="zh-CN"/>
        </w:rPr>
        <w:t>本办法</w:t>
      </w:r>
      <w:r>
        <w:rPr>
          <w:rFonts w:ascii="宋体" w:hAnsi="宋体" w:cs="宋体" w:hint="eastAsia"/>
          <w:color w:val="000000"/>
          <w:kern w:val="0"/>
          <w:szCs w:val="21"/>
          <w:highlight w:val="none"/>
          <w:lang w:val="zh-CN"/>
        </w:rPr>
        <w:t>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（一）在货物采购项目中，货物由中小企业制造，即货 物由中小企业生产且使用该中小企业商号或者注册商标；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（二）在工程采购项目中，工程由中小企业承建，即工 程施工单位为中小企业；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（三）在服务采购项目中，服务由中小企业承接，即提供服务的人员为中小企业依照《中华人民共和国劳动合同法》订立劳动合同的从业人员。</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在货物采购项目中，供应商提供的货物既有中小企业制造货物，也有大型企业制造货物的，不享受本办法规定的中小企业扶持政策。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以联合体形式参加政府采购活动，联合体各方均为中小企业的，联合体视同中小企业。其中，联合体各方均为小微企业的，联合体视同小微企业。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符合下列情形之一的，可不专门面向中小企业预留采购份额：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（一）法律法规和国家有关政策明确规定优先或者应当面向事业单位、社会组织等非企业主体采购的；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（二）因确需使用不可替代的专利、专有技术，基础设施限制，或者提供特定公共服务等原因，只能从中小企业之外的供应商处采购的；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（三）按照本办法规定预留采购份额无法确保充分供应、充分竞争，或者存在可能影响政府采购目标实现的情形；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（四）框架协议采购项目；</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（五）省级以上人民政府财政部门规定的其他情形。 除上述情形外，其他均为适宜由中小企业提供的情形。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第七条采购限额标准以上，200万元以下的货物和服务采购项目、400 万元以下的工程采购项目，适宜由中小企业提供的，采购人应当专门面向中小企业采购。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（一）将采购项目整体或者设置采购包专门面向中小企业采购；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（二）要求供应商以联合体形式参加采购活动，且联合体中中小企业承担的部分达到一定比例；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（三）要求获得采购合同的供应商将采购项目中的一定比例分包给一家或者多家中小企业。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组成联合体或者接受分包合同的中小企业与联合体内 其他企业、分包企业之间不得存在直接控股、管理关系。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第十二条 采购项目涉及中小企业采购的，采购文件应当明确以下内容：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（一）预留份额的采购项目或者采购包，明确该项目或相关采购包专门面向中小企业采购，以及相关标的及预算金额；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（二）要求以联合体形式参加或者合同分包的，明确联合协议或者分包意向协议中中小企业合同金额应当达到的 比例，并作为供应商资格条件；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（三）非预留份额的采购项目或者采购包，明确有关价格扣除比例或者价格分加分比例；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（四）规定依据本办法规定享受扶持政策获得政府采购合同的，小微企业不得将合同分包给大中型企业，中型企业不得将合同分包给大型企业；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（五）采购人认为具备相关条件的，明确对中小企业在资金支付期限、预付款比例等方面的优惠措施；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（六）明确采购标的对应的中小企业划分标准所属行业；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（七）法律法规和省级以上人民政府财政部门规定的其他事项。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第十三条 中标、成交供应商享受本办法规定的中小企业扶持政策的，采购人、采购代理机构应当随中标、成交结果公开中标、成交供应商的《中小企业声明函》。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适用招标投标法的政府采购工程建设项目，应当在公示中标候选人时公开中标候选人的《中小企业声明函》。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第十六条 政府采购监督检查、投诉处理及政府采购行政处罚中对中小企业的认定，由货物制造商或者工程、服务供应商注册登记所在地的县级以上人民政府中小企业主管 部门负责。</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中小企业主管部门应当在收到财政部门或者有关招标 投标行政监督部门关于协助开展中小企业认定函后 10 个工作日内做出书面答复。</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第十七条各地区、各部门应当对涉及中小企业采购的 预算项目实施全过程绩效管理，合理设置绩效目标和指标， 落实扶持中小企业有关政策要求，定期开展绩效监控和评价， 强化绩效评价结果应用。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 xml:space="preserve">第十八条主管预算单位应当自2022年起向同级财政部门报告本部门上一年度面向中小企业预留份额和采购的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第十九条采购人未按本办法规定为中小企业预留采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第二十条 供应商按照本办法规定提供声明函内容不实的，属于提供虚假材料谋取中标、成交，依照《中华人民 共和国政府采购法》等国家有关规定追究相应责任。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适用招标投标法的政府采购工程建设项目，投标人按照 本办法规定提供声明函内容不实的，属于弄虚作假骗取中标， 依照《中华人民共和国招标投标法》等国家有关规定追究相 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第二十二条 对外援助项目、国家相关资格或者资质管</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理制度另有规定的项目，不适用本办法。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第二十三条 关于视同中小企业的其他主体的政府采购扶持政策，由财政部会同有关部门另行规定。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第二十四条 省级财政部门可以会同中小企业主管部门根据本办法的规定制定具体实施办法。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第二十五条本办法自 2021 年 1 月 1 日起施行。《财政部 工业和信息化部关于印发〈政府采购促进中小企业发展暂行办法〉的通知》（财库﹝2011﹞181 号）同时废止。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1.中小企业声明函; 2.面向中小企业预留项目执行情况公告</w:t>
      </w:r>
    </w:p>
    <w:p>
      <w:pPr>
        <w:widowControl/>
        <w:shd w:val="clear" w:color="auto" w:fill="FFFFFF"/>
        <w:ind w:firstLine="420" w:firstLineChars="200"/>
        <w:jc w:val="left"/>
        <w:rPr>
          <w:rFonts w:ascii="宋体" w:hAnsi="宋体" w:cs="宋体"/>
          <w:color w:val="000000"/>
          <w:kern w:val="0"/>
          <w:szCs w:val="21"/>
          <w:highlight w:val="none"/>
          <w:lang w:val="zh-CN"/>
        </w:rPr>
        <w:sectPr>
          <w:footerReference w:type="default" r:id="rId16"/>
          <w:pgSz w:w="11910" w:h="16840"/>
          <w:pgMar w:top="1440" w:right="1080" w:bottom="1440" w:left="1080" w:header="907" w:footer="1196" w:gutter="0"/>
          <w:cols w:space="720"/>
        </w:sectPr>
      </w:pPr>
    </w:p>
    <w:p>
      <w:pPr>
        <w:autoSpaceDE w:val="0"/>
        <w:autoSpaceDN w:val="0"/>
        <w:spacing w:before="30"/>
        <w:ind w:left="22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附 1</w:t>
      </w:r>
    </w:p>
    <w:p>
      <w:pPr>
        <w:keepNext/>
        <w:keepLines/>
        <w:spacing w:line="578" w:lineRule="auto"/>
        <w:jc w:val="center"/>
        <w:outlineLvl w:val="0"/>
        <w:rPr>
          <w:rFonts w:ascii="宋体" w:hAnsi="宋体" w:cs="宋体"/>
          <w:bCs/>
          <w:color w:val="000000"/>
          <w:kern w:val="44"/>
          <w:sz w:val="24"/>
          <w:highlight w:val="none"/>
        </w:rPr>
      </w:pPr>
      <w:r>
        <w:rPr>
          <w:rFonts w:ascii="宋体" w:hAnsi="宋体" w:cs="宋体" w:hint="eastAsia"/>
          <w:b/>
          <w:bCs/>
          <w:color w:val="000000"/>
          <w:kern w:val="44"/>
          <w:sz w:val="24"/>
          <w:highlight w:val="none"/>
        </w:rPr>
        <w:t>中小企业声明函（货物）</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w:t>
      </w:r>
      <w:r>
        <w:rPr>
          <w:rFonts w:ascii="宋体" w:hAnsi="宋体" w:cs="宋体" w:hint="eastAsia"/>
          <w:color w:val="000000"/>
          <w:kern w:val="0"/>
          <w:szCs w:val="21"/>
          <w:highlight w:val="none"/>
          <w:u w:val="single"/>
          <w:lang w:val="zh-CN" w:bidi="zh-CN"/>
        </w:rPr>
        <w:t>（单位名称）</w:t>
      </w:r>
      <w:r>
        <w:rPr>
          <w:rFonts w:ascii="宋体" w:hAnsi="宋体" w:cs="宋体" w:hint="eastAsia"/>
          <w:color w:val="000000"/>
          <w:kern w:val="0"/>
          <w:szCs w:val="21"/>
          <w:highlight w:val="none"/>
          <w:lang w:val="zh-CN" w:bidi="zh-CN"/>
        </w:rPr>
        <w:t>的</w:t>
      </w:r>
      <w:r>
        <w:rPr>
          <w:rFonts w:ascii="宋体" w:hAnsi="宋体" w:cs="宋体" w:hint="eastAsia"/>
          <w:color w:val="000000"/>
          <w:kern w:val="0"/>
          <w:szCs w:val="21"/>
          <w:highlight w:val="none"/>
          <w:u w:val="single"/>
          <w:lang w:val="zh-CN" w:bidi="zh-CN"/>
        </w:rPr>
        <w:t>（项目名称）</w:t>
      </w:r>
      <w:r>
        <w:rPr>
          <w:rFonts w:ascii="宋体" w:hAnsi="宋体" w:cs="宋体" w:hint="eastAsia"/>
          <w:color w:val="000000"/>
          <w:kern w:val="0"/>
          <w:szCs w:val="21"/>
          <w:highlight w:val="none"/>
          <w:lang w:val="zh-CN" w:bidi="zh-CN"/>
        </w:rPr>
        <w:t>采购活动，提供的货物全部由符合政策要求的中小企业制造。相关企业（含联合体中的中小企业、签订分包意向协议的中小企业） 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pStyle w:val="BodyTextIndent2"/>
        <w:spacing w:before="120" w:after="120"/>
        <w:ind w:firstLine="819"/>
        <w:rPr>
          <w:rFonts w:cs="宋体"/>
          <w:b/>
          <w:bCs/>
          <w:color w:val="000000"/>
          <w:spacing w:val="-3"/>
          <w:kern w:val="0"/>
          <w:szCs w:val="21"/>
          <w:highlight w:val="none"/>
          <w:lang w:val="zh-CN" w:bidi="zh-CN"/>
        </w:rPr>
      </w:pP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bidi="zh-CN"/>
        </w:rPr>
      </w:pPr>
      <w:r>
        <w:rPr>
          <w:rFonts w:ascii="宋体" w:hAnsi="宋体" w:cs="宋体" w:hint="eastAsia"/>
          <w:b/>
          <w:bCs/>
          <w:color w:val="000000"/>
          <w:spacing w:val="-3"/>
          <w:kern w:val="0"/>
          <w:szCs w:val="21"/>
          <w:highlight w:val="none"/>
          <w:lang w:val="zh-CN" w:bidi="zh-CN"/>
        </w:rPr>
        <w:t>企业名称（盖章）</w:t>
      </w:r>
      <w:r>
        <w:rPr>
          <w:rFonts w:ascii="宋体" w:hAnsi="宋体" w:cs="宋体" w:hint="eastAsia"/>
          <w:b/>
          <w:bCs/>
          <w:color w:val="000000"/>
          <w:spacing w:val="-3"/>
          <w:kern w:val="0"/>
          <w:szCs w:val="21"/>
          <w:highlight w:val="none"/>
          <w:lang w:bidi="zh-CN"/>
        </w:rPr>
        <w:t>：</w:t>
      </w: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rPr>
          <w:color w:val="000000"/>
          <w:highlight w:val="none"/>
          <w:lang w:val="zh-CN"/>
        </w:rPr>
      </w:pPr>
    </w:p>
    <w:p>
      <w:pPr>
        <w:rPr>
          <w:color w:val="000000"/>
          <w:highlight w:val="none"/>
          <w:lang w:val="zh-CN"/>
        </w:rPr>
      </w:pPr>
    </w:p>
    <w:p>
      <w:pPr>
        <w:keepNext/>
        <w:keepLines/>
        <w:spacing w:line="578" w:lineRule="auto"/>
        <w:jc w:val="center"/>
        <w:outlineLvl w:val="0"/>
        <w:rPr>
          <w:rFonts w:ascii="宋体" w:hAnsi="宋体" w:cs="宋体"/>
          <w:b/>
          <w:bCs/>
          <w:color w:val="000000"/>
          <w:kern w:val="44"/>
          <w:sz w:val="24"/>
          <w:highlight w:val="none"/>
        </w:rPr>
      </w:pPr>
      <w:bookmarkStart w:id="60" w:name="_bookmark1"/>
      <w:bookmarkEnd w:id="60"/>
      <w:r>
        <w:rPr>
          <w:rFonts w:ascii="宋体" w:hAnsi="宋体" w:cs="宋体" w:hint="eastAsia"/>
          <w:b/>
          <w:bCs/>
          <w:color w:val="000000"/>
          <w:kern w:val="44"/>
          <w:sz w:val="24"/>
          <w:highlight w:val="none"/>
        </w:rPr>
        <w:t>中小企业声明函（工程、服务）</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万</w:t>
      </w:r>
      <w:r>
        <w:rPr>
          <w:rFonts w:ascii="宋体" w:hAnsi="宋体" w:cs="宋体" w:hint="eastAsia"/>
          <w:color w:val="000000"/>
          <w:kern w:val="0"/>
          <w:szCs w:val="21"/>
          <w:highlight w:val="none"/>
          <w:lang w:val="zh-CN" w:bidi="zh-CN"/>
        </w:rPr>
        <w:t>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u w:val="single"/>
          <w:lang w:val="zh-CN" w:bidi="zh-CN"/>
        </w:rPr>
      </w:pPr>
      <w:r>
        <w:rPr>
          <w:rFonts w:ascii="宋体" w:hAnsi="宋体" w:cs="宋体" w:hint="eastAsia"/>
          <w:color w:val="000000"/>
          <w:kern w:val="0"/>
          <w:szCs w:val="21"/>
          <w:highlight w:val="none"/>
          <w:lang w:val="zh-CN"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 xml:space="preserve"> ；承建（承接）企业为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企业名称（盖章）：</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sectPr>
          <w:footerReference w:type="default" r:id="rId17"/>
          <w:pgSz w:w="11910" w:h="16840"/>
          <w:pgMar w:top="1440" w:right="1080" w:bottom="1440" w:left="1080" w:header="794" w:footer="1595" w:gutter="0"/>
          <w:cols w:space="720"/>
        </w:sectPr>
      </w:pPr>
    </w:p>
    <w:p>
      <w:pPr>
        <w:autoSpaceDE w:val="0"/>
        <w:autoSpaceDN w:val="0"/>
        <w:spacing w:before="30"/>
        <w:ind w:left="220"/>
        <w:jc w:val="left"/>
        <w:rPr>
          <w:rFonts w:ascii="宋体" w:hAnsi="宋体" w:cs="宋体"/>
          <w:b/>
          <w:color w:val="000000"/>
          <w:kern w:val="0"/>
          <w:sz w:val="24"/>
          <w:highlight w:val="none"/>
          <w:lang w:val="zh-CN" w:bidi="zh-CN"/>
        </w:rPr>
      </w:pPr>
      <w:r>
        <w:rPr>
          <w:rFonts w:ascii="宋体" w:hAnsi="宋体" w:cs="宋体" w:hint="eastAsia"/>
          <w:b/>
          <w:color w:val="000000"/>
          <w:kern w:val="0"/>
          <w:sz w:val="24"/>
          <w:highlight w:val="none"/>
          <w:lang w:val="zh-CN" w:bidi="zh-CN"/>
        </w:rPr>
        <w:t>附 2</w:t>
      </w:r>
    </w:p>
    <w:p>
      <w:pPr>
        <w:spacing w:before="195" w:after="100" w:afterAutospacing="1"/>
        <w:ind w:left="2567" w:right="84" w:hanging="2851"/>
        <w:jc w:val="center"/>
        <w:rPr>
          <w:rFonts w:ascii="宋体" w:hAnsi="宋体" w:cs="宋体"/>
          <w:b/>
          <w:color w:val="000000"/>
          <w:sz w:val="24"/>
          <w:highlight w:val="none"/>
        </w:rPr>
      </w:pPr>
      <w:r>
        <w:rPr>
          <w:rFonts w:ascii="宋体" w:hAnsi="宋体" w:cs="宋体" w:hint="eastAsia"/>
          <w:i/>
          <w:iCs/>
          <w:color w:val="000000"/>
          <w:spacing w:val="-3"/>
          <w:sz w:val="24"/>
          <w:highlight w:val="none"/>
          <w:u w:val="single" w:color="000000"/>
        </w:rPr>
        <w:t>（单位名称）</w:t>
      </w:r>
      <w:r>
        <w:rPr>
          <w:rFonts w:ascii="宋体" w:hAnsi="宋体" w:cs="宋体" w:hint="eastAsia"/>
          <w:color w:val="000000"/>
          <w:spacing w:val="-29"/>
          <w:sz w:val="24"/>
          <w:highlight w:val="none"/>
        </w:rPr>
        <w:t>××</w:t>
      </w:r>
      <w:r>
        <w:rPr>
          <w:rFonts w:ascii="宋体" w:hAnsi="宋体" w:cs="宋体" w:hint="eastAsia"/>
          <w:b/>
          <w:color w:val="000000"/>
          <w:sz w:val="24"/>
          <w:highlight w:val="none"/>
        </w:rPr>
        <w:t>年面向中小企业预留项目执行情况公告</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根据《政府采购促进中小企业发展管理办法》（财库﹝2020﹞46 号）要求，现对本部门（单位）××年面向中小企业预留项目执行情况公告如下：</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本部门（单位）××年预留项目面向中小企业采购共计××万元，其中，面向小微企业采购××万元，占××%。</w:t>
      </w:r>
    </w:p>
    <w:p>
      <w:pPr>
        <w:autoSpaceDE w:val="0"/>
        <w:autoSpaceDN w:val="0"/>
        <w:spacing w:before="149" w:after="22"/>
        <w:ind w:left="1482" w:right="1682"/>
        <w:jc w:val="center"/>
        <w:rPr>
          <w:rFonts w:ascii="宋体" w:hAnsi="宋体" w:cs="宋体"/>
          <w:color w:val="000000"/>
          <w:kern w:val="0"/>
          <w:sz w:val="28"/>
          <w:szCs w:val="28"/>
          <w:highlight w:val="none"/>
          <w:lang w:val="zh-CN" w:bidi="zh-CN"/>
        </w:rPr>
      </w:pPr>
      <w:r>
        <w:rPr>
          <w:rFonts w:ascii="宋体" w:hAnsi="宋体" w:cs="宋体" w:hint="eastAsia"/>
          <w:color w:val="000000"/>
          <w:kern w:val="0"/>
          <w:sz w:val="28"/>
          <w:szCs w:val="28"/>
          <w:highlight w:val="none"/>
          <w:lang w:val="zh-CN" w:bidi="zh-CN"/>
        </w:rPr>
        <w:t>面向中小企业预留项目明细</w:t>
      </w: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852"/>
        <w:gridCol w:w="1826"/>
        <w:gridCol w:w="1966"/>
        <w:gridCol w:w="1567"/>
        <w:gridCol w:w="2424"/>
      </w:tblGrid>
      <w:tr>
        <w:tblPrEx>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Ex>
        <w:trPr>
          <w:trHeight w:val="545"/>
          <w:jc w:val="center"/>
        </w:trPr>
        <w:tc>
          <w:tcPr>
            <w:tcW w:w="852" w:type="dxa"/>
            <w:vAlign w:val="center"/>
          </w:tcPr>
          <w:p>
            <w:pPr>
              <w:autoSpaceDE w:val="0"/>
              <w:autoSpaceDN w:val="0"/>
              <w:spacing w:line="300" w:lineRule="exact"/>
              <w:ind w:left="86" w:right="78"/>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序号</w:t>
            </w:r>
          </w:p>
        </w:tc>
        <w:tc>
          <w:tcPr>
            <w:tcW w:w="1826" w:type="dxa"/>
            <w:vAlign w:val="center"/>
          </w:tcPr>
          <w:p>
            <w:pPr>
              <w:autoSpaceDE w:val="0"/>
              <w:autoSpaceDN w:val="0"/>
              <w:spacing w:line="300" w:lineRule="exact"/>
              <w:ind w:left="35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项目名称</w:t>
            </w:r>
          </w:p>
        </w:tc>
        <w:tc>
          <w:tcPr>
            <w:tcW w:w="1966" w:type="dxa"/>
            <w:vAlign w:val="center"/>
          </w:tcPr>
          <w:p>
            <w:pPr>
              <w:autoSpaceDE w:val="0"/>
              <w:autoSpaceDN w:val="0"/>
              <w:spacing w:line="300" w:lineRule="exact"/>
              <w:ind w:left="424"/>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预留选项</w:t>
            </w:r>
          </w:p>
        </w:tc>
        <w:tc>
          <w:tcPr>
            <w:tcW w:w="1567" w:type="dxa"/>
            <w:vAlign w:val="center"/>
          </w:tcPr>
          <w:p>
            <w:pPr>
              <w:autoSpaceDE w:val="0"/>
              <w:autoSpaceDN w:val="0"/>
              <w:spacing w:before="1" w:line="300" w:lineRule="exact"/>
              <w:ind w:right="271"/>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面向中小企业采购金额</w:t>
            </w:r>
          </w:p>
        </w:tc>
        <w:tc>
          <w:tcPr>
            <w:tcW w:w="2424" w:type="dxa"/>
            <w:vAlign w:val="center"/>
          </w:tcPr>
          <w:p>
            <w:pPr>
              <w:autoSpaceDE w:val="0"/>
              <w:autoSpaceDN w:val="0"/>
              <w:spacing w:line="300" w:lineRule="exact"/>
              <w:ind w:left="192" w:right="18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合同链接</w:t>
            </w:r>
          </w:p>
        </w:tc>
      </w:tr>
      <w:tr>
        <w:tblPrEx>
          <w:tblW w:w="0" w:type="auto"/>
          <w:jc w:val="center"/>
          <w:tblInd w:w="-5" w:type="dxa"/>
          <w:tblLayout w:type="fixed"/>
          <w:tblCellMar>
            <w:top w:w="0" w:type="dxa"/>
            <w:left w:w="0" w:type="dxa"/>
            <w:bottom w:w="0" w:type="dxa"/>
            <w:right w:w="0" w:type="dxa"/>
          </w:tblCellMar>
          <w:tblLook w:val="0000"/>
        </w:tblPrEx>
        <w:trPr>
          <w:trHeight w:val="474"/>
          <w:jc w:val="center"/>
        </w:trPr>
        <w:tc>
          <w:tcPr>
            <w:tcW w:w="852" w:type="dxa"/>
            <w:vMerge w:val="restart"/>
          </w:tcPr>
          <w:p>
            <w:pPr>
              <w:autoSpaceDE w:val="0"/>
              <w:autoSpaceDN w:val="0"/>
              <w:spacing w:line="300" w:lineRule="exact"/>
              <w:jc w:val="left"/>
              <w:rPr>
                <w:rFonts w:ascii="宋体" w:hAnsi="宋体" w:cs="宋体"/>
                <w:color w:val="000000"/>
                <w:kern w:val="0"/>
                <w:szCs w:val="21"/>
                <w:highlight w:val="none"/>
                <w:lang w:val="zh-CN" w:bidi="zh-CN"/>
              </w:rPr>
            </w:pPr>
          </w:p>
        </w:tc>
        <w:tc>
          <w:tcPr>
            <w:tcW w:w="1826"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（填写“采购项</w:t>
            </w:r>
          </w:p>
        </w:tc>
        <w:tc>
          <w:tcPr>
            <w:tcW w:w="1567"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val="restart"/>
          </w:tcPr>
          <w:p>
            <w:pPr>
              <w:autoSpaceDE w:val="0"/>
              <w:autoSpaceDN w:val="0"/>
              <w:spacing w:before="8" w:line="300" w:lineRule="exact"/>
              <w:jc w:val="left"/>
              <w:rPr>
                <w:rFonts w:ascii="宋体" w:hAnsi="宋体" w:cs="宋体"/>
                <w:color w:val="000000"/>
                <w:kern w:val="0"/>
                <w:szCs w:val="21"/>
                <w:highlight w:val="none"/>
                <w:lang w:val="zh-CN" w:bidi="zh-CN"/>
              </w:rPr>
            </w:pPr>
          </w:p>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lang w:val="zh-CN" w:bidi="zh-CN"/>
              </w:rPr>
              <w:t>（</w:t>
            </w:r>
            <w:r>
              <w:rPr>
                <w:rFonts w:ascii="宋体" w:hAnsi="宋体" w:cs="宋体" w:hint="eastAsia"/>
                <w:color w:val="000000"/>
                <w:kern w:val="0"/>
                <w:szCs w:val="21"/>
                <w:highlight w:val="none"/>
                <w:u w:val="single" w:color="000000"/>
                <w:lang w:val="zh-CN" w:bidi="zh-CN"/>
              </w:rPr>
              <w:t>填写合同  在中国政府  采购网公开的网址 ，合同 中应当包含有关联合体协议或者分包意向协议）</w:t>
            </w: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目整体预留”、</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“设置专门采购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（填写集中采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包”、“要求以</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购目录以内或</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联合体形式参</w:t>
            </w:r>
          </w:p>
        </w:tc>
        <w:tc>
          <w:tcPr>
            <w:tcW w:w="1567" w:type="dxa"/>
            <w:tcBorders>
              <w:top w:val="nil"/>
              <w:bottom w:val="nil"/>
            </w:tcBorders>
          </w:tcPr>
          <w:p>
            <w:pPr>
              <w:autoSpaceDE w:val="0"/>
              <w:autoSpaceDN w:val="0"/>
              <w:spacing w:line="300" w:lineRule="exact"/>
              <w:ind w:left="96"/>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（精确到万元）</w:t>
            </w: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者采购限额标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加”或者“要求</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541"/>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准以上的采购项目</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合同分包”，除</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“采购项目全部</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预留”外，还应</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当填写预留给中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89"/>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小企业的比例）</w:t>
            </w:r>
          </w:p>
        </w:tc>
        <w:tc>
          <w:tcPr>
            <w:tcW w:w="1567"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48"/>
          <w:jc w:val="center"/>
        </w:trPr>
        <w:tc>
          <w:tcPr>
            <w:tcW w:w="852" w:type="dxa"/>
          </w:tcPr>
          <w:p>
            <w:pPr>
              <w:autoSpaceDE w:val="0"/>
              <w:autoSpaceDN w:val="0"/>
              <w:spacing w:before="130" w:line="300" w:lineRule="exact"/>
              <w:ind w:left="86" w:right="79"/>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826" w:type="dxa"/>
          </w:tcPr>
          <w:p>
            <w:pPr>
              <w:autoSpaceDE w:val="0"/>
              <w:autoSpaceDN w:val="0"/>
              <w:spacing w:before="130" w:line="300" w:lineRule="exact"/>
              <w:ind w:left="595"/>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966" w:type="dxa"/>
          </w:tcPr>
          <w:p>
            <w:pPr>
              <w:autoSpaceDE w:val="0"/>
              <w:autoSpaceDN w:val="0"/>
              <w:spacing w:before="130" w:line="300" w:lineRule="exact"/>
              <w:ind w:left="646" w:right="63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567" w:type="dxa"/>
          </w:tcPr>
          <w:p>
            <w:pPr>
              <w:autoSpaceDE w:val="0"/>
              <w:autoSpaceDN w:val="0"/>
              <w:spacing w:before="130" w:line="300" w:lineRule="exact"/>
              <w:ind w:left="786" w:right="77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2424" w:type="dxa"/>
          </w:tcPr>
          <w:p>
            <w:pPr>
              <w:autoSpaceDE w:val="0"/>
              <w:autoSpaceDN w:val="0"/>
              <w:spacing w:before="130" w:line="300" w:lineRule="exact"/>
              <w:ind w:left="192" w:right="185"/>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r>
    </w:tbl>
    <w:p>
      <w:pPr>
        <w:autoSpaceDE w:val="0"/>
        <w:autoSpaceDN w:val="0"/>
        <w:spacing w:before="128" w:line="328" w:lineRule="auto"/>
        <w:ind w:left="4220" w:right="1843"/>
        <w:jc w:val="left"/>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部门（单位）名称： 日期：</w:t>
      </w:r>
    </w:p>
    <w:p>
      <w:pPr>
        <w:pStyle w:val="BodyTextIndent2"/>
        <w:spacing w:before="120" w:after="120"/>
        <w:rPr>
          <w:rFonts w:cs="宋体"/>
          <w:color w:val="000000"/>
          <w:highlight w:val="none"/>
          <w:lang w:val="zh-CN" w:bidi="zh-CN"/>
        </w:rPr>
      </w:pPr>
    </w:p>
    <w:p>
      <w:pPr>
        <w:autoSpaceDE w:val="0"/>
        <w:autoSpaceDN w:val="0"/>
        <w:adjustRightInd w:val="0"/>
        <w:ind w:firstLine="315" w:firstLineChars="150"/>
        <w:jc w:val="left"/>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2, 工业信息化部、国家统计局、国家发展和改革委员会、财政部《关于印发〈中小企业划型标准规定〉的通知》（工信部联企〔2011〕300 号）</w:t>
      </w:r>
    </w:p>
    <w:p>
      <w:pPr>
        <w:ind w:left="662" w:leftChars="315"/>
        <w:jc w:val="center"/>
        <w:rPr>
          <w:rFonts w:ascii="宋体" w:hAnsi="宋体" w:cs="宋体"/>
          <w:b/>
          <w:color w:val="000000"/>
          <w:szCs w:val="21"/>
          <w:highlight w:val="none"/>
        </w:rPr>
      </w:pPr>
      <w:r>
        <w:rPr>
          <w:rFonts w:ascii="宋体" w:hAnsi="宋体" w:cs="宋体" w:hint="eastAsia"/>
          <w:b/>
          <w:color w:val="000000"/>
          <w:szCs w:val="21"/>
          <w:highlight w:val="none"/>
        </w:rPr>
        <w:t>关于印发中小企业划型标准规定的通</w:t>
      </w:r>
    </w:p>
    <w:p>
      <w:pPr>
        <w:ind w:firstLine="567" w:firstLineChars="270"/>
        <w:rPr>
          <w:rFonts w:ascii="宋体" w:hAnsi="宋体" w:cs="宋体"/>
          <w:color w:val="000000"/>
          <w:szCs w:val="21"/>
          <w:highlight w:val="none"/>
        </w:rPr>
      </w:pPr>
      <w:r>
        <w:rPr>
          <w:rFonts w:ascii="宋体" w:hAnsi="宋体" w:cs="宋体" w:hint="eastAsia"/>
          <w:color w:val="000000"/>
          <w:szCs w:val="21"/>
          <w:highlight w:val="none"/>
        </w:rPr>
        <w:t xml:space="preserve">工信部联企业〔2011〕300号各省、自治区、直辖市人民政府，国务院各部委、各直属机构及有关单位： </w:t>
      </w:r>
    </w:p>
    <w:p>
      <w:pPr>
        <w:ind w:firstLine="525" w:firstLineChars="250"/>
        <w:rPr>
          <w:rFonts w:ascii="宋体" w:hAnsi="宋体" w:cs="宋体"/>
          <w:color w:val="000000"/>
          <w:szCs w:val="21"/>
          <w:highlight w:val="none"/>
        </w:rPr>
      </w:pPr>
      <w:r>
        <w:rPr>
          <w:rFonts w:ascii="宋体" w:hAnsi="宋体" w:cs="宋体" w:hint="eastAsia"/>
          <w:color w:val="000000"/>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工业和信息化部 国家统计局</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国家发展和改革委员会 财政部</w:t>
      </w:r>
    </w:p>
    <w:p>
      <w:pPr>
        <w:ind w:left="420" w:firstLine="2205" w:leftChars="200" w:firstLineChars="1050"/>
        <w:jc w:val="right"/>
        <w:rPr>
          <w:rFonts w:ascii="宋体" w:hAnsi="宋体" w:cs="宋体"/>
          <w:color w:val="000000"/>
          <w:szCs w:val="21"/>
          <w:highlight w:val="none"/>
        </w:rPr>
      </w:pPr>
      <w:r>
        <w:rPr>
          <w:rFonts w:ascii="宋体" w:hAnsi="宋体" w:cs="宋体" w:hint="eastAsia"/>
          <w:color w:val="000000"/>
          <w:szCs w:val="21"/>
          <w:highlight w:val="none"/>
        </w:rPr>
        <w:t>二○一一年六月十八日</w:t>
      </w:r>
    </w:p>
    <w:p>
      <w:pPr>
        <w:ind w:firstLine="420" w:firstLineChars="200"/>
        <w:rPr>
          <w:rFonts w:ascii="宋体" w:hAnsi="宋体" w:cs="宋体"/>
          <w:color w:val="000000"/>
          <w:szCs w:val="21"/>
          <w:highlight w:val="none"/>
        </w:rPr>
      </w:pPr>
    </w:p>
    <w:p>
      <w:pPr>
        <w:jc w:val="center"/>
        <w:rPr>
          <w:rFonts w:ascii="宋体" w:hAnsi="宋体" w:cs="宋体"/>
          <w:b/>
          <w:color w:val="000000"/>
          <w:sz w:val="30"/>
          <w:szCs w:val="30"/>
          <w:highlight w:val="none"/>
        </w:rPr>
      </w:pPr>
      <w:r>
        <w:rPr>
          <w:rFonts w:ascii="宋体" w:hAnsi="宋体" w:cs="宋体" w:hint="eastAsia"/>
          <w:b/>
          <w:color w:val="000000"/>
          <w:sz w:val="30"/>
          <w:szCs w:val="30"/>
          <w:highlight w:val="none"/>
        </w:rPr>
        <w:br w:type="page"/>
      </w:r>
      <w:r>
        <w:rPr>
          <w:rFonts w:ascii="宋体" w:hAnsi="宋体" w:cs="宋体" w:hint="eastAsia"/>
          <w:b/>
          <w:color w:val="000000"/>
          <w:sz w:val="30"/>
          <w:szCs w:val="30"/>
          <w:highlight w:val="none"/>
        </w:rPr>
        <w:t>中小企业划型标准规定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一、根据《中华人民共和国中小企业促进法》和《国务院关于进一步促进中小 企业发展的若干意见》(国发〔2009〕36号)，制定本规定。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二、中小企业划分为中型、小型、微型三种类型，具体标准根据企业从业人 员、营业收入、资产总额等指标，结合行业特点制定。 关于印发中小企业划型标准规定的通知</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四、各行业划型标准为：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（一）农、林、牧、渔业。营业收入20000万元以下的为中小微型企业。其中， 营业收入500万元及以上的为中型企业，营业收入50万元及以上的为小型企业，营业 收入50万元以下的为微型企业。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（十六）其他未列明行业。从业人员300人以下的为中小微型企业。其中，从业 人员100人及以上的为中型企业；从业人员10人及以上的为小型企业；从业人员10人 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五、企业类型的划分以统计部门的统计数据为依据。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六、本规定适用于在中华人民共和国境内依法设立的各类所有制和各种组织形 式的企业。个体工商户和本规定以外的行业，参照本规定进行划型。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七、本规定的中型企业标准上限即为大型企业标准的下限，国家统计部门据此 制定大中小微型企业的统计分类。国务院有关部门据此进行相关数据分析，不得制 定与本规定不一致的企业划型标准。</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八、本规定由工业和信息化部、国家统计局会同有关部门根据《国民经济行业 分类》修订情况和企业发展变化情况适时修订。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九、本规定由工业和信息化部、国家统计局会同有关部门负责解释。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十、本规定自发布之日起执行，原国家经贸委、原国家计委、财政部和国家统 计局2003年颁布的《中小企业标准暂行规定》同时废止。</w:t>
      </w:r>
    </w:p>
    <w:p>
      <w:pPr>
        <w:autoSpaceDE w:val="0"/>
        <w:autoSpaceDN w:val="0"/>
        <w:adjustRightInd w:val="0"/>
        <w:ind w:firstLine="315" w:firstLineChars="150"/>
        <w:jc w:val="left"/>
        <w:rPr>
          <w:rFonts w:ascii="宋体" w:hAnsi="宋体" w:cs="宋体"/>
          <w:color w:val="000000"/>
          <w:kern w:val="0"/>
          <w:sz w:val="28"/>
          <w:szCs w:val="28"/>
          <w:highlight w:val="none"/>
        </w:rPr>
      </w:pPr>
    </w:p>
    <w:p>
      <w:pPr>
        <w:autoSpaceDE w:val="0"/>
        <w:autoSpaceDN w:val="0"/>
        <w:adjustRightInd w:val="0"/>
        <w:ind w:firstLine="315" w:firstLineChars="150"/>
        <w:jc w:val="left"/>
        <w:rPr>
          <w:rFonts w:ascii="宋体" w:hAnsi="宋体" w:cs="宋体"/>
          <w:b/>
          <w:bCs/>
          <w:color w:val="000000"/>
          <w:kern w:val="0"/>
          <w:sz w:val="24"/>
          <w:highlight w:val="none"/>
        </w:rPr>
      </w:pPr>
      <w:r>
        <w:rPr>
          <w:rFonts w:ascii="宋体" w:hAnsi="宋体" w:cs="宋体" w:hint="eastAsia"/>
          <w:b/>
          <w:color w:val="000000"/>
          <w:kern w:val="0"/>
          <w:sz w:val="28"/>
          <w:szCs w:val="28"/>
          <w:highlight w:val="none"/>
        </w:rPr>
        <w:t>3, 国家统计局《关于印发〈统计上大中小微型企业划分办法（2017）〉的通知》</w:t>
      </w:r>
    </w:p>
    <w:p>
      <w:pPr>
        <w:widowControl/>
        <w:shd w:val="clear" w:color="auto" w:fill="FFFFFF"/>
        <w:jc w:val="center"/>
        <w:rPr>
          <w:rFonts w:ascii="宋体" w:hAnsi="宋体" w:cs="宋体"/>
          <w:b/>
          <w:color w:val="000000"/>
          <w:kern w:val="0"/>
          <w:szCs w:val="21"/>
          <w:highlight w:val="none"/>
        </w:rPr>
      </w:pPr>
      <w:r>
        <w:rPr>
          <w:rFonts w:ascii="宋体" w:hAnsi="宋体" w:cs="宋体" w:hint="eastAsia"/>
          <w:b/>
          <w:bCs/>
          <w:color w:val="000000"/>
          <w:kern w:val="0"/>
          <w:szCs w:val="21"/>
          <w:highlight w:val="none"/>
        </w:rPr>
        <w:t>国家统计局关于印发《统计上大中小微型企业划分办法（2017）》的通知</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各省、自治区、直辖市统计局，新疆生产建设兵团统计局，国务院各有关部门，国家统计局各调查总队：</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附件：《统计上大中小微型企业划分办法（2017）》修订说明</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国家统计局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2017年12月28日</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center"/>
        <w:rPr>
          <w:rFonts w:ascii="宋体" w:hAnsi="宋体" w:cs="宋体"/>
          <w:color w:val="000000"/>
          <w:kern w:val="0"/>
          <w:sz w:val="11"/>
          <w:szCs w:val="11"/>
          <w:highlight w:val="none"/>
        </w:rPr>
      </w:pPr>
      <w:r>
        <w:rPr>
          <w:rFonts w:ascii="宋体" w:hAnsi="宋体" w:cs="宋体" w:hint="eastAsia"/>
          <w:b/>
          <w:bCs/>
          <w:color w:val="000000"/>
          <w:kern w:val="0"/>
          <w:sz w:val="24"/>
          <w:highlight w:val="none"/>
        </w:rPr>
        <w:t>统计上大中小微型企业划分办法（2017）</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left"/>
        <w:rPr>
          <w:rFonts w:ascii="宋体" w:hAnsi="宋体" w:cs="宋体"/>
          <w:color w:val="000000"/>
          <w:kern w:val="0"/>
          <w:szCs w:val="21"/>
          <w:highlight w:val="none"/>
        </w:rPr>
      </w:pPr>
      <w:r>
        <w:rPr>
          <w:rFonts w:ascii="宋体" w:hAnsi="宋体" w:cs="宋体" w:hint="eastAsia"/>
          <w:b/>
          <w:bCs/>
          <w:color w:val="000000"/>
          <w:kern w:val="0"/>
          <w:szCs w:val="21"/>
          <w:highlight w:val="none"/>
        </w:rPr>
        <w:t>　　</w:t>
      </w:r>
      <w:r>
        <w:rPr>
          <w:rFonts w:ascii="宋体" w:hAnsi="宋体" w:cs="宋体" w:hint="eastAsia"/>
          <w:color w:val="000000"/>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二、本办法适用对象为在中华人民共和国境内依法设立的各种组织形式的法人企业或单位。个体工商户参照本办法进行划分。</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五、企业划分由政府综合统计部门根据统计年报每年确定一次，定报统计原则上不进行调整。</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六、本办法自印发之日起执行，国家统计局2011年印发的《统计上大中小微型企业划分办法》（国统字〔2011〕75号）同时废止。</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附表：统计上大中小微型企业划分标准</w:t>
      </w:r>
    </w:p>
    <w:p>
      <w:pPr>
        <w:widowControl/>
        <w:spacing w:line="600" w:lineRule="atLeast"/>
        <w:jc w:val="left"/>
        <w:rPr>
          <w:rFonts w:ascii="宋体" w:hAnsi="宋体" w:cs="宋体"/>
          <w:color w:val="000000"/>
          <w:kern w:val="0"/>
          <w:sz w:val="24"/>
          <w:highlight w:val="none"/>
        </w:rPr>
      </w:pPr>
      <w:r>
        <w:rPr>
          <w:rFonts w:ascii="宋体" w:hAnsi="宋体" w:cs="宋体" w:hint="eastAsia"/>
          <w:color w:val="000000"/>
          <w:kern w:val="0"/>
          <w:sz w:val="24"/>
          <w:highlight w:val="none"/>
        </w:rPr>
        <w:t>附表</w:t>
      </w:r>
    </w:p>
    <w:p>
      <w:pPr>
        <w:widowControl/>
        <w:jc w:val="center"/>
        <w:rPr>
          <w:rFonts w:ascii="宋体" w:hAnsi="宋体" w:cs="宋体"/>
          <w:color w:val="000000"/>
          <w:kern w:val="0"/>
          <w:sz w:val="24"/>
          <w:highlight w:val="none"/>
        </w:rPr>
      </w:pPr>
      <w:r>
        <w:rPr>
          <w:rFonts w:ascii="宋体" w:hAnsi="宋体" w:cs="宋体" w:hint="eastAsia"/>
          <w:color w:val="000000"/>
          <w:kern w:val="0"/>
          <w:sz w:val="24"/>
          <w:highlight w:val="none"/>
        </w:rPr>
        <w:t>统计上大中小微型企业划分标准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22"/>
        <w:gridCol w:w="1469"/>
        <w:gridCol w:w="893"/>
        <w:gridCol w:w="1147"/>
        <w:gridCol w:w="1549"/>
        <w:gridCol w:w="1467"/>
        <w:gridCol w:w="100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rHeight w:val="620"/>
          <w:jc w:val="center"/>
        </w:trPr>
        <w:tc>
          <w:tcPr>
            <w:tcW w:w="1322"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行业名称</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指标名称</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计量</w:t>
            </w:r>
            <w:r>
              <w:rPr>
                <w:rFonts w:ascii="宋体" w:hAnsi="宋体" w:cs="宋体" w:hint="eastAsia"/>
                <w:b/>
                <w:bCs/>
                <w:color w:val="000000"/>
                <w:kern w:val="0"/>
                <w:sz w:val="18"/>
                <w:szCs w:val="18"/>
                <w:highlight w:val="none"/>
              </w:rPr>
              <w:br/>
            </w:r>
            <w:r>
              <w:rPr>
                <w:rFonts w:ascii="宋体" w:hAnsi="宋体" w:cs="宋体" w:hint="eastAsia"/>
                <w:b/>
                <w:bCs/>
                <w:color w:val="000000"/>
                <w:kern w:val="0"/>
                <w:sz w:val="18"/>
                <w:szCs w:val="22"/>
                <w:highlight w:val="none"/>
              </w:rPr>
              <w:t>单位</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大型</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中型</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小型</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微型</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农、林、牧、渔业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50≤Y＜500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工业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2000≤Y＜40000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建筑业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6000≤Y＜80000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300≤Y＜6000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300≤Z＜5000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批发业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5≤X＜20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X＜5</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5000≤Y＜40000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零售业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50≤X＜300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10≤X＜50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100≤Y＜500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交通运输业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200≤Y＜3000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仓储业*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邮政业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住宿业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餐饮业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信息传输业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软件和信息技术服务业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房地产开发经营</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1000≤Y＜200000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2000≤Z＜5000 </w:t>
            </w:r>
            <w:r>
              <w:rPr>
                <w:rFonts w:ascii="宋体" w:hAnsi="宋体" w:cs="宋体" w:hint="eastAsia"/>
                <w:color w:val="000000"/>
                <w:kern w:val="0"/>
                <w:szCs w:val="21"/>
                <w:highlight w:val="none"/>
              </w:rPr>
              <w:t>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Z＜2000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物业管理</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1000≤Y＜5000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租赁和商务服务业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8000≤Z＜120000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100≤Z＜8000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其他未列明行业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bl>
    <w:p>
      <w:pPr>
        <w:widowControl/>
        <w:ind w:left="315" w:right="315"/>
        <w:jc w:val="right"/>
        <w:rPr>
          <w:rFonts w:ascii="宋体" w:hAnsi="宋体" w:cs="宋体"/>
          <w:color w:val="000000"/>
          <w:kern w:val="0"/>
          <w:sz w:val="28"/>
          <w:szCs w:val="22"/>
          <w:highlight w:val="none"/>
        </w:rPr>
      </w:pPr>
    </w:p>
    <w:p>
      <w:pPr>
        <w:widowControl/>
        <w:ind w:left="315" w:right="315"/>
        <w:jc w:val="right"/>
        <w:rPr>
          <w:rFonts w:ascii="宋体" w:hAnsi="宋体" w:cs="宋体"/>
          <w:color w:val="000000"/>
          <w:kern w:val="0"/>
          <w:sz w:val="18"/>
          <w:szCs w:val="18"/>
          <w:highlight w:val="none"/>
        </w:rPr>
      </w:pPr>
      <w:r>
        <w:rPr>
          <w:rFonts w:ascii="宋体" w:hAnsi="宋体" w:cs="宋体" w:hint="eastAsia"/>
          <w:color w:val="000000"/>
          <w:kern w:val="0"/>
          <w:sz w:val="28"/>
          <w:szCs w:val="22"/>
          <w:highlight w:val="none"/>
        </w:rPr>
        <w:t>－ 1 －</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说明：</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1.大型、中型和小型企业须同时满足所列指标的下限，否则下划一档；微型企业只须满足所列指标中的一项即可。</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20"/>
        <w:rPr>
          <w:rFonts w:ascii="宋体" w:hAnsi="宋体" w:cs="宋体"/>
          <w:color w:val="000000"/>
          <w:kern w:val="0"/>
          <w:szCs w:val="21"/>
          <w:highlight w:val="none"/>
        </w:rPr>
      </w:pPr>
      <w:r>
        <w:rPr>
          <w:rFonts w:ascii="宋体" w:hAnsi="宋体" w:cs="宋体" w:hint="eastAsia"/>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shd w:val="clear" w:color="auto" w:fill="FFFFFF"/>
        <w:ind w:firstLine="420"/>
        <w:rPr>
          <w:rFonts w:ascii="宋体" w:hAnsi="宋体" w:cs="宋体"/>
          <w:color w:val="000000"/>
          <w:kern w:val="0"/>
          <w:szCs w:val="21"/>
          <w:highlight w:val="none"/>
        </w:rPr>
      </w:pPr>
    </w:p>
    <w:p>
      <w:pPr>
        <w:autoSpaceDE w:val="0"/>
        <w:autoSpaceDN w:val="0"/>
        <w:adjustRightInd w:val="0"/>
        <w:ind w:firstLine="315" w:firstLineChars="150"/>
        <w:jc w:val="left"/>
        <w:rPr>
          <w:rFonts w:ascii="宋体" w:hAnsi="宋体" w:cs="宋体"/>
          <w:b/>
          <w:color w:val="000000"/>
          <w:kern w:val="0"/>
          <w:sz w:val="24"/>
          <w:highlight w:val="none"/>
        </w:rPr>
      </w:pPr>
      <w:r>
        <w:rPr>
          <w:rFonts w:ascii="宋体" w:hAnsi="宋体" w:cs="宋体" w:hint="eastAsia"/>
          <w:b/>
          <w:color w:val="000000"/>
          <w:kern w:val="0"/>
          <w:sz w:val="24"/>
          <w:highlight w:val="none"/>
        </w:rPr>
        <w:t>4, 财政部、民政部、中国残联《关于促进残疾人就业政府采购政策的通知》（财库〔2017〕141 号）</w:t>
      </w:r>
    </w:p>
    <w:p>
      <w:pPr>
        <w:autoSpaceDE w:val="0"/>
        <w:autoSpaceDN w:val="0"/>
        <w:adjustRightInd w:val="0"/>
        <w:ind w:firstLine="315" w:firstLineChars="150"/>
        <w:jc w:val="center"/>
        <w:rPr>
          <w:rFonts w:ascii="宋体" w:hAnsi="宋体" w:cs="宋体"/>
          <w:b/>
          <w:color w:val="000000"/>
          <w:kern w:val="0"/>
          <w:sz w:val="24"/>
          <w:highlight w:val="none"/>
        </w:rPr>
      </w:pPr>
      <w:r>
        <w:rPr>
          <w:rFonts w:ascii="宋体" w:hAnsi="宋体" w:cs="宋体" w:hint="eastAsia"/>
          <w:b/>
          <w:color w:val="000000"/>
          <w:kern w:val="0"/>
          <w:sz w:val="24"/>
          <w:highlight w:val="none"/>
        </w:rPr>
        <w:t>关于促进残疾人就业政府采购政策的通知</w:t>
      </w:r>
    </w:p>
    <w:p>
      <w:pPr>
        <w:autoSpaceDE w:val="0"/>
        <w:autoSpaceDN w:val="0"/>
        <w:adjustRightInd w:val="0"/>
        <w:ind w:firstLine="315" w:firstLineChars="150"/>
        <w:jc w:val="center"/>
        <w:rPr>
          <w:rFonts w:ascii="宋体" w:hAnsi="宋体" w:cs="宋体"/>
          <w:b/>
          <w:color w:val="000000"/>
          <w:kern w:val="0"/>
          <w:sz w:val="24"/>
          <w:highlight w:val="none"/>
        </w:rPr>
      </w:pPr>
      <w:bookmarkStart w:id="61" w:name="sendNo"/>
      <w:r>
        <w:rPr>
          <w:rFonts w:ascii="宋体" w:hAnsi="宋体" w:cs="宋体" w:hint="eastAsia"/>
          <w:b/>
          <w:color w:val="000000"/>
          <w:kern w:val="0"/>
          <w:sz w:val="24"/>
          <w:highlight w:val="none"/>
        </w:rPr>
        <w:t>财库〔</w:t>
      </w:r>
      <w:bookmarkEnd w:id="61"/>
      <w:r>
        <w:rPr>
          <w:rFonts w:ascii="宋体" w:hAnsi="宋体" w:cs="宋体" w:hint="eastAsia"/>
          <w:b/>
          <w:color w:val="000000"/>
          <w:kern w:val="0"/>
          <w:sz w:val="24"/>
          <w:highlight w:val="none"/>
        </w:rPr>
        <w:t>2017〕141号</w:t>
      </w:r>
    </w:p>
    <w:p>
      <w:pPr>
        <w:widowControl/>
        <w:shd w:val="clear" w:color="auto" w:fill="FFFFFF"/>
        <w:ind w:firstLine="420" w:firstLineChars="200"/>
        <w:jc w:val="left"/>
        <w:rPr>
          <w:rFonts w:ascii="宋体" w:hAnsi="宋体" w:cs="宋体"/>
          <w:color w:val="000000"/>
          <w:kern w:val="0"/>
          <w:szCs w:val="21"/>
          <w:highlight w:val="none"/>
        </w:rPr>
      </w:pPr>
      <w:bookmarkStart w:id="62" w:name="toDeptId"/>
      <w:r>
        <w:rPr>
          <w:rFonts w:ascii="宋体" w:hAnsi="宋体" w:cs="宋体" w:hint="eastAsia"/>
          <w:color w:val="000000"/>
          <w:kern w:val="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2"/>
      <w:r>
        <w:rPr>
          <w:rFonts w:ascii="宋体" w:hAnsi="宋体" w:cs="宋体" w:hint="eastAsia"/>
          <w:color w:val="000000"/>
          <w:kern w:val="0"/>
          <w:szCs w:val="21"/>
          <w:highlight w:val="none"/>
        </w:rPr>
        <w:t>：</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一、享受政府采购支持政策的残疾人福利性单位应当同时满足以下条件：</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（一）安置的残疾人占本单位在职职工人数的比例不低于25%（含25%），并且安置的残疾人人数不少于10人（含10人）；</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（二）依法与安置的每位残疾人签订了一年以上（含一年）的劳动合同或服务协议；</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（三）为安置的每位残疾人按月足额缴纳了基本养老保险、基本医疗保险、失业保险、工伤保险和生育保险等社会保险费；</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中标、成交供应商为残疾人福利性单位的，采购人或者其委托的采购代理机构应当随中标、成交结果同时公告其《残疾人福利性单位声明函》，接受社会监督。</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供应商提供的《残疾人福利性单位声明函》与事实不符的，依照《政府采购法》第七十七条第一款的规定追究法律责任。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四、采购人采购公开招标数额标准以上的货物或者服务，因落实促进残疾人就业政策的需要，依法履行有关报批程序后，可采用公开招标以外的采购方式。</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七、本通知自2017年10月1日起执行。</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财政部 民政部 中国残疾人联合会</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2017年8月22日</w:t>
      </w:r>
    </w:p>
    <w:p>
      <w:pPr>
        <w:widowControl/>
        <w:shd w:val="clear" w:color="auto" w:fill="FFFFFF"/>
        <w:spacing w:after="240"/>
        <w:jc w:val="left"/>
        <w:rPr>
          <w:rFonts w:ascii="宋体" w:hAnsi="宋体" w:cs="宋体"/>
          <w:b/>
          <w:bCs/>
          <w:color w:val="000000"/>
          <w:kern w:val="0"/>
          <w:szCs w:val="21"/>
          <w:highlight w:val="none"/>
        </w:rPr>
      </w:pPr>
      <w:r>
        <w:rPr>
          <w:rFonts w:ascii="宋体" w:hAnsi="宋体" w:cs="宋体" w:hint="eastAsia"/>
          <w:b/>
          <w:bCs/>
          <w:color w:val="000000"/>
          <w:kern w:val="0"/>
          <w:szCs w:val="21"/>
          <w:highlight w:val="none"/>
        </w:rPr>
        <w:t>附件</w:t>
      </w:r>
    </w:p>
    <w:p>
      <w:pPr>
        <w:keepNext/>
        <w:keepLines/>
        <w:spacing w:line="578" w:lineRule="auto"/>
        <w:jc w:val="center"/>
        <w:outlineLvl w:val="0"/>
        <w:rPr>
          <w:rFonts w:ascii="宋体" w:hAnsi="宋体" w:cs="宋体"/>
          <w:b/>
          <w:bCs/>
          <w:color w:val="000000"/>
          <w:kern w:val="0"/>
          <w:sz w:val="24"/>
          <w:highlight w:val="none"/>
        </w:rPr>
      </w:pPr>
      <w:r>
        <w:rPr>
          <w:rFonts w:ascii="宋体" w:hAnsi="宋体" w:cs="宋体" w:hint="eastAsia"/>
          <w:b/>
          <w:bCs/>
          <w:color w:val="000000"/>
          <w:kern w:val="0"/>
          <w:sz w:val="24"/>
          <w:highlight w:val="none"/>
        </w:rPr>
        <w:t>残疾人福利性单位声明函</w:t>
      </w:r>
    </w:p>
    <w:p>
      <w:pPr>
        <w:pStyle w:val="BodyTextIndent2"/>
        <w:spacing w:before="120" w:after="120"/>
        <w:rPr>
          <w:rFonts w:cs="宋体"/>
          <w:color w:val="000000"/>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本单位对上述声明的真实性负责。如有虚假，将依法承担相应责任。</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单位名称（盖章）：</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日 期：</w:t>
      </w:r>
    </w:p>
    <w:p>
      <w:pPr>
        <w:widowControl/>
        <w:shd w:val="clear" w:color="auto" w:fill="FFFFFF"/>
        <w:spacing w:line="360" w:lineRule="auto"/>
        <w:ind w:firstLine="420" w:firstLineChars="200"/>
        <w:rPr>
          <w:rFonts w:ascii="宋体" w:hAnsi="宋体" w:cs="宋体"/>
          <w:color w:val="000000"/>
          <w:kern w:val="0"/>
          <w:szCs w:val="21"/>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bookmarkEnd w:id="56"/>
      <w:bookmarkEnd w:id="57"/>
      <w:bookmarkEnd w:id="58"/>
      <w:bookmarkEnd w:id="59"/>
    </w:p>
    <w:p>
      <w:pPr>
        <w:autoSpaceDE w:val="0"/>
        <w:autoSpaceDN w:val="0"/>
        <w:adjustRightInd w:val="0"/>
        <w:ind w:firstLine="315" w:firstLineChars="150"/>
        <w:jc w:val="center"/>
        <w:rPr>
          <w:rFonts w:ascii="宋体" w:hAnsi="宋体" w:cs="宋体" w:hint="eastAsia"/>
          <w:b/>
          <w:color w:val="000000"/>
          <w:kern w:val="0"/>
          <w:sz w:val="28"/>
          <w:szCs w:val="28"/>
          <w:highlight w:val="none"/>
        </w:rPr>
      </w:pPr>
      <w:r>
        <w:rPr>
          <w:rFonts w:ascii="宋体" w:hAnsi="宋体" w:cs="宋体" w:hint="eastAsia"/>
          <w:b/>
          <w:color w:val="000000"/>
          <w:kern w:val="0"/>
          <w:sz w:val="28"/>
          <w:szCs w:val="28"/>
          <w:highlight w:val="none"/>
        </w:rPr>
        <w:br w:type="page"/>
      </w:r>
      <w:r>
        <w:rPr>
          <w:rFonts w:ascii="宋体" w:hAnsi="宋体" w:cs="宋体" w:hint="eastAsia"/>
          <w:b/>
          <w:color w:val="000000"/>
          <w:kern w:val="0"/>
          <w:sz w:val="28"/>
          <w:szCs w:val="28"/>
          <w:highlight w:val="none"/>
        </w:rPr>
        <w:t>5, 财政部《关于进一步加大政府采购支持中小企业力度的通知》</w:t>
      </w:r>
    </w:p>
    <w:p>
      <w:pPr>
        <w:autoSpaceDE w:val="0"/>
        <w:autoSpaceDN w:val="0"/>
        <w:adjustRightInd w:val="0"/>
        <w:ind w:firstLine="315" w:firstLineChars="150"/>
        <w:jc w:val="center"/>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财库〔2022〕19号</w:t>
      </w:r>
    </w:p>
    <w:p>
      <w:pPr>
        <w:widowControl/>
        <w:shd w:val="clear" w:color="auto" w:fill="FFFFFF"/>
        <w:jc w:val="left"/>
        <w:rPr>
          <w:rFonts w:ascii="宋体" w:hAnsi="宋体" w:cs="宋体"/>
          <w:color w:val="000000"/>
          <w:kern w:val="0"/>
          <w:sz w:val="11"/>
          <w:szCs w:val="11"/>
          <w:highlight w:val="none"/>
        </w:rPr>
      </w:pP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各中央预算单位，各省、自治区、直辖市、计划单列市财政厅（局），新疆生产建设兵团财政局：</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一、严格落实支持中小企业政府采购政策。</w:t>
      </w:r>
      <w:r>
        <w:rPr>
          <w:rFonts w:ascii="宋体" w:hAnsi="宋体" w:cs="宋体" w:hint="eastAsia"/>
          <w:color w:val="000000"/>
          <w:kern w:val="0"/>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二、调整对小微企业的价格评审优惠幅度。</w:t>
      </w:r>
      <w:r>
        <w:rPr>
          <w:rFonts w:ascii="宋体" w:hAnsi="宋体" w:cs="宋体" w:hint="eastAsia"/>
          <w:color w:val="000000"/>
          <w:kern w:val="0"/>
          <w:szCs w:val="21"/>
          <w:highlight w:val="none"/>
        </w:rPr>
        <w:t>货物服务采购项目给予小微企业的价格扣除优惠，由财库〔2020〕46号文件规定的6%—10%提高至10%—20%。</w:t>
      </w:r>
      <w:r>
        <w:rPr>
          <w:rFonts w:ascii="宋体" w:hAnsi="宋体" w:cs="宋体" w:hint="eastAsia"/>
          <w:color w:val="000000"/>
          <w:kern w:val="0"/>
          <w:szCs w:val="21"/>
          <w:highlight w:val="none"/>
          <w:u w:val="single"/>
        </w:rPr>
        <w:t>大中型企业与小微企业组成联合体或者大中型企业向小微企业分包的，评审优惠幅度由2%—3%提高至4%—6%。</w:t>
      </w:r>
      <w:r>
        <w:rPr>
          <w:rFonts w:ascii="宋体" w:hAnsi="宋体" w:cs="宋体" w:hint="eastAsia"/>
          <w:color w:val="000000"/>
          <w:kern w:val="0"/>
          <w:szCs w:val="21"/>
          <w:highlight w:val="none"/>
        </w:rPr>
        <w:t>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三、提高政府采购工程面向中小企业预留份额。</w:t>
      </w:r>
      <w:r>
        <w:rPr>
          <w:rFonts w:ascii="宋体" w:hAnsi="宋体" w:cs="宋体" w:hint="eastAsia"/>
          <w:color w:val="000000"/>
          <w:kern w:val="0"/>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四、认真做好组织实施。</w:t>
      </w:r>
      <w:r>
        <w:rPr>
          <w:rFonts w:ascii="宋体" w:hAnsi="宋体" w:cs="宋体" w:hint="eastAsia"/>
          <w:color w:val="000000"/>
          <w:kern w:val="0"/>
          <w:szCs w:val="21"/>
          <w:highlight w:val="none"/>
        </w:rPr>
        <w:t>各地区、各部门应当加强组织领导，明确工作责任，细化执行要求，强化监督检查，确保国务院部署落实到位，对通知执行中出现的问题要及时向财政部报告。</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本通知自2022年7月1日起执行。</w:t>
      </w:r>
    </w:p>
    <w:p>
      <w:pPr>
        <w:widowControl/>
        <w:shd w:val="clear" w:color="auto" w:fill="FFFFFF"/>
        <w:jc w:val="right"/>
        <w:rPr>
          <w:rFonts w:ascii="宋体" w:hAnsi="宋体" w:cs="宋体" w:hint="eastAsia"/>
          <w:color w:val="000000"/>
          <w:kern w:val="0"/>
          <w:szCs w:val="21"/>
          <w:highlight w:val="none"/>
        </w:rPr>
      </w:pPr>
    </w:p>
    <w:p>
      <w:pPr>
        <w:widowControl/>
        <w:shd w:val="clear" w:color="auto" w:fill="FFFFFF"/>
        <w:jc w:val="right"/>
        <w:rPr>
          <w:rFonts w:ascii="宋体" w:hAnsi="宋体" w:cs="宋体" w:hint="eastAsia"/>
          <w:color w:val="000000"/>
          <w:kern w:val="0"/>
          <w:szCs w:val="21"/>
          <w:highlight w:val="none"/>
        </w:rPr>
      </w:pPr>
      <w:r>
        <w:rPr>
          <w:rFonts w:ascii="宋体" w:hAnsi="宋体" w:cs="宋体" w:hint="eastAsia"/>
          <w:color w:val="000000"/>
          <w:kern w:val="0"/>
          <w:szCs w:val="21"/>
          <w:highlight w:val="none"/>
        </w:rPr>
        <w:t>　　财  政  部</w:t>
      </w:r>
    </w:p>
    <w:p>
      <w:pPr>
        <w:jc w:val="right"/>
        <w:rPr>
          <w:color w:val="000000"/>
          <w:highlight w:val="none"/>
        </w:rPr>
      </w:pPr>
      <w:r>
        <w:rPr>
          <w:rFonts w:ascii="宋体" w:hAnsi="宋体" w:cs="宋体" w:hint="eastAsia"/>
          <w:color w:val="000000"/>
          <w:kern w:val="0"/>
          <w:szCs w:val="21"/>
          <w:highlight w:val="none"/>
        </w:rPr>
        <w:t>　　2022年5月30日</w:t>
      </w:r>
    </w:p>
    <w:p>
      <w:pPr>
        <w:jc w:val="right"/>
        <w:rPr>
          <w:color w:val="000000"/>
          <w:highlight w:val="none"/>
        </w:rPr>
      </w:pPr>
    </w:p>
    <w:sectPr>
      <w:footerReference w:type="default" r:id="rId18"/>
      <w:footerReference w:type="first" r:id="rId19"/>
      <w:pgSz w:w="11907" w:h="16840"/>
      <w:pgMar w:top="1440" w:right="1080" w:bottom="1440" w:left="1080"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monospace">
    <w:altName w:val="Arial"/>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A00002FF" w:usb1="28CFFCFA" w:usb2="00000016" w:usb3="00000000" w:csb0="001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Symbol">
    <w:panose1 w:val="05050102010706020507"/>
    <w:charset w:val="02"/>
    <w:family w:val="roman"/>
    <w:pitch w:val="default"/>
    <w:sig w:usb0="00000000" w:usb1="00000000" w:usb2="00000000" w:usb3="00000000" w:csb0="80000000" w:csb1="00000000"/>
  </w:font>
  <w:font w:name="汉仪细等线简">
    <w:altName w:val="宋体"/>
    <w:panose1 w:val="00000000000000000000"/>
    <w:charset w:val="86"/>
    <w:family w:val="modern"/>
    <w:pitch w:val="default"/>
    <w:sig w:usb0="00000000" w:usb1="00000000" w:usb2="00000012"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style:none;position:absolute;width:2in;z-index:251658240"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2" o:spid="_x0000_s2050" type="#_x0000_t202" style="height:2in;margin-left:0;margin-top:0;mso-position-horizontal:center;mso-position-horizontal-relative:margin;mso-wrap-style:none;position:absolute;width:2in;z-index:251659264"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27</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26</w:t>
    </w:r>
    <w:r>
      <w:fldChar w:fldCharType="end"/>
    </w:r>
    <w:r>
      <w:t xml:space="preserve"> -</w:t>
    </w:r>
  </w:p>
  <w:p>
    <w:pPr>
      <w:pStyle w:val="Footer"/>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3" o:spid="_x0000_s2051" type="#_x0000_t202" style="height:2in;margin-left:0;margin-top:0;mso-position-horizontal:center;mso-position-horizontal-relative:margin;mso-wrap-style:none;position:absolute;width:2in;z-index:251660288"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57</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4" o:spid="_x0000_s2052" type="#_x0000_t202" style="height:2in;margin-left:0;margin-top:0;mso-position-horizontal:center;mso-position-horizontal-relative:margin;mso-wrap-style:none;position:absolute;width:2in;z-index:251663360"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58</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right"/>
    </w:pPr>
    <w:r>
      <w:pict>
        <v:shapetype id="_x0000_t202" coordsize="21600,21600" o:spt="202" path="m,l,21600r21600,l21600,xe">
          <v:stroke joinstyle="miter"/>
          <v:path gradientshapeok="t" o:connecttype="rect"/>
        </v:shapetype>
        <v:shape id="文本框 5" o:spid="_x0000_s2053" type="#_x0000_t202" style="height:2in;margin-left:0;margin-top:0;mso-position-horizontal:center;mso-position-horizontal-relative:margin;mso-wrap-style:none;position:absolute;width:2in;z-index:251661312"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64</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center"/>
    </w:pPr>
    <w:r>
      <w:pict>
        <v:shapetype id="_x0000_t202" coordsize="21600,21600" o:spt="202" path="m,l,21600r21600,l21600,xe">
          <v:stroke joinstyle="miter"/>
          <v:path gradientshapeok="t" o:connecttype="rect"/>
        </v:shapetype>
        <v:shape id="文本框 6" o:spid="_x0000_s2054" type="#_x0000_t202" style="height:2in;margin-left:0;margin-top:0;mso-position-horizontal:center;mso-position-horizontal-relative:margin;mso-wrap-style:none;position:absolute;width:2in;z-index:251662336"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59</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r>
      <w:rPr>
        <w:rFonts w:hint="eastAsia"/>
        <w:u w:val="single"/>
      </w:rPr>
      <w:t>环境工程-三重串联四极杆电感耦合等离子体质谱仪</w:t>
    </w:r>
  </w:p>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bottom w:val="single" w:sz="4" w:space="0" w:color="auto"/>
      </w:pBdr>
      <w:tabs>
        <w:tab w:val="center" w:pos="4153"/>
        <w:tab w:val="right" w:pos="8306"/>
      </w:tabs>
      <w:jc w:val="center"/>
      <w:rPr>
        <w:rFonts w:hint="eastAsia"/>
      </w:rPr>
    </w:pPr>
    <w:r>
      <w:rPr>
        <w:rFonts w:hint="eastAsia"/>
      </w:rPr>
      <w:t>环境工程-三重串联四极杆电感耦合等离子体质谱仪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tabs>
        <w:tab w:val="center" w:pos="4153"/>
        <w:tab w:val="right" w:pos="8306"/>
      </w:tabs>
      <w:rPr>
        <w:rFonts w:hint="eastAsia"/>
      </w:rPr>
    </w:pPr>
    <w:r>
      <w:rPr>
        <w:rFonts w:hint="eastAsia"/>
      </w:rPr>
      <w:t>环境工程-三重串联四极杆电感耦合等离子体质谱仪</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环境工程-三重串联四极杆电感耦合等离子体质谱仪</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环境工程-三重串联四极杆电感耦合等离子体质谱仪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12"/>
        </w:tabs>
      </w:pPr>
    </w:lvl>
  </w:abstractNum>
  <w:abstractNum w:abstractNumId="1">
    <w:nsid w:val="00000004"/>
    <w:multiLevelType w:val="singleLevel"/>
    <w:tmpl w:val="00000004"/>
    <w:lvl w:ilvl="0">
      <w:start w:val="2"/>
      <w:numFmt w:val="chineseCounting"/>
      <w:suff w:val="space"/>
      <w:lvlText w:val="第%1章"/>
      <w:lvlJc w:val="left"/>
      <w:rPr>
        <w:rFonts w:hint="eastAsia"/>
      </w:rPr>
    </w:lvl>
  </w:abstractNum>
  <w:abstractNum w:abstractNumId="2">
    <w:nsid w:val="00000005"/>
    <w:multiLevelType w:val="singleLevel"/>
    <w:tmpl w:val="00000005"/>
    <w:lvl w:ilvl="0">
      <w:start w:val="1"/>
      <w:numFmt w:val="decimal"/>
      <w:lvlText w:val="%1."/>
      <w:lvlJc w:val="left"/>
      <w:pPr>
        <w:ind w:left="425" w:hanging="425"/>
      </w:pPr>
      <w:rPr>
        <w:rFonts w:hint="default"/>
      </w:rPr>
    </w:lvl>
  </w:abstractNum>
  <w:abstractNum w:abstractNumId="3">
    <w:nsid w:val="00000006"/>
    <w:multiLevelType w:val="singleLevel"/>
    <w:tmpl w:val="00000006"/>
    <w:lvl w:ilvl="0">
      <w:start w:val="1"/>
      <w:numFmt w:val="decimal"/>
      <w:lvlText w:val="%1."/>
      <w:lvlJc w:val="left"/>
      <w:pPr>
        <w:ind w:left="0" w:firstLine="0"/>
      </w:pPr>
      <w:rPr>
        <w:rFonts w:hint="default"/>
      </w:rPr>
    </w:lvl>
  </w:abstractNum>
  <w:abstractNum w:abstractNumId="4">
    <w:nsid w:val="00000007"/>
    <w:multiLevelType w:val="multilevel"/>
    <w:tmpl w:val="00000007"/>
    <w:lvl w:ilvl="0">
      <w:start w:val="1"/>
      <w:numFmt w:val="decimal"/>
      <w:suff w:val="nothing"/>
      <w:lvlText w:val="%1．"/>
      <w:lvlJc w:val="left"/>
      <w:pPr>
        <w:ind w:left="20" w:firstLine="400"/>
      </w:pPr>
      <w:rPr>
        <w:rFonts w:hint="default"/>
        <w:b w:val="0"/>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5">
    <w:nsid w:val="00000008"/>
    <w:multiLevelType w:val="singleLevel"/>
    <w:tmpl w:val="00000008"/>
    <w:lvl w:ilvl="0">
      <w:start w:val="1"/>
      <w:numFmt w:val="decimal"/>
      <w:lvlText w:val="%1."/>
      <w:lvlJc w:val="left"/>
      <w:pPr>
        <w:tabs>
          <w:tab w:val="num" w:pos="2040"/>
        </w:tabs>
        <w:ind w:left="2040" w:hanging="360"/>
      </w:pPr>
    </w:lvl>
  </w:abstractNum>
  <w:abstractNum w:abstractNumId="6">
    <w:nsid w:val="00000009"/>
    <w:multiLevelType w:val="singleLevel"/>
    <w:tmpl w:val="00000009"/>
    <w:lvl w:ilvl="0">
      <w:start w:val="1"/>
      <w:numFmt w:val="bullet"/>
      <w:lvlText w:val=""/>
      <w:lvlJc w:val="left"/>
      <w:pPr>
        <w:tabs>
          <w:tab w:val="num" w:pos="360"/>
        </w:tabs>
        <w:ind w:left="360" w:hanging="360"/>
      </w:pPr>
      <w:rPr>
        <w:rFonts w:ascii="Wingdings" w:hAnsi="Wingdings" w:hint="default"/>
      </w:rPr>
    </w:lvl>
  </w:abstractNum>
  <w:abstractNum w:abstractNumId="7">
    <w:nsid w:val="0000000A"/>
    <w:multiLevelType w:val="multilevel"/>
    <w:tmpl w:val="0000000A"/>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B"/>
    <w:multiLevelType w:val="multilevel"/>
    <w:tmpl w:val="0000000B"/>
    <w:lvl w:ilvl="0">
      <w:start w:val="1"/>
      <w:numFmt w:val="chineseCounting"/>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0D"/>
    <w:multiLevelType w:val="multilevel"/>
    <w:tmpl w:val="0000000D"/>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0E"/>
    <w:multiLevelType w:val="multilevel"/>
    <w:tmpl w:val="0000000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0F"/>
    <w:multiLevelType w:val="multilevel"/>
    <w:tmpl w:val="0000000F"/>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0000010"/>
    <w:multiLevelType w:val="singleLevel"/>
    <w:tmpl w:val="00000010"/>
    <w:lvl w:ilvl="0">
      <w:start w:val="2"/>
      <w:numFmt w:val="chineseCounting"/>
      <w:suff w:val="nothing"/>
      <w:lvlText w:val="%1、"/>
      <w:lvlJc w:val="left"/>
      <w:rPr>
        <w:rFonts w:hint="eastAsia"/>
      </w:rPr>
    </w:lvl>
  </w:abstractNum>
  <w:abstractNum w:abstractNumId="14">
    <w:nsid w:val="00000011"/>
    <w:multiLevelType w:val="multilevel"/>
    <w:tmpl w:val="00000011"/>
    <w:lvl w:ilvl="0">
      <w:start w:val="1"/>
      <w:numFmt w:val="japaneseCounting"/>
      <w:lvlText w:val="（%1）"/>
      <w:lvlJc w:val="left"/>
      <w:pPr>
        <w:tabs>
          <w:tab w:val="num" w:pos="720"/>
        </w:tabs>
        <w:ind w:left="720" w:hanging="720"/>
      </w:pPr>
      <w:rPr>
        <w:rFonts w:hint="eastAsia"/>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2"/>
    <w:multiLevelType w:val="singleLevel"/>
    <w:tmpl w:val="00000012"/>
    <w:lvl w:ilvl="0">
      <w:start w:val="1"/>
      <w:numFmt w:val="decimal"/>
      <w:lvlText w:val="%1)"/>
      <w:lvlJc w:val="left"/>
      <w:pPr>
        <w:tabs>
          <w:tab w:val="num" w:pos="425"/>
        </w:tabs>
        <w:ind w:left="425" w:hanging="425"/>
      </w:pPr>
      <w:rPr>
        <w:rFonts w:hint="default"/>
      </w:rPr>
    </w:lvl>
  </w:abstractNum>
  <w:abstractNum w:abstractNumId="16">
    <w:nsid w:val="00000013"/>
    <w:multiLevelType w:val="multilevel"/>
    <w:tmpl w:val="00000013"/>
    <w:lvl w:ilvl="0">
      <w:start w:val="1"/>
      <w:numFmt w:val="decimal"/>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00000014"/>
    <w:multiLevelType w:val="multilevel"/>
    <w:tmpl w:val="00000014"/>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5"/>
    <w:multiLevelType w:val="multilevel"/>
    <w:tmpl w:val="00000015"/>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6"/>
    <w:multiLevelType w:val="singleLevel"/>
    <w:tmpl w:val="00000016"/>
    <w:lvl w:ilvl="0">
      <w:start w:val="1"/>
      <w:numFmt w:val="chineseCounting"/>
      <w:suff w:val="nothing"/>
      <w:lvlText w:val="%1、"/>
      <w:lvlJc w:val="left"/>
      <w:pPr>
        <w:ind w:left="0" w:firstLine="420"/>
      </w:pPr>
      <w:rPr>
        <w:rFonts w:hint="eastAsia"/>
      </w:rPr>
    </w:lvl>
  </w:abstractNum>
  <w:abstractNum w:abstractNumId="20">
    <w:nsid w:val="00000017"/>
    <w:multiLevelType w:val="singleLevel"/>
    <w:tmpl w:val="00000017"/>
    <w:lvl w:ilvl="0">
      <w:start w:val="1"/>
      <w:numFmt w:val="decimal"/>
      <w:suff w:val="nothing"/>
      <w:lvlText w:val="%1．"/>
      <w:lvlJc w:val="left"/>
      <w:pPr>
        <w:ind w:left="20" w:firstLine="400"/>
      </w:pPr>
      <w:rPr>
        <w:rFonts w:ascii="宋体" w:eastAsia="宋体" w:hAnsi="宋体" w:hint="default"/>
        <w:b w:val="0"/>
      </w:rPr>
    </w:lvl>
  </w:abstractNum>
  <w:abstractNum w:abstractNumId="21">
    <w:nsid w:val="00000018"/>
    <w:multiLevelType w:val="singleLevel"/>
    <w:tmpl w:val="00000018"/>
    <w:lvl w:ilvl="0">
      <w:start w:val="1"/>
      <w:numFmt w:val="decimal"/>
      <w:lvlText w:val="%1."/>
      <w:lvlJc w:val="left"/>
      <w:pPr>
        <w:ind w:left="425" w:hanging="425"/>
      </w:pPr>
      <w:rPr>
        <w:rFonts w:hint="default"/>
      </w:rPr>
    </w:lvl>
  </w:abstractNum>
  <w:abstractNum w:abstractNumId="22">
    <w:nsid w:val="00000019"/>
    <w:multiLevelType w:val="singleLevel"/>
    <w:tmpl w:val="00000019"/>
    <w:lvl w:ilvl="0">
      <w:start w:val="1"/>
      <w:numFmt w:val="chineseCounting"/>
      <w:suff w:val="nothing"/>
      <w:lvlText w:val="%1、"/>
      <w:lvlJc w:val="left"/>
      <w:pPr>
        <w:ind w:left="0" w:firstLine="420"/>
      </w:pPr>
      <w:rPr>
        <w:rFonts w:hint="eastAsia"/>
        <w:b/>
        <w:bCs/>
      </w:rPr>
    </w:lvl>
  </w:abstractNum>
  <w:abstractNum w:abstractNumId="23">
    <w:nsid w:val="0000001A"/>
    <w:multiLevelType w:val="multilevel"/>
    <w:tmpl w:val="000000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12"/>
  </w:num>
  <w:num w:numId="4">
    <w:abstractNumId w:val="17"/>
  </w:num>
  <w:num w:numId="5">
    <w:abstractNumId w:val="5"/>
  </w:num>
  <w:num w:numId="6">
    <w:abstractNumId w:val="16"/>
  </w:num>
  <w:num w:numId="7">
    <w:abstractNumId w:val="10"/>
  </w:num>
  <w:num w:numId="8">
    <w:abstractNumId w:val="8"/>
  </w:num>
  <w:num w:numId="9">
    <w:abstractNumId w:val="7"/>
  </w:num>
  <w:num w:numId="10">
    <w:abstractNumId w:val="1"/>
  </w:num>
  <w:num w:numId="11">
    <w:abstractNumId w:val="23"/>
  </w:num>
  <w:num w:numId="12">
    <w:abstractNumId w:val="2"/>
  </w:num>
  <w:num w:numId="13">
    <w:abstractNumId w:val="21"/>
  </w:num>
  <w:num w:numId="14">
    <w:abstractNumId w:val="22"/>
  </w:num>
  <w:num w:numId="15">
    <w:abstractNumId w:val="0"/>
  </w:num>
  <w:num w:numId="16">
    <w:abstractNumId w:val="15"/>
  </w:num>
  <w:num w:numId="17">
    <w:abstractNumId w:val="19"/>
  </w:num>
  <w:num w:numId="18">
    <w:abstractNumId w:val="4"/>
  </w:num>
  <w:num w:numId="19">
    <w:abstractNumId w:val="20"/>
  </w:num>
  <w:num w:numId="20">
    <w:abstractNumId w:val="13"/>
  </w:num>
  <w:num w:numId="21">
    <w:abstractNumId w:val="11"/>
  </w:num>
  <w:num w:numId="22">
    <w:abstractNumId w:val="3"/>
  </w:num>
  <w:num w:numId="23">
    <w:abstractNumId w:val="1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trackRevisions/>
  <w:defaultTabStop w:val="420"/>
  <w:drawingGridHorizontalSpacing w:val="105"/>
  <w:drawingGridVerticalSpacing w:val="156"/>
  <w:doNotShadeFormData/>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RhNzI3MjVkMGMxODM4OWI1OTMwZjkyYzNjZTFlOGM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envelope return" w:semiHidden="0" w:uiPriority="0" w:unhideWhenUsed="0"/>
    <w:lsdException w:name="annotation reference" w:semiHidden="0" w:uiPriority="0" w:unhideWhenUsed="0"/>
    <w:lsdException w:name="page number" w:semiHidden="0" w:uiPriority="0" w:unhideWhenUsed="0"/>
    <w:lsdException w:name="List Bullet"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0" w:unhideWhenUsed="0" w:qFormat="1"/>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Normal (Web)" w:semiHidden="0" w:uiPriority="0" w:unhideWhenUsed="0"/>
    <w:lsdException w:name="HTML Acronym"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Table Elegant" w:semiHidden="0" w:uiPriority="0" w:unhideWhenUsed="0"/>
    <w:lsdException w:name="Balloon Text" w:semiHidden="0" w:uiPriority="0" w:unhideWhenUsed="0"/>
    <w:lsdException w:name="Table Grid"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0"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kern w:val="2"/>
      <w:sz w:val="21"/>
      <w:szCs w:val="24"/>
      <w:lang w:val="en-US" w:eastAsia="zh-CN" w:bidi="ar-SA"/>
    </w:rPr>
  </w:style>
  <w:style w:type="paragraph" w:styleId="Heading1">
    <w:name w:val="heading 1"/>
    <w:basedOn w:val="Normal"/>
    <w:next w:val="Normal"/>
    <w:link w:val="1Char"/>
    <w:qFormat/>
    <w:pPr>
      <w:spacing w:before="340" w:after="330" w:line="360" w:lineRule="auto"/>
      <w:jc w:val="center"/>
      <w:outlineLvl w:val="0"/>
    </w:pPr>
    <w:rPr>
      <w:rFonts w:ascii="宋体" w:eastAsia="黑体" w:hAnsi="宋体"/>
      <w:b/>
      <w:bCs/>
      <w:kern w:val="44"/>
      <w:sz w:val="28"/>
      <w:szCs w:val="44"/>
    </w:rPr>
  </w:style>
  <w:style w:type="paragraph" w:styleId="Heading2">
    <w:name w:val="heading 2"/>
    <w:basedOn w:val="Normal"/>
    <w:next w:val="NormalIndent"/>
    <w:link w:val="2Char"/>
    <w:qFormat/>
    <w:pPr>
      <w:adjustRightInd w:val="0"/>
      <w:jc w:val="center"/>
      <w:textAlignment w:val="baseline"/>
      <w:outlineLvl w:val="1"/>
    </w:pPr>
    <w:rPr>
      <w:rFonts w:ascii="宋体" w:hAnsi="宋体"/>
      <w:b/>
      <w:bCs/>
      <w:kern w:val="0"/>
      <w:sz w:val="24"/>
      <w:szCs w:val="20"/>
    </w:rPr>
  </w:style>
  <w:style w:type="paragraph" w:styleId="Heading3">
    <w:name w:val="heading 3"/>
    <w:basedOn w:val="Heading4"/>
    <w:next w:val="NormalIndent"/>
    <w:link w:val="3Char1"/>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rPr>
      <w:rFonts w:ascii="Times New Roman" w:eastAsia="宋体" w:hAnsi="Times New Roman" w:cs="Times New Roman"/>
    </w:rPr>
  </w:style>
  <w:style w:type="table" w:default="1" w:styleId="TableNormal">
    <w:name w:val="Normal Table"/>
    <w:tblPr>
      <w:tblCellMar>
        <w:top w:w="0" w:type="dxa"/>
        <w:left w:w="108" w:type="dxa"/>
        <w:bottom w:w="0" w:type="dxa"/>
        <w:right w:w="108" w:type="dxa"/>
      </w:tblCellMar>
    </w:tblPr>
  </w:style>
  <w:style w:type="paragraph" w:customStyle="1" w:styleId="a">
    <w:name w:val="正文正"/>
    <w:basedOn w:val="Normal"/>
    <w:pPr>
      <w:spacing w:line="560" w:lineRule="exact"/>
      <w:ind w:firstLine="561"/>
    </w:pPr>
    <w:rPr>
      <w:rFonts w:ascii="Calibri" w:eastAsia="宋体" w:hAnsi="Calibri" w:cs="Times New Roman"/>
      <w:sz w:val="28"/>
      <w:szCs w:val="28"/>
    </w:rPr>
  </w:style>
  <w:style w:type="character" w:customStyle="1" w:styleId="1Char">
    <w:name w:val="标题 1 Char"/>
    <w:link w:val="Heading1"/>
    <w:rPr>
      <w:rFonts w:ascii="宋体" w:eastAsia="黑体" w:hAnsi="宋体" w:cs="Times New Roman"/>
      <w:b/>
      <w:bCs/>
      <w:kern w:val="44"/>
      <w:sz w:val="28"/>
      <w:szCs w:val="44"/>
      <w:lang w:val="en-US" w:eastAsia="zh-CN" w:bidi="ar-SA"/>
    </w:rPr>
  </w:style>
  <w:style w:type="character" w:customStyle="1" w:styleId="2Char">
    <w:name w:val="标题 2 Char"/>
    <w:link w:val="Heading2"/>
    <w:rPr>
      <w:rFonts w:ascii="宋体" w:eastAsia="宋体" w:hAnsi="宋体" w:cs="Times New Roman"/>
      <w:b/>
      <w:bCs/>
      <w:sz w:val="24"/>
      <w:lang w:val="en-US" w:eastAsia="zh-CN" w:bidi="ar-SA"/>
    </w:rPr>
  </w:style>
  <w:style w:type="paragraph" w:styleId="NormalIndent">
    <w:name w:val="Normal Indent"/>
    <w:basedOn w:val="Normal"/>
    <w:link w:val="Char"/>
    <w:pPr>
      <w:ind w:firstLine="420"/>
    </w:pPr>
    <w:rPr>
      <w:szCs w:val="20"/>
    </w:rPr>
  </w:style>
  <w:style w:type="character" w:customStyle="1" w:styleId="Char">
    <w:name w:val="正文缩进 Char"/>
    <w:link w:val="NormalIndent"/>
    <w:rPr>
      <w:rFonts w:ascii="Times New Roman" w:eastAsia="宋体" w:hAnsi="Times New Roman" w:cs="Times New Roman"/>
      <w:kern w:val="2"/>
      <w:sz w:val="21"/>
      <w:lang w:val="en-US" w:eastAsia="zh-CN" w:bidi="ar-SA"/>
    </w:rPr>
  </w:style>
  <w:style w:type="character" w:customStyle="1" w:styleId="4Char">
    <w:name w:val="标题 4 Char"/>
    <w:link w:val="Heading4"/>
    <w:rPr>
      <w:rFonts w:ascii="Arial" w:eastAsia="黑体" w:hAnsi="Arial" w:cs="Times New Roman"/>
      <w:b/>
      <w:bCs/>
      <w:kern w:val="2"/>
      <w:sz w:val="28"/>
      <w:szCs w:val="28"/>
      <w:lang w:val="en-US" w:eastAsia="zh-CN" w:bidi="ar-SA"/>
    </w:rPr>
  </w:style>
  <w:style w:type="character" w:customStyle="1" w:styleId="3Char1">
    <w:name w:val="标题 3 Char1"/>
    <w:link w:val="Heading3"/>
    <w:rPr>
      <w:rFonts w:ascii="宋体" w:eastAsia="宋体" w:hAnsi="宋体" w:cs="Times New Roman"/>
      <w:b/>
      <w:bCs/>
      <w:kern w:val="2"/>
      <w:sz w:val="28"/>
      <w:szCs w:val="32"/>
      <w:lang w:val="en-US" w:eastAsia="zh-CN" w:bidi="ar-SA"/>
    </w:rPr>
  </w:style>
  <w:style w:type="character" w:customStyle="1" w:styleId="5Char">
    <w:name w:val="标题 5 Char"/>
    <w:link w:val="Heading5"/>
    <w:rPr>
      <w:rFonts w:ascii="Times New Roman" w:eastAsia="宋体" w:hAnsi="Times New Roman" w:cs="Times New Roman"/>
      <w:b/>
      <w:kern w:val="2"/>
      <w:sz w:val="28"/>
      <w:lang w:val="en-US" w:eastAsia="zh-CN" w:bidi="ar-SA"/>
    </w:rPr>
  </w:style>
  <w:style w:type="character" w:customStyle="1" w:styleId="6Char">
    <w:name w:val="标题 6 Char"/>
    <w:link w:val="Heading6"/>
    <w:rPr>
      <w:rFonts w:ascii="Arial" w:eastAsia="黑体" w:hAnsi="Arial" w:cs="Times New Roman"/>
      <w:b/>
      <w:kern w:val="2"/>
      <w:sz w:val="24"/>
      <w:lang w:val="en-US" w:eastAsia="zh-CN" w:bidi="ar-SA"/>
    </w:rPr>
  </w:style>
  <w:style w:type="character" w:customStyle="1" w:styleId="7Char">
    <w:name w:val="标题 7 Char"/>
    <w:link w:val="Heading7"/>
    <w:rPr>
      <w:rFonts w:ascii="Times New Roman" w:eastAsia="宋体" w:hAnsi="Times New Roman" w:cs="Times New Roman"/>
      <w:b/>
      <w:kern w:val="2"/>
      <w:sz w:val="24"/>
      <w:lang w:val="en-US" w:eastAsia="zh-CN" w:bidi="ar-SA"/>
    </w:rPr>
  </w:style>
  <w:style w:type="character" w:customStyle="1" w:styleId="8Char">
    <w:name w:val="标题 8 Char"/>
    <w:link w:val="Heading8"/>
    <w:rPr>
      <w:rFonts w:ascii="Arial" w:eastAsia="黑体" w:hAnsi="Arial" w:cs="Times New Roman"/>
      <w:kern w:val="2"/>
      <w:sz w:val="24"/>
      <w:lang w:val="en-US" w:eastAsia="zh-CN" w:bidi="ar-SA"/>
    </w:rPr>
  </w:style>
  <w:style w:type="character" w:customStyle="1" w:styleId="9Char">
    <w:name w:val="标题 9 Char"/>
    <w:link w:val="Heading9"/>
    <w:rPr>
      <w:rFonts w:ascii="Arial" w:eastAsia="黑体" w:hAnsi="Arial" w:cs="Times New Roman"/>
      <w:kern w:val="2"/>
      <w:sz w:val="21"/>
      <w:lang w:val="en-US" w:eastAsia="zh-CN" w:bidi="ar-SA"/>
    </w:rPr>
  </w:style>
  <w:style w:type="paragraph" w:styleId="TOC7">
    <w:name w:val="toc 7"/>
    <w:basedOn w:val="Normal"/>
    <w:next w:val="Normal"/>
    <w:pPr>
      <w:ind w:left="1260"/>
      <w:jc w:val="left"/>
    </w:pPr>
    <w:rPr>
      <w:rFonts w:ascii="Times New Roman" w:eastAsia="宋体" w:hAnsi="Times New Roman" w:cs="Times New Roman"/>
      <w:szCs w:val="21"/>
    </w:rPr>
  </w:style>
  <w:style w:type="paragraph" w:styleId="Caption">
    <w:name w:val="caption"/>
    <w:basedOn w:val="Normal"/>
    <w:next w:val="Normal"/>
    <w:qFormat/>
    <w:pPr>
      <w:widowControl/>
      <w:spacing w:line="360" w:lineRule="auto"/>
      <w:ind w:firstLine="1940" w:firstLineChars="920"/>
      <w:jc w:val="left"/>
    </w:pPr>
    <w:rPr>
      <w:rFonts w:ascii="宋体" w:eastAsia="宋体" w:hAnsi="宋体" w:cs="Times New Roman"/>
      <w:b/>
      <w:bCs/>
      <w:kern w:val="0"/>
      <w:sz w:val="20"/>
      <w:szCs w:val="20"/>
    </w:rPr>
  </w:style>
  <w:style w:type="paragraph" w:styleId="ListBullet">
    <w:name w:val="List Bullet"/>
    <w:basedOn w:val="Normal"/>
    <w:pPr>
      <w:numPr>
        <w:ilvl w:val="0"/>
        <w:numId w:val="1"/>
      </w:numPr>
      <w:tabs>
        <w:tab w:val="left" w:pos="360"/>
      </w:tabs>
    </w:pPr>
    <w:rPr>
      <w:rFonts w:ascii="Times New Roman" w:eastAsia="宋体" w:hAnsi="Times New Roman" w:cs="Times New Roman"/>
      <w:szCs w:val="20"/>
    </w:rPr>
  </w:style>
  <w:style w:type="paragraph" w:styleId="DocumentMap">
    <w:name w:val="Document Map"/>
    <w:basedOn w:val="Normal"/>
    <w:link w:val="Char1"/>
    <w:pPr>
      <w:shd w:val="clear" w:color="auto" w:fill="000080"/>
    </w:pPr>
  </w:style>
  <w:style w:type="character" w:customStyle="1" w:styleId="Char1">
    <w:name w:val="文档结构图 Char1"/>
    <w:link w:val="DocumentMap"/>
    <w:rPr>
      <w:rFonts w:ascii="Times New Roman" w:eastAsia="宋体" w:hAnsi="Times New Roman" w:cs="Times New Roman"/>
      <w:kern w:val="2"/>
      <w:sz w:val="21"/>
      <w:szCs w:val="24"/>
      <w:shd w:val="clear" w:color="auto" w:fill="000080"/>
    </w:rPr>
  </w:style>
  <w:style w:type="paragraph" w:styleId="CommentText">
    <w:name w:val="annotation text"/>
    <w:basedOn w:val="Normal"/>
    <w:link w:val="Char0"/>
    <w:pPr>
      <w:autoSpaceDE w:val="0"/>
      <w:autoSpaceDN w:val="0"/>
      <w:adjustRightInd w:val="0"/>
      <w:jc w:val="left"/>
      <w:textAlignment w:val="baseline"/>
    </w:pPr>
    <w:rPr>
      <w:rFonts w:ascii="宋体"/>
      <w:kern w:val="0"/>
      <w:sz w:val="34"/>
      <w:szCs w:val="20"/>
    </w:rPr>
  </w:style>
  <w:style w:type="character" w:customStyle="1" w:styleId="Char0">
    <w:name w:val="批注文字 Char"/>
    <w:link w:val="CommentText"/>
    <w:rPr>
      <w:rFonts w:ascii="宋体" w:eastAsia="宋体" w:hAnsi="Times New Roman" w:cs="Times New Roman"/>
      <w:sz w:val="34"/>
    </w:rPr>
  </w:style>
  <w:style w:type="paragraph" w:styleId="BodyText3">
    <w:name w:val="Body Text 3"/>
    <w:basedOn w:val="Normal"/>
    <w:link w:val="3Char"/>
    <w:pPr>
      <w:spacing w:after="120"/>
    </w:pPr>
    <w:rPr>
      <w:sz w:val="16"/>
      <w:szCs w:val="16"/>
    </w:rPr>
  </w:style>
  <w:style w:type="character" w:customStyle="1" w:styleId="3Char">
    <w:name w:val="正文文本 3 Char"/>
    <w:link w:val="BodyText3"/>
    <w:rPr>
      <w:rFonts w:ascii="Times New Roman" w:eastAsia="宋体" w:hAnsi="Times New Roman" w:cs="Times New Roman"/>
      <w:kern w:val="2"/>
      <w:sz w:val="16"/>
      <w:szCs w:val="16"/>
      <w:lang w:val="en-US" w:eastAsia="zh-CN" w:bidi="ar-SA"/>
    </w:rPr>
  </w:style>
  <w:style w:type="paragraph" w:styleId="BodyText">
    <w:name w:val="Body Text"/>
    <w:basedOn w:val="Normal"/>
    <w:next w:val="Title"/>
    <w:link w:val="Char2"/>
    <w:pPr>
      <w:spacing w:line="360" w:lineRule="auto"/>
    </w:pPr>
    <w:rPr>
      <w:b/>
      <w:bCs/>
      <w:sz w:val="24"/>
    </w:rPr>
  </w:style>
  <w:style w:type="character" w:customStyle="1" w:styleId="Char2">
    <w:name w:val="正文文本 Char"/>
    <w:link w:val="BodyText"/>
    <w:rPr>
      <w:rFonts w:ascii="Times New Roman" w:eastAsia="宋体" w:hAnsi="Times New Roman" w:cs="Times New Roman"/>
      <w:b/>
      <w:bCs/>
      <w:kern w:val="2"/>
      <w:sz w:val="24"/>
      <w:szCs w:val="24"/>
      <w:lang w:val="en-US" w:eastAsia="zh-CN" w:bidi="ar-SA"/>
    </w:rPr>
  </w:style>
  <w:style w:type="paragraph" w:styleId="Title">
    <w:name w:val="Title"/>
    <w:basedOn w:val="Normal"/>
    <w:next w:val="Normal"/>
    <w:link w:val="Char3"/>
    <w:qFormat/>
    <w:pPr>
      <w:spacing w:before="240" w:after="60"/>
      <w:jc w:val="center"/>
      <w:outlineLvl w:val="0"/>
    </w:pPr>
    <w:rPr>
      <w:rFonts w:ascii="Arial" w:eastAsia="隶书" w:hAnsi="Arial" w:cs="Arial"/>
      <w:b/>
      <w:bCs/>
      <w:sz w:val="32"/>
      <w:szCs w:val="32"/>
    </w:rPr>
  </w:style>
  <w:style w:type="character" w:customStyle="1" w:styleId="Char3">
    <w:name w:val="标题 Char"/>
    <w:link w:val="Title"/>
    <w:rPr>
      <w:rFonts w:ascii="Arial" w:eastAsia="隶书" w:hAnsi="Arial" w:cs="Arial"/>
      <w:b/>
      <w:bCs/>
      <w:kern w:val="2"/>
      <w:sz w:val="32"/>
      <w:szCs w:val="32"/>
      <w:lang w:val="en-US" w:eastAsia="zh-CN" w:bidi="ar-SA"/>
    </w:rPr>
  </w:style>
  <w:style w:type="paragraph" w:styleId="BodyTextIndent">
    <w:name w:val="Body Text Indent"/>
    <w:basedOn w:val="Normal"/>
    <w:next w:val="EnvelopeReturn"/>
    <w:link w:val="Char4"/>
    <w:pPr>
      <w:spacing w:line="360" w:lineRule="auto"/>
      <w:ind w:firstLine="420" w:firstLineChars="200"/>
    </w:pPr>
  </w:style>
  <w:style w:type="character" w:customStyle="1" w:styleId="Char4">
    <w:name w:val="正文文本缩进 Char"/>
    <w:link w:val="BodyTextIndent"/>
    <w:rPr>
      <w:rFonts w:ascii="Times New Roman" w:eastAsia="宋体" w:hAnsi="Times New Roman" w:cs="Times New Roman"/>
      <w:kern w:val="2"/>
      <w:sz w:val="21"/>
      <w:szCs w:val="24"/>
      <w:lang w:val="en-US" w:eastAsia="zh-CN" w:bidi="ar-SA"/>
    </w:rPr>
  </w:style>
  <w:style w:type="paragraph" w:styleId="EnvelopeReturn">
    <w:name w:val="envelope return"/>
    <w:basedOn w:val="Normal"/>
    <w:pPr>
      <w:snapToGrid w:val="0"/>
    </w:pPr>
    <w:rPr>
      <w:rFonts w:ascii="Arial" w:eastAsia="宋体" w:hAnsi="Arial" w:cs="Times New Roman"/>
    </w:rPr>
  </w:style>
  <w:style w:type="paragraph" w:styleId="BlockText">
    <w:name w:val="Block Text"/>
    <w:basedOn w:val="Normal"/>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TOC5">
    <w:name w:val="toc 5"/>
    <w:basedOn w:val="Normal"/>
    <w:next w:val="Normal"/>
    <w:pPr>
      <w:ind w:left="840"/>
      <w:jc w:val="left"/>
    </w:pPr>
    <w:rPr>
      <w:rFonts w:ascii="Times New Roman" w:eastAsia="宋体" w:hAnsi="Times New Roman" w:cs="Times New Roman"/>
      <w:szCs w:val="21"/>
    </w:rPr>
  </w:style>
  <w:style w:type="paragraph" w:styleId="TOC3">
    <w:name w:val="toc 3"/>
    <w:basedOn w:val="Normal"/>
    <w:next w:val="Normal"/>
    <w:pPr>
      <w:ind w:left="420"/>
      <w:jc w:val="left"/>
    </w:pPr>
    <w:rPr>
      <w:rFonts w:ascii="Times New Roman" w:eastAsia="宋体" w:hAnsi="Times New Roman" w:cs="Times New Roman"/>
      <w:i/>
      <w:iCs/>
    </w:rPr>
  </w:style>
  <w:style w:type="paragraph" w:styleId="PlainText">
    <w:name w:val="Plain Text"/>
    <w:basedOn w:val="Normal"/>
    <w:link w:val="Char5"/>
    <w:rPr>
      <w:rFonts w:ascii="宋体" w:hAnsi="Courier New"/>
      <w:szCs w:val="20"/>
    </w:rPr>
  </w:style>
  <w:style w:type="character" w:customStyle="1" w:styleId="Char5">
    <w:name w:val="纯文本 Char"/>
    <w:link w:val="PlainText"/>
    <w:rPr>
      <w:rFonts w:ascii="宋体" w:eastAsia="宋体" w:hAnsi="Courier New" w:cs="Times New Roman"/>
      <w:kern w:val="2"/>
      <w:sz w:val="21"/>
      <w:lang w:val="en-US" w:eastAsia="zh-CN" w:bidi="ar-SA"/>
    </w:rPr>
  </w:style>
  <w:style w:type="paragraph" w:styleId="TOC8">
    <w:name w:val="toc 8"/>
    <w:basedOn w:val="Normal"/>
    <w:next w:val="Normal"/>
    <w:pPr>
      <w:ind w:left="1470"/>
      <w:jc w:val="left"/>
    </w:pPr>
    <w:rPr>
      <w:rFonts w:ascii="Times New Roman" w:eastAsia="宋体" w:hAnsi="Times New Roman" w:cs="Times New Roman"/>
      <w:szCs w:val="21"/>
    </w:rPr>
  </w:style>
  <w:style w:type="paragraph" w:styleId="Date">
    <w:name w:val="Date"/>
    <w:basedOn w:val="Normal"/>
    <w:next w:val="Normal"/>
    <w:link w:val="Char6"/>
    <w:rPr>
      <w:rFonts w:ascii="宋体" w:hAnsi="Courier New"/>
      <w:sz w:val="32"/>
      <w:szCs w:val="20"/>
    </w:rPr>
  </w:style>
  <w:style w:type="character" w:customStyle="1" w:styleId="Char6">
    <w:name w:val="日期 Char"/>
    <w:link w:val="Date"/>
    <w:rPr>
      <w:rFonts w:ascii="宋体" w:eastAsia="宋体" w:hAnsi="Courier New" w:cs="Times New Roman"/>
      <w:kern w:val="2"/>
      <w:sz w:val="32"/>
      <w:lang w:val="en-US" w:eastAsia="zh-CN" w:bidi="ar-SA"/>
    </w:rPr>
  </w:style>
  <w:style w:type="paragraph" w:styleId="BodyTextIndent2">
    <w:name w:val="Body Text Indent 2"/>
    <w:basedOn w:val="Normal"/>
    <w:next w:val="Normal"/>
    <w:link w:val="2Char0"/>
    <w:pPr>
      <w:spacing w:beforeLines="50" w:afterLines="50" w:line="120" w:lineRule="auto"/>
      <w:ind w:firstLine="840" w:firstLineChars="400"/>
      <w:jc w:val="left"/>
    </w:pPr>
    <w:rPr>
      <w:rFonts w:ascii="宋体" w:hAnsi="宋体"/>
    </w:rPr>
  </w:style>
  <w:style w:type="character" w:customStyle="1" w:styleId="2Char0">
    <w:name w:val="正文文本缩进 2 Char"/>
    <w:link w:val="BodyTextIndent2"/>
    <w:rPr>
      <w:rFonts w:ascii="宋体" w:eastAsia="宋体" w:hAnsi="宋体" w:cs="Times New Roman"/>
      <w:kern w:val="2"/>
      <w:sz w:val="21"/>
      <w:szCs w:val="24"/>
      <w:lang w:val="en-US" w:eastAsia="zh-CN" w:bidi="ar-SA"/>
    </w:rPr>
  </w:style>
  <w:style w:type="paragraph" w:styleId="BalloonText">
    <w:name w:val="Balloon Text"/>
    <w:basedOn w:val="Normal"/>
    <w:link w:val="Char7"/>
    <w:rPr>
      <w:sz w:val="18"/>
      <w:szCs w:val="18"/>
    </w:rPr>
  </w:style>
  <w:style w:type="character" w:customStyle="1" w:styleId="Char7">
    <w:name w:val="批注框文本 Char"/>
    <w:link w:val="BalloonText"/>
    <w:rPr>
      <w:rFonts w:ascii="Times New Roman" w:eastAsia="宋体" w:hAnsi="Times New Roman" w:cs="Times New Roman"/>
      <w:kern w:val="2"/>
      <w:sz w:val="18"/>
      <w:szCs w:val="18"/>
      <w:lang w:val="en-US" w:eastAsia="zh-CN" w:bidi="ar-SA"/>
    </w:rPr>
  </w:style>
  <w:style w:type="paragraph" w:styleId="Footer">
    <w:name w:val="footer"/>
    <w:basedOn w:val="Normal"/>
    <w:link w:val="Char8"/>
    <w:pPr>
      <w:tabs>
        <w:tab w:val="center" w:pos="4153"/>
        <w:tab w:val="right" w:pos="8306"/>
      </w:tabs>
      <w:snapToGrid w:val="0"/>
      <w:jc w:val="left"/>
    </w:pPr>
    <w:rPr>
      <w:sz w:val="18"/>
      <w:szCs w:val="18"/>
    </w:rPr>
  </w:style>
  <w:style w:type="character" w:customStyle="1" w:styleId="Char8">
    <w:name w:val="页脚 Char"/>
    <w:link w:val="Footer"/>
    <w:rPr>
      <w:rFonts w:ascii="Times New Roman" w:eastAsia="宋体" w:hAnsi="Times New Roman" w:cs="Times New Roman"/>
      <w:kern w:val="2"/>
      <w:sz w:val="18"/>
      <w:szCs w:val="18"/>
      <w:lang w:val="en-US" w:eastAsia="zh-CN" w:bidi="ar-SA"/>
    </w:rPr>
  </w:style>
  <w:style w:type="paragraph" w:styleId="Header">
    <w:name w:val="header"/>
    <w:basedOn w:val="Normal"/>
    <w:link w:val="Char9"/>
    <w:pPr>
      <w:pBdr>
        <w:bottom w:val="single" w:sz="6" w:space="1" w:color="auto"/>
      </w:pBdr>
      <w:tabs>
        <w:tab w:val="center" w:pos="4153"/>
        <w:tab w:val="right" w:pos="8306"/>
      </w:tabs>
      <w:snapToGrid w:val="0"/>
      <w:jc w:val="center"/>
    </w:pPr>
    <w:rPr>
      <w:sz w:val="18"/>
      <w:szCs w:val="18"/>
    </w:rPr>
  </w:style>
  <w:style w:type="character" w:customStyle="1" w:styleId="Char9">
    <w:name w:val="页眉 Char"/>
    <w:link w:val="Header"/>
    <w:rPr>
      <w:rFonts w:ascii="Times New Roman" w:eastAsia="宋体" w:hAnsi="Times New Roman" w:cs="Times New Roman"/>
      <w:kern w:val="2"/>
      <w:sz w:val="18"/>
      <w:szCs w:val="18"/>
      <w:lang w:val="en-US" w:eastAsia="zh-CN" w:bidi="ar-SA"/>
    </w:rPr>
  </w:style>
  <w:style w:type="paragraph" w:styleId="TOC1">
    <w:name w:val="toc 1"/>
    <w:basedOn w:val="Normal"/>
    <w:next w:val="Normal"/>
    <w:pPr>
      <w:spacing w:before="120" w:after="120"/>
      <w:jc w:val="left"/>
    </w:pPr>
    <w:rPr>
      <w:rFonts w:ascii="Times New Roman" w:eastAsia="宋体" w:hAnsi="Times New Roman" w:cs="Times New Roman"/>
      <w:b/>
      <w:bCs/>
      <w:caps/>
    </w:rPr>
  </w:style>
  <w:style w:type="paragraph" w:styleId="TOC4">
    <w:name w:val="toc 4"/>
    <w:basedOn w:val="Normal"/>
    <w:next w:val="Normal"/>
    <w:pPr>
      <w:ind w:left="630"/>
      <w:jc w:val="left"/>
    </w:pPr>
    <w:rPr>
      <w:rFonts w:ascii="Times New Roman" w:eastAsia="宋体" w:hAnsi="Times New Roman" w:cs="Times New Roman"/>
      <w:szCs w:val="21"/>
    </w:rPr>
  </w:style>
  <w:style w:type="paragraph" w:styleId="Subtitle">
    <w:name w:val="Subtitle"/>
    <w:basedOn w:val="Normal"/>
    <w:next w:val="Normal"/>
    <w:link w:val="Char10"/>
    <w:qFormat/>
    <w:pPr>
      <w:spacing w:before="240" w:after="60" w:line="312" w:lineRule="auto"/>
      <w:jc w:val="center"/>
      <w:outlineLvl w:val="1"/>
    </w:pPr>
    <w:rPr>
      <w:rFonts w:ascii="Cambria" w:hAnsi="Cambria"/>
      <w:b/>
      <w:bCs/>
      <w:kern w:val="28"/>
      <w:sz w:val="32"/>
      <w:szCs w:val="32"/>
    </w:rPr>
  </w:style>
  <w:style w:type="character" w:customStyle="1" w:styleId="Char10">
    <w:name w:val="副标题 Char"/>
    <w:link w:val="Subtitle"/>
    <w:rPr>
      <w:rFonts w:ascii="Cambria" w:eastAsia="宋体" w:hAnsi="Cambria" w:cs="Times New Roman"/>
      <w:b/>
      <w:bCs/>
      <w:kern w:val="28"/>
      <w:sz w:val="32"/>
      <w:szCs w:val="32"/>
    </w:rPr>
  </w:style>
  <w:style w:type="paragraph" w:styleId="TOC6">
    <w:name w:val="toc 6"/>
    <w:basedOn w:val="Normal"/>
    <w:next w:val="Normal"/>
    <w:pPr>
      <w:ind w:left="1050"/>
      <w:jc w:val="left"/>
    </w:pPr>
    <w:rPr>
      <w:rFonts w:ascii="Times New Roman" w:eastAsia="宋体" w:hAnsi="Times New Roman" w:cs="Times New Roman"/>
      <w:szCs w:val="21"/>
    </w:rPr>
  </w:style>
  <w:style w:type="paragraph" w:styleId="BodyTextIndent3">
    <w:name w:val="Body Text Indent 3"/>
    <w:basedOn w:val="Normal"/>
    <w:link w:val="3Char0"/>
    <w:pPr>
      <w:spacing w:line="360" w:lineRule="auto"/>
      <w:ind w:firstLine="482" w:firstLineChars="200"/>
    </w:pPr>
    <w:rPr>
      <w:rFonts w:ascii="宋体"/>
      <w:b/>
      <w:bCs/>
      <w:sz w:val="24"/>
    </w:rPr>
  </w:style>
  <w:style w:type="character" w:customStyle="1" w:styleId="3Char0">
    <w:name w:val="正文文本缩进 3 Char"/>
    <w:link w:val="BodyTextIndent3"/>
    <w:rPr>
      <w:rFonts w:ascii="宋体" w:eastAsia="宋体" w:hAnsi="Times New Roman" w:cs="Times New Roman"/>
      <w:b/>
      <w:bCs/>
      <w:kern w:val="2"/>
      <w:sz w:val="24"/>
      <w:szCs w:val="24"/>
      <w:lang w:val="en-US" w:eastAsia="zh-CN" w:bidi="ar-SA"/>
    </w:rPr>
  </w:style>
  <w:style w:type="paragraph" w:styleId="TOC2">
    <w:name w:val="toc 2"/>
    <w:basedOn w:val="Normal"/>
    <w:next w:val="Normal"/>
    <w:pPr>
      <w:tabs>
        <w:tab w:val="right" w:leader="dot" w:pos="8296"/>
      </w:tabs>
      <w:ind w:left="210"/>
      <w:jc w:val="left"/>
    </w:pPr>
    <w:rPr>
      <w:rFonts w:ascii="Times New Roman" w:eastAsia="宋体" w:hAnsi="Times New Roman" w:cs="Times New Roman"/>
      <w:smallCaps/>
    </w:rPr>
  </w:style>
  <w:style w:type="paragraph" w:styleId="TOC9">
    <w:name w:val="toc 9"/>
    <w:basedOn w:val="Normal"/>
    <w:next w:val="Normal"/>
    <w:pPr>
      <w:ind w:left="1680"/>
      <w:jc w:val="left"/>
    </w:pPr>
    <w:rPr>
      <w:rFonts w:ascii="Times New Roman" w:eastAsia="宋体" w:hAnsi="Times New Roman" w:cs="Times New Roman"/>
      <w:szCs w:val="21"/>
    </w:rPr>
  </w:style>
  <w:style w:type="paragraph" w:styleId="BodyText2">
    <w:name w:val="Body Text 2"/>
    <w:basedOn w:val="Normal"/>
    <w:link w:val="2Char1"/>
    <w:pPr>
      <w:spacing w:line="360" w:lineRule="auto"/>
    </w:pPr>
    <w:rPr>
      <w:sz w:val="24"/>
    </w:rPr>
  </w:style>
  <w:style w:type="character" w:customStyle="1" w:styleId="2Char1">
    <w:name w:val="正文文本 2 Char"/>
    <w:link w:val="BodyText2"/>
    <w:rPr>
      <w:rFonts w:ascii="Times New Roman" w:eastAsia="宋体" w:hAnsi="Times New Roman" w:cs="Times New Roman"/>
      <w:kern w:val="2"/>
      <w:sz w:val="24"/>
      <w:szCs w:val="24"/>
      <w:lang w:val="en-US" w:eastAsia="zh-CN" w:bidi="ar-SA"/>
    </w:rPr>
  </w:style>
  <w:style w:type="paragraph" w:styleId="HTMLPreformatted">
    <w:name w:val="HTML Preformatted"/>
    <w:basedOn w:val="Normal"/>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link w:val="HTMLPreformatted"/>
    <w:rPr>
      <w:rFonts w:ascii="Arial Unicode MS" w:eastAsia="Arial Unicode MS" w:hAnsi="Arial Unicode MS" w:cs="Times New Roman"/>
      <w:color w:val="000000"/>
      <w:lang w:val="en-US" w:eastAsia="zh-CN" w:bidi="ar-SA"/>
    </w:rPr>
  </w:style>
  <w:style w:type="paragraph" w:styleId="NormalWeb">
    <w:name w:val="Normal (Web)"/>
    <w:basedOn w:val="Normal"/>
    <w:rPr>
      <w:rFonts w:ascii="Times New Roman" w:eastAsia="宋体" w:hAnsi="Times New Roman" w:cs="Times New Roman"/>
      <w:sz w:val="24"/>
    </w:rPr>
  </w:style>
  <w:style w:type="paragraph" w:styleId="Index1">
    <w:name w:val="index 1"/>
    <w:basedOn w:val="Normal"/>
    <w:next w:val="Normal"/>
    <w:pPr>
      <w:tabs>
        <w:tab w:val="left" w:pos="3360"/>
      </w:tabs>
      <w:spacing w:line="520" w:lineRule="exact"/>
      <w:ind w:left="419" w:hanging="314" w:leftChars="50" w:hangingChars="131"/>
      <w:jc w:val="center"/>
      <w:outlineLvl w:val="3"/>
    </w:pPr>
    <w:rPr>
      <w:rFonts w:ascii="宋体" w:eastAsia="宋体" w:hAnsi="宋体" w:cs="Times New Roman"/>
      <w:sz w:val="24"/>
    </w:rPr>
  </w:style>
  <w:style w:type="paragraph" w:styleId="CommentSubject">
    <w:name w:val="annotation subject"/>
    <w:basedOn w:val="CommentText"/>
    <w:next w:val="CommentText"/>
    <w:link w:val="Char11"/>
    <w:pPr>
      <w:autoSpaceDE/>
      <w:autoSpaceDN/>
      <w:adjustRightInd/>
      <w:textAlignment w:val="auto"/>
    </w:pPr>
  </w:style>
  <w:style w:type="character" w:customStyle="1" w:styleId="Char11">
    <w:name w:val="批注主题 Char"/>
    <w:link w:val="CommentSubject"/>
    <w:rPr>
      <w:rFonts w:ascii="宋体" w:eastAsia="宋体" w:hAnsi="Times New Roman" w:cs="Times New Roman"/>
      <w:sz w:val="34"/>
    </w:rPr>
  </w:style>
  <w:style w:type="paragraph" w:styleId="BodyTextFirstIndent">
    <w:name w:val="Body Text First Indent"/>
    <w:basedOn w:val="BodyText"/>
    <w:link w:val="Char12"/>
    <w:pPr>
      <w:spacing w:after="120" w:line="240" w:lineRule="auto"/>
      <w:ind w:firstLine="420" w:firstLineChars="100"/>
    </w:pPr>
    <w:rPr>
      <w:sz w:val="21"/>
    </w:rPr>
  </w:style>
  <w:style w:type="character" w:customStyle="1" w:styleId="Char12">
    <w:name w:val="正文首行缩进 Char"/>
    <w:link w:val="BodyTextFirstIndent"/>
    <w:rPr>
      <w:rFonts w:ascii="Times New Roman" w:eastAsia="宋体" w:hAnsi="Times New Roman" w:cs="Times New Roman"/>
      <w:b/>
      <w:bCs/>
      <w:kern w:val="2"/>
      <w:sz w:val="21"/>
      <w:szCs w:val="24"/>
      <w:lang w:val="en-US" w:eastAsia="zh-CN" w:bidi="ar-SA"/>
    </w:rPr>
  </w:style>
  <w:style w:type="paragraph" w:styleId="BodyTextFirstIndent2">
    <w:name w:val="Body Text First Indent 2"/>
    <w:basedOn w:val="BodyTextIndent"/>
    <w:next w:val="BodyTextFirstIndent"/>
    <w:link w:val="2Char2"/>
    <w:pPr>
      <w:spacing w:after="120" w:line="240" w:lineRule="auto"/>
      <w:ind w:left="420" w:leftChars="200"/>
    </w:pPr>
  </w:style>
  <w:style w:type="character" w:customStyle="1" w:styleId="2Char2">
    <w:name w:val="正文首行缩进 2 Char"/>
    <w:link w:val="BodyTextFirstIndent2"/>
    <w:rPr>
      <w:rFonts w:ascii="Times New Roman" w:eastAsia="宋体" w:hAnsi="Times New Roman" w:cs="Times New Roman"/>
      <w:kern w:val="2"/>
      <w:sz w:val="21"/>
      <w:szCs w:val="24"/>
      <w:lang w:val="en-US" w:eastAsia="zh-CN" w:bidi="ar-SA"/>
    </w:rPr>
  </w:style>
  <w:style w:type="table" w:styleId="TableGrid">
    <w:name w:val="Table Grid"/>
    <w:basedOn w:val="TableNormal"/>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widowControl w:val="0"/>
      <w:jc w:val="both"/>
    </w:pPr>
    <w:rPr>
      <w:rFonts w:ascii="Times New Roman" w:eastAsia="宋体" w:hAnsi="Times New Roman" w:cs="Times New Roman"/>
    </w:r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StylePr>
  </w:style>
  <w:style w:type="character" w:styleId="Strong">
    <w:name w:val="Strong"/>
    <w:qFormat/>
    <w:rPr>
      <w:rFonts w:ascii="Times New Roman" w:eastAsia="宋体" w:hAnsi="Times New Roman" w:cs="Times New Roman"/>
      <w:b/>
      <w:bCs/>
    </w:rPr>
  </w:style>
  <w:style w:type="character" w:styleId="PageNumber">
    <w:name w:val="page number"/>
    <w:rPr>
      <w:rFonts w:ascii="Times New Roman" w:eastAsia="宋体" w:hAnsi="Times New Roman" w:cs="Times New Roman"/>
    </w:rPr>
  </w:style>
  <w:style w:type="character" w:styleId="FollowedHyperlink">
    <w:name w:val="FollowedHyperlink"/>
    <w:rPr>
      <w:rFonts w:ascii="Times New Roman" w:eastAsia="宋体" w:hAnsi="Times New Roman" w:cs="Times New Roman"/>
      <w:color w:val="800080"/>
      <w:u w:val="none"/>
    </w:rPr>
  </w:style>
  <w:style w:type="character" w:styleId="Emphasis">
    <w:name w:val="Emphasis"/>
    <w:qFormat/>
    <w:rPr>
      <w:rFonts w:ascii="Times New Roman" w:eastAsia="宋体" w:hAnsi="Times New Roman" w:cs="Times New Roman"/>
    </w:rPr>
  </w:style>
  <w:style w:type="character" w:styleId="HTMLDefinition">
    <w:name w:val="HTML Definition"/>
    <w:rPr>
      <w:rFonts w:ascii="Times New Roman" w:eastAsia="宋体" w:hAnsi="Times New Roman" w:cs="Times New Roman"/>
      <w:i/>
    </w:rPr>
  </w:style>
  <w:style w:type="character" w:styleId="HTMLTypewriter">
    <w:name w:val="HTML Typewriter"/>
    <w:rPr>
      <w:rFonts w:ascii="monospace" w:eastAsia="monospace" w:hAnsi="monospace" w:cs="monospace"/>
      <w:sz w:val="20"/>
    </w:rPr>
  </w:style>
  <w:style w:type="character" w:styleId="HTMLAcronym">
    <w:name w:val="HTML Acronym"/>
    <w:rPr>
      <w:rFonts w:ascii="Times New Roman" w:eastAsia="宋体" w:hAnsi="Times New Roman" w:cs="Times New Roman"/>
    </w:rPr>
  </w:style>
  <w:style w:type="character" w:styleId="HTMLVariable">
    <w:name w:val="HTML Variable"/>
    <w:rPr>
      <w:rFonts w:ascii="Times New Roman" w:eastAsia="宋体" w:hAnsi="Times New Roman" w:cs="Times New Roman"/>
      <w:i/>
    </w:rPr>
  </w:style>
  <w:style w:type="character" w:styleId="Hyperlink">
    <w:name w:val="Hyperlink"/>
    <w:rPr>
      <w:rFonts w:ascii="Times New Roman" w:eastAsia="宋体" w:hAnsi="Times New Roman" w:cs="Times New Roman"/>
      <w:color w:val="0000FF"/>
      <w:u w:val="none"/>
    </w:rPr>
  </w:style>
  <w:style w:type="character" w:styleId="HTMLCode">
    <w:name w:val="HTML Code"/>
    <w:rPr>
      <w:rFonts w:ascii="monospace" w:eastAsia="monospace" w:hAnsi="monospace" w:cs="monospace" w:hint="default"/>
      <w:sz w:val="21"/>
      <w:szCs w:val="21"/>
    </w:rPr>
  </w:style>
  <w:style w:type="character" w:styleId="CommentReference">
    <w:name w:val="annotation reference"/>
    <w:rPr>
      <w:rFonts w:ascii="Times New Roman" w:eastAsia="宋体" w:hAnsi="Times New Roman" w:cs="Times New Roman"/>
      <w:sz w:val="21"/>
      <w:szCs w:val="21"/>
    </w:rPr>
  </w:style>
  <w:style w:type="character" w:styleId="HTMLCite">
    <w:name w:val="HTML Cite"/>
    <w:rPr>
      <w:rFonts w:ascii="Times New Roman" w:eastAsia="宋体" w:hAnsi="Times New Roman" w:cs="Times New Roman"/>
      <w:i w:val="0"/>
      <w:iCs w:val="0"/>
    </w:rPr>
  </w:style>
  <w:style w:type="character" w:styleId="HTMLKeyboard">
    <w:name w:val="HTML Keyboard"/>
    <w:rPr>
      <w:rFonts w:ascii="monospace" w:eastAsia="monospace" w:hAnsi="monospace" w:cs="monospace" w:hint="default"/>
      <w:sz w:val="21"/>
      <w:szCs w:val="21"/>
    </w:rPr>
  </w:style>
  <w:style w:type="character" w:styleId="HTMLSample">
    <w:name w:val="HTML Sample"/>
    <w:rPr>
      <w:rFonts w:ascii="monospace" w:eastAsia="monospace" w:hAnsi="monospace" w:cs="monospace"/>
      <w:sz w:val="21"/>
      <w:szCs w:val="21"/>
    </w:rPr>
  </w:style>
  <w:style w:type="paragraph" w:customStyle="1" w:styleId="a0">
    <w:name w:val="表格文字"/>
    <w:basedOn w:val="Normal"/>
    <w:pPr>
      <w:spacing w:before="25" w:after="25"/>
      <w:jc w:val="left"/>
    </w:pPr>
    <w:rPr>
      <w:rFonts w:ascii="Times New Roman" w:eastAsia="宋体" w:hAnsi="Times New Roman" w:cs="Times New Roman"/>
      <w:bCs/>
      <w:spacing w:val="10"/>
      <w:kern w:val="0"/>
      <w:sz w:val="24"/>
      <w:szCs w:val="20"/>
    </w:rPr>
  </w:style>
  <w:style w:type="paragraph" w:customStyle="1" w:styleId="a1">
    <w:name w:val="文档正文"/>
    <w:basedOn w:val="Normal"/>
    <w:pPr>
      <w:adjustRightInd w:val="0"/>
      <w:spacing w:line="480" w:lineRule="atLeast"/>
      <w:ind w:firstLine="567" w:firstLineChars="200"/>
      <w:textAlignment w:val="baseline"/>
    </w:pPr>
    <w:rPr>
      <w:rFonts w:ascii="长城仿宋" w:eastAsia="宋体" w:hAnsi="Times New Roman" w:cs="Times New Roman"/>
      <w:kern w:val="0"/>
      <w:szCs w:val="20"/>
    </w:rPr>
  </w:style>
  <w:style w:type="character" w:customStyle="1" w:styleId="NormalCharacter">
    <w:name w:val="NormalCharacter"/>
    <w:rPr>
      <w:rFonts w:ascii="Times New Roman" w:eastAsia="宋体" w:hAnsi="Times New Roman" w:cs="Times New Roman"/>
    </w:rPr>
  </w:style>
  <w:style w:type="character" w:customStyle="1" w:styleId="3Char2">
    <w:name w:val="标题 3 Char"/>
    <w:rPr>
      <w:rFonts w:ascii="黑体" w:eastAsia="黑体" w:hAnsi="Times New Roman" w:cs="Times New Roman"/>
      <w:bCs/>
      <w:sz w:val="30"/>
    </w:rPr>
  </w:style>
  <w:style w:type="character" w:customStyle="1" w:styleId="blue">
    <w:name w:val="blue"/>
    <w:rPr>
      <w:rFonts w:ascii="Times New Roman" w:eastAsia="宋体" w:hAnsi="Times New Roman" w:cs="Times New Roman"/>
    </w:rPr>
  </w:style>
  <w:style w:type="character" w:customStyle="1" w:styleId="a2">
    <w:name w:val="批注框文本 字符"/>
    <w:rPr>
      <w:rFonts w:ascii="Times New Roman" w:eastAsia="宋体" w:hAnsi="Times New Roman" w:cs="Times New Roman"/>
      <w:sz w:val="18"/>
      <w:szCs w:val="18"/>
    </w:rPr>
  </w:style>
  <w:style w:type="character" w:customStyle="1" w:styleId="a3">
    <w:name w:val="标题 字符"/>
    <w:rPr>
      <w:rFonts w:ascii="Arial" w:eastAsia="隶书" w:hAnsi="Arial" w:cs="Arial"/>
      <w:b/>
      <w:bCs/>
      <w:sz w:val="32"/>
      <w:szCs w:val="32"/>
    </w:rPr>
  </w:style>
  <w:style w:type="character" w:customStyle="1" w:styleId="span11">
    <w:name w:val="span11"/>
    <w:rPr>
      <w:rFonts w:ascii="Times New Roman" w:eastAsia="宋体" w:hAnsi="Times New Roman" w:cs="Times New Roman"/>
    </w:rPr>
  </w:style>
  <w:style w:type="character" w:customStyle="1" w:styleId="3">
    <w:name w:val="正文文本缩进 3 字符"/>
    <w:rPr>
      <w:rFonts w:ascii="宋体" w:eastAsia="宋体" w:hAnsi="Times New Roman" w:cs="Times New Roman"/>
      <w:b/>
      <w:bCs/>
      <w:sz w:val="24"/>
      <w:szCs w:val="24"/>
    </w:rPr>
  </w:style>
  <w:style w:type="character" w:customStyle="1" w:styleId="--Char1">
    <w:name w:val="--规划正文 Char1"/>
    <w:rPr>
      <w:rFonts w:ascii="Times New Roman" w:eastAsia="宋体" w:hAnsi="Times New Roman" w:cs="Times New Roman"/>
      <w:kern w:val="2"/>
      <w:sz w:val="21"/>
      <w:lang w:val="en-US" w:eastAsia="zh-CN" w:bidi="ar-SA"/>
    </w:rPr>
  </w:style>
  <w:style w:type="character" w:customStyle="1" w:styleId="unnamed3">
    <w:name w:val="unnamed3"/>
    <w:rPr>
      <w:rFonts w:ascii="Times New Roman" w:eastAsia="宋体" w:hAnsi="Times New Roman" w:cs="Times New Roman"/>
    </w:rPr>
  </w:style>
  <w:style w:type="character" w:customStyle="1" w:styleId="span4">
    <w:name w:val="span4"/>
    <w:rPr>
      <w:rFonts w:ascii="Times New Roman" w:eastAsia="宋体" w:hAnsi="Times New Roman" w:cs="Times New Roman"/>
    </w:rPr>
  </w:style>
  <w:style w:type="character" w:customStyle="1" w:styleId="Char20">
    <w:name w:val="副标题 Char2"/>
    <w:rPr>
      <w:rFonts w:ascii="Cambria" w:eastAsia="宋体" w:hAnsi="Cambria" w:cs="Times New Roman"/>
      <w:b/>
      <w:bCs/>
      <w:kern w:val="28"/>
      <w:sz w:val="32"/>
      <w:szCs w:val="32"/>
    </w:rPr>
  </w:style>
  <w:style w:type="character" w:customStyle="1" w:styleId="Char13">
    <w:name w:val="文档结构图 Char"/>
    <w:rPr>
      <w:rFonts w:ascii="宋体" w:eastAsia="宋体" w:hAnsi="Times New Roman" w:cs="Times New Roman"/>
      <w:sz w:val="18"/>
      <w:szCs w:val="18"/>
    </w:rPr>
  </w:style>
  <w:style w:type="character" w:customStyle="1" w:styleId="ze">
    <w:name w:val="ze"/>
    <w:rPr>
      <w:rFonts w:ascii="Times New Roman" w:eastAsia="宋体" w:hAnsi="Times New Roman" w:cs="Times New Roman"/>
      <w:vanish/>
      <w:shd w:val="clear" w:color="auto" w:fill="828282"/>
    </w:rPr>
  </w:style>
  <w:style w:type="character" w:customStyle="1" w:styleId="bdsnopic">
    <w:name w:val="bds_nopic"/>
    <w:rPr>
      <w:rFonts w:ascii="Times New Roman" w:eastAsia="宋体" w:hAnsi="Times New Roman" w:cs="Times New Roman"/>
    </w:rPr>
  </w:style>
  <w:style w:type="character" w:customStyle="1" w:styleId="font11">
    <w:name w:val="font11"/>
    <w:rPr>
      <w:rFonts w:ascii="ˎ̥" w:eastAsia="宋体" w:hAnsi="ˎ̥" w:cs="Times New Roman" w:hint="default"/>
    </w:rPr>
  </w:style>
  <w:style w:type="character" w:customStyle="1" w:styleId="2Char3">
    <w:name w:val="样式 首行缩进 + 首行缩进:  2 字符 Char"/>
    <w:link w:val="2"/>
    <w:rPr>
      <w:rFonts w:ascii="Times New Roman" w:eastAsia="宋体" w:hAnsi="Times New Roman" w:cs="Times New Roman"/>
      <w:sz w:val="24"/>
    </w:rPr>
  </w:style>
  <w:style w:type="paragraph" w:customStyle="1" w:styleId="2">
    <w:name w:val="样式 首行缩进 + 首行缩进:  2 字符"/>
    <w:basedOn w:val="Normal"/>
    <w:link w:val="2Char3"/>
    <w:pPr>
      <w:widowControl/>
      <w:spacing w:line="480" w:lineRule="auto"/>
      <w:ind w:firstLine="480" w:firstLineChars="200"/>
      <w:jc w:val="left"/>
    </w:pPr>
    <w:rPr>
      <w:kern w:val="0"/>
      <w:sz w:val="24"/>
      <w:szCs w:val="20"/>
    </w:rPr>
  </w:style>
  <w:style w:type="character" w:customStyle="1" w:styleId="8">
    <w:name w:val="标题 8 字符"/>
    <w:rPr>
      <w:rFonts w:ascii="Arial" w:eastAsia="黑体" w:hAnsi="Arial" w:cs="Times New Roman"/>
      <w:sz w:val="24"/>
      <w:szCs w:val="20"/>
    </w:rPr>
  </w:style>
  <w:style w:type="character" w:customStyle="1" w:styleId="HTML">
    <w:name w:val="HTML 预设格式 字符"/>
    <w:rPr>
      <w:rFonts w:ascii="Arial Unicode MS" w:eastAsia="Arial Unicode MS" w:hAnsi="Arial Unicode MS" w:cs="Times New Roman"/>
      <w:color w:val="000000"/>
      <w:kern w:val="0"/>
      <w:sz w:val="20"/>
      <w:szCs w:val="20"/>
    </w:rPr>
  </w:style>
  <w:style w:type="character" w:customStyle="1" w:styleId="085Char">
    <w:name w:val="首行缩进:  0.85 厘米 Char"/>
    <w:link w:val="085"/>
    <w:rPr>
      <w:rFonts w:ascii="Times New Roman" w:eastAsia="宋体" w:hAnsi="Times New Roman" w:cs="宋体"/>
      <w:sz w:val="24"/>
      <w:lang w:eastAsia="en-US" w:bidi="en-US"/>
    </w:rPr>
  </w:style>
  <w:style w:type="paragraph" w:customStyle="1" w:styleId="085">
    <w:name w:val="首行缩进:  0.85 厘米"/>
    <w:basedOn w:val="Normal"/>
    <w:link w:val="085Char"/>
    <w:pPr>
      <w:widowControl/>
      <w:spacing w:line="360" w:lineRule="auto"/>
      <w:ind w:firstLine="480"/>
      <w:jc w:val="left"/>
    </w:pPr>
    <w:rPr>
      <w:rFonts w:cs="宋体"/>
      <w:kern w:val="0"/>
      <w:sz w:val="24"/>
      <w:szCs w:val="20"/>
      <w:lang w:eastAsia="en-US" w:bidi="en-US"/>
    </w:rPr>
  </w:style>
  <w:style w:type="character" w:customStyle="1" w:styleId="3CharChar">
    <w:name w:val="标题 3 Char Char"/>
    <w:rPr>
      <w:rFonts w:ascii="Times New Roman" w:eastAsia="宋体" w:hAnsi="Times New Roman" w:cs="Times New Roman"/>
      <w:b/>
      <w:bCs/>
      <w:kern w:val="2"/>
      <w:sz w:val="32"/>
      <w:szCs w:val="32"/>
      <w:lang w:val="en-US" w:eastAsia="zh-CN" w:bidi="ar-SA"/>
    </w:rPr>
  </w:style>
  <w:style w:type="character" w:customStyle="1" w:styleId="Char21">
    <w:name w:val="纯文本 Char2"/>
    <w:rPr>
      <w:rFonts w:ascii="宋体" w:eastAsia="宋体" w:hAnsi="Courier New" w:cs="Times New Roman"/>
      <w:kern w:val="2"/>
      <w:sz w:val="21"/>
      <w:lang w:val="en-US" w:eastAsia="zh-CN" w:bidi="ar-SA"/>
    </w:rPr>
  </w:style>
  <w:style w:type="character" w:customStyle="1" w:styleId="thumb">
    <w:name w:val="thumb"/>
    <w:rPr>
      <w:rFonts w:ascii="Times New Roman" w:eastAsia="宋体" w:hAnsi="Times New Roman" w:cs="Times New Roman"/>
      <w:vanish/>
    </w:rPr>
  </w:style>
  <w:style w:type="character" w:customStyle="1" w:styleId="hover1">
    <w:name w:val="hover1"/>
    <w:rPr>
      <w:rFonts w:ascii="Times New Roman" w:eastAsia="宋体" w:hAnsi="Times New Roman" w:cs="Times New Roman"/>
      <w:color w:val="2590EB"/>
      <w:shd w:val="clear" w:color="auto" w:fill="E9F4FD"/>
    </w:rPr>
  </w:style>
  <w:style w:type="character" w:customStyle="1" w:styleId="span3">
    <w:name w:val="span3"/>
    <w:rPr>
      <w:rFonts w:ascii="Times New Roman" w:eastAsia="宋体" w:hAnsi="Times New Roman" w:cs="Times New Roman"/>
    </w:rPr>
  </w:style>
  <w:style w:type="character" w:customStyle="1" w:styleId="ca-32">
    <w:name w:val="ca-32"/>
    <w:rPr>
      <w:rFonts w:ascii="Times New Roman" w:eastAsia="宋体" w:hAnsi="Times New Roman" w:cs="Times New Roman"/>
    </w:rPr>
  </w:style>
  <w:style w:type="character" w:customStyle="1" w:styleId="font41">
    <w:name w:val="font41"/>
    <w:rPr>
      <w:rFonts w:ascii="Times New Roman" w:eastAsia="宋体" w:hAnsi="Times New Roman" w:cs="Times New Roman"/>
      <w:color w:val="000000"/>
      <w:spacing w:val="260"/>
      <w:sz w:val="18"/>
      <w:szCs w:val="18"/>
      <w:u w:val="none"/>
    </w:rPr>
  </w:style>
  <w:style w:type="character" w:customStyle="1" w:styleId="Char14">
    <w:name w:val="副标题 Char1"/>
    <w:rPr>
      <w:rFonts w:ascii="Cambria" w:eastAsia="宋体" w:hAnsi="Cambria" w:cs="Times New Roman"/>
      <w:b/>
      <w:bCs/>
      <w:kern w:val="28"/>
      <w:sz w:val="32"/>
      <w:szCs w:val="32"/>
    </w:rPr>
  </w:style>
  <w:style w:type="character" w:customStyle="1" w:styleId="2Char10">
    <w:name w:val="正文文本缩进 2 Char1"/>
    <w:rPr>
      <w:rFonts w:ascii="宋体" w:eastAsia="宋体" w:hAnsi="宋体" w:cs="Times New Roman"/>
      <w:kern w:val="0"/>
      <w:sz w:val="20"/>
      <w:szCs w:val="24"/>
    </w:rPr>
  </w:style>
  <w:style w:type="character" w:customStyle="1" w:styleId="bdsmore2">
    <w:name w:val="bds_more2"/>
    <w:rPr>
      <w:rFonts w:ascii="宋体" w:eastAsia="宋体" w:hAnsi="宋体" w:cs="宋体" w:hint="eastAsia"/>
    </w:rPr>
  </w:style>
  <w:style w:type="character" w:customStyle="1" w:styleId="Char15">
    <w:name w:val="正文文字首行缩进 Char"/>
    <w:rPr>
      <w:rFonts w:ascii="Times New Roman" w:eastAsia="宋体" w:hAnsi="Times New Roman" w:cs="Times New Roman"/>
      <w:kern w:val="2"/>
      <w:sz w:val="21"/>
      <w:szCs w:val="24"/>
    </w:rPr>
  </w:style>
  <w:style w:type="character" w:customStyle="1" w:styleId="badge2">
    <w:name w:val="badge2"/>
    <w:rPr>
      <w:rFonts w:ascii="Times New Roman" w:eastAsia="宋体" w:hAnsi="Times New Roman" w:cs="Times New Roman"/>
      <w:color w:val="757575"/>
    </w:rPr>
  </w:style>
  <w:style w:type="character" w:customStyle="1" w:styleId="5Char1">
    <w:name w:val="标题 5 Char1"/>
    <w:rPr>
      <w:rFonts w:ascii="Times New Roman" w:eastAsia="宋体" w:hAnsi="Times New Roman" w:cs="Times New Roman"/>
      <w:b/>
      <w:kern w:val="0"/>
      <w:sz w:val="28"/>
      <w:szCs w:val="20"/>
    </w:rPr>
  </w:style>
  <w:style w:type="character" w:customStyle="1" w:styleId="GTA-2CharChar">
    <w:name w:val="GTA正文-2 Char Char"/>
    <w:link w:val="GTA-2"/>
    <w:rPr>
      <w:rFonts w:ascii="微软雅黑" w:eastAsia="微软雅黑" w:hAnsi="微软雅黑" w:cs="Arial"/>
      <w:sz w:val="24"/>
      <w:szCs w:val="24"/>
    </w:rPr>
  </w:style>
  <w:style w:type="paragraph" w:customStyle="1" w:styleId="GTA-2">
    <w:name w:val="GTA正文-2"/>
    <w:basedOn w:val="Normal"/>
    <w:link w:val="GTA-2CharChar"/>
    <w:pPr>
      <w:snapToGrid w:val="0"/>
      <w:spacing w:beforeLines="50" w:after="156" w:line="480" w:lineRule="atLeast"/>
      <w:ind w:firstLine="480" w:firstLineChars="200"/>
    </w:pPr>
    <w:rPr>
      <w:rFonts w:ascii="微软雅黑" w:eastAsia="微软雅黑" w:hAnsi="微软雅黑"/>
      <w:kern w:val="0"/>
      <w:sz w:val="24"/>
    </w:rPr>
  </w:style>
  <w:style w:type="character" w:customStyle="1" w:styleId="9">
    <w:name w:val="标题 9 字符"/>
    <w:rPr>
      <w:rFonts w:ascii="Arial" w:eastAsia="黑体" w:hAnsi="Arial" w:cs="Times New Roman"/>
      <w:szCs w:val="20"/>
    </w:rPr>
  </w:style>
  <w:style w:type="character" w:customStyle="1" w:styleId="hilite6">
    <w:name w:val="hilite6"/>
    <w:rPr>
      <w:rFonts w:ascii="Times New Roman" w:eastAsia="宋体" w:hAnsi="Times New Roman" w:cs="Times New Roman"/>
      <w:color w:val="000000"/>
    </w:rPr>
  </w:style>
  <w:style w:type="character" w:customStyle="1" w:styleId="hover3">
    <w:name w:val="hover3"/>
    <w:rPr>
      <w:rFonts w:ascii="Times New Roman" w:eastAsia="宋体" w:hAnsi="Times New Roman" w:cs="Times New Roman"/>
      <w:color w:val="2590EB"/>
    </w:rPr>
  </w:style>
  <w:style w:type="character" w:customStyle="1" w:styleId="a4">
    <w:name w:val="批注文字 字符"/>
    <w:rPr>
      <w:rFonts w:ascii="宋体" w:eastAsia="宋体" w:hAnsi="Times New Roman" w:cs="Times New Roman"/>
      <w:kern w:val="0"/>
      <w:sz w:val="34"/>
      <w:szCs w:val="20"/>
    </w:rPr>
  </w:style>
  <w:style w:type="character" w:customStyle="1" w:styleId="a5">
    <w:name w:val="文档结构图 字符"/>
    <w:rPr>
      <w:rFonts w:ascii="Times New Roman" w:eastAsia="宋体" w:hAnsi="Times New Roman" w:cs="Times New Roman"/>
      <w:szCs w:val="24"/>
      <w:shd w:val="clear" w:color="auto" w:fill="000080"/>
    </w:rPr>
  </w:style>
  <w:style w:type="character" w:customStyle="1" w:styleId="a6">
    <w:name w:val="样式 宋体"/>
    <w:rPr>
      <w:rFonts w:ascii="宋体" w:eastAsia="宋体" w:hAnsi="Times New Roman" w:cs="Times New Roman"/>
      <w:sz w:val="24"/>
    </w:rPr>
  </w:style>
  <w:style w:type="character" w:customStyle="1" w:styleId="hilite">
    <w:name w:val="hilite"/>
    <w:rPr>
      <w:rFonts w:ascii="Times New Roman" w:eastAsia="宋体" w:hAnsi="Times New Roman" w:cs="Times New Roman"/>
      <w:color w:val="000000"/>
    </w:rPr>
  </w:style>
  <w:style w:type="character" w:customStyle="1" w:styleId="1">
    <w:name w:val="标题 1 字符"/>
    <w:rPr>
      <w:rFonts w:ascii="宋体" w:eastAsia="黑体" w:hAnsi="宋体" w:cs="Times New Roman"/>
      <w:b/>
      <w:bCs/>
      <w:kern w:val="44"/>
      <w:sz w:val="36"/>
      <w:szCs w:val="36"/>
    </w:rPr>
  </w:style>
  <w:style w:type="character" w:customStyle="1" w:styleId="active">
    <w:name w:val="active"/>
    <w:rPr>
      <w:rFonts w:ascii="Times New Roman" w:eastAsia="宋体" w:hAnsi="Times New Roman" w:cs="Times New Roman"/>
      <w:color w:val="FFFFFF"/>
    </w:rPr>
  </w:style>
  <w:style w:type="character" w:customStyle="1" w:styleId="bdsmore4">
    <w:name w:val="bds_more4"/>
    <w:rPr>
      <w:rFonts w:ascii="Times New Roman" w:eastAsia="宋体" w:hAnsi="Times New Roman" w:cs="Times New Roman"/>
    </w:rPr>
  </w:style>
  <w:style w:type="character" w:customStyle="1" w:styleId="2Char11">
    <w:name w:val="标题 2 Char1"/>
    <w:rPr>
      <w:rFonts w:ascii="宋体" w:eastAsia="宋体" w:hAnsi="宋体" w:cs="Times New Roman"/>
      <w:b/>
      <w:kern w:val="0"/>
      <w:sz w:val="24"/>
      <w:szCs w:val="20"/>
    </w:rPr>
  </w:style>
  <w:style w:type="character" w:customStyle="1" w:styleId="Char16">
    <w:name w:val="纯文本 Char1"/>
    <w:rPr>
      <w:rFonts w:ascii="宋体" w:eastAsia="宋体" w:hAnsi="Courier New" w:cs="Times New Roman"/>
      <w:kern w:val="0"/>
      <w:sz w:val="20"/>
      <w:szCs w:val="20"/>
    </w:rPr>
  </w:style>
  <w:style w:type="character" w:customStyle="1" w:styleId="HTMLChar1">
    <w:name w:val="HTML 预设格式 Char1"/>
    <w:rPr>
      <w:rFonts w:ascii="Arial Unicode MS" w:eastAsia="Arial Unicode MS" w:hAnsi="Arial Unicode MS" w:cs="Times New Roman"/>
      <w:color w:val="000000"/>
      <w:kern w:val="0"/>
      <w:sz w:val="20"/>
      <w:szCs w:val="20"/>
    </w:rPr>
  </w:style>
  <w:style w:type="character" w:customStyle="1" w:styleId="Char17">
    <w:name w:val="缩进正文 Char"/>
    <w:link w:val="a7"/>
    <w:rPr>
      <w:rFonts w:ascii="Times New Roman" w:eastAsia="仿宋_GB2312" w:hAnsi="Times New Roman" w:cs="宋体"/>
      <w:kern w:val="2"/>
      <w:sz w:val="28"/>
      <w:lang w:val="en-US" w:eastAsia="zh-CN" w:bidi="ar-SA"/>
    </w:rPr>
  </w:style>
  <w:style w:type="paragraph" w:customStyle="1" w:styleId="a7">
    <w:name w:val="缩进正文"/>
    <w:basedOn w:val="Normal"/>
    <w:link w:val="Char17"/>
    <w:pPr>
      <w:ind w:firstLine="560" w:firstLineChars="200"/>
    </w:pPr>
    <w:rPr>
      <w:rFonts w:eastAsia="仿宋_GB2312" w:cs="宋体"/>
      <w:sz w:val="28"/>
      <w:szCs w:val="20"/>
    </w:rPr>
  </w:style>
  <w:style w:type="character" w:customStyle="1" w:styleId="hover19">
    <w:name w:val="hover19"/>
    <w:rPr>
      <w:rFonts w:ascii="Times New Roman" w:eastAsia="宋体" w:hAnsi="Times New Roman" w:cs="Times New Roman"/>
    </w:rPr>
  </w:style>
  <w:style w:type="character" w:customStyle="1" w:styleId="6">
    <w:name w:val="标题 6 字符"/>
    <w:rPr>
      <w:rFonts w:ascii="Arial" w:eastAsia="黑体" w:hAnsi="Arial" w:cs="Times New Roman"/>
      <w:b/>
      <w:sz w:val="24"/>
      <w:szCs w:val="20"/>
    </w:rPr>
  </w:style>
  <w:style w:type="character" w:customStyle="1" w:styleId="hover14">
    <w:name w:val="hover14"/>
    <w:rPr>
      <w:rFonts w:ascii="Times New Roman" w:eastAsia="宋体" w:hAnsi="Times New Roman" w:cs="Times New Roman"/>
    </w:rPr>
  </w:style>
  <w:style w:type="character" w:customStyle="1" w:styleId="3Char10">
    <w:name w:val="正文文本缩进 3 Char1"/>
    <w:rPr>
      <w:rFonts w:ascii="宋体" w:eastAsia="宋体" w:hAnsi="Times New Roman" w:cs="Times New Roman"/>
      <w:b/>
      <w:bCs/>
      <w:kern w:val="0"/>
      <w:sz w:val="24"/>
      <w:szCs w:val="24"/>
    </w:rPr>
  </w:style>
  <w:style w:type="character" w:customStyle="1" w:styleId="bdsmore">
    <w:name w:val="bds_more"/>
    <w:rPr>
      <w:rFonts w:ascii="宋体" w:eastAsia="宋体" w:hAnsi="宋体" w:cs="宋体" w:hint="eastAsia"/>
    </w:rPr>
  </w:style>
  <w:style w:type="character" w:customStyle="1" w:styleId="A40">
    <w:name w:val="A4"/>
    <w:rPr>
      <w:rFonts w:ascii="Times New Roman" w:eastAsia="宋体" w:hAnsi="Times New Roman" w:cs="Times New Roman"/>
      <w:color w:val="000000"/>
    </w:rPr>
  </w:style>
  <w:style w:type="character" w:customStyle="1" w:styleId="a8">
    <w:name w:val="正文文本缩进 字符"/>
    <w:rPr>
      <w:rFonts w:ascii="Times New Roman" w:eastAsia="宋体" w:hAnsi="Times New Roman" w:cs="Times New Roman"/>
      <w:szCs w:val="24"/>
    </w:rPr>
  </w:style>
  <w:style w:type="character" w:customStyle="1" w:styleId="style9">
    <w:name w:val="style9"/>
    <w:rPr>
      <w:rFonts w:ascii="Times New Roman" w:eastAsia="宋体" w:hAnsi="Times New Roman" w:cs="Times New Roman"/>
    </w:rPr>
  </w:style>
  <w:style w:type="character" w:customStyle="1" w:styleId="hover20">
    <w:name w:val="hover20"/>
    <w:rPr>
      <w:rFonts w:ascii="Times New Roman" w:eastAsia="宋体" w:hAnsi="Times New Roman" w:cs="Times New Roman"/>
    </w:rPr>
  </w:style>
  <w:style w:type="character" w:customStyle="1" w:styleId="4Char1">
    <w:name w:val="标题 4 Char1"/>
    <w:rPr>
      <w:rFonts w:ascii="Arial" w:eastAsia="黑体" w:hAnsi="Arial" w:cs="Times New Roman"/>
      <w:b/>
      <w:bCs/>
      <w:kern w:val="0"/>
      <w:sz w:val="28"/>
      <w:szCs w:val="28"/>
    </w:rPr>
  </w:style>
  <w:style w:type="character" w:customStyle="1" w:styleId="Char18">
    <w:name w:val="批注主题 Char1"/>
    <w:rPr>
      <w:rFonts w:ascii="Times New Roman" w:eastAsia="宋体" w:hAnsi="Times New Roman" w:cs="Times New Roman"/>
      <w:b/>
      <w:bCs/>
      <w:kern w:val="0"/>
      <w:sz w:val="34"/>
      <w:szCs w:val="24"/>
    </w:rPr>
  </w:style>
  <w:style w:type="character" w:customStyle="1" w:styleId="text">
    <w:name w:val="text"/>
    <w:rPr>
      <w:rFonts w:ascii="Times New Roman" w:eastAsia="宋体" w:hAnsi="Times New Roman" w:cs="Times New Roman"/>
    </w:rPr>
  </w:style>
  <w:style w:type="character" w:customStyle="1" w:styleId="Char19">
    <w:name w:val="标题 Char1"/>
    <w:rPr>
      <w:rFonts w:ascii="Arial" w:eastAsia="隶书" w:hAnsi="Arial" w:cs="Times New Roman"/>
      <w:b/>
      <w:bCs/>
      <w:kern w:val="0"/>
      <w:sz w:val="32"/>
      <w:szCs w:val="32"/>
    </w:rPr>
  </w:style>
  <w:style w:type="character" w:customStyle="1" w:styleId="unnamed4">
    <w:name w:val="unnamed4"/>
    <w:rPr>
      <w:rFonts w:ascii="Times New Roman" w:eastAsia="宋体" w:hAnsi="Times New Roman" w:cs="Times New Roman"/>
    </w:rPr>
  </w:style>
  <w:style w:type="character" w:customStyle="1" w:styleId="content1">
    <w:name w:val="content1"/>
    <w:rPr>
      <w:rFonts w:ascii="??" w:eastAsia="宋体" w:hAnsi="??" w:cs="Times New Roman" w:hint="default"/>
      <w:sz w:val="16"/>
      <w:szCs w:val="16"/>
      <w:u w:val="none"/>
    </w:rPr>
  </w:style>
  <w:style w:type="character" w:customStyle="1" w:styleId="proddescription">
    <w:name w:val="proddescription"/>
    <w:rPr>
      <w:rFonts w:ascii="Times New Roman" w:eastAsia="宋体" w:hAnsi="Times New Roman" w:cs="Times New Roman"/>
    </w:rPr>
  </w:style>
  <w:style w:type="character" w:customStyle="1" w:styleId="Char110">
    <w:name w:val="批注文字 Char1"/>
    <w:rPr>
      <w:rFonts w:ascii="宋体" w:eastAsia="宋体" w:hAnsi="Times New Roman" w:cs="Times New Roman"/>
      <w:kern w:val="0"/>
      <w:sz w:val="34"/>
      <w:szCs w:val="20"/>
    </w:rPr>
  </w:style>
  <w:style w:type="character" w:customStyle="1" w:styleId="gray6">
    <w:name w:val="gray6"/>
    <w:rPr>
      <w:rFonts w:ascii="Times New Roman" w:eastAsia="宋体" w:hAnsi="Times New Roman" w:cs="Times New Roman"/>
    </w:rPr>
  </w:style>
  <w:style w:type="character" w:customStyle="1" w:styleId="Char111">
    <w:name w:val="正文文本缩进 Char1"/>
    <w:rPr>
      <w:rFonts w:ascii="Times New Roman" w:eastAsia="宋体" w:hAnsi="Times New Roman" w:cs="Times New Roman"/>
      <w:kern w:val="0"/>
      <w:sz w:val="20"/>
      <w:szCs w:val="24"/>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rPr>
      <w:rFonts w:ascii="Arial" w:eastAsia="宋体" w:hAnsi="Arial" w:cs="Times New Roman"/>
      <w:sz w:val="21"/>
      <w:szCs w:val="36"/>
      <w:lang w:val="de-DE"/>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pPr>
      <w:widowControl/>
      <w:spacing w:after="160" w:line="320" w:lineRule="exact"/>
      <w:jc w:val="left"/>
    </w:pPr>
    <w:rPr>
      <w:rFonts w:ascii="Arial" w:hAnsi="Arial"/>
      <w:kern w:val="0"/>
      <w:szCs w:val="36"/>
      <w:lang w:val="de-DE"/>
    </w:rPr>
  </w:style>
  <w:style w:type="character" w:customStyle="1" w:styleId="a9">
    <w:name w:val="正文文本 字符"/>
    <w:rPr>
      <w:rFonts w:ascii="Times New Roman" w:eastAsia="宋体" w:hAnsi="Times New Roman" w:cs="Times New Roman"/>
      <w:b/>
      <w:bCs/>
      <w:sz w:val="24"/>
      <w:szCs w:val="24"/>
    </w:rPr>
  </w:style>
  <w:style w:type="character" w:customStyle="1" w:styleId="font2">
    <w:name w:val="font2"/>
    <w:rPr>
      <w:rFonts w:ascii="Times New Roman" w:eastAsia="宋体" w:hAnsi="Times New Roman" w:cs="Times New Roman"/>
    </w:rPr>
  </w:style>
  <w:style w:type="character" w:customStyle="1" w:styleId="span2">
    <w:name w:val="span2"/>
    <w:rPr>
      <w:rFonts w:ascii="Times New Roman" w:eastAsia="宋体" w:hAnsi="Times New Roman" w:cs="Times New Roman"/>
    </w:rPr>
  </w:style>
  <w:style w:type="character" w:customStyle="1" w:styleId="apple-style-span">
    <w:name w:val="apple-style-span"/>
    <w:rPr>
      <w:rFonts w:ascii="Times New Roman" w:eastAsia="宋体" w:hAnsi="Times New Roman" w:cs="Times New Roman"/>
    </w:rPr>
  </w:style>
  <w:style w:type="character" w:customStyle="1" w:styleId="9Char1">
    <w:name w:val="标题 9 Char1"/>
    <w:rPr>
      <w:rFonts w:ascii="Arial" w:eastAsia="黑体" w:hAnsi="Arial" w:cs="Times New Roman"/>
      <w:kern w:val="0"/>
      <w:sz w:val="20"/>
      <w:szCs w:val="20"/>
    </w:rPr>
  </w:style>
  <w:style w:type="character" w:customStyle="1" w:styleId="Char112">
    <w:name w:val="批注框文本 Char1"/>
    <w:rPr>
      <w:rFonts w:ascii="Times New Roman" w:eastAsia="宋体" w:hAnsi="Times New Roman" w:cs="Times New Roman"/>
      <w:kern w:val="0"/>
      <w:sz w:val="18"/>
      <w:szCs w:val="18"/>
    </w:rPr>
  </w:style>
  <w:style w:type="character" w:customStyle="1" w:styleId="20">
    <w:name w:val="正文文本 2 字符"/>
    <w:rPr>
      <w:rFonts w:ascii="Times New Roman" w:eastAsia="宋体" w:hAnsi="Times New Roman" w:cs="Times New Roman"/>
      <w:sz w:val="24"/>
      <w:szCs w:val="24"/>
    </w:rPr>
  </w:style>
  <w:style w:type="character" w:customStyle="1" w:styleId="hover2">
    <w:name w:val="hover2"/>
    <w:rPr>
      <w:rFonts w:ascii="Times New Roman" w:eastAsia="宋体" w:hAnsi="Times New Roman" w:cs="Times New Roman"/>
      <w:color w:val="2590EB"/>
    </w:rPr>
  </w:style>
  <w:style w:type="character" w:customStyle="1" w:styleId="hv">
    <w:name w:val="hv"/>
    <w:rPr>
      <w:rFonts w:ascii="Times New Roman" w:eastAsia="宋体" w:hAnsi="Times New Roman" w:cs="Times New Roman"/>
    </w:rPr>
  </w:style>
  <w:style w:type="character" w:customStyle="1" w:styleId="active5">
    <w:name w:val="active5"/>
    <w:rPr>
      <w:rFonts w:ascii="Times New Roman" w:eastAsia="宋体" w:hAnsi="Times New Roman" w:cs="Times New Roman"/>
      <w:color w:val="FFFFFF"/>
    </w:rPr>
  </w:style>
  <w:style w:type="character" w:customStyle="1" w:styleId="7">
    <w:name w:val="标题 7 字符"/>
    <w:rPr>
      <w:rFonts w:ascii="Times New Roman" w:eastAsia="宋体" w:hAnsi="Times New Roman" w:cs="Times New Roman"/>
      <w:b/>
      <w:sz w:val="24"/>
      <w:szCs w:val="20"/>
    </w:rPr>
  </w:style>
  <w:style w:type="character" w:customStyle="1" w:styleId="21">
    <w:name w:val="标题2"/>
    <w:rPr>
      <w:rFonts w:ascii="Times New Roman" w:eastAsia="宋体" w:hAnsi="Times New Roman" w:cs="Times New Roman"/>
    </w:rPr>
  </w:style>
  <w:style w:type="character" w:customStyle="1" w:styleId="30">
    <w:name w:val="正文文本 3 字符"/>
    <w:rPr>
      <w:rFonts w:ascii="Times New Roman" w:eastAsia="宋体" w:hAnsi="Times New Roman" w:cs="Times New Roman"/>
      <w:sz w:val="16"/>
      <w:szCs w:val="16"/>
    </w:rPr>
  </w:style>
  <w:style w:type="character" w:customStyle="1" w:styleId="active6">
    <w:name w:val="active6"/>
    <w:rPr>
      <w:rFonts w:ascii="Times New Roman" w:eastAsia="宋体" w:hAnsi="Times New Roman" w:cs="Times New Roman"/>
      <w:color w:val="FFFFFF"/>
    </w:rPr>
  </w:style>
  <w:style w:type="character" w:customStyle="1" w:styleId="a10">
    <w:name w:val="样式 小三 加粗"/>
    <w:rPr>
      <w:rFonts w:ascii="Times New Roman" w:eastAsia="宋体" w:hAnsi="Times New Roman" w:cs="Times New Roman"/>
      <w:b/>
      <w:bCs/>
      <w:sz w:val="32"/>
    </w:rPr>
  </w:style>
  <w:style w:type="character" w:customStyle="1" w:styleId="longtext">
    <w:name w:val="long_text"/>
    <w:rPr>
      <w:rFonts w:ascii="Times New Roman" w:eastAsia="宋体" w:hAnsi="Times New Roman" w:cs="Times New Roman"/>
    </w:rPr>
  </w:style>
  <w:style w:type="character" w:customStyle="1" w:styleId="info4">
    <w:name w:val="info4"/>
    <w:rPr>
      <w:rFonts w:ascii="Times New Roman" w:eastAsia="宋体" w:hAnsi="Times New Roman" w:cs="Times New Roman"/>
    </w:rPr>
  </w:style>
  <w:style w:type="character" w:customStyle="1" w:styleId="8Char1">
    <w:name w:val="标题 8 Char1"/>
    <w:rPr>
      <w:rFonts w:ascii="Arial" w:eastAsia="黑体" w:hAnsi="Arial" w:cs="Times New Roman"/>
      <w:kern w:val="0"/>
      <w:sz w:val="24"/>
      <w:szCs w:val="20"/>
    </w:rPr>
  </w:style>
  <w:style w:type="character" w:customStyle="1" w:styleId="H4Char2">
    <w:name w:val="H4 Char2"/>
    <w:rPr>
      <w:rFonts w:ascii="Arial" w:eastAsia="黑体" w:hAnsi="Arial" w:cs="Times New Roman"/>
      <w:b/>
      <w:bCs/>
      <w:kern w:val="2"/>
      <w:sz w:val="28"/>
      <w:szCs w:val="28"/>
      <w:lang w:val="en-US" w:eastAsia="zh-CN" w:bidi="ar-SA"/>
    </w:rPr>
  </w:style>
  <w:style w:type="character" w:customStyle="1" w:styleId="a11">
    <w:name w:val="日期 字符"/>
    <w:rPr>
      <w:rFonts w:ascii="Calibri" w:eastAsia="宋体" w:hAnsi="Calibri" w:cs="Times New Roman"/>
    </w:rPr>
  </w:style>
  <w:style w:type="character" w:customStyle="1" w:styleId="a12">
    <w:name w:val="批注主题 字符"/>
    <w:rPr>
      <w:rFonts w:ascii="Times New Roman" w:eastAsia="宋体" w:hAnsi="Times New Roman" w:cs="Times New Roman"/>
      <w:b/>
      <w:bCs/>
      <w:kern w:val="0"/>
      <w:sz w:val="34"/>
      <w:szCs w:val="24"/>
    </w:rPr>
  </w:style>
  <w:style w:type="character" w:customStyle="1" w:styleId="22">
    <w:name w:val="正文文本缩进 2 字符"/>
    <w:rPr>
      <w:rFonts w:ascii="宋体" w:eastAsia="宋体" w:hAnsi="宋体" w:cs="Times New Roman"/>
      <w:szCs w:val="24"/>
    </w:rPr>
  </w:style>
  <w:style w:type="character" w:customStyle="1" w:styleId="6Char1">
    <w:name w:val="标题 6 Char1"/>
    <w:rPr>
      <w:rFonts w:ascii="Arial" w:eastAsia="黑体" w:hAnsi="Arial" w:cs="Times New Roman"/>
      <w:b/>
      <w:kern w:val="0"/>
      <w:sz w:val="24"/>
      <w:szCs w:val="20"/>
    </w:rPr>
  </w:style>
  <w:style w:type="character" w:customStyle="1" w:styleId="fielderror">
    <w:name w:val="fielderror"/>
    <w:rPr>
      <w:rFonts w:ascii="Times New Roman" w:eastAsia="宋体" w:hAnsi="Times New Roman" w:cs="Times New Roman"/>
      <w:color w:val="800000"/>
    </w:rPr>
  </w:style>
  <w:style w:type="character" w:customStyle="1" w:styleId="bdsmore1">
    <w:name w:val="bds_more1"/>
    <w:rPr>
      <w:rFonts w:ascii="Times New Roman" w:eastAsia="宋体" w:hAnsi="Times New Roman" w:cs="Times New Roman"/>
    </w:rPr>
  </w:style>
  <w:style w:type="character" w:customStyle="1" w:styleId="1Char0">
    <w:name w:val="章标题1 Char"/>
    <w:rPr>
      <w:rFonts w:ascii="Times New Roman" w:eastAsia="宋体" w:hAnsi="Times New Roman" w:cs="Times New Roman"/>
      <w:b/>
      <w:bCs/>
      <w:kern w:val="2"/>
      <w:sz w:val="32"/>
      <w:szCs w:val="32"/>
      <w:lang w:val="en-US" w:eastAsia="zh-CN" w:bidi="ar-SA"/>
    </w:rPr>
  </w:style>
  <w:style w:type="character" w:customStyle="1" w:styleId="black11">
    <w:name w:val="black11"/>
    <w:rPr>
      <w:rFonts w:ascii="Verdana" w:eastAsia="仿宋_GB2312" w:hAnsi="Verdana" w:cs="Times New Roman"/>
      <w:color w:val="000000"/>
      <w:kern w:val="0"/>
      <w:sz w:val="18"/>
      <w:szCs w:val="18"/>
      <w:lang w:eastAsia="en-US"/>
    </w:rPr>
  </w:style>
  <w:style w:type="character" w:customStyle="1" w:styleId="a13">
    <w:name w:val="正文缩进 字符"/>
    <w:rPr>
      <w:rFonts w:ascii="Times New Roman" w:eastAsia="宋体" w:hAnsi="Times New Roman" w:cs="Times New Roman"/>
      <w:szCs w:val="20"/>
    </w:rPr>
  </w:style>
  <w:style w:type="character" w:customStyle="1" w:styleId="23">
    <w:name w:val="标题 2 字符"/>
    <w:rPr>
      <w:rFonts w:ascii="宋体" w:eastAsia="宋体" w:hAnsi="宋体" w:cs="Times New Roman"/>
      <w:b/>
      <w:kern w:val="0"/>
      <w:sz w:val="24"/>
      <w:szCs w:val="20"/>
    </w:rPr>
  </w:style>
  <w:style w:type="character" w:customStyle="1" w:styleId="hv1">
    <w:name w:val="hv1"/>
    <w:rPr>
      <w:rFonts w:ascii="Times New Roman" w:eastAsia="宋体" w:hAnsi="Times New Roman" w:cs="Times New Roman"/>
    </w:rPr>
  </w:style>
  <w:style w:type="character" w:customStyle="1" w:styleId="mini-outputtext1">
    <w:name w:val="mini-outputtext1"/>
    <w:rPr>
      <w:rFonts w:ascii="Times New Roman" w:eastAsia="宋体" w:hAnsi="Times New Roman" w:cs="Times New Roman"/>
    </w:rPr>
  </w:style>
  <w:style w:type="character" w:customStyle="1" w:styleId="2Char12">
    <w:name w:val="正文文本 2 Char1"/>
    <w:rPr>
      <w:rFonts w:ascii="Times New Roman" w:eastAsia="宋体" w:hAnsi="Times New Roman" w:cs="Times New Roman"/>
      <w:kern w:val="0"/>
      <w:sz w:val="24"/>
      <w:szCs w:val="24"/>
    </w:rPr>
  </w:style>
  <w:style w:type="character" w:customStyle="1" w:styleId="font">
    <w:name w:val="font"/>
    <w:rPr>
      <w:rFonts w:ascii="Times New Roman" w:eastAsia="宋体" w:hAnsi="Times New Roman" w:cs="Times New Roman"/>
    </w:rPr>
  </w:style>
  <w:style w:type="character" w:customStyle="1" w:styleId="nth-of-type11">
    <w:name w:val="nth-of-type(1)1"/>
    <w:rPr>
      <w:rFonts w:ascii="Times New Roman" w:eastAsia="宋体" w:hAnsi="Times New Roman" w:cs="Times New Roman"/>
    </w:rPr>
  </w:style>
  <w:style w:type="character" w:customStyle="1" w:styleId="4">
    <w:name w:val="标题 4 字符"/>
    <w:rPr>
      <w:rFonts w:ascii="Arial" w:eastAsia="黑体" w:hAnsi="Arial" w:cs="Times New Roman"/>
      <w:b/>
      <w:bCs/>
      <w:sz w:val="28"/>
      <w:szCs w:val="28"/>
    </w:rPr>
  </w:style>
  <w:style w:type="character" w:customStyle="1" w:styleId="7Char1">
    <w:name w:val="标题 7 Char1"/>
    <w:rPr>
      <w:rFonts w:ascii="Times New Roman" w:eastAsia="宋体" w:hAnsi="Times New Roman" w:cs="Times New Roman"/>
      <w:b/>
      <w:kern w:val="0"/>
      <w:sz w:val="24"/>
      <w:szCs w:val="20"/>
    </w:rPr>
  </w:style>
  <w:style w:type="character" w:customStyle="1" w:styleId="slick-dot-inner">
    <w:name w:val="slick-dot-inner"/>
    <w:rPr>
      <w:rFonts w:ascii="Times New Roman" w:eastAsia="宋体" w:hAnsi="Times New Roman" w:cs="Times New Roman"/>
      <w:shd w:val="clear" w:color="auto" w:fill="DAE0E5"/>
    </w:rPr>
  </w:style>
  <w:style w:type="character" w:customStyle="1" w:styleId="span31">
    <w:name w:val="span31"/>
    <w:rPr>
      <w:rFonts w:ascii="Times New Roman" w:eastAsia="宋体" w:hAnsi="Times New Roman" w:cs="Times New Roman"/>
    </w:rPr>
  </w:style>
  <w:style w:type="character" w:customStyle="1" w:styleId="span41">
    <w:name w:val="span41"/>
    <w:rPr>
      <w:rFonts w:ascii="Times New Roman" w:eastAsia="宋体" w:hAnsi="Times New Roman" w:cs="Times New Roman"/>
    </w:rPr>
  </w:style>
  <w:style w:type="character" w:customStyle="1" w:styleId="grame">
    <w:name w:val="grame"/>
    <w:rPr>
      <w:rFonts w:ascii="Times New Roman" w:eastAsia="宋体" w:hAnsi="Times New Roman" w:cs="Times New Roman"/>
    </w:rPr>
  </w:style>
  <w:style w:type="character" w:customStyle="1" w:styleId="Char113">
    <w:name w:val="日期 Char1"/>
    <w:rPr>
      <w:rFonts w:ascii="Calibri" w:eastAsia="宋体" w:hAnsi="Calibri" w:cs="Times New Roman"/>
      <w:kern w:val="0"/>
      <w:sz w:val="20"/>
      <w:szCs w:val="20"/>
    </w:rPr>
  </w:style>
  <w:style w:type="character" w:customStyle="1" w:styleId="slick-dot-inner1">
    <w:name w:val="slick-dot-inner1"/>
    <w:rPr>
      <w:rFonts w:ascii="Times New Roman" w:eastAsia="宋体" w:hAnsi="Times New Roman" w:cs="Times New Roman"/>
      <w:shd w:val="clear" w:color="auto" w:fill="676D73"/>
    </w:rPr>
  </w:style>
  <w:style w:type="character" w:customStyle="1" w:styleId="3Char11">
    <w:name w:val="正文文本 3 Char1"/>
    <w:rPr>
      <w:rFonts w:ascii="Times New Roman" w:eastAsia="宋体" w:hAnsi="Times New Roman" w:cs="Times New Roman"/>
      <w:kern w:val="0"/>
      <w:sz w:val="16"/>
      <w:szCs w:val="16"/>
    </w:rPr>
  </w:style>
  <w:style w:type="character" w:customStyle="1" w:styleId="a14">
    <w:name w:val="纯文本 字符"/>
    <w:rPr>
      <w:rFonts w:ascii="宋体" w:eastAsia="宋体" w:hAnsi="Courier New" w:cs="Times New Roman"/>
      <w:szCs w:val="20"/>
    </w:rPr>
  </w:style>
  <w:style w:type="character" w:customStyle="1" w:styleId="bdsmore3">
    <w:name w:val="bds_more3"/>
    <w:rPr>
      <w:rFonts w:ascii="Times New Roman" w:eastAsia="宋体" w:hAnsi="Times New Roman" w:cs="Times New Roman"/>
    </w:rPr>
  </w:style>
  <w:style w:type="character" w:customStyle="1" w:styleId="16">
    <w:name w:val="16"/>
    <w:rPr>
      <w:rFonts w:ascii="ˎ̥" w:eastAsia="宋体" w:hAnsi="ˎ̥" w:cs="Times New Roman" w:hint="default"/>
      <w:b/>
      <w:bCs/>
      <w:color w:val="FF0356"/>
      <w:sz w:val="21"/>
      <w:szCs w:val="21"/>
    </w:rPr>
  </w:style>
  <w:style w:type="character" w:customStyle="1" w:styleId="span22">
    <w:name w:val="span22"/>
    <w:rPr>
      <w:rFonts w:ascii="Times New Roman" w:eastAsia="宋体" w:hAnsi="Times New Roman" w:cs="Times New Roman"/>
    </w:rPr>
  </w:style>
  <w:style w:type="character" w:customStyle="1" w:styleId="prodheadlines">
    <w:name w:val="prodheadlines"/>
    <w:rPr>
      <w:rFonts w:ascii="Times New Roman" w:eastAsia="宋体" w:hAnsi="Times New Roman" w:cs="Times New Roman"/>
    </w:rPr>
  </w:style>
  <w:style w:type="character" w:customStyle="1" w:styleId="31">
    <w:name w:val="标题 3 字符"/>
    <w:rPr>
      <w:rFonts w:ascii="宋体" w:eastAsia="宋体" w:hAnsi="宋体" w:cs="Times New Roman"/>
      <w:b/>
      <w:bCs/>
      <w:sz w:val="28"/>
      <w:szCs w:val="32"/>
    </w:rPr>
  </w:style>
  <w:style w:type="character" w:customStyle="1" w:styleId="Char22">
    <w:name w:val="第*章 Char"/>
    <w:rPr>
      <w:rFonts w:ascii="Arial" w:eastAsia="黑体" w:hAnsi="Arial" w:cs="Times New Roman"/>
      <w:b/>
      <w:bCs/>
      <w:kern w:val="2"/>
      <w:sz w:val="32"/>
      <w:szCs w:val="32"/>
    </w:rPr>
  </w:style>
  <w:style w:type="character" w:customStyle="1" w:styleId="st">
    <w:name w:val="st"/>
    <w:rPr>
      <w:rFonts w:ascii="Times New Roman" w:eastAsia="宋体" w:hAnsi="Times New Roman" w:cs="Times New Roman"/>
    </w:rPr>
  </w:style>
  <w:style w:type="character" w:customStyle="1" w:styleId="alt-edited1">
    <w:name w:val="alt-edited1"/>
    <w:rPr>
      <w:rFonts w:ascii="Times New Roman" w:eastAsia="宋体" w:hAnsi="Times New Roman" w:cs="Times New Roman"/>
      <w:color w:val="4D90F0"/>
    </w:rPr>
  </w:style>
  <w:style w:type="character" w:customStyle="1" w:styleId="--CharChar">
    <w:name w:val="--规划正文 Char Char"/>
    <w:rPr>
      <w:rFonts w:ascii="Times New Roman" w:eastAsia="宋体" w:hAnsi="Times New Roman" w:cs="Times New Roman"/>
      <w:kern w:val="2"/>
      <w:sz w:val="24"/>
      <w:szCs w:val="24"/>
      <w:lang w:val="en-US" w:eastAsia="zh-CN" w:bidi="ar-SA"/>
    </w:rPr>
  </w:style>
  <w:style w:type="character" w:customStyle="1" w:styleId="1Char1">
    <w:name w:val="标题 1 Char1"/>
    <w:rPr>
      <w:rFonts w:ascii="宋体" w:eastAsia="黑体" w:hAnsi="宋体" w:cs="Times New Roman"/>
      <w:b/>
      <w:bCs/>
      <w:kern w:val="44"/>
      <w:sz w:val="36"/>
      <w:szCs w:val="36"/>
    </w:rPr>
  </w:style>
  <w:style w:type="character" w:customStyle="1" w:styleId="mode">
    <w:name w:val="mode"/>
    <w:rPr>
      <w:rFonts w:ascii="Times New Roman" w:eastAsia="宋体" w:hAnsi="Times New Roman" w:cs="Times New Roman"/>
    </w:rPr>
  </w:style>
  <w:style w:type="character" w:customStyle="1" w:styleId="span1">
    <w:name w:val="span1"/>
    <w:rPr>
      <w:rFonts w:ascii="Times New Roman" w:eastAsia="宋体" w:hAnsi="Times New Roman" w:cs="Times New Roman"/>
      <w:b/>
      <w:sz w:val="21"/>
      <w:szCs w:val="21"/>
    </w:rPr>
  </w:style>
  <w:style w:type="character" w:customStyle="1" w:styleId="a15">
    <w:name w:val="页脚 字符"/>
    <w:rPr>
      <w:rFonts w:ascii="Calibri" w:eastAsia="宋体" w:hAnsi="Calibri" w:cs="Times New Roman"/>
      <w:sz w:val="18"/>
      <w:szCs w:val="18"/>
    </w:rPr>
  </w:style>
  <w:style w:type="character" w:customStyle="1" w:styleId="a16">
    <w:name w:val="页眉 字符"/>
    <w:rPr>
      <w:rFonts w:ascii="Calibri" w:eastAsia="宋体" w:hAnsi="Calibri" w:cs="Times New Roman"/>
      <w:sz w:val="18"/>
      <w:szCs w:val="18"/>
    </w:rPr>
  </w:style>
  <w:style w:type="character" w:customStyle="1" w:styleId="inline-help">
    <w:name w:val="inline-help"/>
    <w:rPr>
      <w:rFonts w:ascii="Times New Roman" w:eastAsia="宋体" w:hAnsi="Times New Roman" w:cs="Times New Roman"/>
    </w:rPr>
  </w:style>
  <w:style w:type="character" w:customStyle="1" w:styleId="shorttext">
    <w:name w:val="short_text"/>
    <w:rPr>
      <w:rFonts w:ascii="Times New Roman" w:eastAsia="宋体" w:hAnsi="Times New Roman" w:cs="Times New Roman"/>
    </w:rPr>
  </w:style>
  <w:style w:type="character" w:customStyle="1" w:styleId="hover">
    <w:name w:val="hover"/>
    <w:rPr>
      <w:rFonts w:ascii="Times New Roman" w:eastAsia="宋体" w:hAnsi="Times New Roman" w:cs="Times New Roman"/>
    </w:rPr>
  </w:style>
  <w:style w:type="character" w:customStyle="1" w:styleId="bdsnopic2">
    <w:name w:val="bds_nopic2"/>
    <w:rPr>
      <w:rFonts w:ascii="Times New Roman" w:eastAsia="宋体" w:hAnsi="Times New Roman" w:cs="Times New Roman"/>
    </w:rPr>
  </w:style>
  <w:style w:type="character" w:customStyle="1" w:styleId="5">
    <w:name w:val="标题 5 字符"/>
    <w:rPr>
      <w:rFonts w:ascii="Times New Roman" w:eastAsia="宋体" w:hAnsi="Times New Roman" w:cs="Times New Roman"/>
      <w:b/>
      <w:sz w:val="28"/>
      <w:szCs w:val="20"/>
    </w:rPr>
  </w:style>
  <w:style w:type="character" w:customStyle="1" w:styleId="hover4">
    <w:name w:val="hover4"/>
    <w:rPr>
      <w:rFonts w:ascii="Times New Roman" w:eastAsia="宋体" w:hAnsi="Times New Roman" w:cs="Times New Roman"/>
    </w:rPr>
  </w:style>
  <w:style w:type="character" w:customStyle="1" w:styleId="entry--no-results-link">
    <w:name w:val="entry--no-results-link"/>
    <w:rPr>
      <w:rFonts w:ascii="Times New Roman" w:eastAsia="宋体" w:hAnsi="Times New Roman" w:cs="Times New Roman"/>
      <w:b/>
      <w:caps/>
      <w:color w:val="00539F"/>
    </w:rPr>
  </w:style>
  <w:style w:type="character" w:customStyle="1" w:styleId="bdsnopic1">
    <w:name w:val="bds_nopic1"/>
    <w:rPr>
      <w:rFonts w:ascii="Times New Roman" w:eastAsia="宋体" w:hAnsi="Times New Roman" w:cs="Times New Roman"/>
    </w:rPr>
  </w:style>
  <w:style w:type="paragraph" w:customStyle="1" w:styleId="a17">
    <w:name w:val="封面文档标题"/>
    <w:basedOn w:val="Normal"/>
    <w:pPr>
      <w:autoSpaceDE w:val="0"/>
      <w:autoSpaceDN w:val="0"/>
      <w:adjustRightInd w:val="0"/>
      <w:spacing w:line="360" w:lineRule="auto"/>
      <w:jc w:val="center"/>
    </w:pPr>
    <w:rPr>
      <w:rFonts w:ascii="Arial" w:eastAsia="宋体" w:hAnsi="Arial" w:cs="Times New Roman"/>
      <w:b/>
      <w:kern w:val="0"/>
      <w:sz w:val="56"/>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808000"/>
      <w:kern w:val="0"/>
      <w:sz w:val="20"/>
      <w:szCs w:val="20"/>
    </w:rPr>
  </w:style>
  <w:style w:type="paragraph" w:customStyle="1" w:styleId="Style2">
    <w:name w:val="_Style 2"/>
    <w:basedOn w:val="Normal"/>
    <w:pPr>
      <w:ind w:firstLine="420" w:firstLineChars="200"/>
    </w:pPr>
    <w:rPr>
      <w:rFonts w:ascii="Calibri" w:eastAsia="宋体" w:hAnsi="Calibri" w:cs="Times New Roman"/>
    </w:rPr>
  </w:style>
  <w:style w:type="paragraph" w:customStyle="1" w:styleId="NoSpacing1">
    <w:name w:val="No Spacing1"/>
    <w:pPr>
      <w:suppressAutoHyphens/>
    </w:pPr>
    <w:rPr>
      <w:color w:val="00000A"/>
      <w:sz w:val="22"/>
      <w:szCs w:val="22"/>
      <w:lang w:val="en-US" w:eastAsia="zh-CN" w:bidi="ar-SA"/>
    </w:rPr>
  </w:style>
  <w:style w:type="paragraph" w:customStyle="1" w:styleId="xl52">
    <w:name w:val="xl5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CC00"/>
      <w:kern w:val="0"/>
      <w:sz w:val="24"/>
    </w:rPr>
  </w:style>
  <w:style w:type="paragraph" w:customStyle="1" w:styleId="xmsonormal">
    <w:name w:val="x_msonormal"/>
    <w:basedOn w:val="Normal"/>
    <w:pPr>
      <w:widowControl/>
      <w:spacing w:before="100" w:beforeAutospacing="1" w:after="100" w:afterAutospacing="1"/>
      <w:jc w:val="left"/>
    </w:pPr>
    <w:rPr>
      <w:rFonts w:ascii="PMingLiU" w:eastAsia="PMingLiU" w:hAnsi="PMingLiU" w:cs="PMingLiU"/>
      <w:kern w:val="0"/>
      <w:sz w:val="24"/>
      <w:lang w:eastAsia="zh-TW"/>
    </w:rPr>
  </w:style>
  <w:style w:type="paragraph" w:customStyle="1" w:styleId="xl53">
    <w:name w:val="xl5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00FF"/>
      <w:kern w:val="0"/>
      <w:sz w:val="24"/>
    </w:rPr>
  </w:style>
  <w:style w:type="paragraph" w:customStyle="1" w:styleId="font16">
    <w:name w:val="font16"/>
    <w:basedOn w:val="Normal"/>
    <w:pPr>
      <w:widowControl/>
      <w:spacing w:before="100" w:beforeAutospacing="1" w:after="100" w:afterAutospacing="1"/>
      <w:jc w:val="left"/>
    </w:pPr>
    <w:rPr>
      <w:rFonts w:ascii="宋体" w:eastAsia="宋体" w:hAnsi="宋体" w:cs="Times New Roman" w:hint="eastAsia"/>
      <w:color w:val="008000"/>
      <w:kern w:val="0"/>
      <w:sz w:val="24"/>
    </w:rPr>
  </w:style>
  <w:style w:type="paragraph" w:customStyle="1" w:styleId="80">
    <w:name w:val="列出段落8"/>
    <w:basedOn w:val="Normal"/>
    <w:pPr>
      <w:ind w:firstLine="420" w:firstLineChars="200"/>
    </w:pPr>
    <w:rPr>
      <w:rFonts w:ascii="Times New Roman" w:eastAsia="宋体" w:hAnsi="Times New Roman" w:cs="Times New Roman"/>
      <w:szCs w:val="21"/>
    </w:rPr>
  </w:style>
  <w:style w:type="paragraph" w:customStyle="1" w:styleId="70">
    <w:name w:val="列出段落7"/>
    <w:basedOn w:val="Normal"/>
    <w:pPr>
      <w:ind w:firstLine="420" w:firstLineChars="200"/>
    </w:pPr>
    <w:rPr>
      <w:rFonts w:ascii="Times New Roman" w:eastAsia="宋体" w:hAnsi="Times New Roman" w:cs="Times New Roman"/>
      <w:szCs w:val="20"/>
    </w:rPr>
  </w:style>
  <w:style w:type="paragraph" w:customStyle="1" w:styleId="word">
    <w:name w:val="word"/>
    <w:basedOn w:val="Normal"/>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qw">
    <w:name w:val="qw"/>
    <w:pPr>
      <w:widowControl w:val="0"/>
      <w:adjustRightInd w:val="0"/>
      <w:spacing w:line="312" w:lineRule="atLeast"/>
      <w:jc w:val="both"/>
      <w:textAlignment w:val="baseline"/>
    </w:pPr>
    <w:rPr>
      <w:rFonts w:ascii="宋体"/>
      <w:sz w:val="24"/>
      <w:lang w:val="en-US" w:eastAsia="zh-CN" w:bidi="ar-SA"/>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333399"/>
      <w:kern w:val="0"/>
      <w:sz w:val="24"/>
    </w:rPr>
  </w:style>
  <w:style w:type="paragraph" w:customStyle="1" w:styleId="CharCharCharCharCharCharChar1">
    <w:name w:val="Char Char Char Char Char Char Char1"/>
    <w:basedOn w:val="Normal"/>
    <w:pPr>
      <w:widowControl/>
      <w:spacing w:after="160" w:line="240" w:lineRule="exact"/>
      <w:jc w:val="left"/>
    </w:pPr>
    <w:rPr>
      <w:rFonts w:ascii="Times New Roman" w:eastAsia="宋体" w:hAnsi="Times New Roman" w:cs="Times New Roman"/>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FF00"/>
      <w:kern w:val="0"/>
      <w:sz w:val="24"/>
    </w:rPr>
  </w:style>
  <w:style w:type="paragraph" w:customStyle="1" w:styleId="ListParagraph1">
    <w:name w:val="List Paragraph1"/>
    <w:basedOn w:val="Normal"/>
    <w:pPr>
      <w:ind w:firstLine="420" w:firstLineChars="200"/>
    </w:pPr>
    <w:rPr>
      <w:rFonts w:ascii="Calibri" w:eastAsia="宋体" w:hAnsi="Calibri" w:cs="Times New Roman"/>
      <w:szCs w:val="22"/>
    </w:rPr>
  </w:style>
  <w:style w:type="paragraph" w:customStyle="1" w:styleId="xl54">
    <w:name w:val="xl5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808080"/>
      <w:kern w:val="0"/>
      <w:sz w:val="24"/>
    </w:rPr>
  </w:style>
  <w:style w:type="paragraph" w:customStyle="1" w:styleId="CharCharCharCharCharCharCharCharCharCharChar">
    <w:name w:val="Char Char Char Char Char Char Char Char Char Char Char"/>
    <w:basedOn w:val="Normal"/>
    <w:rPr>
      <w:rFonts w:ascii="Tahoma" w:eastAsia="宋体" w:hAnsi="Tahoma" w:cs="Times New Roman"/>
      <w:sz w:val="24"/>
      <w:szCs w:val="20"/>
    </w:rPr>
  </w:style>
  <w:style w:type="paragraph" w:customStyle="1" w:styleId="a18">
    <w:name w:val="评价"/>
    <w:basedOn w:val="Normal"/>
    <w:pPr>
      <w:spacing w:afterLines="20"/>
      <w:ind w:firstLine="1446" w:firstLineChars="200"/>
    </w:pPr>
    <w:rPr>
      <w:rFonts w:ascii="Calibri" w:eastAsia="宋体" w:hAnsi="Calibri" w:cs="Times New Roman"/>
      <w:sz w:val="24"/>
    </w:rPr>
  </w:style>
  <w:style w:type="paragraph" w:customStyle="1" w:styleId="Style1">
    <w:name w:val="_Style 1"/>
    <w:basedOn w:val="Normal"/>
    <w:pPr>
      <w:ind w:firstLine="420" w:firstLineChars="200"/>
    </w:pPr>
    <w:rPr>
      <w:rFonts w:ascii="Times New Roman" w:eastAsia="宋体" w:hAnsi="Times New Roman" w:cs="Times New Roman"/>
    </w:rPr>
  </w:style>
  <w:style w:type="paragraph" w:customStyle="1" w:styleId="--Char">
    <w:name w:val="--规划正文 Char"/>
    <w:basedOn w:val="Normal"/>
    <w:pPr>
      <w:spacing w:line="360" w:lineRule="auto"/>
      <w:ind w:firstLine="200" w:firstLineChars="200"/>
    </w:pPr>
    <w:rPr>
      <w:rFonts w:ascii="Times New Roman" w:eastAsia="宋体" w:hAnsi="Times New Roman" w:cs="Times New Roman"/>
      <w:sz w:val="24"/>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808000"/>
      <w:kern w:val="0"/>
      <w:sz w:val="24"/>
    </w:rPr>
  </w:style>
  <w:style w:type="paragraph" w:customStyle="1" w:styleId="Style264">
    <w:name w:val="_Style 264"/>
    <w:basedOn w:val="Normal"/>
    <w:next w:val="Normal"/>
    <w:pPr>
      <w:widowControl/>
      <w:pBdr>
        <w:top w:val="single" w:sz="6" w:space="1" w:color="auto"/>
      </w:pBdr>
      <w:jc w:val="center"/>
    </w:pPr>
    <w:rPr>
      <w:rFonts w:ascii="Arial" w:eastAsia="宋体" w:hAnsi="Arial" w:cs="Arial"/>
      <w:vanish/>
      <w:kern w:val="0"/>
      <w:sz w:val="16"/>
      <w:szCs w:val="16"/>
    </w:rPr>
  </w:style>
  <w:style w:type="paragraph" w:customStyle="1" w:styleId="font8">
    <w:name w:val="font8"/>
    <w:basedOn w:val="Normal"/>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BodyText1I2">
    <w:name w:val="BodyText1I2"/>
    <w:pPr>
      <w:widowControl w:val="0"/>
      <w:ind w:left="420" w:firstLine="420" w:firstLineChars="200"/>
      <w:jc w:val="both"/>
    </w:pPr>
    <w:rPr>
      <w:rFonts w:ascii="楷体_GB2312" w:eastAsia="楷体_GB2312"/>
      <w:kern w:val="2"/>
      <w:sz w:val="28"/>
      <w:szCs w:val="24"/>
      <w:lang w:val="en-US" w:eastAsia="zh-CN" w:bidi="ar-SA"/>
    </w:rPr>
  </w:style>
  <w:style w:type="paragraph" w:customStyle="1" w:styleId="a19">
    <w:name w:val="保留正文"/>
    <w:basedOn w:val="BodyText"/>
    <w:pPr>
      <w:keepNext/>
      <w:spacing w:after="160" w:line="240" w:lineRule="auto"/>
    </w:pPr>
    <w:rPr>
      <w:rFonts w:ascii="Times New Roman" w:eastAsia="宋体" w:hAnsi="Times New Roman" w:cs="Times New Roman"/>
      <w:b w:val="0"/>
      <w:bCs w:val="0"/>
      <w:sz w:val="21"/>
    </w:rPr>
  </w:style>
  <w:style w:type="paragraph" w:customStyle="1" w:styleId="a20">
    <w:name w:val="*正文"/>
    <w:pPr>
      <w:widowControl w:val="0"/>
      <w:spacing w:line="300" w:lineRule="auto"/>
      <w:ind w:firstLine="200" w:firstLineChars="200"/>
      <w:jc w:val="both"/>
    </w:pPr>
    <w:rPr>
      <w:rFonts w:eastAsia="仿宋"/>
      <w:kern w:val="2"/>
      <w:sz w:val="24"/>
      <w:szCs w:val="24"/>
      <w:lang w:val="en-US" w:eastAsia="zh-CN" w:bidi="ar-SA"/>
    </w:rPr>
  </w:style>
  <w:style w:type="paragraph" w:customStyle="1" w:styleId="font6">
    <w:name w:val="font6"/>
    <w:basedOn w:val="Normal"/>
    <w:pPr>
      <w:widowControl/>
      <w:spacing w:before="100" w:beforeAutospacing="1" w:after="100" w:afterAutospacing="1"/>
      <w:jc w:val="left"/>
    </w:pPr>
    <w:rPr>
      <w:rFonts w:ascii="Times New Roman" w:eastAsia="宋体" w:hAnsi="Times New Roman" w:cs="Times New Roman"/>
      <w:kern w:val="0"/>
      <w:sz w:val="24"/>
    </w:rPr>
  </w:style>
  <w:style w:type="paragraph" w:customStyle="1" w:styleId="NormalIndent0">
    <w:name w:val="NormalIndent"/>
    <w:pPr>
      <w:ind w:firstLine="420" w:firstLineChars="200"/>
      <w:jc w:val="both"/>
    </w:pPr>
    <w:rPr>
      <w:kern w:val="2"/>
      <w:sz w:val="21"/>
      <w:szCs w:val="24"/>
      <w:lang w:val="en-US" w:eastAsia="zh-CN" w:bidi="ar-SA"/>
    </w:rPr>
  </w:style>
  <w:style w:type="paragraph" w:customStyle="1" w:styleId="Default">
    <w:name w:val="Defaul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font14">
    <w:name w:val="font14"/>
    <w:basedOn w:val="Normal"/>
    <w:pPr>
      <w:widowControl/>
      <w:spacing w:before="100" w:beforeAutospacing="1" w:after="100" w:afterAutospacing="1"/>
      <w:jc w:val="left"/>
    </w:pPr>
    <w:rPr>
      <w:rFonts w:ascii="Times New Roman" w:eastAsia="宋体" w:hAnsi="Times New Roman" w:cs="Times New Roman"/>
      <w:color w:val="FFFF00"/>
      <w:kern w:val="0"/>
      <w:sz w:val="24"/>
    </w:rPr>
  </w:style>
  <w:style w:type="paragraph" w:customStyle="1" w:styleId="a21">
    <w:name w:val="表格顶格文字"/>
    <w:basedOn w:val="Normal"/>
    <w:rPr>
      <w:rFonts w:ascii="仿宋" w:eastAsia="宋体" w:hAnsi="仿宋" w:cs="Times New Roman"/>
    </w:rPr>
  </w:style>
  <w:style w:type="paragraph" w:customStyle="1" w:styleId="a22">
    <w:name w:val="正文样式"/>
    <w:basedOn w:val="Normal"/>
    <w:pPr>
      <w:adjustRightInd w:val="0"/>
      <w:spacing w:line="400" w:lineRule="atLeast"/>
      <w:ind w:firstLine="570" w:firstLineChars="203"/>
      <w:textAlignment w:val="baseline"/>
    </w:pPr>
    <w:rPr>
      <w:rFonts w:ascii="Times New Roman" w:eastAsia="仿宋_GB2312" w:hAnsi="Times New Roman" w:cs="Times New Roman"/>
      <w:kern w:val="0"/>
      <w:sz w:val="28"/>
      <w:szCs w:val="20"/>
    </w:rPr>
  </w:style>
  <w:style w:type="paragraph" w:customStyle="1" w:styleId="xl64">
    <w:name w:val="xl6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CC99FF"/>
      <w:kern w:val="0"/>
      <w:sz w:val="24"/>
    </w:rPr>
  </w:style>
  <w:style w:type="paragraph" w:customStyle="1" w:styleId="Char120">
    <w:name w:val="Char12"/>
    <w:basedOn w:val="Normal"/>
    <w:pPr>
      <w:tabs>
        <w:tab w:val="left" w:pos="360"/>
      </w:tabs>
    </w:pPr>
    <w:rPr>
      <w:rFonts w:ascii="Times New Roman" w:eastAsia="宋体" w:hAnsi="Times New Roman" w:cs="Times New Roman"/>
      <w:sz w:val="24"/>
    </w:rPr>
  </w:style>
  <w:style w:type="paragraph" w:customStyle="1" w:styleId="TableContents">
    <w:name w:val="Table Contents"/>
    <w:basedOn w:val="Normal"/>
    <w:pPr>
      <w:suppressAutoHyphens/>
      <w:autoSpaceDE w:val="0"/>
      <w:spacing w:after="120"/>
      <w:jc w:val="left"/>
    </w:pPr>
    <w:rPr>
      <w:rFonts w:ascii="Helvetica" w:eastAsia="宋体" w:hAnsi="Helvetica" w:cs="Times New Roman"/>
      <w:kern w:val="1"/>
      <w:sz w:val="20"/>
      <w:szCs w:val="20"/>
    </w:rPr>
  </w:style>
  <w:style w:type="paragraph" w:customStyle="1" w:styleId="blue1">
    <w:name w:val="blue1"/>
    <w:basedOn w:val="Normal"/>
    <w:pPr>
      <w:widowControl/>
      <w:spacing w:before="100" w:beforeAutospacing="1" w:after="100" w:afterAutospacing="1"/>
      <w:jc w:val="left"/>
    </w:pPr>
    <w:rPr>
      <w:rFonts w:ascii="宋体" w:eastAsia="宋体" w:hAnsi="宋体" w:cs="宋体"/>
      <w:kern w:val="0"/>
      <w:sz w:val="24"/>
    </w:rPr>
  </w:style>
  <w:style w:type="paragraph" w:customStyle="1" w:styleId="style20">
    <w:name w:val="style2"/>
    <w:basedOn w:val="Normal"/>
    <w:pPr>
      <w:widowControl/>
      <w:spacing w:before="100" w:beforeAutospacing="1" w:after="100" w:afterAutospacing="1"/>
      <w:jc w:val="left"/>
    </w:pPr>
    <w:rPr>
      <w:rFonts w:ascii="宋体" w:eastAsia="宋体" w:hAnsi="宋体" w:cs="宋体"/>
      <w:kern w:val="0"/>
      <w:sz w:val="18"/>
      <w:szCs w:val="18"/>
    </w:rPr>
  </w:style>
  <w:style w:type="paragraph" w:customStyle="1" w:styleId="a23">
    <w:name w:val="段落正文"/>
    <w:basedOn w:val="PlainText"/>
    <w:pPr>
      <w:ind w:firstLine="560" w:firstLineChars="200"/>
    </w:pPr>
    <w:rPr>
      <w:rFonts w:ascii="Times New Roman" w:eastAsia="宋体" w:hAnsi="Times New Roman" w:cs="Times New Roman"/>
      <w:sz w:val="28"/>
    </w:rPr>
  </w:style>
  <w:style w:type="paragraph" w:customStyle="1" w:styleId="Style408">
    <w:name w:val="_Style 408"/>
    <w:basedOn w:val="Heading1"/>
    <w:next w:val="Normal"/>
    <w:pPr>
      <w:widowControl/>
      <w:spacing w:before="480" w:after="0" w:line="276" w:lineRule="auto"/>
      <w:jc w:val="left"/>
      <w:outlineLvl w:val="9"/>
    </w:pPr>
    <w:rPr>
      <w:rFonts w:ascii="Cambria" w:eastAsia="宋体" w:hAnsi="Cambria" w:cs="Times New Roman"/>
      <w:color w:val="365F91"/>
      <w:kern w:val="0"/>
      <w:szCs w:val="28"/>
    </w:rPr>
  </w:style>
  <w:style w:type="paragraph" w:customStyle="1" w:styleId="Char23">
    <w:name w:val="文档正文 Char"/>
    <w:basedOn w:val="Normal"/>
    <w:pPr>
      <w:adjustRightInd w:val="0"/>
      <w:spacing w:line="500" w:lineRule="exact"/>
      <w:ind w:firstLine="567"/>
      <w:textAlignment w:val="baseline"/>
    </w:pPr>
    <w:rPr>
      <w:rFonts w:ascii="仿宋_GB2312" w:eastAsia="仿宋_GB2312" w:hAnsi="Times New Roman" w:cs="Times New Roman"/>
      <w:sz w:val="28"/>
    </w:rPr>
  </w:style>
  <w:style w:type="paragraph" w:customStyle="1" w:styleId="a24">
    <w:name w:val="图"/>
    <w:basedOn w:val="Normal"/>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CharCharCharCharCharChar1CharCharCharCharCharCharCharCharCharCharCharCharChar">
    <w:name w:val="Char Char Char Char Char Char1 Char Char Char Char Char Char Char Char Char Char Char Char Char"/>
    <w:basedOn w:val="Normal"/>
    <w:pPr>
      <w:widowControl/>
      <w:spacing w:after="160" w:line="240" w:lineRule="exact"/>
      <w:jc w:val="left"/>
    </w:pPr>
    <w:rPr>
      <w:rFonts w:ascii="Arial" w:eastAsia="Times New Roman" w:hAnsi="Arial" w:cs="Verdana"/>
      <w:b/>
      <w:kern w:val="0"/>
      <w:sz w:val="24"/>
      <w:lang w:eastAsia="en-US"/>
    </w:rPr>
  </w:style>
  <w:style w:type="paragraph" w:customStyle="1" w:styleId="a25">
    <w:name w:val="设计依据"/>
    <w:basedOn w:val="BodyText"/>
    <w:pPr>
      <w:numPr>
        <w:ilvl w:val="1"/>
        <w:numId w:val="2"/>
      </w:numPr>
      <w:tabs>
        <w:tab w:val="clear" w:pos="840"/>
        <w:tab w:val="left" w:pos="1440"/>
      </w:tabs>
      <w:adjustRightInd w:val="0"/>
      <w:ind w:left="1440"/>
      <w:textAlignment w:val="baseline"/>
    </w:pPr>
    <w:rPr>
      <w:rFonts w:ascii="宋体" w:eastAsia="宋体" w:hAnsi="宋体" w:cs="Times New Roman"/>
      <w:b w:val="0"/>
      <w:kern w:val="0"/>
      <w:sz w:val="28"/>
      <w:szCs w:val="18"/>
    </w:rPr>
  </w:style>
  <w:style w:type="paragraph" w:customStyle="1" w:styleId="2GB23120015">
    <w:name w:val="样式 标题 2 + 仿宋_GB2312 五号 非加粗 段前: 0 磅 段后: 0 磅 行距: 1.5 倍行距"/>
    <w:basedOn w:val="Heading2"/>
    <w:next w:val="Normal"/>
    <w:pPr>
      <w:adjustRightInd/>
      <w:spacing w:line="360" w:lineRule="auto"/>
      <w:ind w:left="369" w:right="-159" w:hanging="65" w:leftChars="304" w:rightChars="-159" w:hangingChars="65"/>
      <w:jc w:val="both"/>
      <w:textAlignment w:val="auto"/>
    </w:pPr>
    <w:rPr>
      <w:rFonts w:ascii="仿宋_GB2312" w:eastAsia="仿宋_GB2312" w:hAnsi="仿宋_GB2312" w:cs="宋体"/>
      <w:bCs w:val="0"/>
      <w:sz w:val="21"/>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50">
    <w:name w:val="5"/>
    <w:basedOn w:val="Normal"/>
    <w:pPr>
      <w:autoSpaceDE w:val="0"/>
      <w:autoSpaceDN w:val="0"/>
      <w:adjustRightInd w:val="0"/>
      <w:jc w:val="left"/>
    </w:pPr>
    <w:rPr>
      <w:rFonts w:ascii="宋体" w:eastAsia="宋体" w:hAnsi="Times New Roman" w:cs="Times New Roman"/>
      <w:b/>
      <w:bCs/>
      <w:kern w:val="0"/>
      <w:sz w:val="18"/>
      <w:szCs w:val="18"/>
    </w:rPr>
  </w:style>
  <w:style w:type="paragraph" w:customStyle="1" w:styleId="xl50">
    <w:name w:val="xl5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993366"/>
      <w:kern w:val="0"/>
      <w:sz w:val="24"/>
    </w:rPr>
  </w:style>
  <w:style w:type="paragraph" w:customStyle="1" w:styleId="CharCharCharChar1">
    <w:name w:val="Char Char Char Char1"/>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969696"/>
      <w:kern w:val="0"/>
      <w:sz w:val="24"/>
    </w:rPr>
  </w:style>
  <w:style w:type="paragraph" w:customStyle="1" w:styleId="font13">
    <w:name w:val="font13"/>
    <w:basedOn w:val="Normal"/>
    <w:pPr>
      <w:widowControl/>
      <w:spacing w:before="100" w:beforeAutospacing="1" w:after="100" w:afterAutospacing="1"/>
      <w:jc w:val="left"/>
    </w:pPr>
    <w:rPr>
      <w:rFonts w:ascii="宋体" w:eastAsia="宋体" w:hAnsi="宋体" w:cs="Times New Roman" w:hint="eastAsia"/>
      <w:color w:val="FFFF00"/>
      <w:kern w:val="0"/>
      <w:sz w:val="24"/>
    </w:rPr>
  </w:style>
  <w:style w:type="paragraph" w:customStyle="1" w:styleId="--">
    <w:name w:val="--规划正文"/>
    <w:basedOn w:val="Normal"/>
    <w:pPr>
      <w:spacing w:line="360" w:lineRule="auto"/>
      <w:ind w:firstLine="200" w:firstLineChars="200"/>
    </w:pPr>
    <w:rPr>
      <w:rFonts w:ascii="Times New Roman" w:eastAsia="宋体" w:hAnsi="Times New Roman" w:cs="Times New Roman"/>
      <w:szCs w:val="20"/>
    </w:rPr>
  </w:style>
  <w:style w:type="paragraph" w:customStyle="1" w:styleId="---">
    <w:name w:val="--规划-图和表"/>
    <w:next w:val="--"/>
    <w:pPr>
      <w:jc w:val="center"/>
    </w:pPr>
    <w:rPr>
      <w:kern w:val="2"/>
      <w:sz w:val="21"/>
      <w:lang w:val="en-US" w:eastAsia="zh-CN" w:bidi="ar-SA"/>
    </w:rPr>
  </w:style>
  <w:style w:type="paragraph" w:customStyle="1" w:styleId="a140">
    <w:name w:val="a14"/>
    <w:basedOn w:val="Normal"/>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USE1">
    <w:name w:val="USE 1"/>
    <w:basedOn w:val="Normal"/>
    <w:pPr>
      <w:spacing w:line="200" w:lineRule="atLeast"/>
      <w:jc w:val="left"/>
    </w:pPr>
    <w:rPr>
      <w:rFonts w:ascii="宋体" w:eastAsia="宋体" w:hAnsi="宋体" w:cs="Times New Roman"/>
      <w:b/>
      <w:sz w:val="24"/>
      <w:szCs w:val="28"/>
    </w:rPr>
  </w:style>
  <w:style w:type="paragraph" w:customStyle="1" w:styleId="00">
    <w:name w:val="00"/>
    <w:basedOn w:val="Normal"/>
    <w:pPr>
      <w:autoSpaceDE w:val="0"/>
      <w:autoSpaceDN w:val="0"/>
      <w:adjustRightInd w:val="0"/>
      <w:jc w:val="left"/>
    </w:pPr>
    <w:rPr>
      <w:rFonts w:ascii="黑体" w:eastAsia="黑体" w:hAnsi="Times New Roman" w:cs="Times New Roman"/>
      <w:b/>
      <w:bCs/>
      <w:kern w:val="0"/>
      <w:sz w:val="20"/>
      <w:szCs w:val="20"/>
    </w:rPr>
  </w:style>
  <w:style w:type="paragraph" w:customStyle="1" w:styleId="Char24">
    <w:name w:val="正文(首行缩进) Char"/>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a26">
    <w:name w:val="文字"/>
    <w:basedOn w:val="Normal"/>
    <w:pPr>
      <w:tabs>
        <w:tab w:val="left" w:pos="8520"/>
      </w:tabs>
      <w:spacing w:line="312" w:lineRule="auto"/>
      <w:ind w:right="-210" w:firstLine="556"/>
    </w:pPr>
    <w:rPr>
      <w:rFonts w:ascii="宋体" w:eastAsia="宋体" w:hAnsi="Times New Roman" w:cs="Times New Roman"/>
      <w:sz w:val="28"/>
      <w:szCs w:val="20"/>
    </w:rPr>
  </w:style>
  <w:style w:type="paragraph" w:customStyle="1" w:styleId="a27">
    <w:name w:val="表格内容"/>
    <w:basedOn w:val="Normal"/>
    <w:pPr>
      <w:adjustRightInd w:val="0"/>
      <w:snapToGrid w:val="0"/>
      <w:ind w:left="125" w:hanging="43"/>
    </w:pPr>
    <w:rPr>
      <w:rFonts w:ascii="Arial" w:eastAsia="宋体" w:hAnsi="Arial" w:cs="Arial"/>
      <w:kern w:val="0"/>
      <w:sz w:val="22"/>
      <w:szCs w:val="22"/>
    </w:rPr>
  </w:style>
  <w:style w:type="paragraph" w:customStyle="1" w:styleId="Char25">
    <w:name w:val="Char2"/>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Normal"/>
    <w:rPr>
      <w:rFonts w:ascii="仿宋" w:eastAsia="仿宋" w:hAnsi="仿宋" w:cs="仿宋"/>
      <w:lang w:val="zh-CN" w:bidi="zh-CN"/>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666699"/>
      <w:kern w:val="0"/>
      <w:sz w:val="24"/>
    </w:rPr>
  </w:style>
  <w:style w:type="paragraph" w:customStyle="1" w:styleId="-11">
    <w:name w:val="彩色列表 - 强调文字颜色 11"/>
    <w:basedOn w:val="Normal"/>
    <w:pPr>
      <w:ind w:firstLine="420" w:firstLineChars="200"/>
    </w:pPr>
    <w:rPr>
      <w:rFonts w:ascii="Calibri" w:eastAsia="宋体" w:hAnsi="Calibri" w:cs="Times New Roman"/>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rFonts w:ascii="宋体" w:eastAsia="等线" w:hAnsi="宋体"/>
      <w:kern w:val="16"/>
      <w:sz w:val="21"/>
      <w:szCs w:val="24"/>
      <w:lang w:val="en-US" w:eastAsia="zh-CN" w:bidi="ar-SA"/>
    </w:rPr>
  </w:style>
  <w:style w:type="paragraph" w:customStyle="1" w:styleId="----">
    <w:name w:val="--规划-表格-居中"/>
    <w:basedOn w:val="--"/>
    <w:pPr>
      <w:spacing w:line="240" w:lineRule="auto"/>
      <w:ind w:firstLine="0" w:firstLineChars="0"/>
      <w:jc w:val="center"/>
    </w:pPr>
    <w:rPr>
      <w:rFonts w:ascii="Times New Roman" w:eastAsia="宋体" w:hAnsi="Times New Roman" w:cs="Times New Roman"/>
      <w:sz w:val="20"/>
    </w:rPr>
  </w:style>
  <w:style w:type="paragraph" w:customStyle="1" w:styleId="24">
    <w:name w:val="样式 首行缩进:  2 字符"/>
    <w:next w:val="DocumentMap"/>
    <w:pPr>
      <w:spacing w:line="360" w:lineRule="auto"/>
      <w:ind w:firstLine="200" w:firstLineChars="200"/>
    </w:pPr>
    <w:rPr>
      <w:rFonts w:ascii="宋体"/>
      <w:sz w:val="24"/>
      <w:lang w:val="en-US" w:eastAsia="zh-CN" w:bidi="ar-SA"/>
    </w:rPr>
  </w:style>
  <w:style w:type="paragraph" w:customStyle="1" w:styleId="xl56">
    <w:name w:val="xl5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008080"/>
      <w:kern w:val="0"/>
      <w:sz w:val="24"/>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993300"/>
      <w:kern w:val="0"/>
      <w:sz w:val="24"/>
    </w:rPr>
  </w:style>
  <w:style w:type="paragraph" w:customStyle="1" w:styleId="10">
    <w:name w:val="编号1"/>
    <w:basedOn w:val="Normal"/>
    <w:pPr>
      <w:numPr>
        <w:ilvl w:val="0"/>
        <w:numId w:val="3"/>
      </w:numPr>
      <w:tabs>
        <w:tab w:val="left" w:pos="360"/>
      </w:tabs>
      <w:adjustRightInd w:val="0"/>
      <w:spacing w:line="300" w:lineRule="auto"/>
      <w:ind w:right="210"/>
      <w:textAlignment w:val="center"/>
    </w:pPr>
    <w:rPr>
      <w:rFonts w:ascii="宋体" w:eastAsia="宋体" w:hAnsi="宋体" w:cs="Times New Roman"/>
      <w:snapToGrid w:val="0"/>
      <w:spacing w:val="10"/>
      <w:kern w:val="24"/>
    </w:rPr>
  </w:style>
  <w:style w:type="paragraph" w:customStyle="1" w:styleId="a28">
    <w:name w:val="一级编号"/>
    <w:basedOn w:val="Normal"/>
    <w:pPr>
      <w:tabs>
        <w:tab w:val="left" w:pos="360"/>
        <w:tab w:val="left" w:pos="900"/>
      </w:tabs>
      <w:ind w:left="900" w:hanging="360"/>
    </w:pPr>
    <w:rPr>
      <w:rFonts w:ascii="仿宋_GB2312" w:eastAsia="仿宋_GB2312" w:hAnsi="Calibri" w:cs="Times New Roman"/>
      <w:b/>
      <w:sz w:val="28"/>
      <w:szCs w:val="28"/>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808000"/>
      <w:kern w:val="0"/>
      <w:sz w:val="24"/>
    </w:rPr>
  </w:style>
  <w:style w:type="paragraph" w:customStyle="1" w:styleId="NewNewNewNewNew">
    <w:name w:val="正文 New New New New New"/>
    <w:basedOn w:val="Normal"/>
    <w:rPr>
      <w:rFonts w:ascii="Times New Roman" w:eastAsia="宋体" w:hAnsi="Times New Roman" w:cs="Times New Roman"/>
    </w:rPr>
  </w:style>
  <w:style w:type="paragraph" w:customStyle="1" w:styleId="40">
    <w:name w:val="列出段落4"/>
    <w:basedOn w:val="Normal"/>
    <w:pPr>
      <w:ind w:firstLine="420" w:firstLineChars="200"/>
    </w:pPr>
    <w:rPr>
      <w:rFonts w:ascii="Times New Roman" w:eastAsia="宋体" w:hAnsi="Times New Roman" w:cs="Times New Roman"/>
      <w:szCs w:val="20"/>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4"/>
    </w:rPr>
  </w:style>
  <w:style w:type="paragraph" w:customStyle="1" w:styleId="Style339">
    <w:name w:val="_Style 339"/>
    <w:basedOn w:val="Normal"/>
    <w:next w:val="Normal"/>
    <w:pPr>
      <w:widowControl/>
      <w:pBdr>
        <w:bottom w:val="single" w:sz="6" w:space="1" w:color="auto"/>
      </w:pBdr>
      <w:jc w:val="center"/>
    </w:pPr>
    <w:rPr>
      <w:rFonts w:ascii="Arial" w:eastAsia="宋体" w:hAnsi="Arial" w:cs="Arial"/>
      <w:vanish/>
      <w:kern w:val="0"/>
      <w:sz w:val="16"/>
      <w:szCs w:val="16"/>
    </w:rPr>
  </w:style>
  <w:style w:type="paragraph" w:customStyle="1" w:styleId="xl51">
    <w:name w:val="xl5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800080"/>
      <w:kern w:val="0"/>
      <w:sz w:val="24"/>
    </w:rPr>
  </w:style>
  <w:style w:type="paragraph" w:customStyle="1" w:styleId="60">
    <w:name w:val="6"/>
    <w:basedOn w:val="50"/>
    <w:pPr>
      <w:spacing w:line="270" w:lineRule="atLeast"/>
      <w:jc w:val="both"/>
    </w:pPr>
    <w:rPr>
      <w:rFonts w:ascii="Times New Roman" w:eastAsia="宋体" w:hAnsi="Times New Roman" w:cs="Times New Roman"/>
      <w:b w:val="0"/>
      <w:bCs w:val="0"/>
    </w:rPr>
  </w:style>
  <w:style w:type="paragraph" w:styleId="ListParagraph">
    <w:name w:val="List Paragraph"/>
    <w:basedOn w:val="Normal"/>
    <w:qFormat/>
    <w:pPr>
      <w:ind w:firstLine="420" w:firstLineChars="200"/>
    </w:pPr>
    <w:rPr>
      <w:rFonts w:ascii="Calibri" w:eastAsia="宋体" w:hAnsi="Calibri" w:cs="Times New Roman"/>
      <w:szCs w:val="22"/>
    </w:rPr>
  </w:style>
  <w:style w:type="paragraph" w:customStyle="1" w:styleId="Style131">
    <w:name w:val="_Style 131"/>
    <w:basedOn w:val="Normal"/>
    <w:next w:val="ListParagraph"/>
    <w:pPr>
      <w:widowControl/>
      <w:spacing w:after="160" w:line="259" w:lineRule="auto"/>
      <w:ind w:left="720"/>
      <w:contextualSpacing/>
      <w:jc w:val="left"/>
    </w:pPr>
    <w:rPr>
      <w:rFonts w:ascii="Calibri" w:eastAsia="等线" w:hAnsi="Calibri" w:cs="Times New Roman"/>
      <w:kern w:val="0"/>
      <w:sz w:val="22"/>
      <w:szCs w:val="22"/>
    </w:rPr>
  </w:style>
  <w:style w:type="paragraph" w:customStyle="1" w:styleId="xl62">
    <w:name w:val="xl6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8000"/>
      <w:kern w:val="0"/>
      <w:sz w:val="24"/>
    </w:rPr>
  </w:style>
  <w:style w:type="paragraph" w:customStyle="1" w:styleId="a29">
    <w:name w:val="方案要点"/>
    <w:basedOn w:val="Normal"/>
    <w:pPr>
      <w:numPr>
        <w:ilvl w:val="0"/>
        <w:numId w:val="2"/>
      </w:numPr>
      <w:tabs>
        <w:tab w:val="left" w:pos="420"/>
      </w:tabs>
      <w:spacing w:line="360" w:lineRule="auto"/>
    </w:pPr>
    <w:rPr>
      <w:rFonts w:ascii="仿宋_GB2312" w:eastAsia="仿宋_GB2312" w:hAnsi="宋体" w:cs="Times New Roman"/>
      <w:color w:val="000000"/>
      <w:sz w:val="28"/>
      <w:szCs w:val="28"/>
    </w:rPr>
  </w:style>
  <w:style w:type="paragraph" w:customStyle="1" w:styleId="font10">
    <w:name w:val="font10"/>
    <w:basedOn w:val="Normal"/>
    <w:pPr>
      <w:widowControl/>
      <w:spacing w:before="100" w:beforeAutospacing="1" w:after="100" w:afterAutospacing="1"/>
      <w:jc w:val="left"/>
    </w:pPr>
    <w:rPr>
      <w:rFonts w:ascii="宋体" w:eastAsia="宋体" w:hAnsi="宋体" w:cs="Times New Roman" w:hint="eastAsia"/>
      <w:color w:val="333399"/>
      <w:kern w:val="0"/>
      <w:sz w:val="24"/>
    </w:rPr>
  </w:style>
  <w:style w:type="paragraph" w:customStyle="1" w:styleId="font12">
    <w:name w:val="font12"/>
    <w:basedOn w:val="Normal"/>
    <w:pPr>
      <w:widowControl/>
      <w:spacing w:before="100" w:beforeAutospacing="1" w:after="100" w:afterAutospacing="1"/>
      <w:jc w:val="left"/>
    </w:pPr>
    <w:rPr>
      <w:rFonts w:ascii="宋体" w:eastAsia="宋体" w:hAnsi="宋体" w:cs="Times New Roman" w:hint="eastAsia"/>
      <w:color w:val="99CC00"/>
      <w:kern w:val="0"/>
      <w:sz w:val="24"/>
    </w:rPr>
  </w:style>
  <w:style w:type="paragraph" w:customStyle="1" w:styleId="a30">
    <w:name w:val="产品描述"/>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text1">
    <w:name w:val="text1"/>
    <w:basedOn w:val="Normal"/>
    <w:pPr>
      <w:widowControl/>
      <w:spacing w:before="100" w:beforeAutospacing="1" w:after="100" w:afterAutospacing="1"/>
      <w:jc w:val="left"/>
    </w:pPr>
    <w:rPr>
      <w:rFonts w:ascii="宋体" w:eastAsia="宋体" w:hAnsi="宋体" w:cs="宋体"/>
      <w:kern w:val="0"/>
      <w:sz w:val="24"/>
    </w:rPr>
  </w:style>
  <w:style w:type="paragraph" w:customStyle="1" w:styleId="CharChar">
    <w:name w:val="Char Char"/>
    <w:basedOn w:val="Normal"/>
    <w:rPr>
      <w:rFonts w:ascii="Tahoma" w:eastAsia="宋体" w:hAnsi="Tahoma" w:cs="Times New Roman"/>
      <w:sz w:val="24"/>
      <w:szCs w:val="20"/>
    </w:rPr>
  </w:style>
  <w:style w:type="paragraph" w:customStyle="1" w:styleId="BodyText31">
    <w:name w:val="Body Text 31"/>
    <w:basedOn w:val="Normal"/>
    <w:pPr>
      <w:adjustRightInd w:val="0"/>
      <w:spacing w:line="320" w:lineRule="exact"/>
      <w:jc w:val="left"/>
      <w:textAlignment w:val="baseline"/>
    </w:pPr>
    <w:rPr>
      <w:rFonts w:ascii="Times New Roman" w:eastAsia="宋体" w:hAnsi="Times New Roman" w:cs="Times New Roman"/>
      <w:sz w:val="24"/>
      <w:szCs w:val="20"/>
    </w:rPr>
  </w:style>
  <w:style w:type="paragraph" w:customStyle="1" w:styleId="GB231215">
    <w:name w:val="样式 仿宋_GB2312 行距: 1.5 倍行距"/>
    <w:basedOn w:val="Normal"/>
    <w:pPr>
      <w:adjustRightInd w:val="0"/>
      <w:snapToGrid w:val="0"/>
      <w:spacing w:line="520" w:lineRule="exact"/>
      <w:ind w:firstLine="560" w:firstLineChars="200"/>
    </w:pPr>
    <w:rPr>
      <w:rFonts w:ascii="Times New Roman" w:eastAsia="仿宋_GB2312" w:hAnsi="Times New Roman" w:cs="Times New Roman"/>
      <w:sz w:val="28"/>
      <w:szCs w:val="20"/>
    </w:rPr>
  </w:style>
  <w:style w:type="paragraph" w:customStyle="1" w:styleId="Char26">
    <w:name w:val="Char"/>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90">
    <w:name w:val="9"/>
    <w:basedOn w:val="Normal"/>
    <w:next w:val="NormalIndent"/>
    <w:pPr>
      <w:autoSpaceDE w:val="0"/>
      <w:autoSpaceDN w:val="0"/>
      <w:adjustRightInd w:val="0"/>
      <w:ind w:firstLine="420"/>
      <w:jc w:val="left"/>
      <w:textAlignment w:val="baseline"/>
    </w:pPr>
    <w:rPr>
      <w:rFonts w:ascii="宋体" w:eastAsia="宋体" w:hAnsi="Times New Roman" w:cs="Times New Roman"/>
      <w:kern w:val="0"/>
      <w:sz w:val="34"/>
      <w:szCs w:val="20"/>
    </w:rPr>
  </w:style>
  <w:style w:type="paragraph" w:customStyle="1" w:styleId="-1">
    <w:name w:val="标题-1级"/>
    <w:basedOn w:val="Normal"/>
    <w:pPr>
      <w:spacing w:before="120" w:after="120" w:line="560" w:lineRule="exact"/>
      <w:outlineLvl w:val="0"/>
    </w:pPr>
    <w:rPr>
      <w:rFonts w:ascii="仿宋_GB2312" w:eastAsia="仿宋_GB2312" w:hAnsi="黑体" w:cs="Times New Roman"/>
      <w:b/>
      <w:sz w:val="32"/>
      <w:szCs w:val="32"/>
    </w:rPr>
  </w:style>
  <w:style w:type="paragraph" w:customStyle="1" w:styleId="xl57">
    <w:name w:val="xl5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0080"/>
      <w:kern w:val="0"/>
      <w:sz w:val="24"/>
    </w:rPr>
  </w:style>
  <w:style w:type="paragraph" w:customStyle="1" w:styleId="CharCharCharCharChar">
    <w:name w:val="Char Char Char Char Char"/>
    <w:basedOn w:val="Normal"/>
    <w:rPr>
      <w:rFonts w:ascii="Tahoma" w:eastAsia="宋体" w:hAnsi="Tahoma" w:cs="Times New Roman"/>
      <w:sz w:val="24"/>
      <w:szCs w:val="20"/>
    </w:rPr>
  </w:style>
  <w:style w:type="paragraph" w:customStyle="1" w:styleId="CharCharCharCharCharCharChar11">
    <w:name w:val="Char Char Char Char Char Char Char11"/>
    <w:basedOn w:val="Normal"/>
    <w:rPr>
      <w:rFonts w:ascii="Tahoma" w:eastAsia="宋体" w:hAnsi="Tahoma" w:cs="Times New Roman"/>
      <w:sz w:val="24"/>
      <w:szCs w:val="20"/>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58">
    <w:name w:val="xl5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000080"/>
      <w:kern w:val="0"/>
      <w:sz w:val="24"/>
    </w:rPr>
  </w:style>
  <w:style w:type="paragraph" w:customStyle="1" w:styleId="a31">
    <w:name w:val="表格字"/>
    <w:basedOn w:val="Normal"/>
    <w:pPr>
      <w:adjustRightInd w:val="0"/>
      <w:jc w:val="center"/>
    </w:pPr>
    <w:rPr>
      <w:rFonts w:ascii="宋体" w:eastAsia="宋体" w:hAnsi="Times New Roman" w:cs="Times New Roman"/>
      <w:sz w:val="24"/>
      <w:szCs w:val="20"/>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CC99FF"/>
      <w:kern w:val="0"/>
      <w:sz w:val="24"/>
    </w:rPr>
  </w:style>
  <w:style w:type="paragraph" w:customStyle="1" w:styleId="32">
    <w:name w:val="正文文字缩进 3"/>
    <w:basedOn w:val="Normal"/>
    <w:pPr>
      <w:widowControl/>
      <w:spacing w:before="119" w:line="272" w:lineRule="atLeast"/>
      <w:ind w:left="719" w:firstLine="481"/>
      <w:jc w:val="left"/>
      <w:textAlignment w:val="baseline"/>
    </w:pPr>
    <w:rPr>
      <w:rFonts w:ascii="宋体" w:eastAsia="宋体" w:hAnsi="Times New Roman" w:cs="Times New Roman"/>
      <w:color w:val="000000"/>
      <w:kern w:val="0"/>
      <w:sz w:val="24"/>
      <w:szCs w:val="20"/>
    </w:rPr>
  </w:style>
  <w:style w:type="paragraph" w:customStyle="1" w:styleId="font9">
    <w:name w:val="font9"/>
    <w:basedOn w:val="Normal"/>
    <w:pPr>
      <w:widowControl/>
      <w:spacing w:before="100" w:beforeAutospacing="1" w:after="100" w:afterAutospacing="1"/>
      <w:jc w:val="left"/>
    </w:pPr>
    <w:rPr>
      <w:rFonts w:ascii="Times New Roman" w:eastAsia="宋体" w:hAnsi="Times New Roman" w:cs="Times New Roman"/>
      <w:color w:val="993300"/>
      <w:kern w:val="0"/>
      <w:sz w:val="24"/>
    </w:rPr>
  </w:style>
  <w:style w:type="paragraph" w:customStyle="1" w:styleId="----0">
    <w:name w:val="--规划-表格-居左"/>
    <w:basedOn w:val="--"/>
    <w:pPr>
      <w:spacing w:line="240" w:lineRule="auto"/>
      <w:ind w:firstLine="0" w:firstLineChars="0"/>
    </w:pPr>
    <w:rPr>
      <w:rFonts w:ascii="Times New Roman" w:eastAsia="宋体" w:hAnsi="Times New Roman" w:cs="Times New Roman"/>
      <w:sz w:val="20"/>
    </w:rPr>
  </w:style>
  <w:style w:type="paragraph" w:customStyle="1" w:styleId="a32">
    <w:name w:val="正文段落"/>
    <w:basedOn w:val="Normal"/>
    <w:pPr>
      <w:spacing w:line="360" w:lineRule="auto"/>
      <w:ind w:firstLine="440" w:firstLineChars="200"/>
    </w:pPr>
    <w:rPr>
      <w:rFonts w:ascii="宋体" w:eastAsia="宋体" w:hAnsi="宋体" w:cs="宋体"/>
      <w:kern w:val="0"/>
      <w:szCs w:val="20"/>
    </w:rPr>
  </w:style>
  <w:style w:type="paragraph" w:customStyle="1" w:styleId="a33">
    <w:name w:val="自定义正文"/>
    <w:basedOn w:val="Normal"/>
    <w:pPr>
      <w:spacing w:afterLines="50"/>
      <w:ind w:left="600" w:leftChars="600"/>
    </w:pPr>
    <w:rPr>
      <w:rFonts w:ascii="Times New Roman" w:eastAsia="宋体" w:hAnsi="Times New Roman" w:cs="Times New Roman"/>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styleId="Revision">
    <w:name w:val="Revision"/>
    <w:rPr>
      <w:kern w:val="2"/>
      <w:sz w:val="21"/>
      <w:szCs w:val="24"/>
      <w:lang w:val="en-US" w:eastAsia="zh-CN" w:bidi="ar-SA"/>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99CC00"/>
      <w:kern w:val="0"/>
      <w:sz w:val="24"/>
    </w:rPr>
  </w:style>
  <w:style w:type="paragraph" w:customStyle="1" w:styleId="--0">
    <w:name w:val="--编号内缩进"/>
    <w:basedOn w:val="Normal"/>
    <w:pPr>
      <w:spacing w:line="360" w:lineRule="auto"/>
      <w:ind w:left="420" w:firstLine="200" w:firstLineChars="200"/>
    </w:pPr>
    <w:rPr>
      <w:rFonts w:ascii="Times New Roman" w:eastAsia="宋体" w:hAnsi="Times New Roman" w:cs="Times New Roman"/>
      <w:szCs w:val="21"/>
    </w:rPr>
  </w:style>
  <w:style w:type="paragraph" w:customStyle="1" w:styleId="11">
    <w:name w:val="列表段落1"/>
    <w:basedOn w:val="Normal"/>
    <w:pPr>
      <w:ind w:firstLine="420" w:firstLineChars="200"/>
    </w:pPr>
    <w:rPr>
      <w:rFonts w:ascii="Calibri" w:eastAsia="宋体" w:hAnsi="Calibri" w:cs="Times New Roman"/>
      <w:szCs w:val="22"/>
    </w:rPr>
  </w:style>
  <w:style w:type="paragraph" w:customStyle="1" w:styleId="82">
    <w:name w:val="8"/>
    <w:basedOn w:val="Normal"/>
    <w:next w:val="BodyTextIndent"/>
    <w:pPr>
      <w:spacing w:after="120"/>
      <w:ind w:left="420" w:leftChars="200"/>
    </w:pPr>
    <w:rPr>
      <w:rFonts w:ascii="Times New Roman" w:eastAsia="宋体" w:hAnsi="Times New Roman" w:cs="Times New Roman"/>
    </w:rPr>
  </w:style>
  <w:style w:type="paragraph" w:customStyle="1" w:styleId="CharCharCharCharCharChar1Char">
    <w:name w:val="Char Char Char Char Char Char1 Char"/>
    <w:basedOn w:val="Normal"/>
    <w:pPr>
      <w:widowControl/>
      <w:spacing w:after="160" w:line="240" w:lineRule="exact"/>
      <w:jc w:val="left"/>
    </w:pPr>
    <w:rPr>
      <w:rFonts w:ascii="Verdana" w:eastAsia="宋体" w:hAnsi="Verdana" w:cs="Times New Roman"/>
      <w:kern w:val="0"/>
      <w:szCs w:val="20"/>
      <w:lang w:eastAsia="en-US"/>
    </w:rPr>
  </w:style>
  <w:style w:type="paragraph" w:customStyle="1" w:styleId="12">
    <w:name w:val="正文1"/>
    <w:basedOn w:val="Normal"/>
    <w:pPr>
      <w:spacing w:line="360" w:lineRule="auto"/>
    </w:pPr>
    <w:rPr>
      <w:rFonts w:ascii="Times New Roman" w:eastAsia="仿宋_GB2312" w:hAnsi="Times New Roman" w:cs="Times New Roman"/>
      <w:sz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3366FF"/>
      <w:kern w:val="0"/>
      <w:sz w:val="24"/>
    </w:rPr>
  </w:style>
  <w:style w:type="paragraph" w:customStyle="1" w:styleId="xl34">
    <w:name w:val="xl34"/>
    <w:basedOn w:val="Normal"/>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rPr>
  </w:style>
  <w:style w:type="paragraph" w:customStyle="1" w:styleId="CharCharCharChar11">
    <w:name w:val="Char Char Char Char11"/>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7">
    <w:name w:val="font7"/>
    <w:basedOn w:val="Normal"/>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Char1CharCharCharCharCharCharCharCharChar">
    <w:name w:val="Char1 Char Char Char Char Char Char Char Char Char"/>
    <w:basedOn w:val="Normal"/>
    <w:pPr>
      <w:widowControl/>
      <w:spacing w:line="400" w:lineRule="exact"/>
      <w:jc w:val="center"/>
    </w:pPr>
    <w:rPr>
      <w:rFonts w:ascii="Verdana" w:eastAsia="宋体" w:hAnsi="Verdana" w:cs="Times New Roman"/>
      <w:kern w:val="0"/>
      <w:szCs w:val="20"/>
      <w:lang w:eastAsia="en-US"/>
    </w:rPr>
  </w:style>
  <w:style w:type="paragraph" w:customStyle="1" w:styleId="---0">
    <w:name w:val="--规划-题注"/>
    <w:basedOn w:val="Normal"/>
    <w:next w:val="--"/>
    <w:pPr>
      <w:spacing w:line="360" w:lineRule="auto"/>
      <w:jc w:val="center"/>
    </w:pPr>
    <w:rPr>
      <w:rFonts w:ascii="Times New Roman" w:eastAsia="黑体" w:hAnsi="Times New Roman" w:cs="Times New Roman"/>
    </w:rPr>
  </w:style>
  <w:style w:type="paragraph" w:customStyle="1" w:styleId="51">
    <w:name w:val="列出段落5"/>
    <w:basedOn w:val="Normal"/>
    <w:pPr>
      <w:ind w:firstLine="420" w:firstLineChars="200"/>
    </w:pPr>
    <w:rPr>
      <w:rFonts w:ascii="Times New Roman" w:eastAsia="宋体" w:hAnsi="Times New Roman" w:cs="Times New Roman"/>
      <w:szCs w:val="20"/>
    </w:rPr>
  </w:style>
  <w:style w:type="paragraph" w:customStyle="1" w:styleId="EnvelopeReturn0">
    <w:name w:val="EnvelopeReturn"/>
    <w:pPr>
      <w:widowControl w:val="0"/>
      <w:snapToGrid w:val="0"/>
      <w:jc w:val="both"/>
    </w:pPr>
    <w:rPr>
      <w:rFonts w:ascii="Arial" w:hAnsi="Arial"/>
      <w:kern w:val="2"/>
      <w:sz w:val="21"/>
      <w:szCs w:val="24"/>
      <w:lang w:val="en-US" w:eastAsia="zh-CN" w:bidi="ar-SA"/>
    </w:rPr>
  </w:style>
  <w:style w:type="paragraph" w:customStyle="1" w:styleId="13">
    <w:name w:val="小标题 1"/>
    <w:basedOn w:val="Normal"/>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2">
    <w:name w:val="Char Char Char Char2"/>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xl44">
    <w:name w:val="xl4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4"/>
    </w:rPr>
  </w:style>
  <w:style w:type="paragraph" w:customStyle="1" w:styleId="14">
    <w:name w:val="列出段落1"/>
    <w:basedOn w:val="Normal"/>
    <w:pPr>
      <w:ind w:firstLine="420" w:firstLineChars="200"/>
    </w:pPr>
    <w:rPr>
      <w:rFonts w:ascii="Calibri" w:eastAsia="宋体" w:hAnsi="Calibri" w:cs="Calibri"/>
      <w:szCs w:val="21"/>
    </w:rPr>
  </w:style>
  <w:style w:type="paragraph" w:customStyle="1" w:styleId="xl72">
    <w:name w:val="xl72"/>
    <w:basedOn w:val="Normal"/>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CharCharCharCharCharChar">
    <w:name w:val="Char Char Char Char Char Char Char"/>
    <w:basedOn w:val="Normal"/>
    <w:pPr>
      <w:widowControl/>
      <w:spacing w:after="160" w:line="240" w:lineRule="exact"/>
      <w:jc w:val="left"/>
    </w:pPr>
    <w:rPr>
      <w:rFonts w:ascii="Times New Roman" w:eastAsia="宋体" w:hAnsi="Times New Roman" w:cs="Times New Roman"/>
    </w:rPr>
  </w:style>
  <w:style w:type="paragraph" w:customStyle="1" w:styleId="Style0">
    <w:name w:val="_Style 0"/>
    <w:rPr>
      <w:sz w:val="21"/>
      <w:szCs w:val="22"/>
      <w:lang w:val="en-US" w:eastAsia="zh-CN" w:bidi="ar-SA"/>
    </w:rPr>
  </w:style>
  <w:style w:type="paragraph" w:customStyle="1" w:styleId="Char114">
    <w:name w:val="Char11"/>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110">
    <w:name w:val="列出段落11"/>
    <w:basedOn w:val="Normal"/>
    <w:pPr>
      <w:widowControl/>
      <w:spacing w:line="360" w:lineRule="auto"/>
      <w:ind w:firstLine="420" w:firstLineChars="200"/>
      <w:jc w:val="left"/>
    </w:pPr>
    <w:rPr>
      <w:rFonts w:ascii="Times New Roman" w:eastAsia="微软雅黑" w:hAnsi="Times New Roman" w:cs="Times New Roman"/>
      <w:sz w:val="24"/>
    </w:rPr>
  </w:style>
  <w:style w:type="paragraph" w:customStyle="1" w:styleId="25">
    <w:name w:val="正文文字缩进 2"/>
    <w:basedOn w:val="Normal"/>
    <w:pPr>
      <w:widowControl/>
      <w:spacing w:line="351" w:lineRule="atLeast"/>
      <w:ind w:firstLine="481"/>
      <w:textAlignment w:val="baseline"/>
    </w:pPr>
    <w:rPr>
      <w:rFonts w:ascii="仿宋_GB2312" w:eastAsia="仿宋_GB2312" w:hAnsi="Times New Roman" w:cs="Times New Roman"/>
      <w:color w:val="000000"/>
      <w:kern w:val="0"/>
      <w:sz w:val="24"/>
      <w:szCs w:val="20"/>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0000"/>
      <w:kern w:val="0"/>
      <w:sz w:val="24"/>
    </w:rPr>
  </w:style>
  <w:style w:type="paragraph" w:customStyle="1" w:styleId="NormalParagraph">
    <w:name w:val="Normal Paragraph"/>
    <w:basedOn w:val="Normal"/>
    <w:pPr>
      <w:widowControl/>
      <w:spacing w:before="120" w:line="360" w:lineRule="auto"/>
      <w:ind w:firstLine="425"/>
    </w:pPr>
    <w:rPr>
      <w:rFonts w:ascii="Times New Roman" w:eastAsia="宋体" w:hAnsi="Times New Roman" w:cs="Times New Roman"/>
      <w:kern w:val="0"/>
      <w:sz w:val="24"/>
    </w:rPr>
  </w:style>
  <w:style w:type="paragraph" w:customStyle="1" w:styleId="---1">
    <w:name w:val="--规划-小标题"/>
    <w:basedOn w:val="Normal"/>
    <w:next w:val="--"/>
    <w:pPr>
      <w:keepNext/>
      <w:keepLines/>
      <w:spacing w:line="360" w:lineRule="auto"/>
      <w:outlineLvl w:val="4"/>
    </w:pPr>
    <w:rPr>
      <w:rFonts w:ascii="Times New Roman" w:eastAsia="黑体" w:hAnsi="Times New Roman" w:cs="Times New Roman"/>
    </w:rPr>
  </w:style>
  <w:style w:type="paragraph" w:customStyle="1" w:styleId="xl55">
    <w:name w:val="xl5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8080"/>
      <w:kern w:val="0"/>
      <w:sz w:val="24"/>
    </w:rPr>
  </w:style>
  <w:style w:type="paragraph" w:customStyle="1" w:styleId="font5">
    <w:name w:val="font5"/>
    <w:basedOn w:val="Normal"/>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15">
    <w:name w:val="无间隔1"/>
    <w:pPr>
      <w:widowControl w:val="0"/>
      <w:jc w:val="both"/>
    </w:pPr>
    <w:rPr>
      <w:kern w:val="2"/>
      <w:sz w:val="22"/>
      <w:szCs w:val="22"/>
      <w:lang w:val="en-US" w:eastAsia="zh-CN" w:bidi="ar-SA"/>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9900"/>
      <w:kern w:val="0"/>
      <w:sz w:val="24"/>
    </w:rPr>
  </w:style>
  <w:style w:type="paragraph" w:customStyle="1" w:styleId="33">
    <w:name w:val="样式3"/>
    <w:basedOn w:val="Heading1"/>
    <w:pPr>
      <w:numPr>
        <w:ilvl w:val="0"/>
        <w:numId w:val="4"/>
      </w:numPr>
      <w:tabs>
        <w:tab w:val="left" w:pos="1290"/>
      </w:tabs>
      <w:spacing w:before="240" w:after="240" w:line="480" w:lineRule="auto"/>
      <w:ind w:right="210" w:rightChars="100"/>
      <w:jc w:val="left"/>
    </w:pPr>
    <w:rPr>
      <w:rFonts w:ascii="Times New Roman" w:eastAsia="宋体" w:hAnsi="Times New Roman" w:cs="Times New Roman"/>
      <w:sz w:val="32"/>
    </w:rPr>
  </w:style>
  <w:style w:type="paragraph" w:customStyle="1" w:styleId="41">
    <w:name w:val="样式41"/>
    <w:basedOn w:val="Normal"/>
    <w:pPr>
      <w:numPr>
        <w:ilvl w:val="0"/>
        <w:numId w:val="5"/>
      </w:numPr>
      <w:tabs>
        <w:tab w:val="left" w:pos="945"/>
        <w:tab w:val="clear" w:pos="2040"/>
      </w:tabs>
      <w:spacing w:line="360" w:lineRule="auto"/>
    </w:pPr>
    <w:rPr>
      <w:rFonts w:ascii="Times New Roman" w:eastAsia="宋体" w:hAnsi="Times New Roman" w:cs="Times New Roman"/>
      <w:b/>
      <w:color w:val="000000"/>
      <w:sz w:val="24"/>
      <w:szCs w:val="20"/>
    </w:rPr>
  </w:style>
  <w:style w:type="paragraph" w:customStyle="1" w:styleId="p15">
    <w:name w:val="p15"/>
    <w:basedOn w:val="Normal"/>
    <w:pPr>
      <w:widowControl/>
      <w:ind w:firstLine="420"/>
    </w:pPr>
    <w:rPr>
      <w:rFonts w:ascii="Times New Roman" w:eastAsia="宋体" w:hAnsi="Times New Roman" w:cs="Times New Roman"/>
      <w:kern w:val="0"/>
      <w:szCs w:val="21"/>
    </w:rPr>
  </w:style>
  <w:style w:type="paragraph" w:customStyle="1" w:styleId="a34">
    <w:name w:val="正文表标题"/>
    <w:next w:val="Normal"/>
    <w:pPr>
      <w:numPr>
        <w:ilvl w:val="0"/>
        <w:numId w:val="6"/>
      </w:numPr>
      <w:spacing w:beforeLines="50" w:afterLines="50"/>
      <w:jc w:val="center"/>
    </w:pPr>
    <w:rPr>
      <w:rFonts w:ascii="黑体" w:eastAsia="黑体"/>
      <w:sz w:val="21"/>
      <w:lang w:val="en-US" w:eastAsia="zh-CN" w:bidi="ar-SA"/>
    </w:rPr>
  </w:style>
  <w:style w:type="paragraph" w:customStyle="1" w:styleId="a35">
    <w:name w:val="表格内文字"/>
    <w:basedOn w:val="Normal"/>
    <w:rPr>
      <w:rFonts w:ascii="Times New Roman" w:eastAsia="宋体" w:hAnsi="Times New Roman" w:cs="Times New Roman"/>
      <w:sz w:val="24"/>
      <w:szCs w:val="20"/>
    </w:rPr>
  </w:style>
  <w:style w:type="paragraph" w:customStyle="1" w:styleId="black1">
    <w:name w:val="black1"/>
    <w:basedOn w:val="Normal"/>
    <w:pPr>
      <w:widowControl/>
      <w:spacing w:before="100" w:beforeAutospacing="1" w:after="100" w:afterAutospacing="1" w:line="280" w:lineRule="atLeast"/>
      <w:jc w:val="left"/>
    </w:pPr>
    <w:rPr>
      <w:rFonts w:ascii="_x000B__x000C_" w:eastAsia="宋体" w:hAnsi="_x000B__x000C_" w:cs="Times New Roman"/>
      <w:color w:val="000000"/>
      <w:kern w:val="0"/>
      <w:sz w:val="18"/>
      <w:szCs w:val="18"/>
    </w:rPr>
  </w:style>
  <w:style w:type="paragraph" w:customStyle="1" w:styleId="xl60">
    <w:name w:val="xl6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808000"/>
      <w:kern w:val="0"/>
      <w:sz w:val="24"/>
    </w:rPr>
  </w:style>
  <w:style w:type="paragraph" w:customStyle="1" w:styleId="240">
    <w:name w:val="2册标题4"/>
    <w:basedOn w:val="Normal"/>
    <w:next w:val="Normal"/>
    <w:pPr>
      <w:spacing w:beforeLines="50" w:afterLines="50" w:line="300" w:lineRule="auto"/>
      <w:ind w:left="420" w:leftChars="200"/>
      <w:outlineLvl w:val="3"/>
    </w:pPr>
    <w:rPr>
      <w:rFonts w:ascii="Arial" w:eastAsia="幼圆" w:hAnsi="Arial" w:cs="Arial"/>
      <w:b/>
      <w:sz w:val="24"/>
    </w:rPr>
  </w:style>
  <w:style w:type="paragraph" w:customStyle="1" w:styleId="cont">
    <w:name w:val="cont"/>
    <w:basedOn w:val="Normal"/>
    <w:pPr>
      <w:adjustRightInd w:val="0"/>
      <w:spacing w:before="100" w:after="100" w:line="360" w:lineRule="auto"/>
      <w:ind w:firstLine="200" w:firstLineChars="200"/>
      <w:jc w:val="left"/>
      <w:textAlignment w:val="baseline"/>
    </w:pPr>
    <w:rPr>
      <w:rFonts w:ascii="Arial" w:eastAsia="宋体" w:hAnsi="Arial" w:cs="Times New Roman"/>
      <w:kern w:val="0"/>
      <w:sz w:val="24"/>
      <w:szCs w:val="20"/>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9900"/>
      <w:kern w:val="0"/>
      <w:sz w:val="24"/>
    </w:rPr>
  </w:style>
  <w:style w:type="paragraph" w:customStyle="1" w:styleId="a36">
    <w:name w:val="普通文字"/>
    <w:basedOn w:val="Normal"/>
    <w:pPr>
      <w:widowControl/>
      <w:spacing w:line="351" w:lineRule="atLeast"/>
      <w:ind w:firstLine="419"/>
      <w:textAlignment w:val="baseline"/>
    </w:pPr>
    <w:rPr>
      <w:rFonts w:ascii="宋体" w:eastAsia="宋体" w:hAnsi="Times New Roman" w:cs="Times New Roman"/>
      <w:color w:val="000000"/>
      <w:kern w:val="0"/>
      <w:szCs w:val="20"/>
    </w:rPr>
  </w:style>
  <w:style w:type="paragraph" w:customStyle="1" w:styleId="025">
    <w:name w:val="样式 左侧:  0 厘米 悬挂缩进: 2.5 字符"/>
    <w:basedOn w:val="Normal"/>
    <w:pPr>
      <w:ind w:left="525" w:hanging="525" w:hangingChars="250"/>
    </w:pPr>
    <w:rPr>
      <w:rFonts w:ascii="Times New Roman" w:eastAsia="宋体" w:hAnsi="Times New Roman" w:cs="Times New Roman"/>
      <w:szCs w:val="20"/>
    </w:rPr>
  </w:style>
  <w:style w:type="paragraph" w:customStyle="1" w:styleId="21313">
    <w:name w:val="样式 标题 2 + 段前: 13 磅 段后: 13 磅 行距: 单倍行距"/>
    <w:basedOn w:val="Heading2"/>
    <w:pPr>
      <w:adjustRightInd/>
      <w:jc w:val="both"/>
      <w:textAlignment w:val="auto"/>
    </w:pPr>
    <w:rPr>
      <w:rFonts w:ascii="Cambria" w:eastAsia="宋体" w:hAnsi="Cambria" w:cs="宋体"/>
      <w:kern w:val="2"/>
      <w:sz w:val="32"/>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993300"/>
      <w:kern w:val="0"/>
      <w:sz w:val="24"/>
    </w:rPr>
  </w:style>
  <w:style w:type="paragraph" w:customStyle="1" w:styleId="Teksti2">
    <w:name w:val="Teksti2"/>
    <w:basedOn w:val="Normal"/>
    <w:pPr>
      <w:widowControl/>
      <w:tabs>
        <w:tab w:val="right" w:pos="8370"/>
      </w:tabs>
      <w:jc w:val="left"/>
    </w:pPr>
    <w:rPr>
      <w:rFonts w:ascii="Times New Roman" w:eastAsia="宋体" w:hAnsi="Times New Roman" w:cs="Times New Roman"/>
      <w:kern w:val="0"/>
      <w:sz w:val="20"/>
      <w:szCs w:val="20"/>
      <w:lang w:eastAsia="fi-FI"/>
    </w:rPr>
  </w:style>
  <w:style w:type="paragraph" w:customStyle="1" w:styleId="61">
    <w:name w:val="列出段落6"/>
    <w:basedOn w:val="Normal"/>
    <w:pPr>
      <w:ind w:firstLine="420" w:firstLineChars="200"/>
    </w:pPr>
    <w:rPr>
      <w:rFonts w:ascii="Times New Roman" w:eastAsia="宋体" w:hAnsi="Times New Roman" w:cs="Times New Roman"/>
      <w:szCs w:val="20"/>
    </w:rPr>
  </w:style>
  <w:style w:type="paragraph" w:customStyle="1" w:styleId="xl43">
    <w:name w:val="xl43"/>
    <w:basedOn w:val="Normal"/>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CharCharCharCharCharCharCharCharCharChar">
    <w:name w:val="Char Char Char Char Char Char Char Char Char Char"/>
    <w:basedOn w:val="Normal"/>
    <w:rPr>
      <w:rFonts w:ascii="Tahoma" w:eastAsia="宋体" w:hAnsi="Tahoma" w:cs="Times New Roman"/>
      <w:sz w:val="24"/>
      <w:szCs w:val="20"/>
    </w:rPr>
  </w:style>
  <w:style w:type="paragraph" w:customStyle="1" w:styleId="xl48">
    <w:name w:val="xl4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CCFF"/>
      <w:kern w:val="0"/>
      <w:sz w:val="24"/>
    </w:rPr>
  </w:style>
  <w:style w:type="paragraph" w:customStyle="1" w:styleId="xl39">
    <w:name w:val="xl3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Style303">
    <w:name w:val="_Style 303"/>
    <w:rPr>
      <w:kern w:val="2"/>
      <w:sz w:val="21"/>
      <w:szCs w:val="24"/>
      <w:lang w:val="en-US" w:eastAsia="zh-CN" w:bidi="ar-SA"/>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FF00"/>
      <w:kern w:val="0"/>
      <w:sz w:val="24"/>
    </w:rPr>
  </w:style>
  <w:style w:type="paragraph" w:customStyle="1" w:styleId="A37">
    <w:name w:val="正文 A"/>
    <w:pPr>
      <w:framePr w:wrap="around" w:vAnchor="margin" w:hAnchor="text" w:y="1"/>
    </w:pPr>
    <w:rPr>
      <w:rFonts w:ascii="Arial" w:eastAsia="Arial Unicode MS" w:hAnsi="Arial" w:cs="Arial Unicode MS"/>
      <w:color w:val="000000"/>
      <w:spacing w:val="-5"/>
      <w:sz w:val="21"/>
      <w:szCs w:val="22"/>
      <w:lang w:val="en-US" w:eastAsia="zh-CN" w:bidi="ar-SA"/>
    </w:rPr>
  </w:style>
  <w:style w:type="paragraph" w:customStyle="1" w:styleId="BodyTextIndent0">
    <w:name w:val="BodyTextIndent"/>
    <w:next w:val="EnvelopeReturn0"/>
    <w:pPr>
      <w:widowControl w:val="0"/>
      <w:ind w:firstLine="700" w:firstLineChars="250"/>
      <w:jc w:val="both"/>
    </w:pPr>
    <w:rPr>
      <w:rFonts w:ascii="楷体_GB2312" w:eastAsia="楷体_GB2312"/>
      <w:kern w:val="2"/>
      <w:sz w:val="28"/>
      <w:szCs w:val="24"/>
      <w:lang w:val="en-US" w:eastAsia="zh-CN" w:bidi="ar-SA"/>
    </w:rPr>
  </w:style>
  <w:style w:type="paragraph" w:customStyle="1" w:styleId="Char115">
    <w:name w:val="Char1"/>
    <w:basedOn w:val="Normal"/>
    <w:pPr>
      <w:jc w:val="left"/>
    </w:pPr>
    <w:rPr>
      <w:rFonts w:ascii="Tahoma" w:eastAsia="宋体" w:hAnsi="Tahoma" w:cs="Times New Roman"/>
      <w:sz w:val="24"/>
      <w:szCs w:val="20"/>
    </w:rPr>
  </w:style>
  <w:style w:type="paragraph" w:customStyle="1" w:styleId="26">
    <w:name w:val="列出段落2"/>
    <w:basedOn w:val="Normal"/>
    <w:pPr>
      <w:ind w:firstLine="420" w:firstLineChars="200"/>
    </w:pPr>
    <w:rPr>
      <w:rFonts w:ascii="Times New Roman" w:eastAsia="宋体" w:hAnsi="Times New Roman" w:cs="Times New Roman"/>
      <w:szCs w:val="20"/>
    </w:rPr>
  </w:style>
  <w:style w:type="paragraph" w:customStyle="1" w:styleId="xl45">
    <w:name w:val="xl4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6600"/>
      <w:kern w:val="0"/>
      <w:sz w:val="24"/>
    </w:rPr>
  </w:style>
  <w:style w:type="paragraph" w:customStyle="1" w:styleId="a38">
    <w:name w:val="缺省文本"/>
    <w:basedOn w:val="Normal"/>
    <w:pPr>
      <w:autoSpaceDE w:val="0"/>
      <w:autoSpaceDN w:val="0"/>
      <w:adjustRightInd w:val="0"/>
      <w:jc w:val="left"/>
    </w:pPr>
    <w:rPr>
      <w:rFonts w:ascii="Times New Roman" w:eastAsia="宋体" w:hAnsi="Times New Roman" w:cs="Times New Roman"/>
      <w:kern w:val="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333399"/>
      <w:kern w:val="0"/>
      <w:sz w:val="24"/>
    </w:rPr>
  </w:style>
  <w:style w:type="paragraph" w:styleId="NoSpacing">
    <w:name w:val="No Spacing"/>
    <w:qFormat/>
    <w:pPr>
      <w:widowControl w:val="0"/>
      <w:jc w:val="both"/>
    </w:pPr>
    <w:rPr>
      <w:rFonts w:ascii="Calibri" w:hAnsi="Calibri"/>
      <w:kern w:val="2"/>
      <w:sz w:val="21"/>
      <w:szCs w:val="21"/>
      <w:lang w:val="en-US" w:eastAsia="zh-CN" w:bidi="ar-SA"/>
    </w:rPr>
  </w:style>
  <w:style w:type="paragraph" w:customStyle="1" w:styleId="BodyText21">
    <w:name w:val="Body Text 21"/>
    <w:basedOn w:val="Normal"/>
    <w:pPr>
      <w:adjustRightInd w:val="0"/>
      <w:spacing w:line="400" w:lineRule="exact"/>
      <w:ind w:firstLine="425"/>
      <w:jc w:val="left"/>
      <w:textAlignment w:val="baseline"/>
    </w:pPr>
    <w:rPr>
      <w:rFonts w:ascii="Times New Roman" w:eastAsia="宋体" w:hAnsi="Times New Roman" w:cs="Times New Roman"/>
      <w:sz w:val="28"/>
      <w:szCs w:val="20"/>
    </w:rPr>
  </w:style>
  <w:style w:type="paragraph" w:customStyle="1" w:styleId="42">
    <w:name w:val="样式4"/>
    <w:basedOn w:val="Normal"/>
    <w:pPr>
      <w:tabs>
        <w:tab w:val="left" w:pos="842"/>
      </w:tabs>
      <w:spacing w:line="360" w:lineRule="auto"/>
      <w:ind w:left="842" w:hanging="420"/>
    </w:pPr>
    <w:rPr>
      <w:rFonts w:ascii="Times New Roman" w:eastAsia="宋体" w:hAnsi="Times New Roman" w:cs="Times New Roman"/>
      <w:sz w:val="24"/>
    </w:rPr>
  </w:style>
  <w:style w:type="paragraph" w:customStyle="1" w:styleId="CharCharChar">
    <w:name w:val="Char Char Char"/>
    <w:basedOn w:val="Normal"/>
    <w:rPr>
      <w:rFonts w:ascii="Tahoma" w:eastAsia="宋体" w:hAnsi="Tahoma" w:cs="Times New Roman"/>
      <w:sz w:val="24"/>
      <w:szCs w:val="20"/>
    </w:rPr>
  </w:style>
  <w:style w:type="paragraph" w:customStyle="1" w:styleId="font15">
    <w:name w:val="font15"/>
    <w:basedOn w:val="Normal"/>
    <w:pPr>
      <w:widowControl/>
      <w:spacing w:before="100" w:beforeAutospacing="1" w:after="100" w:afterAutospacing="1"/>
      <w:jc w:val="left"/>
    </w:pPr>
    <w:rPr>
      <w:rFonts w:ascii="Times New Roman" w:eastAsia="宋体" w:hAnsi="Times New Roman" w:cs="Times New Roman"/>
      <w:color w:val="008080"/>
      <w:kern w:val="0"/>
      <w:sz w:val="24"/>
    </w:rPr>
  </w:style>
  <w:style w:type="paragraph" w:customStyle="1" w:styleId="a39">
    <w:name w:val="正文文字缩进项目"/>
    <w:basedOn w:val="BodyTextIndent"/>
    <w:pPr>
      <w:numPr>
        <w:ilvl w:val="1"/>
        <w:numId w:val="7"/>
      </w:numPr>
      <w:tabs>
        <w:tab w:val="left" w:pos="840"/>
        <w:tab w:val="clear" w:pos="1260"/>
      </w:tabs>
      <w:spacing w:after="120" w:line="240" w:lineRule="auto"/>
      <w:ind w:left="840" w:firstLine="0" w:firstLineChars="0"/>
    </w:pPr>
    <w:rPr>
      <w:rFonts w:ascii="Tahoma" w:eastAsia="宋体" w:hAnsi="Tahoma" w:cs="Times New Roman"/>
      <w:sz w:val="22"/>
      <w:szCs w:val="20"/>
    </w:rPr>
  </w:style>
  <w:style w:type="paragraph" w:customStyle="1" w:styleId="RFItextfrom3rdLevel">
    <w:name w:val="RFI text from 3rd Level"/>
    <w:basedOn w:val="Normal"/>
    <w:pPr>
      <w:widowControl/>
      <w:numPr>
        <w:ilvl w:val="0"/>
        <w:numId w:val="7"/>
      </w:numPr>
      <w:tabs>
        <w:tab w:val="clear" w:pos="840"/>
        <w:tab w:val="left" w:pos="1080"/>
      </w:tabs>
      <w:spacing w:beforeLines="50" w:line="360" w:lineRule="auto"/>
      <w:ind w:left="0" w:firstLine="0"/>
    </w:pPr>
    <w:rPr>
      <w:rFonts w:ascii="Arial (W1)" w:eastAsia="宋体" w:hAnsi="Arial (W1)" w:cs="Times New Roman"/>
      <w:bCs/>
      <w:kern w:val="0"/>
      <w:sz w:val="24"/>
      <w:lang w:val="en-GB"/>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rPr>
  </w:style>
  <w:style w:type="paragraph" w:customStyle="1" w:styleId="71">
    <w:name w:val="7"/>
    <w:basedOn w:val="Normal"/>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17">
    <w:name w:val="样式1"/>
    <w:basedOn w:val="Title"/>
    <w:pPr>
      <w:spacing w:before="120" w:after="120"/>
    </w:pPr>
    <w:rPr>
      <w:rFonts w:ascii="Times New Roman" w:eastAsia="黑体" w:hAnsi="Times New Roman" w:cs="Times New Roman"/>
      <w:b w:val="0"/>
      <w:sz w:val="30"/>
      <w:szCs w:val="21"/>
    </w:rPr>
  </w:style>
  <w:style w:type="paragraph" w:customStyle="1" w:styleId="27">
    <w:name w:val="样式2"/>
    <w:basedOn w:val="Title"/>
    <w:next w:val="17"/>
    <w:pPr>
      <w:spacing w:before="120" w:after="120"/>
    </w:pPr>
    <w:rPr>
      <w:rFonts w:ascii="Times New Roman" w:eastAsia="黑体" w:hAnsi="Times New Roman" w:cs="Times New Roman"/>
      <w:b w:val="0"/>
      <w:sz w:val="30"/>
      <w:szCs w:val="30"/>
    </w:rPr>
  </w:style>
  <w:style w:type="paragraph" w:customStyle="1" w:styleId="a41">
    <w:name w:val="È±Ê¡ÎÄ±¾"/>
    <w:basedOn w:val="Normal"/>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xl61">
    <w:name w:val="xl6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808000"/>
      <w:kern w:val="0"/>
      <w:sz w:val="24"/>
    </w:rPr>
  </w:style>
  <w:style w:type="paragraph" w:customStyle="1" w:styleId="font0">
    <w:name w:val="font0"/>
    <w:basedOn w:val="Normal"/>
    <w:pPr>
      <w:widowControl/>
      <w:spacing w:before="100" w:beforeAutospacing="1" w:after="100" w:afterAutospacing="1"/>
      <w:jc w:val="left"/>
    </w:pPr>
    <w:rPr>
      <w:rFonts w:ascii="宋体" w:eastAsia="宋体" w:hAnsi="宋体" w:cs="Times New Roman" w:hint="eastAsia"/>
      <w:kern w:val="0"/>
      <w:sz w:val="24"/>
    </w:rPr>
  </w:style>
  <w:style w:type="paragraph" w:customStyle="1" w:styleId="cucd-3">
    <w:name w:val="cucd-3"/>
    <w:next w:val="Normal"/>
    <w:pPr>
      <w:tabs>
        <w:tab w:val="left" w:pos="0"/>
      </w:tabs>
      <w:spacing w:line="360" w:lineRule="auto"/>
      <w:outlineLvl w:val="2"/>
    </w:pPr>
    <w:rPr>
      <w:rFonts w:ascii="宋体" w:hAnsi="宋体"/>
      <w:color w:val="000000"/>
      <w:kern w:val="2"/>
      <w:sz w:val="21"/>
      <w:szCs w:val="21"/>
      <w:lang w:val="en-US" w:eastAsia="zh-CN" w:bidi="ar-SA"/>
    </w:rPr>
  </w:style>
  <w:style w:type="paragraph" w:customStyle="1" w:styleId="a42">
    <w:name w:val="列表项目"/>
    <w:basedOn w:val="Normal"/>
    <w:pPr>
      <w:tabs>
        <w:tab w:val="left" w:pos="420"/>
        <w:tab w:val="left" w:pos="1080"/>
      </w:tabs>
      <w:spacing w:line="288" w:lineRule="auto"/>
      <w:ind w:left="1080" w:hanging="360"/>
    </w:pPr>
    <w:rPr>
      <w:rFonts w:ascii="Times New Roman" w:eastAsia="宋体" w:hAnsi="Times New Roman" w:cs="Times New Roman"/>
      <w:sz w:val="24"/>
      <w:szCs w:val="20"/>
    </w:rPr>
  </w:style>
  <w:style w:type="paragraph" w:customStyle="1" w:styleId="a43">
    <w:name w:val="正文(首行缩进)"/>
    <w:pPr>
      <w:spacing w:line="360" w:lineRule="auto"/>
      <w:ind w:firstLine="488" w:firstLineChars="200"/>
      <w:jc w:val="both"/>
    </w:pPr>
    <w:rPr>
      <w:rFonts w:eastAsia="仿宋_GB2312"/>
      <w:spacing w:val="2"/>
      <w:sz w:val="24"/>
      <w:szCs w:val="24"/>
      <w:lang w:val="en-US" w:eastAsia="zh-CN" w:bidi="ar-SA"/>
    </w:rPr>
  </w:style>
  <w:style w:type="paragraph" w:customStyle="1" w:styleId="xl42">
    <w:name w:val="xl4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CC99FF"/>
      <w:kern w:val="0"/>
      <w:sz w:val="24"/>
    </w:rPr>
  </w:style>
  <w:style w:type="paragraph" w:customStyle="1" w:styleId="xl59">
    <w:name w:val="xl5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FFCC00"/>
      <w:kern w:val="0"/>
      <w:sz w:val="24"/>
    </w:rPr>
  </w:style>
  <w:style w:type="paragraph" w:customStyle="1" w:styleId="tabletext">
    <w:name w:val="tabletext"/>
    <w:basedOn w:val="Normal"/>
    <w:pPr>
      <w:widowControl/>
      <w:spacing w:before="100" w:beforeAutospacing="1" w:after="100" w:afterAutospacing="1"/>
      <w:jc w:val="left"/>
    </w:pPr>
    <w:rPr>
      <w:rFonts w:ascii="宋体" w:eastAsia="宋体" w:hAnsi="宋体" w:cs="宋体"/>
      <w:kern w:val="0"/>
      <w:sz w:val="24"/>
    </w:rPr>
  </w:style>
  <w:style w:type="paragraph" w:customStyle="1" w:styleId="a44">
    <w:name w:val="姜文清定义的正文"/>
    <w:basedOn w:val="Normal"/>
    <w:pPr>
      <w:spacing w:line="240" w:lineRule="atLeast"/>
      <w:ind w:firstLine="567"/>
    </w:pPr>
    <w:rPr>
      <w:rFonts w:ascii="Times New Roman" w:eastAsia="宋体" w:hAnsi="Times New Roman" w:cs="Times New Roman"/>
      <w:szCs w:val="20"/>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993300"/>
      <w:kern w:val="0"/>
      <w:sz w:val="24"/>
    </w:rPr>
  </w:style>
  <w:style w:type="paragraph" w:customStyle="1" w:styleId="tableheader">
    <w:name w:val="tableheader"/>
    <w:basedOn w:val="Normal"/>
    <w:pPr>
      <w:widowControl/>
      <w:shd w:val="clear" w:color="auto" w:fill="ABCDEF"/>
      <w:spacing w:before="100" w:beforeAutospacing="1" w:after="100" w:afterAutospacing="1"/>
      <w:jc w:val="left"/>
    </w:pPr>
    <w:rPr>
      <w:rFonts w:ascii="宋体" w:eastAsia="宋体" w:hAnsi="宋体" w:cs="宋体"/>
      <w:kern w:val="0"/>
      <w:sz w:val="24"/>
    </w:rPr>
  </w:style>
  <w:style w:type="paragraph" w:customStyle="1" w:styleId="9BOLD">
    <w:name w:val="汉仪细等线简9BOLD"/>
    <w:basedOn w:val="Normal"/>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paragraph" w:customStyle="1" w:styleId="CharCharCharChar">
    <w:name w:val="Char Char Char Char"/>
    <w:basedOn w:val="Normal"/>
    <w:rPr>
      <w:rFonts w:ascii="Tahoma" w:eastAsia="宋体" w:hAnsi="Tahoma" w:cs="Times New Roman"/>
      <w:sz w:val="24"/>
      <w:szCs w:val="20"/>
    </w:rPr>
  </w:style>
  <w:style w:type="paragraph" w:customStyle="1" w:styleId="34">
    <w:name w:val="列出段落3"/>
    <w:basedOn w:val="Normal"/>
    <w:pPr>
      <w:ind w:firstLine="420" w:firstLineChars="200"/>
    </w:pPr>
    <w:rPr>
      <w:rFonts w:ascii="Times New Roman" w:eastAsia="宋体" w:hAnsi="Times New Roman" w:cs="Times New Roman"/>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widowControl/>
      <w:spacing w:line="400" w:lineRule="exact"/>
      <w:jc w:val="center"/>
    </w:pPr>
    <w:rPr>
      <w:rFonts w:ascii="Verdana" w:eastAsia="宋体" w:hAnsi="Verdana" w:cs="Times New Roman"/>
      <w:kern w:val="0"/>
      <w:szCs w:val="20"/>
      <w:lang w:eastAsia="en-US"/>
    </w:rPr>
  </w:style>
  <w:style w:type="paragraph" w:customStyle="1" w:styleId="xl40">
    <w:name w:val="xl4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p0">
    <w:name w:val="p0"/>
    <w:basedOn w:val="Normal"/>
    <w:pPr>
      <w:widowControl/>
      <w:spacing w:before="100" w:beforeAutospacing="1" w:after="100" w:afterAutospacing="1"/>
      <w:jc w:val="left"/>
    </w:pPr>
    <w:rPr>
      <w:rFonts w:ascii="宋体" w:eastAsia="宋体" w:hAnsi="宋体" w:cs="宋体"/>
      <w:kern w:val="0"/>
      <w:sz w:val="24"/>
    </w:rPr>
  </w:style>
  <w:style w:type="paragraph" w:customStyle="1" w:styleId="Style23">
    <w:name w:val="_Style 23"/>
    <w:basedOn w:val="Normal"/>
    <w:next w:val="ListParagraph"/>
    <w:pPr>
      <w:ind w:firstLine="420" w:firstLineChars="200"/>
    </w:pPr>
    <w:rPr>
      <w:rFonts w:ascii="Times New Roman" w:eastAsia="宋体" w:hAnsi="Times New Roman" w:cs="Times New Roman"/>
      <w:szCs w:val="20"/>
    </w:rPr>
  </w:style>
  <w:style w:type="table" w:customStyle="1" w:styleId="1-11">
    <w:name w:val="网格表 1 浅色 - 着色 11"/>
    <w:basedOn w:val="TableNormal"/>
    <w:rPr>
      <w:rFonts w:ascii="Times New Roman" w:eastAsia="宋体" w:hAnsi="Times New Roman" w:cs="Times New Roma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tcPr>
        <w:tcBorders>
          <w:bottom w:val="single" w:sz="12" w:space="0" w:color="8EAADB"/>
        </w:tcBorders>
      </w:tcPr>
    </w:tblStylePr>
    <w:tblStylePr w:type="lastRow">
      <w:tcPr>
        <w:tcBorders>
          <w:top w:val="double" w:sz="2" w:space="0" w:color="8EAADB"/>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header" Target="header3.xml" /></Relationships>
</file>

<file path=docProps/app.xml><?xml version="1.0" encoding="utf-8"?>
<Properties xmlns="http://schemas.openxmlformats.org/officeDocument/2006/extended-properties" xmlns:vt="http://schemas.openxmlformats.org/officeDocument/2006/docPropsVTypes">
  <Template>Normal</Template>
  <TotalTime>157266240</TotalTime>
  <Pages>64</Pages>
  <Words>60288</Words>
  <Characters>65379</Characters>
  <Application>Microsoft Office Word</Application>
  <DocSecurity>0</DocSecurity>
  <Lines>520</Lines>
  <Paragraphs>146</Paragraphs>
  <ScaleCrop>false</ScaleCrop>
  <Company>Microsoft</Company>
  <LinksUpToDate>false</LinksUpToDate>
  <CharactersWithSpaces>70679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cp:lastModifiedBy>
  <cp:revision>16</cp:revision>
  <cp:lastPrinted>2022-06-14T02:51:00Z</cp:lastPrinted>
  <dcterms:created xsi:type="dcterms:W3CDTF">2023-05-24T08:09:00Z</dcterms:created>
  <dcterms:modified xsi:type="dcterms:W3CDTF">2023-08-28T02:43:00Z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F6C860DD34EE4F3CA64FDA792320C534_13</vt:lpwstr>
  </property>
  <property fmtid="{D5CDD505-2E9C-101B-9397-08002B2CF9AE}" pid="3" name="KSOProductBuildVer">
    <vt:lpwstr>2052-11.1.0.14309</vt:lpwstr>
  </property>
</Properties>
</file>