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pStyle w:val="NormalWeb"/>
        <w:widowControl/>
        <w:spacing w:before="454" w:beforeAutospacing="0" w:after="454" w:afterAutospacing="0"/>
        <w:ind w:left="454" w:right="454"/>
        <w:jc w:val="center"/>
        <w:outlineLvl w:val="0"/>
        <w:rPr>
          <w:b/>
          <w:bCs/>
          <w:sz w:val="40"/>
          <w:szCs w:val="40"/>
        </w:rPr>
      </w:pPr>
      <w:bookmarkStart w:id="0" w:name="_Hlk71456902"/>
      <w:r>
        <w:rPr>
          <w:rFonts w:hint="eastAsia"/>
          <w:b/>
          <w:bCs/>
          <w:sz w:val="40"/>
          <w:szCs w:val="40"/>
        </w:rPr>
        <w:t>清华大学深圳国际研究生院智慧校园智慧教学环境平台项目</w:t>
      </w:r>
    </w:p>
    <w:p>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Style w:val="TableNormal"/>
        <w:tblW w:w="7943" w:type="dxa"/>
        <w:jc w:val="center"/>
        <w:tblCellSpacing w:w="0" w:type="dxa"/>
        <w:tblCellMar>
          <w:top w:w="45" w:type="dxa"/>
          <w:left w:w="45" w:type="dxa"/>
          <w:bottom w:w="45" w:type="dxa"/>
          <w:right w:w="45" w:type="dxa"/>
        </w:tblCellMar>
      </w:tblPr>
      <w:tblGrid>
        <w:gridCol w:w="2723"/>
        <w:gridCol w:w="5220"/>
      </w:tblGrid>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vAlign w:val="center"/>
          </w:tcPr>
          <w:p>
            <w:pPr>
              <w:widowControl/>
              <w:jc w:val="right"/>
              <w:rPr>
                <w:sz w:val="30"/>
                <w:szCs w:val="30"/>
              </w:rPr>
            </w:pPr>
            <w:r>
              <w:rPr>
                <w:rFonts w:ascii="宋体" w:hAnsi="宋体" w:cs="宋体"/>
                <w:kern w:val="0"/>
                <w:sz w:val="30"/>
                <w:szCs w:val="30"/>
              </w:rPr>
              <w:t>项目编号：</w:t>
            </w:r>
          </w:p>
        </w:tc>
        <w:tc>
          <w:tcPr>
            <w:tcW w:w="5220" w:type="dxa"/>
            <w:vAlign w:val="center"/>
          </w:tcPr>
          <w:p>
            <w:pPr>
              <w:widowControl/>
              <w:jc w:val="left"/>
              <w:rPr>
                <w:sz w:val="30"/>
                <w:szCs w:val="30"/>
              </w:rPr>
            </w:pPr>
            <w:r>
              <w:rPr>
                <w:rFonts w:hint="eastAsia"/>
                <w:sz w:val="30"/>
                <w:szCs w:val="30"/>
              </w:rPr>
              <w:t>SZCG2022000581</w:t>
            </w:r>
          </w:p>
        </w:tc>
      </w:tr>
      <w:tr>
        <w:tblPrEx>
          <w:tblW w:w="7943" w:type="dxa"/>
          <w:jc w:val="center"/>
          <w:tblCellSpacing w:w="0" w:type="dxa"/>
          <w:tblCellMar>
            <w:top w:w="45" w:type="dxa"/>
            <w:left w:w="45" w:type="dxa"/>
            <w:bottom w:w="45" w:type="dxa"/>
            <w:right w:w="45" w:type="dxa"/>
          </w:tblCellMar>
        </w:tblPrEx>
        <w:trPr>
          <w:trHeight w:val="90"/>
          <w:tblCellSpacing w:w="0" w:type="dxa"/>
          <w:jc w:val="center"/>
        </w:trPr>
        <w:tc>
          <w:tcPr>
            <w:tcW w:w="2723" w:type="dxa"/>
            <w:vAlign w:val="center"/>
          </w:tcPr>
          <w:p>
            <w:pPr>
              <w:widowControl/>
              <w:jc w:val="right"/>
              <w:rPr>
                <w:sz w:val="30"/>
                <w:szCs w:val="30"/>
              </w:rPr>
            </w:pPr>
            <w:r>
              <w:rPr>
                <w:rFonts w:ascii="宋体" w:hAnsi="宋体" w:cs="宋体"/>
                <w:kern w:val="0"/>
                <w:sz w:val="30"/>
                <w:szCs w:val="30"/>
              </w:rPr>
              <w:t>项目名称：</w:t>
            </w:r>
          </w:p>
        </w:tc>
        <w:tc>
          <w:tcPr>
            <w:tcW w:w="5220" w:type="dxa"/>
            <w:vAlign w:val="center"/>
          </w:tcPr>
          <w:p>
            <w:pPr>
              <w:widowControl/>
              <w:jc w:val="left"/>
              <w:rPr>
                <w:sz w:val="30"/>
                <w:szCs w:val="30"/>
              </w:rPr>
            </w:pPr>
            <w:r>
              <w:rPr>
                <w:rFonts w:ascii="宋体" w:hAnsi="宋体" w:cs="宋体" w:hint="eastAsia"/>
                <w:kern w:val="0"/>
                <w:sz w:val="30"/>
                <w:szCs w:val="30"/>
              </w:rPr>
              <w:t>清华大学深圳国际研究生院智慧校园智慧教学环境平台项目</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vAlign w:val="center"/>
          </w:tcPr>
          <w:p>
            <w:pPr>
              <w:widowControl/>
              <w:jc w:val="right"/>
              <w:rPr>
                <w:sz w:val="30"/>
                <w:szCs w:val="30"/>
              </w:rPr>
            </w:pPr>
            <w:r>
              <w:rPr>
                <w:rFonts w:ascii="宋体" w:hAnsi="宋体" w:cs="宋体"/>
                <w:kern w:val="0"/>
                <w:sz w:val="30"/>
                <w:szCs w:val="30"/>
              </w:rPr>
              <w:t>包 号：</w:t>
            </w:r>
          </w:p>
        </w:tc>
        <w:tc>
          <w:tcPr>
            <w:tcW w:w="5220" w:type="dxa"/>
            <w:vAlign w:val="center"/>
          </w:tcPr>
          <w:p>
            <w:pPr>
              <w:widowControl/>
              <w:jc w:val="left"/>
              <w:rPr>
                <w:sz w:val="30"/>
                <w:szCs w:val="30"/>
              </w:rPr>
            </w:pPr>
            <w:r>
              <w:rPr>
                <w:rFonts w:ascii="宋体" w:hAnsi="宋体" w:cs="宋体"/>
                <w:kern w:val="0"/>
                <w:sz w:val="30"/>
                <w:szCs w:val="30"/>
              </w:rPr>
              <w:t>A</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vAlign w:val="center"/>
          </w:tcPr>
          <w:p>
            <w:pPr>
              <w:widowControl/>
              <w:jc w:val="right"/>
              <w:rPr>
                <w:sz w:val="30"/>
                <w:szCs w:val="30"/>
              </w:rPr>
            </w:pPr>
            <w:r>
              <w:rPr>
                <w:rFonts w:ascii="宋体" w:hAnsi="宋体" w:cs="宋体"/>
                <w:kern w:val="0"/>
                <w:sz w:val="30"/>
                <w:szCs w:val="30"/>
              </w:rPr>
              <w:t>项目类型：</w:t>
            </w:r>
          </w:p>
        </w:tc>
        <w:tc>
          <w:tcPr>
            <w:tcW w:w="5220" w:type="dxa"/>
            <w:vAlign w:val="center"/>
          </w:tcPr>
          <w:p>
            <w:pPr>
              <w:widowControl/>
              <w:jc w:val="left"/>
              <w:rPr>
                <w:sz w:val="30"/>
                <w:szCs w:val="30"/>
              </w:rPr>
            </w:pPr>
            <w:r>
              <w:rPr>
                <w:rFonts w:ascii="宋体" w:hAnsi="宋体" w:cs="宋体"/>
                <w:kern w:val="0"/>
                <w:sz w:val="30"/>
                <w:szCs w:val="30"/>
              </w:rPr>
              <w:t>货物类</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vAlign w:val="center"/>
          </w:tcPr>
          <w:p>
            <w:pPr>
              <w:widowControl/>
              <w:jc w:val="right"/>
              <w:rPr>
                <w:sz w:val="30"/>
                <w:szCs w:val="30"/>
              </w:rPr>
            </w:pPr>
            <w:r>
              <w:rPr>
                <w:rFonts w:ascii="宋体" w:hAnsi="宋体" w:cs="宋体"/>
                <w:kern w:val="0"/>
                <w:sz w:val="30"/>
                <w:szCs w:val="30"/>
              </w:rPr>
              <w:t>采购方式：</w:t>
            </w:r>
          </w:p>
        </w:tc>
        <w:tc>
          <w:tcPr>
            <w:tcW w:w="5220" w:type="dxa"/>
            <w:vAlign w:val="center"/>
          </w:tcPr>
          <w:p>
            <w:pPr>
              <w:widowControl/>
              <w:jc w:val="left"/>
              <w:rPr>
                <w:sz w:val="30"/>
                <w:szCs w:val="30"/>
              </w:rPr>
            </w:pPr>
            <w:r>
              <w:rPr>
                <w:rFonts w:ascii="宋体" w:hAnsi="宋体" w:cs="宋体"/>
                <w:kern w:val="0"/>
                <w:sz w:val="30"/>
                <w:szCs w:val="30"/>
              </w:rPr>
              <w:t>公开招标</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vAlign w:val="center"/>
          </w:tcPr>
          <w:p>
            <w:pPr>
              <w:widowControl/>
              <w:jc w:val="right"/>
              <w:rPr>
                <w:sz w:val="30"/>
                <w:szCs w:val="30"/>
              </w:rPr>
            </w:pPr>
            <w:r>
              <w:rPr>
                <w:rFonts w:ascii="宋体" w:hAnsi="宋体" w:cs="宋体"/>
                <w:kern w:val="0"/>
                <w:sz w:val="30"/>
                <w:szCs w:val="30"/>
              </w:rPr>
              <w:t>货币类型：</w:t>
            </w:r>
          </w:p>
        </w:tc>
        <w:tc>
          <w:tcPr>
            <w:tcW w:w="5220" w:type="dxa"/>
            <w:vAlign w:val="center"/>
          </w:tcPr>
          <w:p>
            <w:pPr>
              <w:widowControl/>
              <w:jc w:val="left"/>
              <w:rPr>
                <w:sz w:val="30"/>
                <w:szCs w:val="30"/>
              </w:rPr>
            </w:pPr>
            <w:r>
              <w:rPr>
                <w:rFonts w:ascii="宋体" w:hAnsi="宋体" w:cs="宋体"/>
                <w:kern w:val="0"/>
                <w:sz w:val="30"/>
                <w:szCs w:val="30"/>
              </w:rPr>
              <w:t>人民币</w:t>
            </w:r>
          </w:p>
        </w:tc>
      </w:tr>
      <w:tr>
        <w:tblPrEx>
          <w:tblW w:w="7943" w:type="dxa"/>
          <w:jc w:val="center"/>
          <w:tblCellSpacing w:w="0" w:type="dxa"/>
          <w:tblCellMar>
            <w:top w:w="45" w:type="dxa"/>
            <w:left w:w="45" w:type="dxa"/>
            <w:bottom w:w="45" w:type="dxa"/>
            <w:right w:w="45" w:type="dxa"/>
          </w:tblCellMar>
        </w:tblPrEx>
        <w:trPr>
          <w:trHeight w:val="738"/>
          <w:tblCellSpacing w:w="0" w:type="dxa"/>
          <w:jc w:val="center"/>
        </w:trPr>
        <w:tc>
          <w:tcPr>
            <w:tcW w:w="2723" w:type="dxa"/>
            <w:vAlign w:val="center"/>
          </w:tcPr>
          <w:p>
            <w:pPr>
              <w:widowControl/>
              <w:jc w:val="right"/>
              <w:rPr>
                <w:sz w:val="30"/>
                <w:szCs w:val="30"/>
              </w:rPr>
            </w:pPr>
            <w:r>
              <w:rPr>
                <w:rFonts w:ascii="宋体" w:hAnsi="宋体" w:cs="宋体"/>
                <w:kern w:val="0"/>
                <w:sz w:val="30"/>
                <w:szCs w:val="30"/>
              </w:rPr>
              <w:t>评标方法：</w:t>
            </w:r>
          </w:p>
        </w:tc>
        <w:tc>
          <w:tcPr>
            <w:tcW w:w="5220" w:type="dxa"/>
            <w:vAlign w:val="center"/>
          </w:tcPr>
          <w:p>
            <w:pPr>
              <w:widowControl/>
              <w:jc w:val="left"/>
              <w:rPr>
                <w:sz w:val="30"/>
                <w:szCs w:val="30"/>
              </w:rPr>
            </w:pPr>
            <w:r>
              <w:rPr>
                <w:rFonts w:ascii="宋体" w:hAnsi="宋体" w:cs="宋体"/>
                <w:kern w:val="0"/>
                <w:sz w:val="30"/>
                <w:szCs w:val="30"/>
              </w:rPr>
              <w:t>综合评分</w:t>
            </w:r>
          </w:p>
        </w:tc>
      </w:tr>
    </w:tbl>
    <w:p>
      <w:pPr>
        <w:pStyle w:val="NormalWeb"/>
        <w:widowControl/>
        <w:jc w:val="center"/>
        <w:outlineLvl w:val="1"/>
        <w:rPr>
          <w:rFonts w:ascii="黑体" w:eastAsia="黑体" w:hAnsi="宋体" w:cs="黑体"/>
          <w:sz w:val="40"/>
          <w:szCs w:val="40"/>
        </w:rPr>
      </w:pPr>
      <w:bookmarkEnd w:id="0"/>
      <w:r>
        <w:rPr>
          <w:rFonts w:ascii="黑体" w:eastAsia="黑体" w:hAnsi="宋体" w:cs="黑体" w:hint="eastAsia"/>
          <w:sz w:val="40"/>
          <w:szCs w:val="40"/>
        </w:rPr>
        <w:t>资格性审查表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rPr>
              <w:t>）</w:t>
            </w:r>
          </w:p>
        </w:tc>
      </w:tr>
    </w:tbl>
    <w:p>
      <w:pPr>
        <w:pStyle w:val="NormalWeb"/>
        <w:widowControl/>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1</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将一个包或一个标段的内容拆开投标；</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2</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对同一项目投标时，提供两套以上的投标方案（招标文件另有规定的除外）；</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3</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分项报价或投标总价高于</w:t>
            </w:r>
            <w:bookmarkStart w:id="1" w:name="_Hlk71832186"/>
            <w:r>
              <w:rPr>
                <w:rFonts w:hint="eastAsia"/>
              </w:rPr>
              <w:t>相应财政预算金额（或设定的财政预算金额下的最高限价）</w:t>
            </w:r>
            <w:bookmarkEnd w:id="1"/>
            <w:r>
              <w:rPr>
                <w:rFonts w:hint="eastAsia"/>
              </w:rPr>
              <w:t>；</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4</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5</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所投货物、服务在技术、商务等方面没有实质性满足招标文件要求的（是否实质性满足招标文件要求，由评审委员会根据《实质性条款响应情况表》做出评判）；</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6</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7</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投标报价有缺漏项目,或者对招标文件规定的项目需求内容或者需求数量进行修改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8</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投标文件存在列放位置错误，导致属于信息公开情形的没有被公开；</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9</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投标文件电子文档带病毒；</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10</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投标文件用不属于本公司的电子密钥进行加密的；</w:t>
            </w:r>
          </w:p>
        </w:tc>
      </w:tr>
      <w:tr>
        <w:tblPrEx>
          <w:tblW w:w="9078" w:type="dxa"/>
          <w:jc w:val="center"/>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jc w:val="center"/>
              <w:textAlignment w:val="top"/>
              <w:rPr>
                <w:szCs w:val="21"/>
              </w:rPr>
            </w:pPr>
            <w:r>
              <w:rPr>
                <w:rFonts w:ascii="宋体" w:hAnsi="宋体" w:cs="宋体"/>
                <w:kern w:val="0"/>
                <w:szCs w:val="21"/>
              </w:rPr>
              <w:t>11</w:t>
            </w:r>
          </w:p>
        </w:tc>
        <w:tc>
          <w:tcPr>
            <w:tcW w:w="0" w:type="auto"/>
            <w:tcBorders>
              <w:top w:val="single" w:sz="8" w:space="0" w:color="000000"/>
              <w:left w:val="single" w:sz="8" w:space="0" w:color="000000"/>
              <w:bottom w:val="single" w:sz="8" w:space="0" w:color="000000"/>
              <w:right w:val="single" w:sz="8" w:space="0" w:color="000000"/>
            </w:tcBorders>
          </w:tcPr>
          <w:p>
            <w:pPr>
              <w:widowControl/>
              <w:jc w:val="left"/>
              <w:textAlignment w:val="top"/>
              <w:rPr>
                <w:szCs w:val="21"/>
              </w:rPr>
            </w:pPr>
            <w:r>
              <w:rPr>
                <w:rFonts w:hint="eastAsia"/>
              </w:rPr>
              <w:t>法律、法规、规章、规范性文件规定的其他情形。</w:t>
            </w:r>
          </w:p>
        </w:tc>
      </w:tr>
    </w:tbl>
    <w:p>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评标信息</w:t>
      </w:r>
    </w:p>
    <w:tbl>
      <w:tblPr>
        <w:tblStyle w:val="TableNormal"/>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Pr>
      <w:tblGrid>
        <w:gridCol w:w="8891"/>
        <w:gridCol w:w="187"/>
      </w:tblGrid>
      <w:tr>
        <w:tblPrEx>
          <w:tblW w:w="9078" w:type="dxa"/>
          <w:jc w:val="center"/>
          <w:tblCellSpacing w:w="0" w:type="dxa"/>
          <w:tblBorders>
            <w:top w:val="nil"/>
            <w:left w:val="nil"/>
            <w:bottom w:val="nil"/>
            <w:right w:val="nil"/>
            <w:insideH w:val="nil"/>
            <w:insideV w:val="nil"/>
          </w:tblBorders>
          <w:tblCellMar>
            <w:top w:w="45" w:type="dxa"/>
            <w:left w:w="45" w:type="dxa"/>
            <w:bottom w:w="45" w:type="dxa"/>
            <w:right w:w="45" w:type="dxa"/>
          </w:tblCellMar>
        </w:tblPrEx>
        <w:trPr>
          <w:tblCellSpacing w:w="0" w:type="dxa"/>
          <w:jc w:val="center"/>
        </w:trPr>
        <w:tc>
          <w:tcPr>
            <w:tcW w:w="0" w:type="auto"/>
            <w:vAlign w:val="center"/>
          </w:tcPr>
          <w:p>
            <w:pPr>
              <w:widowControl/>
              <w:jc w:val="left"/>
              <w:rPr>
                <w:b/>
                <w:bCs/>
                <w:sz w:val="24"/>
              </w:rPr>
            </w:pPr>
            <w:r>
              <w:rPr>
                <w:b/>
                <w:bCs/>
              </w:rPr>
              <w:t>评标方法：</w:t>
            </w:r>
            <w:r>
              <w:rPr>
                <w:rFonts w:hint="eastAsia"/>
                <w:b/>
                <w:bCs/>
              </w:rPr>
              <w:t>最低价法/</w:t>
            </w:r>
            <w:r>
              <w:rPr>
                <w:b/>
                <w:bCs/>
              </w:rPr>
              <w:t>综合评分法（新价格分算法）</w:t>
            </w:r>
          </w:p>
        </w:tc>
        <w:tc>
          <w:tcPr>
            <w:tcW w:w="0" w:type="auto"/>
            <w:vAlign w:val="center"/>
          </w:tcPr>
          <w:p>
            <w:pPr>
              <w:jc w:val="right"/>
              <w:rPr>
                <w:rFonts w:ascii="宋体"/>
                <w:b/>
                <w:bCs/>
                <w:sz w:val="24"/>
              </w:rPr>
            </w:pPr>
          </w:p>
        </w:tc>
      </w:tr>
      <w:tr>
        <w:tblPrEx>
          <w:tblW w:w="9078" w:type="dxa"/>
          <w:jc w:val="center"/>
          <w:tblCellSpacing w:w="0" w:type="dxa"/>
          <w:tblCellMar>
            <w:top w:w="45" w:type="dxa"/>
            <w:left w:w="45" w:type="dxa"/>
            <w:bottom w:w="45" w:type="dxa"/>
            <w:right w:w="45" w:type="dxa"/>
          </w:tblCellMar>
        </w:tblPrEx>
        <w:trPr>
          <w:tblCellSpacing w:w="0" w:type="dxa"/>
          <w:jc w:val="center"/>
        </w:trPr>
        <w:tc>
          <w:tcPr>
            <w:tcW w:w="0" w:type="auto"/>
            <w:gridSpan w:val="2"/>
            <w:vAlign w:val="center"/>
          </w:tcPr>
          <w:p>
            <w:pPr>
              <w:spacing w:line="324" w:lineRule="auto"/>
              <w:ind w:firstLine="420"/>
              <w:rPr>
                <w:szCs w:val="21"/>
              </w:rPr>
            </w:pPr>
            <w:r>
              <w:rPr>
                <w:szCs w:val="21"/>
              </w:rPr>
              <w:t xml:space="preserve">综合评分法，是指投标文件满足招标文件全部实质性要求，且按照评审因素的量化指标评审得分最高的投标人为中标候选人的评标方法。 </w:t>
            </w:r>
          </w:p>
          <w:p>
            <w:pPr>
              <w:ind w:firstLine="420"/>
              <w:rPr>
                <w:szCs w:val="21"/>
              </w:rPr>
            </w:pPr>
            <w:r>
              <w:rPr>
                <w:szCs w:val="21"/>
              </w:rPr>
              <w:t>价格分计算方法：</w:t>
            </w:r>
          </w:p>
          <w:p>
            <w:pPr>
              <w:pStyle w:val="NormalWeb"/>
              <w:widowControl/>
              <w:spacing w:line="324" w:lineRule="auto"/>
              <w:ind w:left="420"/>
              <w:rPr>
                <w:sz w:val="21"/>
                <w:szCs w:val="21"/>
              </w:rPr>
            </w:pPr>
            <w:r>
              <w:rPr>
                <w:kern w:val="2"/>
                <w:sz w:val="21"/>
                <w:szCs w:val="21"/>
              </w:rPr>
              <w:t xml:space="preserve">采用低价优先法计算，即满足招标文件要求且投标价格最低的投标报价为评标基准价，其价格分为满分。其他投标人的价格分统一按照下列公式计算： </w:t>
            </w:r>
            <w:r>
              <w:rPr>
                <w:kern w:val="2"/>
                <w:sz w:val="21"/>
                <w:szCs w:val="21"/>
              </w:rPr>
              <w:br/>
            </w:r>
            <w:r>
              <w:rPr>
                <w:kern w:val="2"/>
                <w:sz w:val="21"/>
                <w:szCs w:val="21"/>
              </w:rPr>
              <w:t xml:space="preserve">投标报价得分=(评标基准价／投标报价)×100 </w:t>
            </w:r>
            <w:r>
              <w:rPr>
                <w:kern w:val="2"/>
                <w:sz w:val="21"/>
                <w:szCs w:val="21"/>
              </w:rPr>
              <w:br/>
            </w:r>
            <w:r>
              <w:rPr>
                <w:kern w:val="2"/>
                <w:sz w:val="21"/>
                <w:szCs w:val="21"/>
              </w:rPr>
              <w:t xml:space="preserve">评标总得分＝F1×A1＋F2×A2＋……＋Fn×An </w:t>
            </w:r>
            <w:r>
              <w:rPr>
                <w:kern w:val="2"/>
                <w:sz w:val="21"/>
                <w:szCs w:val="21"/>
              </w:rPr>
              <w:br/>
            </w:r>
            <w:r>
              <w:rPr>
                <w:kern w:val="2"/>
                <w:sz w:val="21"/>
                <w:szCs w:val="21"/>
              </w:rPr>
              <w:t xml:space="preserve">F1、F2……Fn分别为各项评审因素的得分； </w:t>
            </w:r>
            <w:r>
              <w:rPr>
                <w:kern w:val="2"/>
                <w:sz w:val="21"/>
                <w:szCs w:val="21"/>
              </w:rPr>
              <w:br/>
            </w:r>
            <w:r>
              <w:rPr>
                <w:kern w:val="2"/>
                <w:sz w:val="21"/>
                <w:szCs w:val="21"/>
              </w:rPr>
              <w:t xml:space="preserve">A1、A2、……An 分别为各项评审因素所占的权重(A1＋A2＋……＋An＝1)。 </w:t>
            </w:r>
            <w:r>
              <w:rPr>
                <w:kern w:val="2"/>
                <w:sz w:val="21"/>
                <w:szCs w:val="21"/>
              </w:rPr>
              <w:br/>
            </w:r>
            <w:r>
              <w:rPr>
                <w:kern w:val="2"/>
                <w:sz w:val="21"/>
                <w:szCs w:val="21"/>
              </w:rPr>
              <w:t xml:space="preserve">评标过程中，不得去掉报价中的最高报价和最低报价。 </w:t>
            </w:r>
            <w:r>
              <w:rPr>
                <w:kern w:val="2"/>
                <w:sz w:val="21"/>
                <w:szCs w:val="21"/>
              </w:rPr>
              <w:br/>
            </w:r>
            <w:r>
              <w:rPr>
                <w:kern w:val="2"/>
                <w:sz w:val="21"/>
                <w:szCs w:val="21"/>
              </w:rPr>
              <w:t>此方法适用于货物类、服务类、工程类项目。</w:t>
            </w:r>
          </w:p>
        </w:tc>
      </w:tr>
    </w:tbl>
    <w:p>
      <w:pPr>
        <w:rPr>
          <w:vanish/>
        </w:rPr>
      </w:pPr>
    </w:p>
    <w:tbl>
      <w:tblPr>
        <w:tblStyle w:val="TableNormal"/>
        <w:tblpPr w:leftFromText="180" w:rightFromText="180" w:vertAnchor="text" w:tblpXSpec="center" w:tblpY="1"/>
        <w:tblOverlap w:val="never"/>
        <w:tblW w:w="83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31"/>
        <w:gridCol w:w="483"/>
        <w:gridCol w:w="1843"/>
        <w:gridCol w:w="897"/>
        <w:gridCol w:w="1189"/>
        <w:gridCol w:w="6"/>
        <w:gridCol w:w="3315"/>
      </w:tblGrid>
      <w:tr>
        <w:tblPrEx>
          <w:tblW w:w="83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
        </w:trPr>
        <w:tc>
          <w:tcPr>
            <w:tcW w:w="631" w:type="dxa"/>
            <w:vAlign w:val="center"/>
          </w:tcPr>
          <w:p>
            <w:pPr>
              <w:spacing w:line="240" w:lineRule="exact"/>
              <w:jc w:val="center"/>
              <w:rPr>
                <w:rFonts w:ascii="宋体" w:hAnsi="宋体"/>
                <w:szCs w:val="21"/>
              </w:rPr>
            </w:pPr>
            <w:r>
              <w:rPr>
                <w:rFonts w:ascii="宋体" w:hAnsi="宋体" w:hint="eastAsia"/>
                <w:szCs w:val="21"/>
              </w:rPr>
              <w:t>序号</w:t>
            </w:r>
          </w:p>
        </w:tc>
        <w:tc>
          <w:tcPr>
            <w:tcW w:w="4412" w:type="dxa"/>
            <w:gridSpan w:val="4"/>
            <w:vAlign w:val="center"/>
          </w:tcPr>
          <w:p>
            <w:pPr>
              <w:spacing w:line="240" w:lineRule="exact"/>
              <w:jc w:val="center"/>
              <w:rPr>
                <w:rFonts w:ascii="宋体" w:hAnsi="宋体"/>
                <w:szCs w:val="21"/>
              </w:rPr>
            </w:pPr>
            <w:r>
              <w:rPr>
                <w:rFonts w:ascii="宋体" w:hAnsi="宋体" w:hint="eastAsia"/>
                <w:szCs w:val="21"/>
              </w:rPr>
              <w:t>评分项</w:t>
            </w:r>
          </w:p>
        </w:tc>
        <w:tc>
          <w:tcPr>
            <w:tcW w:w="3321" w:type="dxa"/>
            <w:gridSpan w:val="2"/>
            <w:vAlign w:val="center"/>
          </w:tcPr>
          <w:p>
            <w:pPr>
              <w:spacing w:line="240" w:lineRule="exact"/>
              <w:jc w:val="center"/>
              <w:rPr>
                <w:rFonts w:ascii="宋体" w:hAnsi="宋体"/>
                <w:szCs w:val="21"/>
              </w:rPr>
            </w:pPr>
            <w:r>
              <w:rPr>
                <w:rFonts w:ascii="宋体" w:hAnsi="宋体" w:hint="eastAsia"/>
                <w:szCs w:val="21"/>
              </w:rPr>
              <w:t>权重</w:t>
            </w:r>
          </w:p>
        </w:tc>
      </w:tr>
      <w:tr>
        <w:tblPrEx>
          <w:tblW w:w="8364" w:type="dxa"/>
          <w:tblInd w:w="0" w:type="dxa"/>
          <w:tblLayout w:type="fixed"/>
          <w:tblCellMar>
            <w:top w:w="0" w:type="dxa"/>
            <w:left w:w="108" w:type="dxa"/>
            <w:bottom w:w="0" w:type="dxa"/>
            <w:right w:w="108" w:type="dxa"/>
          </w:tblCellMar>
        </w:tblPrEx>
        <w:trPr>
          <w:trHeight w:val="20"/>
        </w:trPr>
        <w:tc>
          <w:tcPr>
            <w:tcW w:w="631" w:type="dxa"/>
            <w:vAlign w:val="center"/>
          </w:tcPr>
          <w:p>
            <w:pPr>
              <w:spacing w:line="240" w:lineRule="exact"/>
              <w:jc w:val="center"/>
              <w:rPr>
                <w:rFonts w:ascii="宋体" w:hAnsi="宋体"/>
                <w:szCs w:val="21"/>
              </w:rPr>
            </w:pPr>
            <w:r>
              <w:rPr>
                <w:rFonts w:ascii="宋体" w:hAnsi="宋体"/>
                <w:szCs w:val="21"/>
              </w:rPr>
              <w:t>1</w:t>
            </w:r>
          </w:p>
        </w:tc>
        <w:tc>
          <w:tcPr>
            <w:tcW w:w="4412" w:type="dxa"/>
            <w:gridSpan w:val="4"/>
            <w:vAlign w:val="center"/>
          </w:tcPr>
          <w:p>
            <w:pPr>
              <w:spacing w:line="240" w:lineRule="exact"/>
              <w:jc w:val="center"/>
              <w:rPr>
                <w:rFonts w:ascii="宋体" w:hAnsi="宋体"/>
                <w:szCs w:val="21"/>
              </w:rPr>
            </w:pPr>
            <w:r>
              <w:rPr>
                <w:rFonts w:ascii="宋体" w:hAnsi="宋体" w:hint="eastAsia"/>
                <w:szCs w:val="21"/>
              </w:rPr>
              <w:t>价格</w:t>
            </w:r>
          </w:p>
        </w:tc>
        <w:tc>
          <w:tcPr>
            <w:tcW w:w="3321" w:type="dxa"/>
            <w:gridSpan w:val="2"/>
            <w:vAlign w:val="center"/>
          </w:tcPr>
          <w:p>
            <w:pPr>
              <w:spacing w:line="240" w:lineRule="exact"/>
              <w:jc w:val="center"/>
              <w:rPr>
                <w:rFonts w:ascii="宋体" w:hAnsi="宋体"/>
                <w:szCs w:val="21"/>
              </w:rPr>
            </w:pPr>
            <w:r>
              <w:rPr>
                <w:rFonts w:ascii="宋体" w:hAnsi="宋体"/>
                <w:szCs w:val="21"/>
              </w:rPr>
              <w:t>30</w:t>
            </w:r>
          </w:p>
        </w:tc>
      </w:tr>
      <w:tr>
        <w:tblPrEx>
          <w:tblW w:w="8364" w:type="dxa"/>
          <w:tblInd w:w="0" w:type="dxa"/>
          <w:tblLayout w:type="fixed"/>
          <w:tblCellMar>
            <w:top w:w="0" w:type="dxa"/>
            <w:left w:w="108" w:type="dxa"/>
            <w:bottom w:w="0" w:type="dxa"/>
            <w:right w:w="108" w:type="dxa"/>
          </w:tblCellMar>
        </w:tblPrEx>
        <w:trPr>
          <w:trHeight w:val="20"/>
        </w:trPr>
        <w:tc>
          <w:tcPr>
            <w:tcW w:w="631" w:type="dxa"/>
            <w:vAlign w:val="center"/>
          </w:tcPr>
          <w:p>
            <w:pPr>
              <w:spacing w:line="240" w:lineRule="exact"/>
              <w:jc w:val="center"/>
              <w:rPr>
                <w:rFonts w:ascii="宋体" w:hAnsi="宋体"/>
                <w:szCs w:val="21"/>
              </w:rPr>
            </w:pPr>
            <w:r>
              <w:rPr>
                <w:rFonts w:ascii="宋体" w:hAnsi="宋体"/>
                <w:szCs w:val="21"/>
              </w:rPr>
              <w:t>2</w:t>
            </w:r>
          </w:p>
        </w:tc>
        <w:tc>
          <w:tcPr>
            <w:tcW w:w="4412" w:type="dxa"/>
            <w:gridSpan w:val="4"/>
            <w:vAlign w:val="center"/>
          </w:tcPr>
          <w:p>
            <w:pPr>
              <w:spacing w:line="240" w:lineRule="exact"/>
              <w:jc w:val="center"/>
              <w:rPr>
                <w:rFonts w:ascii="宋体" w:hAnsi="宋体"/>
                <w:szCs w:val="21"/>
              </w:rPr>
            </w:pPr>
            <w:r>
              <w:rPr>
                <w:rFonts w:ascii="宋体" w:hAnsi="宋体" w:hint="eastAsia"/>
                <w:szCs w:val="21"/>
              </w:rPr>
              <w:t>技术部分</w:t>
            </w:r>
          </w:p>
        </w:tc>
        <w:tc>
          <w:tcPr>
            <w:tcW w:w="3321" w:type="dxa"/>
            <w:gridSpan w:val="2"/>
            <w:vAlign w:val="center"/>
          </w:tcPr>
          <w:p>
            <w:pPr>
              <w:spacing w:line="240" w:lineRule="exact"/>
              <w:jc w:val="center"/>
              <w:rPr>
                <w:rFonts w:ascii="宋体" w:hAnsi="宋体"/>
                <w:szCs w:val="21"/>
              </w:rPr>
            </w:pPr>
            <w:r>
              <w:rPr>
                <w:rFonts w:ascii="宋体" w:hAnsi="宋体" w:hint="eastAsia"/>
                <w:szCs w:val="21"/>
              </w:rPr>
              <w:t>5</w:t>
            </w:r>
            <w:r>
              <w:rPr>
                <w:rFonts w:ascii="宋体" w:hAnsi="宋体"/>
                <w:szCs w:val="21"/>
              </w:rPr>
              <w:t>3</w:t>
            </w:r>
          </w:p>
        </w:tc>
      </w:tr>
      <w:tr>
        <w:tblPrEx>
          <w:tblW w:w="8364" w:type="dxa"/>
          <w:tblInd w:w="0" w:type="dxa"/>
          <w:tblLayout w:type="fixed"/>
          <w:tblCellMar>
            <w:top w:w="0" w:type="dxa"/>
            <w:left w:w="108" w:type="dxa"/>
            <w:bottom w:w="0" w:type="dxa"/>
            <w:right w:w="108" w:type="dxa"/>
          </w:tblCellMar>
        </w:tblPrEx>
        <w:trPr>
          <w:trHeight w:val="20"/>
        </w:trPr>
        <w:tc>
          <w:tcPr>
            <w:tcW w:w="631" w:type="dxa"/>
            <w:vMerge w:val="restart"/>
            <w:vAlign w:val="center"/>
          </w:tcPr>
          <w:p>
            <w:pPr>
              <w:spacing w:line="240" w:lineRule="exact"/>
              <w:jc w:val="center"/>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hint="eastAsia"/>
                <w:szCs w:val="21"/>
              </w:rPr>
              <w:t>序号</w:t>
            </w:r>
          </w:p>
        </w:tc>
        <w:tc>
          <w:tcPr>
            <w:tcW w:w="1843" w:type="dxa"/>
            <w:vAlign w:val="center"/>
          </w:tcPr>
          <w:p>
            <w:pPr>
              <w:spacing w:line="240" w:lineRule="exact"/>
              <w:jc w:val="center"/>
              <w:rPr>
                <w:rFonts w:ascii="宋体" w:hAnsi="宋体"/>
                <w:szCs w:val="21"/>
              </w:rPr>
            </w:pPr>
            <w:r>
              <w:rPr>
                <w:rFonts w:ascii="宋体" w:hAnsi="宋体" w:hint="eastAsia"/>
                <w:szCs w:val="21"/>
              </w:rPr>
              <w:t>评分因素</w:t>
            </w:r>
          </w:p>
        </w:tc>
        <w:tc>
          <w:tcPr>
            <w:tcW w:w="897" w:type="dxa"/>
            <w:vAlign w:val="center"/>
          </w:tcPr>
          <w:p>
            <w:pPr>
              <w:spacing w:line="240" w:lineRule="exact"/>
              <w:jc w:val="center"/>
              <w:rPr>
                <w:rFonts w:ascii="宋体" w:hAnsi="宋体"/>
                <w:szCs w:val="21"/>
              </w:rPr>
            </w:pPr>
            <w:r>
              <w:rPr>
                <w:rFonts w:ascii="宋体" w:hAnsi="宋体" w:hint="eastAsia"/>
                <w:szCs w:val="21"/>
              </w:rPr>
              <w:t>权重</w:t>
            </w:r>
          </w:p>
        </w:tc>
        <w:tc>
          <w:tcPr>
            <w:tcW w:w="1189" w:type="dxa"/>
            <w:vAlign w:val="center"/>
          </w:tcPr>
          <w:p>
            <w:pPr>
              <w:spacing w:line="240" w:lineRule="exact"/>
              <w:jc w:val="center"/>
              <w:rPr>
                <w:rFonts w:ascii="宋体" w:hAnsi="宋体"/>
                <w:szCs w:val="21"/>
              </w:rPr>
            </w:pPr>
            <w:r>
              <w:rPr>
                <w:rFonts w:ascii="宋体" w:hAnsi="宋体" w:hint="eastAsia"/>
                <w:szCs w:val="21"/>
              </w:rPr>
              <w:t>评分方式</w:t>
            </w:r>
          </w:p>
        </w:tc>
        <w:tc>
          <w:tcPr>
            <w:tcW w:w="3321" w:type="dxa"/>
            <w:gridSpan w:val="2"/>
            <w:vAlign w:val="center"/>
          </w:tcPr>
          <w:p>
            <w:pPr>
              <w:spacing w:line="240" w:lineRule="exact"/>
              <w:jc w:val="center"/>
              <w:rPr>
                <w:rFonts w:ascii="宋体" w:hAnsi="宋体"/>
                <w:szCs w:val="21"/>
              </w:rPr>
            </w:pPr>
            <w:r>
              <w:rPr>
                <w:rFonts w:ascii="宋体" w:hAnsi="宋体" w:hint="eastAsia"/>
                <w:szCs w:val="21"/>
              </w:rPr>
              <w:t>评分准则</w:t>
            </w:r>
          </w:p>
        </w:tc>
      </w:tr>
      <w:tr>
        <w:tblPrEx>
          <w:tblW w:w="8364" w:type="dxa"/>
          <w:tblInd w:w="0" w:type="dxa"/>
          <w:tblLayout w:type="fixed"/>
          <w:tblCellMar>
            <w:top w:w="0" w:type="dxa"/>
            <w:left w:w="108" w:type="dxa"/>
            <w:bottom w:w="0" w:type="dxa"/>
            <w:right w:w="108" w:type="dxa"/>
          </w:tblCellMar>
        </w:tblPrEx>
        <w:trPr>
          <w:trHeight w:val="20"/>
        </w:trPr>
        <w:tc>
          <w:tcPr>
            <w:tcW w:w="631" w:type="dxa"/>
            <w:vMerge/>
            <w:vAlign w:val="center"/>
          </w:tcPr>
          <w:p>
            <w:pPr>
              <w:keepNext/>
              <w:keepLines/>
              <w:spacing w:before="340" w:after="330" w:line="240" w:lineRule="exact"/>
              <w:jc w:val="center"/>
              <w:outlineLvl w:val="0"/>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szCs w:val="21"/>
              </w:rPr>
              <w:t>1</w:t>
            </w:r>
          </w:p>
        </w:tc>
        <w:tc>
          <w:tcPr>
            <w:tcW w:w="1843" w:type="dxa"/>
            <w:vAlign w:val="center"/>
          </w:tcPr>
          <w:p>
            <w:pPr>
              <w:spacing w:line="260" w:lineRule="exact"/>
              <w:jc w:val="center"/>
              <w:rPr>
                <w:rFonts w:hAnsi="宋体"/>
                <w:szCs w:val="21"/>
              </w:rPr>
            </w:pPr>
            <w:r>
              <w:rPr>
                <w:rFonts w:ascii="宋体" w:hAnsi="宋体" w:cs="宋体" w:hint="eastAsia"/>
                <w:kern w:val="0"/>
                <w:sz w:val="20"/>
                <w:szCs w:val="20"/>
              </w:rPr>
              <w:t>技术要求偏离情况</w:t>
            </w:r>
          </w:p>
        </w:tc>
        <w:tc>
          <w:tcPr>
            <w:tcW w:w="897" w:type="dxa"/>
            <w:vAlign w:val="center"/>
          </w:tcPr>
          <w:p>
            <w:pPr>
              <w:spacing w:line="260" w:lineRule="exact"/>
              <w:jc w:val="center"/>
              <w:rPr>
                <w:rFonts w:hAnsi="宋体"/>
                <w:szCs w:val="21"/>
              </w:rPr>
            </w:pPr>
            <w:r>
              <w:rPr>
                <w:rFonts w:hAnsi="宋体" w:hint="eastAsia"/>
                <w:color w:val="000000"/>
                <w:szCs w:val="21"/>
              </w:rPr>
              <w:t>45</w:t>
            </w:r>
          </w:p>
        </w:tc>
        <w:tc>
          <w:tcPr>
            <w:tcW w:w="1189" w:type="dxa"/>
            <w:vAlign w:val="center"/>
          </w:tcPr>
          <w:p>
            <w:pPr>
              <w:spacing w:line="260" w:lineRule="exact"/>
              <w:jc w:val="center"/>
              <w:rPr>
                <w:rFonts w:hAnsi="宋体"/>
                <w:szCs w:val="21"/>
              </w:rPr>
            </w:pPr>
            <w:r>
              <w:rPr>
                <w:rFonts w:hint="eastAsia"/>
                <w:szCs w:val="21"/>
              </w:rPr>
              <w:t>专家打分</w:t>
            </w:r>
          </w:p>
        </w:tc>
        <w:tc>
          <w:tcPr>
            <w:tcW w:w="3321" w:type="dxa"/>
            <w:gridSpan w:val="2"/>
            <w:vAlign w:val="center"/>
          </w:tcPr>
          <w:p>
            <w:pPr>
              <w:spacing w:line="260" w:lineRule="exact"/>
              <w:jc w:val="left"/>
              <w:rPr>
                <w:rFonts w:hAnsi="宋体"/>
                <w:szCs w:val="21"/>
              </w:rPr>
            </w:pPr>
            <w:r>
              <w:rPr>
                <w:rFonts w:ascii="Calibri" w:hAnsi="Calibri"/>
                <w:szCs w:val="21"/>
              </w:rPr>
              <w:t>投标人应如实填写《技术要求偏离表》，评审委员会根据技术需求参数响应情况进行打分，各项技术参数指标及要求全部满足的得100分，“</w:t>
            </w:r>
            <w:r>
              <w:rPr>
                <w:rFonts w:ascii="Arial" w:hAnsi="Arial" w:cs="Arial"/>
                <w:szCs w:val="21"/>
              </w:rPr>
              <w:t>▲</w:t>
            </w:r>
            <w:r>
              <w:rPr>
                <w:rFonts w:ascii="Calibri" w:hAnsi="Calibri"/>
                <w:szCs w:val="21"/>
              </w:rPr>
              <w:t>”每负偏离一项扣</w:t>
            </w:r>
            <w:r>
              <w:rPr>
                <w:rFonts w:ascii="Calibri" w:hAnsi="Calibri" w:hint="eastAsia"/>
                <w:szCs w:val="21"/>
              </w:rPr>
              <w:t>3</w:t>
            </w:r>
            <w:r>
              <w:rPr>
                <w:rFonts w:ascii="Calibri" w:hAnsi="Calibri"/>
                <w:szCs w:val="21"/>
              </w:rPr>
              <w:t>分，其他普通条款每</w:t>
            </w:r>
            <w:r>
              <w:rPr>
                <w:rFonts w:ascii="Calibri" w:hAnsi="Calibri" w:hint="eastAsia"/>
                <w:szCs w:val="21"/>
              </w:rPr>
              <w:t>负</w:t>
            </w:r>
            <w:r>
              <w:rPr>
                <w:rFonts w:ascii="Calibri" w:hAnsi="Calibri"/>
                <w:szCs w:val="21"/>
              </w:rPr>
              <w:t>偏离</w:t>
            </w:r>
            <w:r>
              <w:rPr>
                <w:rFonts w:ascii="Calibri" w:hAnsi="Calibri" w:hint="eastAsia"/>
                <w:szCs w:val="21"/>
              </w:rPr>
              <w:t>1</w:t>
            </w:r>
            <w:r>
              <w:rPr>
                <w:rFonts w:ascii="Calibri" w:hAnsi="Calibri"/>
                <w:szCs w:val="21"/>
              </w:rPr>
              <w:t>项扣</w:t>
            </w:r>
            <w:r>
              <w:rPr>
                <w:rFonts w:ascii="Calibri" w:hAnsi="Calibri" w:hint="eastAsia"/>
                <w:szCs w:val="21"/>
              </w:rPr>
              <w:t>0.5</w:t>
            </w:r>
            <w:r>
              <w:rPr>
                <w:rFonts w:ascii="Calibri" w:hAnsi="Calibri"/>
                <w:szCs w:val="21"/>
              </w:rPr>
              <w:t>分，扣完为止。</w:t>
            </w:r>
          </w:p>
        </w:tc>
      </w:tr>
      <w:tr>
        <w:tblPrEx>
          <w:tblW w:w="8364" w:type="dxa"/>
          <w:tblInd w:w="0" w:type="dxa"/>
          <w:tblLayout w:type="fixed"/>
          <w:tblCellMar>
            <w:top w:w="0" w:type="dxa"/>
            <w:left w:w="108" w:type="dxa"/>
            <w:bottom w:w="0" w:type="dxa"/>
            <w:right w:w="108" w:type="dxa"/>
          </w:tblCellMar>
        </w:tblPrEx>
        <w:trPr>
          <w:trHeight w:val="20"/>
        </w:trPr>
        <w:tc>
          <w:tcPr>
            <w:tcW w:w="631" w:type="dxa"/>
            <w:vMerge/>
            <w:vAlign w:val="center"/>
          </w:tcPr>
          <w:p>
            <w:pPr>
              <w:keepNext/>
              <w:keepLines/>
              <w:spacing w:before="340" w:after="330" w:line="240" w:lineRule="exact"/>
              <w:jc w:val="center"/>
              <w:outlineLvl w:val="0"/>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hint="eastAsia"/>
                <w:szCs w:val="21"/>
              </w:rPr>
              <w:t>2</w:t>
            </w:r>
          </w:p>
        </w:tc>
        <w:tc>
          <w:tcPr>
            <w:tcW w:w="1843" w:type="dxa"/>
            <w:vAlign w:val="center"/>
          </w:tcPr>
          <w:p>
            <w:pPr>
              <w:spacing w:line="260" w:lineRule="exact"/>
              <w:jc w:val="center"/>
              <w:rPr>
                <w:rFonts w:ascii="宋体"/>
                <w:szCs w:val="21"/>
              </w:rPr>
            </w:pPr>
            <w:r>
              <w:rPr>
                <w:rFonts w:hAnsi="宋体" w:hint="eastAsia"/>
                <w:szCs w:val="21"/>
              </w:rPr>
              <w:t>技术保障措施</w:t>
            </w:r>
          </w:p>
        </w:tc>
        <w:tc>
          <w:tcPr>
            <w:tcW w:w="897" w:type="dxa"/>
            <w:vAlign w:val="center"/>
          </w:tcPr>
          <w:p>
            <w:pPr>
              <w:spacing w:line="260" w:lineRule="exact"/>
              <w:jc w:val="center"/>
              <w:rPr>
                <w:szCs w:val="21"/>
              </w:rPr>
            </w:pPr>
            <w:r>
              <w:rPr>
                <w:color w:val="000000"/>
                <w:szCs w:val="21"/>
              </w:rPr>
              <w:t>8</w:t>
            </w:r>
          </w:p>
        </w:tc>
        <w:tc>
          <w:tcPr>
            <w:tcW w:w="1189" w:type="dxa"/>
            <w:vAlign w:val="center"/>
          </w:tcPr>
          <w:p>
            <w:pPr>
              <w:spacing w:line="260" w:lineRule="exact"/>
              <w:jc w:val="center"/>
              <w:rPr>
                <w:szCs w:val="21"/>
              </w:rPr>
            </w:pPr>
            <w:r>
              <w:rPr>
                <w:rFonts w:hint="eastAsia"/>
                <w:szCs w:val="21"/>
              </w:rPr>
              <w:t>专家打分</w:t>
            </w:r>
          </w:p>
        </w:tc>
        <w:tc>
          <w:tcPr>
            <w:tcW w:w="3321" w:type="dxa"/>
            <w:gridSpan w:val="2"/>
          </w:tcPr>
          <w:p>
            <w:pPr>
              <w:spacing w:line="260" w:lineRule="exact"/>
              <w:jc w:val="left"/>
              <w:rPr>
                <w:rStyle w:val="CommentReference"/>
                <w:rFonts w:ascii="宋体"/>
                <w:kern w:val="0"/>
              </w:rPr>
            </w:pPr>
            <w:r>
              <w:rPr>
                <w:rStyle w:val="CommentReference"/>
                <w:rFonts w:ascii="宋体" w:hint="eastAsia"/>
                <w:kern w:val="0"/>
              </w:rPr>
              <w:t>一、实施方案</w:t>
            </w:r>
          </w:p>
          <w:p>
            <w:pPr>
              <w:numPr>
                <w:ilvl w:val="0"/>
                <w:numId w:val="1"/>
              </w:numPr>
              <w:spacing w:line="260" w:lineRule="exact"/>
              <w:jc w:val="left"/>
              <w:rPr>
                <w:rStyle w:val="CommentReference"/>
                <w:rFonts w:ascii="宋体" w:hint="eastAsia"/>
                <w:kern w:val="0"/>
              </w:rPr>
            </w:pPr>
            <w:r>
              <w:rPr>
                <w:rStyle w:val="CommentReference"/>
                <w:rFonts w:ascii="宋体" w:hint="eastAsia"/>
                <w:kern w:val="0"/>
              </w:rPr>
              <w:t>投标文件中针对</w:t>
            </w:r>
            <w:r>
              <w:rPr>
                <w:rStyle w:val="CommentReference"/>
                <w:rFonts w:ascii="宋体" w:hint="eastAsia"/>
                <w:kern w:val="0"/>
                <w:lang w:val="en-US" w:eastAsia="zh-CN"/>
              </w:rPr>
              <w:t>4类教室（多视窗远程同步课堂智慧教室、交互型智慧教室、演示型智慧教室、录播型智慧教室）提出</w:t>
            </w:r>
            <w:r>
              <w:rPr>
                <w:rStyle w:val="CommentReference"/>
                <w:rFonts w:ascii="宋体" w:hint="eastAsia"/>
                <w:kern w:val="0"/>
              </w:rPr>
              <w:t>具体</w:t>
            </w:r>
            <w:r>
              <w:rPr>
                <w:rStyle w:val="CommentReference"/>
                <w:rFonts w:ascii="宋体" w:hint="eastAsia"/>
                <w:kern w:val="0"/>
                <w:lang w:eastAsia="zh-CN"/>
              </w:rPr>
              <w:t>的</w:t>
            </w:r>
            <w:r>
              <w:rPr>
                <w:rStyle w:val="CommentReference"/>
                <w:rFonts w:ascii="宋体" w:hint="eastAsia"/>
                <w:kern w:val="0"/>
              </w:rPr>
              <w:t>实施方案，包括：</w:t>
            </w:r>
          </w:p>
          <w:p>
            <w:pPr>
              <w:numPr>
                <w:ilvl w:val="0"/>
                <w:numId w:val="2"/>
              </w:numPr>
              <w:spacing w:line="260" w:lineRule="exact"/>
              <w:jc w:val="left"/>
              <w:rPr>
                <w:rStyle w:val="CommentReference"/>
                <w:rFonts w:ascii="宋体" w:hint="eastAsia"/>
                <w:kern w:val="0"/>
              </w:rPr>
            </w:pPr>
            <w:r>
              <w:rPr>
                <w:rStyle w:val="CommentReference"/>
                <w:rFonts w:ascii="宋体" w:hint="eastAsia"/>
                <w:kern w:val="0"/>
                <w:lang w:val="en-US" w:eastAsia="zh-CN"/>
              </w:rPr>
              <w:t>①</w:t>
            </w:r>
            <w:r>
              <w:rPr>
                <w:rStyle w:val="CommentReference"/>
                <w:rFonts w:ascii="宋体" w:hint="eastAsia"/>
                <w:kern w:val="0"/>
              </w:rPr>
              <w:t>目标功能；</w:t>
            </w:r>
            <w:r>
              <w:rPr>
                <w:rStyle w:val="CommentReference"/>
                <w:rFonts w:ascii="宋体" w:hint="eastAsia"/>
                <w:kern w:val="0"/>
                <w:lang w:val="en-US" w:eastAsia="zh-CN"/>
              </w:rPr>
              <w:t>②</w:t>
            </w:r>
            <w:r>
              <w:rPr>
                <w:rStyle w:val="CommentReference"/>
                <w:rFonts w:ascii="宋体" w:hint="eastAsia"/>
                <w:kern w:val="0"/>
              </w:rPr>
              <w:t>视觉效果设计（至少包括：照度、亮度、视觉舒适度、有效视角和有效视距等）；</w:t>
            </w:r>
            <w:r>
              <w:rPr>
                <w:rStyle w:val="CommentReference"/>
                <w:rFonts w:ascii="宋体" w:hint="eastAsia"/>
                <w:kern w:val="0"/>
                <w:lang w:val="en-US" w:eastAsia="zh-CN"/>
              </w:rPr>
              <w:t>③</w:t>
            </w:r>
            <w:r>
              <w:rPr>
                <w:rStyle w:val="CommentReference"/>
                <w:rFonts w:ascii="宋体" w:hint="eastAsia"/>
                <w:kern w:val="0"/>
              </w:rPr>
              <w:t>听觉效果设计（至少包括声场、混响、声学特性指标和扬声器布局等）得1</w:t>
            </w:r>
            <w:r>
              <w:rPr>
                <w:rStyle w:val="CommentReference"/>
                <w:rFonts w:ascii="宋体"/>
                <w:kern w:val="0"/>
              </w:rPr>
              <w:t>0</w:t>
            </w:r>
            <w:r>
              <w:rPr>
                <w:rStyle w:val="CommentReference"/>
                <w:rFonts w:ascii="宋体" w:hint="eastAsia"/>
                <w:kern w:val="0"/>
              </w:rPr>
              <w:t>分；</w:t>
            </w:r>
          </w:p>
          <w:p>
            <w:pPr>
              <w:numPr>
                <w:ilvl w:val="0"/>
                <w:numId w:val="2"/>
              </w:numPr>
              <w:spacing w:line="260" w:lineRule="exact"/>
              <w:jc w:val="left"/>
              <w:rPr>
                <w:rStyle w:val="CommentReference"/>
                <w:rFonts w:ascii="宋体" w:hint="eastAsia"/>
                <w:kern w:val="0"/>
              </w:rPr>
            </w:pPr>
            <w:r>
              <w:rPr>
                <w:rStyle w:val="CommentReference"/>
                <w:rFonts w:ascii="宋体" w:hint="eastAsia"/>
                <w:kern w:val="0"/>
              </w:rPr>
              <w:t>系统配置与设备选型的技术原则与科学依据得1</w:t>
            </w:r>
            <w:r>
              <w:rPr>
                <w:rStyle w:val="CommentReference"/>
                <w:rFonts w:ascii="宋体"/>
                <w:kern w:val="0"/>
              </w:rPr>
              <w:t>0</w:t>
            </w:r>
            <w:r>
              <w:rPr>
                <w:rStyle w:val="CommentReference"/>
                <w:rFonts w:ascii="宋体" w:hint="eastAsia"/>
                <w:kern w:val="0"/>
              </w:rPr>
              <w:t>分；</w:t>
            </w:r>
          </w:p>
          <w:p>
            <w:pPr>
              <w:numPr>
                <w:ilvl w:val="0"/>
                <w:numId w:val="2"/>
              </w:numPr>
              <w:spacing w:line="260" w:lineRule="exact"/>
              <w:jc w:val="left"/>
              <w:rPr>
                <w:rStyle w:val="CommentReference"/>
                <w:rFonts w:ascii="宋体" w:hint="eastAsia"/>
                <w:kern w:val="0"/>
              </w:rPr>
            </w:pPr>
            <w:r>
              <w:rPr>
                <w:rStyle w:val="CommentReference"/>
                <w:rFonts w:ascii="宋体" w:hint="eastAsia"/>
                <w:kern w:val="0"/>
              </w:rPr>
              <w:t>系统集成（系统拓扑结构及原理）得</w:t>
            </w:r>
            <w:r>
              <w:rPr>
                <w:rFonts w:ascii="Calibri" w:hAnsi="Calibri"/>
              </w:rPr>
              <w:t>1</w:t>
            </w:r>
            <w:r>
              <w:rPr>
                <w:rFonts w:ascii="Calibri" w:hAnsi="Calibri" w:hint="eastAsia"/>
              </w:rPr>
              <w:t>0分</w:t>
            </w:r>
            <w:r>
              <w:rPr>
                <w:rStyle w:val="CommentReference"/>
                <w:rFonts w:ascii="宋体" w:hint="eastAsia"/>
                <w:kern w:val="0"/>
              </w:rPr>
              <w:t>。</w:t>
            </w:r>
          </w:p>
          <w:p>
            <w:pPr>
              <w:spacing w:line="260" w:lineRule="exact"/>
              <w:jc w:val="left"/>
              <w:rPr>
                <w:rStyle w:val="CommentReference"/>
                <w:rFonts w:ascii="宋体"/>
                <w:kern w:val="0"/>
              </w:rPr>
            </w:pPr>
            <w:r>
              <w:rPr>
                <w:rStyle w:val="CommentReference"/>
                <w:rFonts w:ascii="宋体" w:hint="eastAsia"/>
                <w:kern w:val="0"/>
              </w:rPr>
              <w:t>以上</w:t>
            </w:r>
            <w:r>
              <w:rPr>
                <w:rStyle w:val="CommentReference"/>
                <w:rFonts w:ascii="宋体" w:hint="eastAsia"/>
                <w:kern w:val="0"/>
                <w:lang w:val="en-US" w:eastAsia="zh-CN"/>
              </w:rPr>
              <w:t>3项</w:t>
            </w:r>
            <w:r>
              <w:rPr>
                <w:rStyle w:val="CommentReference"/>
                <w:rFonts w:ascii="宋体" w:hint="eastAsia"/>
                <w:kern w:val="0"/>
              </w:rPr>
              <w:t>实施方案</w:t>
            </w:r>
            <w:r>
              <w:rPr>
                <w:rStyle w:val="CommentReference"/>
                <w:rFonts w:ascii="宋体" w:hint="eastAsia"/>
                <w:kern w:val="0"/>
                <w:lang w:val="en-US" w:eastAsia="zh-CN"/>
              </w:rPr>
              <w:t>中需包含4类</w:t>
            </w:r>
            <w:r>
              <w:rPr>
                <w:rStyle w:val="CommentReference"/>
                <w:rFonts w:ascii="宋体" w:hint="eastAsia"/>
                <w:kern w:val="0"/>
              </w:rPr>
              <w:t>教室</w:t>
            </w:r>
            <w:r>
              <w:rPr>
                <w:rStyle w:val="CommentReference"/>
                <w:rFonts w:ascii="宋体" w:hint="eastAsia"/>
                <w:kern w:val="0"/>
                <w:lang w:eastAsia="zh-CN"/>
              </w:rPr>
              <w:t>的</w:t>
            </w:r>
            <w:r>
              <w:rPr>
                <w:rStyle w:val="CommentReference"/>
                <w:rFonts w:ascii="宋体" w:hint="eastAsia"/>
                <w:kern w:val="0"/>
                <w:lang w:val="en-US" w:eastAsia="zh-CN"/>
              </w:rPr>
              <w:t>情况才可得分，提供不全或未提供的不得分</w:t>
            </w:r>
            <w:r>
              <w:rPr>
                <w:rStyle w:val="CommentReference"/>
                <w:rFonts w:ascii="宋体" w:hint="eastAsia"/>
                <w:kern w:val="0"/>
              </w:rPr>
              <w:t>。此项最高得30分。</w:t>
            </w:r>
            <w:bookmarkStart w:id="2" w:name="_GoBack"/>
            <w:bookmarkEnd w:id="2"/>
          </w:p>
          <w:p>
            <w:pPr>
              <w:numPr>
                <w:ilvl w:val="0"/>
                <w:numId w:val="3"/>
              </w:numPr>
              <w:spacing w:line="260" w:lineRule="exact"/>
              <w:jc w:val="left"/>
              <w:rPr>
                <w:rStyle w:val="CommentReference"/>
                <w:rFonts w:ascii="宋体"/>
                <w:kern w:val="0"/>
              </w:rPr>
            </w:pPr>
            <w:r>
              <w:rPr>
                <w:rStyle w:val="CommentReference"/>
                <w:rFonts w:ascii="宋体" w:hint="eastAsia"/>
                <w:kern w:val="0"/>
              </w:rPr>
              <w:t>人员情况</w:t>
            </w:r>
          </w:p>
          <w:p>
            <w:pPr>
              <w:spacing w:line="260" w:lineRule="exact"/>
              <w:jc w:val="left"/>
              <w:rPr>
                <w:rStyle w:val="CommentReference"/>
                <w:rFonts w:ascii="宋体"/>
                <w:kern w:val="0"/>
              </w:rPr>
            </w:pPr>
            <w:r>
              <w:rPr>
                <w:rFonts w:ascii="宋体" w:hAnsi="宋体" w:hint="eastAsia"/>
                <w:szCs w:val="21"/>
              </w:rPr>
              <w:t>拟安排项目主要团队成员为投标单位员工（以社保为准），否则该人员情况不计分。在此基础上：</w:t>
            </w:r>
          </w:p>
          <w:p>
            <w:pPr>
              <w:spacing w:line="260" w:lineRule="exact"/>
              <w:rPr>
                <w:rFonts w:ascii="Calibri" w:hAnsi="Calibri"/>
                <w:szCs w:val="21"/>
              </w:rPr>
            </w:pPr>
            <w:r>
              <w:rPr>
                <w:rFonts w:ascii="Calibri" w:hAnsi="Calibri"/>
                <w:szCs w:val="21"/>
              </w:rPr>
              <w:t>1.</w:t>
            </w:r>
            <w:r>
              <w:rPr>
                <w:rFonts w:ascii="Calibri" w:hAnsi="Calibri" w:hint="eastAsia"/>
                <w:szCs w:val="21"/>
              </w:rPr>
              <w:t xml:space="preserve"> </w:t>
            </w:r>
            <w:r>
              <w:rPr>
                <w:rFonts w:ascii="Calibri" w:hAnsi="Calibri"/>
                <w:szCs w:val="21"/>
              </w:rPr>
              <w:t>拟派项目经理具备</w:t>
            </w:r>
            <w:r>
              <w:rPr>
                <w:rFonts w:ascii="Calibri" w:hAnsi="Calibri" w:hint="eastAsia"/>
                <w:szCs w:val="21"/>
              </w:rPr>
              <w:t>机电工程二级或以上建造师职业资格证书</w:t>
            </w:r>
            <w:r>
              <w:rPr>
                <w:rFonts w:ascii="Calibri" w:hAnsi="Calibri"/>
                <w:szCs w:val="21"/>
              </w:rPr>
              <w:t>得</w:t>
            </w:r>
            <w:r>
              <w:rPr>
                <w:rFonts w:ascii="Calibri" w:hAnsi="Calibri" w:hint="eastAsia"/>
                <w:szCs w:val="21"/>
              </w:rPr>
              <w:t>2</w:t>
            </w:r>
            <w:r>
              <w:rPr>
                <w:rFonts w:ascii="Calibri" w:hAnsi="Calibri"/>
                <w:szCs w:val="21"/>
              </w:rPr>
              <w:t>0分</w:t>
            </w:r>
            <w:r>
              <w:rPr>
                <w:rFonts w:ascii="Calibri" w:hAnsi="Calibri" w:hint="eastAsia"/>
                <w:szCs w:val="21"/>
              </w:rPr>
              <w:t>；</w:t>
            </w:r>
          </w:p>
          <w:p>
            <w:pPr>
              <w:spacing w:line="260" w:lineRule="exact"/>
              <w:rPr>
                <w:rFonts w:ascii="Calibri" w:hAnsi="Calibri"/>
                <w:szCs w:val="21"/>
              </w:rPr>
            </w:pPr>
            <w:r>
              <w:rPr>
                <w:rFonts w:ascii="Calibri" w:hAnsi="Calibri"/>
                <w:szCs w:val="21"/>
              </w:rPr>
              <w:t>2</w:t>
            </w:r>
            <w:r>
              <w:rPr>
                <w:rFonts w:ascii="Calibri" w:hAnsi="Calibri" w:hint="eastAsia"/>
                <w:szCs w:val="21"/>
              </w:rPr>
              <w:t>.</w:t>
            </w:r>
            <w:r>
              <w:rPr>
                <w:rFonts w:ascii="Calibri" w:hAnsi="Calibri"/>
                <w:szCs w:val="21"/>
              </w:rPr>
              <w:t xml:space="preserve"> 拟派项目经理取得信息系统</w:t>
            </w:r>
            <w:r>
              <w:rPr>
                <w:rFonts w:ascii="Calibri" w:hAnsi="Calibri" w:hint="eastAsia"/>
                <w:szCs w:val="21"/>
              </w:rPr>
              <w:t>项目</w:t>
            </w:r>
            <w:r>
              <w:rPr>
                <w:rFonts w:ascii="Calibri" w:hAnsi="Calibri"/>
                <w:szCs w:val="21"/>
              </w:rPr>
              <w:t>管理师资格的得</w:t>
            </w:r>
            <w:r>
              <w:rPr>
                <w:rFonts w:ascii="Calibri" w:hAnsi="Calibri" w:hint="eastAsia"/>
                <w:szCs w:val="21"/>
              </w:rPr>
              <w:t>1</w:t>
            </w:r>
            <w:r>
              <w:rPr>
                <w:rFonts w:ascii="Calibri" w:hAnsi="Calibri"/>
                <w:szCs w:val="21"/>
              </w:rPr>
              <w:t>0分。</w:t>
            </w:r>
          </w:p>
          <w:p>
            <w:pPr>
              <w:spacing w:line="260" w:lineRule="exact"/>
              <w:jc w:val="left"/>
              <w:rPr>
                <w:rFonts w:ascii="Calibri" w:hAnsi="Calibri"/>
                <w:szCs w:val="21"/>
              </w:rPr>
            </w:pPr>
            <w:r>
              <w:rPr>
                <w:rFonts w:ascii="Calibri" w:hAnsi="Calibri" w:hint="eastAsia"/>
                <w:szCs w:val="21"/>
              </w:rPr>
              <w:t>3</w:t>
            </w:r>
            <w:r>
              <w:rPr>
                <w:rFonts w:ascii="Calibri" w:hAnsi="Calibri"/>
                <w:szCs w:val="21"/>
              </w:rPr>
              <w:t>. 拟派技术负责人具有信息系统项目管理师资格得</w:t>
            </w:r>
            <w:r>
              <w:rPr>
                <w:rFonts w:ascii="Calibri" w:hAnsi="Calibri" w:hint="eastAsia"/>
                <w:szCs w:val="21"/>
              </w:rPr>
              <w:t>1</w:t>
            </w:r>
            <w:r>
              <w:rPr>
                <w:rFonts w:ascii="Calibri" w:hAnsi="Calibri"/>
                <w:szCs w:val="21"/>
              </w:rPr>
              <w:t>0分；</w:t>
            </w:r>
          </w:p>
          <w:p>
            <w:pPr>
              <w:spacing w:line="260" w:lineRule="exact"/>
              <w:jc w:val="left"/>
              <w:rPr>
                <w:rFonts w:ascii="Calibri" w:hAnsi="Calibri"/>
                <w:szCs w:val="21"/>
              </w:rPr>
            </w:pPr>
            <w:r>
              <w:rPr>
                <w:rFonts w:ascii="Calibri" w:hAnsi="Calibri" w:hint="eastAsia"/>
                <w:szCs w:val="21"/>
              </w:rPr>
              <w:t>4 .</w:t>
            </w:r>
            <w:r>
              <w:rPr>
                <w:rFonts w:ascii="Calibri" w:hAnsi="Calibri"/>
                <w:szCs w:val="21"/>
              </w:rPr>
              <w:t>拟派技术负责人具有电气工程专业高级工程师职称的得</w:t>
            </w:r>
            <w:r>
              <w:rPr>
                <w:rFonts w:ascii="Calibri" w:hAnsi="Calibri" w:hint="eastAsia"/>
                <w:szCs w:val="21"/>
              </w:rPr>
              <w:t>2</w:t>
            </w:r>
            <w:r>
              <w:rPr>
                <w:rFonts w:ascii="Calibri" w:hAnsi="Calibri"/>
                <w:szCs w:val="21"/>
              </w:rPr>
              <w:t>0分；</w:t>
            </w:r>
          </w:p>
          <w:p>
            <w:pPr>
              <w:spacing w:line="260" w:lineRule="exact"/>
              <w:jc w:val="left"/>
              <w:rPr>
                <w:rFonts w:ascii="Calibri" w:hAnsi="Calibri" w:hint="eastAsia"/>
                <w:szCs w:val="21"/>
              </w:rPr>
            </w:pPr>
            <w:r>
              <w:rPr>
                <w:rFonts w:ascii="Calibri" w:hAnsi="Calibri" w:hint="eastAsia"/>
                <w:szCs w:val="21"/>
              </w:rPr>
              <w:t xml:space="preserve">5. </w:t>
            </w:r>
            <w:r>
              <w:rPr>
                <w:rFonts w:ascii="Calibri" w:hAnsi="Calibri"/>
                <w:szCs w:val="21"/>
              </w:rPr>
              <w:t>拟派技术负责人具有PMP认证得</w:t>
            </w:r>
            <w:r>
              <w:rPr>
                <w:rFonts w:ascii="Calibri" w:hAnsi="Calibri" w:hint="eastAsia"/>
                <w:szCs w:val="21"/>
              </w:rPr>
              <w:t>1</w:t>
            </w:r>
            <w:r>
              <w:rPr>
                <w:rFonts w:ascii="Calibri" w:hAnsi="Calibri"/>
                <w:szCs w:val="21"/>
              </w:rPr>
              <w:t>0分。</w:t>
            </w:r>
          </w:p>
          <w:p>
            <w:pPr>
              <w:spacing w:line="260" w:lineRule="exact"/>
              <w:jc w:val="left"/>
              <w:rPr>
                <w:rFonts w:ascii="Calibri" w:hAnsi="Calibri"/>
                <w:szCs w:val="21"/>
              </w:rPr>
            </w:pPr>
            <w:r>
              <w:rPr>
                <w:rFonts w:ascii="Calibri" w:hAnsi="Calibri" w:hint="eastAsia"/>
                <w:szCs w:val="21"/>
              </w:rPr>
              <w:t>此项最高得70分。</w:t>
            </w:r>
          </w:p>
          <w:p>
            <w:pPr>
              <w:jc w:val="left"/>
              <w:rPr>
                <w:rFonts w:ascii="Calibri" w:hAnsi="Calibri"/>
                <w:szCs w:val="21"/>
              </w:rPr>
            </w:pPr>
            <w:r>
              <w:rPr>
                <w:rFonts w:ascii="宋体" w:hAnsi="宋体" w:hint="eastAsia"/>
                <w:szCs w:val="21"/>
              </w:rPr>
              <w:t>评分依据：</w:t>
            </w:r>
          </w:p>
          <w:p>
            <w:pPr>
              <w:jc w:val="left"/>
              <w:rPr>
                <w:rFonts w:ascii="宋体" w:hAnsi="宋体" w:hint="eastAsia"/>
                <w:szCs w:val="21"/>
              </w:rPr>
            </w:pPr>
            <w:r>
              <w:rPr>
                <w:rFonts w:ascii="宋体" w:hAnsi="宋体" w:hint="eastAsia"/>
                <w:szCs w:val="21"/>
              </w:rPr>
              <w:t>1. 要求提供投标人缴纳的</w:t>
            </w:r>
            <w:r>
              <w:rPr>
                <w:rFonts w:ascii="宋体" w:eastAsia="宋体" w:hAnsi="宋体" w:hint="eastAsia"/>
                <w:szCs w:val="21"/>
                <w:lang w:val="en-US" w:eastAsia="zh-CN"/>
              </w:rPr>
              <w:t>2022年</w:t>
            </w:r>
            <w:r>
              <w:rPr>
                <w:rFonts w:ascii="宋体" w:hAnsi="宋体" w:hint="eastAsia"/>
                <w:szCs w:val="21"/>
              </w:rPr>
              <w:t>3月至5月中任意一个月的社保证明文件扫描件。</w:t>
            </w:r>
          </w:p>
          <w:p>
            <w:pPr>
              <w:jc w:val="left"/>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要求提供投标人相关证明资料作为得分依据。</w:t>
            </w:r>
          </w:p>
          <w:p>
            <w:pPr>
              <w:spacing w:line="260" w:lineRule="exact"/>
              <w:jc w:val="left"/>
              <w:rPr>
                <w:szCs w:val="21"/>
              </w:rPr>
            </w:pPr>
            <w:r>
              <w:rPr>
                <w:rFonts w:ascii="宋体" w:hAnsi="宋体" w:hint="eastAsia"/>
                <w:szCs w:val="21"/>
              </w:rPr>
              <w:t>3.以上资料均要求提供扫描件（或官方网站截图），原件备查。</w:t>
            </w:r>
            <w:r>
              <w:rPr>
                <w:rFonts w:ascii="宋体" w:hAnsi="宋体"/>
                <w:szCs w:val="21"/>
              </w:rPr>
              <w:t>评分中出现无证明资料或专家无法凭所提供资料判断是否得分的情况，一律作不得分处理。</w:t>
            </w:r>
          </w:p>
        </w:tc>
      </w:tr>
      <w:tr>
        <w:tblPrEx>
          <w:tblW w:w="8364" w:type="dxa"/>
          <w:tblInd w:w="0" w:type="dxa"/>
          <w:tblLayout w:type="fixed"/>
          <w:tblCellMar>
            <w:top w:w="0" w:type="dxa"/>
            <w:left w:w="108" w:type="dxa"/>
            <w:bottom w:w="0" w:type="dxa"/>
            <w:right w:w="108" w:type="dxa"/>
          </w:tblCellMar>
        </w:tblPrEx>
        <w:trPr>
          <w:trHeight w:val="20"/>
        </w:trPr>
        <w:tc>
          <w:tcPr>
            <w:tcW w:w="631" w:type="dxa"/>
            <w:vAlign w:val="center"/>
          </w:tcPr>
          <w:p>
            <w:pPr>
              <w:spacing w:line="240" w:lineRule="exact"/>
              <w:jc w:val="center"/>
              <w:rPr>
                <w:rFonts w:ascii="宋体" w:hAnsi="宋体"/>
                <w:szCs w:val="21"/>
              </w:rPr>
            </w:pPr>
            <w:r>
              <w:rPr>
                <w:rFonts w:ascii="宋体" w:hAnsi="宋体"/>
                <w:szCs w:val="21"/>
              </w:rPr>
              <w:t>3</w:t>
            </w:r>
          </w:p>
        </w:tc>
        <w:tc>
          <w:tcPr>
            <w:tcW w:w="4412" w:type="dxa"/>
            <w:gridSpan w:val="4"/>
            <w:vAlign w:val="center"/>
          </w:tcPr>
          <w:p>
            <w:pPr>
              <w:spacing w:line="240" w:lineRule="exact"/>
              <w:jc w:val="center"/>
              <w:rPr>
                <w:rFonts w:ascii="宋体" w:hAnsi="宋体"/>
                <w:szCs w:val="21"/>
              </w:rPr>
            </w:pPr>
            <w:r>
              <w:rPr>
                <w:rFonts w:ascii="宋体" w:hAnsi="宋体" w:hint="eastAsia"/>
                <w:szCs w:val="21"/>
              </w:rPr>
              <w:t>商务需求</w:t>
            </w:r>
          </w:p>
        </w:tc>
        <w:tc>
          <w:tcPr>
            <w:tcW w:w="3321" w:type="dxa"/>
            <w:gridSpan w:val="2"/>
            <w:vAlign w:val="center"/>
          </w:tcPr>
          <w:p>
            <w:pPr>
              <w:spacing w:line="240" w:lineRule="exact"/>
              <w:jc w:val="center"/>
              <w:rPr>
                <w:rFonts w:ascii="宋体" w:hAnsi="宋体"/>
                <w:szCs w:val="21"/>
              </w:rPr>
            </w:pPr>
            <w:r>
              <w:rPr>
                <w:rFonts w:ascii="宋体" w:hAnsi="宋体" w:hint="eastAsia"/>
                <w:szCs w:val="21"/>
              </w:rPr>
              <w:t>5</w:t>
            </w:r>
          </w:p>
        </w:tc>
      </w:tr>
      <w:tr>
        <w:tblPrEx>
          <w:tblW w:w="8364" w:type="dxa"/>
          <w:tblInd w:w="0" w:type="dxa"/>
          <w:tblLayout w:type="fixed"/>
          <w:tblCellMar>
            <w:top w:w="0" w:type="dxa"/>
            <w:left w:w="108" w:type="dxa"/>
            <w:bottom w:w="0" w:type="dxa"/>
            <w:right w:w="108" w:type="dxa"/>
          </w:tblCellMar>
        </w:tblPrEx>
        <w:trPr>
          <w:trHeight w:val="301"/>
        </w:trPr>
        <w:tc>
          <w:tcPr>
            <w:tcW w:w="631" w:type="dxa"/>
            <w:vMerge w:val="restart"/>
            <w:vAlign w:val="center"/>
          </w:tcPr>
          <w:p>
            <w:pPr>
              <w:keepNext/>
              <w:keepLines/>
              <w:spacing w:before="340" w:after="330" w:line="240" w:lineRule="exact"/>
              <w:jc w:val="center"/>
              <w:outlineLvl w:val="0"/>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hint="eastAsia"/>
                <w:szCs w:val="21"/>
              </w:rPr>
              <w:t>序号</w:t>
            </w:r>
          </w:p>
        </w:tc>
        <w:tc>
          <w:tcPr>
            <w:tcW w:w="1843" w:type="dxa"/>
            <w:vAlign w:val="center"/>
          </w:tcPr>
          <w:p>
            <w:pPr>
              <w:spacing w:line="240" w:lineRule="exact"/>
              <w:jc w:val="center"/>
              <w:rPr>
                <w:rFonts w:ascii="宋体" w:hAnsi="宋体"/>
                <w:szCs w:val="21"/>
              </w:rPr>
            </w:pPr>
            <w:r>
              <w:rPr>
                <w:rFonts w:ascii="宋体" w:hAnsi="宋体" w:hint="eastAsia"/>
                <w:szCs w:val="21"/>
              </w:rPr>
              <w:t>评分因素</w:t>
            </w:r>
          </w:p>
        </w:tc>
        <w:tc>
          <w:tcPr>
            <w:tcW w:w="897" w:type="dxa"/>
            <w:vAlign w:val="center"/>
          </w:tcPr>
          <w:p>
            <w:pPr>
              <w:spacing w:line="240" w:lineRule="exact"/>
              <w:jc w:val="center"/>
              <w:rPr>
                <w:rFonts w:ascii="宋体" w:hAnsi="宋体"/>
                <w:szCs w:val="21"/>
              </w:rPr>
            </w:pPr>
            <w:r>
              <w:rPr>
                <w:rFonts w:ascii="宋体" w:hAnsi="宋体" w:hint="eastAsia"/>
                <w:szCs w:val="21"/>
              </w:rPr>
              <w:t>权重</w:t>
            </w:r>
          </w:p>
        </w:tc>
        <w:tc>
          <w:tcPr>
            <w:tcW w:w="1189" w:type="dxa"/>
            <w:vAlign w:val="center"/>
          </w:tcPr>
          <w:p>
            <w:pPr>
              <w:spacing w:line="240" w:lineRule="exact"/>
              <w:jc w:val="center"/>
              <w:rPr>
                <w:rFonts w:ascii="宋体" w:hAnsi="宋体"/>
                <w:szCs w:val="21"/>
              </w:rPr>
            </w:pPr>
            <w:r>
              <w:rPr>
                <w:rFonts w:ascii="宋体" w:hAnsi="宋体" w:hint="eastAsia"/>
                <w:szCs w:val="21"/>
              </w:rPr>
              <w:t>评分方式</w:t>
            </w:r>
          </w:p>
        </w:tc>
        <w:tc>
          <w:tcPr>
            <w:tcW w:w="3321" w:type="dxa"/>
            <w:gridSpan w:val="2"/>
            <w:vAlign w:val="center"/>
          </w:tcPr>
          <w:p>
            <w:pPr>
              <w:spacing w:line="240" w:lineRule="exact"/>
              <w:jc w:val="center"/>
              <w:rPr>
                <w:rFonts w:ascii="宋体" w:hAnsi="宋体"/>
                <w:szCs w:val="21"/>
              </w:rPr>
            </w:pPr>
            <w:r>
              <w:rPr>
                <w:rFonts w:ascii="宋体" w:hAnsi="宋体" w:hint="eastAsia"/>
                <w:szCs w:val="21"/>
              </w:rPr>
              <w:t>评分准则</w:t>
            </w:r>
          </w:p>
        </w:tc>
      </w:tr>
      <w:tr>
        <w:tblPrEx>
          <w:tblW w:w="8364" w:type="dxa"/>
          <w:tblInd w:w="0" w:type="dxa"/>
          <w:tblLayout w:type="fixed"/>
          <w:tblCellMar>
            <w:top w:w="0" w:type="dxa"/>
            <w:left w:w="108" w:type="dxa"/>
            <w:bottom w:w="0" w:type="dxa"/>
            <w:right w:w="108" w:type="dxa"/>
          </w:tblCellMar>
        </w:tblPrEx>
        <w:trPr>
          <w:trHeight w:val="20"/>
        </w:trPr>
        <w:tc>
          <w:tcPr>
            <w:tcW w:w="631" w:type="dxa"/>
            <w:vMerge/>
            <w:vAlign w:val="center"/>
          </w:tcPr>
          <w:p>
            <w:pPr>
              <w:keepNext/>
              <w:keepLines/>
              <w:spacing w:before="340" w:after="330" w:line="240" w:lineRule="exact"/>
              <w:jc w:val="center"/>
              <w:outlineLvl w:val="0"/>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szCs w:val="21"/>
              </w:rPr>
              <w:t>1</w:t>
            </w:r>
          </w:p>
        </w:tc>
        <w:tc>
          <w:tcPr>
            <w:tcW w:w="1843" w:type="dxa"/>
          </w:tcPr>
          <w:p>
            <w:pPr>
              <w:spacing w:line="260" w:lineRule="exact"/>
              <w:jc w:val="center"/>
              <w:rPr>
                <w:szCs w:val="21"/>
              </w:rPr>
            </w:pPr>
            <w:r>
              <w:rPr>
                <w:szCs w:val="21"/>
              </w:rPr>
              <w:t>免费保修期内售后服务条款偏离情况</w:t>
            </w:r>
          </w:p>
        </w:tc>
        <w:tc>
          <w:tcPr>
            <w:tcW w:w="897" w:type="dxa"/>
            <w:vAlign w:val="center"/>
          </w:tcPr>
          <w:p>
            <w:pPr>
              <w:spacing w:line="260" w:lineRule="exact"/>
              <w:jc w:val="center"/>
              <w:rPr>
                <w:szCs w:val="21"/>
              </w:rPr>
            </w:pPr>
            <w:r>
              <w:rPr>
                <w:rFonts w:hint="eastAsia"/>
                <w:szCs w:val="21"/>
              </w:rPr>
              <w:t>2</w:t>
            </w:r>
          </w:p>
        </w:tc>
        <w:tc>
          <w:tcPr>
            <w:tcW w:w="1189" w:type="dxa"/>
            <w:vAlign w:val="center"/>
          </w:tcPr>
          <w:p>
            <w:pPr>
              <w:spacing w:line="260" w:lineRule="exact"/>
              <w:jc w:val="center"/>
              <w:rPr>
                <w:szCs w:val="21"/>
              </w:rPr>
            </w:pPr>
            <w:r>
              <w:rPr>
                <w:rFonts w:hint="eastAsia"/>
                <w:szCs w:val="21"/>
              </w:rPr>
              <w:t>专家打分</w:t>
            </w:r>
          </w:p>
        </w:tc>
        <w:tc>
          <w:tcPr>
            <w:tcW w:w="3321" w:type="dxa"/>
            <w:gridSpan w:val="2"/>
          </w:tcPr>
          <w:p>
            <w:pPr>
              <w:spacing w:line="260" w:lineRule="exact"/>
              <w:rPr>
                <w:szCs w:val="21"/>
              </w:rPr>
            </w:pPr>
            <w:r>
              <w:rPr>
                <w:szCs w:val="21"/>
              </w:rPr>
              <w:t>投标人应如实填写《</w:t>
            </w:r>
            <w:r>
              <w:rPr>
                <w:rFonts w:hint="eastAsia"/>
                <w:szCs w:val="21"/>
              </w:rPr>
              <w:t>商务要求偏离表（免费保修期内售后服务要求）</w:t>
            </w:r>
            <w:r>
              <w:rPr>
                <w:szCs w:val="21"/>
              </w:rPr>
              <w:t>》，评审委员会根据响应情况进行打分，</w:t>
            </w:r>
            <w:r>
              <w:rPr>
                <w:rFonts w:ascii="Calibri" w:hAnsi="Calibri"/>
                <w:szCs w:val="21"/>
              </w:rPr>
              <w:t>全部满足要求的得100分，每负偏离一项扣</w:t>
            </w:r>
            <w:r>
              <w:rPr>
                <w:rFonts w:ascii="Calibri" w:hAnsi="Calibri" w:hint="eastAsia"/>
                <w:szCs w:val="21"/>
              </w:rPr>
              <w:t>50</w:t>
            </w:r>
            <w:r>
              <w:rPr>
                <w:rFonts w:ascii="Calibri" w:hAnsi="Calibri"/>
                <w:szCs w:val="21"/>
              </w:rPr>
              <w:t>分</w:t>
            </w:r>
            <w:r>
              <w:rPr>
                <w:rFonts w:ascii="Calibri" w:hAnsi="Calibri" w:hint="eastAsia"/>
                <w:szCs w:val="21"/>
              </w:rPr>
              <w:t>，直到扣完（得0分）为止</w:t>
            </w:r>
            <w:r>
              <w:rPr>
                <w:rFonts w:ascii="Calibri" w:hAnsi="Calibri"/>
                <w:szCs w:val="21"/>
              </w:rPr>
              <w:t>。</w:t>
            </w:r>
          </w:p>
        </w:tc>
      </w:tr>
      <w:tr>
        <w:tblPrEx>
          <w:tblW w:w="8364" w:type="dxa"/>
          <w:tblInd w:w="0" w:type="dxa"/>
          <w:tblLayout w:type="fixed"/>
          <w:tblCellMar>
            <w:top w:w="0" w:type="dxa"/>
            <w:left w:w="108" w:type="dxa"/>
            <w:bottom w:w="0" w:type="dxa"/>
            <w:right w:w="108" w:type="dxa"/>
          </w:tblCellMar>
        </w:tblPrEx>
        <w:trPr>
          <w:trHeight w:val="20"/>
        </w:trPr>
        <w:tc>
          <w:tcPr>
            <w:tcW w:w="631" w:type="dxa"/>
            <w:vMerge/>
            <w:vAlign w:val="center"/>
          </w:tcPr>
          <w:p>
            <w:pPr>
              <w:keepNext/>
              <w:keepLines/>
              <w:spacing w:before="340" w:after="330" w:line="240" w:lineRule="exact"/>
              <w:jc w:val="center"/>
              <w:outlineLvl w:val="0"/>
              <w:rPr>
                <w:rFonts w:ascii="宋体" w:hAnsi="宋体"/>
                <w:szCs w:val="21"/>
              </w:rPr>
            </w:pPr>
          </w:p>
        </w:tc>
        <w:tc>
          <w:tcPr>
            <w:tcW w:w="483" w:type="dxa"/>
            <w:vAlign w:val="center"/>
          </w:tcPr>
          <w:p>
            <w:pPr>
              <w:spacing w:line="240" w:lineRule="exact"/>
              <w:jc w:val="center"/>
              <w:rPr>
                <w:rFonts w:ascii="宋体" w:hAnsi="宋体" w:hint="eastAsia"/>
                <w:szCs w:val="21"/>
              </w:rPr>
            </w:pPr>
            <w:r>
              <w:rPr>
                <w:rFonts w:ascii="宋体" w:hAnsi="宋体" w:hint="eastAsia"/>
                <w:szCs w:val="21"/>
              </w:rPr>
              <w:t>2</w:t>
            </w:r>
          </w:p>
        </w:tc>
        <w:tc>
          <w:tcPr>
            <w:tcW w:w="1843" w:type="dxa"/>
            <w:vAlign w:val="center"/>
          </w:tcPr>
          <w:p>
            <w:pPr>
              <w:spacing w:line="240" w:lineRule="exact"/>
              <w:jc w:val="center"/>
              <w:rPr>
                <w:rFonts w:ascii="宋体" w:hAnsi="宋体" w:cs="宋体"/>
                <w:sz w:val="20"/>
                <w:szCs w:val="20"/>
              </w:rPr>
            </w:pPr>
            <w:r>
              <w:rPr>
                <w:rFonts w:ascii="宋体" w:hAnsi="宋体" w:cs="宋体" w:hint="eastAsia"/>
                <w:sz w:val="20"/>
                <w:szCs w:val="20"/>
              </w:rPr>
              <w:t>免费保修期外售后服务条款偏离情况</w:t>
            </w:r>
          </w:p>
          <w:p>
            <w:pPr>
              <w:spacing w:line="240" w:lineRule="exact"/>
              <w:rPr>
                <w:szCs w:val="21"/>
              </w:rPr>
            </w:pPr>
          </w:p>
        </w:tc>
        <w:tc>
          <w:tcPr>
            <w:tcW w:w="897" w:type="dxa"/>
            <w:vAlign w:val="center"/>
          </w:tcPr>
          <w:p>
            <w:pPr>
              <w:spacing w:line="240" w:lineRule="exact"/>
              <w:jc w:val="center"/>
              <w:rPr>
                <w:rFonts w:hint="eastAsia"/>
                <w:szCs w:val="21"/>
              </w:rPr>
            </w:pPr>
            <w:r>
              <w:rPr>
                <w:rFonts w:ascii="宋体" w:hAnsi="宋体" w:cs="宋体" w:hint="eastAsia"/>
                <w:sz w:val="20"/>
                <w:szCs w:val="20"/>
              </w:rPr>
              <w:t>1</w:t>
            </w:r>
          </w:p>
        </w:tc>
        <w:tc>
          <w:tcPr>
            <w:tcW w:w="1189" w:type="dxa"/>
            <w:vAlign w:val="center"/>
          </w:tcPr>
          <w:p>
            <w:pPr>
              <w:spacing w:line="240" w:lineRule="exact"/>
              <w:jc w:val="center"/>
              <w:rPr>
                <w:rFonts w:hint="eastAsia"/>
                <w:szCs w:val="21"/>
              </w:rPr>
            </w:pPr>
            <w:r>
              <w:rPr>
                <w:rFonts w:ascii="宋体" w:hAnsi="宋体" w:hint="eastAsia"/>
                <w:sz w:val="20"/>
                <w:szCs w:val="20"/>
              </w:rPr>
              <w:t>专家评分</w:t>
            </w:r>
          </w:p>
        </w:tc>
        <w:tc>
          <w:tcPr>
            <w:tcW w:w="3321" w:type="dxa"/>
            <w:gridSpan w:val="2"/>
            <w:vAlign w:val="center"/>
          </w:tcPr>
          <w:p>
            <w:pPr>
              <w:rPr>
                <w:szCs w:val="21"/>
              </w:rPr>
            </w:pPr>
            <w:r>
              <w:rPr>
                <w:rFonts w:cs="宋体" w:hint="eastAsia"/>
                <w:sz w:val="20"/>
                <w:szCs w:val="20"/>
              </w:rPr>
              <w:t>投标人应如实填写《商务要求偏离表（免费保修期外售后服务要求）》，评审委员会根据响应情况进行打分，全部满足要求的得</w:t>
            </w:r>
            <w:r>
              <w:rPr>
                <w:sz w:val="20"/>
                <w:szCs w:val="20"/>
              </w:rPr>
              <w:t>100</w:t>
            </w:r>
            <w:r>
              <w:rPr>
                <w:rFonts w:cs="宋体" w:hint="eastAsia"/>
                <w:sz w:val="20"/>
                <w:szCs w:val="20"/>
              </w:rPr>
              <w:t>分，每负偏离一项扣</w:t>
            </w:r>
            <w:r>
              <w:rPr>
                <w:rFonts w:hint="eastAsia"/>
                <w:sz w:val="20"/>
                <w:szCs w:val="20"/>
              </w:rPr>
              <w:t>50</w:t>
            </w:r>
            <w:r>
              <w:rPr>
                <w:rFonts w:cs="宋体" w:hint="eastAsia"/>
                <w:sz w:val="20"/>
                <w:szCs w:val="20"/>
              </w:rPr>
              <w:t>分</w:t>
            </w:r>
            <w:r>
              <w:rPr>
                <w:rFonts w:ascii="Calibri" w:hAnsi="Calibri" w:hint="eastAsia"/>
                <w:szCs w:val="21"/>
              </w:rPr>
              <w:t>，直到扣完（得0分）为止</w:t>
            </w:r>
            <w:r>
              <w:rPr>
                <w:rFonts w:ascii="Calibri" w:hAnsi="Calibri"/>
                <w:szCs w:val="21"/>
              </w:rPr>
              <w:t>。</w:t>
            </w:r>
          </w:p>
        </w:tc>
      </w:tr>
      <w:tr>
        <w:tblPrEx>
          <w:tblW w:w="8364" w:type="dxa"/>
          <w:tblInd w:w="0" w:type="dxa"/>
          <w:tblLayout w:type="fixed"/>
          <w:tblCellMar>
            <w:top w:w="0" w:type="dxa"/>
            <w:left w:w="108" w:type="dxa"/>
            <w:bottom w:w="0" w:type="dxa"/>
            <w:right w:w="108" w:type="dxa"/>
          </w:tblCellMar>
        </w:tblPrEx>
        <w:trPr>
          <w:trHeight w:val="20"/>
        </w:trPr>
        <w:tc>
          <w:tcPr>
            <w:tcW w:w="631" w:type="dxa"/>
            <w:vMerge/>
            <w:vAlign w:val="center"/>
          </w:tcPr>
          <w:p>
            <w:pPr>
              <w:keepNext/>
              <w:keepLines/>
              <w:spacing w:before="260" w:after="260" w:line="240" w:lineRule="exact"/>
              <w:jc w:val="center"/>
              <w:outlineLvl w:val="2"/>
              <w:rPr>
                <w:rFonts w:ascii="宋体" w:hAnsi="宋体"/>
                <w:szCs w:val="21"/>
              </w:rPr>
            </w:pPr>
          </w:p>
        </w:tc>
        <w:tc>
          <w:tcPr>
            <w:tcW w:w="483" w:type="dxa"/>
            <w:vAlign w:val="center"/>
          </w:tcPr>
          <w:p>
            <w:pPr>
              <w:spacing w:line="240" w:lineRule="exact"/>
              <w:jc w:val="center"/>
              <w:rPr>
                <w:rFonts w:ascii="宋体" w:hAnsi="宋体" w:hint="eastAsia"/>
                <w:szCs w:val="21"/>
              </w:rPr>
            </w:pPr>
            <w:r>
              <w:rPr>
                <w:rFonts w:ascii="宋体" w:hAnsi="宋体" w:hint="eastAsia"/>
                <w:szCs w:val="21"/>
              </w:rPr>
              <w:t>3</w:t>
            </w:r>
          </w:p>
        </w:tc>
        <w:tc>
          <w:tcPr>
            <w:tcW w:w="1843" w:type="dxa"/>
            <w:vAlign w:val="center"/>
          </w:tcPr>
          <w:p>
            <w:pPr>
              <w:spacing w:line="260" w:lineRule="exact"/>
              <w:jc w:val="center"/>
              <w:rPr>
                <w:rFonts w:ascii="宋体"/>
                <w:szCs w:val="21"/>
              </w:rPr>
            </w:pPr>
            <w:r>
              <w:rPr>
                <w:szCs w:val="21"/>
              </w:rPr>
              <w:t>其他商务条款偏离情况</w:t>
            </w:r>
          </w:p>
        </w:tc>
        <w:tc>
          <w:tcPr>
            <w:tcW w:w="897" w:type="dxa"/>
            <w:vAlign w:val="center"/>
          </w:tcPr>
          <w:p>
            <w:pPr>
              <w:spacing w:line="260" w:lineRule="exact"/>
              <w:jc w:val="center"/>
              <w:rPr>
                <w:szCs w:val="21"/>
              </w:rPr>
            </w:pPr>
            <w:r>
              <w:rPr>
                <w:rFonts w:hint="eastAsia"/>
                <w:szCs w:val="21"/>
              </w:rPr>
              <w:t>2</w:t>
            </w:r>
          </w:p>
        </w:tc>
        <w:tc>
          <w:tcPr>
            <w:tcW w:w="1189" w:type="dxa"/>
            <w:vAlign w:val="center"/>
          </w:tcPr>
          <w:p>
            <w:pPr>
              <w:spacing w:line="260" w:lineRule="exact"/>
              <w:jc w:val="center"/>
              <w:rPr>
                <w:szCs w:val="21"/>
              </w:rPr>
            </w:pPr>
            <w:r>
              <w:rPr>
                <w:rFonts w:hint="eastAsia"/>
                <w:szCs w:val="21"/>
              </w:rPr>
              <w:t>专家打分</w:t>
            </w:r>
          </w:p>
        </w:tc>
        <w:tc>
          <w:tcPr>
            <w:tcW w:w="3321" w:type="dxa"/>
            <w:gridSpan w:val="2"/>
          </w:tcPr>
          <w:p>
            <w:pPr>
              <w:spacing w:line="260" w:lineRule="exact"/>
              <w:rPr>
                <w:szCs w:val="21"/>
              </w:rPr>
            </w:pPr>
            <w:r>
              <w:rPr>
                <w:szCs w:val="21"/>
              </w:rPr>
              <w:t>投标人应如实填写《</w:t>
            </w:r>
            <w:r>
              <w:rPr>
                <w:rFonts w:hint="eastAsia"/>
              </w:rPr>
              <w:t>商务要求偏离表（其他商务要求）</w:t>
            </w:r>
            <w:r>
              <w:rPr>
                <w:szCs w:val="21"/>
              </w:rPr>
              <w:t>》，评审委员会根据响应情况进行打分，全部满足要求的得100分，每负偏离一项扣1</w:t>
            </w:r>
            <w:r>
              <w:rPr>
                <w:rFonts w:hint="eastAsia"/>
                <w:szCs w:val="21"/>
              </w:rPr>
              <w:t>3</w:t>
            </w:r>
            <w:r>
              <w:rPr>
                <w:szCs w:val="21"/>
              </w:rPr>
              <w:t>分</w:t>
            </w:r>
            <w:r>
              <w:rPr>
                <w:rFonts w:hint="eastAsia"/>
                <w:szCs w:val="21"/>
              </w:rPr>
              <w:t>，直到扣完（得0分）为止</w:t>
            </w:r>
            <w:r>
              <w:rPr>
                <w:szCs w:val="21"/>
              </w:rPr>
              <w:t>。</w:t>
            </w:r>
          </w:p>
        </w:tc>
      </w:tr>
      <w:tr>
        <w:tblPrEx>
          <w:tblW w:w="8364" w:type="dxa"/>
          <w:tblInd w:w="0" w:type="dxa"/>
          <w:tblLayout w:type="fixed"/>
          <w:tblCellMar>
            <w:top w:w="0" w:type="dxa"/>
            <w:left w:w="108" w:type="dxa"/>
            <w:bottom w:w="0" w:type="dxa"/>
            <w:right w:w="108" w:type="dxa"/>
          </w:tblCellMar>
        </w:tblPrEx>
        <w:trPr>
          <w:trHeight w:val="20"/>
        </w:trPr>
        <w:tc>
          <w:tcPr>
            <w:tcW w:w="631" w:type="dxa"/>
            <w:vAlign w:val="center"/>
          </w:tcPr>
          <w:p>
            <w:pPr>
              <w:spacing w:line="240" w:lineRule="exact"/>
              <w:jc w:val="center"/>
              <w:rPr>
                <w:rFonts w:ascii="宋体" w:hAnsi="宋体"/>
                <w:szCs w:val="21"/>
              </w:rPr>
            </w:pPr>
            <w:r>
              <w:rPr>
                <w:rFonts w:ascii="宋体" w:hAnsi="宋体"/>
                <w:szCs w:val="21"/>
              </w:rPr>
              <w:t>4</w:t>
            </w:r>
          </w:p>
        </w:tc>
        <w:tc>
          <w:tcPr>
            <w:tcW w:w="4418" w:type="dxa"/>
            <w:gridSpan w:val="5"/>
            <w:vAlign w:val="center"/>
          </w:tcPr>
          <w:p>
            <w:pPr>
              <w:spacing w:line="240" w:lineRule="exact"/>
              <w:jc w:val="center"/>
              <w:rPr>
                <w:rFonts w:ascii="宋体" w:hAnsi="宋体"/>
                <w:szCs w:val="21"/>
              </w:rPr>
            </w:pPr>
            <w:r>
              <w:rPr>
                <w:rFonts w:ascii="宋体" w:hAnsi="宋体" w:hint="eastAsia"/>
                <w:szCs w:val="21"/>
              </w:rPr>
              <w:t>诚信情况</w:t>
            </w:r>
          </w:p>
        </w:tc>
        <w:tc>
          <w:tcPr>
            <w:tcW w:w="3315" w:type="dxa"/>
            <w:vAlign w:val="center"/>
          </w:tcPr>
          <w:p>
            <w:pPr>
              <w:pStyle w:val="Header"/>
              <w:pBdr>
                <w:bottom w:val="nil"/>
              </w:pBdr>
              <w:tabs>
                <w:tab w:val="clear" w:pos="4153"/>
                <w:tab w:val="clear" w:pos="8306"/>
              </w:tabs>
              <w:spacing w:line="300" w:lineRule="auto"/>
              <w:rPr>
                <w:rFonts w:ascii="宋体" w:hAnsi="宋体"/>
                <w:sz w:val="21"/>
                <w:szCs w:val="21"/>
              </w:rPr>
            </w:pPr>
            <w:r>
              <w:rPr>
                <w:rFonts w:ascii="宋体" w:hAnsi="宋体" w:hint="eastAsia"/>
                <w:color w:val="000000"/>
                <w:sz w:val="21"/>
                <w:szCs w:val="21"/>
              </w:rPr>
              <w:t>5</w:t>
            </w:r>
          </w:p>
        </w:tc>
      </w:tr>
      <w:tr>
        <w:tblPrEx>
          <w:tblW w:w="8364" w:type="dxa"/>
          <w:tblInd w:w="0" w:type="dxa"/>
          <w:tblLayout w:type="fixed"/>
          <w:tblCellMar>
            <w:top w:w="0" w:type="dxa"/>
            <w:left w:w="108" w:type="dxa"/>
            <w:bottom w:w="0" w:type="dxa"/>
            <w:right w:w="108" w:type="dxa"/>
          </w:tblCellMar>
        </w:tblPrEx>
        <w:trPr>
          <w:trHeight w:val="20"/>
        </w:trPr>
        <w:tc>
          <w:tcPr>
            <w:tcW w:w="631" w:type="dxa"/>
            <w:vMerge w:val="restart"/>
            <w:vAlign w:val="center"/>
          </w:tcPr>
          <w:p>
            <w:pPr>
              <w:spacing w:line="240" w:lineRule="exact"/>
              <w:jc w:val="center"/>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hint="eastAsia"/>
                <w:szCs w:val="21"/>
              </w:rPr>
              <w:t>序号</w:t>
            </w:r>
          </w:p>
        </w:tc>
        <w:tc>
          <w:tcPr>
            <w:tcW w:w="1843" w:type="dxa"/>
            <w:vAlign w:val="center"/>
          </w:tcPr>
          <w:p>
            <w:pPr>
              <w:spacing w:line="240" w:lineRule="exact"/>
              <w:jc w:val="center"/>
              <w:rPr>
                <w:rFonts w:ascii="宋体" w:hAnsi="宋体"/>
                <w:szCs w:val="21"/>
              </w:rPr>
            </w:pPr>
            <w:r>
              <w:rPr>
                <w:rFonts w:ascii="宋体" w:hAnsi="宋体" w:hint="eastAsia"/>
                <w:szCs w:val="21"/>
              </w:rPr>
              <w:t>评分因素</w:t>
            </w:r>
          </w:p>
        </w:tc>
        <w:tc>
          <w:tcPr>
            <w:tcW w:w="897" w:type="dxa"/>
            <w:vAlign w:val="center"/>
          </w:tcPr>
          <w:p>
            <w:pPr>
              <w:spacing w:line="240" w:lineRule="exact"/>
              <w:jc w:val="center"/>
              <w:rPr>
                <w:rFonts w:ascii="宋体" w:hAnsi="宋体"/>
                <w:szCs w:val="21"/>
              </w:rPr>
            </w:pPr>
            <w:r>
              <w:rPr>
                <w:rFonts w:ascii="宋体" w:hAnsi="宋体" w:hint="eastAsia"/>
                <w:szCs w:val="21"/>
              </w:rPr>
              <w:t>权重</w:t>
            </w:r>
          </w:p>
        </w:tc>
        <w:tc>
          <w:tcPr>
            <w:tcW w:w="1195" w:type="dxa"/>
            <w:gridSpan w:val="2"/>
            <w:vAlign w:val="center"/>
          </w:tcPr>
          <w:p>
            <w:pPr>
              <w:spacing w:line="240" w:lineRule="exact"/>
              <w:jc w:val="center"/>
              <w:rPr>
                <w:rFonts w:ascii="宋体" w:hAnsi="宋体"/>
                <w:szCs w:val="21"/>
              </w:rPr>
            </w:pPr>
            <w:r>
              <w:rPr>
                <w:rFonts w:ascii="宋体" w:hAnsi="宋体" w:hint="eastAsia"/>
                <w:szCs w:val="21"/>
              </w:rPr>
              <w:t>评分方式</w:t>
            </w:r>
          </w:p>
        </w:tc>
        <w:tc>
          <w:tcPr>
            <w:tcW w:w="3315" w:type="dxa"/>
            <w:vAlign w:val="center"/>
          </w:tcPr>
          <w:p>
            <w:pPr>
              <w:spacing w:line="240" w:lineRule="exact"/>
              <w:jc w:val="center"/>
              <w:rPr>
                <w:rFonts w:ascii="宋体" w:hAnsi="宋体"/>
                <w:szCs w:val="21"/>
              </w:rPr>
            </w:pPr>
            <w:r>
              <w:rPr>
                <w:rFonts w:ascii="宋体" w:hAnsi="宋体" w:hint="eastAsia"/>
                <w:szCs w:val="21"/>
              </w:rPr>
              <w:t>评分准则</w:t>
            </w:r>
          </w:p>
        </w:tc>
      </w:tr>
      <w:tr>
        <w:tblPrEx>
          <w:tblW w:w="8364" w:type="dxa"/>
          <w:tblInd w:w="0" w:type="dxa"/>
          <w:tblLayout w:type="fixed"/>
          <w:tblCellMar>
            <w:top w:w="0" w:type="dxa"/>
            <w:left w:w="108" w:type="dxa"/>
            <w:bottom w:w="0" w:type="dxa"/>
            <w:right w:w="108" w:type="dxa"/>
          </w:tblCellMar>
        </w:tblPrEx>
        <w:trPr>
          <w:trHeight w:val="20"/>
        </w:trPr>
        <w:tc>
          <w:tcPr>
            <w:tcW w:w="631" w:type="dxa"/>
            <w:vMerge/>
            <w:vAlign w:val="center"/>
          </w:tcPr>
          <w:p>
            <w:pPr>
              <w:keepNext/>
              <w:keepLines/>
              <w:spacing w:before="340" w:after="330" w:line="240" w:lineRule="exact"/>
              <w:jc w:val="center"/>
              <w:outlineLvl w:val="0"/>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szCs w:val="21"/>
              </w:rPr>
              <w:t>1</w:t>
            </w:r>
          </w:p>
        </w:tc>
        <w:tc>
          <w:tcPr>
            <w:tcW w:w="1843" w:type="dxa"/>
            <w:vAlign w:val="center"/>
          </w:tcPr>
          <w:p>
            <w:pPr>
              <w:spacing w:line="260" w:lineRule="exact"/>
              <w:jc w:val="center"/>
              <w:rPr>
                <w:rFonts w:ascii="宋体" w:hAnsi="宋体" w:cs="宋体"/>
                <w:szCs w:val="21"/>
              </w:rPr>
            </w:pPr>
            <w:r>
              <w:rPr>
                <w:rFonts w:ascii="宋体" w:hAnsi="宋体" w:cs="宋体" w:hint="eastAsia"/>
              </w:rPr>
              <w:t>诚信</w:t>
            </w:r>
          </w:p>
        </w:tc>
        <w:tc>
          <w:tcPr>
            <w:tcW w:w="897" w:type="dxa"/>
            <w:vAlign w:val="center"/>
          </w:tcPr>
          <w:p>
            <w:pPr>
              <w:spacing w:line="260" w:lineRule="exact"/>
              <w:jc w:val="center"/>
              <w:rPr>
                <w:rFonts w:ascii="宋体" w:hAnsi="宋体" w:cs="宋体"/>
                <w:szCs w:val="21"/>
              </w:rPr>
            </w:pPr>
            <w:r>
              <w:rPr>
                <w:rFonts w:ascii="宋体" w:hAnsi="宋体" w:cs="宋体" w:hint="eastAsia"/>
                <w:color w:val="000000"/>
                <w:szCs w:val="21"/>
              </w:rPr>
              <w:t>5</w:t>
            </w:r>
          </w:p>
        </w:tc>
        <w:tc>
          <w:tcPr>
            <w:tcW w:w="1195" w:type="dxa"/>
            <w:gridSpan w:val="2"/>
            <w:vAlign w:val="center"/>
          </w:tcPr>
          <w:p>
            <w:pPr>
              <w:spacing w:line="260" w:lineRule="exact"/>
              <w:jc w:val="center"/>
              <w:rPr>
                <w:rFonts w:ascii="宋体" w:hAnsi="宋体" w:cs="宋体"/>
                <w:szCs w:val="21"/>
              </w:rPr>
            </w:pPr>
            <w:r>
              <w:rPr>
                <w:rFonts w:ascii="宋体" w:hAnsi="宋体" w:cs="宋体" w:hint="eastAsia"/>
                <w:szCs w:val="21"/>
              </w:rPr>
              <w:t>专家打分</w:t>
            </w:r>
          </w:p>
        </w:tc>
        <w:tc>
          <w:tcPr>
            <w:tcW w:w="3315" w:type="dxa"/>
            <w:vAlign w:val="center"/>
          </w:tcPr>
          <w:p>
            <w:pPr>
              <w:spacing w:line="260" w:lineRule="exact"/>
              <w:rPr>
                <w:rFonts w:ascii="宋体" w:hAnsi="宋体" w:cs="宋体"/>
                <w:b/>
              </w:rPr>
            </w:pPr>
            <w:r>
              <w:rPr>
                <w:rFonts w:ascii="宋体" w:hAnsi="宋体" w:cs="宋体" w:hint="eastAsia"/>
                <w:sz w:val="20"/>
                <w:szCs w:val="20"/>
              </w:rPr>
              <w:t>投标人在参与政府采购活动中存在诚信相关问题且在主管部门相关处理措施实施期限内的，本项不得分，否则得满分。投标人无需提供任何证明材料，由工作人员向评审委员会提供相关信息。</w:t>
            </w:r>
          </w:p>
        </w:tc>
      </w:tr>
      <w:tr>
        <w:tblPrEx>
          <w:tblW w:w="8364" w:type="dxa"/>
          <w:tblInd w:w="0" w:type="dxa"/>
          <w:tblLayout w:type="fixed"/>
          <w:tblCellMar>
            <w:top w:w="0" w:type="dxa"/>
            <w:left w:w="108" w:type="dxa"/>
            <w:bottom w:w="0" w:type="dxa"/>
            <w:right w:w="108" w:type="dxa"/>
          </w:tblCellMar>
        </w:tblPrEx>
        <w:trPr>
          <w:trHeight w:val="20"/>
        </w:trPr>
        <w:tc>
          <w:tcPr>
            <w:tcW w:w="631" w:type="dxa"/>
            <w:vAlign w:val="center"/>
          </w:tcPr>
          <w:p>
            <w:pPr>
              <w:spacing w:line="240" w:lineRule="exact"/>
              <w:jc w:val="center"/>
              <w:rPr>
                <w:rFonts w:ascii="宋体" w:hAnsi="宋体"/>
                <w:szCs w:val="21"/>
              </w:rPr>
            </w:pPr>
            <w:r>
              <w:rPr>
                <w:rFonts w:ascii="宋体" w:hAnsi="宋体" w:hint="eastAsia"/>
                <w:sz w:val="20"/>
                <w:szCs w:val="20"/>
              </w:rPr>
              <w:t>5</w:t>
            </w:r>
          </w:p>
        </w:tc>
        <w:tc>
          <w:tcPr>
            <w:tcW w:w="4418" w:type="dxa"/>
            <w:gridSpan w:val="5"/>
            <w:vAlign w:val="center"/>
          </w:tcPr>
          <w:p>
            <w:pPr>
              <w:spacing w:line="240" w:lineRule="exact"/>
              <w:jc w:val="center"/>
              <w:rPr>
                <w:rFonts w:ascii="宋体" w:hAnsi="宋体" w:cs="宋体"/>
                <w:szCs w:val="21"/>
              </w:rPr>
            </w:pPr>
            <w:r>
              <w:rPr>
                <w:rFonts w:ascii="宋体" w:hAnsi="宋体" w:hint="eastAsia"/>
                <w:sz w:val="20"/>
                <w:szCs w:val="20"/>
              </w:rPr>
              <w:t>综合实力</w:t>
            </w:r>
          </w:p>
        </w:tc>
        <w:tc>
          <w:tcPr>
            <w:tcW w:w="3315" w:type="dxa"/>
            <w:vAlign w:val="center"/>
          </w:tcPr>
          <w:p>
            <w:pPr>
              <w:pStyle w:val="Header"/>
              <w:pBdr>
                <w:bottom w:val="nil"/>
              </w:pBdr>
              <w:tabs>
                <w:tab w:val="clear" w:pos="4153"/>
                <w:tab w:val="clear" w:pos="8306"/>
              </w:tabs>
              <w:spacing w:line="300" w:lineRule="auto"/>
              <w:rPr>
                <w:rFonts w:ascii="宋体" w:hAnsi="宋体" w:cs="宋体"/>
              </w:rPr>
            </w:pPr>
            <w:r>
              <w:rPr>
                <w:rFonts w:ascii="宋体" w:hAnsi="宋体" w:hint="eastAsia"/>
                <w:sz w:val="16"/>
                <w:szCs w:val="20"/>
              </w:rPr>
              <w:t>7</w:t>
            </w:r>
          </w:p>
        </w:tc>
      </w:tr>
      <w:tr>
        <w:tblPrEx>
          <w:tblW w:w="8364" w:type="dxa"/>
          <w:tblInd w:w="0" w:type="dxa"/>
          <w:tblLayout w:type="fixed"/>
          <w:tblCellMar>
            <w:top w:w="0" w:type="dxa"/>
            <w:left w:w="108" w:type="dxa"/>
            <w:bottom w:w="0" w:type="dxa"/>
            <w:right w:w="108" w:type="dxa"/>
          </w:tblCellMar>
        </w:tblPrEx>
        <w:trPr>
          <w:trHeight w:val="3021"/>
        </w:trPr>
        <w:tc>
          <w:tcPr>
            <w:tcW w:w="631" w:type="dxa"/>
            <w:vAlign w:val="center"/>
          </w:tcPr>
          <w:p>
            <w:pPr>
              <w:keepNext/>
              <w:keepLines/>
              <w:spacing w:before="340" w:after="330" w:line="240" w:lineRule="exact"/>
              <w:jc w:val="center"/>
              <w:outlineLvl w:val="0"/>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hint="eastAsia"/>
                <w:sz w:val="20"/>
                <w:szCs w:val="20"/>
              </w:rPr>
              <w:t>1</w:t>
            </w:r>
          </w:p>
        </w:tc>
        <w:tc>
          <w:tcPr>
            <w:tcW w:w="1843" w:type="dxa"/>
            <w:vAlign w:val="center"/>
          </w:tcPr>
          <w:p>
            <w:pPr>
              <w:spacing w:line="240" w:lineRule="exact"/>
              <w:jc w:val="center"/>
              <w:rPr>
                <w:rFonts w:ascii="宋体" w:hAnsi="宋体" w:cs="宋体"/>
              </w:rPr>
            </w:pPr>
            <w:r>
              <w:rPr>
                <w:rFonts w:ascii="宋体" w:hAnsi="宋体" w:cs="宋体" w:hint="eastAsia"/>
                <w:sz w:val="20"/>
                <w:szCs w:val="20"/>
              </w:rPr>
              <w:t>投标人同类业绩</w:t>
            </w:r>
          </w:p>
        </w:tc>
        <w:tc>
          <w:tcPr>
            <w:tcW w:w="897" w:type="dxa"/>
            <w:vAlign w:val="center"/>
          </w:tcPr>
          <w:p>
            <w:pPr>
              <w:spacing w:line="240" w:lineRule="exact"/>
              <w:jc w:val="center"/>
              <w:rPr>
                <w:rFonts w:ascii="宋体" w:hAnsi="宋体" w:cs="宋体"/>
                <w:color w:val="000000"/>
                <w:szCs w:val="21"/>
              </w:rPr>
            </w:pPr>
            <w:r>
              <w:rPr>
                <w:rFonts w:ascii="宋体" w:hAnsi="宋体" w:hint="eastAsia"/>
                <w:sz w:val="20"/>
                <w:szCs w:val="20"/>
              </w:rPr>
              <w:t>4</w:t>
            </w:r>
          </w:p>
        </w:tc>
        <w:tc>
          <w:tcPr>
            <w:tcW w:w="1195" w:type="dxa"/>
            <w:gridSpan w:val="2"/>
            <w:vAlign w:val="center"/>
          </w:tcPr>
          <w:p>
            <w:pPr>
              <w:spacing w:line="240" w:lineRule="exact"/>
              <w:jc w:val="center"/>
              <w:rPr>
                <w:rFonts w:ascii="宋体" w:hAnsi="宋体" w:cs="宋体"/>
                <w:szCs w:val="21"/>
              </w:rPr>
            </w:pPr>
            <w:r>
              <w:rPr>
                <w:rFonts w:ascii="宋体" w:hAnsi="宋体" w:hint="eastAsia"/>
                <w:sz w:val="20"/>
                <w:szCs w:val="20"/>
              </w:rPr>
              <w:t>专家打分</w:t>
            </w:r>
          </w:p>
        </w:tc>
        <w:tc>
          <w:tcPr>
            <w:tcW w:w="3315" w:type="dxa"/>
          </w:tcPr>
          <w:p>
            <w:pPr>
              <w:spacing w:line="260" w:lineRule="exact"/>
              <w:rPr>
                <w:rFonts w:ascii="宋体" w:hAnsi="宋体" w:cs="宋体"/>
                <w:sz w:val="20"/>
                <w:szCs w:val="20"/>
              </w:rPr>
            </w:pPr>
            <w:r>
              <w:rPr>
                <w:rFonts w:ascii="宋体" w:hAnsi="宋体" w:cs="宋体"/>
                <w:sz w:val="20"/>
                <w:szCs w:val="20"/>
              </w:rPr>
              <w:t>考察投标人近三年（201</w:t>
            </w:r>
            <w:r>
              <w:rPr>
                <w:rFonts w:ascii="宋体" w:hAnsi="宋体" w:cs="宋体" w:hint="eastAsia"/>
                <w:sz w:val="20"/>
                <w:szCs w:val="20"/>
              </w:rPr>
              <w:t>9</w:t>
            </w:r>
            <w:r>
              <w:rPr>
                <w:rFonts w:ascii="宋体" w:hAnsi="宋体" w:cs="宋体"/>
                <w:sz w:val="20"/>
                <w:szCs w:val="20"/>
              </w:rPr>
              <w:t>年</w:t>
            </w:r>
            <w:r>
              <w:rPr>
                <w:rFonts w:ascii="宋体" w:hAnsi="宋体" w:cs="宋体" w:hint="eastAsia"/>
                <w:sz w:val="20"/>
                <w:szCs w:val="20"/>
              </w:rPr>
              <w:t>1</w:t>
            </w:r>
            <w:r>
              <w:rPr>
                <w:rFonts w:ascii="宋体" w:hAnsi="宋体" w:cs="宋体"/>
                <w:sz w:val="20"/>
                <w:szCs w:val="20"/>
              </w:rPr>
              <w:t>月1日至本项目</w:t>
            </w:r>
            <w:r>
              <w:rPr>
                <w:rFonts w:ascii="宋体" w:hAnsi="宋体" w:cs="宋体" w:hint="eastAsia"/>
                <w:sz w:val="20"/>
                <w:szCs w:val="20"/>
              </w:rPr>
              <w:t>投标截止日</w:t>
            </w:r>
            <w:r>
              <w:rPr>
                <w:rFonts w:ascii="宋体" w:hAnsi="宋体" w:cs="宋体"/>
                <w:sz w:val="20"/>
                <w:szCs w:val="20"/>
              </w:rPr>
              <w:t>，以合同签订之日为准）同类多媒体教学或智慧教室建设合同业绩情况：提供4个得100分，提供3个得75分，提供2个得50分，提供1个得25分，未提供的不得分。</w:t>
            </w:r>
          </w:p>
          <w:p>
            <w:pPr>
              <w:spacing w:line="260" w:lineRule="exact"/>
              <w:rPr>
                <w:rFonts w:ascii="宋体" w:hAnsi="宋体" w:cs="宋体" w:hint="eastAsia"/>
                <w:sz w:val="20"/>
                <w:szCs w:val="20"/>
              </w:rPr>
            </w:pPr>
            <w:r>
              <w:rPr>
                <w:rFonts w:ascii="宋体" w:hAnsi="宋体" w:cs="宋体" w:hint="eastAsia"/>
                <w:sz w:val="20"/>
                <w:szCs w:val="20"/>
              </w:rPr>
              <w:t>1.要求提供每一个项目的合同关键页（包含但不限于金额页、建设内容页及盖章页）和履约评价合格或者验收合格证明文件，履约评价合格或者验收合格证明文件需加盖合同甲方公章（或甲方业务章）。</w:t>
            </w:r>
          </w:p>
          <w:p>
            <w:pPr>
              <w:spacing w:line="260" w:lineRule="exact"/>
              <w:rPr>
                <w:rFonts w:ascii="宋体" w:hAnsi="宋体" w:cs="宋体" w:hint="eastAsia"/>
                <w:sz w:val="20"/>
                <w:szCs w:val="20"/>
              </w:rPr>
            </w:pPr>
            <w:r>
              <w:rPr>
                <w:rFonts w:ascii="宋体" w:hAnsi="宋体" w:cs="宋体" w:hint="eastAsia"/>
                <w:sz w:val="20"/>
                <w:szCs w:val="20"/>
              </w:rPr>
              <w:t>2.通过合同关键信息无法判断是否得分的，还须同时提供能证明得分的其它证明资料，如项目报告或合同甲方出具的证明文件等。</w:t>
            </w:r>
          </w:p>
          <w:p>
            <w:pPr>
              <w:spacing w:line="260" w:lineRule="exact"/>
              <w:rPr>
                <w:rFonts w:ascii="宋体" w:hAnsi="宋体" w:cs="宋体"/>
                <w:sz w:val="20"/>
                <w:szCs w:val="20"/>
              </w:rPr>
            </w:pPr>
            <w:r>
              <w:rPr>
                <w:rFonts w:ascii="宋体" w:hAnsi="宋体" w:cs="宋体" w:hint="eastAsia"/>
                <w:sz w:val="20"/>
                <w:szCs w:val="20"/>
              </w:rPr>
              <w:t>3.以上资料均要求提供扫描件，原件备查。评分中出现无证明资料或专家无法凭所提供资料判断是否得分的情况，一律作不得分处理。</w:t>
            </w:r>
          </w:p>
        </w:tc>
      </w:tr>
      <w:tr>
        <w:tblPrEx>
          <w:tblW w:w="8364" w:type="dxa"/>
          <w:tblInd w:w="0" w:type="dxa"/>
          <w:tblLayout w:type="fixed"/>
          <w:tblCellMar>
            <w:top w:w="0" w:type="dxa"/>
            <w:left w:w="108" w:type="dxa"/>
            <w:bottom w:w="0" w:type="dxa"/>
            <w:right w:w="108" w:type="dxa"/>
          </w:tblCellMar>
        </w:tblPrEx>
        <w:trPr>
          <w:trHeight w:val="20"/>
        </w:trPr>
        <w:tc>
          <w:tcPr>
            <w:tcW w:w="631" w:type="dxa"/>
            <w:vAlign w:val="center"/>
          </w:tcPr>
          <w:p>
            <w:pPr>
              <w:keepNext/>
              <w:keepLines/>
              <w:spacing w:before="340" w:after="330" w:line="240" w:lineRule="exact"/>
              <w:jc w:val="center"/>
              <w:outlineLvl w:val="0"/>
              <w:rPr>
                <w:rFonts w:ascii="宋体" w:hAnsi="宋体"/>
                <w:szCs w:val="21"/>
              </w:rPr>
            </w:pPr>
          </w:p>
        </w:tc>
        <w:tc>
          <w:tcPr>
            <w:tcW w:w="483" w:type="dxa"/>
            <w:vAlign w:val="center"/>
          </w:tcPr>
          <w:p>
            <w:pPr>
              <w:spacing w:line="240" w:lineRule="exact"/>
              <w:jc w:val="center"/>
              <w:rPr>
                <w:rFonts w:ascii="宋体" w:hAnsi="宋体"/>
                <w:sz w:val="20"/>
                <w:szCs w:val="20"/>
              </w:rPr>
            </w:pPr>
            <w:r>
              <w:rPr>
                <w:rFonts w:ascii="宋体" w:hAnsi="宋体" w:hint="eastAsia"/>
                <w:sz w:val="20"/>
                <w:szCs w:val="20"/>
              </w:rPr>
              <w:t>2</w:t>
            </w:r>
          </w:p>
        </w:tc>
        <w:tc>
          <w:tcPr>
            <w:tcW w:w="1843" w:type="dxa"/>
            <w:vAlign w:val="center"/>
          </w:tcPr>
          <w:p>
            <w:pPr>
              <w:spacing w:line="240" w:lineRule="exact"/>
              <w:jc w:val="center"/>
              <w:rPr>
                <w:rFonts w:ascii="宋体" w:hAnsi="宋体"/>
                <w:color w:val="FF0000"/>
                <w:sz w:val="20"/>
                <w:szCs w:val="20"/>
              </w:rPr>
            </w:pPr>
            <w:r>
              <w:rPr>
                <w:rFonts w:ascii="宋体" w:hAnsi="宋体" w:cs="宋体" w:hint="eastAsia"/>
                <w:sz w:val="20"/>
                <w:szCs w:val="20"/>
              </w:rPr>
              <w:t>证书</w:t>
            </w:r>
          </w:p>
        </w:tc>
        <w:tc>
          <w:tcPr>
            <w:tcW w:w="897" w:type="dxa"/>
            <w:vAlign w:val="center"/>
          </w:tcPr>
          <w:p>
            <w:pPr>
              <w:spacing w:line="240" w:lineRule="exact"/>
              <w:jc w:val="center"/>
              <w:rPr>
                <w:rFonts w:ascii="宋体" w:hAnsi="宋体"/>
                <w:sz w:val="20"/>
                <w:szCs w:val="20"/>
              </w:rPr>
            </w:pPr>
            <w:r>
              <w:rPr>
                <w:rFonts w:ascii="宋体" w:hAnsi="宋体" w:hint="eastAsia"/>
                <w:sz w:val="20"/>
                <w:szCs w:val="20"/>
              </w:rPr>
              <w:t>3</w:t>
            </w:r>
          </w:p>
        </w:tc>
        <w:tc>
          <w:tcPr>
            <w:tcW w:w="1195" w:type="dxa"/>
            <w:gridSpan w:val="2"/>
            <w:vAlign w:val="center"/>
          </w:tcPr>
          <w:p>
            <w:pPr>
              <w:spacing w:line="240" w:lineRule="exact"/>
              <w:jc w:val="center"/>
              <w:rPr>
                <w:rFonts w:ascii="宋体" w:hAnsi="宋体"/>
                <w:sz w:val="20"/>
                <w:szCs w:val="20"/>
              </w:rPr>
            </w:pPr>
            <w:r>
              <w:rPr>
                <w:rFonts w:ascii="宋体" w:hAnsi="宋体" w:hint="eastAsia"/>
                <w:sz w:val="20"/>
                <w:szCs w:val="20"/>
              </w:rPr>
              <w:t>专家打分</w:t>
            </w:r>
          </w:p>
        </w:tc>
        <w:tc>
          <w:tcPr>
            <w:tcW w:w="3315" w:type="dxa"/>
          </w:tcPr>
          <w:p>
            <w:pPr>
              <w:spacing w:line="260" w:lineRule="exact"/>
              <w:rPr>
                <w:rFonts w:ascii="宋体" w:hAnsi="宋体" w:cs="宋体"/>
                <w:sz w:val="20"/>
                <w:szCs w:val="20"/>
              </w:rPr>
            </w:pPr>
            <w:r>
              <w:rPr>
                <w:rFonts w:ascii="宋体" w:hAnsi="宋体" w:cs="宋体"/>
                <w:sz w:val="20"/>
                <w:szCs w:val="20"/>
              </w:rPr>
              <w:t>1</w:t>
            </w:r>
            <w:r>
              <w:rPr>
                <w:rFonts w:ascii="宋体" w:hAnsi="宋体" w:cs="宋体" w:hint="eastAsia"/>
                <w:sz w:val="20"/>
                <w:szCs w:val="20"/>
              </w:rPr>
              <w:t>.</w:t>
            </w:r>
            <w:r>
              <w:rPr>
                <w:rFonts w:ascii="宋体" w:hAnsi="宋体" w:cs="宋体"/>
                <w:sz w:val="20"/>
                <w:szCs w:val="20"/>
              </w:rPr>
              <w:t>投标人具备ISO20000信息技术服务管理体系认证证书，得50分</w:t>
            </w:r>
            <w:r>
              <w:rPr>
                <w:rFonts w:ascii="宋体" w:hAnsi="宋体" w:cs="宋体" w:hint="eastAsia"/>
                <w:sz w:val="20"/>
                <w:szCs w:val="20"/>
              </w:rPr>
              <w:t>；</w:t>
            </w:r>
          </w:p>
          <w:p>
            <w:pPr>
              <w:spacing w:line="260" w:lineRule="exact"/>
              <w:rPr>
                <w:rFonts w:ascii="宋体" w:hAnsi="宋体" w:cs="宋体" w:hint="eastAsia"/>
                <w:sz w:val="20"/>
                <w:szCs w:val="20"/>
              </w:rPr>
            </w:pPr>
            <w:r>
              <w:rPr>
                <w:rFonts w:ascii="宋体" w:hAnsi="宋体" w:cs="宋体"/>
                <w:sz w:val="20"/>
                <w:szCs w:val="20"/>
              </w:rPr>
              <w:t>2</w:t>
            </w:r>
            <w:r>
              <w:rPr>
                <w:rFonts w:ascii="宋体" w:hAnsi="宋体" w:cs="宋体" w:hint="eastAsia"/>
                <w:sz w:val="20"/>
                <w:szCs w:val="20"/>
              </w:rPr>
              <w:t>.</w:t>
            </w:r>
            <w:r>
              <w:rPr>
                <w:rFonts w:ascii="宋体" w:hAnsi="宋体" w:cs="宋体"/>
                <w:sz w:val="20"/>
                <w:szCs w:val="20"/>
              </w:rPr>
              <w:t>ISO27001信息安全管理体系认证证书的，得50分。</w:t>
            </w:r>
          </w:p>
          <w:p>
            <w:pPr>
              <w:spacing w:line="260" w:lineRule="exact"/>
              <w:rPr>
                <w:rFonts w:ascii="宋体" w:hAnsi="宋体" w:cs="宋体"/>
                <w:sz w:val="20"/>
                <w:szCs w:val="20"/>
              </w:rPr>
            </w:pPr>
            <w:r>
              <w:rPr>
                <w:rFonts w:ascii="宋体" w:hAnsi="宋体" w:cs="宋体" w:hint="eastAsia"/>
                <w:sz w:val="20"/>
                <w:szCs w:val="20"/>
              </w:rPr>
              <w:t>评分依据：</w:t>
            </w:r>
          </w:p>
          <w:p>
            <w:pPr>
              <w:pStyle w:val="Header"/>
              <w:pBdr>
                <w:bottom w:val="nil"/>
              </w:pBdr>
              <w:tabs>
                <w:tab w:val="clear" w:pos="4153"/>
                <w:tab w:val="clear" w:pos="8306"/>
              </w:tabs>
              <w:spacing w:line="300" w:lineRule="auto"/>
              <w:jc w:val="both"/>
              <w:rPr>
                <w:rFonts w:ascii="宋体" w:hAnsi="宋体" w:cs="宋体" w:hint="eastAsia"/>
                <w:sz w:val="20"/>
                <w:szCs w:val="20"/>
              </w:rPr>
            </w:pPr>
            <w:r>
              <w:rPr>
                <w:rFonts w:ascii="宋体" w:hAnsi="宋体" w:cs="宋体" w:hint="eastAsia"/>
                <w:sz w:val="20"/>
                <w:szCs w:val="20"/>
              </w:rPr>
              <w:t>1.要求提供有效的认证证书作为得分依据。</w:t>
            </w:r>
          </w:p>
          <w:p>
            <w:pPr>
              <w:pStyle w:val="Header"/>
              <w:pBdr>
                <w:bottom w:val="nil"/>
              </w:pBdr>
              <w:tabs>
                <w:tab w:val="clear" w:pos="4153"/>
                <w:tab w:val="clear" w:pos="8306"/>
              </w:tabs>
              <w:spacing w:line="300" w:lineRule="auto"/>
              <w:jc w:val="both"/>
              <w:rPr>
                <w:rFonts w:ascii="宋体" w:hAnsi="宋体" w:cs="宋体"/>
                <w:sz w:val="20"/>
                <w:szCs w:val="20"/>
              </w:rPr>
            </w:pPr>
            <w:r>
              <w:rPr>
                <w:rFonts w:ascii="宋体" w:hAnsi="宋体" w:cs="宋体" w:hint="eastAsia"/>
                <w:sz w:val="20"/>
                <w:szCs w:val="20"/>
              </w:rPr>
              <w:t>2.以上资料均要求提供扫描件（原件备查）及官方网站查询截图。评分中出现无证明资料或专家无法凭所提供资料判断是否得分的情况，一律作不得分处理。</w:t>
            </w:r>
          </w:p>
        </w:tc>
      </w:tr>
    </w:tbl>
    <w:p>
      <w:pPr>
        <w:rPr>
          <w:vanish/>
          <w:sz w:val="24"/>
        </w:rPr>
      </w:pPr>
    </w:p>
    <w:p/>
    <w:p/>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
    <w:p/>
    <w:p/>
    <w:p/>
    <w:p/>
    <w:p/>
    <w:p>
      <w:pPr>
        <w:jc w:val="center"/>
        <w:rPr>
          <w:b/>
          <w:sz w:val="44"/>
          <w:szCs w:val="44"/>
        </w:rPr>
      </w:pPr>
      <w:bookmarkStart w:id="3" w:name="_Hlk71465316"/>
      <w:r>
        <w:rPr>
          <w:rFonts w:hint="eastAsia"/>
          <w:b/>
          <w:sz w:val="44"/>
          <w:szCs w:val="44"/>
        </w:rPr>
        <w:t>深圳公共资源交易中心</w:t>
      </w:r>
    </w:p>
    <w:p>
      <w:pPr>
        <w:jc w:val="center"/>
        <w:rPr>
          <w:b/>
          <w:sz w:val="44"/>
          <w:szCs w:val="44"/>
        </w:rPr>
      </w:pPr>
      <w:r>
        <w:rPr>
          <w:rFonts w:hint="eastAsia"/>
          <w:b/>
          <w:sz w:val="44"/>
          <w:szCs w:val="44"/>
        </w:rPr>
        <w:t>（</w:t>
      </w:r>
      <w:r>
        <w:rPr>
          <w:b/>
          <w:sz w:val="44"/>
          <w:szCs w:val="44"/>
        </w:rPr>
        <w:t>20</w:t>
      </w:r>
      <w:r>
        <w:rPr>
          <w:rFonts w:hint="eastAsia"/>
          <w:b/>
          <w:sz w:val="44"/>
          <w:szCs w:val="44"/>
        </w:rPr>
        <w:t>2</w:t>
      </w:r>
      <w:r>
        <w:rPr>
          <w:b/>
          <w:sz w:val="44"/>
          <w:szCs w:val="44"/>
        </w:rPr>
        <w:t>1</w:t>
      </w:r>
      <w:r>
        <w:rPr>
          <w:rFonts w:hint="eastAsia"/>
          <w:b/>
          <w:sz w:val="44"/>
          <w:szCs w:val="44"/>
        </w:rPr>
        <w:t>）</w:t>
      </w:r>
      <w:bookmarkEnd w:id="3"/>
    </w:p>
    <w:p>
      <w:pPr>
        <w:ind w:firstLine="435"/>
        <w:jc w:val="left"/>
      </w:pPr>
    </w:p>
    <w:p>
      <w:pPr>
        <w:widowControl/>
        <w:jc w:val="left"/>
      </w:pPr>
      <w:r>
        <w:br w:type="page"/>
      </w:r>
    </w:p>
    <w:p>
      <w:pPr>
        <w:ind w:firstLine="3120" w:firstLineChars="1300"/>
        <w:rPr>
          <w:rFonts w:ascii="宋体" w:hAnsi="宋体"/>
          <w:color w:val="FF0000"/>
          <w:szCs w:val="21"/>
        </w:rPr>
      </w:pPr>
      <w:bookmarkStart w:id="4" w:name="_Hlk73564573"/>
      <w:r>
        <w:rPr>
          <w:rFonts w:ascii="宋体" w:eastAsia="黑体" w:hAnsi="宋体" w:hint="eastAsia"/>
          <w:b/>
          <w:bCs/>
          <w:color w:val="FF0000"/>
          <w:kern w:val="44"/>
          <w:sz w:val="28"/>
          <w:szCs w:val="44"/>
        </w:rPr>
        <w:t>警示条款</w:t>
      </w:r>
    </w:p>
    <w:p>
      <w:pPr>
        <w:ind w:firstLine="48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80" w:firstLineChars="200"/>
        <w:rPr>
          <w:rFonts w:ascii="宋体" w:hAnsi="宋体"/>
          <w:color w:val="FF0000"/>
          <w:sz w:val="20"/>
          <w:szCs w:val="20"/>
        </w:rPr>
      </w:pPr>
      <w:r>
        <w:rPr>
          <w:rFonts w:ascii="宋体" w:hAnsi="宋体" w:hint="eastAsia"/>
          <w:color w:val="FF0000"/>
          <w:sz w:val="20"/>
          <w:szCs w:val="20"/>
        </w:rPr>
        <w:t>（一）在采购活动中应当回避而未回避的；</w:t>
      </w:r>
    </w:p>
    <w:p>
      <w:pPr>
        <w:ind w:firstLine="48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pPr>
        <w:ind w:firstLine="480" w:firstLineChars="200"/>
        <w:rPr>
          <w:rFonts w:ascii="宋体" w:hAnsi="宋体"/>
          <w:color w:val="FF0000"/>
          <w:sz w:val="20"/>
          <w:szCs w:val="20"/>
        </w:rPr>
      </w:pPr>
      <w:r>
        <w:rPr>
          <w:rFonts w:ascii="宋体" w:hAnsi="宋体" w:hint="eastAsia"/>
          <w:color w:val="FF0000"/>
          <w:sz w:val="20"/>
          <w:szCs w:val="20"/>
        </w:rPr>
        <w:t>（三）隐瞒真实情况，提供虚假资料的；</w:t>
      </w:r>
    </w:p>
    <w:p>
      <w:pPr>
        <w:ind w:firstLine="48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pPr>
        <w:ind w:firstLine="480" w:firstLineChars="200"/>
        <w:rPr>
          <w:rFonts w:ascii="宋体" w:hAnsi="宋体"/>
          <w:color w:val="FF0000"/>
          <w:sz w:val="20"/>
          <w:szCs w:val="20"/>
        </w:rPr>
      </w:pPr>
      <w:r>
        <w:rPr>
          <w:rFonts w:ascii="宋体" w:hAnsi="宋体" w:hint="eastAsia"/>
          <w:color w:val="FF0000"/>
          <w:sz w:val="20"/>
          <w:szCs w:val="20"/>
        </w:rPr>
        <w:t>（五）与其他采购参加人串通投标的；</w:t>
      </w:r>
    </w:p>
    <w:p>
      <w:pPr>
        <w:ind w:firstLine="480" w:firstLineChars="200"/>
        <w:rPr>
          <w:rFonts w:ascii="宋体" w:hAnsi="宋体"/>
          <w:color w:val="FF0000"/>
          <w:sz w:val="20"/>
          <w:szCs w:val="20"/>
        </w:rPr>
      </w:pPr>
      <w:r>
        <w:rPr>
          <w:rFonts w:ascii="宋体" w:hAnsi="宋体" w:hint="eastAsia"/>
          <w:color w:val="FF0000"/>
          <w:sz w:val="20"/>
          <w:szCs w:val="20"/>
        </w:rPr>
        <w:t>（六）恶意投诉的；</w:t>
      </w:r>
    </w:p>
    <w:p>
      <w:pPr>
        <w:ind w:firstLine="48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pPr>
        <w:ind w:firstLine="480" w:firstLineChars="200"/>
        <w:rPr>
          <w:rFonts w:ascii="宋体" w:hAnsi="宋体"/>
          <w:color w:val="FF0000"/>
          <w:sz w:val="20"/>
          <w:szCs w:val="20"/>
        </w:rPr>
      </w:pPr>
      <w:r>
        <w:rPr>
          <w:rFonts w:ascii="宋体" w:hAnsi="宋体" w:hint="eastAsia"/>
          <w:color w:val="FF0000"/>
          <w:sz w:val="20"/>
          <w:szCs w:val="20"/>
        </w:rPr>
        <w:t>（八）阻碍、抗拒主管部门监督检查的；</w:t>
      </w:r>
    </w:p>
    <w:p>
      <w:pPr>
        <w:ind w:firstLine="480" w:firstLineChars="200"/>
        <w:rPr>
          <w:rFonts w:ascii="宋体" w:hAnsi="宋体"/>
          <w:color w:val="FF0000"/>
          <w:sz w:val="20"/>
          <w:szCs w:val="20"/>
        </w:rPr>
      </w:pPr>
      <w:r>
        <w:rPr>
          <w:rFonts w:ascii="宋体" w:hAnsi="宋体" w:hint="eastAsia"/>
          <w:color w:val="FF0000"/>
          <w:sz w:val="20"/>
          <w:szCs w:val="20"/>
        </w:rPr>
        <w:t>（九）其他违反本条例规定的行为。</w:t>
      </w:r>
    </w:p>
    <w:p>
      <w:pPr>
        <w:ind w:firstLine="480" w:firstLineChars="200"/>
        <w:rPr>
          <w:rFonts w:ascii="宋体" w:hAnsi="宋体"/>
          <w:color w:val="FF0000"/>
          <w:sz w:val="20"/>
          <w:szCs w:val="20"/>
        </w:rPr>
      </w:pPr>
      <w:r>
        <w:rPr>
          <w:rFonts w:ascii="宋体" w:hAnsi="宋体" w:hint="eastAsia"/>
          <w:b/>
          <w:bCs/>
          <w:color w:val="FF0000"/>
          <w:sz w:val="20"/>
          <w:szCs w:val="20"/>
        </w:rPr>
        <w:t>二、《深圳经济特区政府采购条例实施细则》第七十九条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80" w:firstLineChars="200"/>
        <w:rPr>
          <w:rFonts w:ascii="宋体" w:hAnsi="宋体"/>
          <w:color w:val="FF0000"/>
          <w:sz w:val="20"/>
          <w:szCs w:val="20"/>
        </w:rPr>
      </w:pPr>
      <w:r>
        <w:rPr>
          <w:rFonts w:ascii="宋体" w:hAnsi="宋体" w:hint="eastAsia"/>
          <w:b/>
          <w:bCs/>
          <w:color w:val="FF0000"/>
          <w:sz w:val="20"/>
          <w:szCs w:val="20"/>
        </w:rPr>
        <w:t>三、《深圳经济特区政府采购条例实施细则》第八十一条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8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pPr>
        <w:ind w:firstLine="480" w:firstLineChars="200"/>
        <w:rPr>
          <w:rFonts w:ascii="宋体" w:hAnsi="宋体"/>
          <w:color w:val="FF0000"/>
          <w:sz w:val="20"/>
          <w:szCs w:val="20"/>
        </w:rPr>
      </w:pPr>
      <w:bookmarkEnd w:id="4"/>
    </w:p>
    <w:p/>
    <w:p>
      <w:pPr>
        <w:widowControl/>
        <w:jc w:val="left"/>
        <w:rPr>
          <w:rFonts w:ascii="宋体" w:eastAsia="黑体" w:hAnsi="宋体"/>
          <w:b/>
          <w:bCs/>
          <w:kern w:val="44"/>
          <w:sz w:val="28"/>
          <w:szCs w:val="44"/>
        </w:rPr>
      </w:pPr>
      <w:bookmarkStart w:id="5" w:name="_Hlk72218009"/>
      <w:r>
        <w:br w:type="page"/>
      </w:r>
    </w:p>
    <w:p>
      <w:pPr>
        <w:pStyle w:val="Heading1"/>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720" w:firstLine="720" w:leftChars="300" w:firstLineChars="300"/>
        <w:outlineLvl w:val="0"/>
        <w:rPr>
          <w:rFonts w:ascii="宋体" w:hAnsi="宋体"/>
          <w:szCs w:val="21"/>
        </w:rPr>
      </w:pPr>
      <w:r>
        <w:rPr>
          <w:rFonts w:ascii="宋体" w:hAnsi="宋体" w:hint="eastAsia"/>
          <w:szCs w:val="21"/>
        </w:rPr>
        <w:t>第一章  招标公告</w:t>
      </w:r>
    </w:p>
    <w:p>
      <w:pPr>
        <w:ind w:left="720" w:firstLine="720" w:leftChars="300" w:firstLineChars="300"/>
        <w:outlineLvl w:val="0"/>
        <w:rPr>
          <w:rFonts w:ascii="宋体" w:hAnsi="宋体"/>
          <w:szCs w:val="21"/>
        </w:rPr>
      </w:pPr>
      <w:r>
        <w:rPr>
          <w:rFonts w:ascii="宋体" w:hAnsi="宋体" w:hint="eastAsia"/>
          <w:szCs w:val="21"/>
        </w:rPr>
        <w:t xml:space="preserve">第二章  </w:t>
      </w:r>
      <w:bookmarkStart w:id="6" w:name="_Hlk71994379"/>
      <w:r>
        <w:rPr>
          <w:rFonts w:ascii="宋体" w:hAnsi="宋体" w:hint="eastAsia"/>
          <w:szCs w:val="21"/>
        </w:rPr>
        <w:t>对通用条款的补充内容及其他关键信息</w:t>
      </w:r>
      <w:bookmarkEnd w:id="6"/>
    </w:p>
    <w:p>
      <w:pPr>
        <w:ind w:left="720" w:firstLine="720" w:leftChars="300" w:firstLineChars="300"/>
        <w:outlineLvl w:val="0"/>
        <w:rPr>
          <w:rFonts w:ascii="宋体" w:hAnsi="宋体"/>
          <w:szCs w:val="21"/>
        </w:rPr>
      </w:pPr>
      <w:r>
        <w:rPr>
          <w:rFonts w:ascii="宋体" w:hAnsi="宋体" w:hint="eastAsia"/>
          <w:szCs w:val="21"/>
        </w:rPr>
        <w:t>第三章 用户需求书</w:t>
      </w:r>
    </w:p>
    <w:p>
      <w:pPr>
        <w:ind w:left="720" w:firstLine="720" w:leftChars="300" w:firstLineChars="300"/>
        <w:outlineLvl w:val="0"/>
        <w:rPr>
          <w:rFonts w:ascii="宋体" w:hAnsi="宋体"/>
          <w:szCs w:val="21"/>
        </w:rPr>
      </w:pPr>
      <w:r>
        <w:rPr>
          <w:rFonts w:ascii="宋体" w:hAnsi="宋体" w:hint="eastAsia"/>
          <w:szCs w:val="21"/>
        </w:rPr>
        <w:t>第四章 投标文件组成要求及格式</w:t>
      </w:r>
    </w:p>
    <w:p>
      <w:pPr>
        <w:ind w:left="720" w:firstLine="720" w:leftChars="300" w:firstLineChars="300"/>
        <w:outlineLvl w:val="0"/>
        <w:rPr>
          <w:rFonts w:ascii="宋体" w:hAnsi="宋体"/>
          <w:szCs w:val="21"/>
        </w:rPr>
      </w:pPr>
      <w:r>
        <w:rPr>
          <w:rFonts w:ascii="宋体" w:hAnsi="宋体" w:hint="eastAsia"/>
          <w:szCs w:val="21"/>
        </w:rPr>
        <w:t>第五章  合同条款及格式</w:t>
      </w:r>
    </w:p>
    <w:p>
      <w:pPr>
        <w:rPr>
          <w:b/>
          <w:sz w:val="24"/>
        </w:rPr>
      </w:pPr>
    </w:p>
    <w:p>
      <w:pPr>
        <w:outlineLvl w:val="0"/>
        <w:rPr>
          <w:b/>
          <w:sz w:val="24"/>
        </w:rPr>
      </w:pPr>
      <w:r>
        <w:rPr>
          <w:rFonts w:hint="eastAsia"/>
          <w:b/>
          <w:sz w:val="24"/>
        </w:rPr>
        <w:t>第二册  通用条款</w:t>
      </w:r>
    </w:p>
    <w:p>
      <w:pPr>
        <w:ind w:left="720" w:firstLine="470" w:leftChars="300" w:firstLineChars="196"/>
        <w:outlineLvl w:val="0"/>
        <w:rPr>
          <w:rFonts w:ascii="宋体" w:hAnsi="宋体"/>
          <w:szCs w:val="21"/>
        </w:rPr>
      </w:pPr>
      <w:r>
        <w:rPr>
          <w:rFonts w:ascii="宋体" w:hAnsi="宋体" w:hint="eastAsia"/>
          <w:szCs w:val="21"/>
        </w:rPr>
        <w:t>第一章  总则</w:t>
      </w:r>
    </w:p>
    <w:p>
      <w:pPr>
        <w:ind w:left="720" w:firstLine="470" w:leftChars="300" w:firstLineChars="196"/>
        <w:outlineLvl w:val="0"/>
        <w:rPr>
          <w:rFonts w:ascii="宋体" w:hAnsi="宋体"/>
          <w:szCs w:val="21"/>
        </w:rPr>
      </w:pPr>
      <w:r>
        <w:rPr>
          <w:rFonts w:ascii="宋体" w:hAnsi="宋体" w:hint="eastAsia"/>
          <w:szCs w:val="21"/>
        </w:rPr>
        <w:t>第二章  招标文件</w:t>
      </w:r>
    </w:p>
    <w:p>
      <w:pPr>
        <w:ind w:left="720" w:firstLine="470" w:leftChars="300" w:firstLineChars="196"/>
        <w:outlineLvl w:val="0"/>
        <w:rPr>
          <w:rFonts w:ascii="宋体" w:hAnsi="宋体"/>
          <w:szCs w:val="21"/>
        </w:rPr>
      </w:pPr>
      <w:r>
        <w:rPr>
          <w:rFonts w:ascii="宋体" w:hAnsi="宋体" w:hint="eastAsia"/>
          <w:szCs w:val="21"/>
        </w:rPr>
        <w:t>第三章  投标文件的编制</w:t>
      </w:r>
    </w:p>
    <w:p>
      <w:pPr>
        <w:ind w:left="720" w:firstLine="470" w:leftChars="300" w:firstLineChars="196"/>
        <w:outlineLvl w:val="0"/>
        <w:rPr>
          <w:rFonts w:ascii="宋体" w:hAnsi="宋体"/>
          <w:szCs w:val="21"/>
        </w:rPr>
      </w:pPr>
      <w:r>
        <w:rPr>
          <w:rFonts w:ascii="宋体" w:hAnsi="宋体" w:hint="eastAsia"/>
          <w:szCs w:val="21"/>
        </w:rPr>
        <w:t>第四章  投标文件的递交</w:t>
      </w:r>
    </w:p>
    <w:p>
      <w:pPr>
        <w:ind w:left="720" w:firstLine="470" w:leftChars="300" w:firstLineChars="196"/>
        <w:outlineLvl w:val="0"/>
        <w:rPr>
          <w:rFonts w:ascii="宋体" w:hAnsi="宋体"/>
          <w:szCs w:val="21"/>
        </w:rPr>
      </w:pPr>
      <w:r>
        <w:rPr>
          <w:rFonts w:ascii="宋体" w:hAnsi="宋体" w:hint="eastAsia"/>
          <w:szCs w:val="21"/>
        </w:rPr>
        <w:t>第五章  开标</w:t>
      </w:r>
    </w:p>
    <w:p>
      <w:pPr>
        <w:ind w:left="720" w:firstLine="470" w:leftChars="300" w:firstLineChars="196"/>
        <w:outlineLvl w:val="0"/>
        <w:rPr>
          <w:rFonts w:ascii="宋体" w:hAnsi="宋体"/>
          <w:szCs w:val="21"/>
        </w:rPr>
      </w:pPr>
      <w:r>
        <w:rPr>
          <w:rFonts w:ascii="宋体" w:hAnsi="宋体" w:hint="eastAsia"/>
          <w:szCs w:val="21"/>
        </w:rPr>
        <w:t>第六章  评审要求</w:t>
      </w:r>
    </w:p>
    <w:p>
      <w:pPr>
        <w:ind w:left="720" w:firstLine="470" w:leftChars="300" w:firstLineChars="196"/>
        <w:outlineLvl w:val="0"/>
        <w:rPr>
          <w:rFonts w:ascii="宋体" w:hAnsi="宋体"/>
          <w:szCs w:val="21"/>
        </w:rPr>
      </w:pPr>
      <w:r>
        <w:rPr>
          <w:rFonts w:ascii="宋体" w:hAnsi="宋体" w:hint="eastAsia"/>
          <w:szCs w:val="21"/>
        </w:rPr>
        <w:t>第七章  评审程序及评审方法</w:t>
      </w:r>
    </w:p>
    <w:p>
      <w:pPr>
        <w:ind w:left="720" w:firstLine="470" w:leftChars="300" w:firstLineChars="196"/>
        <w:outlineLvl w:val="0"/>
        <w:rPr>
          <w:rFonts w:ascii="宋体" w:hAnsi="宋体"/>
          <w:szCs w:val="21"/>
        </w:rPr>
      </w:pPr>
      <w:r>
        <w:rPr>
          <w:rFonts w:ascii="宋体" w:hAnsi="宋体" w:hint="eastAsia"/>
          <w:szCs w:val="21"/>
        </w:rPr>
        <w:t>第八章  定标及公示</w:t>
      </w:r>
    </w:p>
    <w:p>
      <w:pPr>
        <w:ind w:left="720" w:firstLine="470" w:leftChars="300" w:firstLineChars="196"/>
        <w:outlineLvl w:val="0"/>
        <w:rPr>
          <w:rFonts w:ascii="宋体" w:hAnsi="宋体"/>
          <w:szCs w:val="21"/>
        </w:rPr>
      </w:pPr>
      <w:r>
        <w:rPr>
          <w:rFonts w:ascii="宋体" w:hAnsi="宋体" w:hint="eastAsia"/>
          <w:szCs w:val="21"/>
        </w:rPr>
        <w:t>第九章  公开招标失败的后续处理</w:t>
      </w:r>
    </w:p>
    <w:p>
      <w:pPr>
        <w:ind w:left="720" w:firstLine="470" w:leftChars="300" w:firstLineChars="196"/>
        <w:outlineLvl w:val="0"/>
        <w:rPr>
          <w:rFonts w:ascii="宋体" w:hAnsi="宋体"/>
          <w:szCs w:val="21"/>
        </w:rPr>
      </w:pPr>
      <w:r>
        <w:rPr>
          <w:rFonts w:ascii="宋体" w:hAnsi="宋体" w:hint="eastAsia"/>
          <w:szCs w:val="21"/>
        </w:rPr>
        <w:t>第十章  合同的授予与备案</w:t>
      </w:r>
    </w:p>
    <w:p>
      <w:pPr>
        <w:ind w:left="720" w:firstLine="470" w:leftChars="300" w:firstLineChars="196"/>
        <w:outlineLvl w:val="0"/>
        <w:rPr>
          <w:rFonts w:ascii="宋体" w:hAnsi="宋体"/>
          <w:szCs w:val="21"/>
        </w:rPr>
      </w:pPr>
      <w:r>
        <w:rPr>
          <w:rFonts w:ascii="宋体" w:hAnsi="宋体" w:hint="eastAsia"/>
          <w:szCs w:val="21"/>
        </w:rPr>
        <w:t>第十一章  质疑处理</w:t>
      </w:r>
    </w:p>
    <w:p>
      <w:pPr>
        <w:widowControl/>
        <w:jc w:val="left"/>
        <w:rPr>
          <w:rFonts w:ascii="宋体" w:eastAsia="黑体" w:hAnsi="宋体"/>
          <w:b/>
          <w:bCs/>
          <w:kern w:val="44"/>
          <w:sz w:val="28"/>
          <w:szCs w:val="44"/>
        </w:rPr>
      </w:pPr>
      <w:bookmarkEnd w:id="5"/>
      <w:bookmarkStart w:id="7" w:name="bt商务标投标文件格式"/>
      <w:bookmarkEnd w:id="7"/>
      <w:bookmarkStart w:id="8" w:name="bt本工程承诺书"/>
      <w:bookmarkEnd w:id="8"/>
      <w:bookmarkStart w:id="9" w:name="bt其他资料2"/>
      <w:bookmarkEnd w:id="9"/>
      <w:bookmarkStart w:id="10" w:name="bt开标一览表"/>
      <w:bookmarkEnd w:id="10"/>
      <w:bookmarkStart w:id="11" w:name="bt投标函"/>
      <w:bookmarkEnd w:id="11"/>
      <w:bookmarkStart w:id="12" w:name="bt投标人情况介绍"/>
      <w:bookmarkEnd w:id="12"/>
      <w:bookmarkStart w:id="13" w:name="bt合同条款及格式"/>
      <w:bookmarkEnd w:id="13"/>
      <w:bookmarkStart w:id="14" w:name="bt说明"/>
      <w:bookmarkEnd w:id="14"/>
      <w:bookmarkStart w:id="15" w:name="bt合同格式"/>
      <w:bookmarkEnd w:id="15"/>
      <w:bookmarkStart w:id="16" w:name="bt投标文件签署授权委托书"/>
      <w:bookmarkEnd w:id="16"/>
      <w:bookmarkStart w:id="17" w:name="bt其他资料由投标人自定"/>
      <w:bookmarkEnd w:id="17"/>
      <w:bookmarkStart w:id="18" w:name="bt项目管理班子配备情况"/>
      <w:bookmarkEnd w:id="18"/>
      <w:bookmarkStart w:id="19" w:name="合同格式"/>
      <w:bookmarkEnd w:id="19"/>
      <w:bookmarkStart w:id="20" w:name="bt投标报价汇总表"/>
      <w:bookmarkEnd w:id="20"/>
      <w:bookmarkStart w:id="21" w:name="bt投标人须知"/>
      <w:bookmarkEnd w:id="21"/>
      <w:bookmarkStart w:id="22" w:name="bt技术标投标文件格式"/>
      <w:bookmarkEnd w:id="22"/>
      <w:bookmarkStart w:id="23" w:name="bt合同条款"/>
      <w:bookmarkEnd w:id="23"/>
      <w:r>
        <w:br w:type="page"/>
      </w:r>
    </w:p>
    <w:p>
      <w:pPr>
        <w:pStyle w:val="Heading1"/>
        <w:rPr>
          <w:color w:val="FF0000"/>
          <w:sz w:val="24"/>
        </w:rPr>
      </w:pPr>
      <w:r>
        <w:rPr>
          <w:rFonts w:hint="eastAsia"/>
        </w:rPr>
        <w:t>第一册  专用条款</w:t>
      </w:r>
    </w:p>
    <w:p>
      <w:pPr>
        <w:pStyle w:val="Heading2"/>
        <w:rPr>
          <w:sz w:val="28"/>
          <w:szCs w:val="28"/>
        </w:rPr>
      </w:pPr>
      <w:r>
        <w:rPr>
          <w:rFonts w:hint="eastAsia"/>
          <w:sz w:val="28"/>
          <w:szCs w:val="28"/>
        </w:rPr>
        <w:t>第一章  招标公告</w:t>
      </w:r>
    </w:p>
    <w:p>
      <w:pPr>
        <w:spacing w:line="360" w:lineRule="auto"/>
        <w:rPr>
          <w:rFonts w:ascii="宋体" w:hAnsi="宋体" w:cs="宋体"/>
          <w:kern w:val="0"/>
          <w:sz w:val="18"/>
          <w:szCs w:val="18"/>
        </w:rPr>
      </w:pPr>
      <w:r>
        <w:rPr>
          <w:rFonts w:ascii="宋体" w:hAnsi="宋体" w:cs="宋体" w:hint="eastAsia"/>
          <w:b/>
          <w:bCs/>
          <w:kern w:val="0"/>
          <w:szCs w:val="21"/>
        </w:rPr>
        <w:t>申请人的资格要求</w:t>
      </w:r>
    </w:p>
    <w:p>
      <w:pPr>
        <w:ind w:firstLine="720" w:firstLineChars="300"/>
      </w:pPr>
      <w:r>
        <w:rPr>
          <w:rFonts w:hint="eastAsia"/>
        </w:rPr>
        <w:t>1</w:t>
      </w:r>
      <w:r>
        <w:t>.</w:t>
      </w:r>
      <w:bookmarkStart w:id="24" w:name="_Hlk72162904"/>
      <w:r>
        <w:rPr>
          <w:rFonts w:hint="eastAsia"/>
        </w:rPr>
        <w:t>具有独立法人资格或是具有独立承担民事责任能力的其它组织（提供营业执照或事业单位法人证书等证明资料扫描件，原件备查）；</w:t>
      </w:r>
      <w:bookmarkEnd w:id="24"/>
    </w:p>
    <w:p>
      <w:pPr>
        <w:ind w:firstLine="720" w:firstLineChars="300"/>
        <w:rPr>
          <w:color w:val="FF0000"/>
        </w:rPr>
      </w:pPr>
      <w:r>
        <w:rPr>
          <w:rFonts w:hint="eastAsia"/>
          <w:color w:val="FF0000"/>
        </w:rPr>
        <w:t>2</w:t>
      </w:r>
      <w:r>
        <w:rPr>
          <w:color w:val="FF0000"/>
        </w:rPr>
        <w:t>.</w:t>
      </w:r>
      <w:r>
        <w:rPr>
          <w:rFonts w:hint="eastAsia"/>
          <w:color w:val="FF0000"/>
        </w:rPr>
        <w:t>本项目不接受联合体投标，是否接受投标人选用进口产品参与投标（详见招标文件“货物需求明细”表）；</w:t>
      </w:r>
    </w:p>
    <w:p>
      <w:pPr>
        <w:ind w:firstLine="720" w:firstLineChars="300"/>
      </w:pPr>
      <w:r>
        <w:rPr>
          <w:rFonts w:hint="eastAsia"/>
        </w:rPr>
        <w:t>3</w:t>
      </w:r>
      <w:r>
        <w:t>.</w:t>
      </w:r>
      <w:r>
        <w:rPr>
          <w:rFonts w:hint="eastAsia"/>
        </w:rPr>
        <w:t>参与本项目投标前三年内，在经营活动中没有重大违法记录（由供应商在《政府采购投标及履约承诺函》中作出声明）；</w:t>
      </w:r>
    </w:p>
    <w:p>
      <w:pPr>
        <w:ind w:firstLine="720" w:firstLineChars="300"/>
      </w:pPr>
      <w:r>
        <w:rPr>
          <w:rFonts w:hint="eastAsia"/>
        </w:rPr>
        <w:t>4</w:t>
      </w:r>
      <w:r>
        <w:t>.</w:t>
      </w:r>
      <w:r>
        <w:rPr>
          <w:rFonts w:hint="eastAsia"/>
        </w:rPr>
        <w:t>参与本项目政府采购活动时不存在被有关部门禁止参与政府采购活动且在有效期内的情况（由供应商在《政府采购投标及履约承诺函》中作出声明）；</w:t>
      </w:r>
    </w:p>
    <w:p>
      <w:pPr>
        <w:ind w:firstLine="720" w:firstLineChars="300"/>
      </w:pPr>
      <w:r>
        <w:rPr>
          <w:rFonts w:hint="eastAsia"/>
        </w:rPr>
        <w:t>5</w:t>
      </w:r>
      <w:r>
        <w:t>.</w:t>
      </w:r>
      <w:r>
        <w:rPr>
          <w:rFonts w:hint="eastAsia"/>
        </w:rPr>
        <w:t>具备《中华人民共和国政府采购法》第二十二条第一款的条件（由供应商在《政府采购投标及履约承诺函》中作出声明）；</w:t>
      </w:r>
    </w:p>
    <w:p>
      <w:pPr>
        <w:ind w:firstLine="720" w:firstLineChars="300"/>
      </w:pPr>
      <w:r>
        <w:rPr>
          <w:rFonts w:hint="eastAsia"/>
        </w:rPr>
        <w:t>6</w:t>
      </w:r>
      <w:r>
        <w:t>.</w:t>
      </w:r>
      <w:r>
        <w:rPr>
          <w:rFonts w:hint="eastAsia"/>
        </w:rPr>
        <w:t>未被列入失信被执行人、重大税收违法案件当事人名单、政府采购严重违法失信行为记录名单（由供应商在《政府采购投标及履约承诺函》中作出声明）。</w:t>
      </w:r>
    </w:p>
    <w:p>
      <w:pPr>
        <w:ind w:firstLine="720" w:firstLineChars="300"/>
      </w:pPr>
      <w:r>
        <w:rPr>
          <w:rFonts w:hint="eastAsia"/>
        </w:rPr>
        <w:t>7.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ind w:firstLine="480" w:firstLineChars="200"/>
        <w:rPr>
          <w:rFonts w:ascii="宋体" w:hAnsi="宋体" w:cs="宋体"/>
          <w:kern w:val="0"/>
          <w:szCs w:val="21"/>
        </w:rPr>
      </w:pPr>
      <w:r>
        <w:rPr>
          <w:rFonts w:ascii="宋体" w:hAnsi="宋体" w:cs="宋体" w:hint="eastAsia"/>
          <w:kern w:val="0"/>
          <w:szCs w:val="21"/>
        </w:rPr>
        <w:t>注：（1）“信用中国”、“中国政府采购网”、“深圳信用网”以及“深圳市政府采购监管网”为供应商信用信息的查询渠道，相关信息以开标当日的查询结果为准；</w:t>
      </w:r>
    </w:p>
    <w:p>
      <w:pPr>
        <w:ind w:firstLine="480" w:firstLineChars="200"/>
        <w:rPr>
          <w:rFonts w:ascii="宋体" w:hAnsi="宋体" w:hint="eastAsia"/>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pPr>
        <w:ind w:firstLine="480" w:firstLineChars="200"/>
        <w:rPr>
          <w:rFonts w:ascii="宋体" w:hAnsi="宋体" w:hint="eastAsia"/>
        </w:rPr>
      </w:pPr>
    </w:p>
    <w:p>
      <w:pPr>
        <w:rPr>
          <w:color w:val="auto"/>
          <w:highlight w:val="none"/>
        </w:rPr>
      </w:pPr>
      <w:r>
        <w:rPr>
          <w:rFonts w:ascii="宋体" w:hAnsi="宋体" w:cs="宋体" w:hint="eastAsia"/>
          <w:b/>
          <w:bCs/>
          <w:color w:val="auto"/>
          <w:kern w:val="0"/>
          <w:szCs w:val="21"/>
          <w:highlight w:val="none"/>
        </w:rPr>
        <w:t>二、踏勘现场要求</w:t>
      </w:r>
    </w:p>
    <w:p>
      <w:pPr>
        <w:ind w:firstLine="480" w:firstLineChars="200"/>
        <w:rPr>
          <w:color w:val="auto"/>
          <w:highlight w:val="none"/>
        </w:rPr>
      </w:pPr>
      <w:r>
        <w:rPr>
          <w:rFonts w:hint="eastAsia"/>
          <w:color w:val="auto"/>
          <w:highlight w:val="none"/>
        </w:rPr>
        <w:t>时间，2</w:t>
      </w:r>
      <w:r>
        <w:rPr>
          <w:color w:val="auto"/>
          <w:highlight w:val="none"/>
        </w:rPr>
        <w:t>022</w:t>
      </w:r>
      <w:r>
        <w:rPr>
          <w:rFonts w:hint="eastAsia"/>
          <w:color w:val="auto"/>
          <w:highlight w:val="none"/>
        </w:rPr>
        <w:t>年</w:t>
      </w:r>
      <w:r>
        <w:rPr>
          <w:rFonts w:hint="eastAsia"/>
          <w:color w:val="auto"/>
          <w:highlight w:val="none"/>
          <w:lang w:val="en-US" w:eastAsia="zh-CN"/>
        </w:rPr>
        <w:t>07</w:t>
      </w:r>
      <w:r>
        <w:rPr>
          <w:rFonts w:hint="eastAsia"/>
          <w:color w:val="auto"/>
          <w:highlight w:val="none"/>
        </w:rPr>
        <w:t>月</w:t>
      </w:r>
      <w:r>
        <w:rPr>
          <w:rFonts w:hint="eastAsia"/>
          <w:color w:val="auto"/>
          <w:highlight w:val="none"/>
          <w:lang w:val="en-US" w:eastAsia="zh-CN"/>
        </w:rPr>
        <w:t>08</w:t>
      </w:r>
      <w:r>
        <w:rPr>
          <w:rFonts w:hint="eastAsia"/>
          <w:color w:val="auto"/>
          <w:highlight w:val="none"/>
        </w:rPr>
        <w:t>日，1</w:t>
      </w:r>
      <w:r>
        <w:rPr>
          <w:color w:val="auto"/>
          <w:highlight w:val="none"/>
        </w:rPr>
        <w:t>4</w:t>
      </w:r>
      <w:r>
        <w:rPr>
          <w:rFonts w:hint="eastAsia"/>
          <w:color w:val="auto"/>
          <w:highlight w:val="none"/>
        </w:rPr>
        <w:t>:30</w:t>
      </w:r>
      <w:r>
        <w:rPr>
          <w:color w:val="auto"/>
          <w:highlight w:val="none"/>
        </w:rPr>
        <w:t>-15</w:t>
      </w:r>
      <w:r>
        <w:rPr>
          <w:rFonts w:hint="eastAsia"/>
          <w:color w:val="auto"/>
          <w:highlight w:val="none"/>
        </w:rPr>
        <w:t>:</w:t>
      </w:r>
      <w:r>
        <w:rPr>
          <w:color w:val="auto"/>
          <w:highlight w:val="none"/>
        </w:rPr>
        <w:t>00</w:t>
      </w:r>
    </w:p>
    <w:p>
      <w:pPr>
        <w:ind w:firstLine="480" w:firstLineChars="200"/>
        <w:rPr>
          <w:color w:val="auto"/>
          <w:highlight w:val="none"/>
        </w:rPr>
      </w:pPr>
      <w:r>
        <w:rPr>
          <w:rFonts w:hint="eastAsia"/>
          <w:color w:val="auto"/>
          <w:highlight w:val="none"/>
        </w:rPr>
        <w:t>地点：清华大学深圳国际研究生院（一期）工地</w:t>
      </w:r>
    </w:p>
    <w:p>
      <w:pPr>
        <w:ind w:firstLine="480" w:firstLineChars="200"/>
        <w:rPr>
          <w:color w:val="auto"/>
          <w:highlight w:val="none"/>
        </w:rPr>
      </w:pPr>
      <w:r>
        <w:rPr>
          <w:rFonts w:hint="eastAsia"/>
          <w:color w:val="auto"/>
          <w:highlight w:val="none"/>
        </w:rPr>
        <w:t xml:space="preserve">联系人：王老师 </w:t>
      </w:r>
      <w:r>
        <w:rPr>
          <w:color w:val="auto"/>
          <w:highlight w:val="none"/>
        </w:rPr>
        <w:t>0755 2603</w:t>
      </w:r>
      <w:r>
        <w:rPr>
          <w:rFonts w:hint="eastAsia"/>
          <w:color w:val="auto"/>
          <w:highlight w:val="none"/>
        </w:rPr>
        <w:t>6522</w:t>
      </w:r>
      <w:r>
        <w:rPr>
          <w:color w:val="auto"/>
          <w:highlight w:val="none"/>
        </w:rPr>
        <w:t xml:space="preserve">  </w:t>
      </w:r>
    </w:p>
    <w:p>
      <w:pPr>
        <w:ind w:firstLine="480" w:firstLineChars="200"/>
        <w:rPr>
          <w:color w:val="auto"/>
          <w:highlight w:val="none"/>
        </w:rPr>
      </w:pPr>
      <w:r>
        <w:rPr>
          <w:rFonts w:hint="eastAsia"/>
          <w:color w:val="auto"/>
          <w:highlight w:val="none"/>
        </w:rPr>
        <w:t>参加踏勘现场需要提供的资料：营业执照，法人代表授权委托书和被授权人身份证（以上证明材料均需提供复印件，加盖投标人公章）</w:t>
      </w:r>
    </w:p>
    <w:p>
      <w:pPr>
        <w:ind w:firstLine="480" w:firstLineChars="200"/>
        <w:rPr>
          <w:rFonts w:ascii="宋体" w:hAnsi="宋体"/>
          <w:color w:val="auto"/>
          <w:highlight w:val="none"/>
        </w:rPr>
      </w:pPr>
      <w:r>
        <w:rPr>
          <w:rFonts w:hint="eastAsia"/>
          <w:color w:val="auto"/>
          <w:highlight w:val="none"/>
        </w:rPr>
        <w:t>防疫要求：三天三检</w:t>
      </w:r>
    </w:p>
    <w:p>
      <w:pPr>
        <w:ind w:firstLine="480" w:firstLineChars="200"/>
        <w:rPr>
          <w:rFonts w:ascii="宋体" w:hAnsi="宋体" w:hint="eastAsia"/>
        </w:rPr>
      </w:pPr>
    </w:p>
    <w:p>
      <w:pPr>
        <w:pStyle w:val="Heading2"/>
        <w:jc w:val="left"/>
      </w:pPr>
      <w:r>
        <w:rPr>
          <w:rFonts w:hint="eastAsia"/>
        </w:rPr>
        <w:t>完整公告内容详见：</w:t>
      </w:r>
      <w:r>
        <w:rPr>
          <w:sz w:val="28"/>
          <w:szCs w:val="28"/>
        </w:rPr>
        <w:t xml:space="preserve"> </w:t>
      </w:r>
      <w:r>
        <w:t>http://zfcg.szggzy.com:8081/</w:t>
      </w:r>
    </w:p>
    <w:p>
      <w:pPr>
        <w:widowControl/>
        <w:jc w:val="left"/>
        <w:rPr>
          <w:rFonts w:ascii="宋体" w:hAnsi="宋体"/>
          <w:b/>
          <w:bCs/>
          <w:kern w:val="0"/>
          <w:sz w:val="28"/>
          <w:szCs w:val="28"/>
        </w:rPr>
      </w:pPr>
      <w:r>
        <w:rPr>
          <w:sz w:val="28"/>
          <w:szCs w:val="28"/>
        </w:rPr>
        <w:br w:type="page"/>
      </w:r>
    </w:p>
    <w:p>
      <w:pPr>
        <w:pStyle w:val="Heading2"/>
        <w:rPr>
          <w:sz w:val="28"/>
          <w:szCs w:val="28"/>
        </w:rPr>
      </w:pPr>
      <w:r>
        <w:rPr>
          <w:rFonts w:hint="eastAsia"/>
          <w:sz w:val="28"/>
          <w:szCs w:val="28"/>
        </w:rPr>
        <w:t xml:space="preserve">第二章 </w:t>
      </w:r>
      <w:bookmarkStart w:id="25" w:name="_Hlk71926094"/>
      <w:r>
        <w:rPr>
          <w:rFonts w:hint="eastAsia"/>
          <w:sz w:val="28"/>
          <w:szCs w:val="28"/>
        </w:rPr>
        <w:t>对通用条款的补充内容及其他关键信息</w:t>
      </w:r>
      <w:bookmarkEnd w:id="25"/>
    </w:p>
    <w:p>
      <w:pPr>
        <w:pStyle w:val="Heading2"/>
        <w:spacing w:before="120" w:beforeLines="50" w:after="120" w:afterLines="50"/>
        <w:rPr>
          <w:szCs w:val="24"/>
        </w:rPr>
      </w:pPr>
      <w:bookmarkStart w:id="26" w:name="_Toc101074876"/>
      <w:bookmarkStart w:id="27" w:name="_Toc73517639"/>
      <w:bookmarkStart w:id="28" w:name="_Toc73518117"/>
      <w:bookmarkStart w:id="29" w:name="_Toc100052364"/>
      <w:bookmarkStart w:id="30" w:name="_Toc73521635"/>
      <w:bookmarkStart w:id="31" w:name="_Toc73521547"/>
      <w:bookmarkStart w:id="32" w:name="_Toc60560625"/>
      <w:bookmarkStart w:id="33" w:name="_Toc60631620"/>
      <w:r>
        <w:rPr>
          <w:rFonts w:hint="eastAsia"/>
          <w:szCs w:val="24"/>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b/>
                <w:bCs/>
              </w:rPr>
            </w:pPr>
            <w:bookmarkEnd w:id="26"/>
            <w:bookmarkEnd w:id="27"/>
            <w:bookmarkEnd w:id="28"/>
            <w:bookmarkEnd w:id="29"/>
            <w:bookmarkEnd w:id="30"/>
            <w:bookmarkEnd w:id="31"/>
            <w:bookmarkEnd w:id="32"/>
            <w:bookmarkEnd w:id="33"/>
            <w:bookmarkStart w:id="34" w:name="_Hlk72218097"/>
            <w:r>
              <w:rPr>
                <w:rFonts w:ascii="宋体" w:hAnsi="宋体" w:hint="eastAsia"/>
                <w:b/>
                <w:bCs/>
              </w:rPr>
              <w:t>通用条款序号</w:t>
            </w:r>
          </w:p>
        </w:tc>
        <w:tc>
          <w:tcPr>
            <w:tcW w:w="2409" w:type="dxa"/>
            <w:vAlign w:val="center"/>
          </w:tcPr>
          <w:p>
            <w:pPr>
              <w:jc w:val="center"/>
              <w:rPr>
                <w:rFonts w:ascii="宋体" w:hAnsi="宋体"/>
                <w:b/>
                <w:bCs/>
              </w:rPr>
            </w:pPr>
            <w:r>
              <w:rPr>
                <w:rFonts w:ascii="宋体" w:hAnsi="宋体" w:hint="eastAsia"/>
                <w:b/>
                <w:bCs/>
              </w:rPr>
              <w:t>涉及事项</w:t>
            </w:r>
          </w:p>
        </w:tc>
        <w:tc>
          <w:tcPr>
            <w:tcW w:w="4980" w:type="dxa"/>
            <w:vAlign w:val="center"/>
          </w:tcPr>
          <w:p>
            <w:pPr>
              <w:jc w:val="center"/>
              <w:rPr>
                <w:rFonts w:ascii="宋体" w:hAnsi="宋体"/>
                <w:b/>
                <w:bCs/>
              </w:rPr>
            </w:pPr>
            <w:r>
              <w:rPr>
                <w:rFonts w:ascii="宋体" w:hAnsi="宋体" w:hint="eastAsia"/>
                <w:b/>
                <w:bCs/>
              </w:rPr>
              <w:t>具 体 补 充 内 容</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ascii="宋体" w:hAnsi="宋体" w:hint="eastAsia"/>
              </w:rPr>
              <w:t>清华大学深圳国际研究生院</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.2</w:t>
            </w:r>
          </w:p>
        </w:tc>
        <w:tc>
          <w:tcPr>
            <w:tcW w:w="2409" w:type="dxa"/>
            <w:vAlign w:val="center"/>
          </w:tcPr>
          <w:p>
            <w:pPr>
              <w:jc w:val="center"/>
              <w:rPr>
                <w:rFonts w:ascii="宋体" w:hAnsi="宋体"/>
              </w:rPr>
            </w:pPr>
            <w:r>
              <w:rPr>
                <w:rFonts w:ascii="宋体" w:hAnsi="宋体" w:hint="eastAsia"/>
              </w:rPr>
              <w:t>政府集中采购机构</w:t>
            </w:r>
          </w:p>
        </w:tc>
        <w:tc>
          <w:tcPr>
            <w:tcW w:w="4980" w:type="dxa"/>
            <w:vAlign w:val="center"/>
          </w:tcPr>
          <w:p>
            <w:pPr>
              <w:jc w:val="center"/>
              <w:rPr>
                <w:rFonts w:ascii="宋体" w:hAnsi="宋体"/>
              </w:rPr>
            </w:pPr>
            <w:r>
              <w:rPr>
                <w:rFonts w:ascii="宋体" w:hAnsi="宋体" w:hint="eastAsia"/>
              </w:rPr>
              <w:t>深圳公共资源交易中心</w:t>
            </w:r>
          </w:p>
          <w:p>
            <w:pPr>
              <w:jc w:val="center"/>
              <w:rPr>
                <w:rFonts w:ascii="宋体" w:hAnsi="宋体"/>
              </w:rPr>
            </w:pPr>
            <w:r>
              <w:rPr>
                <w:rFonts w:ascii="宋体" w:hAnsi="宋体" w:hint="eastAsia"/>
              </w:rPr>
              <w:t>（深圳交易集团有限公司政府采购业务分公司）</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5</w:t>
            </w:r>
            <w:r>
              <w:rPr>
                <w:rFonts w:ascii="宋体" w:hAnsi="宋体"/>
              </w:rPr>
              <w:t>.3</w:t>
            </w:r>
          </w:p>
        </w:tc>
        <w:tc>
          <w:tcPr>
            <w:tcW w:w="2409" w:type="dxa"/>
            <w:vAlign w:val="center"/>
          </w:tcPr>
          <w:p>
            <w:pPr>
              <w:jc w:val="center"/>
              <w:rPr>
                <w:rFonts w:ascii="宋体" w:hAnsi="宋体"/>
              </w:rPr>
            </w:pPr>
            <w:r>
              <w:rPr>
                <w:rFonts w:ascii="宋体" w:hAnsi="宋体" w:hint="eastAsia"/>
              </w:rPr>
              <w:t>联合体投标</w:t>
            </w:r>
          </w:p>
        </w:tc>
        <w:tc>
          <w:tcPr>
            <w:tcW w:w="4980" w:type="dxa"/>
            <w:vAlign w:val="center"/>
          </w:tcPr>
          <w:p>
            <w:pPr>
              <w:jc w:val="center"/>
              <w:rPr>
                <w:rFonts w:ascii="宋体" w:hAnsi="宋体"/>
              </w:rPr>
            </w:pPr>
            <w:r>
              <w:rPr>
                <w:rFonts w:ascii="宋体" w:hAnsi="宋体" w:hint="eastAsia"/>
              </w:rPr>
              <w:t>不接受</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9</w:t>
            </w:r>
          </w:p>
        </w:tc>
        <w:tc>
          <w:tcPr>
            <w:tcW w:w="2409" w:type="dxa"/>
            <w:vAlign w:val="center"/>
          </w:tcPr>
          <w:p>
            <w:pPr>
              <w:jc w:val="center"/>
              <w:rPr>
                <w:rFonts w:ascii="宋体" w:hAnsi="宋体"/>
              </w:rPr>
            </w:pPr>
            <w:r>
              <w:rPr>
                <w:rFonts w:ascii="宋体" w:hAnsi="宋体" w:hint="eastAsia"/>
              </w:rPr>
              <w:t>踏勘现场</w:t>
            </w:r>
          </w:p>
        </w:tc>
        <w:tc>
          <w:tcPr>
            <w:tcW w:w="4980" w:type="dxa"/>
            <w:vAlign w:val="center"/>
          </w:tcPr>
          <w:p>
            <w:pPr>
              <w:jc w:val="center"/>
              <w:rPr>
                <w:rFonts w:ascii="宋体" w:hAnsi="宋体"/>
              </w:rPr>
            </w:pPr>
            <w:r>
              <w:rPr>
                <w:rFonts w:ascii="宋体" w:hAnsi="宋体" w:hint="eastAsia"/>
                <w:color w:val="FF0000"/>
              </w:rPr>
              <w:t>组织</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0</w:t>
            </w:r>
          </w:p>
        </w:tc>
        <w:tc>
          <w:tcPr>
            <w:tcW w:w="2409" w:type="dxa"/>
            <w:vAlign w:val="center"/>
          </w:tcPr>
          <w:p>
            <w:pPr>
              <w:jc w:val="center"/>
              <w:rPr>
                <w:rFonts w:ascii="宋体" w:hAnsi="宋体"/>
              </w:rPr>
            </w:pPr>
            <w:r>
              <w:rPr>
                <w:rFonts w:ascii="宋体" w:hAnsi="宋体" w:hint="eastAsia"/>
              </w:rPr>
              <w:t>标前会议</w:t>
            </w:r>
          </w:p>
        </w:tc>
        <w:tc>
          <w:tcPr>
            <w:tcW w:w="4980" w:type="dxa"/>
            <w:vAlign w:val="center"/>
          </w:tcPr>
          <w:p>
            <w:pPr>
              <w:jc w:val="center"/>
              <w:rPr>
                <w:rFonts w:ascii="宋体" w:hAnsi="宋体"/>
              </w:rPr>
            </w:pPr>
            <w:r>
              <w:rPr>
                <w:rFonts w:ascii="宋体" w:hAnsi="宋体" w:hint="eastAsia"/>
              </w:rPr>
              <w:t>不组织</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pPr>
              <w:jc w:val="center"/>
              <w:rPr>
                <w:rFonts w:ascii="宋体" w:hAnsi="宋体"/>
              </w:rPr>
            </w:pPr>
            <w:r>
              <w:rPr>
                <w:rFonts w:ascii="宋体" w:hAnsi="宋体" w:hint="eastAsia"/>
              </w:rPr>
              <w:t>招标文件的澄清和修改</w:t>
            </w:r>
          </w:p>
        </w:tc>
        <w:tc>
          <w:tcPr>
            <w:tcW w:w="4980" w:type="dxa"/>
            <w:vAlign w:val="center"/>
          </w:tcPr>
          <w:p>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0</w:t>
            </w:r>
          </w:p>
        </w:tc>
        <w:tc>
          <w:tcPr>
            <w:tcW w:w="2409" w:type="dxa"/>
            <w:vAlign w:val="center"/>
          </w:tcPr>
          <w:p>
            <w:pPr>
              <w:jc w:val="center"/>
              <w:rPr>
                <w:rFonts w:ascii="宋体" w:hAnsi="宋体"/>
              </w:rPr>
            </w:pPr>
            <w:r>
              <w:rPr>
                <w:rFonts w:ascii="宋体" w:hAnsi="宋体" w:hint="eastAsia"/>
              </w:rPr>
              <w:t>投标有效期</w:t>
            </w:r>
          </w:p>
        </w:tc>
        <w:tc>
          <w:tcPr>
            <w:tcW w:w="4980" w:type="dxa"/>
            <w:vAlign w:val="center"/>
          </w:tcPr>
          <w:p>
            <w:pPr>
              <w:jc w:val="center"/>
              <w:rPr>
                <w:rFonts w:ascii="宋体" w:hAnsi="宋体"/>
              </w:rPr>
            </w:pPr>
            <w:r>
              <w:rPr>
                <w:rFonts w:ascii="宋体" w:hAnsi="宋体" w:hint="eastAsia"/>
              </w:rPr>
              <w:t>1</w:t>
            </w:r>
            <w:r>
              <w:rPr>
                <w:rFonts w:ascii="宋体" w:hAnsi="宋体"/>
              </w:rPr>
              <w:t>20</w:t>
            </w:r>
            <w:r>
              <w:rPr>
                <w:rFonts w:ascii="宋体" w:hAnsi="宋体" w:hint="eastAsia"/>
              </w:rPr>
              <w:t>个日历日</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2</w:t>
            </w:r>
          </w:p>
        </w:tc>
        <w:tc>
          <w:tcPr>
            <w:tcW w:w="2409" w:type="dxa"/>
            <w:vAlign w:val="center"/>
          </w:tcPr>
          <w:p>
            <w:pPr>
              <w:jc w:val="center"/>
              <w:rPr>
                <w:rFonts w:ascii="宋体" w:hAnsi="宋体"/>
              </w:rPr>
            </w:pPr>
            <w:r>
              <w:rPr>
                <w:rFonts w:ascii="宋体" w:hAnsi="宋体" w:hint="eastAsia"/>
              </w:rPr>
              <w:t>投标人的替代方案</w:t>
            </w:r>
          </w:p>
        </w:tc>
        <w:tc>
          <w:tcPr>
            <w:tcW w:w="4980" w:type="dxa"/>
            <w:vAlign w:val="center"/>
          </w:tcPr>
          <w:p>
            <w:pPr>
              <w:jc w:val="center"/>
              <w:rPr>
                <w:rFonts w:ascii="宋体" w:hAnsi="宋体"/>
              </w:rPr>
            </w:pPr>
            <w:r>
              <w:rPr>
                <w:rFonts w:ascii="宋体" w:hAnsi="宋体" w:hint="eastAsia"/>
              </w:rPr>
              <w:t>不接受</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5</w:t>
            </w:r>
          </w:p>
        </w:tc>
        <w:tc>
          <w:tcPr>
            <w:tcW w:w="2409" w:type="dxa"/>
            <w:vAlign w:val="center"/>
          </w:tcPr>
          <w:p>
            <w:pPr>
              <w:jc w:val="center"/>
              <w:rPr>
                <w:rFonts w:ascii="宋体" w:hAnsi="宋体"/>
              </w:rPr>
            </w:pPr>
            <w:r>
              <w:rPr>
                <w:rFonts w:ascii="宋体" w:hAnsi="宋体" w:hint="eastAsia"/>
              </w:rPr>
              <w:t>投标文件的大小</w:t>
            </w:r>
          </w:p>
        </w:tc>
        <w:tc>
          <w:tcPr>
            <w:tcW w:w="4980" w:type="dxa"/>
            <w:vAlign w:val="center"/>
          </w:tcPr>
          <w:p>
            <w:pPr>
              <w:jc w:val="center"/>
              <w:rPr>
                <w:rFonts w:ascii="宋体" w:hAnsi="宋体"/>
              </w:rPr>
            </w:pPr>
            <w:r>
              <w:rPr>
                <w:rFonts w:ascii="宋体" w:hAnsi="宋体" w:hint="eastAsia"/>
              </w:rPr>
              <w:t>投标文件大小不得超过100MB</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6</w:t>
            </w:r>
          </w:p>
        </w:tc>
        <w:tc>
          <w:tcPr>
            <w:tcW w:w="2409" w:type="dxa"/>
            <w:vAlign w:val="center"/>
          </w:tcPr>
          <w:p>
            <w:pPr>
              <w:jc w:val="center"/>
              <w:rPr>
                <w:rFonts w:ascii="宋体" w:hAnsi="宋体"/>
              </w:rPr>
            </w:pPr>
            <w:bookmarkStart w:id="35" w:name="_Hlk71664860"/>
            <w:r>
              <w:rPr>
                <w:rFonts w:ascii="宋体" w:hAnsi="宋体" w:hint="eastAsia"/>
              </w:rPr>
              <w:t>样品、现场演示、方案讲解</w:t>
            </w:r>
            <w:bookmarkEnd w:id="35"/>
          </w:p>
        </w:tc>
        <w:tc>
          <w:tcPr>
            <w:tcW w:w="4980" w:type="dxa"/>
            <w:vAlign w:val="center"/>
          </w:tcPr>
          <w:p>
            <w:pPr>
              <w:jc w:val="center"/>
              <w:rPr>
                <w:rFonts w:ascii="宋体" w:hAnsi="宋体"/>
              </w:rPr>
            </w:pPr>
            <w:r>
              <w:rPr>
                <w:rFonts w:ascii="宋体" w:hAnsi="宋体" w:hint="eastAsia"/>
              </w:rPr>
              <w:t>无</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7</w:t>
            </w:r>
          </w:p>
        </w:tc>
        <w:tc>
          <w:tcPr>
            <w:tcW w:w="2409" w:type="dxa"/>
            <w:vAlign w:val="center"/>
          </w:tcPr>
          <w:p>
            <w:pPr>
              <w:jc w:val="center"/>
              <w:rPr>
                <w:rFonts w:ascii="宋体" w:hAnsi="宋体"/>
              </w:rPr>
            </w:pPr>
            <w:r>
              <w:rPr>
                <w:rFonts w:ascii="宋体" w:hAnsi="宋体" w:hint="eastAsia"/>
              </w:rPr>
              <w:t>评审方法</w:t>
            </w:r>
          </w:p>
        </w:tc>
        <w:tc>
          <w:tcPr>
            <w:tcW w:w="4980" w:type="dxa"/>
            <w:vAlign w:val="center"/>
          </w:tcPr>
          <w:p>
            <w:pPr>
              <w:jc w:val="center"/>
              <w:rPr>
                <w:rFonts w:ascii="宋体" w:hAnsi="宋体"/>
              </w:rPr>
            </w:pPr>
            <w:r>
              <w:rPr>
                <w:rFonts w:ascii="宋体" w:hAnsi="宋体" w:hint="eastAsia"/>
              </w:rPr>
              <w:t>综合评分法</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8</w:t>
            </w:r>
          </w:p>
        </w:tc>
        <w:tc>
          <w:tcPr>
            <w:tcW w:w="2409" w:type="dxa"/>
            <w:vAlign w:val="center"/>
          </w:tcPr>
          <w:p>
            <w:pPr>
              <w:jc w:val="center"/>
              <w:rPr>
                <w:rFonts w:ascii="宋体" w:hAnsi="宋体"/>
              </w:rPr>
            </w:pPr>
            <w:r>
              <w:rPr>
                <w:rFonts w:ascii="宋体" w:hAnsi="宋体" w:hint="eastAsia"/>
              </w:rPr>
              <w:t>定标方法</w:t>
            </w:r>
          </w:p>
        </w:tc>
        <w:tc>
          <w:tcPr>
            <w:tcW w:w="4980" w:type="dxa"/>
            <w:vAlign w:val="center"/>
          </w:tcPr>
          <w:p>
            <w:pPr>
              <w:jc w:val="center"/>
              <w:rPr>
                <w:rFonts w:ascii="宋体" w:hAnsi="宋体"/>
              </w:rPr>
            </w:pPr>
            <w:r>
              <w:rPr>
                <w:rFonts w:ascii="宋体" w:hAnsi="宋体" w:hint="eastAsia"/>
              </w:rPr>
              <w:t>非评定分离</w:t>
            </w:r>
          </w:p>
        </w:tc>
      </w:tr>
      <w:tr>
        <w:tblPrEx>
          <w:tblW w:w="8367" w:type="dxa"/>
          <w:jc w:val="center"/>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4</w:t>
            </w:r>
            <w:r>
              <w:rPr>
                <w:rFonts w:ascii="宋体" w:hAnsi="宋体"/>
              </w:rPr>
              <w:t>6</w:t>
            </w:r>
          </w:p>
        </w:tc>
        <w:tc>
          <w:tcPr>
            <w:tcW w:w="2409" w:type="dxa"/>
            <w:vAlign w:val="center"/>
          </w:tcPr>
          <w:p>
            <w:pPr>
              <w:jc w:val="center"/>
              <w:rPr>
                <w:rFonts w:ascii="宋体" w:hAnsi="宋体"/>
              </w:rPr>
            </w:pPr>
            <w:r>
              <w:rPr>
                <w:rFonts w:ascii="宋体" w:hAnsi="宋体" w:hint="eastAsia"/>
              </w:rPr>
              <w:t>履约担保</w:t>
            </w:r>
          </w:p>
        </w:tc>
        <w:tc>
          <w:tcPr>
            <w:tcW w:w="4980" w:type="dxa"/>
            <w:vAlign w:val="center"/>
          </w:tcPr>
          <w:p>
            <w:pPr>
              <w:jc w:val="left"/>
              <w:rPr>
                <w:rFonts w:ascii="宋体" w:hAnsi="宋体"/>
              </w:rPr>
            </w:pPr>
            <w:r>
              <w:rPr>
                <w:rFonts w:hint="eastAsia"/>
                <w:color w:val="FF0000"/>
              </w:rPr>
              <w:t>合同金额的  10%，投标供应商自主选择以支票、汇票、本票、保函等非现金形式缴纳或提交。履约保证金在项目终验合格后一年之日起 60 日内按原方式退还，不计利息。采购人逾期退还履约保证金的，向中标人每日偿付履约保证金的0.5‰的利息。因中标人原因而未能达到本项目验收标准或验收不通过的，履约保证金不予退还。</w:t>
            </w:r>
          </w:p>
        </w:tc>
      </w:tr>
    </w:tbl>
    <w:p>
      <w:pPr>
        <w:rPr>
          <w:b/>
        </w:rPr>
      </w:pPr>
      <w:r>
        <w:rPr>
          <w:rFonts w:hint="eastAsia"/>
          <w:szCs w:val="21"/>
        </w:rPr>
        <w:t>备注：本表是通用条款相关条款的补充和明确，如与通用条款内容相冲突的，以本表为准。</w:t>
      </w:r>
    </w:p>
    <w:p>
      <w:pPr>
        <w:pStyle w:val="Heading2"/>
        <w:spacing w:before="120" w:beforeLines="50" w:after="120" w:afterLines="50"/>
        <w:rPr>
          <w:szCs w:val="24"/>
        </w:rPr>
      </w:pPr>
      <w:bookmarkEnd w:id="34"/>
      <w:bookmarkStart w:id="36" w:name="_Hlk72218117"/>
      <w:r>
        <w:rPr>
          <w:rFonts w:hint="eastAsia"/>
          <w:szCs w:val="24"/>
        </w:rPr>
        <w:t>二、其他关键信息</w:t>
      </w:r>
    </w:p>
    <w:p>
      <w:pPr>
        <w:ind w:firstLine="480" w:firstLineChars="200"/>
        <w:rPr>
          <w:b/>
          <w:bCs/>
        </w:rPr>
      </w:pPr>
      <w:bookmarkStart w:id="37" w:name="_Hlk72579427"/>
      <w:r>
        <w:rPr>
          <w:rFonts w:hint="eastAsia"/>
          <w:b/>
          <w:bCs/>
        </w:rPr>
        <w:t>（一）评标定标信息</w:t>
      </w:r>
    </w:p>
    <w:p>
      <w:pPr>
        <w:jc w:val="center"/>
        <w:rPr>
          <w:b/>
        </w:rPr>
      </w:pPr>
    </w:p>
    <w:p>
      <w:pPr>
        <w:jc w:val="center"/>
      </w:pPr>
      <w:r>
        <w:rPr>
          <w:rFonts w:hint="eastAsia"/>
          <w:b/>
        </w:rPr>
        <w:t>（1）非评定分离项目</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pPr>
            <w:bookmarkStart w:id="38" w:name="_Hlk74239733"/>
            <w:r>
              <w:rPr>
                <w:rFonts w:hint="eastAsia"/>
              </w:rPr>
              <w:t>评标方法</w:t>
            </w:r>
          </w:p>
        </w:tc>
        <w:tc>
          <w:tcPr>
            <w:tcW w:w="4265" w:type="dxa"/>
          </w:tcPr>
          <w:p>
            <w:pPr>
              <w:jc w:val="center"/>
            </w:pPr>
            <w:r>
              <w:rPr>
                <w:rFonts w:hint="eastAsia"/>
              </w:rPr>
              <w:t>综合评分法</w:t>
            </w:r>
          </w:p>
        </w:tc>
      </w:tr>
      <w:tr>
        <w:tblPrEx>
          <w:tblW w:w="0" w:type="auto"/>
          <w:tblInd w:w="0" w:type="dxa"/>
          <w:tblLayout w:type="fixed"/>
          <w:tblCellMar>
            <w:top w:w="0" w:type="dxa"/>
            <w:left w:w="108" w:type="dxa"/>
            <w:bottom w:w="0" w:type="dxa"/>
            <w:right w:w="108" w:type="dxa"/>
          </w:tblCellMar>
        </w:tblPrEx>
        <w:tc>
          <w:tcPr>
            <w:tcW w:w="4264" w:type="dxa"/>
          </w:tcPr>
          <w:p>
            <w:pPr>
              <w:jc w:val="center"/>
            </w:pPr>
            <w:r>
              <w:rPr>
                <w:rFonts w:hint="eastAsia"/>
              </w:rPr>
              <w:t>候选中标供应商家数</w:t>
            </w:r>
          </w:p>
        </w:tc>
        <w:tc>
          <w:tcPr>
            <w:tcW w:w="4265" w:type="dxa"/>
          </w:tcPr>
          <w:p>
            <w:pPr>
              <w:jc w:val="center"/>
            </w:pPr>
            <w:r>
              <w:rPr>
                <w:rFonts w:hint="eastAsia"/>
              </w:rPr>
              <w:t>3</w:t>
            </w:r>
          </w:p>
        </w:tc>
      </w:tr>
      <w:tr>
        <w:tblPrEx>
          <w:tblW w:w="0" w:type="auto"/>
          <w:tblInd w:w="0" w:type="dxa"/>
          <w:tblLayout w:type="fixed"/>
          <w:tblCellMar>
            <w:top w:w="0" w:type="dxa"/>
            <w:left w:w="108" w:type="dxa"/>
            <w:bottom w:w="0" w:type="dxa"/>
            <w:right w:w="108" w:type="dxa"/>
          </w:tblCellMar>
        </w:tblPrEx>
        <w:tc>
          <w:tcPr>
            <w:tcW w:w="4264" w:type="dxa"/>
          </w:tcPr>
          <w:p>
            <w:pPr>
              <w:jc w:val="center"/>
            </w:pPr>
            <w:r>
              <w:rPr>
                <w:rFonts w:hint="eastAsia"/>
              </w:rPr>
              <w:t>中标供应商家数</w:t>
            </w:r>
          </w:p>
        </w:tc>
        <w:tc>
          <w:tcPr>
            <w:tcW w:w="4265" w:type="dxa"/>
          </w:tcPr>
          <w:p>
            <w:pPr>
              <w:jc w:val="center"/>
            </w:pPr>
            <w:r>
              <w:rPr>
                <w:rFonts w:hint="eastAsia"/>
              </w:rPr>
              <w:t>1</w:t>
            </w:r>
          </w:p>
        </w:tc>
      </w:tr>
    </w:tbl>
    <w:p>
      <w:pPr>
        <w:ind w:firstLine="480" w:firstLineChars="200"/>
        <w:rPr>
          <w:b/>
        </w:rPr>
      </w:pPr>
      <w:bookmarkEnd w:id="38"/>
      <w:r>
        <w:rPr>
          <w:rFonts w:hint="eastAsia"/>
          <w:b/>
        </w:rPr>
        <w:t>（二）其他事项</w:t>
      </w:r>
      <w:bookmarkEnd w:id="37"/>
    </w:p>
    <w:p>
      <w:pPr>
        <w:ind w:firstLine="480" w:firstLineChars="200"/>
        <w:rPr>
          <w:b/>
          <w:bCs/>
        </w:rPr>
      </w:pPr>
      <w:r>
        <w:rPr>
          <w:b/>
          <w:bCs/>
        </w:rPr>
        <w:t>1</w:t>
      </w:r>
      <w:r>
        <w:rPr>
          <w:rFonts w:hint="eastAsia"/>
          <w:b/>
          <w:bCs/>
        </w:rPr>
        <w:t>、关于享受优惠政策的主体及价格扣除比例</w:t>
      </w:r>
    </w:p>
    <w:p>
      <w:pPr>
        <w:ind w:firstLine="480" w:firstLineChars="200"/>
      </w:pPr>
      <w:r>
        <w:rPr>
          <w:rFonts w:hint="eastAsia"/>
        </w:rPr>
        <w:t>（1）投标人提供的货物（以招标文件用户需求书“货物清单明细”的“货物名称”一栏为准）全部均由优惠主体制造，则对其投标总价给予</w:t>
      </w:r>
      <w:r>
        <w:rPr>
          <w:color w:val="FF0000"/>
          <w:u w:val="single"/>
        </w:rPr>
        <w:t xml:space="preserve">  </w:t>
      </w:r>
      <w:r>
        <w:rPr>
          <w:rFonts w:hint="eastAsia"/>
          <w:color w:val="FF0000"/>
          <w:u w:val="single"/>
        </w:rPr>
        <w:t>10</w:t>
      </w:r>
      <w:r>
        <w:rPr>
          <w:color w:val="FF0000"/>
          <w:u w:val="single"/>
        </w:rPr>
        <w:t xml:space="preserve">  %</w:t>
      </w:r>
      <w:r>
        <w:rPr>
          <w:rFonts w:hint="eastAsia"/>
        </w:rPr>
        <w:t>的扣除，用扣除后的价格参与评审。满足多项优惠政策的企业，不重复享受多项价格扣除政策。</w:t>
      </w:r>
    </w:p>
    <w:p>
      <w:pPr>
        <w:ind w:firstLine="48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pPr>
        <w:ind w:firstLine="480" w:firstLineChars="200"/>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39" w:name="_Hlk71970739"/>
      <w:r>
        <w:rPr>
          <w:rFonts w:hint="eastAsia"/>
        </w:rPr>
        <w:t>本项目</w:t>
      </w:r>
      <w:bookmarkStart w:id="40" w:name="_Hlk71924718"/>
      <w:r>
        <w:rPr>
          <w:rFonts w:hint="eastAsia"/>
        </w:rPr>
        <w:t>采购标的（货物）对应的中小企业划分标准所属行业</w:t>
      </w:r>
      <w:bookmarkEnd w:id="40"/>
      <w:r>
        <w:rPr>
          <w:rFonts w:hint="eastAsia"/>
        </w:rPr>
        <w:t xml:space="preserve">为  </w:t>
      </w:r>
      <w:r>
        <w:rPr>
          <w:rFonts w:hint="eastAsia"/>
          <w:b/>
          <w:bCs/>
          <w:color w:val="FF0000"/>
        </w:rPr>
        <w:t>其它未列明行业</w:t>
      </w:r>
      <w:r>
        <w:rPr>
          <w:rFonts w:hint="eastAsia"/>
        </w:rPr>
        <w:t>。</w:t>
      </w:r>
      <w:bookmarkEnd w:id="39"/>
    </w:p>
    <w:p>
      <w:pPr>
        <w:ind w:firstLine="48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ind w:firstLine="480" w:firstLineChars="200"/>
        <w:rPr>
          <w:rFonts w:ascii="仿宋" w:eastAsia="仿宋" w:hAnsi="仿宋"/>
          <w:sz w:val="28"/>
          <w:szCs w:val="28"/>
        </w:rPr>
      </w:pPr>
      <w:r>
        <w:rPr>
          <w:rFonts w:hint="eastAsia"/>
        </w:rPr>
        <w:t>（4）享受价格扣除获得政府采购合同的，小微企业不得将合同分包给大中型企业。</w:t>
      </w:r>
    </w:p>
    <w:p>
      <w:pPr>
        <w:rPr>
          <w:b/>
        </w:rPr>
      </w:pPr>
    </w:p>
    <w:p>
      <w:pPr>
        <w:rPr>
          <w:b/>
        </w:rPr>
      </w:pPr>
    </w:p>
    <w:p>
      <w:pPr>
        <w:pStyle w:val="Heading2"/>
        <w:rPr>
          <w:sz w:val="28"/>
          <w:szCs w:val="28"/>
        </w:rPr>
      </w:pPr>
      <w:bookmarkEnd w:id="36"/>
      <w:r>
        <w:rPr>
          <w:rFonts w:hint="eastAsia"/>
          <w:sz w:val="28"/>
          <w:szCs w:val="28"/>
        </w:rPr>
        <w:t>第三章 用户需求书</w:t>
      </w:r>
    </w:p>
    <w:p>
      <w:pPr>
        <w:pStyle w:val="Heading2"/>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TableNormal"/>
        <w:tblpPr w:leftFromText="180" w:rightFromText="180" w:vertAnchor="text" w:horzAnchor="margin" w:tblpY="173"/>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5"/>
        <w:gridCol w:w="2692"/>
        <w:gridCol w:w="3426"/>
        <w:gridCol w:w="1976"/>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249" w:type="pct"/>
            <w:vAlign w:val="center"/>
          </w:tcPr>
          <w:p>
            <w:pPr>
              <w:jc w:val="center"/>
              <w:rPr>
                <w:bCs/>
                <w:color w:val="000000"/>
                <w:szCs w:val="21"/>
              </w:rPr>
            </w:pPr>
            <w:r>
              <w:rPr>
                <w:rFonts w:hint="eastAsia"/>
                <w:bCs/>
                <w:color w:val="000000"/>
                <w:szCs w:val="21"/>
              </w:rPr>
              <w:t>序号</w:t>
            </w:r>
          </w:p>
        </w:tc>
        <w:tc>
          <w:tcPr>
            <w:tcW w:w="1579" w:type="pct"/>
            <w:vAlign w:val="center"/>
          </w:tcPr>
          <w:p>
            <w:pPr>
              <w:jc w:val="center"/>
              <w:rPr>
                <w:bCs/>
                <w:color w:val="000000"/>
                <w:szCs w:val="21"/>
              </w:rPr>
            </w:pPr>
            <w:r>
              <w:rPr>
                <w:rFonts w:hint="eastAsia"/>
                <w:color w:val="000000"/>
                <w:szCs w:val="21"/>
              </w:rPr>
              <w:t>采购计划编号</w:t>
            </w:r>
          </w:p>
        </w:tc>
        <w:tc>
          <w:tcPr>
            <w:tcW w:w="2010" w:type="pct"/>
            <w:vAlign w:val="center"/>
          </w:tcPr>
          <w:p>
            <w:pPr>
              <w:jc w:val="center"/>
              <w:rPr>
                <w:bCs/>
                <w:color w:val="000000"/>
                <w:szCs w:val="21"/>
              </w:rPr>
            </w:pPr>
            <w:r>
              <w:rPr>
                <w:rFonts w:hint="eastAsia"/>
                <w:bCs/>
                <w:color w:val="000000"/>
                <w:szCs w:val="21"/>
              </w:rPr>
              <w:t>采购项目名称</w:t>
            </w:r>
          </w:p>
        </w:tc>
        <w:tc>
          <w:tcPr>
            <w:tcW w:w="1159" w:type="pct"/>
            <w:vAlign w:val="center"/>
          </w:tcPr>
          <w:p>
            <w:pPr>
              <w:jc w:val="center"/>
              <w:rPr>
                <w:b/>
                <w:bCs/>
                <w:color w:val="000000"/>
                <w:szCs w:val="21"/>
              </w:rPr>
            </w:pPr>
            <w:r>
              <w:rPr>
                <w:rFonts w:hint="eastAsia"/>
                <w:b/>
                <w:bCs/>
                <w:color w:val="000000"/>
                <w:szCs w:val="21"/>
              </w:rPr>
              <w:t>财政预算限额（元）</w:t>
            </w:r>
          </w:p>
        </w:tc>
      </w:tr>
      <w:tr>
        <w:tblPrEx>
          <w:tblW w:w="4998" w:type="pct"/>
          <w:tblInd w:w="0" w:type="dxa"/>
          <w:tblLayout w:type="fixed"/>
          <w:tblCellMar>
            <w:top w:w="0" w:type="dxa"/>
            <w:left w:w="108" w:type="dxa"/>
            <w:bottom w:w="0" w:type="dxa"/>
            <w:right w:w="108" w:type="dxa"/>
          </w:tblCellMar>
        </w:tblPrEx>
        <w:trPr>
          <w:trHeight w:val="290"/>
        </w:trPr>
        <w:tc>
          <w:tcPr>
            <w:tcW w:w="249" w:type="pct"/>
            <w:vAlign w:val="center"/>
          </w:tcPr>
          <w:p>
            <w:pPr>
              <w:jc w:val="center"/>
              <w:rPr>
                <w:bCs/>
                <w:color w:val="000000"/>
                <w:szCs w:val="21"/>
              </w:rPr>
            </w:pPr>
            <w:r>
              <w:rPr>
                <w:rFonts w:hint="eastAsia"/>
                <w:bCs/>
                <w:color w:val="000000"/>
                <w:szCs w:val="21"/>
              </w:rPr>
              <w:t>1</w:t>
            </w:r>
          </w:p>
        </w:tc>
        <w:tc>
          <w:tcPr>
            <w:tcW w:w="1579" w:type="pct"/>
            <w:vAlign w:val="center"/>
          </w:tcPr>
          <w:p>
            <w:pPr>
              <w:jc w:val="center"/>
              <w:rPr>
                <w:bCs/>
                <w:color w:val="000000"/>
                <w:szCs w:val="21"/>
              </w:rPr>
            </w:pPr>
            <w:r>
              <w:rPr>
                <w:rFonts w:hint="eastAsia"/>
                <w:color w:val="000000"/>
                <w:szCs w:val="21"/>
              </w:rPr>
              <w:t>PLAN-2022-440300000-103609-05967</w:t>
            </w:r>
          </w:p>
        </w:tc>
        <w:tc>
          <w:tcPr>
            <w:tcW w:w="2010" w:type="pct"/>
            <w:vAlign w:val="center"/>
          </w:tcPr>
          <w:p>
            <w:pPr>
              <w:jc w:val="center"/>
              <w:rPr>
                <w:b/>
                <w:bCs/>
                <w:color w:val="000000"/>
                <w:szCs w:val="21"/>
              </w:rPr>
            </w:pPr>
            <w:r>
              <w:rPr>
                <w:rFonts w:hint="eastAsia"/>
                <w:b/>
                <w:bCs/>
                <w:color w:val="000000"/>
                <w:szCs w:val="21"/>
              </w:rPr>
              <w:t>清华大学深圳国际研究生院智慧校园智慧教学环境平台项目</w:t>
            </w:r>
          </w:p>
        </w:tc>
        <w:tc>
          <w:tcPr>
            <w:tcW w:w="1159" w:type="pct"/>
            <w:vAlign w:val="center"/>
          </w:tcPr>
          <w:p>
            <w:pPr>
              <w:jc w:val="center"/>
              <w:rPr>
                <w:bCs/>
                <w:color w:val="000000"/>
                <w:szCs w:val="21"/>
              </w:rPr>
            </w:pPr>
            <w:r>
              <w:rPr>
                <w:rFonts w:hint="eastAsia"/>
                <w:b/>
                <w:bCs/>
                <w:color w:val="000000"/>
                <w:szCs w:val="21"/>
              </w:rPr>
              <w:t>16,671,000.00</w:t>
            </w:r>
          </w:p>
        </w:tc>
      </w:tr>
    </w:tbl>
    <w:p>
      <w:pPr>
        <w:rPr>
          <w:rFonts w:ascii="宋体" w:hAnsi="宋体"/>
          <w:b/>
          <w:color w:val="FF0000"/>
          <w:szCs w:val="21"/>
        </w:rPr>
      </w:pPr>
    </w:p>
    <w:p>
      <w:pPr>
        <w:pStyle w:val="Heading2"/>
        <w:spacing w:before="120" w:beforeLines="50" w:after="120" w:afterLines="50"/>
        <w:rPr>
          <w:szCs w:val="24"/>
        </w:rPr>
      </w:pPr>
      <w:bookmarkStart w:id="41" w:name="_Hlk72258617"/>
      <w:r>
        <w:rPr>
          <w:rFonts w:hint="eastAsia"/>
          <w:szCs w:val="24"/>
        </w:rPr>
        <w:t>二、</w:t>
      </w:r>
      <w:bookmarkStart w:id="42" w:name="_Hlk72073432"/>
      <w:r>
        <w:rPr>
          <w:rFonts w:hint="eastAsia"/>
          <w:szCs w:val="24"/>
        </w:rPr>
        <w:t>货物需求明细</w:t>
      </w:r>
      <w:bookmarkEnd w:id="42"/>
    </w:p>
    <w:tbl>
      <w:tblPr>
        <w:tblStyle w:val="TableNormal"/>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3"/>
        <w:gridCol w:w="775"/>
        <w:gridCol w:w="4210"/>
        <w:gridCol w:w="1167"/>
        <w:gridCol w:w="816"/>
        <w:gridCol w:w="655"/>
      </w:tblGrid>
      <w:tr>
        <w:tblPrEx>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2"/>
          <w:jc w:val="center"/>
        </w:trPr>
        <w:tc>
          <w:tcPr>
            <w:tcW w:w="524" w:type="pct"/>
            <w:noWrap/>
          </w:tcPr>
          <w:p>
            <w:pPr>
              <w:jc w:val="center"/>
              <w:rPr>
                <w:rFonts w:ascii="宋体" w:hAnsi="宋体"/>
                <w:b/>
                <w:bCs/>
                <w:sz w:val="18"/>
                <w:szCs w:val="18"/>
              </w:rPr>
            </w:pPr>
            <w:r>
              <w:rPr>
                <w:rFonts w:ascii="宋体" w:hAnsi="宋体" w:hint="eastAsia"/>
                <w:b/>
                <w:bCs/>
                <w:sz w:val="18"/>
                <w:szCs w:val="18"/>
              </w:rPr>
              <w:t>采购计划编号</w:t>
            </w:r>
          </w:p>
        </w:tc>
        <w:tc>
          <w:tcPr>
            <w:tcW w:w="455" w:type="pct"/>
            <w:noWrap/>
          </w:tcPr>
          <w:p>
            <w:pPr>
              <w:jc w:val="center"/>
              <w:rPr>
                <w:rFonts w:ascii="宋体" w:hAnsi="宋体"/>
                <w:b/>
                <w:bCs/>
                <w:sz w:val="18"/>
                <w:szCs w:val="18"/>
              </w:rPr>
            </w:pPr>
            <w:r>
              <w:rPr>
                <w:rFonts w:ascii="宋体" w:hAnsi="宋体" w:hint="eastAsia"/>
                <w:b/>
                <w:bCs/>
                <w:sz w:val="18"/>
                <w:szCs w:val="18"/>
              </w:rPr>
              <w:t>序号</w:t>
            </w:r>
          </w:p>
        </w:tc>
        <w:tc>
          <w:tcPr>
            <w:tcW w:w="2470" w:type="pct"/>
            <w:noWrap/>
          </w:tcPr>
          <w:p>
            <w:pPr>
              <w:jc w:val="center"/>
              <w:rPr>
                <w:rFonts w:ascii="宋体" w:hAnsi="宋体"/>
                <w:b/>
                <w:bCs/>
                <w:sz w:val="18"/>
                <w:szCs w:val="18"/>
              </w:rPr>
            </w:pPr>
            <w:r>
              <w:rPr>
                <w:rFonts w:ascii="宋体" w:hAnsi="宋体" w:hint="eastAsia"/>
                <w:b/>
                <w:bCs/>
                <w:sz w:val="18"/>
                <w:szCs w:val="18"/>
              </w:rPr>
              <w:t>设备名称</w:t>
            </w:r>
          </w:p>
        </w:tc>
        <w:tc>
          <w:tcPr>
            <w:tcW w:w="685" w:type="pct"/>
            <w:noWrap/>
          </w:tcPr>
          <w:p>
            <w:pPr>
              <w:jc w:val="center"/>
              <w:rPr>
                <w:rFonts w:ascii="宋体" w:hAnsi="宋体"/>
                <w:b/>
                <w:bCs/>
                <w:sz w:val="18"/>
                <w:szCs w:val="18"/>
              </w:rPr>
            </w:pPr>
            <w:r>
              <w:rPr>
                <w:rFonts w:ascii="宋体" w:hAnsi="宋体" w:hint="eastAsia"/>
                <w:b/>
                <w:bCs/>
                <w:sz w:val="18"/>
                <w:szCs w:val="18"/>
              </w:rPr>
              <w:t>数量</w:t>
            </w:r>
          </w:p>
        </w:tc>
        <w:tc>
          <w:tcPr>
            <w:tcW w:w="478" w:type="pct"/>
            <w:noWrap/>
          </w:tcPr>
          <w:p>
            <w:pPr>
              <w:jc w:val="center"/>
              <w:rPr>
                <w:rFonts w:ascii="宋体" w:hAnsi="宋体"/>
                <w:b/>
                <w:bCs/>
                <w:sz w:val="18"/>
                <w:szCs w:val="18"/>
              </w:rPr>
            </w:pPr>
            <w:r>
              <w:rPr>
                <w:rFonts w:ascii="宋体" w:hAnsi="宋体" w:hint="eastAsia"/>
                <w:b/>
                <w:bCs/>
                <w:sz w:val="18"/>
                <w:szCs w:val="18"/>
              </w:rPr>
              <w:t>单位</w:t>
            </w:r>
          </w:p>
        </w:tc>
        <w:tc>
          <w:tcPr>
            <w:tcW w:w="385" w:type="pct"/>
          </w:tcPr>
          <w:p>
            <w:pPr>
              <w:jc w:val="center"/>
              <w:rPr>
                <w:rFonts w:ascii="宋体" w:hAnsi="宋体"/>
                <w:b/>
                <w:bCs/>
                <w:sz w:val="18"/>
                <w:szCs w:val="18"/>
              </w:rPr>
            </w:pPr>
            <w:r>
              <w:rPr>
                <w:rFonts w:ascii="宋体" w:hAnsi="宋体" w:hint="eastAsia"/>
                <w:b/>
                <w:bCs/>
                <w:sz w:val="18"/>
                <w:szCs w:val="18"/>
              </w:rPr>
              <w:t>备注</w:t>
            </w: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val="restart"/>
            <w:noWrap/>
          </w:tcPr>
          <w:p>
            <w:pPr>
              <w:jc w:val="center"/>
              <w:rPr>
                <w:rFonts w:ascii="宋体" w:hAnsi="宋体"/>
                <w:b/>
                <w:bCs/>
                <w:sz w:val="18"/>
                <w:szCs w:val="18"/>
              </w:rPr>
            </w:pPr>
            <w:r>
              <w:rPr>
                <w:rFonts w:hint="eastAsia"/>
                <w:szCs w:val="21"/>
              </w:rPr>
              <w:t>PLAN-2022-440300000-103609-05967</w:t>
            </w:r>
          </w:p>
        </w:tc>
        <w:tc>
          <w:tcPr>
            <w:tcW w:w="4089" w:type="pct"/>
            <w:gridSpan w:val="4"/>
            <w:noWrap/>
          </w:tcPr>
          <w:p>
            <w:pPr>
              <w:jc w:val="center"/>
              <w:rPr>
                <w:rFonts w:ascii="宋体" w:hAnsi="宋体"/>
                <w:b/>
                <w:bCs/>
                <w:sz w:val="18"/>
                <w:szCs w:val="18"/>
              </w:rPr>
            </w:pPr>
            <w:r>
              <w:rPr>
                <w:rFonts w:ascii="宋体" w:hAnsi="宋体" w:hint="eastAsia"/>
                <w:b/>
                <w:sz w:val="24"/>
              </w:rPr>
              <w:t>一、视频显示系统货物清单</w:t>
            </w:r>
          </w:p>
        </w:tc>
        <w:tc>
          <w:tcPr>
            <w:tcW w:w="385" w:type="pct"/>
            <w:vMerge w:val="restart"/>
          </w:tcPr>
          <w:p>
            <w:pPr>
              <w:jc w:val="center"/>
              <w:rPr>
                <w:rFonts w:ascii="宋体" w:hAnsi="宋体"/>
                <w:b/>
                <w:sz w:val="18"/>
                <w:szCs w:val="18"/>
              </w:rPr>
            </w:pPr>
            <w:r>
              <w:rPr>
                <w:rFonts w:ascii="宋体" w:hAnsi="宋体" w:hint="eastAsia"/>
                <w:b/>
                <w:bCs/>
                <w:sz w:val="18"/>
                <w:szCs w:val="18"/>
              </w:rPr>
              <w:t>拒绝进口</w:t>
            </w:r>
          </w:p>
          <w:p>
            <w:pPr>
              <w:jc w:val="center"/>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1</w:t>
            </w:r>
          </w:p>
        </w:tc>
        <w:tc>
          <w:tcPr>
            <w:tcW w:w="2470" w:type="pct"/>
            <w:noWrap/>
          </w:tcPr>
          <w:p>
            <w:pPr>
              <w:jc w:val="center"/>
              <w:rPr>
                <w:rFonts w:ascii="宋体" w:hAnsi="宋体"/>
                <w:sz w:val="18"/>
                <w:szCs w:val="18"/>
              </w:rPr>
            </w:pPr>
            <w:r>
              <w:rPr>
                <w:rFonts w:ascii="宋体" w:hAnsi="宋体"/>
                <w:sz w:val="18"/>
                <w:szCs w:val="18"/>
              </w:rPr>
              <w:t>激光投影机（一）</w:t>
            </w:r>
          </w:p>
        </w:tc>
        <w:tc>
          <w:tcPr>
            <w:tcW w:w="685" w:type="pct"/>
            <w:noWrap/>
          </w:tcPr>
          <w:p>
            <w:pPr>
              <w:jc w:val="center"/>
              <w:rPr>
                <w:rFonts w:ascii="宋体" w:hAnsi="宋体"/>
                <w:sz w:val="18"/>
                <w:szCs w:val="18"/>
              </w:rPr>
            </w:pPr>
            <w:r>
              <w:rPr>
                <w:rFonts w:ascii="宋体" w:hAnsi="宋体" w:hint="eastAsia"/>
                <w:sz w:val="18"/>
                <w:szCs w:val="18"/>
              </w:rPr>
              <w:t>16</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2</w:t>
            </w:r>
          </w:p>
        </w:tc>
        <w:tc>
          <w:tcPr>
            <w:tcW w:w="2470" w:type="pct"/>
            <w:noWrap/>
          </w:tcPr>
          <w:p>
            <w:pPr>
              <w:jc w:val="center"/>
              <w:rPr>
                <w:rFonts w:ascii="宋体" w:hAnsi="宋体"/>
                <w:sz w:val="18"/>
                <w:szCs w:val="18"/>
              </w:rPr>
            </w:pPr>
            <w:r>
              <w:rPr>
                <w:rFonts w:ascii="宋体" w:hAnsi="宋体"/>
                <w:sz w:val="18"/>
                <w:szCs w:val="18"/>
              </w:rPr>
              <w:t>超短焦激光投影机（</w:t>
            </w:r>
            <w:r>
              <w:rPr>
                <w:rFonts w:ascii="宋体" w:hAnsi="宋体" w:hint="eastAsia"/>
                <w:sz w:val="18"/>
                <w:szCs w:val="18"/>
              </w:rPr>
              <w:t>二</w:t>
            </w:r>
            <w:r>
              <w:rPr>
                <w:rFonts w:ascii="宋体" w:hAnsi="宋体"/>
                <w:sz w:val="18"/>
                <w:szCs w:val="18"/>
              </w:rPr>
              <w:t>）</w:t>
            </w:r>
          </w:p>
        </w:tc>
        <w:tc>
          <w:tcPr>
            <w:tcW w:w="685" w:type="pct"/>
            <w:noWrap/>
          </w:tcPr>
          <w:p>
            <w:pPr>
              <w:jc w:val="center"/>
              <w:rPr>
                <w:rFonts w:ascii="宋体" w:hAnsi="宋体"/>
                <w:sz w:val="18"/>
                <w:szCs w:val="18"/>
              </w:rPr>
            </w:pPr>
            <w:r>
              <w:rPr>
                <w:rFonts w:ascii="宋体" w:hAnsi="宋体" w:hint="eastAsia"/>
                <w:sz w:val="18"/>
                <w:szCs w:val="18"/>
              </w:rPr>
              <w:t>11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3</w:t>
            </w:r>
          </w:p>
        </w:tc>
        <w:tc>
          <w:tcPr>
            <w:tcW w:w="2470" w:type="pct"/>
            <w:noWrap/>
          </w:tcPr>
          <w:p>
            <w:pPr>
              <w:jc w:val="center"/>
              <w:rPr>
                <w:rFonts w:ascii="宋体" w:hAnsi="宋体"/>
                <w:sz w:val="18"/>
                <w:szCs w:val="18"/>
              </w:rPr>
            </w:pPr>
            <w:r>
              <w:rPr>
                <w:rFonts w:ascii="宋体" w:hAnsi="宋体"/>
                <w:sz w:val="18"/>
                <w:szCs w:val="18"/>
              </w:rPr>
              <w:t>幕布</w:t>
            </w:r>
          </w:p>
        </w:tc>
        <w:tc>
          <w:tcPr>
            <w:tcW w:w="685" w:type="pct"/>
            <w:noWrap/>
          </w:tcPr>
          <w:p>
            <w:pPr>
              <w:jc w:val="center"/>
              <w:rPr>
                <w:rFonts w:ascii="宋体" w:hAnsi="宋体"/>
                <w:sz w:val="18"/>
                <w:szCs w:val="18"/>
              </w:rPr>
            </w:pPr>
            <w:r>
              <w:rPr>
                <w:rFonts w:ascii="宋体" w:hAnsi="宋体" w:hint="eastAsia"/>
                <w:sz w:val="18"/>
                <w:szCs w:val="18"/>
              </w:rPr>
              <w:t>16</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块</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4</w:t>
            </w:r>
          </w:p>
        </w:tc>
        <w:tc>
          <w:tcPr>
            <w:tcW w:w="2470" w:type="pct"/>
            <w:noWrap/>
          </w:tcPr>
          <w:p>
            <w:pPr>
              <w:jc w:val="center"/>
              <w:rPr>
                <w:rFonts w:ascii="宋体" w:hAnsi="宋体"/>
                <w:sz w:val="18"/>
                <w:szCs w:val="18"/>
              </w:rPr>
            </w:pPr>
            <w:r>
              <w:rPr>
                <w:rFonts w:ascii="宋体" w:hAnsi="宋体"/>
                <w:sz w:val="18"/>
                <w:szCs w:val="18"/>
              </w:rPr>
              <w:t>讲台</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5</w:t>
            </w:r>
          </w:p>
        </w:tc>
        <w:tc>
          <w:tcPr>
            <w:tcW w:w="2470" w:type="pct"/>
            <w:noWrap/>
          </w:tcPr>
          <w:p>
            <w:pPr>
              <w:jc w:val="center"/>
              <w:rPr>
                <w:rFonts w:ascii="宋体" w:hAnsi="宋体"/>
                <w:sz w:val="18"/>
                <w:szCs w:val="18"/>
              </w:rPr>
            </w:pPr>
            <w:r>
              <w:rPr>
                <w:rFonts w:ascii="宋体" w:hAnsi="宋体"/>
                <w:sz w:val="18"/>
                <w:szCs w:val="18"/>
              </w:rPr>
              <w:t>教室电脑主机</w:t>
            </w:r>
          </w:p>
        </w:tc>
        <w:tc>
          <w:tcPr>
            <w:tcW w:w="685" w:type="pct"/>
            <w:noWrap/>
          </w:tcPr>
          <w:p>
            <w:pPr>
              <w:jc w:val="center"/>
              <w:rPr>
                <w:rFonts w:ascii="宋体" w:hAnsi="宋体"/>
                <w:sz w:val="18"/>
                <w:szCs w:val="18"/>
              </w:rPr>
            </w:pPr>
            <w:r>
              <w:rPr>
                <w:rFonts w:ascii="宋体" w:hAnsi="宋体" w:hint="eastAsia"/>
                <w:sz w:val="18"/>
                <w:szCs w:val="18"/>
              </w:rPr>
              <w:t>19</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6</w:t>
            </w:r>
          </w:p>
        </w:tc>
        <w:tc>
          <w:tcPr>
            <w:tcW w:w="2470" w:type="pct"/>
            <w:noWrap/>
          </w:tcPr>
          <w:p>
            <w:pPr>
              <w:jc w:val="center"/>
              <w:rPr>
                <w:rFonts w:ascii="宋体" w:hAnsi="宋体"/>
                <w:sz w:val="18"/>
                <w:szCs w:val="18"/>
              </w:rPr>
            </w:pPr>
            <w:r>
              <w:rPr>
                <w:rFonts w:ascii="宋体" w:hAnsi="宋体"/>
                <w:sz w:val="18"/>
                <w:szCs w:val="18"/>
              </w:rPr>
              <w:t>触控显示器</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7</w:t>
            </w:r>
          </w:p>
        </w:tc>
        <w:tc>
          <w:tcPr>
            <w:tcW w:w="2470" w:type="pct"/>
            <w:noWrap/>
          </w:tcPr>
          <w:p>
            <w:pPr>
              <w:jc w:val="center"/>
              <w:rPr>
                <w:rFonts w:ascii="宋体" w:hAnsi="宋体"/>
                <w:sz w:val="18"/>
                <w:szCs w:val="18"/>
              </w:rPr>
            </w:pPr>
            <w:r>
              <w:rPr>
                <w:rFonts w:ascii="宋体" w:hAnsi="宋体" w:hint="eastAsia"/>
                <w:sz w:val="18"/>
                <w:szCs w:val="18"/>
              </w:rPr>
              <w:t>视频传输器</w:t>
            </w:r>
          </w:p>
        </w:tc>
        <w:tc>
          <w:tcPr>
            <w:tcW w:w="685" w:type="pct"/>
            <w:noWrap/>
          </w:tcPr>
          <w:p>
            <w:pPr>
              <w:jc w:val="center"/>
              <w:rPr>
                <w:rFonts w:ascii="宋体" w:hAnsi="宋体"/>
                <w:sz w:val="18"/>
                <w:szCs w:val="18"/>
              </w:rPr>
            </w:pPr>
            <w:r>
              <w:rPr>
                <w:rFonts w:ascii="宋体" w:hAnsi="宋体" w:hint="eastAsia"/>
                <w:sz w:val="18"/>
                <w:szCs w:val="18"/>
              </w:rPr>
              <w:t>8</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对</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8</w:t>
            </w:r>
          </w:p>
        </w:tc>
        <w:tc>
          <w:tcPr>
            <w:tcW w:w="2470" w:type="pct"/>
            <w:noWrap/>
          </w:tcPr>
          <w:p>
            <w:pPr>
              <w:jc w:val="center"/>
              <w:rPr>
                <w:rFonts w:ascii="宋体" w:hAnsi="宋体"/>
                <w:sz w:val="18"/>
                <w:szCs w:val="18"/>
              </w:rPr>
            </w:pPr>
            <w:r>
              <w:rPr>
                <w:rFonts w:ascii="宋体" w:hAnsi="宋体" w:hint="eastAsia"/>
                <w:sz w:val="18"/>
                <w:szCs w:val="18"/>
              </w:rPr>
              <w:t>无线投屏器</w:t>
            </w:r>
          </w:p>
        </w:tc>
        <w:tc>
          <w:tcPr>
            <w:tcW w:w="685" w:type="pct"/>
            <w:noWrap/>
          </w:tcPr>
          <w:p>
            <w:pPr>
              <w:jc w:val="center"/>
              <w:rPr>
                <w:rFonts w:ascii="宋体" w:hAnsi="宋体"/>
                <w:sz w:val="18"/>
                <w:szCs w:val="18"/>
              </w:rPr>
            </w:pPr>
            <w:r>
              <w:rPr>
                <w:rFonts w:ascii="宋体" w:hAnsi="宋体" w:hint="eastAsia"/>
                <w:sz w:val="18"/>
                <w:szCs w:val="18"/>
              </w:rPr>
              <w:t>8</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9</w:t>
            </w:r>
          </w:p>
        </w:tc>
        <w:tc>
          <w:tcPr>
            <w:tcW w:w="2470" w:type="pct"/>
            <w:noWrap/>
            <w:vAlign w:val="center"/>
          </w:tcPr>
          <w:p>
            <w:pPr>
              <w:jc w:val="center"/>
              <w:rPr>
                <w:rFonts w:ascii="宋体" w:hAnsi="宋体"/>
                <w:sz w:val="18"/>
                <w:szCs w:val="18"/>
              </w:rPr>
            </w:pPr>
            <w:r>
              <w:rPr>
                <w:rFonts w:ascii="宋体" w:hAnsi="宋体" w:hint="eastAsia"/>
                <w:sz w:val="18"/>
                <w:szCs w:val="18"/>
              </w:rPr>
              <w:t>采集卡</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10</w:t>
            </w:r>
          </w:p>
        </w:tc>
        <w:tc>
          <w:tcPr>
            <w:tcW w:w="2470" w:type="pct"/>
            <w:noWrap/>
            <w:vAlign w:val="center"/>
          </w:tcPr>
          <w:p>
            <w:pPr>
              <w:jc w:val="center"/>
              <w:rPr>
                <w:rFonts w:ascii="宋体" w:hAnsi="宋体"/>
                <w:sz w:val="18"/>
                <w:szCs w:val="18"/>
              </w:rPr>
            </w:pPr>
            <w:r>
              <w:rPr>
                <w:rFonts w:ascii="宋体" w:hAnsi="宋体" w:hint="eastAsia"/>
                <w:sz w:val="18"/>
                <w:szCs w:val="18"/>
              </w:rPr>
              <w:t>86寸触控一体机</w:t>
            </w:r>
          </w:p>
        </w:tc>
        <w:tc>
          <w:tcPr>
            <w:tcW w:w="685" w:type="pct"/>
            <w:noWrap/>
          </w:tcPr>
          <w:p>
            <w:pPr>
              <w:jc w:val="center"/>
              <w:rPr>
                <w:rFonts w:ascii="宋体" w:hAnsi="宋体"/>
                <w:sz w:val="18"/>
                <w:szCs w:val="18"/>
              </w:rPr>
            </w:pPr>
            <w:r>
              <w:rPr>
                <w:rFonts w:ascii="宋体" w:hAnsi="宋体" w:hint="eastAsia"/>
                <w:sz w:val="18"/>
                <w:szCs w:val="18"/>
              </w:rPr>
              <w:t>22</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11</w:t>
            </w:r>
          </w:p>
        </w:tc>
        <w:tc>
          <w:tcPr>
            <w:tcW w:w="2470" w:type="pct"/>
            <w:noWrap/>
            <w:vAlign w:val="center"/>
          </w:tcPr>
          <w:p>
            <w:pPr>
              <w:jc w:val="center"/>
              <w:rPr>
                <w:rFonts w:ascii="宋体" w:hAnsi="宋体"/>
                <w:sz w:val="18"/>
                <w:szCs w:val="18"/>
              </w:rPr>
            </w:pPr>
            <w:r>
              <w:rPr>
                <w:rFonts w:ascii="宋体" w:hAnsi="宋体" w:hint="eastAsia"/>
                <w:sz w:val="18"/>
                <w:szCs w:val="18"/>
              </w:rPr>
              <w:t>65寸触控一体机</w:t>
            </w:r>
          </w:p>
        </w:tc>
        <w:tc>
          <w:tcPr>
            <w:tcW w:w="685" w:type="pct"/>
            <w:noWrap/>
          </w:tcPr>
          <w:p>
            <w:pPr>
              <w:jc w:val="center"/>
              <w:rPr>
                <w:rFonts w:ascii="宋体" w:hAnsi="宋体"/>
                <w:sz w:val="18"/>
                <w:szCs w:val="18"/>
              </w:rPr>
            </w:pPr>
            <w:r>
              <w:rPr>
                <w:rFonts w:ascii="宋体" w:hAnsi="宋体" w:hint="eastAsia"/>
                <w:sz w:val="18"/>
                <w:szCs w:val="18"/>
              </w:rPr>
              <w:t>110</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12</w:t>
            </w:r>
          </w:p>
        </w:tc>
        <w:tc>
          <w:tcPr>
            <w:tcW w:w="2470" w:type="pct"/>
            <w:noWrap/>
            <w:vAlign w:val="center"/>
          </w:tcPr>
          <w:p>
            <w:pPr>
              <w:jc w:val="center"/>
              <w:rPr>
                <w:rFonts w:ascii="宋体" w:hAnsi="宋体"/>
                <w:sz w:val="18"/>
                <w:szCs w:val="18"/>
              </w:rPr>
            </w:pPr>
            <w:r>
              <w:rPr>
                <w:rFonts w:ascii="宋体" w:hAnsi="宋体" w:hint="eastAsia"/>
                <w:sz w:val="18"/>
                <w:szCs w:val="18"/>
              </w:rPr>
              <w:t>智能互动交互系统</w:t>
            </w:r>
          </w:p>
        </w:tc>
        <w:tc>
          <w:tcPr>
            <w:tcW w:w="685" w:type="pct"/>
            <w:noWrap/>
          </w:tcPr>
          <w:p>
            <w:pPr>
              <w:jc w:val="center"/>
              <w:rPr>
                <w:rFonts w:ascii="宋体" w:hAnsi="宋体"/>
                <w:sz w:val="18"/>
                <w:szCs w:val="18"/>
              </w:rPr>
            </w:pPr>
            <w:r>
              <w:rPr>
                <w:rFonts w:ascii="宋体" w:hAnsi="宋体" w:hint="eastAsia"/>
                <w:sz w:val="18"/>
                <w:szCs w:val="18"/>
              </w:rPr>
              <w:t>22</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13</w:t>
            </w:r>
          </w:p>
        </w:tc>
        <w:tc>
          <w:tcPr>
            <w:tcW w:w="2470" w:type="pct"/>
            <w:noWrap/>
            <w:vAlign w:val="center"/>
          </w:tcPr>
          <w:p>
            <w:pPr>
              <w:jc w:val="center"/>
              <w:rPr>
                <w:rFonts w:ascii="宋体" w:hAnsi="宋体"/>
                <w:sz w:val="18"/>
                <w:szCs w:val="18"/>
              </w:rPr>
            </w:pPr>
            <w:r>
              <w:rPr>
                <w:rFonts w:ascii="宋体" w:hAnsi="宋体" w:hint="eastAsia"/>
                <w:sz w:val="18"/>
                <w:szCs w:val="18"/>
              </w:rPr>
              <w:t>视频矩阵</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tcPr>
          <w:p>
            <w:pPr>
              <w:spacing w:before="100" w:beforeAutospacing="1" w:after="100" w:afterAutospacing="1"/>
              <w:jc w:val="center"/>
              <w:outlineLvl w:val="1"/>
              <w:rPr>
                <w:rFonts w:ascii="宋体" w:hAnsi="宋体"/>
                <w:b/>
                <w:sz w:val="24"/>
              </w:rPr>
            </w:pPr>
          </w:p>
        </w:tc>
        <w:tc>
          <w:tcPr>
            <w:tcW w:w="4089" w:type="pct"/>
            <w:gridSpan w:val="4"/>
          </w:tcPr>
          <w:p>
            <w:pPr>
              <w:spacing w:before="100" w:beforeAutospacing="1" w:after="100" w:afterAutospacing="1"/>
              <w:jc w:val="center"/>
              <w:outlineLvl w:val="1"/>
              <w:rPr>
                <w:rFonts w:ascii="宋体" w:hAnsi="宋体"/>
                <w:sz w:val="18"/>
                <w:szCs w:val="18"/>
              </w:rPr>
            </w:pPr>
            <w:r>
              <w:rPr>
                <w:rFonts w:ascii="宋体" w:hAnsi="宋体" w:hint="eastAsia"/>
                <w:b/>
                <w:sz w:val="24"/>
              </w:rPr>
              <w:t>二、音频及扩声系统货物清单</w:t>
            </w:r>
          </w:p>
        </w:tc>
        <w:tc>
          <w:tcPr>
            <w:tcW w:w="385" w:type="pct"/>
            <w:vMerge/>
          </w:tcPr>
          <w:p>
            <w:pPr>
              <w:spacing w:before="100" w:beforeAutospacing="1" w:after="100" w:afterAutospacing="1"/>
              <w:jc w:val="center"/>
              <w:outlineLvl w:val="1"/>
              <w:rPr>
                <w:rFonts w:ascii="宋体" w:hAnsi="宋体"/>
                <w:b/>
                <w:sz w:val="24"/>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14</w:t>
            </w:r>
          </w:p>
        </w:tc>
        <w:tc>
          <w:tcPr>
            <w:tcW w:w="2470" w:type="pct"/>
            <w:noWrap/>
            <w:vAlign w:val="center"/>
          </w:tcPr>
          <w:p>
            <w:pPr>
              <w:jc w:val="center"/>
              <w:rPr>
                <w:rFonts w:ascii="宋体" w:hAnsi="宋体"/>
                <w:sz w:val="18"/>
                <w:szCs w:val="18"/>
              </w:rPr>
            </w:pPr>
            <w:r>
              <w:rPr>
                <w:rFonts w:ascii="宋体" w:hAnsi="宋体" w:hint="eastAsia"/>
                <w:sz w:val="18"/>
                <w:szCs w:val="18"/>
              </w:rPr>
              <w:t>数字红外无线教学扩声系统主机</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15</w:t>
            </w:r>
          </w:p>
        </w:tc>
        <w:tc>
          <w:tcPr>
            <w:tcW w:w="2470" w:type="pct"/>
            <w:noWrap/>
            <w:vAlign w:val="center"/>
          </w:tcPr>
          <w:p>
            <w:pPr>
              <w:jc w:val="center"/>
              <w:rPr>
                <w:rFonts w:ascii="宋体" w:hAnsi="宋体"/>
                <w:sz w:val="18"/>
                <w:szCs w:val="18"/>
              </w:rPr>
            </w:pPr>
            <w:r>
              <w:rPr>
                <w:rFonts w:ascii="宋体" w:hAnsi="宋体" w:hint="eastAsia"/>
                <w:sz w:val="18"/>
                <w:szCs w:val="18"/>
              </w:rPr>
              <w:t>数字红外接收器</w:t>
            </w:r>
          </w:p>
        </w:tc>
        <w:tc>
          <w:tcPr>
            <w:tcW w:w="685" w:type="pct"/>
            <w:noWrap/>
          </w:tcPr>
          <w:p>
            <w:pPr>
              <w:jc w:val="center"/>
              <w:rPr>
                <w:rFonts w:ascii="宋体" w:hAnsi="宋体"/>
                <w:sz w:val="18"/>
                <w:szCs w:val="18"/>
              </w:rPr>
            </w:pPr>
            <w:r>
              <w:rPr>
                <w:rFonts w:ascii="宋体" w:hAnsi="宋体" w:hint="eastAsia"/>
                <w:sz w:val="18"/>
                <w:szCs w:val="18"/>
              </w:rPr>
              <w:t>68</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个</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16</w:t>
            </w:r>
          </w:p>
        </w:tc>
        <w:tc>
          <w:tcPr>
            <w:tcW w:w="2470" w:type="pct"/>
            <w:noWrap/>
            <w:vAlign w:val="center"/>
          </w:tcPr>
          <w:p>
            <w:pPr>
              <w:jc w:val="center"/>
              <w:rPr>
                <w:rFonts w:ascii="宋体" w:hAnsi="宋体"/>
                <w:sz w:val="18"/>
                <w:szCs w:val="18"/>
              </w:rPr>
            </w:pPr>
            <w:r>
              <w:rPr>
                <w:rFonts w:ascii="宋体" w:hAnsi="宋体" w:hint="eastAsia"/>
                <w:sz w:val="18"/>
                <w:szCs w:val="18"/>
              </w:rPr>
              <w:t>全向麦克风</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只</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17</w:t>
            </w:r>
          </w:p>
        </w:tc>
        <w:tc>
          <w:tcPr>
            <w:tcW w:w="2470" w:type="pct"/>
            <w:noWrap/>
            <w:vAlign w:val="center"/>
          </w:tcPr>
          <w:p>
            <w:pPr>
              <w:jc w:val="center"/>
              <w:rPr>
                <w:rFonts w:ascii="宋体" w:hAnsi="宋体"/>
                <w:sz w:val="18"/>
                <w:szCs w:val="18"/>
              </w:rPr>
            </w:pPr>
            <w:r>
              <w:rPr>
                <w:rFonts w:ascii="宋体" w:hAnsi="宋体" w:hint="eastAsia"/>
                <w:sz w:val="18"/>
                <w:szCs w:val="18"/>
              </w:rPr>
              <w:t>数</w:t>
            </w:r>
            <w:r>
              <w:rPr>
                <w:rFonts w:ascii="宋体" w:hAnsi="宋体"/>
                <w:sz w:val="18"/>
                <w:szCs w:val="18"/>
              </w:rPr>
              <w:t>字</w:t>
            </w:r>
            <w:r>
              <w:rPr>
                <w:rFonts w:ascii="宋体" w:hAnsi="宋体" w:hint="eastAsia"/>
                <w:sz w:val="18"/>
                <w:szCs w:val="18"/>
              </w:rPr>
              <w:t>红</w:t>
            </w:r>
            <w:r>
              <w:rPr>
                <w:rFonts w:ascii="宋体" w:hAnsi="宋体"/>
                <w:sz w:val="18"/>
                <w:szCs w:val="18"/>
              </w:rPr>
              <w:t>外</w:t>
            </w:r>
            <w:r>
              <w:rPr>
                <w:rFonts w:ascii="宋体" w:hAnsi="宋体" w:hint="eastAsia"/>
                <w:sz w:val="18"/>
                <w:szCs w:val="18"/>
              </w:rPr>
              <w:t>无线麦</w:t>
            </w:r>
            <w:r>
              <w:rPr>
                <w:rFonts w:ascii="宋体" w:hAnsi="宋体"/>
                <w:sz w:val="18"/>
                <w:szCs w:val="18"/>
              </w:rPr>
              <w:t>克</w:t>
            </w:r>
            <w:r>
              <w:rPr>
                <w:rFonts w:ascii="宋体" w:hAnsi="宋体" w:hint="eastAsia"/>
                <w:sz w:val="18"/>
                <w:szCs w:val="18"/>
              </w:rPr>
              <w:t>风</w:t>
            </w:r>
          </w:p>
        </w:tc>
        <w:tc>
          <w:tcPr>
            <w:tcW w:w="685" w:type="pct"/>
            <w:noWrap/>
          </w:tcPr>
          <w:p>
            <w:pPr>
              <w:jc w:val="center"/>
              <w:rPr>
                <w:rFonts w:ascii="宋体" w:hAnsi="宋体"/>
                <w:sz w:val="18"/>
                <w:szCs w:val="18"/>
              </w:rPr>
            </w:pPr>
            <w:r>
              <w:rPr>
                <w:rFonts w:ascii="宋体" w:hAnsi="宋体" w:hint="eastAsia"/>
                <w:sz w:val="18"/>
                <w:szCs w:val="18"/>
              </w:rPr>
              <w:t>60</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只</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18</w:t>
            </w:r>
          </w:p>
        </w:tc>
        <w:tc>
          <w:tcPr>
            <w:tcW w:w="2470" w:type="pct"/>
            <w:noWrap/>
            <w:vAlign w:val="center"/>
          </w:tcPr>
          <w:p>
            <w:pPr>
              <w:jc w:val="center"/>
              <w:rPr>
                <w:rFonts w:ascii="宋体" w:hAnsi="宋体"/>
                <w:sz w:val="18"/>
                <w:szCs w:val="18"/>
              </w:rPr>
            </w:pPr>
            <w:r>
              <w:rPr>
                <w:rFonts w:ascii="宋体" w:hAnsi="宋体" w:hint="eastAsia"/>
                <w:sz w:val="18"/>
                <w:szCs w:val="18"/>
              </w:rPr>
              <w:t>有线麦克风</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只</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19</w:t>
            </w:r>
          </w:p>
        </w:tc>
        <w:tc>
          <w:tcPr>
            <w:tcW w:w="2470" w:type="pct"/>
            <w:noWrap/>
            <w:vAlign w:val="center"/>
          </w:tcPr>
          <w:p>
            <w:pPr>
              <w:jc w:val="center"/>
              <w:rPr>
                <w:rFonts w:ascii="宋体" w:hAnsi="宋体"/>
                <w:sz w:val="18"/>
                <w:szCs w:val="18"/>
              </w:rPr>
            </w:pPr>
            <w:r>
              <w:rPr>
                <w:rFonts w:ascii="宋体" w:hAnsi="宋体" w:hint="eastAsia"/>
                <w:sz w:val="18"/>
                <w:szCs w:val="18"/>
              </w:rPr>
              <w:t>一进四出网口分路器</w:t>
            </w:r>
          </w:p>
        </w:tc>
        <w:tc>
          <w:tcPr>
            <w:tcW w:w="685" w:type="pct"/>
            <w:noWrap/>
          </w:tcPr>
          <w:p>
            <w:pPr>
              <w:jc w:val="center"/>
              <w:rPr>
                <w:rFonts w:ascii="宋体" w:hAnsi="宋体"/>
                <w:sz w:val="18"/>
                <w:szCs w:val="18"/>
              </w:rPr>
            </w:pPr>
            <w:r>
              <w:rPr>
                <w:rFonts w:ascii="宋体" w:hAnsi="宋体" w:hint="eastAsia"/>
                <w:sz w:val="18"/>
                <w:szCs w:val="18"/>
              </w:rPr>
              <w:t>8</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20</w:t>
            </w:r>
          </w:p>
        </w:tc>
        <w:tc>
          <w:tcPr>
            <w:tcW w:w="2470" w:type="pct"/>
            <w:noWrap/>
            <w:vAlign w:val="center"/>
          </w:tcPr>
          <w:p>
            <w:pPr>
              <w:jc w:val="center"/>
              <w:rPr>
                <w:rFonts w:ascii="宋体" w:hAnsi="宋体"/>
                <w:sz w:val="18"/>
                <w:szCs w:val="18"/>
              </w:rPr>
            </w:pPr>
            <w:r>
              <w:rPr>
                <w:rFonts w:ascii="宋体" w:hAnsi="宋体" w:hint="eastAsia"/>
                <w:sz w:val="18"/>
                <w:szCs w:val="18"/>
              </w:rPr>
              <w:t>数字音频功率放大器</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21</w:t>
            </w:r>
          </w:p>
        </w:tc>
        <w:tc>
          <w:tcPr>
            <w:tcW w:w="2470" w:type="pct"/>
            <w:noWrap/>
            <w:vAlign w:val="center"/>
          </w:tcPr>
          <w:p>
            <w:pPr>
              <w:jc w:val="center"/>
              <w:rPr>
                <w:rFonts w:ascii="宋体" w:hAnsi="宋体"/>
                <w:sz w:val="18"/>
                <w:szCs w:val="18"/>
              </w:rPr>
            </w:pPr>
            <w:r>
              <w:rPr>
                <w:rFonts w:ascii="宋体" w:hAnsi="宋体" w:hint="eastAsia"/>
                <w:sz w:val="18"/>
                <w:szCs w:val="18"/>
              </w:rPr>
              <w:t>扬声器</w:t>
            </w:r>
          </w:p>
        </w:tc>
        <w:tc>
          <w:tcPr>
            <w:tcW w:w="685" w:type="pct"/>
            <w:noWrap/>
          </w:tcPr>
          <w:p>
            <w:pPr>
              <w:jc w:val="center"/>
              <w:rPr>
                <w:rFonts w:ascii="宋体" w:hAnsi="宋体"/>
                <w:sz w:val="18"/>
                <w:szCs w:val="18"/>
              </w:rPr>
            </w:pPr>
            <w:r>
              <w:rPr>
                <w:rFonts w:ascii="宋体" w:hAnsi="宋体" w:hint="eastAsia"/>
                <w:sz w:val="18"/>
                <w:szCs w:val="18"/>
              </w:rPr>
              <w:t>34</w:t>
            </w:r>
          </w:p>
        </w:tc>
        <w:tc>
          <w:tcPr>
            <w:tcW w:w="478" w:type="pct"/>
          </w:tcPr>
          <w:p>
            <w:pPr>
              <w:spacing w:before="100" w:beforeAutospacing="1" w:after="100" w:afterAutospacing="1"/>
              <w:jc w:val="center"/>
              <w:outlineLvl w:val="1"/>
              <w:rPr>
                <w:rFonts w:ascii="宋体" w:hAnsi="宋体"/>
                <w:sz w:val="18"/>
                <w:szCs w:val="18"/>
              </w:rPr>
            </w:pPr>
            <w:r>
              <w:rPr>
                <w:rFonts w:ascii="宋体" w:hAnsi="宋体" w:hint="eastAsia"/>
                <w:sz w:val="18"/>
                <w:szCs w:val="18"/>
              </w:rPr>
              <w:t>对</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tcPr>
          <w:p>
            <w:pPr>
              <w:spacing w:before="100" w:beforeAutospacing="1" w:after="100" w:afterAutospacing="1"/>
              <w:jc w:val="center"/>
              <w:outlineLvl w:val="1"/>
              <w:rPr>
                <w:rFonts w:ascii="宋体" w:hAnsi="宋体"/>
                <w:b/>
                <w:sz w:val="24"/>
              </w:rPr>
            </w:pPr>
          </w:p>
        </w:tc>
        <w:tc>
          <w:tcPr>
            <w:tcW w:w="4089" w:type="pct"/>
            <w:gridSpan w:val="4"/>
          </w:tcPr>
          <w:p>
            <w:pPr>
              <w:spacing w:before="100" w:beforeAutospacing="1" w:after="100" w:afterAutospacing="1"/>
              <w:jc w:val="center"/>
              <w:outlineLvl w:val="1"/>
              <w:rPr>
                <w:rFonts w:ascii="宋体" w:hAnsi="宋体"/>
                <w:sz w:val="18"/>
                <w:szCs w:val="18"/>
              </w:rPr>
            </w:pPr>
            <w:r>
              <w:rPr>
                <w:rFonts w:ascii="宋体" w:hAnsi="宋体" w:hint="eastAsia"/>
                <w:b/>
                <w:sz w:val="24"/>
              </w:rPr>
              <w:t>三、录播系统货物清单</w:t>
            </w:r>
          </w:p>
        </w:tc>
        <w:tc>
          <w:tcPr>
            <w:tcW w:w="385" w:type="pct"/>
            <w:vMerge/>
          </w:tcPr>
          <w:p>
            <w:pPr>
              <w:spacing w:before="100" w:beforeAutospacing="1" w:after="100" w:afterAutospacing="1"/>
              <w:jc w:val="center"/>
              <w:outlineLvl w:val="1"/>
              <w:rPr>
                <w:rFonts w:ascii="宋体" w:hAnsi="宋体"/>
                <w:b/>
                <w:sz w:val="24"/>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tcPr>
          <w:p>
            <w:pPr>
              <w:spacing w:before="100" w:beforeAutospacing="1" w:after="100" w:afterAutospacing="1"/>
              <w:jc w:val="center"/>
              <w:outlineLvl w:val="1"/>
              <w:rPr>
                <w:rFonts w:ascii="宋体" w:hAnsi="宋体"/>
                <w:b/>
                <w:szCs w:val="21"/>
              </w:rPr>
            </w:pPr>
          </w:p>
        </w:tc>
        <w:tc>
          <w:tcPr>
            <w:tcW w:w="4089" w:type="pct"/>
            <w:gridSpan w:val="4"/>
          </w:tcPr>
          <w:p>
            <w:pPr>
              <w:spacing w:before="100" w:beforeAutospacing="1" w:after="100" w:afterAutospacing="1"/>
              <w:jc w:val="center"/>
              <w:outlineLvl w:val="1"/>
              <w:rPr>
                <w:rFonts w:ascii="宋体" w:hAnsi="宋体"/>
                <w:sz w:val="18"/>
                <w:szCs w:val="18"/>
              </w:rPr>
            </w:pPr>
            <w:r>
              <w:rPr>
                <w:rFonts w:ascii="宋体" w:hAnsi="宋体" w:hint="eastAsia"/>
                <w:b/>
                <w:szCs w:val="21"/>
              </w:rPr>
              <w:t>（一）精品录播系统</w:t>
            </w:r>
          </w:p>
        </w:tc>
        <w:tc>
          <w:tcPr>
            <w:tcW w:w="385" w:type="pct"/>
            <w:vMerge/>
          </w:tcPr>
          <w:p>
            <w:pPr>
              <w:spacing w:before="100" w:beforeAutospacing="1" w:after="100" w:afterAutospacing="1"/>
              <w:jc w:val="center"/>
              <w:outlineLvl w:val="1"/>
              <w:rPr>
                <w:rFonts w:ascii="宋体" w:hAnsi="宋体"/>
                <w:b/>
                <w:szCs w:val="21"/>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22</w:t>
            </w:r>
          </w:p>
        </w:tc>
        <w:tc>
          <w:tcPr>
            <w:tcW w:w="2470" w:type="pct"/>
            <w:noWrap/>
          </w:tcPr>
          <w:p>
            <w:pPr>
              <w:jc w:val="center"/>
              <w:rPr>
                <w:rFonts w:ascii="宋体" w:hAnsi="宋体"/>
                <w:sz w:val="18"/>
                <w:szCs w:val="18"/>
              </w:rPr>
            </w:pPr>
            <w:r>
              <w:rPr>
                <w:rFonts w:ascii="宋体" w:hAnsi="宋体" w:hint="eastAsia"/>
                <w:sz w:val="18"/>
                <w:szCs w:val="18"/>
              </w:rPr>
              <w:t>精品录播主机</w:t>
            </w:r>
          </w:p>
        </w:tc>
        <w:tc>
          <w:tcPr>
            <w:tcW w:w="685" w:type="pct"/>
            <w:noWrap/>
          </w:tcPr>
          <w:p>
            <w:pPr>
              <w:jc w:val="center"/>
              <w:rPr>
                <w:rFonts w:ascii="宋体" w:hAnsi="宋体"/>
                <w:sz w:val="18"/>
                <w:szCs w:val="18"/>
              </w:rPr>
            </w:pPr>
            <w:r>
              <w:rPr>
                <w:rFonts w:ascii="宋体" w:hAnsi="宋体" w:hint="eastAsia"/>
                <w:sz w:val="18"/>
                <w:szCs w:val="18"/>
              </w:rPr>
              <w:t>5</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23</w:t>
            </w:r>
          </w:p>
        </w:tc>
        <w:tc>
          <w:tcPr>
            <w:tcW w:w="2470" w:type="pct"/>
            <w:noWrap/>
          </w:tcPr>
          <w:p>
            <w:pPr>
              <w:jc w:val="center"/>
              <w:rPr>
                <w:rFonts w:ascii="宋体" w:hAnsi="宋体"/>
                <w:sz w:val="18"/>
                <w:szCs w:val="18"/>
              </w:rPr>
            </w:pPr>
            <w:r>
              <w:rPr>
                <w:rFonts w:ascii="宋体" w:hAnsi="宋体" w:hint="eastAsia"/>
                <w:sz w:val="18"/>
                <w:szCs w:val="18"/>
              </w:rPr>
              <w:t>录播主机管理软件</w:t>
            </w:r>
          </w:p>
        </w:tc>
        <w:tc>
          <w:tcPr>
            <w:tcW w:w="685" w:type="pct"/>
            <w:noWrap/>
          </w:tcPr>
          <w:p>
            <w:pPr>
              <w:jc w:val="center"/>
              <w:rPr>
                <w:rFonts w:ascii="宋体" w:hAnsi="宋体"/>
                <w:sz w:val="18"/>
                <w:szCs w:val="18"/>
              </w:rPr>
            </w:pPr>
            <w:r>
              <w:rPr>
                <w:rFonts w:ascii="宋体" w:hAnsi="宋体" w:hint="eastAsia"/>
                <w:sz w:val="18"/>
                <w:szCs w:val="18"/>
              </w:rPr>
              <w:t>5</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24</w:t>
            </w:r>
          </w:p>
        </w:tc>
        <w:tc>
          <w:tcPr>
            <w:tcW w:w="2470" w:type="pct"/>
            <w:noWrap/>
          </w:tcPr>
          <w:p>
            <w:pPr>
              <w:jc w:val="center"/>
              <w:rPr>
                <w:rFonts w:ascii="宋体" w:hAnsi="宋体"/>
                <w:sz w:val="18"/>
                <w:szCs w:val="18"/>
              </w:rPr>
            </w:pPr>
            <w:r>
              <w:rPr>
                <w:rFonts w:ascii="宋体" w:hAnsi="宋体"/>
                <w:sz w:val="18"/>
                <w:szCs w:val="18"/>
              </w:rPr>
              <w:t>教师</w:t>
            </w:r>
            <w:r>
              <w:rPr>
                <w:rFonts w:ascii="宋体" w:hAnsi="宋体" w:hint="eastAsia"/>
                <w:sz w:val="18"/>
                <w:szCs w:val="18"/>
              </w:rPr>
              <w:t>摄像机</w:t>
            </w:r>
          </w:p>
        </w:tc>
        <w:tc>
          <w:tcPr>
            <w:tcW w:w="685" w:type="pct"/>
            <w:noWrap/>
          </w:tcPr>
          <w:p>
            <w:pPr>
              <w:jc w:val="center"/>
              <w:rPr>
                <w:rFonts w:ascii="宋体" w:hAnsi="宋体"/>
                <w:sz w:val="18"/>
                <w:szCs w:val="18"/>
              </w:rPr>
            </w:pPr>
            <w:r>
              <w:rPr>
                <w:rFonts w:ascii="宋体" w:hAnsi="宋体" w:hint="eastAsia"/>
                <w:sz w:val="18"/>
                <w:szCs w:val="18"/>
              </w:rPr>
              <w:t>10</w:t>
            </w:r>
          </w:p>
        </w:tc>
        <w:tc>
          <w:tcPr>
            <w:tcW w:w="478" w:type="pct"/>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25</w:t>
            </w:r>
          </w:p>
        </w:tc>
        <w:tc>
          <w:tcPr>
            <w:tcW w:w="2470" w:type="pct"/>
            <w:noWrap/>
          </w:tcPr>
          <w:p>
            <w:pPr>
              <w:jc w:val="center"/>
              <w:rPr>
                <w:rFonts w:ascii="宋体" w:hAnsi="宋体"/>
                <w:sz w:val="18"/>
                <w:szCs w:val="18"/>
              </w:rPr>
            </w:pPr>
            <w:r>
              <w:rPr>
                <w:rFonts w:ascii="宋体" w:hAnsi="宋体"/>
                <w:sz w:val="18"/>
                <w:szCs w:val="18"/>
              </w:rPr>
              <w:t>学生</w:t>
            </w:r>
            <w:r>
              <w:rPr>
                <w:rFonts w:ascii="宋体" w:hAnsi="宋体" w:hint="eastAsia"/>
                <w:sz w:val="18"/>
                <w:szCs w:val="18"/>
              </w:rPr>
              <w:t>摄像机</w:t>
            </w:r>
          </w:p>
        </w:tc>
        <w:tc>
          <w:tcPr>
            <w:tcW w:w="685" w:type="pct"/>
            <w:noWrap/>
          </w:tcPr>
          <w:p>
            <w:pPr>
              <w:jc w:val="center"/>
              <w:rPr>
                <w:rFonts w:ascii="宋体" w:hAnsi="宋体"/>
                <w:sz w:val="18"/>
                <w:szCs w:val="18"/>
              </w:rPr>
            </w:pPr>
            <w:r>
              <w:rPr>
                <w:rFonts w:ascii="宋体" w:hAnsi="宋体" w:hint="eastAsia"/>
                <w:sz w:val="18"/>
                <w:szCs w:val="18"/>
              </w:rPr>
              <w:t>10</w:t>
            </w:r>
          </w:p>
        </w:tc>
        <w:tc>
          <w:tcPr>
            <w:tcW w:w="478" w:type="pct"/>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26</w:t>
            </w:r>
          </w:p>
        </w:tc>
        <w:tc>
          <w:tcPr>
            <w:tcW w:w="2470" w:type="pct"/>
            <w:noWrap/>
          </w:tcPr>
          <w:p>
            <w:pPr>
              <w:jc w:val="center"/>
              <w:rPr>
                <w:rFonts w:ascii="宋体" w:hAnsi="宋体"/>
                <w:sz w:val="18"/>
                <w:szCs w:val="18"/>
              </w:rPr>
            </w:pPr>
            <w:r>
              <w:rPr>
                <w:rFonts w:ascii="宋体" w:hAnsi="宋体" w:hint="eastAsia"/>
                <w:sz w:val="18"/>
                <w:szCs w:val="18"/>
              </w:rPr>
              <w:t>定位摄像机</w:t>
            </w:r>
          </w:p>
        </w:tc>
        <w:tc>
          <w:tcPr>
            <w:tcW w:w="685" w:type="pct"/>
            <w:noWrap/>
          </w:tcPr>
          <w:p>
            <w:pPr>
              <w:jc w:val="center"/>
              <w:rPr>
                <w:rFonts w:ascii="宋体" w:hAnsi="宋体"/>
                <w:sz w:val="18"/>
                <w:szCs w:val="18"/>
              </w:rPr>
            </w:pPr>
            <w:r>
              <w:rPr>
                <w:rFonts w:ascii="宋体" w:hAnsi="宋体" w:hint="eastAsia"/>
                <w:sz w:val="18"/>
                <w:szCs w:val="18"/>
              </w:rPr>
              <w:t>10</w:t>
            </w:r>
          </w:p>
        </w:tc>
        <w:tc>
          <w:tcPr>
            <w:tcW w:w="478" w:type="pct"/>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tcPr>
          <w:p>
            <w:pPr>
              <w:jc w:val="center"/>
              <w:rPr>
                <w:rFonts w:ascii="宋体" w:hAnsi="宋体"/>
                <w:b/>
                <w:szCs w:val="21"/>
              </w:rPr>
            </w:pPr>
          </w:p>
        </w:tc>
        <w:tc>
          <w:tcPr>
            <w:tcW w:w="4089" w:type="pct"/>
            <w:gridSpan w:val="4"/>
          </w:tcPr>
          <w:p>
            <w:pPr>
              <w:jc w:val="center"/>
              <w:rPr>
                <w:rFonts w:ascii="宋体" w:hAnsi="宋体"/>
                <w:b/>
                <w:sz w:val="24"/>
              </w:rPr>
            </w:pPr>
            <w:r>
              <w:rPr>
                <w:rFonts w:ascii="宋体" w:hAnsi="宋体" w:hint="eastAsia"/>
                <w:b/>
                <w:szCs w:val="21"/>
              </w:rPr>
              <w:t>（二）常态化录播系统</w:t>
            </w:r>
          </w:p>
        </w:tc>
        <w:tc>
          <w:tcPr>
            <w:tcW w:w="385" w:type="pct"/>
            <w:vMerge/>
          </w:tcPr>
          <w:p>
            <w:pPr>
              <w:jc w:val="center"/>
              <w:rPr>
                <w:rFonts w:ascii="宋体" w:hAnsi="宋体"/>
                <w:b/>
                <w:szCs w:val="21"/>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27</w:t>
            </w:r>
          </w:p>
        </w:tc>
        <w:tc>
          <w:tcPr>
            <w:tcW w:w="2470" w:type="pct"/>
            <w:noWrap/>
          </w:tcPr>
          <w:p>
            <w:pPr>
              <w:jc w:val="center"/>
              <w:rPr>
                <w:rFonts w:ascii="宋体" w:hAnsi="宋体"/>
                <w:sz w:val="18"/>
                <w:szCs w:val="18"/>
              </w:rPr>
            </w:pPr>
            <w:r>
              <w:rPr>
                <w:rFonts w:ascii="宋体" w:hAnsi="宋体" w:hint="eastAsia"/>
                <w:sz w:val="18"/>
                <w:szCs w:val="18"/>
              </w:rPr>
              <w:t>常态化录播主机</w:t>
            </w:r>
          </w:p>
        </w:tc>
        <w:tc>
          <w:tcPr>
            <w:tcW w:w="685" w:type="pct"/>
            <w:noWrap/>
          </w:tcPr>
          <w:p>
            <w:pPr>
              <w:jc w:val="center"/>
              <w:rPr>
                <w:rFonts w:ascii="宋体" w:hAnsi="宋体"/>
                <w:sz w:val="18"/>
                <w:szCs w:val="18"/>
              </w:rPr>
            </w:pPr>
            <w:r>
              <w:rPr>
                <w:rFonts w:ascii="宋体" w:hAnsi="宋体" w:hint="eastAsia"/>
                <w:sz w:val="18"/>
                <w:szCs w:val="18"/>
              </w:rPr>
              <w:t>25</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28</w:t>
            </w:r>
          </w:p>
        </w:tc>
        <w:tc>
          <w:tcPr>
            <w:tcW w:w="2470" w:type="pct"/>
            <w:noWrap/>
          </w:tcPr>
          <w:p>
            <w:pPr>
              <w:jc w:val="center"/>
              <w:rPr>
                <w:rFonts w:ascii="宋体" w:hAnsi="宋体"/>
                <w:sz w:val="18"/>
                <w:szCs w:val="18"/>
              </w:rPr>
            </w:pPr>
            <w:r>
              <w:rPr>
                <w:rFonts w:ascii="宋体" w:hAnsi="宋体" w:hint="eastAsia"/>
                <w:sz w:val="18"/>
                <w:szCs w:val="18"/>
              </w:rPr>
              <w:t>录播管理软件</w:t>
            </w:r>
          </w:p>
        </w:tc>
        <w:tc>
          <w:tcPr>
            <w:tcW w:w="685" w:type="pct"/>
            <w:noWrap/>
          </w:tcPr>
          <w:p>
            <w:pPr>
              <w:jc w:val="center"/>
              <w:rPr>
                <w:rFonts w:ascii="宋体" w:hAnsi="宋体"/>
                <w:sz w:val="18"/>
                <w:szCs w:val="18"/>
              </w:rPr>
            </w:pPr>
            <w:r>
              <w:rPr>
                <w:rFonts w:ascii="宋体" w:hAnsi="宋体" w:hint="eastAsia"/>
                <w:sz w:val="18"/>
                <w:szCs w:val="18"/>
              </w:rPr>
              <w:t>25</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29</w:t>
            </w:r>
          </w:p>
        </w:tc>
        <w:tc>
          <w:tcPr>
            <w:tcW w:w="2470" w:type="pct"/>
            <w:noWrap/>
            <w:vAlign w:val="center"/>
          </w:tcPr>
          <w:p>
            <w:pPr>
              <w:jc w:val="center"/>
              <w:rPr>
                <w:rFonts w:ascii="宋体" w:hAnsi="宋体"/>
                <w:sz w:val="18"/>
                <w:szCs w:val="18"/>
              </w:rPr>
            </w:pPr>
            <w:r>
              <w:rPr>
                <w:rFonts w:ascii="宋体" w:hAnsi="宋体" w:hint="eastAsia"/>
                <w:sz w:val="18"/>
                <w:szCs w:val="18"/>
              </w:rPr>
              <w:t>摄像机</w:t>
            </w:r>
          </w:p>
        </w:tc>
        <w:tc>
          <w:tcPr>
            <w:tcW w:w="685" w:type="pct"/>
            <w:noWrap/>
          </w:tcPr>
          <w:p>
            <w:pPr>
              <w:jc w:val="center"/>
              <w:rPr>
                <w:rFonts w:ascii="宋体" w:hAnsi="宋体"/>
                <w:sz w:val="18"/>
                <w:szCs w:val="18"/>
              </w:rPr>
            </w:pPr>
            <w:r>
              <w:rPr>
                <w:rFonts w:ascii="宋体" w:hAnsi="宋体" w:hint="eastAsia"/>
                <w:sz w:val="18"/>
                <w:szCs w:val="18"/>
              </w:rPr>
              <w:t>50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tcPr>
          <w:p>
            <w:pPr>
              <w:spacing w:before="100" w:beforeAutospacing="1" w:after="100" w:afterAutospacing="1"/>
              <w:jc w:val="center"/>
              <w:outlineLvl w:val="1"/>
              <w:rPr>
                <w:rFonts w:ascii="宋体" w:hAnsi="宋体"/>
                <w:b/>
                <w:sz w:val="24"/>
              </w:rPr>
            </w:pPr>
          </w:p>
        </w:tc>
        <w:tc>
          <w:tcPr>
            <w:tcW w:w="4089" w:type="pct"/>
            <w:gridSpan w:val="4"/>
          </w:tcPr>
          <w:p>
            <w:pPr>
              <w:spacing w:before="100" w:beforeAutospacing="1" w:after="100" w:afterAutospacing="1"/>
              <w:jc w:val="center"/>
              <w:outlineLvl w:val="1"/>
              <w:rPr>
                <w:rFonts w:ascii="宋体" w:hAnsi="宋体"/>
                <w:b/>
                <w:sz w:val="18"/>
                <w:szCs w:val="18"/>
              </w:rPr>
            </w:pPr>
            <w:r>
              <w:rPr>
                <w:rFonts w:ascii="宋体" w:hAnsi="宋体" w:hint="eastAsia"/>
                <w:b/>
                <w:sz w:val="24"/>
              </w:rPr>
              <w:t>四、中央控制系统货物清单</w:t>
            </w:r>
          </w:p>
        </w:tc>
        <w:tc>
          <w:tcPr>
            <w:tcW w:w="385" w:type="pct"/>
            <w:vMerge/>
          </w:tcPr>
          <w:p>
            <w:pPr>
              <w:spacing w:before="100" w:beforeAutospacing="1" w:after="100" w:afterAutospacing="1"/>
              <w:jc w:val="center"/>
              <w:outlineLvl w:val="1"/>
              <w:rPr>
                <w:rFonts w:ascii="宋体" w:hAnsi="宋体"/>
                <w:b/>
                <w:sz w:val="24"/>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30</w:t>
            </w:r>
          </w:p>
        </w:tc>
        <w:tc>
          <w:tcPr>
            <w:tcW w:w="2470" w:type="pct"/>
            <w:noWrap/>
            <w:vAlign w:val="center"/>
          </w:tcPr>
          <w:p>
            <w:pPr>
              <w:jc w:val="center"/>
              <w:rPr>
                <w:rFonts w:ascii="宋体" w:hAnsi="宋体"/>
                <w:sz w:val="18"/>
                <w:szCs w:val="18"/>
              </w:rPr>
            </w:pPr>
            <w:r>
              <w:rPr>
                <w:rFonts w:ascii="宋体" w:hAnsi="宋体" w:hint="eastAsia"/>
                <w:sz w:val="18"/>
                <w:szCs w:val="18"/>
              </w:rPr>
              <w:t>中控主机</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31</w:t>
            </w:r>
          </w:p>
        </w:tc>
        <w:tc>
          <w:tcPr>
            <w:tcW w:w="2470" w:type="pct"/>
            <w:noWrap/>
            <w:vAlign w:val="center"/>
          </w:tcPr>
          <w:p>
            <w:pPr>
              <w:jc w:val="center"/>
              <w:rPr>
                <w:rFonts w:ascii="宋体" w:hAnsi="宋体"/>
                <w:sz w:val="18"/>
                <w:szCs w:val="18"/>
              </w:rPr>
            </w:pPr>
            <w:r>
              <w:rPr>
                <w:rFonts w:ascii="宋体" w:hAnsi="宋体" w:hint="eastAsia"/>
                <w:sz w:val="18"/>
                <w:szCs w:val="18"/>
              </w:rPr>
              <w:t>触控屏</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32</w:t>
            </w:r>
          </w:p>
        </w:tc>
        <w:tc>
          <w:tcPr>
            <w:tcW w:w="2470" w:type="pct"/>
            <w:noWrap/>
            <w:vAlign w:val="center"/>
          </w:tcPr>
          <w:p>
            <w:pPr>
              <w:jc w:val="center"/>
              <w:rPr>
                <w:rFonts w:ascii="宋体" w:hAnsi="宋体"/>
                <w:sz w:val="18"/>
                <w:szCs w:val="18"/>
              </w:rPr>
            </w:pPr>
            <w:r>
              <w:rPr>
                <w:rFonts w:ascii="宋体" w:hAnsi="宋体" w:hint="eastAsia"/>
                <w:sz w:val="18"/>
                <w:szCs w:val="18"/>
              </w:rPr>
              <w:t>强电继电器</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33</w:t>
            </w:r>
          </w:p>
        </w:tc>
        <w:tc>
          <w:tcPr>
            <w:tcW w:w="2470" w:type="pct"/>
            <w:noWrap/>
            <w:vAlign w:val="center"/>
          </w:tcPr>
          <w:p>
            <w:pPr>
              <w:jc w:val="center"/>
              <w:rPr>
                <w:rFonts w:ascii="宋体" w:hAnsi="宋体"/>
                <w:sz w:val="18"/>
                <w:szCs w:val="18"/>
              </w:rPr>
            </w:pPr>
            <w:r>
              <w:rPr>
                <w:rFonts w:ascii="宋体" w:hAnsi="宋体" w:hint="eastAsia"/>
                <w:sz w:val="18"/>
                <w:szCs w:val="18"/>
              </w:rPr>
              <w:t>16口千兆交换机</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tcPr>
          <w:p>
            <w:pPr>
              <w:spacing w:before="100" w:beforeAutospacing="1" w:after="100" w:afterAutospacing="1"/>
              <w:jc w:val="center"/>
              <w:outlineLvl w:val="1"/>
              <w:rPr>
                <w:rFonts w:ascii="宋体" w:hAnsi="宋体"/>
                <w:b/>
                <w:sz w:val="24"/>
              </w:rPr>
            </w:pPr>
          </w:p>
        </w:tc>
        <w:tc>
          <w:tcPr>
            <w:tcW w:w="4089" w:type="pct"/>
            <w:gridSpan w:val="4"/>
          </w:tcPr>
          <w:p>
            <w:pPr>
              <w:spacing w:before="100" w:beforeAutospacing="1" w:after="100" w:afterAutospacing="1"/>
              <w:jc w:val="center"/>
              <w:outlineLvl w:val="1"/>
              <w:rPr>
                <w:rFonts w:ascii="宋体" w:hAnsi="宋体"/>
                <w:b/>
                <w:sz w:val="18"/>
                <w:szCs w:val="18"/>
              </w:rPr>
            </w:pPr>
            <w:r>
              <w:rPr>
                <w:rFonts w:ascii="宋体" w:hAnsi="宋体" w:hint="eastAsia"/>
                <w:b/>
                <w:sz w:val="24"/>
              </w:rPr>
              <w:t>五、感知与管理系统货物清单</w:t>
            </w:r>
          </w:p>
        </w:tc>
        <w:tc>
          <w:tcPr>
            <w:tcW w:w="385" w:type="pct"/>
            <w:vMerge/>
          </w:tcPr>
          <w:p>
            <w:pPr>
              <w:spacing w:before="100" w:beforeAutospacing="1" w:after="100" w:afterAutospacing="1"/>
              <w:jc w:val="center"/>
              <w:outlineLvl w:val="1"/>
              <w:rPr>
                <w:rFonts w:ascii="宋体" w:hAnsi="宋体"/>
                <w:b/>
                <w:sz w:val="24"/>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34</w:t>
            </w:r>
          </w:p>
        </w:tc>
        <w:tc>
          <w:tcPr>
            <w:tcW w:w="2470" w:type="pct"/>
            <w:noWrap/>
            <w:vAlign w:val="center"/>
          </w:tcPr>
          <w:p>
            <w:pPr>
              <w:jc w:val="center"/>
              <w:rPr>
                <w:rFonts w:ascii="宋体" w:hAnsi="宋体"/>
                <w:sz w:val="18"/>
                <w:szCs w:val="18"/>
              </w:rPr>
            </w:pPr>
            <w:r>
              <w:rPr>
                <w:rFonts w:ascii="宋体" w:hAnsi="宋体" w:hint="eastAsia"/>
                <w:sz w:val="18"/>
                <w:szCs w:val="18"/>
              </w:rPr>
              <w:t>调光器</w:t>
            </w:r>
          </w:p>
        </w:tc>
        <w:tc>
          <w:tcPr>
            <w:tcW w:w="685" w:type="pct"/>
            <w:noWrap/>
          </w:tcPr>
          <w:p>
            <w:pPr>
              <w:jc w:val="center"/>
              <w:rPr>
                <w:rFonts w:ascii="宋体" w:hAnsi="宋体"/>
                <w:sz w:val="18"/>
                <w:szCs w:val="18"/>
              </w:rPr>
            </w:pPr>
            <w:r>
              <w:rPr>
                <w:rFonts w:ascii="宋体" w:hAnsi="宋体" w:hint="eastAsia"/>
                <w:sz w:val="18"/>
                <w:szCs w:val="18"/>
              </w:rPr>
              <w:t>150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个</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35</w:t>
            </w:r>
          </w:p>
        </w:tc>
        <w:tc>
          <w:tcPr>
            <w:tcW w:w="2470" w:type="pct"/>
            <w:noWrap/>
            <w:vAlign w:val="center"/>
          </w:tcPr>
          <w:p>
            <w:pPr>
              <w:jc w:val="center"/>
              <w:rPr>
                <w:rFonts w:ascii="宋体" w:hAnsi="宋体"/>
                <w:sz w:val="18"/>
                <w:szCs w:val="18"/>
              </w:rPr>
            </w:pPr>
            <w:r>
              <w:rPr>
                <w:rFonts w:ascii="宋体" w:hAnsi="宋体" w:hint="eastAsia"/>
                <w:sz w:val="18"/>
                <w:szCs w:val="18"/>
              </w:rPr>
              <w:t>六合一传感器</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个</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36</w:t>
            </w:r>
          </w:p>
        </w:tc>
        <w:tc>
          <w:tcPr>
            <w:tcW w:w="2470" w:type="pct"/>
            <w:noWrap/>
            <w:vAlign w:val="center"/>
          </w:tcPr>
          <w:p>
            <w:pPr>
              <w:jc w:val="center"/>
              <w:rPr>
                <w:rFonts w:ascii="宋体" w:hAnsi="宋体"/>
                <w:sz w:val="18"/>
                <w:szCs w:val="18"/>
              </w:rPr>
            </w:pPr>
            <w:r>
              <w:rPr>
                <w:rFonts w:ascii="宋体" w:hAnsi="宋体" w:hint="eastAsia"/>
                <w:sz w:val="18"/>
                <w:szCs w:val="18"/>
              </w:rPr>
              <w:t>RFID标签</w:t>
            </w:r>
          </w:p>
        </w:tc>
        <w:tc>
          <w:tcPr>
            <w:tcW w:w="685" w:type="pct"/>
            <w:noWrap/>
          </w:tcPr>
          <w:p>
            <w:pPr>
              <w:jc w:val="center"/>
              <w:rPr>
                <w:rFonts w:ascii="宋体" w:hAnsi="宋体"/>
                <w:sz w:val="18"/>
                <w:szCs w:val="18"/>
              </w:rPr>
            </w:pPr>
            <w:r>
              <w:rPr>
                <w:rFonts w:ascii="宋体" w:hAnsi="宋体" w:hint="eastAsia"/>
                <w:sz w:val="18"/>
                <w:szCs w:val="18"/>
              </w:rPr>
              <w:t>900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张</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37</w:t>
            </w:r>
          </w:p>
        </w:tc>
        <w:tc>
          <w:tcPr>
            <w:tcW w:w="2470" w:type="pct"/>
            <w:noWrap/>
          </w:tcPr>
          <w:p>
            <w:pPr>
              <w:jc w:val="center"/>
              <w:rPr>
                <w:rFonts w:ascii="宋体" w:hAnsi="宋体"/>
                <w:sz w:val="18"/>
                <w:szCs w:val="18"/>
              </w:rPr>
            </w:pPr>
            <w:r>
              <w:rPr>
                <w:rFonts w:ascii="宋体" w:hAnsi="宋体" w:hint="eastAsia"/>
                <w:sz w:val="18"/>
                <w:szCs w:val="18"/>
              </w:rPr>
              <w:t>RFID阅读器</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tcPr>
          <w:p>
            <w:pPr>
              <w:spacing w:before="100" w:beforeAutospacing="1" w:after="100" w:afterAutospacing="1"/>
              <w:jc w:val="center"/>
              <w:outlineLvl w:val="1"/>
              <w:rPr>
                <w:rFonts w:ascii="宋体" w:hAnsi="宋体"/>
                <w:b/>
                <w:sz w:val="24"/>
              </w:rPr>
            </w:pPr>
          </w:p>
        </w:tc>
        <w:tc>
          <w:tcPr>
            <w:tcW w:w="4089" w:type="pct"/>
            <w:gridSpan w:val="4"/>
          </w:tcPr>
          <w:p>
            <w:pPr>
              <w:spacing w:before="100" w:beforeAutospacing="1" w:after="100" w:afterAutospacing="1"/>
              <w:jc w:val="center"/>
              <w:outlineLvl w:val="1"/>
              <w:rPr>
                <w:rFonts w:ascii="宋体" w:hAnsi="宋体"/>
                <w:b/>
                <w:sz w:val="18"/>
                <w:szCs w:val="18"/>
              </w:rPr>
            </w:pPr>
            <w:r>
              <w:rPr>
                <w:rFonts w:ascii="宋体" w:hAnsi="宋体" w:hint="eastAsia"/>
                <w:b/>
                <w:sz w:val="24"/>
              </w:rPr>
              <w:t>六、教室监控货物清单</w:t>
            </w:r>
          </w:p>
        </w:tc>
        <w:tc>
          <w:tcPr>
            <w:tcW w:w="385" w:type="pct"/>
            <w:vMerge/>
          </w:tcPr>
          <w:p>
            <w:pPr>
              <w:spacing w:before="100" w:beforeAutospacing="1" w:after="100" w:afterAutospacing="1"/>
              <w:jc w:val="center"/>
              <w:outlineLvl w:val="1"/>
              <w:rPr>
                <w:rFonts w:ascii="宋体" w:hAnsi="宋体"/>
                <w:b/>
                <w:sz w:val="24"/>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38</w:t>
            </w:r>
          </w:p>
        </w:tc>
        <w:tc>
          <w:tcPr>
            <w:tcW w:w="2470" w:type="pct"/>
            <w:noWrap/>
            <w:vAlign w:val="center"/>
          </w:tcPr>
          <w:p>
            <w:pPr>
              <w:jc w:val="center"/>
              <w:rPr>
                <w:rFonts w:ascii="宋体" w:hAnsi="宋体"/>
                <w:sz w:val="18"/>
                <w:szCs w:val="18"/>
              </w:rPr>
            </w:pPr>
            <w:r>
              <w:rPr>
                <w:rFonts w:ascii="宋体" w:hAnsi="宋体" w:hint="eastAsia"/>
                <w:sz w:val="18"/>
                <w:szCs w:val="18"/>
              </w:rPr>
              <w:t>监控摄像头</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tcPr>
          <w:p>
            <w:pPr>
              <w:spacing w:before="100" w:beforeAutospacing="1" w:after="100" w:afterAutospacing="1"/>
              <w:jc w:val="center"/>
              <w:outlineLvl w:val="1"/>
              <w:rPr>
                <w:rFonts w:ascii="宋体" w:hAnsi="宋体"/>
                <w:b/>
                <w:sz w:val="24"/>
              </w:rPr>
            </w:pPr>
          </w:p>
        </w:tc>
        <w:tc>
          <w:tcPr>
            <w:tcW w:w="4089" w:type="pct"/>
            <w:gridSpan w:val="4"/>
          </w:tcPr>
          <w:p>
            <w:pPr>
              <w:spacing w:before="100" w:beforeAutospacing="1" w:after="100" w:afterAutospacing="1"/>
              <w:jc w:val="center"/>
              <w:outlineLvl w:val="1"/>
              <w:rPr>
                <w:rFonts w:ascii="宋体" w:hAnsi="宋体"/>
                <w:b/>
                <w:sz w:val="18"/>
                <w:szCs w:val="18"/>
              </w:rPr>
            </w:pPr>
            <w:r>
              <w:rPr>
                <w:rFonts w:ascii="宋体" w:hAnsi="宋体"/>
                <w:b/>
                <w:sz w:val="24"/>
              </w:rPr>
              <w:t>七、</w:t>
            </w:r>
            <w:r>
              <w:rPr>
                <w:rFonts w:ascii="宋体" w:hAnsi="宋体" w:hint="eastAsia"/>
                <w:b/>
                <w:sz w:val="24"/>
              </w:rPr>
              <w:t>远程呼叫系统货物清单</w:t>
            </w:r>
          </w:p>
        </w:tc>
        <w:tc>
          <w:tcPr>
            <w:tcW w:w="385" w:type="pct"/>
            <w:vMerge/>
          </w:tcPr>
          <w:p>
            <w:pPr>
              <w:spacing w:before="100" w:beforeAutospacing="1" w:after="100" w:afterAutospacing="1"/>
              <w:jc w:val="center"/>
              <w:outlineLvl w:val="1"/>
              <w:rPr>
                <w:rFonts w:ascii="宋体" w:hAnsi="宋体"/>
                <w:b/>
                <w:sz w:val="24"/>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39</w:t>
            </w:r>
          </w:p>
        </w:tc>
        <w:tc>
          <w:tcPr>
            <w:tcW w:w="2470" w:type="pct"/>
            <w:noWrap/>
            <w:vAlign w:val="center"/>
          </w:tcPr>
          <w:p>
            <w:pPr>
              <w:jc w:val="center"/>
              <w:rPr>
                <w:rFonts w:ascii="宋体" w:hAnsi="宋体"/>
                <w:sz w:val="18"/>
                <w:szCs w:val="18"/>
              </w:rPr>
            </w:pPr>
            <w:r>
              <w:rPr>
                <w:rFonts w:ascii="宋体" w:hAnsi="宋体" w:hint="eastAsia"/>
                <w:sz w:val="18"/>
                <w:szCs w:val="18"/>
              </w:rPr>
              <w:t>网络管理主机</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套</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40</w:t>
            </w:r>
          </w:p>
        </w:tc>
        <w:tc>
          <w:tcPr>
            <w:tcW w:w="2470" w:type="pct"/>
            <w:noWrap/>
            <w:vAlign w:val="center"/>
          </w:tcPr>
          <w:p>
            <w:pPr>
              <w:jc w:val="center"/>
              <w:rPr>
                <w:rFonts w:ascii="宋体" w:hAnsi="宋体"/>
                <w:sz w:val="18"/>
                <w:szCs w:val="18"/>
              </w:rPr>
            </w:pPr>
            <w:r>
              <w:rPr>
                <w:rFonts w:ascii="宋体" w:hAnsi="宋体" w:hint="eastAsia"/>
                <w:sz w:val="18"/>
                <w:szCs w:val="18"/>
              </w:rPr>
              <w:t>网络音频系统软件</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41</w:t>
            </w:r>
          </w:p>
        </w:tc>
        <w:tc>
          <w:tcPr>
            <w:tcW w:w="2470" w:type="pct"/>
            <w:noWrap/>
            <w:vAlign w:val="center"/>
          </w:tcPr>
          <w:p>
            <w:pPr>
              <w:jc w:val="center"/>
              <w:rPr>
                <w:rFonts w:ascii="宋体" w:hAnsi="宋体"/>
                <w:sz w:val="18"/>
                <w:szCs w:val="18"/>
              </w:rPr>
            </w:pPr>
            <w:r>
              <w:rPr>
                <w:rFonts w:ascii="宋体" w:hAnsi="宋体" w:hint="eastAsia"/>
                <w:sz w:val="18"/>
                <w:szCs w:val="18"/>
              </w:rPr>
              <w:t>IP网络控制台</w:t>
            </w:r>
          </w:p>
        </w:tc>
        <w:tc>
          <w:tcPr>
            <w:tcW w:w="685" w:type="pct"/>
            <w:noWrap/>
          </w:tcPr>
          <w:p>
            <w:pPr>
              <w:jc w:val="center"/>
              <w:rPr>
                <w:rFonts w:ascii="宋体" w:hAnsi="宋体"/>
                <w:sz w:val="18"/>
                <w:szCs w:val="18"/>
              </w:rPr>
            </w:pPr>
            <w:r>
              <w:rPr>
                <w:rFonts w:ascii="宋体" w:hAnsi="宋体" w:hint="eastAsia"/>
                <w:sz w:val="18"/>
                <w:szCs w:val="18"/>
              </w:rPr>
              <w:t>2</w:t>
            </w:r>
          </w:p>
        </w:tc>
        <w:tc>
          <w:tcPr>
            <w:tcW w:w="478" w:type="pct"/>
            <w:noWrap/>
          </w:tcPr>
          <w:p>
            <w:pPr>
              <w:jc w:val="center"/>
            </w:pPr>
            <w:r>
              <w:rPr>
                <w:rFonts w:ascii="宋体" w:hAnsi="宋体" w:hint="eastAsia"/>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42</w:t>
            </w:r>
          </w:p>
        </w:tc>
        <w:tc>
          <w:tcPr>
            <w:tcW w:w="2470" w:type="pct"/>
            <w:noWrap/>
            <w:vAlign w:val="center"/>
          </w:tcPr>
          <w:p>
            <w:pPr>
              <w:jc w:val="center"/>
              <w:rPr>
                <w:rFonts w:ascii="宋体" w:hAnsi="宋体"/>
                <w:sz w:val="18"/>
                <w:szCs w:val="18"/>
              </w:rPr>
            </w:pPr>
            <w:r>
              <w:rPr>
                <w:rFonts w:ascii="宋体" w:hAnsi="宋体" w:cs="宋体" w:hint="eastAsia"/>
                <w:kern w:val="0"/>
                <w:szCs w:val="21"/>
              </w:rPr>
              <w:t>IP网络对讲终端</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jc w:val="center"/>
            </w:pPr>
            <w:r>
              <w:rPr>
                <w:rFonts w:ascii="宋体" w:hAnsi="宋体" w:hint="eastAsia"/>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90"/>
          <w:jc w:val="center"/>
        </w:trPr>
        <w:tc>
          <w:tcPr>
            <w:tcW w:w="524" w:type="pct"/>
            <w:vMerge/>
          </w:tcPr>
          <w:p>
            <w:pPr>
              <w:spacing w:before="100" w:beforeAutospacing="1" w:after="100" w:afterAutospacing="1"/>
              <w:jc w:val="center"/>
              <w:outlineLvl w:val="1"/>
              <w:rPr>
                <w:rFonts w:ascii="宋体" w:hAnsi="宋体"/>
                <w:b/>
                <w:sz w:val="24"/>
              </w:rPr>
            </w:pPr>
          </w:p>
        </w:tc>
        <w:tc>
          <w:tcPr>
            <w:tcW w:w="4089" w:type="pct"/>
            <w:gridSpan w:val="4"/>
          </w:tcPr>
          <w:p>
            <w:pPr>
              <w:spacing w:before="100" w:beforeAutospacing="1" w:after="100" w:afterAutospacing="1"/>
              <w:jc w:val="center"/>
              <w:outlineLvl w:val="1"/>
              <w:rPr>
                <w:rFonts w:ascii="宋体" w:hAnsi="宋体"/>
                <w:b/>
                <w:sz w:val="18"/>
                <w:szCs w:val="18"/>
              </w:rPr>
            </w:pPr>
            <w:r>
              <w:rPr>
                <w:rFonts w:ascii="宋体" w:hAnsi="宋体" w:hint="eastAsia"/>
                <w:b/>
                <w:sz w:val="24"/>
              </w:rPr>
              <w:t>八、信息发布系统货物清单</w:t>
            </w:r>
          </w:p>
        </w:tc>
        <w:tc>
          <w:tcPr>
            <w:tcW w:w="385" w:type="pct"/>
            <w:vMerge/>
          </w:tcPr>
          <w:p>
            <w:pPr>
              <w:spacing w:before="100" w:beforeAutospacing="1" w:after="100" w:afterAutospacing="1"/>
              <w:jc w:val="center"/>
              <w:outlineLvl w:val="1"/>
              <w:rPr>
                <w:rFonts w:ascii="宋体" w:hAnsi="宋体"/>
                <w:b/>
                <w:sz w:val="24"/>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sz w:val="18"/>
                <w:szCs w:val="18"/>
              </w:rPr>
              <w:t>4</w:t>
            </w:r>
            <w:r>
              <w:rPr>
                <w:rFonts w:ascii="宋体" w:hAnsi="宋体" w:hint="eastAsia"/>
                <w:sz w:val="18"/>
                <w:szCs w:val="18"/>
              </w:rPr>
              <w:t>3</w:t>
            </w:r>
          </w:p>
        </w:tc>
        <w:tc>
          <w:tcPr>
            <w:tcW w:w="2470" w:type="pct"/>
            <w:noWrap/>
            <w:vAlign w:val="center"/>
          </w:tcPr>
          <w:p>
            <w:pPr>
              <w:jc w:val="center"/>
              <w:rPr>
                <w:rFonts w:ascii="宋体" w:hAnsi="宋体"/>
                <w:sz w:val="18"/>
                <w:szCs w:val="18"/>
              </w:rPr>
            </w:pPr>
            <w:r>
              <w:rPr>
                <w:rFonts w:ascii="宋体" w:hAnsi="宋体" w:hint="eastAsia"/>
                <w:sz w:val="18"/>
                <w:szCs w:val="18"/>
              </w:rPr>
              <w:t>显示屏</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b/>
                <w:color w:val="FF0000"/>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tcPr>
          <w:p>
            <w:pPr>
              <w:spacing w:before="100" w:beforeAutospacing="1" w:after="100" w:afterAutospacing="1"/>
              <w:jc w:val="center"/>
              <w:outlineLvl w:val="1"/>
              <w:rPr>
                <w:rFonts w:ascii="宋体" w:hAnsi="宋体"/>
                <w:b/>
                <w:sz w:val="24"/>
              </w:rPr>
            </w:pPr>
          </w:p>
        </w:tc>
        <w:tc>
          <w:tcPr>
            <w:tcW w:w="4089" w:type="pct"/>
            <w:gridSpan w:val="4"/>
          </w:tcPr>
          <w:p>
            <w:pPr>
              <w:spacing w:before="100" w:beforeAutospacing="1" w:after="100" w:afterAutospacing="1"/>
              <w:jc w:val="center"/>
              <w:outlineLvl w:val="1"/>
              <w:rPr>
                <w:rFonts w:ascii="宋体" w:hAnsi="宋体"/>
                <w:b/>
                <w:sz w:val="18"/>
                <w:szCs w:val="18"/>
              </w:rPr>
            </w:pPr>
            <w:r>
              <w:rPr>
                <w:rFonts w:ascii="宋体" w:hAnsi="宋体" w:hint="eastAsia"/>
                <w:b/>
                <w:sz w:val="24"/>
              </w:rPr>
              <w:t>九、电子时钟系统货物清单</w:t>
            </w:r>
          </w:p>
        </w:tc>
        <w:tc>
          <w:tcPr>
            <w:tcW w:w="385" w:type="pct"/>
            <w:vMerge/>
          </w:tcPr>
          <w:p>
            <w:pPr>
              <w:spacing w:before="100" w:beforeAutospacing="1" w:after="100" w:afterAutospacing="1"/>
              <w:jc w:val="center"/>
              <w:outlineLvl w:val="1"/>
              <w:rPr>
                <w:rFonts w:ascii="宋体" w:hAnsi="宋体"/>
                <w:b/>
                <w:sz w:val="24"/>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sz w:val="18"/>
                <w:szCs w:val="18"/>
              </w:rPr>
              <w:t>4</w:t>
            </w:r>
            <w:r>
              <w:rPr>
                <w:rFonts w:ascii="宋体" w:hAnsi="宋体" w:hint="eastAsia"/>
                <w:sz w:val="18"/>
                <w:szCs w:val="18"/>
              </w:rPr>
              <w:t>4</w:t>
            </w:r>
          </w:p>
        </w:tc>
        <w:tc>
          <w:tcPr>
            <w:tcW w:w="2470" w:type="pct"/>
            <w:noWrap/>
            <w:vAlign w:val="center"/>
          </w:tcPr>
          <w:p>
            <w:pPr>
              <w:jc w:val="center"/>
              <w:rPr>
                <w:rFonts w:ascii="宋体" w:hAnsi="宋体"/>
                <w:sz w:val="18"/>
                <w:szCs w:val="18"/>
              </w:rPr>
            </w:pPr>
            <w:r>
              <w:rPr>
                <w:rFonts w:ascii="宋体" w:hAnsi="宋体" w:hint="eastAsia"/>
                <w:sz w:val="18"/>
                <w:szCs w:val="18"/>
              </w:rPr>
              <w:t>网络同步电子时钟</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块</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sz w:val="18"/>
                <w:szCs w:val="18"/>
              </w:rPr>
              <w:t>4</w:t>
            </w:r>
            <w:r>
              <w:rPr>
                <w:rFonts w:ascii="宋体" w:hAnsi="宋体" w:hint="eastAsia"/>
                <w:sz w:val="18"/>
                <w:szCs w:val="18"/>
              </w:rPr>
              <w:t>5</w:t>
            </w:r>
          </w:p>
        </w:tc>
        <w:tc>
          <w:tcPr>
            <w:tcW w:w="2470" w:type="pct"/>
            <w:noWrap/>
            <w:vAlign w:val="center"/>
          </w:tcPr>
          <w:p>
            <w:pPr>
              <w:jc w:val="center"/>
              <w:rPr>
                <w:rFonts w:ascii="宋体" w:hAnsi="宋体"/>
                <w:sz w:val="18"/>
                <w:szCs w:val="18"/>
              </w:rPr>
            </w:pPr>
            <w:r>
              <w:rPr>
                <w:rFonts w:ascii="宋体" w:hAnsi="宋体" w:hint="eastAsia"/>
                <w:sz w:val="18"/>
                <w:szCs w:val="18"/>
              </w:rPr>
              <w:t>时间服务器</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sz w:val="18"/>
                <w:szCs w:val="18"/>
              </w:rPr>
              <w:t>4</w:t>
            </w:r>
            <w:r>
              <w:rPr>
                <w:rFonts w:ascii="宋体" w:hAnsi="宋体" w:hint="eastAsia"/>
                <w:sz w:val="18"/>
                <w:szCs w:val="18"/>
              </w:rPr>
              <w:t>6</w:t>
            </w:r>
          </w:p>
        </w:tc>
        <w:tc>
          <w:tcPr>
            <w:tcW w:w="2470" w:type="pct"/>
            <w:noWrap/>
            <w:vAlign w:val="center"/>
          </w:tcPr>
          <w:p>
            <w:pPr>
              <w:jc w:val="center"/>
              <w:rPr>
                <w:rFonts w:ascii="宋体" w:hAnsi="宋体"/>
                <w:sz w:val="18"/>
                <w:szCs w:val="18"/>
              </w:rPr>
            </w:pPr>
            <w:r>
              <w:rPr>
                <w:rFonts w:ascii="宋体" w:hAnsi="宋体" w:hint="eastAsia"/>
                <w:sz w:val="18"/>
                <w:szCs w:val="18"/>
              </w:rPr>
              <w:t>控制软件</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tcPr>
          <w:p>
            <w:pPr>
              <w:spacing w:before="100" w:beforeAutospacing="1" w:after="100" w:afterAutospacing="1"/>
              <w:jc w:val="center"/>
              <w:outlineLvl w:val="1"/>
              <w:rPr>
                <w:rFonts w:ascii="宋体" w:hAnsi="宋体"/>
                <w:b/>
                <w:sz w:val="24"/>
              </w:rPr>
            </w:pPr>
          </w:p>
        </w:tc>
        <w:tc>
          <w:tcPr>
            <w:tcW w:w="4089" w:type="pct"/>
            <w:gridSpan w:val="4"/>
          </w:tcPr>
          <w:p>
            <w:pPr>
              <w:spacing w:before="100" w:beforeAutospacing="1" w:after="100" w:afterAutospacing="1"/>
              <w:jc w:val="center"/>
              <w:outlineLvl w:val="1"/>
              <w:rPr>
                <w:rFonts w:ascii="宋体" w:hAnsi="宋体"/>
                <w:b/>
                <w:sz w:val="18"/>
                <w:szCs w:val="18"/>
              </w:rPr>
            </w:pPr>
            <w:r>
              <w:rPr>
                <w:rFonts w:ascii="宋体" w:hAnsi="宋体" w:hint="eastAsia"/>
                <w:b/>
                <w:sz w:val="24"/>
              </w:rPr>
              <w:t>十、教学管理控制中心货物清单</w:t>
            </w:r>
          </w:p>
        </w:tc>
        <w:tc>
          <w:tcPr>
            <w:tcW w:w="385" w:type="pct"/>
            <w:vMerge/>
          </w:tcPr>
          <w:p>
            <w:pPr>
              <w:spacing w:before="100" w:beforeAutospacing="1" w:after="100" w:afterAutospacing="1"/>
              <w:jc w:val="center"/>
              <w:outlineLvl w:val="1"/>
              <w:rPr>
                <w:rFonts w:ascii="宋体" w:hAnsi="宋体"/>
                <w:b/>
                <w:sz w:val="24"/>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47</w:t>
            </w:r>
          </w:p>
        </w:tc>
        <w:tc>
          <w:tcPr>
            <w:tcW w:w="2470" w:type="pct"/>
            <w:noWrap/>
            <w:vAlign w:val="center"/>
          </w:tcPr>
          <w:p>
            <w:pPr>
              <w:jc w:val="center"/>
              <w:rPr>
                <w:rFonts w:ascii="宋体" w:hAnsi="宋体"/>
                <w:color w:val="FF0000"/>
                <w:sz w:val="18"/>
                <w:szCs w:val="18"/>
              </w:rPr>
            </w:pPr>
            <w:r>
              <w:rPr>
                <w:rFonts w:ascii="宋体" w:hAnsi="宋体" w:hint="eastAsia"/>
                <w:sz w:val="18"/>
                <w:szCs w:val="18"/>
              </w:rPr>
              <w:t>液晶拼接屏</w:t>
            </w:r>
          </w:p>
        </w:tc>
        <w:tc>
          <w:tcPr>
            <w:tcW w:w="685" w:type="pct"/>
            <w:noWrap/>
          </w:tcPr>
          <w:p>
            <w:pPr>
              <w:jc w:val="center"/>
              <w:rPr>
                <w:rFonts w:ascii="宋体" w:hAnsi="宋体"/>
                <w:sz w:val="18"/>
                <w:szCs w:val="18"/>
              </w:rPr>
            </w:pPr>
            <w:r>
              <w:rPr>
                <w:rFonts w:ascii="宋体" w:hAnsi="宋体" w:hint="eastAsia"/>
                <w:sz w:val="18"/>
                <w:szCs w:val="18"/>
              </w:rPr>
              <w:t>9</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块</w:t>
            </w:r>
          </w:p>
        </w:tc>
        <w:tc>
          <w:tcPr>
            <w:tcW w:w="385" w:type="pct"/>
            <w:vMerge/>
          </w:tcPr>
          <w:p>
            <w:pPr>
              <w:spacing w:before="100" w:beforeAutospacing="1" w:after="100" w:afterAutospacing="1"/>
              <w:jc w:val="center"/>
              <w:outlineLvl w:val="1"/>
              <w:rPr>
                <w:rFonts w:ascii="宋体" w:hAnsi="宋体"/>
                <w:color w:val="FF0000"/>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48</w:t>
            </w:r>
          </w:p>
        </w:tc>
        <w:tc>
          <w:tcPr>
            <w:tcW w:w="2470" w:type="pct"/>
            <w:noWrap/>
            <w:vAlign w:val="center"/>
          </w:tcPr>
          <w:p>
            <w:pPr>
              <w:jc w:val="center"/>
              <w:rPr>
                <w:rFonts w:ascii="宋体" w:hAnsi="宋体"/>
                <w:sz w:val="18"/>
                <w:szCs w:val="18"/>
              </w:rPr>
            </w:pPr>
            <w:r>
              <w:rPr>
                <w:rFonts w:ascii="宋体" w:hAnsi="宋体" w:hint="eastAsia"/>
                <w:sz w:val="18"/>
                <w:szCs w:val="18"/>
              </w:rPr>
              <w:t>液压前维护支架</w:t>
            </w:r>
          </w:p>
        </w:tc>
        <w:tc>
          <w:tcPr>
            <w:tcW w:w="685" w:type="pct"/>
            <w:noWrap/>
          </w:tcPr>
          <w:p>
            <w:pPr>
              <w:jc w:val="center"/>
              <w:rPr>
                <w:rFonts w:ascii="宋体" w:hAnsi="宋体"/>
                <w:sz w:val="18"/>
                <w:szCs w:val="18"/>
              </w:rPr>
            </w:pPr>
            <w:r>
              <w:rPr>
                <w:rFonts w:ascii="宋体" w:hAnsi="宋体" w:hint="eastAsia"/>
                <w:sz w:val="18"/>
                <w:szCs w:val="18"/>
              </w:rPr>
              <w:t>9</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49</w:t>
            </w:r>
          </w:p>
        </w:tc>
        <w:tc>
          <w:tcPr>
            <w:tcW w:w="2470" w:type="pct"/>
            <w:noWrap/>
            <w:vAlign w:val="center"/>
          </w:tcPr>
          <w:p>
            <w:pPr>
              <w:jc w:val="center"/>
              <w:rPr>
                <w:rFonts w:ascii="宋体" w:hAnsi="宋体"/>
                <w:sz w:val="18"/>
                <w:szCs w:val="18"/>
              </w:rPr>
            </w:pPr>
            <w:r>
              <w:rPr>
                <w:rFonts w:ascii="宋体" w:hAnsi="宋体" w:hint="eastAsia"/>
                <w:sz w:val="18"/>
                <w:szCs w:val="18"/>
              </w:rPr>
              <w:t>落地式机柜</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sz w:val="18"/>
                <w:szCs w:val="18"/>
              </w:rPr>
              <w:t>5</w:t>
            </w:r>
            <w:r>
              <w:rPr>
                <w:rFonts w:ascii="宋体" w:hAnsi="宋体" w:hint="eastAsia"/>
                <w:sz w:val="18"/>
                <w:szCs w:val="18"/>
              </w:rPr>
              <w:t>0</w:t>
            </w:r>
          </w:p>
        </w:tc>
        <w:tc>
          <w:tcPr>
            <w:tcW w:w="2470" w:type="pct"/>
            <w:noWrap/>
            <w:vAlign w:val="center"/>
          </w:tcPr>
          <w:p>
            <w:pPr>
              <w:jc w:val="center"/>
              <w:rPr>
                <w:rFonts w:ascii="宋体" w:hAnsi="宋体"/>
                <w:sz w:val="18"/>
                <w:szCs w:val="18"/>
              </w:rPr>
            </w:pPr>
            <w:r>
              <w:rPr>
                <w:rFonts w:ascii="宋体" w:hAnsi="宋体" w:hint="eastAsia"/>
                <w:sz w:val="18"/>
                <w:szCs w:val="18"/>
              </w:rPr>
              <w:t>图像拼接处理器</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b/>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sz w:val="18"/>
                <w:szCs w:val="18"/>
              </w:rPr>
              <w:t>5</w:t>
            </w:r>
            <w:r>
              <w:rPr>
                <w:rFonts w:ascii="宋体" w:hAnsi="宋体" w:hint="eastAsia"/>
                <w:sz w:val="18"/>
                <w:szCs w:val="18"/>
              </w:rPr>
              <w:t>1</w:t>
            </w:r>
          </w:p>
        </w:tc>
        <w:tc>
          <w:tcPr>
            <w:tcW w:w="2470" w:type="pct"/>
            <w:noWrap/>
            <w:vAlign w:val="center"/>
          </w:tcPr>
          <w:p>
            <w:pPr>
              <w:jc w:val="center"/>
              <w:rPr>
                <w:rFonts w:ascii="宋体" w:hAnsi="宋体"/>
                <w:sz w:val="18"/>
                <w:szCs w:val="18"/>
              </w:rPr>
            </w:pPr>
            <w:r>
              <w:rPr>
                <w:rFonts w:ascii="宋体" w:hAnsi="宋体" w:hint="eastAsia"/>
                <w:sz w:val="18"/>
                <w:szCs w:val="18"/>
              </w:rPr>
              <w:t>可视化智慧校园综合信息管理平台</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sz w:val="18"/>
                <w:szCs w:val="18"/>
              </w:rPr>
              <w:t>5</w:t>
            </w:r>
            <w:r>
              <w:rPr>
                <w:rFonts w:ascii="宋体" w:hAnsi="宋体" w:hint="eastAsia"/>
                <w:sz w:val="18"/>
                <w:szCs w:val="18"/>
              </w:rPr>
              <w:t>2</w:t>
            </w:r>
          </w:p>
        </w:tc>
        <w:tc>
          <w:tcPr>
            <w:tcW w:w="2470" w:type="pct"/>
            <w:noWrap/>
            <w:vAlign w:val="center"/>
          </w:tcPr>
          <w:p>
            <w:pPr>
              <w:jc w:val="center"/>
              <w:rPr>
                <w:rFonts w:ascii="宋体" w:hAnsi="宋体"/>
                <w:sz w:val="18"/>
                <w:szCs w:val="18"/>
              </w:rPr>
            </w:pPr>
            <w:r>
              <w:rPr>
                <w:rFonts w:ascii="宋体" w:hAnsi="宋体" w:hint="eastAsia"/>
                <w:sz w:val="18"/>
                <w:szCs w:val="18"/>
              </w:rPr>
              <w:t>视频基础服务</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sz w:val="18"/>
                <w:szCs w:val="18"/>
              </w:rPr>
              <w:t>5</w:t>
            </w:r>
            <w:r>
              <w:rPr>
                <w:rFonts w:ascii="宋体" w:hAnsi="宋体" w:hint="eastAsia"/>
                <w:sz w:val="18"/>
                <w:szCs w:val="18"/>
              </w:rPr>
              <w:t>3</w:t>
            </w:r>
          </w:p>
        </w:tc>
        <w:tc>
          <w:tcPr>
            <w:tcW w:w="2470" w:type="pct"/>
            <w:noWrap/>
            <w:vAlign w:val="center"/>
          </w:tcPr>
          <w:p>
            <w:pPr>
              <w:jc w:val="center"/>
              <w:rPr>
                <w:rFonts w:ascii="宋体" w:hAnsi="宋体"/>
                <w:sz w:val="18"/>
                <w:szCs w:val="18"/>
              </w:rPr>
            </w:pPr>
            <w:r>
              <w:rPr>
                <w:rFonts w:ascii="宋体" w:hAnsi="宋体" w:hint="eastAsia"/>
                <w:sz w:val="18"/>
                <w:szCs w:val="18"/>
              </w:rPr>
              <w:t>智慧教学环境管理系统软件</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sz w:val="18"/>
                <w:szCs w:val="18"/>
              </w:rPr>
              <w:t>5</w:t>
            </w:r>
            <w:r>
              <w:rPr>
                <w:rFonts w:ascii="宋体" w:hAnsi="宋体" w:hint="eastAsia"/>
                <w:sz w:val="18"/>
                <w:szCs w:val="18"/>
              </w:rPr>
              <w:t>4</w:t>
            </w:r>
          </w:p>
        </w:tc>
        <w:tc>
          <w:tcPr>
            <w:tcW w:w="2470" w:type="pct"/>
            <w:noWrap/>
            <w:vAlign w:val="center"/>
          </w:tcPr>
          <w:p>
            <w:pPr>
              <w:jc w:val="center"/>
              <w:rPr>
                <w:rFonts w:ascii="宋体" w:hAnsi="宋体"/>
                <w:sz w:val="18"/>
                <w:szCs w:val="18"/>
              </w:rPr>
            </w:pPr>
            <w:r>
              <w:rPr>
                <w:rFonts w:ascii="宋体" w:hAnsi="宋体" w:hint="eastAsia"/>
                <w:sz w:val="18"/>
                <w:szCs w:val="18"/>
              </w:rPr>
              <w:t>多媒体教学远程观摩监控系统软件</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sz w:val="18"/>
                <w:szCs w:val="18"/>
              </w:rPr>
              <w:t>5</w:t>
            </w:r>
            <w:r>
              <w:rPr>
                <w:rFonts w:ascii="宋体" w:hAnsi="宋体" w:hint="eastAsia"/>
                <w:sz w:val="18"/>
                <w:szCs w:val="18"/>
              </w:rPr>
              <w:t>5</w:t>
            </w:r>
          </w:p>
        </w:tc>
        <w:tc>
          <w:tcPr>
            <w:tcW w:w="2470" w:type="pct"/>
            <w:noWrap/>
            <w:vAlign w:val="center"/>
          </w:tcPr>
          <w:p>
            <w:pPr>
              <w:jc w:val="center"/>
              <w:rPr>
                <w:rFonts w:ascii="宋体" w:hAnsi="宋体"/>
                <w:sz w:val="18"/>
                <w:szCs w:val="18"/>
              </w:rPr>
            </w:pPr>
            <w:r>
              <w:rPr>
                <w:rFonts w:ascii="宋体" w:hAnsi="宋体" w:hint="eastAsia"/>
                <w:sz w:val="18"/>
                <w:szCs w:val="18"/>
              </w:rPr>
              <w:t>大屏控制电脑</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sz w:val="18"/>
                <w:szCs w:val="18"/>
              </w:rPr>
              <w:t>5</w:t>
            </w:r>
            <w:r>
              <w:rPr>
                <w:rFonts w:ascii="宋体" w:hAnsi="宋体" w:hint="eastAsia"/>
                <w:sz w:val="18"/>
                <w:szCs w:val="18"/>
              </w:rPr>
              <w:t>6</w:t>
            </w:r>
          </w:p>
        </w:tc>
        <w:tc>
          <w:tcPr>
            <w:tcW w:w="2470" w:type="pct"/>
            <w:noWrap/>
            <w:vAlign w:val="center"/>
          </w:tcPr>
          <w:p>
            <w:pPr>
              <w:jc w:val="center"/>
              <w:rPr>
                <w:rFonts w:ascii="宋体" w:hAnsi="宋体"/>
                <w:sz w:val="18"/>
                <w:szCs w:val="18"/>
              </w:rPr>
            </w:pPr>
            <w:r>
              <w:rPr>
                <w:rFonts w:ascii="宋体" w:hAnsi="宋体" w:hint="eastAsia"/>
                <w:sz w:val="18"/>
                <w:szCs w:val="18"/>
              </w:rPr>
              <w:t>资产设备感知管理平台</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385" w:type="pct"/>
            <w:vMerge/>
          </w:tcPr>
          <w:p>
            <w:pPr>
              <w:spacing w:before="100" w:beforeAutospacing="1" w:after="100" w:afterAutospacing="1"/>
              <w:jc w:val="center"/>
              <w:outlineLvl w:val="1"/>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57</w:t>
            </w:r>
          </w:p>
        </w:tc>
        <w:tc>
          <w:tcPr>
            <w:tcW w:w="2470" w:type="pct"/>
            <w:noWrap/>
          </w:tcPr>
          <w:p>
            <w:pPr>
              <w:jc w:val="center"/>
              <w:rPr>
                <w:rFonts w:ascii="宋体" w:hAnsi="宋体"/>
                <w:sz w:val="18"/>
                <w:szCs w:val="18"/>
              </w:rPr>
            </w:pPr>
            <w:r>
              <w:rPr>
                <w:rFonts w:ascii="宋体" w:hAnsi="宋体" w:hint="eastAsia"/>
                <w:sz w:val="18"/>
                <w:szCs w:val="18"/>
              </w:rPr>
              <w:t>RFID手持读写器</w:t>
            </w:r>
          </w:p>
        </w:tc>
        <w:tc>
          <w:tcPr>
            <w:tcW w:w="685" w:type="pct"/>
            <w:noWrap/>
          </w:tcPr>
          <w:p>
            <w:pPr>
              <w:jc w:val="center"/>
              <w:rPr>
                <w:rFonts w:ascii="宋体" w:hAnsi="宋体"/>
                <w:sz w:val="18"/>
                <w:szCs w:val="18"/>
              </w:rPr>
            </w:pPr>
            <w:r>
              <w:rPr>
                <w:rFonts w:ascii="宋体" w:hAnsi="宋体" w:hint="eastAsia"/>
                <w:sz w:val="18"/>
                <w:szCs w:val="18"/>
              </w:rPr>
              <w:t>5</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b/>
                <w:sz w:val="24"/>
              </w:rPr>
            </w:pPr>
          </w:p>
        </w:tc>
        <w:tc>
          <w:tcPr>
            <w:tcW w:w="4089" w:type="pct"/>
            <w:gridSpan w:val="4"/>
            <w:noWrap/>
          </w:tcPr>
          <w:p>
            <w:pPr>
              <w:jc w:val="center"/>
              <w:rPr>
                <w:rFonts w:ascii="宋体" w:hAnsi="宋体"/>
                <w:sz w:val="18"/>
                <w:szCs w:val="18"/>
              </w:rPr>
            </w:pPr>
            <w:r>
              <w:rPr>
                <w:rFonts w:ascii="宋体" w:hAnsi="宋体" w:hint="eastAsia"/>
                <w:b/>
                <w:sz w:val="24"/>
              </w:rPr>
              <w:t>十一、打铃系统</w:t>
            </w:r>
          </w:p>
        </w:tc>
        <w:tc>
          <w:tcPr>
            <w:tcW w:w="385" w:type="pct"/>
            <w:vMerge/>
            <w:noWrap/>
          </w:tcPr>
          <w:p>
            <w:pPr>
              <w:jc w:val="center"/>
              <w:rPr>
                <w:rFonts w:ascii="宋体" w:hAnsi="宋体"/>
                <w:b/>
                <w:sz w:val="24"/>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58</w:t>
            </w:r>
          </w:p>
        </w:tc>
        <w:tc>
          <w:tcPr>
            <w:tcW w:w="2470" w:type="pct"/>
            <w:noWrap/>
          </w:tcPr>
          <w:p>
            <w:pPr>
              <w:jc w:val="center"/>
              <w:rPr>
                <w:rFonts w:ascii="宋体" w:hAnsi="宋体"/>
                <w:sz w:val="18"/>
                <w:szCs w:val="18"/>
              </w:rPr>
            </w:pPr>
            <w:r>
              <w:rPr>
                <w:rFonts w:ascii="宋体" w:hAnsi="宋体" w:hint="eastAsia"/>
                <w:sz w:val="18"/>
                <w:szCs w:val="18"/>
              </w:rPr>
              <w:t>音箱</w:t>
            </w:r>
          </w:p>
        </w:tc>
        <w:tc>
          <w:tcPr>
            <w:tcW w:w="685" w:type="pct"/>
            <w:noWrap/>
          </w:tcPr>
          <w:p>
            <w:pPr>
              <w:jc w:val="center"/>
              <w:rPr>
                <w:rFonts w:ascii="宋体" w:hAnsi="宋体"/>
                <w:sz w:val="18"/>
                <w:szCs w:val="18"/>
              </w:rPr>
            </w:pPr>
            <w:r>
              <w:rPr>
                <w:rFonts w:ascii="宋体" w:hAnsi="宋体" w:hint="eastAsia"/>
                <w:sz w:val="18"/>
                <w:szCs w:val="18"/>
              </w:rPr>
              <w:t>30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只</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b/>
                <w:sz w:val="24"/>
              </w:rPr>
            </w:pPr>
          </w:p>
        </w:tc>
        <w:tc>
          <w:tcPr>
            <w:tcW w:w="4089" w:type="pct"/>
            <w:gridSpan w:val="4"/>
            <w:noWrap/>
          </w:tcPr>
          <w:p>
            <w:pPr>
              <w:jc w:val="center"/>
              <w:rPr>
                <w:rFonts w:ascii="宋体" w:hAnsi="宋体"/>
                <w:sz w:val="18"/>
                <w:szCs w:val="18"/>
              </w:rPr>
            </w:pPr>
            <w:r>
              <w:rPr>
                <w:rFonts w:ascii="宋体" w:hAnsi="宋体" w:hint="eastAsia"/>
                <w:b/>
                <w:sz w:val="24"/>
              </w:rPr>
              <w:t>十二、服务器与存储货物清单</w:t>
            </w:r>
          </w:p>
        </w:tc>
        <w:tc>
          <w:tcPr>
            <w:tcW w:w="385" w:type="pct"/>
            <w:vMerge/>
            <w:noWrap/>
          </w:tcPr>
          <w:p>
            <w:pPr>
              <w:jc w:val="center"/>
              <w:rPr>
                <w:rFonts w:ascii="宋体" w:hAnsi="宋体"/>
                <w:b/>
                <w:sz w:val="24"/>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59</w:t>
            </w:r>
          </w:p>
        </w:tc>
        <w:tc>
          <w:tcPr>
            <w:tcW w:w="2470" w:type="pct"/>
            <w:noWrap/>
          </w:tcPr>
          <w:p>
            <w:pPr>
              <w:jc w:val="center"/>
              <w:rPr>
                <w:rFonts w:ascii="宋体" w:hAnsi="宋体"/>
                <w:sz w:val="18"/>
                <w:szCs w:val="18"/>
              </w:rPr>
            </w:pPr>
            <w:r>
              <w:rPr>
                <w:rFonts w:ascii="宋体" w:hAnsi="宋体" w:hint="eastAsia"/>
                <w:sz w:val="18"/>
                <w:szCs w:val="18"/>
              </w:rPr>
              <w:t>私有云服务器</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套</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60</w:t>
            </w:r>
          </w:p>
        </w:tc>
        <w:tc>
          <w:tcPr>
            <w:tcW w:w="2470" w:type="pct"/>
            <w:noWrap/>
          </w:tcPr>
          <w:p>
            <w:pPr>
              <w:jc w:val="center"/>
              <w:rPr>
                <w:rFonts w:ascii="宋体" w:hAnsi="宋体"/>
                <w:sz w:val="18"/>
                <w:szCs w:val="18"/>
              </w:rPr>
            </w:pPr>
            <w:r>
              <w:rPr>
                <w:rFonts w:ascii="宋体" w:hAnsi="宋体" w:hint="eastAsia"/>
                <w:sz w:val="18"/>
                <w:szCs w:val="18"/>
              </w:rPr>
              <w:t>物理应用服务器</w:t>
            </w:r>
          </w:p>
        </w:tc>
        <w:tc>
          <w:tcPr>
            <w:tcW w:w="685" w:type="pct"/>
            <w:noWrap/>
          </w:tcPr>
          <w:p>
            <w:pPr>
              <w:jc w:val="center"/>
              <w:rPr>
                <w:rFonts w:ascii="宋体" w:hAnsi="宋体"/>
                <w:sz w:val="18"/>
                <w:szCs w:val="18"/>
              </w:rPr>
            </w:pPr>
            <w:r>
              <w:rPr>
                <w:rFonts w:ascii="宋体" w:hAnsi="宋体" w:hint="eastAsia"/>
                <w:sz w:val="18"/>
                <w:szCs w:val="18"/>
              </w:rPr>
              <w:t>10</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61</w:t>
            </w:r>
          </w:p>
        </w:tc>
        <w:tc>
          <w:tcPr>
            <w:tcW w:w="2470" w:type="pct"/>
            <w:noWrap/>
          </w:tcPr>
          <w:p>
            <w:pPr>
              <w:jc w:val="center"/>
              <w:rPr>
                <w:rFonts w:ascii="宋体" w:hAnsi="宋体"/>
                <w:sz w:val="18"/>
                <w:szCs w:val="18"/>
              </w:rPr>
            </w:pPr>
            <w:r>
              <w:rPr>
                <w:rFonts w:ascii="宋体" w:hAnsi="宋体" w:hint="eastAsia"/>
                <w:sz w:val="18"/>
                <w:szCs w:val="18"/>
              </w:rPr>
              <w:t>HD大数据控制节点（一）</w:t>
            </w:r>
          </w:p>
        </w:tc>
        <w:tc>
          <w:tcPr>
            <w:tcW w:w="685" w:type="pct"/>
            <w:noWrap/>
          </w:tcPr>
          <w:p>
            <w:pPr>
              <w:jc w:val="center"/>
              <w:rPr>
                <w:rFonts w:ascii="宋体" w:hAnsi="宋体"/>
                <w:sz w:val="18"/>
                <w:szCs w:val="18"/>
              </w:rPr>
            </w:pPr>
            <w:r>
              <w:rPr>
                <w:rFonts w:ascii="宋体" w:hAnsi="宋体" w:hint="eastAsia"/>
                <w:sz w:val="18"/>
                <w:szCs w:val="18"/>
              </w:rPr>
              <w:t>3</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62</w:t>
            </w:r>
          </w:p>
        </w:tc>
        <w:tc>
          <w:tcPr>
            <w:tcW w:w="2470" w:type="pct"/>
            <w:noWrap/>
          </w:tcPr>
          <w:p>
            <w:pPr>
              <w:jc w:val="center"/>
              <w:rPr>
                <w:rFonts w:ascii="宋体" w:hAnsi="宋体"/>
                <w:sz w:val="18"/>
                <w:szCs w:val="18"/>
              </w:rPr>
            </w:pPr>
            <w:r>
              <w:rPr>
                <w:rFonts w:ascii="宋体" w:hAnsi="宋体" w:hint="eastAsia"/>
                <w:sz w:val="18"/>
                <w:szCs w:val="18"/>
              </w:rPr>
              <w:t>HD大数据数据节点（二）</w:t>
            </w:r>
          </w:p>
        </w:tc>
        <w:tc>
          <w:tcPr>
            <w:tcW w:w="685" w:type="pct"/>
            <w:noWrap/>
          </w:tcPr>
          <w:p>
            <w:pPr>
              <w:jc w:val="center"/>
              <w:rPr>
                <w:rFonts w:ascii="宋体" w:hAnsi="宋体"/>
                <w:sz w:val="18"/>
                <w:szCs w:val="18"/>
              </w:rPr>
            </w:pPr>
            <w:r>
              <w:rPr>
                <w:rFonts w:ascii="宋体" w:hAnsi="宋体" w:hint="eastAsia"/>
                <w:sz w:val="18"/>
                <w:szCs w:val="18"/>
              </w:rPr>
              <w:t>3</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63</w:t>
            </w:r>
          </w:p>
        </w:tc>
        <w:tc>
          <w:tcPr>
            <w:tcW w:w="2470" w:type="pct"/>
            <w:noWrap/>
          </w:tcPr>
          <w:p>
            <w:pPr>
              <w:jc w:val="center"/>
              <w:rPr>
                <w:rFonts w:ascii="宋体" w:hAnsi="宋体"/>
                <w:sz w:val="18"/>
                <w:szCs w:val="18"/>
              </w:rPr>
            </w:pPr>
            <w:r>
              <w:rPr>
                <w:rFonts w:ascii="宋体" w:hAnsi="宋体" w:hint="eastAsia"/>
                <w:sz w:val="18"/>
                <w:szCs w:val="18"/>
              </w:rPr>
              <w:t>大数据软件许可</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套</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64</w:t>
            </w:r>
          </w:p>
        </w:tc>
        <w:tc>
          <w:tcPr>
            <w:tcW w:w="2470" w:type="pct"/>
            <w:noWrap/>
          </w:tcPr>
          <w:p>
            <w:pPr>
              <w:jc w:val="center"/>
              <w:rPr>
                <w:rFonts w:ascii="宋体" w:hAnsi="宋体"/>
                <w:sz w:val="18"/>
                <w:szCs w:val="18"/>
              </w:rPr>
            </w:pPr>
            <w:r>
              <w:rPr>
                <w:rFonts w:ascii="宋体" w:hAnsi="宋体" w:hint="eastAsia"/>
                <w:sz w:val="18"/>
                <w:szCs w:val="18"/>
              </w:rPr>
              <w:t>数据库服务器</w:t>
            </w:r>
          </w:p>
        </w:tc>
        <w:tc>
          <w:tcPr>
            <w:tcW w:w="685" w:type="pct"/>
            <w:noWrap/>
          </w:tcPr>
          <w:p>
            <w:pPr>
              <w:jc w:val="center"/>
              <w:rPr>
                <w:rFonts w:ascii="宋体" w:hAnsi="宋体"/>
                <w:sz w:val="18"/>
                <w:szCs w:val="18"/>
              </w:rPr>
            </w:pPr>
            <w:r>
              <w:rPr>
                <w:rFonts w:ascii="宋体" w:hAnsi="宋体" w:hint="eastAsia"/>
                <w:sz w:val="18"/>
                <w:szCs w:val="18"/>
              </w:rPr>
              <w:t>2</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65</w:t>
            </w:r>
          </w:p>
        </w:tc>
        <w:tc>
          <w:tcPr>
            <w:tcW w:w="2470" w:type="pct"/>
            <w:noWrap/>
          </w:tcPr>
          <w:p>
            <w:pPr>
              <w:jc w:val="center"/>
              <w:rPr>
                <w:rFonts w:ascii="宋体" w:hAnsi="宋体"/>
                <w:sz w:val="18"/>
                <w:szCs w:val="18"/>
              </w:rPr>
            </w:pPr>
            <w:r>
              <w:rPr>
                <w:rFonts w:ascii="宋体" w:hAnsi="宋体" w:hint="eastAsia"/>
                <w:sz w:val="18"/>
                <w:szCs w:val="18"/>
              </w:rPr>
              <w:t>NAS（网盘系统硬件）</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套</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66</w:t>
            </w:r>
          </w:p>
        </w:tc>
        <w:tc>
          <w:tcPr>
            <w:tcW w:w="2470" w:type="pct"/>
            <w:noWrap/>
          </w:tcPr>
          <w:p>
            <w:pPr>
              <w:jc w:val="center"/>
              <w:rPr>
                <w:rFonts w:ascii="宋体" w:hAnsi="宋体"/>
                <w:sz w:val="18"/>
                <w:szCs w:val="18"/>
              </w:rPr>
            </w:pPr>
            <w:r>
              <w:rPr>
                <w:rFonts w:ascii="宋体" w:hAnsi="宋体" w:hint="eastAsia"/>
                <w:sz w:val="18"/>
                <w:szCs w:val="18"/>
              </w:rPr>
              <w:t>网盘系统软件</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套</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67</w:t>
            </w:r>
          </w:p>
        </w:tc>
        <w:tc>
          <w:tcPr>
            <w:tcW w:w="2470" w:type="pct"/>
            <w:noWrap/>
          </w:tcPr>
          <w:p>
            <w:pPr>
              <w:jc w:val="center"/>
              <w:rPr>
                <w:rFonts w:ascii="宋体" w:hAnsi="宋体"/>
                <w:sz w:val="18"/>
                <w:szCs w:val="18"/>
              </w:rPr>
            </w:pPr>
            <w:r>
              <w:rPr>
                <w:rFonts w:ascii="宋体" w:hAnsi="宋体" w:hint="eastAsia"/>
                <w:sz w:val="18"/>
                <w:szCs w:val="18"/>
              </w:rPr>
              <w:t>分布式块存储</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68</w:t>
            </w:r>
          </w:p>
        </w:tc>
        <w:tc>
          <w:tcPr>
            <w:tcW w:w="2470" w:type="pct"/>
            <w:noWrap/>
          </w:tcPr>
          <w:p>
            <w:pPr>
              <w:jc w:val="center"/>
              <w:rPr>
                <w:rFonts w:ascii="宋体" w:hAnsi="宋体"/>
                <w:sz w:val="18"/>
                <w:szCs w:val="18"/>
              </w:rPr>
            </w:pPr>
            <w:r>
              <w:rPr>
                <w:rFonts w:ascii="宋体" w:hAnsi="宋体" w:hint="eastAsia"/>
                <w:sz w:val="18"/>
                <w:szCs w:val="18"/>
              </w:rPr>
              <w:t>数据库存储</w:t>
            </w:r>
          </w:p>
        </w:tc>
        <w:tc>
          <w:tcPr>
            <w:tcW w:w="685" w:type="pct"/>
            <w:noWrap/>
          </w:tcPr>
          <w:p>
            <w:pPr>
              <w:jc w:val="center"/>
              <w:rPr>
                <w:rFonts w:ascii="宋体" w:hAnsi="宋体"/>
                <w:sz w:val="18"/>
                <w:szCs w:val="18"/>
              </w:rPr>
            </w:pPr>
            <w:r>
              <w:rPr>
                <w:rFonts w:ascii="宋体" w:hAnsi="宋体" w:hint="eastAsia"/>
                <w:sz w:val="18"/>
                <w:szCs w:val="18"/>
              </w:rPr>
              <w:t>1</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noWrap/>
          </w:tcPr>
          <w:p>
            <w:pPr>
              <w:jc w:val="center"/>
              <w:rPr>
                <w:rFonts w:ascii="宋体" w:hAnsi="宋体"/>
                <w:sz w:val="18"/>
                <w:szCs w:val="18"/>
              </w:rPr>
            </w:pPr>
            <w:r>
              <w:rPr>
                <w:rFonts w:ascii="宋体" w:hAnsi="宋体" w:hint="eastAsia"/>
                <w:sz w:val="18"/>
                <w:szCs w:val="18"/>
              </w:rPr>
              <w:t>69</w:t>
            </w:r>
          </w:p>
        </w:tc>
        <w:tc>
          <w:tcPr>
            <w:tcW w:w="2470" w:type="pct"/>
            <w:noWrap/>
          </w:tcPr>
          <w:p>
            <w:pPr>
              <w:jc w:val="center"/>
              <w:rPr>
                <w:rFonts w:ascii="宋体" w:hAnsi="宋体"/>
                <w:sz w:val="18"/>
                <w:szCs w:val="18"/>
              </w:rPr>
            </w:pPr>
            <w:r>
              <w:rPr>
                <w:rFonts w:ascii="宋体" w:hAnsi="宋体" w:hint="eastAsia"/>
                <w:sz w:val="18"/>
                <w:szCs w:val="18"/>
              </w:rPr>
              <w:t>光纤交换机</w:t>
            </w:r>
          </w:p>
        </w:tc>
        <w:tc>
          <w:tcPr>
            <w:tcW w:w="685" w:type="pct"/>
            <w:noWrap/>
          </w:tcPr>
          <w:p>
            <w:pPr>
              <w:jc w:val="center"/>
              <w:rPr>
                <w:rFonts w:ascii="宋体" w:hAnsi="宋体"/>
                <w:sz w:val="18"/>
                <w:szCs w:val="18"/>
              </w:rPr>
            </w:pPr>
            <w:r>
              <w:rPr>
                <w:rFonts w:ascii="宋体" w:hAnsi="宋体" w:hint="eastAsia"/>
                <w:sz w:val="18"/>
                <w:szCs w:val="18"/>
              </w:rPr>
              <w:t>2</w:t>
            </w:r>
          </w:p>
        </w:tc>
        <w:tc>
          <w:tcPr>
            <w:tcW w:w="478" w:type="pct"/>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tcBorders>
              <w:bottom w:val="single" w:sz="4" w:space="0" w:color="auto"/>
            </w:tcBorders>
            <w:noWrap/>
          </w:tcPr>
          <w:p>
            <w:pPr>
              <w:jc w:val="center"/>
              <w:rPr>
                <w:rFonts w:ascii="宋体" w:hAnsi="宋体"/>
                <w:sz w:val="18"/>
                <w:szCs w:val="18"/>
              </w:rPr>
            </w:pPr>
            <w:r>
              <w:rPr>
                <w:rFonts w:ascii="宋体" w:hAnsi="宋体" w:hint="eastAsia"/>
                <w:sz w:val="18"/>
                <w:szCs w:val="18"/>
              </w:rPr>
              <w:t>70</w:t>
            </w:r>
          </w:p>
        </w:tc>
        <w:tc>
          <w:tcPr>
            <w:tcW w:w="2470" w:type="pct"/>
            <w:tcBorders>
              <w:bottom w:val="single" w:sz="4" w:space="0" w:color="auto"/>
            </w:tcBorders>
            <w:noWrap/>
          </w:tcPr>
          <w:p>
            <w:pPr>
              <w:jc w:val="center"/>
              <w:rPr>
                <w:rFonts w:ascii="宋体" w:hAnsi="宋体"/>
                <w:sz w:val="18"/>
                <w:szCs w:val="18"/>
              </w:rPr>
            </w:pPr>
            <w:r>
              <w:rPr>
                <w:rFonts w:ascii="宋体" w:hAnsi="宋体" w:hint="eastAsia"/>
                <w:sz w:val="18"/>
                <w:szCs w:val="18"/>
              </w:rPr>
              <w:t>备份一体机</w:t>
            </w:r>
          </w:p>
        </w:tc>
        <w:tc>
          <w:tcPr>
            <w:tcW w:w="685" w:type="pct"/>
            <w:tcBorders>
              <w:bottom w:val="single" w:sz="4" w:space="0" w:color="auto"/>
            </w:tcBorders>
            <w:noWrap/>
          </w:tcPr>
          <w:p>
            <w:pPr>
              <w:jc w:val="center"/>
              <w:rPr>
                <w:rFonts w:ascii="宋体" w:hAnsi="宋体"/>
                <w:sz w:val="18"/>
                <w:szCs w:val="18"/>
              </w:rPr>
            </w:pPr>
            <w:r>
              <w:rPr>
                <w:rFonts w:ascii="宋体" w:hAnsi="宋体" w:hint="eastAsia"/>
                <w:sz w:val="18"/>
                <w:szCs w:val="18"/>
              </w:rPr>
              <w:t>2</w:t>
            </w:r>
          </w:p>
        </w:tc>
        <w:tc>
          <w:tcPr>
            <w:tcW w:w="478" w:type="pct"/>
            <w:tcBorders>
              <w:bottom w:val="single" w:sz="4" w:space="0" w:color="auto"/>
            </w:tcBorders>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tcBorders>
              <w:top w:val="single" w:sz="4" w:space="0" w:color="auto"/>
              <w:left w:val="single" w:sz="4" w:space="0" w:color="auto"/>
              <w:bottom w:val="single" w:sz="4" w:space="0" w:color="auto"/>
              <w:right w:val="single" w:sz="4" w:space="0" w:color="auto"/>
            </w:tcBorders>
            <w:noWrap/>
          </w:tcPr>
          <w:p>
            <w:pPr>
              <w:jc w:val="center"/>
              <w:rPr>
                <w:rFonts w:ascii="宋体" w:hAnsi="宋体"/>
                <w:sz w:val="18"/>
                <w:szCs w:val="18"/>
              </w:rPr>
            </w:pPr>
            <w:r>
              <w:rPr>
                <w:rFonts w:ascii="宋体" w:hAnsi="宋体" w:hint="eastAsia"/>
                <w:sz w:val="18"/>
                <w:szCs w:val="18"/>
              </w:rPr>
              <w:t>71</w:t>
            </w:r>
          </w:p>
        </w:tc>
        <w:tc>
          <w:tcPr>
            <w:tcW w:w="2470" w:type="pct"/>
            <w:tcBorders>
              <w:top w:val="single" w:sz="4" w:space="0" w:color="auto"/>
              <w:left w:val="single" w:sz="4" w:space="0" w:color="auto"/>
              <w:bottom w:val="single" w:sz="4" w:space="0" w:color="auto"/>
              <w:right w:val="single" w:sz="4" w:space="0" w:color="auto"/>
            </w:tcBorders>
            <w:noWrap/>
          </w:tcPr>
          <w:p>
            <w:pPr>
              <w:jc w:val="center"/>
              <w:rPr>
                <w:rFonts w:ascii="宋体" w:hAnsi="宋体"/>
                <w:sz w:val="18"/>
                <w:szCs w:val="18"/>
              </w:rPr>
            </w:pPr>
            <w:r>
              <w:rPr>
                <w:rFonts w:ascii="宋体" w:hAnsi="宋体" w:hint="eastAsia"/>
                <w:sz w:val="18"/>
                <w:szCs w:val="18"/>
              </w:rPr>
              <w:t>数据库软件</w:t>
            </w:r>
          </w:p>
        </w:tc>
        <w:tc>
          <w:tcPr>
            <w:tcW w:w="685" w:type="pct"/>
            <w:tcBorders>
              <w:top w:val="single" w:sz="4" w:space="0" w:color="auto"/>
              <w:left w:val="single" w:sz="4" w:space="0" w:color="auto"/>
              <w:bottom w:val="single" w:sz="4" w:space="0" w:color="auto"/>
              <w:right w:val="single" w:sz="4" w:space="0" w:color="auto"/>
            </w:tcBorders>
            <w:noWrap/>
          </w:tcPr>
          <w:p>
            <w:pPr>
              <w:jc w:val="center"/>
              <w:rPr>
                <w:rFonts w:ascii="宋体" w:hAnsi="宋体"/>
                <w:sz w:val="18"/>
                <w:szCs w:val="18"/>
              </w:rPr>
            </w:pPr>
            <w:r>
              <w:rPr>
                <w:rFonts w:ascii="宋体" w:hAnsi="宋体" w:hint="eastAsia"/>
                <w:sz w:val="18"/>
                <w:szCs w:val="18"/>
              </w:rPr>
              <w:t>1</w:t>
            </w:r>
          </w:p>
        </w:tc>
        <w:tc>
          <w:tcPr>
            <w:tcW w:w="478" w:type="pct"/>
            <w:tcBorders>
              <w:top w:val="single" w:sz="4" w:space="0" w:color="auto"/>
              <w:left w:val="single" w:sz="4" w:space="0" w:color="auto"/>
              <w:bottom w:val="single" w:sz="4" w:space="0" w:color="auto"/>
              <w:right w:val="single" w:sz="4" w:space="0" w:color="auto"/>
            </w:tcBorders>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套</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tcPr>
          <w:p>
            <w:pPr>
              <w:jc w:val="center"/>
              <w:rPr>
                <w:rFonts w:ascii="宋体" w:hAnsi="宋体"/>
                <w:b/>
                <w:sz w:val="24"/>
              </w:rPr>
            </w:pPr>
          </w:p>
        </w:tc>
        <w:tc>
          <w:tcPr>
            <w:tcW w:w="4089" w:type="pct"/>
            <w:gridSpan w:val="4"/>
            <w:tcBorders>
              <w:top w:val="single" w:sz="4" w:space="0" w:color="auto"/>
              <w:left w:val="single" w:sz="4" w:space="0" w:color="auto"/>
              <w:bottom w:val="single" w:sz="4" w:space="0" w:color="auto"/>
              <w:right w:val="single" w:sz="4" w:space="0" w:color="auto"/>
            </w:tcBorders>
          </w:tcPr>
          <w:p>
            <w:pPr>
              <w:jc w:val="center"/>
              <w:rPr>
                <w:rFonts w:ascii="宋体" w:hAnsi="宋体"/>
                <w:sz w:val="18"/>
                <w:szCs w:val="18"/>
              </w:rPr>
            </w:pPr>
            <w:r>
              <w:rPr>
                <w:rFonts w:ascii="宋体" w:hAnsi="宋体" w:hint="eastAsia"/>
                <w:b/>
                <w:sz w:val="24"/>
              </w:rPr>
              <w:t>十三、</w:t>
            </w:r>
            <w:r>
              <w:rPr>
                <w:rFonts w:ascii="宋体" w:hAnsi="宋体"/>
                <w:b/>
                <w:sz w:val="24"/>
              </w:rPr>
              <w:t>辅材及</w:t>
            </w:r>
            <w:r>
              <w:rPr>
                <w:rFonts w:ascii="宋体" w:hAnsi="宋体" w:hint="eastAsia"/>
                <w:b/>
                <w:sz w:val="24"/>
              </w:rPr>
              <w:t>其它</w:t>
            </w:r>
          </w:p>
        </w:tc>
        <w:tc>
          <w:tcPr>
            <w:tcW w:w="385" w:type="pct"/>
            <w:vMerge/>
          </w:tcPr>
          <w:p>
            <w:pPr>
              <w:jc w:val="center"/>
              <w:rPr>
                <w:rFonts w:ascii="宋体" w:hAnsi="宋体"/>
                <w:b/>
                <w:sz w:val="24"/>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tcBorders>
              <w:top w:val="single" w:sz="4" w:space="0" w:color="auto"/>
              <w:left w:val="single" w:sz="4" w:space="0" w:color="auto"/>
              <w:bottom w:val="single" w:sz="4" w:space="0" w:color="auto"/>
              <w:right w:val="single" w:sz="4" w:space="0" w:color="auto"/>
            </w:tcBorders>
            <w:noWrap/>
          </w:tcPr>
          <w:p>
            <w:pPr>
              <w:jc w:val="center"/>
              <w:rPr>
                <w:rFonts w:ascii="宋体" w:hAnsi="宋体"/>
                <w:sz w:val="18"/>
                <w:szCs w:val="18"/>
              </w:rPr>
            </w:pPr>
            <w:r>
              <w:rPr>
                <w:rFonts w:ascii="宋体" w:hAnsi="宋体" w:hint="eastAsia"/>
                <w:sz w:val="18"/>
                <w:szCs w:val="18"/>
              </w:rPr>
              <w:t>72</w:t>
            </w:r>
          </w:p>
        </w:tc>
        <w:tc>
          <w:tcPr>
            <w:tcW w:w="2470" w:type="pct"/>
            <w:tcBorders>
              <w:top w:val="single" w:sz="4" w:space="0" w:color="auto"/>
              <w:left w:val="single" w:sz="4" w:space="0" w:color="auto"/>
              <w:bottom w:val="single" w:sz="4" w:space="0" w:color="auto"/>
              <w:right w:val="single" w:sz="4" w:space="0" w:color="auto"/>
            </w:tcBorders>
            <w:noWrap/>
          </w:tcPr>
          <w:p>
            <w:pPr>
              <w:jc w:val="center"/>
              <w:rPr>
                <w:rFonts w:ascii="宋体" w:hAnsi="宋体"/>
                <w:sz w:val="18"/>
                <w:szCs w:val="18"/>
              </w:rPr>
            </w:pPr>
            <w:r>
              <w:rPr>
                <w:rFonts w:ascii="宋体" w:hAnsi="宋体" w:hint="eastAsia"/>
                <w:sz w:val="18"/>
                <w:szCs w:val="18"/>
              </w:rPr>
              <w:t>管线</w:t>
            </w:r>
          </w:p>
        </w:tc>
        <w:tc>
          <w:tcPr>
            <w:tcW w:w="685" w:type="pct"/>
            <w:tcBorders>
              <w:top w:val="single" w:sz="4" w:space="0" w:color="auto"/>
              <w:left w:val="single" w:sz="4" w:space="0" w:color="auto"/>
              <w:bottom w:val="single" w:sz="4" w:space="0" w:color="auto"/>
              <w:right w:val="single" w:sz="4" w:space="0" w:color="auto"/>
            </w:tcBorders>
            <w:noWrap/>
          </w:tcPr>
          <w:p>
            <w:pPr>
              <w:jc w:val="center"/>
              <w:rPr>
                <w:rFonts w:ascii="宋体" w:hAnsi="宋体"/>
                <w:sz w:val="18"/>
                <w:szCs w:val="18"/>
              </w:rPr>
            </w:pPr>
            <w:r>
              <w:rPr>
                <w:rFonts w:ascii="宋体" w:hAnsi="宋体" w:hint="eastAsia"/>
                <w:sz w:val="18"/>
                <w:szCs w:val="18"/>
              </w:rPr>
              <w:t>1</w:t>
            </w:r>
          </w:p>
        </w:tc>
        <w:tc>
          <w:tcPr>
            <w:tcW w:w="478" w:type="pct"/>
            <w:tcBorders>
              <w:top w:val="single" w:sz="4" w:space="0" w:color="auto"/>
              <w:left w:val="single" w:sz="4" w:space="0" w:color="auto"/>
              <w:bottom w:val="single" w:sz="4" w:space="0" w:color="auto"/>
              <w:right w:val="single" w:sz="4" w:space="0" w:color="auto"/>
            </w:tcBorders>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批</w:t>
            </w:r>
          </w:p>
        </w:tc>
        <w:tc>
          <w:tcPr>
            <w:tcW w:w="385" w:type="pct"/>
            <w:vMerge/>
          </w:tcPr>
          <w:p>
            <w:pPr>
              <w:jc w:val="center"/>
              <w:rPr>
                <w:rFonts w:ascii="宋体" w:hAnsi="宋体"/>
                <w:sz w:val="18"/>
                <w:szCs w:val="18"/>
              </w:rPr>
            </w:pPr>
          </w:p>
        </w:tc>
      </w:tr>
      <w:tr>
        <w:tblPrEx>
          <w:tblW w:w="4997" w:type="pct"/>
          <w:jc w:val="center"/>
          <w:tblLayout w:type="fixed"/>
          <w:tblCellMar>
            <w:top w:w="0" w:type="dxa"/>
            <w:left w:w="108" w:type="dxa"/>
            <w:bottom w:w="0" w:type="dxa"/>
            <w:right w:w="108" w:type="dxa"/>
          </w:tblCellMar>
        </w:tblPrEx>
        <w:trPr>
          <w:trHeight w:val="402"/>
          <w:jc w:val="center"/>
        </w:trPr>
        <w:tc>
          <w:tcPr>
            <w:tcW w:w="524" w:type="pct"/>
            <w:vMerge/>
            <w:noWrap/>
          </w:tcPr>
          <w:p>
            <w:pPr>
              <w:jc w:val="center"/>
              <w:rPr>
                <w:rFonts w:ascii="宋体" w:hAnsi="宋体"/>
                <w:sz w:val="18"/>
                <w:szCs w:val="18"/>
              </w:rPr>
            </w:pPr>
          </w:p>
        </w:tc>
        <w:tc>
          <w:tcPr>
            <w:tcW w:w="455" w:type="pct"/>
            <w:tcBorders>
              <w:top w:val="single" w:sz="4" w:space="0" w:color="auto"/>
            </w:tcBorders>
            <w:noWrap/>
          </w:tcPr>
          <w:p>
            <w:pPr>
              <w:jc w:val="center"/>
              <w:rPr>
                <w:rFonts w:ascii="宋体" w:hAnsi="宋体"/>
                <w:sz w:val="18"/>
                <w:szCs w:val="18"/>
              </w:rPr>
            </w:pPr>
            <w:r>
              <w:rPr>
                <w:rFonts w:ascii="宋体" w:hAnsi="宋体" w:hint="eastAsia"/>
                <w:sz w:val="18"/>
                <w:szCs w:val="18"/>
              </w:rPr>
              <w:t>73</w:t>
            </w:r>
          </w:p>
        </w:tc>
        <w:tc>
          <w:tcPr>
            <w:tcW w:w="2470" w:type="pct"/>
            <w:tcBorders>
              <w:top w:val="single" w:sz="4" w:space="0" w:color="auto"/>
            </w:tcBorders>
            <w:noWrap/>
          </w:tcPr>
          <w:p>
            <w:pPr>
              <w:jc w:val="center"/>
              <w:rPr>
                <w:rFonts w:ascii="宋体" w:hAnsi="宋体"/>
                <w:color w:val="FF0000"/>
                <w:sz w:val="18"/>
                <w:szCs w:val="18"/>
              </w:rPr>
            </w:pPr>
            <w:r>
              <w:rPr>
                <w:rFonts w:ascii="宋体" w:hAnsi="宋体" w:hint="eastAsia"/>
                <w:sz w:val="18"/>
                <w:szCs w:val="18"/>
              </w:rPr>
              <w:t>系统集成和调试</w:t>
            </w:r>
          </w:p>
        </w:tc>
        <w:tc>
          <w:tcPr>
            <w:tcW w:w="685" w:type="pct"/>
            <w:tcBorders>
              <w:top w:val="single" w:sz="4" w:space="0" w:color="auto"/>
            </w:tcBorders>
            <w:noWrap/>
          </w:tcPr>
          <w:p>
            <w:pPr>
              <w:jc w:val="center"/>
              <w:rPr>
                <w:rFonts w:ascii="宋体" w:hAnsi="宋体"/>
                <w:sz w:val="18"/>
                <w:szCs w:val="18"/>
              </w:rPr>
            </w:pPr>
            <w:r>
              <w:rPr>
                <w:rFonts w:ascii="宋体" w:hAnsi="宋体" w:hint="eastAsia"/>
                <w:sz w:val="18"/>
                <w:szCs w:val="18"/>
              </w:rPr>
              <w:t>1</w:t>
            </w:r>
          </w:p>
        </w:tc>
        <w:tc>
          <w:tcPr>
            <w:tcW w:w="478" w:type="pct"/>
            <w:tcBorders>
              <w:top w:val="single" w:sz="4" w:space="0" w:color="auto"/>
            </w:tcBorders>
            <w:noWrap/>
          </w:tcPr>
          <w:p>
            <w:pPr>
              <w:jc w:val="center"/>
              <w:rPr>
                <w:rFonts w:ascii="宋体" w:hAnsi="宋体"/>
                <w:sz w:val="18"/>
                <w:szCs w:val="18"/>
              </w:rPr>
            </w:pPr>
            <w:r>
              <w:rPr>
                <w:rFonts w:ascii="宋体" w:hAnsi="宋体" w:hint="eastAsia"/>
                <w:sz w:val="18"/>
                <w:szCs w:val="18"/>
              </w:rPr>
              <w:t>套</w:t>
            </w:r>
          </w:p>
        </w:tc>
        <w:tc>
          <w:tcPr>
            <w:tcW w:w="385" w:type="pct"/>
            <w:vMerge/>
          </w:tcPr>
          <w:p>
            <w:pPr>
              <w:jc w:val="center"/>
              <w:rPr>
                <w:rFonts w:ascii="宋体" w:hAnsi="宋体"/>
                <w:sz w:val="18"/>
                <w:szCs w:val="18"/>
              </w:rPr>
            </w:pPr>
          </w:p>
        </w:tc>
      </w:tr>
    </w:tbl>
    <w:p>
      <w:pPr>
        <w:ind w:firstLine="480" w:firstLineChars="200"/>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pPr>
        <w:ind w:firstLine="480" w:firstLineChars="200"/>
        <w:rPr>
          <w:rFonts w:ascii="宋体" w:hAnsi="宋体"/>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ind w:firstLine="480" w:firstLineChars="200"/>
        <w:rPr>
          <w:rFonts w:ascii="宋体" w:hAnsi="宋体"/>
          <w:b/>
          <w:color w:val="FF0000"/>
          <w:szCs w:val="21"/>
          <w:u w:val="single"/>
        </w:rPr>
      </w:pPr>
      <w:r>
        <w:rPr>
          <w:rFonts w:ascii="宋体" w:hAnsi="宋体" w:hint="eastAsia"/>
          <w:b/>
          <w:color w:val="FF0000"/>
          <w:szCs w:val="21"/>
        </w:rPr>
        <w:t>3、本项目核心产品为：</w:t>
      </w:r>
      <w:r>
        <w:rPr>
          <w:rFonts w:ascii="宋体" w:hAnsi="宋体"/>
          <w:b/>
          <w:color w:val="FF0000"/>
          <w:szCs w:val="21"/>
          <w:u w:val="single"/>
        </w:rPr>
        <w:t>超短焦激光投影机</w:t>
      </w:r>
      <w:r>
        <w:rPr>
          <w:rFonts w:ascii="宋体" w:hAnsi="宋体" w:hint="eastAsia"/>
          <w:b/>
          <w:color w:val="FF0000"/>
          <w:szCs w:val="21"/>
          <w:u w:val="single"/>
        </w:rPr>
        <w:t>（二）（序号2）。</w:t>
      </w:r>
    </w:p>
    <w:p>
      <w:pPr>
        <w:rPr>
          <w:rFonts w:ascii="宋体" w:hAnsi="宋体"/>
          <w:b/>
          <w:color w:val="FF0000"/>
          <w:szCs w:val="21"/>
        </w:rPr>
      </w:pPr>
      <w:bookmarkEnd w:id="41"/>
    </w:p>
    <w:p>
      <w:pPr>
        <w:pStyle w:val="Heading2"/>
        <w:spacing w:before="120" w:beforeLines="50" w:after="120" w:afterLines="50"/>
        <w:rPr>
          <w:sz w:val="28"/>
          <w:szCs w:val="28"/>
        </w:rPr>
      </w:pPr>
      <w:bookmarkStart w:id="43" w:name="_Toc128884461"/>
      <w:r>
        <w:rPr>
          <w:rFonts w:hint="eastAsia"/>
          <w:sz w:val="28"/>
          <w:szCs w:val="28"/>
        </w:rPr>
        <w:t>三、实质性条款</w:t>
      </w:r>
    </w:p>
    <w:tbl>
      <w:tblPr>
        <w:tblStyle w:val="TableNormal"/>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05"/>
        <w:gridCol w:w="7483"/>
      </w:tblGrid>
      <w:tr>
        <w:tblPrEx>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705"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483"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tblPrEx>
          <w:tblW w:w="8188" w:type="dxa"/>
          <w:tblInd w:w="0" w:type="dxa"/>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483" w:type="dxa"/>
          </w:tcPr>
          <w:p>
            <w:pPr>
              <w:adjustRightInd w:val="0"/>
              <w:snapToGrid w:val="0"/>
              <w:spacing w:line="360" w:lineRule="auto"/>
              <w:rPr>
                <w:rFonts w:hAnsi="宋体"/>
                <w:kern w:val="0"/>
                <w:szCs w:val="21"/>
              </w:rPr>
            </w:pPr>
            <w:r>
              <w:rPr>
                <w:rFonts w:hAnsi="宋体" w:hint="eastAsia"/>
                <w:kern w:val="0"/>
                <w:szCs w:val="21"/>
              </w:rPr>
              <w:t>投标文件载明的交货期不超过招标文件规定的期限</w:t>
            </w:r>
          </w:p>
        </w:tc>
      </w:tr>
      <w:tr>
        <w:tblPrEx>
          <w:tblW w:w="8188" w:type="dxa"/>
          <w:tblInd w:w="0" w:type="dxa"/>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ascii="宋体" w:hAnsi="宋体" w:hint="eastAsia"/>
                <w:kern w:val="0"/>
                <w:szCs w:val="21"/>
              </w:rPr>
              <w:t>2</w:t>
            </w:r>
          </w:p>
        </w:tc>
        <w:tc>
          <w:tcPr>
            <w:tcW w:w="7483" w:type="dxa"/>
          </w:tcPr>
          <w:p>
            <w:pPr>
              <w:adjustRightInd w:val="0"/>
              <w:snapToGrid w:val="0"/>
              <w:spacing w:line="360" w:lineRule="auto"/>
              <w:rPr>
                <w:rFonts w:hAnsi="宋体"/>
                <w:kern w:val="0"/>
                <w:szCs w:val="21"/>
              </w:rPr>
            </w:pPr>
            <w:r>
              <w:rPr>
                <w:rFonts w:hAnsi="宋体" w:hint="eastAsia"/>
                <w:kern w:val="0"/>
                <w:szCs w:val="21"/>
              </w:rPr>
              <w:t>投标文件载明的免费保修期不低于招标文件规定的期限</w:t>
            </w:r>
          </w:p>
        </w:tc>
      </w:tr>
      <w:tr>
        <w:tblPrEx>
          <w:tblW w:w="8188" w:type="dxa"/>
          <w:tblInd w:w="0" w:type="dxa"/>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ascii="宋体" w:hAnsi="宋体" w:hint="eastAsia"/>
                <w:kern w:val="0"/>
                <w:szCs w:val="21"/>
              </w:rPr>
              <w:t>3</w:t>
            </w:r>
          </w:p>
        </w:tc>
        <w:tc>
          <w:tcPr>
            <w:tcW w:w="7483" w:type="dxa"/>
          </w:tcPr>
          <w:p>
            <w:pPr>
              <w:adjustRightInd w:val="0"/>
              <w:snapToGrid w:val="0"/>
              <w:spacing w:line="360" w:lineRule="auto"/>
              <w:rPr>
                <w:rFonts w:hAnsi="宋体"/>
                <w:kern w:val="0"/>
                <w:szCs w:val="21"/>
              </w:rPr>
            </w:pPr>
            <w:r>
              <w:rPr>
                <w:rFonts w:hAnsi="宋体" w:hint="eastAsia"/>
                <w:kern w:val="0"/>
                <w:szCs w:val="21"/>
              </w:rPr>
              <w:t>具体技术要求、商务需求中带“★”要求</w:t>
            </w:r>
          </w:p>
        </w:tc>
      </w:tr>
    </w:tbl>
    <w:p>
      <w:pPr>
        <w:rPr>
          <w:sz w:val="22"/>
        </w:rPr>
      </w:pPr>
      <w:r>
        <w:rPr>
          <w:rFonts w:hint="eastAsia"/>
          <w:sz w:val="22"/>
        </w:rPr>
        <w:t>注：上表所列内容为不可负偏离条款</w:t>
      </w:r>
      <w:bookmarkEnd w:id="43"/>
      <w:r>
        <w:rPr>
          <w:rFonts w:hint="eastAsia"/>
          <w:sz w:val="22"/>
        </w:rPr>
        <w:t>，负偏离将视为未实质性满足招标文件要求作投标无效处理。</w:t>
      </w:r>
    </w:p>
    <w:p>
      <w:pPr>
        <w:rPr>
          <w:b/>
          <w:szCs w:val="21"/>
        </w:rPr>
      </w:pPr>
    </w:p>
    <w:p>
      <w:pPr>
        <w:pStyle w:val="Heading2"/>
        <w:spacing w:before="120" w:beforeLines="50" w:after="120" w:afterLines="50"/>
        <w:rPr>
          <w:sz w:val="28"/>
          <w:szCs w:val="28"/>
        </w:rPr>
      </w:pPr>
      <w:r>
        <w:rPr>
          <w:rFonts w:hint="eastAsia"/>
          <w:sz w:val="28"/>
          <w:szCs w:val="28"/>
        </w:rPr>
        <w:t>四、技术要求</w:t>
      </w:r>
    </w:p>
    <w:p>
      <w:pPr>
        <w:ind w:firstLine="480" w:firstLineChars="200"/>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pPr>
        <w:ind w:firstLine="48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pPr>
        <w:ind w:firstLine="480" w:firstLineChars="200"/>
        <w:rPr>
          <w:b/>
          <w:szCs w:val="21"/>
        </w:rPr>
      </w:pPr>
      <w:r>
        <w:rPr>
          <w:b/>
          <w:szCs w:val="21"/>
        </w:rPr>
        <w:t>3</w:t>
      </w:r>
      <w:r>
        <w:rPr>
          <w:rFonts w:hint="eastAsia"/>
          <w:b/>
          <w:szCs w:val="21"/>
        </w:rPr>
        <w:t>、</w:t>
      </w:r>
      <w:bookmarkStart w:id="44"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w:t>
      </w:r>
      <w:r>
        <w:rPr>
          <w:rFonts w:hint="eastAsia"/>
          <w:b/>
          <w:color w:val="FF0000"/>
          <w:szCs w:val="21"/>
        </w:rPr>
        <w:t xml:space="preserve">共 </w:t>
      </w:r>
      <w:r>
        <w:rPr>
          <w:b/>
          <w:color w:val="FF0000"/>
          <w:szCs w:val="21"/>
        </w:rPr>
        <w:t>3</w:t>
      </w:r>
      <w:r>
        <w:rPr>
          <w:rFonts w:hint="eastAsia"/>
          <w:b/>
          <w:color w:val="FF0000"/>
          <w:szCs w:val="21"/>
          <w:lang w:val="en-US" w:eastAsia="zh-CN"/>
        </w:rPr>
        <w:t>2</w:t>
      </w:r>
      <w:r>
        <w:rPr>
          <w:rFonts w:hint="eastAsia"/>
          <w:b/>
          <w:color w:val="FF0000"/>
          <w:szCs w:val="21"/>
        </w:rPr>
        <w:t xml:space="preserve"> 项</w:t>
      </w:r>
      <w:r>
        <w:rPr>
          <w:rFonts w:hint="eastAsia"/>
          <w:b/>
          <w:szCs w:val="21"/>
        </w:rPr>
        <w:t>；其余指标项未要求提供证明资料，无需提供相关证明资料。</w:t>
      </w:r>
    </w:p>
    <w:p>
      <w:pPr>
        <w:ind w:firstLine="480" w:firstLineChars="200"/>
        <w:rPr>
          <w:rFonts w:hint="eastAsia"/>
          <w:b/>
          <w:color w:val="FF0000"/>
        </w:rPr>
      </w:pPr>
      <w:r>
        <w:rPr>
          <w:rFonts w:hint="eastAsia"/>
          <w:b/>
          <w:color w:val="FF0000"/>
        </w:rPr>
        <w:t>4</w:t>
      </w:r>
      <w:r>
        <w:rPr>
          <w:b/>
          <w:color w:val="FF0000"/>
        </w:rPr>
        <w:t>、涉及区间的参数，除特别注明以外，</w:t>
      </w:r>
      <w:bookmarkStart w:id="45" w:name="_Hlk75447406"/>
      <w:r>
        <w:rPr>
          <w:b/>
          <w:color w:val="FF0000"/>
        </w:rPr>
        <w:t>产品参数区间与招标要求不一致的均视为负偏离。</w:t>
      </w:r>
      <w:bookmarkEnd w:id="45"/>
      <w:r>
        <w:rPr>
          <w:rFonts w:hint="eastAsia"/>
          <w:b/>
          <w:color w:val="FF0000"/>
        </w:rPr>
        <w:t>例：区间要求为0-20ML,只要响应的不是“0-20ML”，如投标文件响应为 0-15ML 、0-21ML 、1-12ML 、 9-20ML 、6-21ML 、9ML等情形均视为负偏离。</w:t>
      </w:r>
    </w:p>
    <w:p>
      <w:pPr>
        <w:ind w:firstLine="480" w:firstLineChars="200"/>
        <w:rPr>
          <w:rFonts w:hint="eastAsia"/>
          <w:b/>
          <w:color w:val="FF0000"/>
        </w:rPr>
      </w:pPr>
      <w:r>
        <w:rPr>
          <w:rFonts w:hint="eastAsia"/>
          <w:b/>
          <w:color w:val="FF0000"/>
        </w:rPr>
        <w:t>5、本项目提供教室图纸给各供应商参考，实际情况以现场为准，详见附件《附件一（教室图纸）》。</w:t>
      </w:r>
    </w:p>
    <w:tbl>
      <w:tblPr>
        <w:tblStyle w:val="TableNormal"/>
        <w:tblW w:w="5000" w:type="pct"/>
        <w:tblInd w:w="0" w:type="dxa"/>
        <w:tblCellMar>
          <w:top w:w="0" w:type="dxa"/>
          <w:left w:w="108" w:type="dxa"/>
          <w:bottom w:w="0" w:type="dxa"/>
          <w:right w:w="108" w:type="dxa"/>
        </w:tblCellMar>
      </w:tblPr>
      <w:tblGrid>
        <w:gridCol w:w="775"/>
        <w:gridCol w:w="1696"/>
        <w:gridCol w:w="6051"/>
      </w:tblGrid>
      <w:tr>
        <w:tblPrEx>
          <w:tblW w:w="5000" w:type="pct"/>
          <w:tblInd w:w="0" w:type="dxa"/>
          <w:tblCellMar>
            <w:top w:w="0" w:type="dxa"/>
            <w:left w:w="108" w:type="dxa"/>
            <w:bottom w:w="0" w:type="dxa"/>
            <w:right w:w="108" w:type="dxa"/>
          </w:tblCellMar>
        </w:tblPrEx>
        <w:trPr>
          <w:trHeight w:val="270"/>
        </w:trPr>
        <w:tc>
          <w:tcPr>
            <w:tcW w:w="455"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szCs w:val="21"/>
              </w:rPr>
            </w:pPr>
            <w:bookmarkEnd w:id="44"/>
            <w:r>
              <w:rPr>
                <w:rFonts w:ascii="宋体" w:hAnsi="宋体" w:cs="宋体" w:hint="eastAsia"/>
                <w:b/>
                <w:bCs/>
                <w:color w:val="000000"/>
                <w:kern w:val="0"/>
                <w:szCs w:val="21"/>
              </w:rPr>
              <w:t>序号</w:t>
            </w:r>
          </w:p>
        </w:tc>
        <w:tc>
          <w:tcPr>
            <w:tcW w:w="995"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rPr>
              <w:t>货物名称</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rPr>
              <w:t>招标技术要求</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一、</w:t>
            </w:r>
            <w:r>
              <w:rPr>
                <w:rStyle w:val="font21"/>
                <w:rFonts w:hint="default"/>
              </w:rPr>
              <w:t>视频显示系统</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激光投影机（一）</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1.</w:t>
            </w:r>
            <w:r>
              <w:rPr>
                <w:rStyle w:val="font51"/>
                <w:rFonts w:hint="default"/>
              </w:rPr>
              <w:t xml:space="preserve"> ▲亮度：≥</w:t>
            </w:r>
            <w:r>
              <w:rPr>
                <w:rStyle w:val="font01"/>
              </w:rPr>
              <w:t>6000LM</w:t>
            </w:r>
            <w:r>
              <w:rPr>
                <w:rStyle w:val="font51"/>
                <w:rFonts w:hint="default"/>
              </w:rPr>
              <w:t>；</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2.</w:t>
            </w:r>
            <w:r>
              <w:rPr>
                <w:rStyle w:val="font51"/>
                <w:rFonts w:hint="default"/>
              </w:rPr>
              <w:t xml:space="preserve"> ▲分辨率：≥</w:t>
            </w:r>
            <w:r>
              <w:rPr>
                <w:rStyle w:val="font01"/>
              </w:rPr>
              <w:t xml:space="preserve">WUXGA </w:t>
            </w:r>
            <w:r>
              <w:rPr>
                <w:rStyle w:val="font51"/>
                <w:rFonts w:hint="default"/>
              </w:rPr>
              <w:t>（</w:t>
            </w:r>
            <w:r>
              <w:rPr>
                <w:rStyle w:val="font01"/>
              </w:rPr>
              <w:t>1920 x 1200</w:t>
            </w:r>
            <w:r>
              <w:rPr>
                <w:rStyle w:val="font51"/>
                <w:rFonts w:hint="default"/>
              </w:rPr>
              <w:t>）；</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3.</w:t>
            </w:r>
            <w:r>
              <w:rPr>
                <w:rStyle w:val="font51"/>
                <w:rFonts w:hint="default"/>
              </w:rPr>
              <w:t>显示宽高比：</w:t>
            </w:r>
            <w:r>
              <w:rPr>
                <w:rStyle w:val="font01"/>
              </w:rPr>
              <w:t>16</w:t>
            </w:r>
            <w:r>
              <w:rPr>
                <w:rStyle w:val="font51"/>
                <w:rFonts w:hint="default"/>
              </w:rPr>
              <w:t>：</w:t>
            </w:r>
            <w:r>
              <w:rPr>
                <w:rStyle w:val="font01"/>
              </w:rPr>
              <w:t>10</w:t>
            </w:r>
            <w:r>
              <w:rPr>
                <w:rStyle w:val="font51"/>
                <w:rFonts w:hint="default"/>
              </w:rPr>
              <w:t>或</w:t>
            </w:r>
            <w:r>
              <w:rPr>
                <w:rStyle w:val="font01"/>
              </w:rPr>
              <w:t>16</w:t>
            </w:r>
            <w:r>
              <w:rPr>
                <w:rStyle w:val="font51"/>
                <w:rFonts w:hint="default"/>
              </w:rPr>
              <w:t>：</w:t>
            </w:r>
            <w:r>
              <w:rPr>
                <w:rStyle w:val="font01"/>
              </w:rPr>
              <w:t>9</w:t>
            </w:r>
            <w:r>
              <w:rPr>
                <w:rStyle w:val="font51"/>
                <w:rFonts w:hint="default"/>
              </w:rPr>
              <w:t>；</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4.</w:t>
            </w:r>
            <w:r>
              <w:rPr>
                <w:rStyle w:val="font51"/>
                <w:rFonts w:hint="default"/>
              </w:rPr>
              <w:t>对比度：≥</w:t>
            </w:r>
            <w:r>
              <w:rPr>
                <w:rStyle w:val="font01"/>
              </w:rPr>
              <w:t>1000000:1</w:t>
            </w:r>
            <w:r>
              <w:rPr>
                <w:rStyle w:val="font51"/>
                <w:rFonts w:hint="default"/>
              </w:rPr>
              <w:t>；</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5.</w:t>
            </w:r>
            <w:r>
              <w:rPr>
                <w:rStyle w:val="font51"/>
                <w:rFonts w:hint="default"/>
              </w:rPr>
              <w:t>显示技术：</w:t>
            </w:r>
            <w:r>
              <w:rPr>
                <w:rStyle w:val="font01"/>
              </w:rPr>
              <w:t>3LCD</w:t>
            </w:r>
            <w:r>
              <w:rPr>
                <w:rStyle w:val="font51"/>
                <w:rFonts w:hint="default"/>
              </w:rPr>
              <w:t>；</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6.</w:t>
            </w:r>
            <w:r>
              <w:rPr>
                <w:rStyle w:val="font51"/>
                <w:rFonts w:hint="default"/>
              </w:rPr>
              <w:t>投射比：≤</w:t>
            </w:r>
            <w:r>
              <w:rPr>
                <w:rStyle w:val="font01"/>
              </w:rPr>
              <w:t>1.4-2.2</w:t>
            </w:r>
            <w:r>
              <w:rPr>
                <w:rStyle w:val="font51"/>
                <w:rFonts w:hint="default"/>
              </w:rPr>
              <w:t>；</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7.</w:t>
            </w:r>
            <w:r>
              <w:rPr>
                <w:rStyle w:val="font51"/>
                <w:rFonts w:hint="default"/>
              </w:rPr>
              <w:t>镜头位移：≥±</w:t>
            </w:r>
            <w:r>
              <w:rPr>
                <w:rStyle w:val="font01"/>
              </w:rPr>
              <w:t>50%</w:t>
            </w:r>
            <w:r>
              <w:rPr>
                <w:rStyle w:val="font51"/>
                <w:rFonts w:hint="default"/>
              </w:rPr>
              <w:t>（垂直），≥±</w:t>
            </w:r>
            <w:r>
              <w:rPr>
                <w:rStyle w:val="font01"/>
              </w:rPr>
              <w:t>20%</w:t>
            </w:r>
            <w:r>
              <w:rPr>
                <w:rStyle w:val="font51"/>
                <w:rFonts w:hint="default"/>
              </w:rPr>
              <w:t>（水平）</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8.</w:t>
            </w:r>
            <w:r>
              <w:rPr>
                <w:rStyle w:val="font51"/>
                <w:rFonts w:hint="default"/>
              </w:rPr>
              <w:t>输入接口：≥</w:t>
            </w:r>
            <w:r>
              <w:rPr>
                <w:rStyle w:val="font01"/>
              </w:rPr>
              <w:t>HDMI</w:t>
            </w:r>
            <w:r>
              <w:rPr>
                <w:rStyle w:val="font51"/>
                <w:rFonts w:hint="default"/>
              </w:rPr>
              <w:t>×</w:t>
            </w:r>
            <w:r>
              <w:rPr>
                <w:rStyle w:val="font01"/>
              </w:rPr>
              <w:t>2</w:t>
            </w:r>
            <w:r>
              <w:rPr>
                <w:rStyle w:val="font51"/>
                <w:rFonts w:hint="default"/>
              </w:rPr>
              <w:t>、</w:t>
            </w:r>
            <w:r>
              <w:rPr>
                <w:rStyle w:val="font01"/>
              </w:rPr>
              <w:t>HDBaseT</w:t>
            </w:r>
            <w:r>
              <w:rPr>
                <w:rStyle w:val="font51"/>
                <w:rFonts w:hint="default"/>
              </w:rPr>
              <w:t>×</w:t>
            </w:r>
            <w:r>
              <w:rPr>
                <w:rStyle w:val="font01"/>
              </w:rPr>
              <w:t>1</w:t>
            </w:r>
            <w:r>
              <w:rPr>
                <w:rStyle w:val="font51"/>
                <w:rFonts w:hint="default"/>
              </w:rPr>
              <w:t>、</w:t>
            </w:r>
            <w:r>
              <w:rPr>
                <w:rStyle w:val="font01"/>
              </w:rPr>
              <w:t>VGA</w:t>
            </w:r>
            <w:r>
              <w:rPr>
                <w:rStyle w:val="font51"/>
                <w:rFonts w:hint="default"/>
              </w:rPr>
              <w:t>×</w:t>
            </w:r>
            <w:r>
              <w:rPr>
                <w:rStyle w:val="font01"/>
              </w:rPr>
              <w:t>2</w:t>
            </w:r>
            <w:r>
              <w:rPr>
                <w:rStyle w:val="font51"/>
                <w:rFonts w:hint="default"/>
              </w:rPr>
              <w:t>、</w:t>
            </w:r>
            <w:r>
              <w:rPr>
                <w:rStyle w:val="font01"/>
              </w:rPr>
              <w:t>RS-232C</w:t>
            </w:r>
            <w:r>
              <w:rPr>
                <w:rStyle w:val="font51"/>
                <w:rFonts w:hint="default"/>
              </w:rPr>
              <w:t>×</w:t>
            </w:r>
            <w:r>
              <w:rPr>
                <w:rStyle w:val="font01"/>
              </w:rPr>
              <w:t>1</w:t>
            </w:r>
            <w:r>
              <w:rPr>
                <w:rStyle w:val="font51"/>
                <w:rFonts w:hint="default"/>
              </w:rPr>
              <w:t>，</w:t>
            </w:r>
            <w:r>
              <w:rPr>
                <w:rStyle w:val="font01"/>
              </w:rPr>
              <w:t>RJ45</w:t>
            </w:r>
            <w:r>
              <w:rPr>
                <w:rStyle w:val="font51"/>
                <w:rFonts w:hint="default"/>
              </w:rPr>
              <w:t>×</w:t>
            </w:r>
            <w:r>
              <w:rPr>
                <w:rStyle w:val="font01"/>
              </w:rPr>
              <w:t>1</w:t>
            </w:r>
            <w:r>
              <w:rPr>
                <w:rStyle w:val="font51"/>
                <w:rFonts w:hint="default"/>
              </w:rPr>
              <w:t>；</w:t>
            </w:r>
          </w:p>
        </w:tc>
      </w:tr>
      <w:tr>
        <w:tblPrEx>
          <w:tblW w:w="5000" w:type="pct"/>
          <w:tblInd w:w="0" w:type="dxa"/>
          <w:tblCellMar>
            <w:top w:w="0" w:type="dxa"/>
            <w:left w:w="108" w:type="dxa"/>
            <w:bottom w:w="0" w:type="dxa"/>
            <w:right w:w="108" w:type="dxa"/>
          </w:tblCellMar>
        </w:tblPrEx>
        <w:trPr>
          <w:trHeight w:val="272"/>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sz w:val="18"/>
                <w:szCs w:val="18"/>
              </w:rPr>
            </w:pPr>
            <w:r>
              <w:rPr>
                <w:color w:val="000000"/>
                <w:kern w:val="0"/>
                <w:sz w:val="18"/>
                <w:szCs w:val="18"/>
              </w:rPr>
              <w:t>9.</w:t>
            </w:r>
            <w:r>
              <w:rPr>
                <w:rStyle w:val="font51"/>
                <w:rFonts w:hint="default"/>
              </w:rPr>
              <w:t>光源寿命：≥</w:t>
            </w:r>
            <w:r>
              <w:rPr>
                <w:rStyle w:val="font01"/>
              </w:rPr>
              <w:t>20000</w:t>
            </w:r>
            <w:r>
              <w:rPr>
                <w:rStyle w:val="font51"/>
                <w:rFonts w:hint="default"/>
              </w:rPr>
              <w:t>小时；</w:t>
            </w:r>
          </w:p>
        </w:tc>
      </w:tr>
      <w:tr>
        <w:tblPrEx>
          <w:tblW w:w="5000" w:type="pct"/>
          <w:tblInd w:w="0" w:type="dxa"/>
          <w:tblCellMar>
            <w:top w:w="0" w:type="dxa"/>
            <w:left w:w="108" w:type="dxa"/>
            <w:bottom w:w="0" w:type="dxa"/>
            <w:right w:w="108" w:type="dxa"/>
          </w:tblCellMar>
        </w:tblPrEx>
        <w:trPr>
          <w:trHeight w:val="272"/>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vMerge/>
            <w:tcBorders>
              <w:top w:val="single" w:sz="4" w:space="0" w:color="000000"/>
              <w:left w:val="single" w:sz="4" w:space="0" w:color="000000"/>
              <w:bottom w:val="single" w:sz="4" w:space="0" w:color="000000"/>
              <w:right w:val="single" w:sz="4" w:space="0" w:color="000000"/>
            </w:tcBorders>
            <w:vAlign w:val="center"/>
          </w:tcPr>
          <w:p>
            <w:pPr>
              <w:jc w:val="center"/>
              <w:rPr>
                <w:color w:val="000000"/>
                <w:sz w:val="18"/>
                <w:szCs w:val="18"/>
              </w:rPr>
            </w:pPr>
          </w:p>
        </w:tc>
      </w:tr>
      <w:tr>
        <w:tblPrEx>
          <w:tblW w:w="5000" w:type="pct"/>
          <w:tblInd w:w="0" w:type="dxa"/>
          <w:tblCellMar>
            <w:top w:w="0" w:type="dxa"/>
            <w:left w:w="108" w:type="dxa"/>
            <w:bottom w:w="0" w:type="dxa"/>
            <w:right w:w="108" w:type="dxa"/>
          </w:tblCellMar>
        </w:tblPrEx>
        <w:trPr>
          <w:trHeight w:val="465"/>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超短焦激光投影机（二）</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b/>
                <w:bCs/>
                <w:color w:val="FF0000"/>
                <w:sz w:val="18"/>
                <w:szCs w:val="18"/>
              </w:rPr>
            </w:pPr>
            <w:r>
              <w:rPr>
                <w:b/>
                <w:bCs/>
                <w:color w:val="FF0000"/>
                <w:kern w:val="0"/>
                <w:sz w:val="18"/>
                <w:szCs w:val="18"/>
              </w:rPr>
              <w:t xml:space="preserve">1. </w:t>
            </w:r>
            <w:r>
              <w:rPr>
                <w:rStyle w:val="font81"/>
                <w:rFonts w:hint="default"/>
              </w:rPr>
              <w:t>▲亮度：≥</w:t>
            </w:r>
            <w:r>
              <w:rPr>
                <w:rStyle w:val="font41"/>
              </w:rPr>
              <w:t>5000LM</w:t>
            </w:r>
            <w:r>
              <w:rPr>
                <w:rStyle w:val="font81"/>
                <w:rFonts w:hint="default"/>
              </w:rPr>
              <w:t>；提供第三方检测机构出具的带有</w:t>
            </w:r>
            <w:r>
              <w:rPr>
                <w:rStyle w:val="font41"/>
              </w:rPr>
              <w:t>CMA</w:t>
            </w:r>
            <w:r>
              <w:rPr>
                <w:rStyle w:val="font81"/>
                <w:rFonts w:hint="default"/>
              </w:rPr>
              <w:t>和</w:t>
            </w:r>
            <w:r>
              <w:rPr>
                <w:rStyle w:val="font41"/>
              </w:rPr>
              <w:t>CNAS</w:t>
            </w:r>
            <w:r>
              <w:rPr>
                <w:rStyle w:val="font81"/>
                <w:rFonts w:hint="default"/>
              </w:rPr>
              <w:t>标识的检测报告扫描件，原件备查；</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sz w:val="18"/>
                <w:szCs w:val="18"/>
              </w:rPr>
            </w:pPr>
            <w:r>
              <w:rPr>
                <w:color w:val="000000"/>
                <w:kern w:val="0"/>
                <w:sz w:val="18"/>
                <w:szCs w:val="18"/>
              </w:rPr>
              <w:t>2.</w:t>
            </w:r>
            <w:r>
              <w:rPr>
                <w:rFonts w:ascii="宋体" w:hAnsi="宋体" w:cs="宋体" w:hint="eastAsia"/>
                <w:color w:val="000000"/>
                <w:kern w:val="0"/>
                <w:sz w:val="18"/>
                <w:szCs w:val="18"/>
              </w:rPr>
              <w:t xml:space="preserve"> ▲</w:t>
            </w:r>
            <w:r>
              <w:rPr>
                <w:rStyle w:val="font51"/>
                <w:rFonts w:hint="default"/>
              </w:rPr>
              <w:t>分辨率：≥</w:t>
            </w:r>
            <w:r>
              <w:rPr>
                <w:rStyle w:val="font01"/>
              </w:rPr>
              <w:t>1920 x 1080</w:t>
            </w:r>
            <w:r>
              <w:rPr>
                <w:rStyle w:val="font51"/>
                <w:rFonts w:hint="default"/>
              </w:rPr>
              <w:t>；</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3.显示宽高比：16：10或16：9；</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4.对比度：≥1000000:1；</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sz w:val="18"/>
                <w:szCs w:val="18"/>
              </w:rPr>
            </w:pPr>
            <w:r>
              <w:rPr>
                <w:color w:val="000000"/>
                <w:kern w:val="0"/>
                <w:sz w:val="18"/>
                <w:szCs w:val="18"/>
              </w:rPr>
              <w:t>5.</w:t>
            </w:r>
            <w:r>
              <w:rPr>
                <w:rStyle w:val="font51"/>
                <w:rFonts w:hint="default"/>
              </w:rPr>
              <w:t>显示技术：</w:t>
            </w:r>
            <w:r>
              <w:rPr>
                <w:rStyle w:val="font01"/>
              </w:rPr>
              <w:t>LCD</w:t>
            </w:r>
            <w:r>
              <w:rPr>
                <w:rStyle w:val="font51"/>
                <w:rFonts w:hint="default"/>
              </w:rPr>
              <w:t>；</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6.投射比：≤0.28；</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7输入接口：≥HDMI×2，HDBaseT×1，VGA×2、RS-232C×1，RJ45×1；</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8.光源寿命：≥20000小时；</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幕布</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1.类型：电动幕布；</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2.尺寸：150英寸；</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3.幕基：白塑幕或玻珠；</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4.显示比例：16：10</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讲台</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1.结构：木制钢制混合结构；</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2.外观：按使用方要求定制，喷印校方LOGO；</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3.电源接口： AC220V三孔插座</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4.信息接口：不少于2路USB接口、1路HDMI、1路3.5音频接口、1路RJ45；</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5.左侧具有放置笔记本电脑的伸缩板，右侧具有伸缩抽屉。</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教室电脑主机</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21"/>
                <w:rFonts w:hint="default"/>
              </w:rPr>
              <w:t xml:space="preserve"> </w:t>
            </w:r>
            <w:r>
              <w:rPr>
                <w:rStyle w:val="font51"/>
                <w:rFonts w:hint="default"/>
              </w:rPr>
              <w:t>CPU主频:</w:t>
            </w:r>
            <w:r>
              <w:rPr>
                <w:rStyle w:val="font01"/>
              </w:rPr>
              <w:t xml:space="preserve"> </w:t>
            </w:r>
            <w:r>
              <w:rPr>
                <w:rStyle w:val="font51"/>
                <w:rFonts w:hint="default"/>
              </w:rPr>
              <w:t>≥3GHz；</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内存：≥8G；</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3.存储：</w:t>
            </w:r>
            <w:r>
              <w:rPr>
                <w:rStyle w:val="font51"/>
                <w:rFonts w:hint="default"/>
              </w:rPr>
              <w:t>≥1T+128G；</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4.显卡：</w:t>
            </w:r>
            <w:r>
              <w:rPr>
                <w:rStyle w:val="font51"/>
                <w:rFonts w:hint="default"/>
              </w:rPr>
              <w:t>≥1G独显。</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触控显示器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尺寸：≥23.8寸；</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类型：IPS屏；</w:t>
            </w:r>
          </w:p>
        </w:tc>
      </w:tr>
      <w:tr>
        <w:tblPrEx>
          <w:tblW w:w="5000" w:type="pct"/>
          <w:tblInd w:w="0" w:type="dxa"/>
          <w:tblCellMar>
            <w:top w:w="0" w:type="dxa"/>
            <w:left w:w="108" w:type="dxa"/>
            <w:bottom w:w="0" w:type="dxa"/>
            <w:right w:w="108" w:type="dxa"/>
          </w:tblCellMar>
        </w:tblPrEx>
        <w:trPr>
          <w:trHeight w:val="9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3.触控：10点触控；</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4.接口：HDMI/VGA/DP/USB端口。</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7</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视频传输器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支持分辨率:≥4K@30HZ、1920×1200@60Hz向下兼容；</w:t>
            </w:r>
          </w:p>
        </w:tc>
      </w:tr>
      <w:tr>
        <w:tblPrEx>
          <w:tblW w:w="5000" w:type="pct"/>
          <w:tblInd w:w="0" w:type="dxa"/>
          <w:tblCellMar>
            <w:top w:w="0" w:type="dxa"/>
            <w:left w:w="108" w:type="dxa"/>
            <w:bottom w:w="0" w:type="dxa"/>
            <w:right w:w="108" w:type="dxa"/>
          </w:tblCellMar>
        </w:tblPrEx>
        <w:trPr>
          <w:trHeight w:val="243"/>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CAT5E\CAT6网线可以将HDMI信号传输1080P≥70米；</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3.支持HDMI1.4，HDCP兼容；</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4.支持RS232、IR；</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5.安装简单，支持热插拔，即插即用.</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w:t>
            </w:r>
            <w:r>
              <w:rPr>
                <w:rStyle w:val="font51"/>
                <w:rFonts w:hint="default"/>
              </w:rPr>
              <w:t>与视频矩阵同一品牌。</w:t>
            </w:r>
          </w:p>
        </w:tc>
      </w:tr>
      <w:tr>
        <w:tblPrEx>
          <w:tblW w:w="5000" w:type="pct"/>
          <w:tblInd w:w="0" w:type="dxa"/>
          <w:tblCellMar>
            <w:top w:w="0" w:type="dxa"/>
            <w:left w:w="108" w:type="dxa"/>
            <w:bottom w:w="0" w:type="dxa"/>
            <w:right w:w="108" w:type="dxa"/>
          </w:tblCellMar>
        </w:tblPrEx>
        <w:trPr>
          <w:trHeight w:val="48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8</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无线投屏器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61"/>
                <w:rFonts w:hint="default"/>
              </w:rPr>
              <w:t>无需安装任何软件，按连接分享按钮（USB连接），即可通过无线方式将演示内容即时分享到屏幕上；</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2.支持显示比例可调整，等比，4：3，16：9，16：10； </w:t>
            </w:r>
            <w:r>
              <w:rPr>
                <w:rStyle w:val="font61"/>
                <w:rFonts w:hint="default"/>
              </w:rPr>
              <w:t xml:space="preserve">         </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w:t>
            </w:r>
            <w:r>
              <w:rPr>
                <w:rStyle w:val="font61"/>
                <w:rFonts w:hint="default"/>
              </w:rPr>
              <w:t>支持 Windows7/8/10 32位和64位，支持 Mac OSX 10.10/10.11/10.12和更高版本，支持Android 5.0和更高版本，支持iOS 9.0 和更高版本（Airplay镜像）；</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4.支持Airplay与Mirocast协议；</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5.支持每秒帧数≥30帧；</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6.支持最高分辨率≥1080p；</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7.支持屏幕上同时显示≥4路视频信号源； </w:t>
            </w:r>
            <w:r>
              <w:rPr>
                <w:rStyle w:val="font61"/>
                <w:rFonts w:hint="default"/>
              </w:rPr>
              <w:t xml:space="preserve">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8.支持HDMI内嵌音频和3.5mm模拟新路音频输出； </w:t>
            </w:r>
            <w:r>
              <w:rPr>
                <w:rStyle w:val="font61"/>
                <w:rFonts w:hint="default"/>
              </w:rPr>
              <w:t xml:space="preserve">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9.支持传输范围≥60米；</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10.支持可选择的信道：2.4G≥11个，5G≥9个；11.HDMI接口≥1路，网络接口≥1路，3.5mm音频接口≥1路，USB接口≥2路。</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w:t>
            </w:r>
            <w:r>
              <w:rPr>
                <w:rStyle w:val="font51"/>
                <w:rFonts w:hint="default"/>
              </w:rPr>
              <w:t>与视频矩阵同一品牌。</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9</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采集卡</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61"/>
                <w:rFonts w:hint="default"/>
              </w:rPr>
              <w:t>支持USB3.0音视频采集，最高分辨率≥1920*1080P@60Hz；</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2.SDI输入接口≥1路，3.5插头麦克风输入接口≥1路；</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3.支持音频格式：Stereo/16-bit/48000HZ；</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4.支持操作系统：Kylin/windows8/windows10/,MAC OS/Android；</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21"/>
                <w:rFonts w:hint="default"/>
              </w:rPr>
              <w:t>★</w:t>
            </w:r>
            <w:r>
              <w:rPr>
                <w:rStyle w:val="font61"/>
                <w:rFonts w:hint="default"/>
              </w:rPr>
              <w:t>免驱动，即插即用。</w:t>
            </w:r>
          </w:p>
        </w:tc>
      </w:tr>
      <w:tr>
        <w:tblPrEx>
          <w:tblW w:w="5000" w:type="pct"/>
          <w:tblInd w:w="0" w:type="dxa"/>
          <w:tblCellMar>
            <w:top w:w="0" w:type="dxa"/>
            <w:left w:w="108" w:type="dxa"/>
            <w:bottom w:w="0" w:type="dxa"/>
            <w:right w:w="108" w:type="dxa"/>
          </w:tblCellMar>
        </w:tblPrEx>
        <w:trPr>
          <w:trHeight w:val="9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10</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86寸触控一体机</w:t>
            </w: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sz w:val="18"/>
                <w:szCs w:val="18"/>
              </w:rPr>
            </w:pPr>
            <w:r>
              <w:rPr>
                <w:rFonts w:ascii="宋体" w:hAnsi="宋体" w:cs="宋体" w:hint="eastAsia"/>
                <w:bCs/>
                <w:kern w:val="0"/>
                <w:sz w:val="18"/>
                <w:szCs w:val="18"/>
              </w:rPr>
              <w:t>1.尺寸：≥86英寸，采用不低于A+规屏；</w:t>
            </w:r>
          </w:p>
        </w:tc>
      </w:tr>
      <w:tr>
        <w:tblPrEx>
          <w:tblW w:w="5000" w:type="pct"/>
          <w:tblInd w:w="0" w:type="dxa"/>
          <w:tblCellMar>
            <w:top w:w="0" w:type="dxa"/>
            <w:left w:w="108" w:type="dxa"/>
            <w:bottom w:w="0" w:type="dxa"/>
            <w:right w:w="108" w:type="dxa"/>
          </w:tblCellMar>
        </w:tblPrEx>
        <w:trPr>
          <w:trHeight w:val="9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kern w:val="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kern w:val="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r>
              <w:rPr>
                <w:rFonts w:ascii="宋体" w:hAnsi="宋体" w:cs="宋体" w:hint="eastAsia"/>
                <w:bCs/>
                <w:kern w:val="0"/>
                <w:sz w:val="18"/>
                <w:szCs w:val="18"/>
              </w:rPr>
              <w:t>2.</w:t>
            </w:r>
            <w:r>
              <w:rPr>
                <w:rStyle w:val="font21"/>
                <w:rFonts w:hint="default"/>
              </w:rPr>
              <w:t>★</w:t>
            </w:r>
            <w:r>
              <w:rPr>
                <w:rFonts w:ascii="宋体" w:hAnsi="宋体" w:cs="宋体" w:hint="eastAsia"/>
                <w:bCs/>
                <w:kern w:val="0"/>
                <w:sz w:val="18"/>
                <w:szCs w:val="18"/>
              </w:rPr>
              <w:t>分辨率：≥3840*2160；</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3.显示比例16:9；</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4.触摸屏采用红外感应技术，在双系统下均支持不少于20点触控，触摸分辨率≥32768（W）*32768（D）；</w:t>
            </w:r>
            <w:r>
              <w:rPr>
                <w:rStyle w:val="font61"/>
                <w:rFonts w:hint="default"/>
              </w:rPr>
              <w:t xml:space="preserve">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5.屏幕采用防眩光钢化玻璃，防暴、防滑、防眩光，屏体采用防蓝光设计</w:t>
            </w:r>
            <w:r>
              <w:rPr>
                <w:rStyle w:val="font61"/>
                <w:rFonts w:hint="default"/>
              </w:rPr>
              <w:t>；</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6.设置windows模式后，开机可直接进行windows操作系统，方便教学中单一系统直接操作；</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6.内置本地白板功能，可实现手写、绘制、擦</w:t>
            </w:r>
            <w:r>
              <w:rPr>
                <w:rStyle w:val="font51"/>
                <w:rFonts w:hint="default"/>
              </w:rPr>
              <w:t>除、标注、</w:t>
            </w:r>
            <w:r>
              <w:rPr>
                <w:rStyle w:val="font61"/>
                <w:rFonts w:hint="default"/>
              </w:rPr>
              <w:t>白板缩放/锁定的功能；</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8.触摸屏嵌入式Android操作系统下，内置互动白板书写完成后须支持本地保存、邮件分享、微信等主流应用扫码带走功能，方便老师实时保存课堂书写内容；</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9.整机采用零贴合技术，钢化玻璃和液晶显示层间隙＜1mm，画面显示更加清晰通透、可视角度更广。</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10.整机能感应不同光照环境并自动调节屏幕亮度，此功能可手动开启或关闭；</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11.通过产品前面板独立物理按钮可实现唤醒、开机功能；</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12.为方便日常教学投屏使用，须支持多种投屏方式，须包括但不限于 </w:t>
            </w:r>
            <w:r>
              <w:rPr>
                <w:rStyle w:val="font51"/>
                <w:rFonts w:hint="default"/>
              </w:rPr>
              <w:t>APP 投屏、手机下拉菜单软投屏等方式。</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13.触摸屏内置安卓系统，CPU不低于四核，ROM≥32GB，RAM≥4GB，系统版本不低于9.0，支持在线升级；</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14.支持在无外接OPS电脑状态下，嵌入式Android操作系统下可实现windows系统中常用的教学应用功能，如白板书写、WPS软件使用、网页浏览、图片浏览、视频播放。</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b/>
                <w:bCs/>
                <w:color w:val="FF0000"/>
                <w:kern w:val="0"/>
                <w:sz w:val="18"/>
                <w:szCs w:val="18"/>
              </w:rPr>
              <w:t>15.▲</w:t>
            </w:r>
            <w:r>
              <w:rPr>
                <w:rFonts w:ascii="宋体" w:hAnsi="宋体" w:cs="宋体" w:hint="eastAsia"/>
                <w:b/>
                <w:color w:val="FF0000"/>
                <w:kern w:val="0"/>
                <w:sz w:val="18"/>
                <w:szCs w:val="18"/>
              </w:rPr>
              <w:t>整机能感应不同光照环境并自动调节屏幕亮度，此功能可手动开启或关闭；</w:t>
            </w:r>
            <w:r>
              <w:rPr>
                <w:rFonts w:ascii="宋体" w:hAnsi="宋体" w:cs="宋体" w:hint="eastAsia"/>
                <w:b/>
                <w:color w:val="FF0000"/>
                <w:sz w:val="18"/>
                <w:szCs w:val="18"/>
              </w:rPr>
              <w:t>须支持断点续传功能，终端升级过程中发生网络中断、断电重启，恢复后可断点续传，避免升级失败。</w:t>
            </w:r>
            <w:r>
              <w:rPr>
                <w:rFonts w:ascii="宋体" w:hAnsi="宋体" w:cs="宋体" w:hint="eastAsia"/>
                <w:b/>
                <w:bCs/>
                <w:color w:val="FF0000"/>
                <w:kern w:val="0"/>
                <w:sz w:val="18"/>
                <w:szCs w:val="18"/>
              </w:rPr>
              <w:t>提供第三方检测机构出具的带有CMA和CNAS标识的检测报告扫描件，原件备查；</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16.在无操作或无信号输入状态下，具备进入待机的功能，时间可自行设定。</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17.整机接口在无转接情况下须满足：HDMI≥2、USB Type-A≥2、RJ45≥1、USB Type-B≥1。</w:t>
            </w:r>
          </w:p>
        </w:tc>
      </w:tr>
      <w:tr>
        <w:tblPrEx>
          <w:tblW w:w="5000" w:type="pct"/>
          <w:tblInd w:w="0" w:type="dxa"/>
          <w:tblCellMar>
            <w:top w:w="0" w:type="dxa"/>
            <w:left w:w="108" w:type="dxa"/>
            <w:bottom w:w="0" w:type="dxa"/>
            <w:right w:w="108" w:type="dxa"/>
          </w:tblCellMar>
        </w:tblPrEx>
        <w:trPr>
          <w:trHeight w:val="272"/>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vMerge w:val="restar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18.</w:t>
            </w:r>
            <w:r>
              <w:rPr>
                <w:rStyle w:val="font21"/>
                <w:rFonts w:hint="default"/>
              </w:rPr>
              <w:t>★</w:t>
            </w:r>
            <w:r>
              <w:rPr>
                <w:rStyle w:val="font51"/>
                <w:rFonts w:hint="default"/>
              </w:rPr>
              <w:t>插拔式OPS微型PC设计，CPU主频：</w:t>
            </w:r>
            <w:r>
              <w:rPr>
                <w:rStyle w:val="font01"/>
              </w:rPr>
              <w:t xml:space="preserve"> </w:t>
            </w:r>
            <w:r>
              <w:rPr>
                <w:rStyle w:val="font51"/>
                <w:rFonts w:hint="default"/>
              </w:rPr>
              <w:t>≥3.0GHz，内存≥16GB，固态硬盘≥256G；支持WIFI无线网络。</w:t>
            </w:r>
          </w:p>
        </w:tc>
      </w:tr>
      <w:tr>
        <w:tblPrEx>
          <w:tblW w:w="5000" w:type="pct"/>
          <w:tblInd w:w="0" w:type="dxa"/>
          <w:tblCellMar>
            <w:top w:w="0" w:type="dxa"/>
            <w:left w:w="108" w:type="dxa"/>
            <w:bottom w:w="0" w:type="dxa"/>
            <w:right w:w="108" w:type="dxa"/>
          </w:tblCellMar>
        </w:tblPrEx>
        <w:trPr>
          <w:trHeight w:val="272"/>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r>
      <w:tr>
        <w:tblPrEx>
          <w:tblW w:w="5000" w:type="pct"/>
          <w:tblInd w:w="0" w:type="dxa"/>
          <w:tblCellMar>
            <w:top w:w="0" w:type="dxa"/>
            <w:left w:w="108" w:type="dxa"/>
            <w:bottom w:w="0" w:type="dxa"/>
            <w:right w:w="108" w:type="dxa"/>
          </w:tblCellMar>
        </w:tblPrEx>
        <w:trPr>
          <w:trHeight w:val="197"/>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11</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65寸触控一体机</w:t>
            </w: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sz w:val="18"/>
                <w:szCs w:val="18"/>
              </w:rPr>
            </w:pPr>
            <w:r>
              <w:rPr>
                <w:rFonts w:ascii="宋体" w:hAnsi="宋体" w:cs="宋体" w:hint="eastAsia"/>
                <w:bCs/>
                <w:kern w:val="0"/>
                <w:sz w:val="18"/>
                <w:szCs w:val="18"/>
              </w:rPr>
              <w:t xml:space="preserve">1.尺寸≥65英寸，采用不低于A+规屏； </w:t>
            </w:r>
          </w:p>
        </w:tc>
      </w:tr>
      <w:tr>
        <w:tblPrEx>
          <w:tblW w:w="5000" w:type="pct"/>
          <w:tblInd w:w="0" w:type="dxa"/>
          <w:tblCellMar>
            <w:top w:w="0" w:type="dxa"/>
            <w:left w:w="108" w:type="dxa"/>
            <w:bottom w:w="0" w:type="dxa"/>
            <w:right w:w="108" w:type="dxa"/>
          </w:tblCellMar>
        </w:tblPrEx>
        <w:trPr>
          <w:trHeight w:val="273"/>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kern w:val="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kern w:val="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r>
              <w:rPr>
                <w:rFonts w:ascii="宋体" w:hAnsi="宋体" w:cs="宋体" w:hint="eastAsia"/>
                <w:bCs/>
                <w:kern w:val="0"/>
                <w:sz w:val="18"/>
                <w:szCs w:val="18"/>
              </w:rPr>
              <w:t>2.</w:t>
            </w:r>
            <w:r>
              <w:rPr>
                <w:rStyle w:val="font21"/>
                <w:rFonts w:hint="default"/>
                <w:color w:val="auto"/>
              </w:rPr>
              <w:t>★</w:t>
            </w:r>
            <w:r>
              <w:rPr>
                <w:rFonts w:ascii="宋体" w:hAnsi="宋体" w:cs="宋体" w:hint="eastAsia"/>
                <w:bCs/>
                <w:kern w:val="0"/>
                <w:sz w:val="18"/>
                <w:szCs w:val="18"/>
              </w:rPr>
              <w:t>分辨率≥3840*2160；</w:t>
            </w:r>
          </w:p>
        </w:tc>
      </w:tr>
      <w:tr>
        <w:tblPrEx>
          <w:tblW w:w="5000" w:type="pct"/>
          <w:tblInd w:w="0" w:type="dxa"/>
          <w:tblCellMar>
            <w:top w:w="0" w:type="dxa"/>
            <w:left w:w="108" w:type="dxa"/>
            <w:bottom w:w="0" w:type="dxa"/>
            <w:right w:w="108" w:type="dxa"/>
          </w:tblCellMar>
        </w:tblPrEx>
        <w:trPr>
          <w:trHeight w:val="263"/>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kern w:val="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kern w:val="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r>
              <w:rPr>
                <w:rFonts w:ascii="宋体" w:hAnsi="宋体" w:cs="宋体" w:hint="eastAsia"/>
                <w:bCs/>
                <w:kern w:val="0"/>
                <w:sz w:val="18"/>
                <w:szCs w:val="18"/>
              </w:rPr>
              <w:t>3.显示比例16:9；</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4.触摸屏采用红外感应技术，在双系统下均支持不少于20点触控，触摸分辨率≥32768（W）*32768（D）；</w:t>
            </w:r>
            <w:r>
              <w:rPr>
                <w:rStyle w:val="font51"/>
                <w:rFonts w:hint="default"/>
              </w:rPr>
              <w:t xml:space="preserve"> </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5.屏幕表面采用 </w:t>
            </w:r>
            <w:r>
              <w:rPr>
                <w:rStyle w:val="font51"/>
                <w:rFonts w:hint="default"/>
              </w:rPr>
              <w:t>3.2mm 厚防眩光钢化玻璃，透光率不低于 88%，表面硬度不低于莫氏 7 级。屏体采用防蓝光设计；</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6.设置windows模式后，开机可直接进行windows操作系统，方便教学中单一系统直接操作。</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7.触摸屏嵌入式Android操作系统下，内置互动白板书写完成后须支持本地保存、邮件分享、微信等主流应用扫码带走功能，方便老师实时保存课堂书写内容；</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8.通过产品前面板独立物理按钮可实现唤醒、开机功能；</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9.为方便日常教学投屏使用，须支持多种投屏方式，须包括但不限于 </w:t>
            </w:r>
            <w:r>
              <w:rPr>
                <w:rStyle w:val="font51"/>
                <w:rFonts w:hint="default"/>
              </w:rPr>
              <w:t>APP 投屏、手机下拉菜单软投屏等方式。</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10.触摸屏内置安卓系统，CPU采用四核，ROM≥32GB，RAM≥4GB，系统版本不低于9.0，支持在线升级；</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11.支持在无外接OPS电脑状态下，嵌入式Android操作系统下可实现windows系统中常用的教学应用功能，如白板书写、WPS软件使用、网页浏览、图片浏览、视频播放。</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12</w:t>
            </w:r>
            <w:r>
              <w:rPr>
                <w:rFonts w:ascii="宋体" w:hAnsi="宋体" w:cs="宋体" w:hint="eastAsia"/>
                <w:b/>
                <w:color w:val="FF0000"/>
                <w:kern w:val="0"/>
                <w:sz w:val="18"/>
                <w:szCs w:val="18"/>
              </w:rPr>
              <w:t>.▲在不同光照环境下，终端能感应并自动调节屏幕不同亮度的显示效果，此功能可</w:t>
            </w:r>
            <w:r>
              <w:rPr>
                <w:rStyle w:val="font51"/>
                <w:rFonts w:hint="default"/>
                <w:b/>
                <w:color w:val="FF0000"/>
              </w:rPr>
              <w:t>自行开启或关闭；</w:t>
            </w:r>
            <w:r>
              <w:rPr>
                <w:rFonts w:ascii="宋体" w:hAnsi="宋体" w:cs="宋体" w:hint="eastAsia"/>
                <w:b/>
                <w:color w:val="FF0000"/>
                <w:sz w:val="18"/>
                <w:szCs w:val="18"/>
              </w:rPr>
              <w:t>须支持断点续传功能，终端升级过程中发生网络中断、断电重启，恢复后可断点续传，避免升级失败。</w:t>
            </w:r>
            <w:r>
              <w:rPr>
                <w:rFonts w:ascii="宋体" w:hAnsi="宋体" w:cs="宋体" w:hint="eastAsia"/>
                <w:b/>
                <w:bCs/>
                <w:color w:val="FF0000"/>
                <w:kern w:val="0"/>
                <w:sz w:val="18"/>
                <w:szCs w:val="18"/>
              </w:rPr>
              <w:t>提供第三方检测机构出具的带有CMA和CNAS标识的检测报告扫描件，原件备查；</w:t>
            </w:r>
          </w:p>
        </w:tc>
      </w:tr>
      <w:tr>
        <w:tblPrEx>
          <w:tblW w:w="5000" w:type="pct"/>
          <w:tblInd w:w="0" w:type="dxa"/>
          <w:tblCellMar>
            <w:top w:w="0" w:type="dxa"/>
            <w:left w:w="108" w:type="dxa"/>
            <w:bottom w:w="0" w:type="dxa"/>
            <w:right w:w="108" w:type="dxa"/>
          </w:tblCellMar>
        </w:tblPrEx>
        <w:trPr>
          <w:trHeight w:val="48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13.</w:t>
            </w:r>
            <w:r>
              <w:rPr>
                <w:rStyle w:val="font21"/>
                <w:rFonts w:hint="default"/>
              </w:rPr>
              <w:t>★</w:t>
            </w:r>
            <w:r>
              <w:rPr>
                <w:rStyle w:val="font51"/>
                <w:rFonts w:hint="default"/>
              </w:rPr>
              <w:t>插拔式OPS微型PC设计，CPU主频：≥2.3GHz，内存≥8GB，固态硬盘≥256G；支持WIFI无线网络，带RJ45接口100M/1000Mbs；</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14.前置面板需具有以下输入接口：</w:t>
            </w:r>
            <w:r>
              <w:rPr>
                <w:rStyle w:val="font51"/>
                <w:rFonts w:hint="default"/>
              </w:rPr>
              <w:t>≥1 路标准非转接 Type- c 接口、≥2 路双通道 USB3.0 接口；</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15.整机后置</w:t>
            </w:r>
            <w:r>
              <w:rPr>
                <w:rStyle w:val="font51"/>
                <w:rFonts w:hint="default"/>
              </w:rPr>
              <w:t>≥2 路 HDMI 输入接口、≥1 路 HDMI 输出接口、≥1 路 MIC 输入接口、≥1 路 MIC 输出接口、≥1 路 RJ45 接口、≥1 路 COM 接口、≥1 路 USB3.0 Type-A 接口、≥1 路 USB Type-B 接口。</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16.整机能感应并自动调节屏幕，来达到在不同光照环境下的不同亮度显示效果，此功能可</w:t>
            </w:r>
            <w:r>
              <w:rPr>
                <w:rStyle w:val="font51"/>
                <w:rFonts w:hint="default"/>
              </w:rPr>
              <w:t>自行开启或关闭；</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12</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智能互动交互系统</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1.主讲端与听讲端各分组一键连接。主讲端与听讲端任意设置切换</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支持广域网接入、并且支持RTSP协议高清摄像机接入。</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3.分组画面预览：支持8分组的实时画面同时在主界面进行小窗口预览、点击预览窗口可放大显示。</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4.分组画面展示：支持将任意端的展示画面调取、并进行同步展示、且支持同时调取两端的展示画面进行对比展示。</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5.分组画面任意切换和调取、支持在调取的画面上进行批注。</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6.支持在教学大屏端和小组端上对讨论内容进行批注、并可以将批注的书写过程同步到所有学生屏幕。</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7.可实现学生考勤：支持学生扫码签到、老师及管理人员可实时查看数据。</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8.课堂互动：支持抢答、抽答、弹幕等课中互动工具。</w:t>
            </w:r>
            <w:r>
              <w:rPr>
                <w:rStyle w:val="font51"/>
                <w:rFonts w:hint="default"/>
              </w:rPr>
              <w:t xml:space="preserve">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9.无线投屏功能，兼容安卓、IOS、Windows系统，投屏分辨率:1080P；</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10.▲提供智能互动交互系统相关的软件著作权软件证书扫描件，原件备查。</w:t>
            </w:r>
          </w:p>
        </w:tc>
      </w:tr>
      <w:tr>
        <w:tblPrEx>
          <w:tblW w:w="5000" w:type="pct"/>
          <w:tblInd w:w="0" w:type="dxa"/>
          <w:tblCellMar>
            <w:top w:w="0" w:type="dxa"/>
            <w:left w:w="108" w:type="dxa"/>
            <w:bottom w:w="0" w:type="dxa"/>
            <w:right w:w="108" w:type="dxa"/>
          </w:tblCellMar>
        </w:tblPrEx>
        <w:trPr>
          <w:trHeight w:val="48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13</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视频矩阵</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21"/>
                <w:rFonts w:hint="default"/>
              </w:rPr>
              <w:t>★</w:t>
            </w:r>
            <w:r>
              <w:rPr>
                <w:rStyle w:val="font51"/>
                <w:rFonts w:hint="default"/>
              </w:rPr>
              <w:t>支持≥16通道视频信号输入输出切换，视频矩阵接口采用插卡式模块化设计，视频接口单卡单路，子卡支持热插拔功能及单独电源管理；</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2.支持≥19.5Gbps数据速率的数字背板；支持HDMI2.0及HDCP 2.2向下兼容；最高支持分辨率≥4096*2160@60Hz 4:4:4 ；</w:t>
            </w:r>
          </w:p>
        </w:tc>
      </w:tr>
      <w:tr>
        <w:tblPrEx>
          <w:tblW w:w="5000" w:type="pct"/>
          <w:tblInd w:w="0" w:type="dxa"/>
          <w:tblCellMar>
            <w:top w:w="0" w:type="dxa"/>
            <w:left w:w="108" w:type="dxa"/>
            <w:bottom w:w="0" w:type="dxa"/>
            <w:right w:w="108" w:type="dxa"/>
          </w:tblCellMar>
        </w:tblPrEx>
        <w:trPr>
          <w:trHeight w:val="90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18"/>
                <w:szCs w:val="18"/>
              </w:rPr>
            </w:pPr>
            <w:r>
              <w:rPr>
                <w:rFonts w:ascii="宋体" w:hAnsi="宋体" w:cs="宋体" w:hint="eastAsia"/>
                <w:b/>
                <w:bCs/>
                <w:color w:val="FF0000"/>
                <w:kern w:val="0"/>
                <w:sz w:val="18"/>
                <w:szCs w:val="18"/>
              </w:rPr>
              <w:t>3.</w:t>
            </w:r>
            <w:r>
              <w:rPr>
                <w:rStyle w:val="font51"/>
                <w:rFonts w:hint="default"/>
                <w:color w:val="FF0000"/>
              </w:rPr>
              <w:t>▲</w:t>
            </w:r>
            <w:r>
              <w:rPr>
                <w:rStyle w:val="font81"/>
                <w:rFonts w:hint="default"/>
              </w:rPr>
              <w:t>输入输出接口支持HDMI、HDBaseT、DVI、SDI、VGA、DP、光等格式，可根据需求灵活搭配输入输出接口；矩阵主机采用1+1冗余电源热备设计，冗余电源双备热备；电源切换时间≤20ms；电压抖动≤15V；提供第三方检测机构出具的带有CMA和CNAS标识的检测报告扫描件，原件备查；</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 支持EDID管理，允许读取输出设备EDID或储存的EDID并应用到任意输入卡上，支持EDID上传、下载、备份；</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5.所有卡槽通道支持独立电源管理，可将板卡单独供/断电，可手动和自动管理，节能环保延长板卡使用寿命；</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6.矩阵主机支持≥5寸触摸屏，WEB主界面显示设备实时运行温度，实时显示当前设备输入输出及工作状态；</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7.内置音频矩阵功能，支持音频自由切换和音频加解嵌功能；</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rPr>
              <w:t>二、音频及扩声系统</w:t>
            </w:r>
          </w:p>
        </w:tc>
      </w:tr>
      <w:tr>
        <w:tblPrEx>
          <w:tblW w:w="5000" w:type="pct"/>
          <w:tblInd w:w="0" w:type="dxa"/>
          <w:tblCellMar>
            <w:top w:w="0" w:type="dxa"/>
            <w:left w:w="108" w:type="dxa"/>
            <w:bottom w:w="0" w:type="dxa"/>
            <w:right w:w="108" w:type="dxa"/>
          </w:tblCellMar>
        </w:tblPrEx>
        <w:trPr>
          <w:trHeight w:val="9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14</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数字红外无线教学扩声系统主机</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b/>
                <w:bCs/>
                <w:color w:val="FF0000"/>
                <w:kern w:val="0"/>
                <w:sz w:val="18"/>
                <w:szCs w:val="18"/>
              </w:rPr>
              <w:t>1</w:t>
            </w:r>
            <w:r>
              <w:rPr>
                <w:rFonts w:hint="eastAsia"/>
                <w:b/>
                <w:bCs/>
                <w:color w:val="FF0000"/>
                <w:kern w:val="0"/>
              </w:rPr>
              <w:t>.</w:t>
            </w:r>
            <w:r>
              <w:rPr>
                <w:rFonts w:ascii="宋体" w:hAnsi="宋体" w:cs="宋体" w:hint="eastAsia"/>
                <w:b/>
                <w:bCs/>
                <w:color w:val="FF0000"/>
                <w:kern w:val="0"/>
                <w:sz w:val="18"/>
                <w:szCs w:val="18"/>
              </w:rPr>
              <w:t>▲红外传输副载波符合IEC 61603-7数字红外国际标准；提供采用国际标准产品标志证书扫描件，原件备查；</w:t>
            </w:r>
          </w:p>
        </w:tc>
      </w:tr>
      <w:tr>
        <w:tblPrEx>
          <w:tblW w:w="5000" w:type="pct"/>
          <w:tblInd w:w="0" w:type="dxa"/>
          <w:tblCellMar>
            <w:top w:w="0" w:type="dxa"/>
            <w:left w:w="108" w:type="dxa"/>
            <w:bottom w:w="0" w:type="dxa"/>
            <w:right w:w="108" w:type="dxa"/>
          </w:tblCellMar>
        </w:tblPrEx>
        <w:trPr>
          <w:trHeight w:val="9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2．主机频响范围：优于110 Hz--20kHz</w:t>
            </w:r>
          </w:p>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麦克风频响范围：优于100 Hz--20kHz；</w:t>
            </w:r>
          </w:p>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信噪比：≥90 dBA；总谐波失真：≤0.05%；</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4．具有≥2个RJ45接口用于接数字红外接收器</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51"/>
                <w:rFonts w:hint="default"/>
              </w:rPr>
              <w:t>支持2只无线麦克风同时讲话；</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6．具有线路声音自动衰减功能设置，即麦克风有声音触发时，背景声音降低。；</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7．通过USB连接PC，支持数字音频输入输出，配合数字红外无线麦克风可实现PPT翻页功能；</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8.支持话筒灵敏度、线路输入音量、高低音及智能校准等调节功能</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9.内置高性能数字信号处理器（DSP），可对音频进行反馈抑制（AFC）和回声消除（AEC）</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10．线路输入（LINE IN）≥2路，线路输出（LINE OUT）≥2路；</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11．LINE IN1可作为麦克风输入，并可提供幻象电源；</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12．RS-232串口≥1路。</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 不少于2路USB接口，1路USB口用于连接有线麦克风，另1路通过USB线连接到电脑实现无损音频传输或配合数字红外无线麦克风实现PPT翻页功能。</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 需具有音乐或语音选择模式、童锁设置及语言设置等功能。</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15</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数字红外接收器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1．dirATC--数字红外音频传输及控制技术；</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2．不受高频驱动光源干扰，可正常工作于阳光下的环境；</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 xml:space="preserve"> 可配2个数字红外无线麦克风；</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w:t>
            </w:r>
            <w:r>
              <w:rPr>
                <w:rStyle w:val="font61"/>
                <w:rFonts w:hint="default"/>
              </w:rPr>
              <w:t>．</w:t>
            </w:r>
            <w:r>
              <w:rPr>
                <w:rStyle w:val="font51"/>
                <w:rFonts w:hint="default"/>
              </w:rPr>
              <w:t>接收距离：≥25 m；覆盖面积：≥80-100 ㎡。</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16</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全向麦克风</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1.内置全向性驻极体麦克风，拾取学生互动声音</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声压级：≥125 dB（THD&lt;3%）</w:t>
            </w:r>
          </w:p>
        </w:tc>
      </w:tr>
      <w:tr>
        <w:tblPrEx>
          <w:tblW w:w="5000" w:type="pct"/>
          <w:tblInd w:w="0" w:type="dxa"/>
          <w:tblCellMar>
            <w:top w:w="0" w:type="dxa"/>
            <w:left w:w="108" w:type="dxa"/>
            <w:bottom w:w="0" w:type="dxa"/>
            <w:right w:w="108" w:type="dxa"/>
          </w:tblCellMar>
        </w:tblPrEx>
        <w:trPr>
          <w:trHeight w:val="461"/>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3.频率响应：优于50 Hz-20kHz；</w:t>
            </w:r>
          </w:p>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4.信噪比：≥65 dBA</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5.总谐波失真：≤0.5%</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6.拾音范围：半径不小于 5 m（中等环境噪声下）；半径不小于 8 m（安静环境下）</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17</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数字红外无线麦克风</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1.红外麦克风在不同教室之间使用，无需对频，即开即用，简单方便；</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2.不受高频驱动光源干扰，可正常工作于阳光下的环境；</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3.扩展性能强，支持外部音频输入（Ø 3.5 mm AUDIO IN），能够与其它音频设备（如MP3、手机等）组合。同时可支持外置3.5mm领夹麦输入；</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4.支持多种使用方式：可手持、颈挂或置于上衣口袋；</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5.发射角度：垂直</w:t>
            </w:r>
            <w:r>
              <w:rPr>
                <w:rStyle w:val="font51"/>
                <w:rFonts w:hint="default"/>
              </w:rPr>
              <w:t>≥0°～90°，水平≥120°；</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6.内置可充电锂电池，持续发言时间</w:t>
            </w:r>
            <w:r>
              <w:rPr>
                <w:rStyle w:val="font51"/>
                <w:rFonts w:hint="default"/>
              </w:rPr>
              <w:t>≥7小时；</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7.需支持USB口充电（兼容手机充电器）或插入充电座充电；</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8.为了满足互动教学，无线麦克风需支持按住发言功能，即按键开启话筒，松开话筒即关闭；</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w:t>
            </w:r>
            <w:r>
              <w:rPr>
                <w:rStyle w:val="font21"/>
                <w:rFonts w:hint="default"/>
              </w:rPr>
              <w:t>★</w:t>
            </w:r>
            <w:r>
              <w:rPr>
                <w:rStyle w:val="font61"/>
                <w:rFonts w:hint="default"/>
              </w:rPr>
              <w:t>红外波长：≥870nm；</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10.麦克风类型：驻极体心形指向性；</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Style w:val="font61"/>
                <w:rFonts w:hint="default"/>
              </w:rPr>
            </w:pPr>
            <w:r>
              <w:rPr>
                <w:rFonts w:ascii="宋体" w:hAnsi="宋体" w:cs="宋体" w:hint="eastAsia"/>
                <w:color w:val="000000"/>
                <w:kern w:val="0"/>
                <w:sz w:val="18"/>
                <w:szCs w:val="18"/>
              </w:rPr>
              <w:t>11.</w:t>
            </w:r>
            <w:r>
              <w:rPr>
                <w:rStyle w:val="font61"/>
                <w:rFonts w:hint="default"/>
              </w:rPr>
              <w:t>频率响应：优于110Hz～20kHz；</w:t>
            </w:r>
          </w:p>
          <w:p>
            <w:pPr>
              <w:widowControl/>
              <w:jc w:val="left"/>
              <w:textAlignment w:val="center"/>
              <w:rPr>
                <w:rStyle w:val="font61"/>
                <w:rFonts w:hint="default"/>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12.信噪比：≥90 dBA；</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13.最大声压级：</w:t>
            </w:r>
            <w:r>
              <w:rPr>
                <w:rStyle w:val="font61"/>
                <w:rFonts w:hint="default"/>
              </w:rPr>
              <w:t>≥110 dB；</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18</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有线麦克风</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1.可拆卸话筒杆，话筒杆长度可选；</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2.内置不少于2个无线麦克风充电位，可对无线麦克风进行充电；</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3.带1根音频线（USB接口）用于连接主机传输音频；</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4.具有1个USB接口，可使用适配器为充电座供电；</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5.麦克风类型：心型指向性驻极体；</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6.频率响应范围：优于85Hz - 20 kHz；</w:t>
            </w:r>
          </w:p>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w:t>
            </w:r>
            <w:r>
              <w:rPr>
                <w:rStyle w:val="font61"/>
                <w:rFonts w:hint="default"/>
              </w:rPr>
              <w:t>最大声压级：≥110 dB (THD&lt;3%)；</w:t>
            </w:r>
          </w:p>
        </w:tc>
      </w:tr>
      <w:tr>
        <w:tblPrEx>
          <w:tblW w:w="5000" w:type="pct"/>
          <w:tblInd w:w="0" w:type="dxa"/>
          <w:tblCellMar>
            <w:top w:w="0" w:type="dxa"/>
            <w:left w:w="108" w:type="dxa"/>
            <w:bottom w:w="0" w:type="dxa"/>
            <w:right w:w="108" w:type="dxa"/>
          </w:tblCellMar>
        </w:tblPrEx>
        <w:trPr>
          <w:trHeight w:val="765"/>
        </w:trPr>
        <w:tc>
          <w:tcPr>
            <w:tcW w:w="455"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19</w:t>
            </w:r>
          </w:p>
        </w:tc>
        <w:tc>
          <w:tcPr>
            <w:tcW w:w="995"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一进四出网口分路器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1.具有不少于1路输入、4路输出RJ45接口，用于扩展数字红外接收器数量。</w:t>
            </w:r>
          </w:p>
        </w:tc>
      </w:tr>
      <w:tr>
        <w:tblPrEx>
          <w:tblW w:w="5000" w:type="pct"/>
          <w:tblInd w:w="0" w:type="dxa"/>
          <w:tblCellMar>
            <w:top w:w="0" w:type="dxa"/>
            <w:left w:w="108" w:type="dxa"/>
            <w:bottom w:w="0" w:type="dxa"/>
            <w:right w:w="108" w:type="dxa"/>
          </w:tblCellMar>
        </w:tblPrEx>
        <w:trPr>
          <w:trHeight w:val="48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20</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数字音频功率放大器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输入接口：≥8路，凤凰平衡输入接口，支持话筒或线路输入，支持幻象供电；</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输出接口：≥8路，凤凰平衡输出接口；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3.功放功率输出：≥200W*2通道；</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输出阻抗：8</w:t>
            </w:r>
            <w:r>
              <w:rPr>
                <w:rStyle w:val="font91"/>
              </w:rPr>
              <w:t>Ω；</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4.前面板配置有音量调节功能和音频信号指示灯；</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5.Ethernet 网络控制接口，支持电脑或者平板控制，支持第三方控制，支持RS-232、485及TCP/IP协议；</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6.输入通道DSP：所有通道都带前级话放、噪声门、反馈抑制器、高/低通滤波器、不少于16段参量均衡、压限器和延时器；</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7.输出通道DSP：所有通道都带高/低通滤波器、不少于16段参量均衡、压限器和延时器；</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8.内置机架式调音台，内置自动混音台，可设置衰减电平值，内置AEC回声消除器</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9.场景预设：≥32个；</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10.权限密码：可设置权限、密码设置</w:t>
            </w:r>
          </w:p>
        </w:tc>
      </w:tr>
      <w:tr>
        <w:tblPrEx>
          <w:tblW w:w="5000" w:type="pct"/>
          <w:tblInd w:w="0" w:type="dxa"/>
          <w:tblCellMar>
            <w:top w:w="0" w:type="dxa"/>
            <w:left w:w="108" w:type="dxa"/>
            <w:bottom w:w="0" w:type="dxa"/>
            <w:right w:w="108" w:type="dxa"/>
          </w:tblCellMar>
        </w:tblPrEx>
        <w:trPr>
          <w:trHeight w:val="598"/>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Style w:val="font51"/>
                <w:rFonts w:hint="default"/>
              </w:rPr>
            </w:pPr>
            <w:r>
              <w:rPr>
                <w:rFonts w:ascii="宋体" w:hAnsi="宋体" w:cs="宋体" w:hint="eastAsia"/>
                <w:color w:val="000000"/>
                <w:kern w:val="0"/>
                <w:sz w:val="18"/>
                <w:szCs w:val="18"/>
              </w:rPr>
              <w:t>11.频率响应：</w:t>
            </w:r>
            <w:r>
              <w:rPr>
                <w:rStyle w:val="font61"/>
                <w:rFonts w:hint="default"/>
              </w:rPr>
              <w:t>优于</w:t>
            </w:r>
            <w:r>
              <w:rPr>
                <w:rStyle w:val="font51"/>
                <w:rFonts w:hint="default"/>
              </w:rPr>
              <w:t xml:space="preserve"> 20 Hz - 20 kHz(±1 dB)</w:t>
            </w:r>
          </w:p>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r>
              <w:rPr>
                <w:rStyle w:val="font51"/>
                <w:rFonts w:hint="default"/>
              </w:rPr>
              <w:t xml:space="preserve">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12.总谐波失真(THD)： ＜0.005%（20 Hz‐20 kHz@ +4 dBu）</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13.动态范围： ≥112 dB；</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14.信道间串扰：≥50 dB/（20‐20 kHz）；</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15.输入阻抗：＞10kΩ</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16.共模抑制比：＞70 dB@1 kHz</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17.前置放大等效输入噪声（EIN）：＜‐123dBu；</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18.功放通道分离度：＞73dB</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Style w:val="font51"/>
                <w:rFonts w:hint="default"/>
              </w:rPr>
            </w:pPr>
            <w:r>
              <w:rPr>
                <w:rFonts w:ascii="宋体" w:hAnsi="宋体" w:cs="宋体" w:hint="eastAsia"/>
                <w:color w:val="000000"/>
                <w:kern w:val="0"/>
                <w:sz w:val="18"/>
                <w:szCs w:val="18"/>
              </w:rPr>
              <w:t>19.功放频率响应：</w:t>
            </w:r>
            <w:r>
              <w:rPr>
                <w:rStyle w:val="font61"/>
                <w:rFonts w:hint="default"/>
              </w:rPr>
              <w:t>优于</w:t>
            </w:r>
            <w:r>
              <w:rPr>
                <w:rStyle w:val="font51"/>
                <w:rFonts w:hint="default"/>
              </w:rPr>
              <w:t>20 Hz - 20 kHz(±0.5dB)</w:t>
            </w:r>
          </w:p>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r>
              <w:rPr>
                <w:rStyle w:val="font51"/>
                <w:rFonts w:hint="default"/>
              </w:rPr>
              <w:t xml:space="preserve">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20.功放总谐波失真：≤0.7%</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21</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扬声器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 类型：线性阵列音柱，内置不少于4个≥3英寸喇叭单元；</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2.频率范围：优于80 Hz - 20 KHz（-10 dB）；</w:t>
            </w:r>
          </w:p>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3.频率响应：优于70 Hz - 18 kHz (±3 dB)；</w:t>
            </w:r>
          </w:p>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21"/>
                <w:rFonts w:hint="default"/>
              </w:rPr>
              <w:t>★</w:t>
            </w:r>
            <w:r>
              <w:rPr>
                <w:rFonts w:ascii="宋体" w:hAnsi="宋体" w:cs="宋体" w:hint="eastAsia"/>
                <w:color w:val="000000"/>
                <w:kern w:val="0"/>
                <w:sz w:val="18"/>
                <w:szCs w:val="18"/>
              </w:rPr>
              <w:t>灵敏度：≥ (1w @ 1m): 90dB；</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 额定阻抗：≥8 Ohms；</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 最大声压级：≥105 dB；</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 额定功率：60-80W；</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 覆盖角度（H x V)：≥150°x 30°115°x 85°；</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w:t>
            </w:r>
            <w:r>
              <w:rPr>
                <w:rStyle w:val="font51"/>
                <w:rFonts w:hint="default"/>
              </w:rPr>
              <w:t>颜色： 白(W)；</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 含安装支架；</w:t>
            </w:r>
          </w:p>
        </w:tc>
      </w:tr>
      <w:tr>
        <w:tblPrEx>
          <w:tblW w:w="5000" w:type="pct"/>
          <w:tblInd w:w="0" w:type="dxa"/>
          <w:tblCellMar>
            <w:top w:w="0" w:type="dxa"/>
            <w:left w:w="108" w:type="dxa"/>
            <w:bottom w:w="0" w:type="dxa"/>
            <w:right w:w="108" w:type="dxa"/>
          </w:tblCellMar>
        </w:tblPrEx>
        <w:trPr>
          <w:trHeight w:val="285"/>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rPr>
              <w:t>三、录播系统</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rPr>
              <w:t>（一）精品录播系统</w:t>
            </w:r>
          </w:p>
        </w:tc>
      </w:tr>
      <w:tr>
        <w:tblPrEx>
          <w:tblW w:w="5000" w:type="pct"/>
          <w:tblInd w:w="0" w:type="dxa"/>
          <w:tblCellMar>
            <w:top w:w="0" w:type="dxa"/>
            <w:left w:w="108" w:type="dxa"/>
            <w:bottom w:w="0" w:type="dxa"/>
            <w:right w:w="108" w:type="dxa"/>
          </w:tblCellMar>
        </w:tblPrEx>
        <w:trPr>
          <w:trHeight w:val="45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22</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精品录播主机</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1.为了系统的安全稳定， 要求录播主机必须采用嵌入式硬件设计，内置Linux操作系统，支持7*24小时工作；不接受PC架构以及服务器设计方式；</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2.系统集成录播系统、音频处理、编解码技术为一体，更符合信息化行业有关产品发展微小型化、低功耗、智能化和高可靠性政策；</w:t>
            </w:r>
          </w:p>
        </w:tc>
      </w:tr>
      <w:tr>
        <w:tblPrEx>
          <w:tblW w:w="5000" w:type="pct"/>
          <w:tblInd w:w="0" w:type="dxa"/>
          <w:tblCellMar>
            <w:top w:w="0" w:type="dxa"/>
            <w:left w:w="108" w:type="dxa"/>
            <w:bottom w:w="0" w:type="dxa"/>
            <w:right w:w="108" w:type="dxa"/>
          </w:tblCellMar>
        </w:tblPrEx>
        <w:trPr>
          <w:trHeight w:val="90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18"/>
                <w:szCs w:val="18"/>
              </w:rPr>
            </w:pPr>
            <w:r>
              <w:rPr>
                <w:rFonts w:ascii="宋体" w:hAnsi="宋体" w:cs="宋体" w:hint="eastAsia"/>
                <w:b/>
                <w:bCs/>
                <w:color w:val="FF0000"/>
                <w:kern w:val="0"/>
                <w:sz w:val="18"/>
                <w:szCs w:val="18"/>
              </w:rPr>
              <w:t>3.</w:t>
            </w:r>
            <w:r>
              <w:rPr>
                <w:rStyle w:val="font81"/>
                <w:rFonts w:hint="default"/>
              </w:rPr>
              <w:t>▲支持不小于4路高清3G-SDI、支持不小于2路HDMI输入接口；支持不小于1路VGA输入接口，不小于2路HDMI接口视频输出；不少于1路VGA输出；提供设备接口图片及第三方检测机构出具的带有CMA和CNAS标识的检测报告扫描件，原件备查 ；</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4.为了满足部分双教学大屏场景，要求2路HDMI输入接口支持同时接入，能够实现两路HDMI信号采集，并支持老师教学过程中大屏操作的全自动跟踪切换；</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5.主机默认内含6口交换机，其中支持不少于4口POE供电;</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6.满足老师特写、讲台全景、学生特写、学生全景信号接入；</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7.为满足不同音频输入需求，主机音频支持不少于1路莲花（RCA）MIC IN接口、1路凤凰端子MIC IN接口、1路3.5 LINE IN、1路凤凰LINE IN接口可选，同时，主机应支持不少于1路凤凰端子、1路双莲花LINE OUT可选；</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w:t>
            </w:r>
            <w:r>
              <w:rPr>
                <w:rStyle w:val="font51"/>
                <w:rFonts w:hint="default"/>
              </w:rPr>
              <w:t xml:space="preserve"> 录播主机支持本地导播功能，接上鼠标、标准键盘与显示器就可实现无延时本地导播，可以扩展硬件导播台；</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9.为了便于录播主机连接鼠、标准键盘、导播控制键盘、双USB移动存储设备，要求录播主机支持不小于5路USB接口；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10.主机包含Reset按键，可以实现出厂设置恢复，能够实时初始化系统状态；</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11.主机前面板配置液晶屏，支持显示主机版本、IP地址等信息，实时清晰管理设备操控，为确保清晰显示，液晶屏尺寸不小于2寸；</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12.控制接口不小于8路，可用于控制摄像机云台与控制面板等设备；</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13.系统内置跟踪功能，无需额外配置跟踪主机即可实现智能图像识别跟踪分析与处理功能，跟踪对象不需要佩戴任何辅助装置，便可对老师和学生的动作、移动进行准确定位、跟踪，清楚的记录整个教学活动；</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14.系统内置不小于2T存储空间，支持双硬盘接入，最大支持不少于16T硬盘存储空间，录制文件既可存储在本地硬盘，可以上传到云资源管理平台或第三方FTP服务器；</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15.支持H.323、SIP协议，能够对接第三方视频会议终端，实现互动场景录制；</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16.支持微信直播功能，支持利用windows平台B/S架构和移动客户端Android平台APP、IOS平台APP微信端现场直播功能。</w:t>
            </w:r>
          </w:p>
        </w:tc>
      </w:tr>
      <w:tr>
        <w:tblPrEx>
          <w:tblW w:w="5000" w:type="pct"/>
          <w:tblInd w:w="0" w:type="dxa"/>
          <w:tblCellMar>
            <w:top w:w="0" w:type="dxa"/>
            <w:left w:w="108" w:type="dxa"/>
            <w:bottom w:w="0" w:type="dxa"/>
            <w:right w:w="108" w:type="dxa"/>
          </w:tblCellMar>
        </w:tblPrEx>
        <w:trPr>
          <w:trHeight w:val="45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23</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录播主机管理软件</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1.录播主机系统软件须出厂即安装于录播主机内，要求支持网络导播与本地导播两种导播方式；</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2.为了更清楚了解系统状态，系统应支持版本信息、序列号、设备型号、硬盘空间、剩余硬盘空间、跟踪机位信息、网络连接、平台接入信息等显示；</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3.支持远程登录管理系统，可设置用户密码、视频输入、视频输出、互动、推流方式及模式、VGA图像微调等功能；</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4.系统支持视频文件上传、下载、异常修复、本地点播、删除等基本功能，支持通过状态标记自动检测课件上传是否成功，对于状态标记上传失败的课件资源支持人工手动续传；</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5.系统支持插入外接移动存储设备一键拷贝下载功能，并可选择多路外接移动设备；</w:t>
            </w:r>
          </w:p>
        </w:tc>
      </w:tr>
      <w:tr>
        <w:tblPrEx>
          <w:tblW w:w="5000" w:type="pct"/>
          <w:tblInd w:w="0" w:type="dxa"/>
          <w:tblCellMar>
            <w:top w:w="0" w:type="dxa"/>
            <w:left w:w="108" w:type="dxa"/>
            <w:bottom w:w="0" w:type="dxa"/>
            <w:right w:w="108" w:type="dxa"/>
          </w:tblCellMar>
        </w:tblPrEx>
        <w:trPr>
          <w:trHeight w:val="70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w:t>
            </w:r>
            <w:r>
              <w:rPr>
                <w:rStyle w:val="font51"/>
                <w:rFonts w:hint="default"/>
              </w:rPr>
              <w:t>系统支持异常课件修复功能，在录制过程中或其他不可抗拒因素导致设备突然断电使录制的课件异常时，可通过录播主机管理页面一键修复功能，修复异常课件为正常课件资源；</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7.系统采用主流RTMP/RTSP/HTTP流媒体直播推送技术，支持基于Flash技术和HTML5技术的直播和点播方式，能够让用户免安装插件即可接收和观看直播和点播，无论在移动端还是电脑端都享受一流视频观看体验；</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8.系统支持高低码流直播，并可以单独控制每一路直播的启用与停止；</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9.系统支持音频管理，可以进行回声消除、噪声消除、延时器、音量等设置；</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10.系统支持输入接口管理，显示当前接口信息与连接状态；</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11.系统支持与资源平台无缝对接，实现视频自动上传功能，可以兼容多种资源管理平台与第三方FTP服务器；</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12.系统可以设置多种教室类型，支持常规教室、互动录播教室与第三方互动录播教室三种模式；</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13.录播系统内置互动功能，支持标准SIP协议，要求无须视频会议终端和MCU即可实现5台录播主机之间的音视频在线互动教学；</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14.录播系统互动功能，要求支持多台录播主机之间互动、录播主机与视频会议终端之间互动、录播主机与MCU之间互动等3种互动场景；</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15.录播系统互动功能要求同时支持公网与内网同时互动；</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16.录播系统互动要求听讲教室一个屏幕显示主讲教室的老师画面与PPT画面；</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17.系统支持一键式连接远程录播教室进行互动教学，互动教室列表支持不小于30间预设，支持互动教室数据的批量导入和导出功能；</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18.录播系统互动要求支持主讲教室与听讲教室两种角色自由切换；</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19.录播互动系统支持双流互动功能，听讲教室使用两台显示器，分别显示主流老师画面与副流电脑PPT、板书画面；</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20.系统支持英文、简体、繁体三语版本切换，满足不同用户的应用需求；</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18"/>
                <w:szCs w:val="18"/>
              </w:rPr>
            </w:pPr>
            <w:r>
              <w:rPr>
                <w:rFonts w:ascii="宋体" w:hAnsi="宋体" w:cs="宋体" w:hint="eastAsia"/>
                <w:b/>
                <w:bCs/>
                <w:color w:val="FF0000"/>
                <w:kern w:val="0"/>
                <w:sz w:val="18"/>
                <w:szCs w:val="18"/>
              </w:rPr>
              <w:t>21.▲提供智慧教育录播主机系统相关的软件著作权证书扫描件，原件备查。</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24</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教师摄像机</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采用不低于1/2.8 英寸CMOS, 有效像素≥207 万；</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 1080p/60, 1080p/50, 1080i/60,1080i/50, 1080p/30, 1080p/25, 720p/60,720p/50, 720p/30, 720p/25</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SD: 480i, 576i多种信号制式；</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光学变焦：≥20X, f4.42mm ~ 88.5mm, F1.8 ~ F2.8；数字变焦：≥16X；</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4.最低照度：≤0.6 Lux @ (F1.8, AGC ON)；</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5.快门速度：≤1/30s ~ 1/10000s；</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6.支持白平衡自动，室内，室外，一键，手动，指定色温；</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7.支持背光补偿，支持2D&amp;3D 数字降噪；</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8.信噪比：≥ 50dB；</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9.水平视场角：≥60.7° ~ 3.36°、垂直视场角：≥34.1° ~ 1.89°；</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10.支持扩展预置位数量：≥255；</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11.输出接口：≥1 路HDMI；≥1 路3G-SDI；≥1 路CVBS；</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12.网络接口：≥1 路RJ45: 10M / 100M 自适应以太网口；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13.音频接口：≥ 1 路Line In, 3.5mm 音频接口；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14.USB 接口：≥1 路USB 2.0。</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15.摄像机与精品录播主机为同一品牌。</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25</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学生摄像机</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采用不低于1/2.8 英寸CMOS, 有效像素：≤207 万；</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 1080p/60, 1080p/50, 1080i/60,1080i/50, 1080p/30, 1080p/25, 720p/60,720p/50, 720p/30, 720p/25</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SD: 480i, 576i多种信号制式；</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光学变焦：≥20X, f4.42mm ~ 88.5mm, F1.8 ~ F2.8；数字变焦：≥16X；</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4.最低照度：≤0.5 Lux @ (F1.8, AGC ON)；</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5.快门速度：≤1/30s ~ 1/10000s；</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6.支持白平衡自动，室内，室外，一键，手动，指定色温；</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7.支持背光补偿，支持2D&amp;3D 数字降噪；</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8.信噪比：≥ 50dB；</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9.水平视场角：≥60.7° ~ 3.36°、垂直视场角：≥34.1° ~ 1.89°；</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10.支持扩展预置位数量≥255；</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11.输出接口支持：≥1 路 HDMI；≥1 路3G-SDI；≥1 路CVBS；</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12.网络接口：≥1 路RJ45: 10M / 100M 自适应以太网口；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13.音频接口：≥ 1 路Line In, 3.5mm 音频接口；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14.USB 接口：≥1 路USB 2.0。</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15.摄像机与精品录播主机为同一品牌。</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26</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定位摄像机</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采用不低于1/2.8 英寸  CMOS 传感器, 总像素不小于200万；</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最低照度不低于：彩色0.6Lux@F1.2；黑白0.08Lux@F1.2；</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3.信噪比： 不小于50dB(AGC OFF)；</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4.编码格式支持：H.264；</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5.供电：DC12V；</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6.设备功率不大于3W。</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7.摄像机与精品录播主机为同一品牌。</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（二）常态化录播系统</w:t>
            </w:r>
          </w:p>
        </w:tc>
      </w:tr>
      <w:tr>
        <w:tblPrEx>
          <w:tblW w:w="5000" w:type="pct"/>
          <w:tblInd w:w="0" w:type="dxa"/>
          <w:tblCellMar>
            <w:top w:w="0" w:type="dxa"/>
            <w:left w:w="108" w:type="dxa"/>
            <w:bottom w:w="0" w:type="dxa"/>
            <w:right w:w="108" w:type="dxa"/>
          </w:tblCellMar>
        </w:tblPrEx>
        <w:trPr>
          <w:trHeight w:val="45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27</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常态化录播主机</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1.为了系统的安全稳定， 要求录播主机必须采用嵌入式硬件设计，内置Linux操作系统，支持7*24小时工作；不接受PC架构以及服务器设计方式；</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2.系统集成录播系统、音频处理、编解码技术为一体，更符合信息化行业有关产品发展微小型化、低功耗、智能化和高可靠性政策；</w:t>
            </w:r>
          </w:p>
        </w:tc>
      </w:tr>
      <w:tr>
        <w:tblPrEx>
          <w:tblW w:w="5000" w:type="pct"/>
          <w:tblInd w:w="0" w:type="dxa"/>
          <w:tblCellMar>
            <w:top w:w="0" w:type="dxa"/>
            <w:left w:w="108" w:type="dxa"/>
            <w:bottom w:w="0" w:type="dxa"/>
            <w:right w:w="108" w:type="dxa"/>
          </w:tblCellMar>
        </w:tblPrEx>
        <w:trPr>
          <w:trHeight w:val="48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支持不小于5路高清3G-SDI、支持不小于1路HDMI输入接口；支持不小于1路VGA输入接口，不小于2路HDMI接口视频输出；</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4.录播主机支持本地导播功能，接上鼠标、标准键盘与显示器就可实现无延时本地导播，可以扩展硬件导播台；</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5.为了便于录播主机连接鼠、标准键盘、导播控制键盘、双USB移动存储设备，要求录播主机支持不小于5路USB接口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6.录播主机支持不小于1路千兆RJ45网络接口；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7.主机包含Reset按键，可以实现出厂设置恢复，能够实时初始化系统状态；</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8.前面板配置液晶屏，支持显示主机版本、IP地址等信息，实时清晰管理设备操控，为确保清晰显示，液晶屏尺寸不小于2寸；</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9.接口不小于8路，可用于控制摄像机云台与控制面板等设备； </w:t>
            </w:r>
            <w:r>
              <w:rPr>
                <w:rStyle w:val="font51"/>
                <w:rFonts w:hint="default"/>
              </w:rPr>
              <w:t xml:space="preserve"> </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10.系统内置跟踪功能，无需额外配置跟踪主机即可实现智能图像识别跟踪分析与处理功能，跟踪对象不需要佩戴任何辅助装置，便可对老师和学生的动作、移动进行准确定位、跟踪，清楚的记录整个教学活动；</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11.系统内置不小于2T存储空间，支持双硬盘接入，最大支持不少于16T硬盘存储空间，录制文件既可存储在本地硬盘，可以上传到云资源管理平台或第三方FTP服务器；</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12.支持H.323、SIP协议，能够对接第三方视频会议终端，实现互动场景录制；</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13.支持微信直播功能，支持利用windows平台B/S架构和移动客户端Android平台APP、IOS平台APP微信端现场直播功能；</w:t>
            </w:r>
          </w:p>
        </w:tc>
      </w:tr>
      <w:tr>
        <w:tblPrEx>
          <w:tblW w:w="5000" w:type="pct"/>
          <w:tblInd w:w="0" w:type="dxa"/>
          <w:tblCellMar>
            <w:top w:w="0" w:type="dxa"/>
            <w:left w:w="108" w:type="dxa"/>
            <w:bottom w:w="0" w:type="dxa"/>
            <w:right w:w="108" w:type="dxa"/>
          </w:tblCellMar>
        </w:tblPrEx>
        <w:trPr>
          <w:trHeight w:val="272"/>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14.设备的易用性以及安全性，要求设备高度不高于1U，要求采用12V直流供电；</w:t>
            </w:r>
          </w:p>
        </w:tc>
      </w:tr>
      <w:tr>
        <w:tblPrEx>
          <w:tblW w:w="5000" w:type="pct"/>
          <w:tblInd w:w="0" w:type="dxa"/>
          <w:tblCellMar>
            <w:top w:w="0" w:type="dxa"/>
            <w:left w:w="108" w:type="dxa"/>
            <w:bottom w:w="0" w:type="dxa"/>
            <w:right w:w="108" w:type="dxa"/>
          </w:tblCellMar>
        </w:tblPrEx>
        <w:trPr>
          <w:trHeight w:val="272"/>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r>
      <w:tr>
        <w:tblPrEx>
          <w:tblW w:w="5000" w:type="pct"/>
          <w:tblInd w:w="0" w:type="dxa"/>
          <w:tblCellMar>
            <w:top w:w="0" w:type="dxa"/>
            <w:left w:w="108" w:type="dxa"/>
            <w:bottom w:w="0" w:type="dxa"/>
            <w:right w:w="108" w:type="dxa"/>
          </w:tblCellMar>
        </w:tblPrEx>
        <w:trPr>
          <w:trHeight w:val="45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28</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录播管理软件</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1.录播主机系统软件须出厂即安装于录播主机内，要求支持网络导播与本地导播两种导播方式；</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2.为了更清楚了解系统状态，系统应支持版本信息、序列号、设备型号、硬盘空间、剩余硬盘空间、跟踪机位信息、网络连接、平台接入信息等显示；</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3.支持远程登录管理系统，可设置用户密码、视频输入、视频输出、互动、推流方式及模式、VGA图像微调等功能；</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4.系统支持视频文件上传、下载、异常修复、本地点播、删除等基本功能，支持通过状态标记自动检测课件上传是否成功，对于状态标记上传失败的课件资源支持人工手动续传；</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5.系统支持插入外接移动存储设备一键拷贝下载功能，并可选择多路外接移动设备；</w:t>
            </w:r>
          </w:p>
        </w:tc>
      </w:tr>
      <w:tr>
        <w:tblPrEx>
          <w:tblW w:w="5000" w:type="pct"/>
          <w:tblInd w:w="0" w:type="dxa"/>
          <w:tblCellMar>
            <w:top w:w="0" w:type="dxa"/>
            <w:left w:w="108" w:type="dxa"/>
            <w:bottom w:w="0" w:type="dxa"/>
            <w:right w:w="108" w:type="dxa"/>
          </w:tblCellMar>
        </w:tblPrEx>
        <w:trPr>
          <w:trHeight w:val="70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w:t>
            </w:r>
            <w:r>
              <w:rPr>
                <w:rStyle w:val="font51"/>
                <w:rFonts w:hint="default"/>
              </w:rPr>
              <w:t>系统支持异常课件修复功能，在录制过程中或其他不可抗拒因素导致设备突然断电使录制的课件异常时，可通过录播主机管理页面一键修复功能，修复异常课件为正常课件资源；</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7.系统采用主流RTMP/RTSP/HTTP流媒体直播推送技术，支持基于Flash技术和HTML5技术的直播和点播方式，能够让用户免安装插件即可接收和观看直播和点播，无论在移动端还是电脑端都享受一流视频观看体验；</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8.系统支持高低码流直播，并可以单独控制每一路直播的启用与停止；</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9.系统支持音频管理，可以进行回声消除、噪声消除、延时器、音量等设置；</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10.系统支持输入接口管理，显示当前接口信息与连接状态；</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11.系统支持与资源平台无缝对接，实现视频自动上传功能，可以兼容多种资源管理平台与第三方FTP服务器；</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12.系统可以设置多种教室类型，支持常规教室、互动录播教室与第三方互动录播教室三种模式；</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13.录播系统内置互动功能，支持标准H.323和SIP协议，支持与标准视频会议系统对接实现互动教学；</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14.录播系统互动功能，要求支持录播主机与录播主机之间互动，录播主机与视频会议终端之间互动、录播主机与MCU之间互动等3种互动场景；</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15.系统支持一键式连接远程录播教室进行互动教学，支持互动教室数据的批量导入和导出功能；</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16.录播系统互动要求支持主讲教室与听讲教室两种角色自由切换；</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17.系统支持英文、简体、繁体三语版本切换，满足不同用户的应用需求；</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29</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摄像机</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图像传感器：不低于1/1.8" Progressive Scan CMOS；</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CMOS最大分辨率：≥3840×2160；</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3.最低照度：≥0.005 Lux @(F1.2,AGC ON)（ 彩色）；</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4.数字增益：≥-30dB </w:t>
            </w:r>
            <w:r>
              <w:rPr>
                <w:rStyle w:val="font51"/>
                <w:rFonts w:hint="default"/>
              </w:rPr>
              <w:t xml:space="preserve"> -  23.9dB；</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5.日夜转换模式支持ICR红外滤片式；</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6.视频压缩标准支持：H.264/H.265；</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7.视频输出分辨率：1080P@30、720P@30；</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8.压缩输出编码率：128Kbps～30Mbps可调；</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9.音频压缩编码率：AAC 32K/48；</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10.图像设置支持：饱和度，亮度，对比度，锐度，色度通过客户端可调；</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11.支持抗闪烁、电子防抖、电子快门、背光补偿、长曝光模式等功能；</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12.ISO模式支持：ISO100、ISO200、ISO400、ISO800、ISO1600、ISO3200；</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13.支持老师跟踪、学生跟踪、电子云台跟踪；</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14.Sensor有效像素：≥800万；</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15.相机支持POE一线通，满足数据通信、供电均由一根网线完成；</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16.摄像机与常态化录播主机为同一品牌。</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四、中央控制系统</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30</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中控主机</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61"/>
                <w:rFonts w:hint="default"/>
              </w:rPr>
              <w:t>内置WEBSERVER，支持浏览器B/S模式控制；</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2.支持模块及COMPILER+语言编程方式，使系统更加智能、方便、稳定；</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3.支持TCP/IP控制模式，UDP控制协议；</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4.支持温湿度，亮度，PM2.5，光照度等物联网传感器接入；</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5.支持≥6路独立可编程RS-232，≥2路RS-485控制接口，用户可编程设置多种控制协议和代码；</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6.支持≥4路独立可编程的红外发射接口 , 支持红外转串口 , 支持控制多台红外设备及串口设备；</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7.支持≥4路继电器,≥2路I/O接口；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8.支持≥4路RJ4510M/100M/1000M以太网接口；</w:t>
            </w:r>
          </w:p>
        </w:tc>
      </w:tr>
      <w:tr>
        <w:tblPrEx>
          <w:tblW w:w="5000" w:type="pct"/>
          <w:tblInd w:w="0" w:type="dxa"/>
          <w:tblCellMar>
            <w:top w:w="0" w:type="dxa"/>
            <w:left w:w="108" w:type="dxa"/>
            <w:bottom w:w="0" w:type="dxa"/>
            <w:right w:w="108" w:type="dxa"/>
          </w:tblCellMar>
        </w:tblPrEx>
        <w:trPr>
          <w:trHeight w:val="70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w:t>
            </w:r>
            <w:r>
              <w:rPr>
                <w:rStyle w:val="font51"/>
                <w:rFonts w:hint="default"/>
              </w:rPr>
              <w:t>支持通过PC浏览器访问中控主机Web界面快速调用和设置投影机、触摸一体机、灯光、空调、电脑等设备的控制指令、执行指令的时间与周期等，并自动同步到触控屏；</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10.支持通过移动端 IOS/Android App 控制设备；</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11.设备可实现对灯光、空调等设备的集中控制管理、统一开关、远程控制，设置计划任务，对空调进行温区控制、电源控制，支持不同教学场景的环境照明，模式化管理。</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12.▲支持Zigbee无线物联协议，内置物联模块与天线，可与调光器等物联设备进行无线通讯；</w:t>
            </w:r>
          </w:p>
        </w:tc>
      </w:tr>
      <w:tr>
        <w:tblPrEx>
          <w:tblW w:w="5000" w:type="pct"/>
          <w:tblInd w:w="0" w:type="dxa"/>
          <w:tblCellMar>
            <w:top w:w="0" w:type="dxa"/>
            <w:left w:w="108" w:type="dxa"/>
            <w:bottom w:w="0" w:type="dxa"/>
            <w:right w:w="108" w:type="dxa"/>
          </w:tblCellMar>
        </w:tblPrEx>
        <w:trPr>
          <w:trHeight w:val="46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13.支持对接学校课表系统，触摸平板实时显示课表信息并根据课表信息自动执行上课/下课等模式；</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31</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触控屏</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61"/>
                <w:rFonts w:hint="default"/>
              </w:rPr>
              <w:t>尺寸：≥7寸液晶屏，屏幕显示分辨率≥1280*800；</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2.触摸点数≥10点；</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3.内置处理器频率≥1.8GHZ；</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4.RJ45接口≥1路、USB2.0接口≥1路、3.5mm音频接口≥1路、HDMI接口≥1路；</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51"/>
                <w:rFonts w:hint="default"/>
              </w:rPr>
              <w:t>与中控主机同一品牌。</w:t>
            </w:r>
          </w:p>
        </w:tc>
      </w:tr>
      <w:tr>
        <w:tblPrEx>
          <w:tblW w:w="5000" w:type="pct"/>
          <w:tblInd w:w="0" w:type="dxa"/>
          <w:tblCellMar>
            <w:top w:w="0" w:type="dxa"/>
            <w:left w:w="108" w:type="dxa"/>
            <w:bottom w:w="0" w:type="dxa"/>
            <w:right w:w="108" w:type="dxa"/>
          </w:tblCellMar>
        </w:tblPrEx>
        <w:trPr>
          <w:trHeight w:val="48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32</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强电继电器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21"/>
                <w:rFonts w:hint="default"/>
              </w:rPr>
              <w:t>★</w:t>
            </w:r>
            <w:r>
              <w:rPr>
                <w:rStyle w:val="font61"/>
                <w:rFonts w:hint="default"/>
              </w:rPr>
              <w:t>支持≥8路电源时序控制，提供≥8个插座输出，紫铜铜片，万能插座适合各种插头；</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2.支持2台机器级联（通过232口，使用九针双公交叉线），并可无限扩展第二台；</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3.支持标准RS232串口控制功能，可设置255个ID地址，最大可支持255台同时使用，适合于大规模集中控制； </w:t>
            </w:r>
            <w:r>
              <w:rPr>
                <w:rStyle w:val="font61"/>
                <w:rFonts w:hint="default"/>
              </w:rPr>
              <w:t xml:space="preserve">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4.具有外部电平(5V-24V)控制接口；</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5.支持数码LED电压指示，具备超压和欠压警示功能，当电压高于245V或者低于195V是闪亮警示；</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6.具备面板直通插座，支持电流≥10A，方便临时取电；</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7.预留20A净化模组安装空间，支持净化功能。</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33</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16口千兆交换机</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1.传输速率：10/100/1000Mbps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2.交换方式：存储-转发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3.背板带宽：32Gbps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4.包转发率：24Mpps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51"/>
                <w:rFonts w:hint="default"/>
              </w:rPr>
              <w:t>端口描述：16个10/100/1000Base-T以太网端口；</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6.网络标准：IEEE 802.3 10BASE-T、IEEE 802.3u 100BASE-TX、IEEE 802.3ab 1000BASE-T、ANSI/IEEE 802.3 Nway、IEEE 802.3x、IEEE 802.3af、IEEE 802.3at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w:t>
            </w:r>
            <w:r>
              <w:rPr>
                <w:rStyle w:val="font21"/>
                <w:rFonts w:hint="default"/>
              </w:rPr>
              <w:t xml:space="preserve"> </w:t>
            </w:r>
            <w:r>
              <w:rPr>
                <w:rStyle w:val="font51"/>
                <w:rFonts w:hint="default"/>
              </w:rPr>
              <w:t>POE供电：16个网口支持POE供电。</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五、感知与管理系统</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34</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调光器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1.工作电压:220V AC 50/60Hz，待机功耗:≤0.5W；</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2.无线工作频率：868.42MHz/915MHz/2.4GHz；</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3.支持有线串口通讯；</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w:t>
            </w:r>
            <w:r>
              <w:rPr>
                <w:rStyle w:val="font61"/>
                <w:rFonts w:hint="default"/>
              </w:rPr>
              <w:t>支持Zigbee无线物联协议;无线传输距离:≤30m(室内)，≤100m(室外)；</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5.最大负载功率:单路阻性负载3A,容性感性负载1A；</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6.适应暗盒尺寸：标准86底盒；</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7.具备灯光的开关控制及亮度调节按钮。</w:t>
            </w:r>
          </w:p>
        </w:tc>
      </w:tr>
      <w:tr>
        <w:tblPrEx>
          <w:tblW w:w="5000" w:type="pct"/>
          <w:tblInd w:w="0" w:type="dxa"/>
          <w:tblCellMar>
            <w:top w:w="0" w:type="dxa"/>
            <w:left w:w="108" w:type="dxa"/>
            <w:bottom w:w="0" w:type="dxa"/>
            <w:right w:w="108" w:type="dxa"/>
          </w:tblCellMar>
        </w:tblPrEx>
        <w:trPr>
          <w:trHeight w:val="525"/>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35</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六合一传感器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61"/>
                <w:rFonts w:hint="default"/>
              </w:rPr>
              <w:t>支持同时检测甲醛、PM2.5、CO</w:t>
            </w:r>
            <w:r>
              <w:rPr>
                <w:rStyle w:val="font151"/>
                <w:rFonts w:hint="default"/>
              </w:rPr>
              <w:t>2</w:t>
            </w:r>
            <w:r>
              <w:rPr>
                <w:rStyle w:val="font61"/>
                <w:rFonts w:hint="default"/>
              </w:rPr>
              <w:t>、温度、湿度6种环境数据，具备以太网通讯接口；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2.甲醛测量范围：</w:t>
            </w:r>
            <w:r>
              <w:rPr>
                <w:rStyle w:val="font51"/>
                <w:rFonts w:hint="default"/>
              </w:rPr>
              <w:t>≥</w:t>
            </w:r>
            <w:r>
              <w:rPr>
                <w:rStyle w:val="font61"/>
                <w:rFonts w:hint="default"/>
              </w:rPr>
              <w:t>0---75ppm，分辨率：0.01mg/m³；</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3.PM2.5测量范围：</w:t>
            </w:r>
            <w:r>
              <w:rPr>
                <w:rStyle w:val="font51"/>
                <w:rFonts w:hint="default"/>
              </w:rPr>
              <w:t>≥</w:t>
            </w:r>
            <w:r>
              <w:rPr>
                <w:rStyle w:val="font61"/>
                <w:rFonts w:hint="default"/>
              </w:rPr>
              <w:t>0---999μg/m³，测量精度：±15%；</w:t>
            </w:r>
          </w:p>
        </w:tc>
      </w:tr>
      <w:tr>
        <w:tblPrEx>
          <w:tblW w:w="5000" w:type="pct"/>
          <w:tblInd w:w="0" w:type="dxa"/>
          <w:tblCellMar>
            <w:top w:w="0" w:type="dxa"/>
            <w:left w:w="108" w:type="dxa"/>
            <w:bottom w:w="0" w:type="dxa"/>
            <w:right w:w="108" w:type="dxa"/>
          </w:tblCellMar>
        </w:tblPrEx>
        <w:trPr>
          <w:trHeight w:val="30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4.CO</w:t>
            </w:r>
            <w:r>
              <w:rPr>
                <w:rStyle w:val="font151"/>
                <w:rFonts w:hint="default"/>
              </w:rPr>
              <w:t>2</w:t>
            </w:r>
            <w:r>
              <w:rPr>
                <w:rStyle w:val="font61"/>
                <w:rFonts w:hint="default"/>
              </w:rPr>
              <w:t>测量范围：</w:t>
            </w:r>
            <w:r>
              <w:rPr>
                <w:rStyle w:val="font51"/>
                <w:rFonts w:hint="default"/>
              </w:rPr>
              <w:t>≥</w:t>
            </w:r>
            <w:r>
              <w:rPr>
                <w:rStyle w:val="font61"/>
                <w:rFonts w:hint="default"/>
              </w:rPr>
              <w:t>400---5000ppm，测量精度：±40ppm；</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5.温度测量范围：</w:t>
            </w:r>
            <w:r>
              <w:rPr>
                <w:rStyle w:val="font51"/>
                <w:rFonts w:hint="default"/>
              </w:rPr>
              <w:t>≥</w:t>
            </w:r>
            <w:r>
              <w:rPr>
                <w:rStyle w:val="font61"/>
                <w:rFonts w:hint="default"/>
              </w:rPr>
              <w:t>-40℃--- +125℃，测量精度：±0.3℃；</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6.湿度传感器测量范围：</w:t>
            </w:r>
            <w:r>
              <w:rPr>
                <w:rStyle w:val="font51"/>
                <w:rFonts w:hint="default"/>
              </w:rPr>
              <w:t>≥</w:t>
            </w:r>
            <w:r>
              <w:rPr>
                <w:rStyle w:val="font61"/>
                <w:rFonts w:hint="default"/>
              </w:rPr>
              <w:t>0---100%RH，测量精度：±0.3RH。</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36</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RFID标签</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1.标签通讯方式：2.4G ，主动发送信号；</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2.电池：纽扣；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3.电池续航能力：≥5年。</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37</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RFID阅读器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1.通讯方式：支持2.4G，RJ45通讯；</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2.读取性能：读取半径≥50米，速率100张/秒，容量≥1000张。</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六、教室监控</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38</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监控摄像头</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21"/>
                <w:rFonts w:hint="default"/>
              </w:rPr>
              <w:t>★</w:t>
            </w:r>
            <w:r>
              <w:rPr>
                <w:rStyle w:val="font51"/>
                <w:rFonts w:hint="default"/>
              </w:rPr>
              <w:t>分辨率：≥2560*1440；</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芯片：不低于1/3" Progressive Scan CMOS；</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3.最低照度：</w:t>
            </w:r>
            <w:r>
              <w:rPr>
                <w:rStyle w:val="font51"/>
                <w:rFonts w:hint="default"/>
              </w:rPr>
              <w:t>≥0.005 Lux @（F1.2，AGC ON）（彩色），0 Lux with IR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4.红外波长范围： 850 nm；</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5.调节角度：水平:</w:t>
            </w:r>
            <w:r>
              <w:rPr>
                <w:rStyle w:val="font51"/>
                <w:rFonts w:hint="default"/>
              </w:rPr>
              <w:t>≥0° ~  335°，垂直:≥0° ~ 75°；旋转:≥0° ~  335°</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6.网络接口：1个RJ4510M/100M自适应以太网口；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w:t>
            </w:r>
            <w:r>
              <w:rPr>
                <w:rStyle w:val="font51"/>
                <w:rFonts w:hint="default"/>
              </w:rPr>
              <w:t>供电方式：POE</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8.音频： 1个内置麦克风，1路输入（Line in），1路输出（Line out）。</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七、远程呼叫系统</w:t>
            </w:r>
          </w:p>
        </w:tc>
      </w:tr>
      <w:tr>
        <w:tblPrEx>
          <w:tblW w:w="5000" w:type="pct"/>
          <w:tblInd w:w="0" w:type="dxa"/>
          <w:tblCellMar>
            <w:top w:w="0" w:type="dxa"/>
            <w:left w:w="108" w:type="dxa"/>
            <w:bottom w:w="0" w:type="dxa"/>
            <w:right w:w="108" w:type="dxa"/>
          </w:tblCellMar>
        </w:tblPrEx>
        <w:trPr>
          <w:trHeight w:val="45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39</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网络管理主机</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1.工业级工控机机箱设计，机箱采用钢结构，有较高的防磁、防尘、防冲击的能力；</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2.采用不低于17英寸四线制工业级加固触摸屏，具有可抽拉隐藏式键盘、鼠标，简单易用的触摸屏操控；</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3.采用工业级专用主板设计，配置不低于CPU主频：≥2.3GHz，内存不小于8G DDR3；</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4.内置不低于256G SSD固态硬盘，读写速度达到600MB/S，抗震动、抗摔；</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5.配备接口应不少于： 接口要求：</w:t>
            </w:r>
            <w:r>
              <w:rPr>
                <w:rStyle w:val="font51"/>
                <w:rFonts w:hint="default"/>
              </w:rPr>
              <w:t xml:space="preserve"> I/O 接口 1×VGA，1×HDMI， 2×LAN，6×COM (需支持RS232/422/485)， 6×USB，1×MIC in,1× Line out,1×Line in，1×PS/2，1×TPRGGER INPUT前面板接口 2 × USB 2.0 接口；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6.支持主次服务器模式应用，支持搭配GPS的NTP（对时）服务器校准时间；</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7.具有一键紧急广播按钮，可进行快速的紧急广播；</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w:t>
            </w:r>
            <w:r>
              <w:rPr>
                <w:rStyle w:val="font51"/>
                <w:rFonts w:hint="default"/>
              </w:rPr>
              <w:t>带话筒插口，配备通话手柄，实现单项喊话和双向对讲功能；</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40</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网络音频系统软件</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系统采用B/S架构；</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2.支持在同一平台下注册与管理广播终端和对讲终端，终端音量可自定义批次调节。当发生紧急事件时，对讲设备也能播放应急广播；</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3.支持地图视图、场景视图、视频视图等；</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4.具有优先级设定功能，单个终端可自由设定接收广播、接收对讲、接收监听的优先级，灵活匹配各种应用场所的应用需求； </w:t>
            </w:r>
            <w:r>
              <w:rPr>
                <w:rStyle w:val="font51"/>
                <w:rFonts w:hint="default"/>
              </w:rPr>
              <w:t xml:space="preserve"> </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5.支持将要播放的媒体文件提前推送到终端保存，终端按照预设置的播放策略进行播放；</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6.系统应支持融合通信，后台录音录制在服务器硬盘中，并能进行导出，可直接将目标录音文件存储到指定目录；</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7.支持查看系统内的会话状态、刷卡状态、报警状态、应用日志、系统日志等报告，及时、准确了解系统状态；</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8.支持在对讲系统网页客户端，调入外部监控视频，当发现有异常情况，可直接对视频对应的广播区域喊话；</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9.统一管理系统内终端, 主界面显示各终端当前工作状态，远程批量调节终端音量；</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41</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IP网络控制台</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1.应支持桌面、壁挂、嵌入等多种安装方式；</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2.应采用≥10英寸多点触控电容屏，自带可拆卸话筒杆；</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3.应内置≥1300万像素高清摄像头，支持摄像头物理遮挡，保护隐私；</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4.应采用不低于双网口的设计方式，具有桥接功能，系统内两个不同的目标终端与本机连接可实现语音对讲；</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5.应具有HDMI视频输出接口，外接显示器与本机显示屏同屏或异屏显示；</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6.应内置人脸识别智能芯片，以人脸验证方式进行视频会议签到，并对签到结果进行记录汇总；</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7.应具有专用红色物理紧急按键，一键紧急广播到全区；</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8.接口：RJ45网口≥2个、报警输入接口≥1个、报警输出接口≥1个、3.5mm音频输入接口≥1个、音频输出接口≥1个、USB接口≥2个、SD卡插槽≥1个；</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9.应支持对单个终端监视监听或对多个终端循环监视监听；</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10.应内置≥3W扬声器和话筒咪头，用于免提通话、接收广播和监听；</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11.应支持查看其他终端的工作状态(登录状态、对讲状态、任务状态)；</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12.应支持单个终端、分区、全区广播喊话；</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42</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IP网络对讲终端</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1.网络通讯协议 TCP/IP、UDP、ARP、ICMP、IGMP、SIP、HTTP、FTP、ONVIF；</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2.音频采样、位率要求 22.05KHz 16bit；</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3.接口应不少于 1×RJ45，1×路报警输入，1×路报警输出，1×路线路/录音输出，1×路线路输入，1×路级联接口（连接报警控制模块）；</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4.应支持各种特殊应用环境，支持嵌入墙壁或外装；</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5.采用一键求助按键设置；</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6.内置不低于3W扬声器和话筒眯头，接收广播和免提通话；应内置大容量FLASH存储器；应内置数字音频处理器，提升降噪效果、提高受话距离和音频音质；带音频输出口，可外接有源音箱或耳机；</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7.支持防拆报警功能，有人为非法强拆时，可自动向管理软件发出报警；</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8.终端应支持不少于1路报警输出, 可控制警灯或门锁；应支持不少于1路报警输入，可外接报警按钮或探头；</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18"/>
                <w:szCs w:val="18"/>
              </w:rPr>
            </w:pPr>
            <w:r>
              <w:rPr>
                <w:rFonts w:ascii="宋体" w:hAnsi="宋体" w:cs="宋体" w:hint="eastAsia"/>
                <w:b/>
                <w:bCs/>
                <w:color w:val="FF0000"/>
                <w:kern w:val="0"/>
                <w:sz w:val="18"/>
                <w:szCs w:val="18"/>
              </w:rPr>
              <w:t>9.</w:t>
            </w:r>
            <w:r>
              <w:rPr>
                <w:rStyle w:val="font161"/>
                <w:rFonts w:hint="default"/>
                <w:color w:val="FF0000"/>
              </w:rPr>
              <w:t>▲</w:t>
            </w:r>
            <w:r>
              <w:rPr>
                <w:rStyle w:val="font81"/>
                <w:rFonts w:hint="default"/>
              </w:rPr>
              <w:t>IP网络可视对讲终端支持ONVIF协议，可接入符合标准ONVIF协议的NVR等存储设备；提供第三方检测机构出具的带有CMA和CNAS标识的检测报告扫描件，原件备查；</w:t>
            </w:r>
            <w:r>
              <w:rPr>
                <w:rStyle w:val="font131"/>
                <w:rFonts w:hint="default"/>
              </w:rPr>
              <w:t xml:space="preserve"> </w:t>
            </w:r>
          </w:p>
        </w:tc>
      </w:tr>
      <w:tr>
        <w:tblPrEx>
          <w:tblW w:w="5000" w:type="pct"/>
          <w:tblInd w:w="0" w:type="dxa"/>
          <w:tblCellMar>
            <w:top w:w="0" w:type="dxa"/>
            <w:left w:w="108" w:type="dxa"/>
            <w:bottom w:w="0" w:type="dxa"/>
            <w:right w:w="108" w:type="dxa"/>
          </w:tblCellMar>
        </w:tblPrEx>
        <w:trPr>
          <w:trHeight w:val="272"/>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10.标准RJ45接口，有以太网口的地方即可接入，跨网段和跨路由。</w:t>
            </w:r>
          </w:p>
        </w:tc>
      </w:tr>
      <w:tr>
        <w:tblPrEx>
          <w:tblW w:w="5000" w:type="pct"/>
          <w:tblInd w:w="0" w:type="dxa"/>
          <w:tblCellMar>
            <w:top w:w="0" w:type="dxa"/>
            <w:left w:w="108" w:type="dxa"/>
            <w:bottom w:w="0" w:type="dxa"/>
            <w:right w:w="108" w:type="dxa"/>
          </w:tblCellMar>
        </w:tblPrEx>
        <w:trPr>
          <w:trHeight w:val="312"/>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八、信息发布系统</w:t>
            </w:r>
          </w:p>
        </w:tc>
      </w:tr>
      <w:tr>
        <w:tblPrEx>
          <w:tblW w:w="5000" w:type="pct"/>
          <w:tblInd w:w="0" w:type="dxa"/>
          <w:tblCellMar>
            <w:top w:w="0" w:type="dxa"/>
            <w:left w:w="108" w:type="dxa"/>
            <w:bottom w:w="0" w:type="dxa"/>
            <w:right w:w="108" w:type="dxa"/>
          </w:tblCellMar>
        </w:tblPrEx>
        <w:trPr>
          <w:trHeight w:val="48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43</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显示屏</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基本配置：基于智慧班牌终端深度定制安卓系统，采用CPU 主频≥1.8GHz，内存≥2GB，内置FLASH闪存≥8GB，安卓5.1平台；</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2．主板：多媒体专用高清网络解码芯片；</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3．显示屏分辨率：≥1920*1080</w:t>
            </w:r>
            <w:r>
              <w:rPr>
                <w:rStyle w:val="font51"/>
                <w:rFonts w:hint="default"/>
              </w:rPr>
              <w:t xml:space="preserve">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w:t>
            </w:r>
            <w:r>
              <w:rPr>
                <w:rStyle w:val="font51"/>
                <w:rFonts w:hint="default"/>
              </w:rPr>
              <w:t>尺寸：≥21.5英寸；</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5．集控系统：终端支持远程后台设置自动开关机；</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6．可显示教室当周课程，当前课程可高亮，突出显示，可查看教室本周、本学期的全部</w:t>
            </w:r>
            <w:r>
              <w:rPr>
                <w:rStyle w:val="font51"/>
                <w:rFonts w:hint="default"/>
              </w:rPr>
              <w:t>课程，标明周次、体现场地名称、课程名称等；</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7．外观：窄边框圆角设计；</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8．采用壁挂式、终端自带安装挂板；</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9．内置720p高清摄像头、内置音响；</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10．触摸：≥10点电容式触摸屏。</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 需与用户现有信息发布系统管理平台兼容。</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九、电子时钟系统</w:t>
            </w:r>
          </w:p>
        </w:tc>
      </w:tr>
      <w:tr>
        <w:tblPrEx>
          <w:tblW w:w="5000" w:type="pct"/>
          <w:tblInd w:w="0" w:type="dxa"/>
          <w:tblCellMar>
            <w:top w:w="0" w:type="dxa"/>
            <w:left w:w="108" w:type="dxa"/>
            <w:bottom w:w="0" w:type="dxa"/>
            <w:right w:w="108" w:type="dxa"/>
          </w:tblCellMar>
        </w:tblPrEx>
        <w:trPr>
          <w:trHeight w:val="45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44</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网络同步电子时钟</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18"/>
                <w:szCs w:val="18"/>
              </w:rPr>
            </w:pPr>
            <w:r>
              <w:rPr>
                <w:rFonts w:ascii="宋体" w:hAnsi="宋体" w:cs="宋体" w:hint="eastAsia"/>
                <w:b/>
                <w:bCs/>
                <w:color w:val="FF0000"/>
                <w:kern w:val="0"/>
                <w:sz w:val="18"/>
                <w:szCs w:val="18"/>
              </w:rPr>
              <w:t>1.▲自身精度：±0.05s/d；提供第三方检测机构出具的带有CMA标识的检测报告扫描件，原件备查</w:t>
            </w:r>
            <w:r>
              <w:rPr>
                <w:rStyle w:val="font81"/>
                <w:rFonts w:hint="default"/>
              </w:rPr>
              <w:t xml:space="preserve"> 。</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 xml:space="preserve"> LED发光强度≥1000mcd；</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3.功率：≤30W；</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4.采用标准POE/NTP；</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5.尺寸：530*160*45mm；</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45</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时间服务器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同步误差：≤2ms；</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2.输出接口：10BaseT/100BaseT以太网接口；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3.输出接口数量：≥4；</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4.客户端容量：≥8000次/秒；</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5.协议：SNTP/NTP V2 V3 V4等；</w:t>
            </w:r>
          </w:p>
        </w:tc>
      </w:tr>
      <w:tr>
        <w:tblPrEx>
          <w:tblW w:w="5000" w:type="pct"/>
          <w:tblInd w:w="0" w:type="dxa"/>
          <w:tblCellMar>
            <w:top w:w="0" w:type="dxa"/>
            <w:left w:w="108" w:type="dxa"/>
            <w:bottom w:w="0" w:type="dxa"/>
            <w:right w:w="108" w:type="dxa"/>
          </w:tblCellMar>
        </w:tblPrEx>
        <w:trPr>
          <w:trHeight w:val="316"/>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6.管理端口：通过以太网接口远程管理；</w:t>
            </w:r>
          </w:p>
        </w:tc>
      </w:tr>
      <w:tr>
        <w:tblPrEx>
          <w:tblW w:w="5000" w:type="pct"/>
          <w:tblInd w:w="0" w:type="dxa"/>
          <w:tblCellMar>
            <w:top w:w="0" w:type="dxa"/>
            <w:left w:w="108" w:type="dxa"/>
            <w:bottom w:w="0" w:type="dxa"/>
            <w:right w:w="108" w:type="dxa"/>
          </w:tblCellMar>
        </w:tblPrEx>
        <w:trPr>
          <w:trHeight w:val="45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46</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控制软件</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81"/>
                <w:rFonts w:hint="default"/>
              </w:rPr>
              <w:t>.▲提供具有时钟系统监控相关的软件著作权证书扫描件，原件备查；</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2.通过监控终端能够真实显示系统的网络拓扑结构，实时反映其物理连接状态及各点设备运行条件和状态；</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3.能够实现对全部时钟进行点对点的监控，监控及显示：母钟、子钟及传输通道的工作状态；</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4.对全部时钟设备的控制（加快、减慢、复位、校对、停止、追时等）；</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5.系统支持当任一设备出现故障时，系统发出声响报警，并在主界面显示告警信息。</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十、教学管理控制中心</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47</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液晶拼接屏</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屏幕尺寸：≥46寸，类型：DID FHD_LED，响应时间：不高于8ms；</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21"/>
                <w:rFonts w:hint="default"/>
              </w:rPr>
              <w:t>★</w:t>
            </w:r>
            <w:r>
              <w:rPr>
                <w:rStyle w:val="font51"/>
                <w:rFonts w:hint="default"/>
              </w:rPr>
              <w:t>物理缝隙≤0.88mm，屏幕比例：16:9，可视角度：178°；</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3.亮度：不低于500cd/m²，分辨率：不低于1920*1080；</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4.有效显示范围：不小于1018.08mm*572.67mm，标准颜色：16.7M；</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5.支持DVI、HDMI、VGA信号输入接口，支持不少于1路CVBS输入，USB接口软件在线升级；</w:t>
            </w:r>
          </w:p>
        </w:tc>
      </w:tr>
      <w:tr>
        <w:tblPrEx>
          <w:tblW w:w="5000" w:type="pct"/>
          <w:tblInd w:w="0" w:type="dxa"/>
          <w:tblCellMar>
            <w:top w:w="0" w:type="dxa"/>
            <w:left w:w="108" w:type="dxa"/>
            <w:bottom w:w="0" w:type="dxa"/>
            <w:right w:w="108" w:type="dxa"/>
          </w:tblCellMar>
        </w:tblPrEx>
        <w:trPr>
          <w:trHeight w:val="72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rPr>
              <w:t>6.具备基于FPGA的视频图像增强方法和装置、液晶屏的分割显示拼接电路等专项功能，具备图像引擎处理专项功能；具备标准、优化、用户、增强多个模式，支持对比度和亮度调整；</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7.具备3D梳状滤波功能，有关、低、中、高、默认等多个模式调节，对视频信号有降噪提升效果；</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8.具备宽动态和自适应功能，提高图像的对比度，提高图像的清晰度；</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9.具备RC自适应功能，黑白电平延伸数字处理功能；</w:t>
            </w:r>
          </w:p>
        </w:tc>
      </w:tr>
      <w:tr>
        <w:tblPrEx>
          <w:tblW w:w="5000" w:type="pct"/>
          <w:tblInd w:w="0" w:type="dxa"/>
          <w:tblCellMar>
            <w:top w:w="0" w:type="dxa"/>
            <w:left w:w="108" w:type="dxa"/>
            <w:bottom w:w="0" w:type="dxa"/>
            <w:right w:w="108" w:type="dxa"/>
          </w:tblCellMar>
        </w:tblPrEx>
        <w:trPr>
          <w:trHeight w:val="48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20"/>
                <w:szCs w:val="20"/>
              </w:rPr>
            </w:pPr>
            <w:r>
              <w:rPr>
                <w:rFonts w:ascii="宋体" w:hAnsi="宋体" w:cs="宋体" w:hint="eastAsia"/>
                <w:b/>
                <w:bCs/>
                <w:color w:val="FF0000"/>
                <w:kern w:val="0"/>
                <w:sz w:val="20"/>
                <w:szCs w:val="20"/>
              </w:rPr>
              <w:t>10.▲具备智能消除残影功能，采用图像防灼伤功能；提供第三方检测机构出具的带有CMA和CNAS标识的检测报告扫描件，原件备查；</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 具备智能通道巡航功能，具备智能通道巡航、巡航时间单元、通道巡航信源设置功能；</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 具备局部放大功能，可通过遥控器/控制软件对显示画面的局部区域进行放大显示；</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13.具备流动字幕软件编译技术，内置流动字幕应用功能，具备开关/字体大小/背景颜色/字体颜色/流动速度功能可调；</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 具备SS引擎功能，支持根据应用场景不同设置相应的开机延长时间，支持查询显示单元已工作累计时间；</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15.具备在SD引擎功能，可查看当前显示单元的面板厂商/分辨率/面板亮度/对比度/响应时间/背光类型的液晶屏信息；</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 具备H2S宽动态功能，具备H2S宽动态功能自动适应处理不同场频下的图像信号衰减和失真现象；</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17.具备GAMMA曲线调节，系统内置5条Gamma曲线智能调节功能，可适时调整液晶屏体色温曲线；</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18. 具备节能模式，用户可手动打开节能模式；</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19.拼接图像边缘融合功能，内置图像边缘融合处理功能，拼接显示时可有效消除因液晶屏黑边造成的错位显示；</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20.具备七基色调节功能，具备图像七基色(RGBCMYF)的颜色亮度(IBC)、颜色对比度(IHC)、颜色饱和度(ICC)独立调节；</w:t>
            </w:r>
          </w:p>
        </w:tc>
      </w:tr>
      <w:tr>
        <w:tblPrEx>
          <w:tblW w:w="5000" w:type="pct"/>
          <w:tblInd w:w="0" w:type="dxa"/>
          <w:tblCellMar>
            <w:top w:w="0" w:type="dxa"/>
            <w:left w:w="108" w:type="dxa"/>
            <w:bottom w:w="0" w:type="dxa"/>
            <w:right w:w="108" w:type="dxa"/>
          </w:tblCellMar>
        </w:tblPrEx>
        <w:trPr>
          <w:trHeight w:val="272"/>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21.具备非线性曲线处理功能，具备对图像的亮度、对比度、饱和度、色调、锐度的曲线调节。</w:t>
            </w:r>
          </w:p>
        </w:tc>
      </w:tr>
      <w:tr>
        <w:tblPrEx>
          <w:tblW w:w="5000" w:type="pct"/>
          <w:tblInd w:w="0" w:type="dxa"/>
          <w:tblCellMar>
            <w:top w:w="0" w:type="dxa"/>
            <w:left w:w="108" w:type="dxa"/>
            <w:bottom w:w="0" w:type="dxa"/>
            <w:right w:w="108" w:type="dxa"/>
          </w:tblCellMar>
        </w:tblPrEx>
        <w:trPr>
          <w:trHeight w:val="272"/>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48</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液压前维护支架</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1.液晶拼接显示采用前维护支架结构；</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2.主体采用优碳冷扎钢板数控剪板、折弯、焊接加工，电镀处理，并配合机加工件使用。有足够的强度及钢度，无缝隙，不受热胀冷缩等环境影响；完全正面、布线、调试和维护，组建前维护拼接墙；</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3.维护方面需要满足独立维护并能快速方便，维护方式采用快速抽拉，只对有问题的屏进行维护，其他屏正常工作，以便保证项目正常使用；</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4.超薄拼接框架，充分体现液晶拼接屏"薄”特点，高亮屏总厚度小于185mm，低亮屏总厚度小于205mm；</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5.直接与墙面固定，架通过膨胀螺丝与承重墙固定，100%保住液晶拼接整机的稳定牢固，墙面须为承重墙并保证墙面的平整，设备不占用维护空间；</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6.支架配有上下/左右/前后共六方位微调装置，屏体拼缝平整，美观大方，稳固安全。</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49</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落地式机柜</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1.宽*深*高；600mm*440mm* 635mm；</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2.前门为5mm厚钢化玻璃门，侧门可快拆。</w:t>
            </w:r>
          </w:p>
        </w:tc>
      </w:tr>
      <w:tr>
        <w:tblPrEx>
          <w:tblW w:w="5000" w:type="pct"/>
          <w:tblInd w:w="0" w:type="dxa"/>
          <w:tblCellMar>
            <w:top w:w="0" w:type="dxa"/>
            <w:left w:w="108" w:type="dxa"/>
            <w:bottom w:w="0" w:type="dxa"/>
            <w:right w:w="108" w:type="dxa"/>
          </w:tblCellMar>
        </w:tblPrEx>
        <w:trPr>
          <w:trHeight w:val="48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50</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图像拼接处理器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61"/>
                <w:rFonts w:hint="default"/>
              </w:rPr>
              <w:t>采用纯硬件FPGA架构，无操作系统，启动速度快、稳定性高，启动时间＜10S；</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2.输入输出板、控制板、风扇等主要模块均为插卡式设计；</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3.输入信号支持：HDMI1.3/DVI/VGA/CVBS/SDI/HDMI1.4/SDI/IP，输出信号支持：HDMI1.3/DVI；</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4.接口(可选）：支持≥10路输入，≥15路输出；</w:t>
            </w:r>
          </w:p>
        </w:tc>
      </w:tr>
      <w:tr>
        <w:tblPrEx>
          <w:tblW w:w="5000" w:type="pct"/>
          <w:tblInd w:w="0" w:type="dxa"/>
          <w:tblCellMar>
            <w:top w:w="0" w:type="dxa"/>
            <w:left w:w="108" w:type="dxa"/>
            <w:bottom w:w="0" w:type="dxa"/>
            <w:right w:w="108" w:type="dxa"/>
          </w:tblCellMar>
        </w:tblPrEx>
        <w:trPr>
          <w:trHeight w:val="48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61"/>
                <w:rFonts w:hint="default"/>
              </w:rPr>
              <w:t>支持≥4组显示墙的分组管理，支持多组不同分辨率及拼接模式的显示布局；各组屏之间信号共享，方便用户管理；</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6.支持任意画面拼接及矩阵切换，支持任意开窗、漫游、叠加；</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7.支持TCP/IP网络及RS232串口控制，支持RS232环出控制功能。</w:t>
            </w:r>
          </w:p>
        </w:tc>
      </w:tr>
      <w:tr>
        <w:tblPrEx>
          <w:tblW w:w="5000" w:type="pct"/>
          <w:tblInd w:w="0" w:type="dxa"/>
          <w:tblCellMar>
            <w:top w:w="0" w:type="dxa"/>
            <w:left w:w="108" w:type="dxa"/>
            <w:bottom w:w="0" w:type="dxa"/>
            <w:right w:w="108" w:type="dxa"/>
          </w:tblCellMar>
        </w:tblPrEx>
        <w:trPr>
          <w:trHeight w:val="135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51</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可视化智慧校园综合信息管理平台</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平台的架构：整体需采用B/S架构，无浏览器插件就能在电脑中登录查看和管理，平台采用微服务、模块化结构模式，可依托此架构平台需采用模块化管理，支持多用户多角色管理、教室和部门双组织架构管理。通过把管理人员、教师、学生、领导等角色和学校的组织与校园网络系统有机的联系在一起，以统一登录、统一数据、统一通信、统一设备管理的方式提供集成化、智能化、共享型、开放型的教育教学环境；</w:t>
            </w:r>
          </w:p>
        </w:tc>
      </w:tr>
      <w:tr>
        <w:tblPrEx>
          <w:tblW w:w="5000" w:type="pct"/>
          <w:tblInd w:w="0" w:type="dxa"/>
          <w:tblCellMar>
            <w:top w:w="0" w:type="dxa"/>
            <w:left w:w="108" w:type="dxa"/>
            <w:bottom w:w="0" w:type="dxa"/>
            <w:right w:w="108" w:type="dxa"/>
          </w:tblCellMar>
        </w:tblPrEx>
        <w:trPr>
          <w:trHeight w:val="48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平台支持Windows、常用信创操作系统部署；需提供国产操作系统及CPU兼容性要求、性能可靠性要求测试的；</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3．为学校提供一个统一应用、统一用户授权和统一账号管理的平台，解决了各应用系统的独立认证和用户分散管理的问题；</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4．用户只需登录统一管理平台，即可获取应用系统列表，登录任意认证通过的应用系统，无需逐一输入用户名、密码登录；</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5．提供标准第三方接口，需支持将第三方应用系统按标准接口纳入统一认证平台，实现与其他应用系统对接的通用性和广泛性；</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6．平台采用应用平台+分布式微服务架构，简化部署，松耦合，灵活组合，易扩展；</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平台的扩展性：平台不仅支持现有的教学设备集中管理控制，还能扩展到常态化录播、巡课观摩、资源管理、督导评价、预约管理应用，所有扩展系统都能在此平台统一调用基础信息，统一数据统计、统一数据呈现；</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8．基础数据平台是学校智慧教室管理系统的基础，为所有应用系统提供基础数据服务；</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9．统一管理组织结构、场地结构、资产、专业、课程、实验、学年学期、班级、教职工、学生、校园卡、课表等数据；</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规范并统一管理常用数据字典，包括场地类型、资产类型、身份类型、职称、职务、学科、课程类别、课程类型、课程性质、考试形式、考试方式、生产厂商、采购经销商、资产品牌、资产型号、采购方式等；</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11．一次对接，全应用系统共享；一次修改，全应用系统同步更新。</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12.平台遵循国家标准《智慧校园总体框架》，支持采用标准协议设备的无缝接入。</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18"/>
                <w:szCs w:val="18"/>
              </w:rPr>
            </w:pPr>
            <w:r>
              <w:rPr>
                <w:rFonts w:ascii="宋体" w:hAnsi="宋体" w:cs="宋体" w:hint="eastAsia"/>
                <w:b/>
                <w:bCs/>
                <w:color w:val="FF0000"/>
                <w:kern w:val="0"/>
                <w:sz w:val="18"/>
                <w:szCs w:val="18"/>
              </w:rPr>
              <w:t>13.▲软件具有可视化智慧校园综合信息管理平台类软件著作权登记证书扫描件</w:t>
            </w:r>
            <w:r>
              <w:rPr>
                <w:rStyle w:val="font81"/>
                <w:rFonts w:hint="default"/>
              </w:rPr>
              <w:t>，原件备查。</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52</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视频基础服务</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1．作为各应用系统、软件视频应用的基础服务；</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2．为应用系统提供实时推流、视频点播和视频录制等服务；</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3．支持主流网络摄像机接入、需支持Onvif和RTSP协议；</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4．支持网络摄像机H264/AAC编码，分辨率≥4K；</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5．支持网络摄像机云台控制及对讲功能；</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6．可分布式部署，单台服务器最大支持≥200路视频设备接入（同时实现实时推流、录制服务和点播服务）；</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7．支持推送ws-flv、hls、rtmp视频流，客户端电脑及移动端无需插件即可播放；</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8．服务和资源共享，可实现不同应用同时用可同时控制调用相同视频流录制，互相不受影响，且只生成一份录制文件；</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9．为应用提供点播服务，视频文件可检索任意时间段；</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10．支持多视频流电影画面合成（需支持字幕、台标控制）。</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53</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智慧教学环境管理系统软件</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需采用B/S架构，兼容主流浏览器；</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2．支持设备基础信息查看，设备远程控制和状态的监看，设备批量控制，摄像机云台预置位的设置，教学转播、报警管理等功能；</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3．支持灵活、自由设置设备远程控制功能，自定义显示设备控制菜单，且支持不同教室显示不同的控制菜单；</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4．设备控制页面支持教室温度、湿度、照度、PM2.5、CO2、TVOC等环境参数的采集和显示；支持灯光空调窗帘的远程控制；</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5．支持教室多个视频源接入，可实现教师授课场景、学生听课场景、电脑画面等场景三个画面的三分屏显示，支持画面任意位置调整，支持摄像头适用场景模式的一键切换，支持云镜控制和可视对讲；</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6．支持实时监测各多媒体教室设备的电流、功率和运行状态；</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7．电视墙管理需支持显示策略的的设置，支持一键切换电视墙的分屏显示方式；</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8．支持设备在线情况统一监控和报警管理；</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9．可远程接管各多媒体教室的计算机，协助老师解决问题；</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10．支持按教室进行设备一键巡检，提前排查设备故障，保障教学安全；</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11．支持按教室、设备类型、设备状态查询巡检日志；</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12．支持将一间教室的上课场景转播到其他教室，实现教学直播或公开课的功能。任意教室既可做主讲教室，也可作为听课教室。各教室可同时收看主讲教室的授课场景（含声音）和电脑画面；</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13．可实现定时、依课表、依教室环境参数等多种策略实现设备的开启和关闭，支持依课表提前或延后开启或关闭设备；</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14．设备控制页面可以显示当前教室的上课课程（课程名称、主讲人、上课班级以及上课时间）；</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15．支持图形方式集中显示教室设备的运行状态，支持状态筛选，支持批量、分组集中控制；</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16．支持向中控的液晶控制面板、LED显示屏和教室计算机等设备发送文字信息和通知；</w:t>
            </w:r>
          </w:p>
        </w:tc>
      </w:tr>
      <w:tr>
        <w:tblPrEx>
          <w:tblW w:w="5000" w:type="pct"/>
          <w:tblInd w:w="0" w:type="dxa"/>
          <w:tblCellMar>
            <w:top w:w="0" w:type="dxa"/>
            <w:left w:w="108" w:type="dxa"/>
            <w:bottom w:w="0" w:type="dxa"/>
            <w:right w:w="108" w:type="dxa"/>
          </w:tblCellMar>
        </w:tblPrEx>
        <w:trPr>
          <w:trHeight w:val="45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54</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多媒体教学远程观摩监控系统软件</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1．系统软件需采用B/S架构，兼容主流浏览器，是智慧校园平台的一个子系统模块；</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2．实现可视化教学质量观摩，可根据课表展示当前正在授课的教室及课程，需支持按课程、任课教师、教室等条件检索；</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3．三分屏显示上课教室画面及音频，老师视频画面，课件电脑画面，学生听课画面以及其他画面可以自由拖动至主窗口；</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4．教学观摩人员可以远程在线对教师及其所教授的课程进行观摩，观摩窗口显示当前授课老师的院系、姓名、课程名称等信息。</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55</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大屏控制电脑</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21"/>
                <w:rFonts w:hint="default"/>
              </w:rPr>
              <w:t xml:space="preserve"> </w:t>
            </w:r>
            <w:r>
              <w:rPr>
                <w:rStyle w:val="font51"/>
                <w:rFonts w:hint="default"/>
              </w:rPr>
              <w:t>CPU主频：≥3GHz；</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内存：</w:t>
            </w:r>
            <w:r>
              <w:rPr>
                <w:rStyle w:val="font61"/>
                <w:rFonts w:hint="default"/>
              </w:rPr>
              <w:t>≥</w:t>
            </w:r>
            <w:r>
              <w:rPr>
                <w:rStyle w:val="font51"/>
                <w:rFonts w:hint="default"/>
              </w:rPr>
              <w:t>8G；</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3.硬盘：</w:t>
            </w:r>
            <w:r>
              <w:rPr>
                <w:rStyle w:val="font61"/>
                <w:rFonts w:hint="default"/>
              </w:rPr>
              <w:t>≥</w:t>
            </w:r>
            <w:r>
              <w:rPr>
                <w:rStyle w:val="font51"/>
                <w:rFonts w:hint="default"/>
              </w:rPr>
              <w:t>512G；</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w:t>
            </w:r>
            <w:r>
              <w:rPr>
                <w:rStyle w:val="font51"/>
                <w:rFonts w:hint="default"/>
              </w:rPr>
              <w:t>显卡：</w:t>
            </w:r>
            <w:r>
              <w:rPr>
                <w:rStyle w:val="font61"/>
                <w:rFonts w:hint="default"/>
              </w:rPr>
              <w:t>≥</w:t>
            </w:r>
            <w:r>
              <w:rPr>
                <w:rStyle w:val="font51"/>
                <w:rFonts w:hint="default"/>
              </w:rPr>
              <w:t>8G独立显存；</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51"/>
                <w:rFonts w:hint="default"/>
              </w:rPr>
              <w:t>显示器尺寸：</w:t>
            </w:r>
            <w:r>
              <w:rPr>
                <w:rStyle w:val="font61"/>
                <w:rFonts w:hint="default"/>
              </w:rPr>
              <w:t>≥</w:t>
            </w:r>
            <w:r>
              <w:rPr>
                <w:rStyle w:val="font51"/>
                <w:rFonts w:hint="default"/>
              </w:rPr>
              <w:t>23.8；</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6.操作系统：WIN10。</w:t>
            </w:r>
          </w:p>
        </w:tc>
      </w:tr>
      <w:tr>
        <w:tblPrEx>
          <w:tblW w:w="5000" w:type="pct"/>
          <w:tblInd w:w="0" w:type="dxa"/>
          <w:tblCellMar>
            <w:top w:w="0" w:type="dxa"/>
            <w:left w:w="108" w:type="dxa"/>
            <w:bottom w:w="0" w:type="dxa"/>
            <w:right w:w="108" w:type="dxa"/>
          </w:tblCellMar>
        </w:tblPrEx>
        <w:trPr>
          <w:trHeight w:val="48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56</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资产设备感知管理平台</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盘点功能：依据资产编号及区域盘点，数据以EXCEL表格形式可导出，自动生成盘点日志；</w:t>
            </w:r>
          </w:p>
        </w:tc>
      </w:tr>
      <w:tr>
        <w:tblPrEx>
          <w:tblW w:w="5000" w:type="pct"/>
          <w:tblInd w:w="0" w:type="dxa"/>
          <w:tblCellMar>
            <w:top w:w="0" w:type="dxa"/>
            <w:left w:w="108" w:type="dxa"/>
            <w:bottom w:w="0" w:type="dxa"/>
            <w:right w:w="108" w:type="dxa"/>
          </w:tblCellMar>
        </w:tblPrEx>
        <w:trPr>
          <w:trHeight w:val="48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查找功能：依据资产编号单个或批量查找资产位置，查找项设置具备导入功能，自动生成查找日志；</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报警功能：标签信号位移、传输异常报警，自动生成报警日志；</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4.数据传输与备份：采用2.4G超高频RFID技术收集数据，传输数据至用户终端，定时自动备份。</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5.标签地理位置信息显示：满足以EXCEL表格及平面图的两种显示形式；</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6.数据库：支持Microsoft SQL Server2012 及以上版本或支持MySQL 5.7及以上版本；</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7.操作系统：支持部署WindowsServer2012R2及以上版本或Redhat Linux6.8 或者7.4及以上版本或centOS 7.4及以上版本。</w:t>
            </w:r>
          </w:p>
        </w:tc>
      </w:tr>
      <w:tr>
        <w:tblPrEx>
          <w:tblW w:w="5000" w:type="pct"/>
          <w:tblInd w:w="0" w:type="dxa"/>
          <w:tblCellMar>
            <w:top w:w="0" w:type="dxa"/>
            <w:left w:w="108" w:type="dxa"/>
            <w:bottom w:w="0" w:type="dxa"/>
            <w:right w:w="108" w:type="dxa"/>
          </w:tblCellMar>
        </w:tblPrEx>
        <w:trPr>
          <w:trHeight w:val="675"/>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57</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RFID手持读写器</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1.通讯方式：支持</w:t>
            </w:r>
            <w:r>
              <w:rPr>
                <w:rStyle w:val="font51"/>
                <w:rFonts w:hint="default"/>
              </w:rPr>
              <w:t xml:space="preserve"> GSM 语音、短信息和 GPRS 数据通讯，支持 2.4G/5G 双频，符合 IEEE 802.11a/b/g/n/ac 的 WiFi 无线局域网通讯，支持符合Bluetooth 4.0 的蓝牙通讯，支持高速 USB2.0 设备端接口，可通过 PC 进行数据更新；</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2.体积重量：体积≤170*85*23mm（长*宽*高MM），重量≤350g；</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3.外观及材质：外观设计、外观材料（B1级以上阻燃材料）及PCB板材质符合环保要求；</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w:t>
            </w:r>
            <w:r>
              <w:rPr>
                <w:rStyle w:val="font21"/>
                <w:rFonts w:hint="default"/>
              </w:rPr>
              <w:t>★</w:t>
            </w:r>
            <w:r>
              <w:rPr>
                <w:rStyle w:val="font51"/>
                <w:rFonts w:hint="default"/>
              </w:rPr>
              <w:t>读取性能：正常环境读取半径≥50米，速率100张/秒，容量≥1000张；</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5.防护等级：满足 IP65 防护等级要求；</w:t>
            </w:r>
          </w:p>
        </w:tc>
      </w:tr>
      <w:tr>
        <w:tblPrEx>
          <w:tblW w:w="5000" w:type="pct"/>
          <w:tblInd w:w="0" w:type="dxa"/>
          <w:tblCellMar>
            <w:top w:w="0" w:type="dxa"/>
            <w:left w:w="108" w:type="dxa"/>
            <w:bottom w:w="0" w:type="dxa"/>
            <w:right w:w="108" w:type="dxa"/>
          </w:tblCellMar>
        </w:tblPrEx>
        <w:trPr>
          <w:trHeight w:val="70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w:t>
            </w:r>
            <w:r>
              <w:rPr>
                <w:rStyle w:val="font51"/>
                <w:rFonts w:hint="default"/>
              </w:rPr>
              <w:t>硬件性能：Cortex A53 四核 、处理器速率≥1.3GHZ、RAM≥2GB LPDDR3 B 和ROM≥ 16GB EMMC、Micro SD/TF 卡扩展≥32G 的、IPS 屏≥5.0 寸, 分辨率≥ 720*1280, 高清全视角，阳光下可见；</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7.操作系统：Android 5.1；</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8.工作时间：电池满电状态下可持续工作达 ≥10 小时。</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十一、打铃系统</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58</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音箱</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内置2x20W数字功率放大器；</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2．1路线路（AUX）输入接口，具有独立的音量电位器控制</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3．内置模拟音频信号备份模块，支持定压100V信号输入</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4．兼容路由器、交换机、网桥网关、Modem、Internet、2G、3G、4G等任意网络结构</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51"/>
                <w:rFonts w:hint="default"/>
              </w:rPr>
              <w:t>嵌入式计算机技术和DSP音频处理技术设计；</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6．一体化壁挂式音箱设计</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7．内置1路网络硬件音频解码模块，支持TCP/IP、UDP协议</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w:t>
            </w:r>
            <w:r>
              <w:rPr>
                <w:rStyle w:val="font51"/>
                <w:rFonts w:hint="default"/>
              </w:rPr>
              <w:t xml:space="preserve"> 需接入用户现有广播打铃系统</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十二、服务器与存储</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59</w:t>
            </w:r>
          </w:p>
        </w:tc>
        <w:tc>
          <w:tcPr>
            <w:tcW w:w="995" w:type="pct"/>
            <w:vMerge w:val="restart"/>
            <w:tcBorders>
              <w:top w:val="single" w:sz="4" w:space="0" w:color="000000"/>
              <w:left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私有云服务器</w:t>
            </w: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一、14个计算节点。每节点：</w:t>
            </w:r>
          </w:p>
        </w:tc>
      </w:tr>
      <w:tr>
        <w:tblPrEx>
          <w:tblW w:w="5000" w:type="pct"/>
          <w:tblInd w:w="0" w:type="dxa"/>
          <w:tblCellMar>
            <w:top w:w="0" w:type="dxa"/>
            <w:left w:w="108" w:type="dxa"/>
            <w:bottom w:w="0" w:type="dxa"/>
            <w:right w:w="108" w:type="dxa"/>
          </w:tblCellMar>
        </w:tblPrEx>
        <w:trPr>
          <w:trHeight w:val="27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21"/>
                <w:rFonts w:hint="default"/>
              </w:rPr>
              <w:t>★</w:t>
            </w:r>
            <w:r>
              <w:rPr>
                <w:rStyle w:val="font51"/>
                <w:rFonts w:hint="default"/>
              </w:rPr>
              <w:t>CPU：2颗，单颗不少于20核，不低于2.3GHz，</w:t>
            </w:r>
          </w:p>
        </w:tc>
      </w:tr>
      <w:tr>
        <w:tblPrEx>
          <w:tblW w:w="5000" w:type="pct"/>
          <w:tblInd w:w="0" w:type="dxa"/>
          <w:tblCellMar>
            <w:top w:w="0" w:type="dxa"/>
            <w:left w:w="108" w:type="dxa"/>
            <w:bottom w:w="0" w:type="dxa"/>
            <w:right w:w="108" w:type="dxa"/>
          </w:tblCellMar>
        </w:tblPrEx>
        <w:trPr>
          <w:trHeight w:val="27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内存：不少于256GB 3200MT/s DDR4 内存，</w:t>
            </w:r>
          </w:p>
        </w:tc>
      </w:tr>
      <w:tr>
        <w:tblPrEx>
          <w:tblW w:w="5000" w:type="pct"/>
          <w:tblInd w:w="0" w:type="dxa"/>
          <w:tblCellMar>
            <w:top w:w="0" w:type="dxa"/>
            <w:left w:w="108" w:type="dxa"/>
            <w:bottom w:w="0" w:type="dxa"/>
            <w:right w:w="108" w:type="dxa"/>
          </w:tblCellMar>
        </w:tblPrEx>
        <w:trPr>
          <w:trHeight w:val="27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系统盘：不少于2*480GB SATA SSD 2.5英寸硬盘，</w:t>
            </w:r>
          </w:p>
        </w:tc>
      </w:tr>
      <w:tr>
        <w:tblPrEx>
          <w:tblW w:w="5000" w:type="pct"/>
          <w:tblInd w:w="0" w:type="dxa"/>
          <w:tblCellMar>
            <w:top w:w="0" w:type="dxa"/>
            <w:left w:w="108" w:type="dxa"/>
            <w:bottom w:w="0" w:type="dxa"/>
            <w:right w:w="108" w:type="dxa"/>
          </w:tblCellMar>
        </w:tblPrEx>
        <w:trPr>
          <w:trHeight w:val="27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2G缓存RAID卡，支持RAID 0/1/5/6/10/50/60，支持掉电保护</w:t>
            </w:r>
          </w:p>
        </w:tc>
      </w:tr>
      <w:tr>
        <w:tblPrEx>
          <w:tblW w:w="5000" w:type="pct"/>
          <w:tblInd w:w="0" w:type="dxa"/>
          <w:tblCellMar>
            <w:top w:w="0" w:type="dxa"/>
            <w:left w:w="108" w:type="dxa"/>
            <w:bottom w:w="0" w:type="dxa"/>
            <w:right w:w="108" w:type="dxa"/>
          </w:tblCellMar>
        </w:tblPrEx>
        <w:trPr>
          <w:trHeight w:val="27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电源： ≥900W电源模块*2</w:t>
            </w:r>
          </w:p>
        </w:tc>
      </w:tr>
      <w:tr>
        <w:tblPrEx>
          <w:tblW w:w="5000" w:type="pct"/>
          <w:tblInd w:w="0" w:type="dxa"/>
          <w:tblCellMar>
            <w:top w:w="0" w:type="dxa"/>
            <w:left w:w="108" w:type="dxa"/>
            <w:bottom w:w="0" w:type="dxa"/>
            <w:right w:w="108" w:type="dxa"/>
          </w:tblCellMar>
        </w:tblPrEx>
        <w:trPr>
          <w:trHeight w:val="27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网络：不少于2*GE接口，不少于4*10GE光口（含万兆多模模块）</w:t>
            </w:r>
          </w:p>
        </w:tc>
      </w:tr>
      <w:tr>
        <w:tblPrEx>
          <w:tblW w:w="5000" w:type="pct"/>
          <w:tblInd w:w="0" w:type="dxa"/>
          <w:tblCellMar>
            <w:top w:w="0" w:type="dxa"/>
            <w:left w:w="108" w:type="dxa"/>
            <w:bottom w:w="0" w:type="dxa"/>
            <w:right w:w="108" w:type="dxa"/>
          </w:tblCellMar>
        </w:tblPrEx>
        <w:trPr>
          <w:trHeight w:val="45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7. </w:t>
            </w:r>
            <w:r>
              <w:rPr>
                <w:rStyle w:val="font51"/>
                <w:rFonts w:hint="default"/>
              </w:rPr>
              <w:t>双宽GPU卡最大可支持4块，支持不少于14个PCIE4.0插槽，最大可支持不少于39块硬盘</w:t>
            </w:r>
          </w:p>
        </w:tc>
      </w:tr>
      <w:tr>
        <w:tblPrEx>
          <w:tblW w:w="5000" w:type="pct"/>
          <w:tblInd w:w="0" w:type="dxa"/>
          <w:tblCellMar>
            <w:top w:w="0" w:type="dxa"/>
            <w:left w:w="108" w:type="dxa"/>
            <w:bottom w:w="0" w:type="dxa"/>
            <w:right w:w="108" w:type="dxa"/>
          </w:tblCellMar>
        </w:tblPrEx>
        <w:trPr>
          <w:trHeight w:val="675"/>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
                <w:bCs/>
                <w:color w:val="FF0000"/>
                <w:sz w:val="18"/>
                <w:szCs w:val="18"/>
              </w:rPr>
            </w:pPr>
            <w:r>
              <w:rPr>
                <w:rFonts w:ascii="宋体" w:hAnsi="宋体" w:cs="宋体"/>
                <w:b/>
                <w:color w:val="FF0000"/>
                <w:kern w:val="0"/>
                <w:sz w:val="18"/>
                <w:szCs w:val="18"/>
              </w:rPr>
              <w:t>8</w:t>
            </w:r>
            <w:r>
              <w:rPr>
                <w:rFonts w:ascii="宋体" w:hAnsi="宋体" w:cs="宋体" w:hint="eastAsia"/>
                <w:b/>
                <w:color w:val="FF0000"/>
                <w:kern w:val="0"/>
                <w:sz w:val="18"/>
                <w:szCs w:val="18"/>
              </w:rPr>
              <w:t xml:space="preserve">. </w:t>
            </w:r>
            <w:r>
              <w:rPr>
                <w:rStyle w:val="font81"/>
                <w:rFonts w:hint="default"/>
                <w:bCs w:val="0"/>
              </w:rPr>
              <w:t>为防范和消除系统安全风险，服务器需支持自研安全防护模块，可提供包含但不限于防火墙、IPS、防病毒和QoS等防护功能，提供产品实物图片及功能截图扫描件。</w:t>
            </w:r>
          </w:p>
        </w:tc>
      </w:tr>
      <w:tr>
        <w:tblPrEx>
          <w:tblW w:w="5000" w:type="pct"/>
          <w:tblInd w:w="0" w:type="dxa"/>
          <w:tblCellMar>
            <w:top w:w="0" w:type="dxa"/>
            <w:left w:w="108" w:type="dxa"/>
            <w:bottom w:w="0" w:type="dxa"/>
            <w:right w:w="108" w:type="dxa"/>
          </w:tblCellMar>
        </w:tblPrEx>
        <w:trPr>
          <w:trHeight w:val="9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
                <w:bCs/>
                <w:color w:val="FF0000"/>
                <w:sz w:val="18"/>
                <w:szCs w:val="18"/>
              </w:rPr>
            </w:pPr>
            <w:r>
              <w:rPr>
                <w:rFonts w:ascii="宋体" w:hAnsi="宋体" w:cs="宋体"/>
                <w:b/>
                <w:bCs/>
                <w:color w:val="FF0000"/>
                <w:kern w:val="0"/>
                <w:sz w:val="18"/>
                <w:szCs w:val="18"/>
              </w:rPr>
              <w:t>9</w:t>
            </w:r>
            <w:r>
              <w:rPr>
                <w:rFonts w:ascii="宋体" w:hAnsi="宋体" w:cs="宋体" w:hint="eastAsia"/>
                <w:b/>
                <w:bCs/>
                <w:color w:val="FF0000"/>
                <w:kern w:val="0"/>
                <w:sz w:val="18"/>
                <w:szCs w:val="18"/>
              </w:rPr>
              <w:t xml:space="preserve">. </w:t>
            </w:r>
            <w:r>
              <w:rPr>
                <w:rStyle w:val="font81"/>
                <w:rFonts w:hint="default"/>
              </w:rPr>
              <w:t>▲配置远程运维软件1套及运维网关2台；提供运维网关的实物图片扫描件。</w:t>
            </w:r>
          </w:p>
        </w:tc>
      </w:tr>
      <w:tr>
        <w:tblPrEx>
          <w:tblW w:w="5000" w:type="pct"/>
          <w:tblInd w:w="0" w:type="dxa"/>
          <w:tblCellMar>
            <w:top w:w="0" w:type="dxa"/>
            <w:left w:w="108" w:type="dxa"/>
            <w:bottom w:w="0" w:type="dxa"/>
            <w:right w:w="108" w:type="dxa"/>
          </w:tblCellMar>
        </w:tblPrEx>
        <w:trPr>
          <w:trHeight w:val="91"/>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b/>
                <w:bCs/>
                <w:color w:val="FF0000"/>
                <w:kern w:val="0"/>
                <w:sz w:val="18"/>
                <w:szCs w:val="18"/>
              </w:rPr>
            </w:pPr>
            <w:r>
              <w:rPr>
                <w:rFonts w:ascii="宋体" w:hAnsi="宋体" w:cs="宋体" w:hint="eastAsia"/>
                <w:kern w:val="0"/>
                <w:sz w:val="18"/>
                <w:szCs w:val="18"/>
              </w:rPr>
              <w:t>1</w:t>
            </w:r>
            <w:r>
              <w:rPr>
                <w:rFonts w:ascii="宋体" w:hAnsi="宋体" w:cs="宋体"/>
                <w:kern w:val="0"/>
                <w:sz w:val="18"/>
                <w:szCs w:val="18"/>
              </w:rPr>
              <w:t>0.</w:t>
            </w:r>
            <w:r>
              <w:rPr>
                <w:rStyle w:val="font81"/>
                <w:rFonts w:hint="default"/>
                <w:b w:val="0"/>
                <w:bCs w:val="0"/>
                <w:color w:val="auto"/>
              </w:rPr>
              <w:t xml:space="preserve"> 提供远程运维软件及运维网关的原厂后端支撑及服务，建立原厂与现场服务通道，支持原厂远程故障诊断和维护管理； </w:t>
            </w:r>
          </w:p>
        </w:tc>
      </w:tr>
      <w:tr>
        <w:tblPrEx>
          <w:tblW w:w="5000" w:type="pct"/>
          <w:tblInd w:w="0" w:type="dxa"/>
          <w:tblCellMar>
            <w:top w:w="0" w:type="dxa"/>
            <w:left w:w="108" w:type="dxa"/>
            <w:bottom w:w="0" w:type="dxa"/>
            <w:right w:w="108" w:type="dxa"/>
          </w:tblCellMar>
        </w:tblPrEx>
        <w:trPr>
          <w:trHeight w:val="27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color w:val="000000"/>
                <w:kern w:val="0"/>
                <w:sz w:val="18"/>
                <w:szCs w:val="18"/>
              </w:rPr>
              <w:t>11</w:t>
            </w:r>
            <w:r>
              <w:rPr>
                <w:rFonts w:ascii="宋体" w:hAnsi="宋体" w:cs="宋体" w:hint="eastAsia"/>
                <w:color w:val="000000"/>
                <w:kern w:val="0"/>
                <w:sz w:val="18"/>
                <w:szCs w:val="18"/>
              </w:rPr>
              <w:t xml:space="preserve">. </w:t>
            </w:r>
            <w:r>
              <w:rPr>
                <w:rStyle w:val="font51"/>
                <w:rFonts w:hint="default"/>
              </w:rPr>
              <w:t>▲为保障系统兼容性，本服务器要求和私有云管理平台为同一品牌</w:t>
            </w:r>
          </w:p>
        </w:tc>
      </w:tr>
      <w:tr>
        <w:tblPrEx>
          <w:tblW w:w="5000" w:type="pct"/>
          <w:tblInd w:w="0" w:type="dxa"/>
          <w:tblCellMar>
            <w:top w:w="0" w:type="dxa"/>
            <w:left w:w="108" w:type="dxa"/>
            <w:bottom w:w="0" w:type="dxa"/>
            <w:right w:w="108" w:type="dxa"/>
          </w:tblCellMar>
        </w:tblPrEx>
        <w:trPr>
          <w:trHeight w:val="27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二、私有云管理平台一套，要求如下：</w:t>
            </w:r>
          </w:p>
        </w:tc>
      </w:tr>
      <w:tr>
        <w:tblPrEx>
          <w:tblW w:w="5000" w:type="pct"/>
          <w:tblInd w:w="0" w:type="dxa"/>
          <w:tblCellMar>
            <w:top w:w="0" w:type="dxa"/>
            <w:left w:w="108" w:type="dxa"/>
            <w:bottom w:w="0" w:type="dxa"/>
            <w:right w:w="108" w:type="dxa"/>
          </w:tblCellMar>
        </w:tblPrEx>
        <w:trPr>
          <w:trHeight w:val="45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w:t>
            </w:r>
            <w:r>
              <w:rPr>
                <w:rFonts w:ascii="宋体" w:hAnsi="宋体" w:cs="宋体" w:hint="eastAsia"/>
                <w:color w:val="000000"/>
                <w:kern w:val="0"/>
                <w:sz w:val="18"/>
                <w:szCs w:val="18"/>
              </w:rPr>
              <w:t xml:space="preserve">. </w:t>
            </w:r>
            <w:r>
              <w:rPr>
                <w:rStyle w:val="font51"/>
                <w:rFonts w:hint="default"/>
              </w:rPr>
              <w:t>★管理范围：10个计算虚拟化节点（两路）、14个容器节点 （两路）、5个裸金属节点等（两路）</w:t>
            </w:r>
          </w:p>
        </w:tc>
      </w:tr>
      <w:tr>
        <w:tblPrEx>
          <w:tblW w:w="5000" w:type="pct"/>
          <w:tblInd w:w="0" w:type="dxa"/>
          <w:tblCellMar>
            <w:top w:w="0" w:type="dxa"/>
            <w:left w:w="108" w:type="dxa"/>
            <w:bottom w:w="0" w:type="dxa"/>
            <w:right w:w="108" w:type="dxa"/>
          </w:tblCellMar>
        </w:tblPrEx>
        <w:trPr>
          <w:trHeight w:val="90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w:t>
            </w:r>
            <w:r>
              <w:rPr>
                <w:rFonts w:ascii="宋体" w:hAnsi="宋体" w:cs="宋体" w:hint="eastAsia"/>
                <w:color w:val="000000"/>
                <w:kern w:val="0"/>
                <w:sz w:val="18"/>
                <w:szCs w:val="18"/>
              </w:rPr>
              <w:t xml:space="preserve">. </w:t>
            </w:r>
            <w:r>
              <w:rPr>
                <w:rStyle w:val="font51"/>
                <w:rFonts w:hint="default"/>
              </w:rPr>
              <w:t>云管理平台管理节点须支持Docker集群部署，并支持部署在虚拟机上，提供平滑升级扩展、高可靠容错机制，各云服务组件之间松耦合，支持不同的服务组件如IaaS、PaaS、大数据、数据库、安全等独立部署，支持不同的服务组件单独启用或停用，单云服务组件升级对其他云服务和云管理平台无影响。</w:t>
            </w:r>
          </w:p>
        </w:tc>
      </w:tr>
      <w:tr>
        <w:tblPrEx>
          <w:tblW w:w="5000" w:type="pct"/>
          <w:tblInd w:w="0" w:type="dxa"/>
          <w:tblCellMar>
            <w:top w:w="0" w:type="dxa"/>
            <w:left w:w="108" w:type="dxa"/>
            <w:bottom w:w="0" w:type="dxa"/>
            <w:right w:w="108" w:type="dxa"/>
          </w:tblCellMar>
        </w:tblPrEx>
        <w:trPr>
          <w:trHeight w:val="45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w:t>
            </w:r>
            <w:r>
              <w:rPr>
                <w:rFonts w:ascii="宋体" w:hAnsi="宋体" w:cs="宋体" w:hint="eastAsia"/>
                <w:color w:val="000000"/>
                <w:kern w:val="0"/>
                <w:sz w:val="18"/>
                <w:szCs w:val="18"/>
              </w:rPr>
              <w:t xml:space="preserve">. </w:t>
            </w:r>
            <w:r>
              <w:rPr>
                <w:rStyle w:val="font51"/>
                <w:rFonts w:hint="default"/>
              </w:rPr>
              <w:t>云管理平台支持容器服务，可以提供容器镜像仓库管理、容器镜像构建、图形化容器编排以及容器的生命周期管理。</w:t>
            </w:r>
          </w:p>
        </w:tc>
      </w:tr>
      <w:tr>
        <w:tblPrEx>
          <w:tblW w:w="5000" w:type="pct"/>
          <w:tblInd w:w="0" w:type="dxa"/>
          <w:tblCellMar>
            <w:top w:w="0" w:type="dxa"/>
            <w:left w:w="108" w:type="dxa"/>
            <w:bottom w:w="0" w:type="dxa"/>
            <w:right w:w="108" w:type="dxa"/>
          </w:tblCellMar>
        </w:tblPrEx>
        <w:trPr>
          <w:trHeight w:val="45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5</w:t>
            </w:r>
            <w:r>
              <w:rPr>
                <w:rFonts w:ascii="宋体" w:hAnsi="宋体" w:cs="宋体" w:hint="eastAsia"/>
                <w:color w:val="000000"/>
                <w:kern w:val="0"/>
                <w:sz w:val="18"/>
                <w:szCs w:val="18"/>
              </w:rPr>
              <w:t xml:space="preserve">. </w:t>
            </w:r>
            <w:r>
              <w:rPr>
                <w:rStyle w:val="font51"/>
                <w:rFonts w:hint="default"/>
              </w:rPr>
              <w:t>为保证系统数据的安全性，云管理平台须与虚拟化平台、容器平台、数据平台统一品牌，软件本体均要求在本地机房部署。</w:t>
            </w:r>
          </w:p>
        </w:tc>
      </w:tr>
      <w:tr>
        <w:tblPrEx>
          <w:tblW w:w="5000" w:type="pct"/>
          <w:tblInd w:w="0" w:type="dxa"/>
          <w:tblCellMar>
            <w:top w:w="0" w:type="dxa"/>
            <w:left w:w="108" w:type="dxa"/>
            <w:bottom w:w="0" w:type="dxa"/>
            <w:right w:w="108" w:type="dxa"/>
          </w:tblCellMar>
        </w:tblPrEx>
        <w:trPr>
          <w:trHeight w:val="675"/>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Style w:val="font81"/>
                <w:rFonts w:hint="default"/>
              </w:rPr>
            </w:pPr>
            <w:r>
              <w:rPr>
                <w:rStyle w:val="font81"/>
                <w:rFonts w:hint="default"/>
              </w:rPr>
              <w:t>▲</w:t>
            </w:r>
            <w:r>
              <w:rPr>
                <w:rFonts w:ascii="宋体" w:hAnsi="宋体" w:cs="宋体" w:hint="eastAsia"/>
                <w:b/>
                <w:bCs/>
                <w:color w:val="FF0000"/>
                <w:kern w:val="0"/>
                <w:sz w:val="18"/>
                <w:szCs w:val="18"/>
              </w:rPr>
              <w:t>1</w:t>
            </w:r>
            <w:r>
              <w:rPr>
                <w:rFonts w:ascii="宋体" w:hAnsi="宋体" w:cs="宋体"/>
                <w:b/>
                <w:bCs/>
                <w:color w:val="FF0000"/>
                <w:kern w:val="0"/>
                <w:sz w:val="18"/>
                <w:szCs w:val="18"/>
              </w:rPr>
              <w:t>6</w:t>
            </w:r>
            <w:r>
              <w:rPr>
                <w:rFonts w:ascii="宋体" w:hAnsi="宋体" w:cs="宋体" w:hint="eastAsia"/>
                <w:b/>
                <w:bCs/>
                <w:color w:val="FF0000"/>
                <w:kern w:val="0"/>
                <w:sz w:val="18"/>
                <w:szCs w:val="18"/>
              </w:rPr>
              <w:t>. （1）</w:t>
            </w:r>
            <w:r>
              <w:rPr>
                <w:rStyle w:val="font81"/>
                <w:rFonts w:hint="default"/>
              </w:rPr>
              <w:t>云管理平台可以自定义允许访问系统数据库的白名单IP，只有添加进白名单的IP才能访问云管理平台的数据库。提供产品功能截图扫描件；</w:t>
            </w:r>
          </w:p>
          <w:p>
            <w:pPr>
              <w:widowControl/>
              <w:numPr>
                <w:ilvl w:val="0"/>
                <w:numId w:val="4"/>
              </w:numPr>
              <w:jc w:val="left"/>
              <w:textAlignment w:val="top"/>
              <w:rPr>
                <w:rStyle w:val="font81"/>
                <w:rFonts w:hint="default"/>
              </w:rPr>
            </w:pPr>
            <w:r>
              <w:rPr>
                <w:rStyle w:val="font81"/>
                <w:rFonts w:hint="default"/>
              </w:rPr>
              <w:t>云管理平台可提供云网盘服务，租户管理员可以直接创建云网盘，普通用户可自助申请私有网盘空间。网盘所有者可对网盘的文件夹或者文件设置共享权限，从而共享给组织内的其他用户。云网盘可以通过手机APP进行远程访问。</w:t>
            </w:r>
          </w:p>
          <w:p>
            <w:pPr>
              <w:widowControl/>
              <w:jc w:val="left"/>
              <w:textAlignment w:val="top"/>
              <w:rPr>
                <w:rStyle w:val="font81"/>
                <w:rFonts w:hint="default"/>
              </w:rPr>
            </w:pPr>
            <w:r>
              <w:rPr>
                <w:rStyle w:val="font81"/>
                <w:rFonts w:hint="default"/>
              </w:rPr>
              <w:t>提供第三方检测机构出具的符合上述要求且具备“申请新建云网盘”功能的具备CMA和CNAS标识的检测报告扫描件，原件备查；</w:t>
            </w:r>
          </w:p>
          <w:p>
            <w:pPr>
              <w:widowControl/>
              <w:jc w:val="left"/>
              <w:textAlignment w:val="top"/>
              <w:rPr>
                <w:rFonts w:ascii="宋体" w:hAnsi="宋体" w:cs="宋体" w:hint="eastAsia"/>
                <w:b/>
                <w:bCs/>
                <w:color w:val="FF0000"/>
                <w:sz w:val="18"/>
                <w:szCs w:val="18"/>
              </w:rPr>
            </w:pPr>
            <w:r>
              <w:rPr>
                <w:rStyle w:val="font81"/>
                <w:rFonts w:hint="default"/>
              </w:rPr>
              <w:t>（3）私有云管理平台所提供的容器资源应当具备相互隔离互不影响的能力；私有云管理平台所提供的CPU和内存应具备根据设定阈值进行自动伸缩功能。提供第三方检测机构出具的符合上述要求且具备“容器集群基于 namespace网络隔离”功能的具备CMA和CNAS标识的检测报告扫描件，原件备查；</w:t>
            </w:r>
          </w:p>
        </w:tc>
      </w:tr>
      <w:tr>
        <w:tblPrEx>
          <w:tblW w:w="5000" w:type="pct"/>
          <w:tblInd w:w="0" w:type="dxa"/>
          <w:tblCellMar>
            <w:top w:w="0" w:type="dxa"/>
            <w:left w:w="108" w:type="dxa"/>
            <w:bottom w:w="0" w:type="dxa"/>
            <w:right w:w="108" w:type="dxa"/>
          </w:tblCellMar>
        </w:tblPrEx>
        <w:trPr>
          <w:trHeight w:val="90"/>
        </w:trPr>
        <w:tc>
          <w:tcPr>
            <w:tcW w:w="455"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jc w:val="left"/>
              <w:textAlignment w:val="top"/>
              <w:rPr>
                <w:rStyle w:val="font81"/>
                <w:rFonts w:hint="default"/>
              </w:rPr>
            </w:pPr>
            <w:r>
              <w:rPr>
                <w:rFonts w:ascii="宋体" w:hAnsi="宋体" w:cs="宋体" w:hint="eastAsia"/>
                <w:b/>
                <w:bCs/>
                <w:color w:val="FF0000"/>
                <w:kern w:val="0"/>
                <w:sz w:val="18"/>
                <w:szCs w:val="18"/>
              </w:rPr>
              <w:t>1</w:t>
            </w:r>
            <w:r>
              <w:rPr>
                <w:rFonts w:ascii="宋体" w:hAnsi="宋体" w:cs="宋体"/>
                <w:b/>
                <w:bCs/>
                <w:color w:val="FF0000"/>
                <w:kern w:val="0"/>
                <w:sz w:val="18"/>
                <w:szCs w:val="18"/>
              </w:rPr>
              <w:t>7</w:t>
            </w:r>
            <w:r>
              <w:rPr>
                <w:rFonts w:ascii="宋体" w:hAnsi="宋体" w:cs="宋体" w:hint="eastAsia"/>
                <w:b/>
                <w:bCs/>
                <w:color w:val="FF0000"/>
                <w:kern w:val="0"/>
                <w:sz w:val="18"/>
                <w:szCs w:val="18"/>
              </w:rPr>
              <w:t>.投标产品通过由中国信息通信研究院和云计算开源产业联盟的“可信云容器解决方案”评估，并提供《容器解决方案》证书扫描件</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60</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物理应用服务器</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CPU：2颗，单颗不少于20核，不低于2.3GHz，</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内存：不少于256G DDR4；</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硬盘：不少于2*480GB SSD 硬盘</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2G缓存RAID卡，支持RAID 0/1/5/6/10/50/60，支持掉电保护;</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电源：2* ≥900W电源模块</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网络：不少于2*GE接口，不少于4*10GE光口（含万兆多模模块）；</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7. </w:t>
            </w:r>
            <w:r>
              <w:rPr>
                <w:rStyle w:val="font81"/>
                <w:rFonts w:hint="default"/>
                <w:b w:val="0"/>
                <w:color w:val="auto"/>
              </w:rPr>
              <w:t>▲</w:t>
            </w:r>
            <w:r>
              <w:rPr>
                <w:rStyle w:val="font51"/>
                <w:rFonts w:hint="default"/>
                <w:color w:val="auto"/>
              </w:rPr>
              <w:t>双宽GPU卡最大可支持4块，支持不少于14个PCIE4.0插槽，最大可支持不少于39块硬盘</w:t>
            </w:r>
          </w:p>
        </w:tc>
      </w:tr>
      <w:tr>
        <w:tblPrEx>
          <w:tblW w:w="5000" w:type="pct"/>
          <w:tblInd w:w="0" w:type="dxa"/>
          <w:tblCellMar>
            <w:top w:w="0" w:type="dxa"/>
            <w:left w:w="108" w:type="dxa"/>
            <w:bottom w:w="0" w:type="dxa"/>
            <w:right w:w="108" w:type="dxa"/>
          </w:tblCellMar>
        </w:tblPrEx>
        <w:trPr>
          <w:trHeight w:val="442"/>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Cs/>
                <w:color w:val="FF0000"/>
                <w:sz w:val="18"/>
                <w:szCs w:val="18"/>
              </w:rPr>
            </w:pPr>
            <w:r>
              <w:rPr>
                <w:rFonts w:ascii="宋体" w:hAnsi="宋体" w:cs="宋体" w:hint="eastAsia"/>
                <w:bCs/>
                <w:color w:val="FF0000"/>
                <w:kern w:val="0"/>
                <w:sz w:val="18"/>
                <w:szCs w:val="18"/>
              </w:rPr>
              <w:t xml:space="preserve">8. </w:t>
            </w:r>
            <w:r>
              <w:rPr>
                <w:rStyle w:val="font81"/>
                <w:rFonts w:hint="default"/>
              </w:rPr>
              <w:t>支持外接USB wifi模块，提供无线热点，用户可以使用手机或者便携机直接登录管理系统，无需额外的显示器。提供功能截图扫描件</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9</w:t>
            </w:r>
            <w:r>
              <w:rPr>
                <w:rFonts w:ascii="宋体" w:hAnsi="宋体" w:cs="宋体" w:hint="eastAsia"/>
                <w:color w:val="000000"/>
                <w:kern w:val="0"/>
                <w:sz w:val="18"/>
                <w:szCs w:val="18"/>
              </w:rPr>
              <w:t xml:space="preserve">. </w:t>
            </w:r>
            <w:r>
              <w:rPr>
                <w:rStyle w:val="font51"/>
                <w:rFonts w:hint="default"/>
              </w:rPr>
              <w:t>★具有2颗CPU国产虚拟化软件高级版授权，支持跨中心构建计算集群，保障集群中业务应用实现跨中心高可用HA</w:t>
            </w:r>
          </w:p>
        </w:tc>
      </w:tr>
      <w:tr>
        <w:tblPrEx>
          <w:tblW w:w="5000" w:type="pct"/>
          <w:tblInd w:w="0" w:type="dxa"/>
          <w:tblCellMar>
            <w:top w:w="0" w:type="dxa"/>
            <w:left w:w="108" w:type="dxa"/>
            <w:bottom w:w="0" w:type="dxa"/>
            <w:right w:w="108" w:type="dxa"/>
          </w:tblCellMar>
        </w:tblPrEx>
        <w:trPr>
          <w:trHeight w:val="9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kern w:val="0"/>
                <w:sz w:val="18"/>
                <w:szCs w:val="18"/>
              </w:rPr>
              <w:t>1</w:t>
            </w:r>
            <w:r>
              <w:rPr>
                <w:rFonts w:ascii="宋体" w:hAnsi="宋体" w:cs="宋体"/>
                <w:kern w:val="0"/>
                <w:sz w:val="18"/>
                <w:szCs w:val="18"/>
              </w:rPr>
              <w:t>0</w:t>
            </w:r>
            <w:r>
              <w:rPr>
                <w:rFonts w:ascii="宋体" w:hAnsi="宋体" w:cs="宋体" w:hint="eastAsia"/>
                <w:kern w:val="0"/>
                <w:sz w:val="18"/>
                <w:szCs w:val="18"/>
              </w:rPr>
              <w:t>.</w:t>
            </w:r>
            <w:r>
              <w:rPr>
                <w:rStyle w:val="font81"/>
                <w:rFonts w:hint="default"/>
                <w:b w:val="0"/>
                <w:bCs w:val="0"/>
                <w:color w:val="auto"/>
              </w:rPr>
              <w:t>虚拟化软件架构采用裸金属架构，可直接安装在服务器硬件设备上，基于KVM架构开发，可维护性好；</w:t>
            </w:r>
          </w:p>
        </w:tc>
      </w:tr>
      <w:tr>
        <w:tblPrEx>
          <w:tblW w:w="5000" w:type="pct"/>
          <w:tblInd w:w="0" w:type="dxa"/>
          <w:tblCellMar>
            <w:top w:w="0" w:type="dxa"/>
            <w:left w:w="108" w:type="dxa"/>
            <w:bottom w:w="0" w:type="dxa"/>
            <w:right w:w="108" w:type="dxa"/>
          </w:tblCellMar>
        </w:tblPrEx>
        <w:trPr>
          <w:trHeight w:val="154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wordWrap w:val="0"/>
              <w:jc w:val="left"/>
              <w:textAlignment w:val="top"/>
              <w:rPr>
                <w:rFonts w:ascii="宋体" w:hAnsi="宋体" w:cs="宋体" w:hint="eastAsia"/>
                <w:b/>
                <w:bCs/>
                <w:color w:val="FF0000"/>
                <w:sz w:val="18"/>
                <w:szCs w:val="18"/>
              </w:rPr>
            </w:pPr>
            <w:r>
              <w:rPr>
                <w:rStyle w:val="font81"/>
                <w:rFonts w:hint="default"/>
              </w:rPr>
              <w:t>▲</w:t>
            </w:r>
            <w:r>
              <w:rPr>
                <w:rFonts w:ascii="宋体" w:hAnsi="宋体" w:cs="宋体" w:hint="eastAsia"/>
                <w:b/>
                <w:bCs/>
                <w:color w:val="FF0000"/>
                <w:kern w:val="0"/>
                <w:sz w:val="18"/>
                <w:szCs w:val="18"/>
              </w:rPr>
              <w:t xml:space="preserve">11. </w:t>
            </w:r>
            <w:r>
              <w:rPr>
                <w:rStyle w:val="font81"/>
                <w:rFonts w:hint="default"/>
              </w:rPr>
              <w:t>虚拟化管理平台内置在线p2v、v2v迁移工具，支持WindowsServer、CentOS、Redhat等操作系统、公有云平台、虚拟化平台，包括但不限于VMware、H3C、华为等平台的迁移功能，提升被迁移业务平台的普适性、降低业务上云的难度，降低运维工作量。支持使用一键鼠标按钮分析后端存储上的无效镜像文件，并提供一键清理和释放存储空间能力；支持使用一键鼠标按钮快速查看、启动、删除、批量启动和批量删除长时间未使用且处于关闭状态的虚拟机，进行资源利用率统计，降低运维工作量与难度，保障投资。提供第三方检测机构出具的带有CMA和CNAS标识的报告扫描件，原件备查；</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Style w:val="font81"/>
                <w:rFonts w:hint="default"/>
              </w:rPr>
              <w:t>12. ▲投标产品通过由中国信息通信研究院和云计算开源产业联盟的“可信云虚拟化及虚拟化管理软件”评估，提供《虚拟化及虚拟化管理评估证书》证描件.</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13.为保障系统兼容性，要求和“私有云服务器”为同一品牌</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61</w:t>
            </w:r>
          </w:p>
        </w:tc>
        <w:tc>
          <w:tcPr>
            <w:tcW w:w="995"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HD大数据控制节点（一）</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CPU：2颗，单颗不少于20核，不低于2.3GHz，；</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内存：不少于256GB DDR4，</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硬盘：不少于12块600GB 10K 热插拔SAS，支持RAID0,1,5,6,10,50,60 2GB缓存 带电池保护；</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配置不少于2个10Gb以太网接口（含万兆多模模块），配置不少于双端口千兆以太网口</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双宽GPU卡最大可支持4块，支持不少于14个PCIE4.0插槽，最大可支持不少于39块硬盘</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 xml:space="preserve">6. </w:t>
            </w:r>
            <w:r>
              <w:rPr>
                <w:rStyle w:val="font81"/>
                <w:rFonts w:hint="default"/>
              </w:rPr>
              <w:t>▲支持外接USB wifi模块，提供无线热点，用户可以使用手机或者便携机直接登录管理系统，无需额外的显示器。提供系统功能截图扫描件</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 xml:space="preserve">. </w:t>
            </w:r>
            <w:r>
              <w:rPr>
                <w:rStyle w:val="font51"/>
                <w:rFonts w:hint="default"/>
              </w:rPr>
              <w:t>为保障兼容性，要求和“私有云服务器”同一品牌</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62</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HD大数据数据节点（二）</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CPU：2颗，单颗不少于20核，不低于2.3GHz，；</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内存，不少于256GB DDR4，</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硬盘：不少于2块600GB 10K 热插拔SAS硬盘，不少于12块4TB热插拔硬盘，支持RAID 0/1/10/5，2GB缓存 带电池保护；</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接口：配置不少于2个10Gb以太网接口（含万兆多模模块），不少于2个千兆以太网口</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双宽GPU卡最大可支持4块，支持不少于14个PCIE4.0插槽，最大可支持不少于39块硬盘</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支持外接USB wifi模块，提供无线热点，用户可以使用手机或者便携机直接登录管理系统，无需额外的显示器。</w:t>
            </w:r>
          </w:p>
        </w:tc>
      </w:tr>
      <w:tr>
        <w:tblPrEx>
          <w:tblW w:w="5000" w:type="pct"/>
          <w:tblInd w:w="0" w:type="dxa"/>
          <w:tblCellMar>
            <w:top w:w="0" w:type="dxa"/>
            <w:left w:w="108" w:type="dxa"/>
            <w:bottom w:w="0" w:type="dxa"/>
            <w:right w:w="108" w:type="dxa"/>
          </w:tblCellMar>
        </w:tblPrEx>
        <w:trPr>
          <w:trHeight w:val="9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7. </w:t>
            </w:r>
            <w:r>
              <w:rPr>
                <w:rStyle w:val="font51"/>
                <w:rFonts w:hint="default"/>
              </w:rPr>
              <w:t>为防范和消除系统安全风险，服务器需支持自研安全防护模块，可提供包含但不限于防火墙、IPS、防病毒和QoS等防护功能;</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8.为保障兼容性，要求和“私有云服务器”同一品牌</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63</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大数据软件许可</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★3节点Hadoop标准版许可</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云管理平台支持基于虚拟机或物理机的大数据集群的自动化部署创建、扩容、销毁和服务监控。支持的大数据服务包括HDP、MapReduce2、Hive、HDFS、Hbase、Spark、Storm、MPP、Solr、Neo4j等。</w:t>
            </w:r>
          </w:p>
        </w:tc>
      </w:tr>
      <w:tr>
        <w:tblPrEx>
          <w:tblW w:w="5000" w:type="pct"/>
          <w:tblInd w:w="0" w:type="dxa"/>
          <w:tblCellMar>
            <w:top w:w="0" w:type="dxa"/>
            <w:left w:w="108" w:type="dxa"/>
            <w:bottom w:w="0" w:type="dxa"/>
            <w:right w:w="108" w:type="dxa"/>
          </w:tblCellMar>
        </w:tblPrEx>
        <w:trPr>
          <w:trHeight w:val="93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b/>
                <w:bCs/>
                <w:color w:val="FF0000"/>
                <w:kern w:val="0"/>
                <w:sz w:val="18"/>
                <w:szCs w:val="18"/>
              </w:rPr>
              <w:t>3</w:t>
            </w:r>
            <w:r>
              <w:rPr>
                <w:rFonts w:ascii="宋体" w:hAnsi="宋体" w:cs="宋体" w:hint="eastAsia"/>
                <w:b/>
                <w:bCs/>
                <w:color w:val="FF0000"/>
                <w:kern w:val="0"/>
                <w:sz w:val="18"/>
                <w:szCs w:val="18"/>
              </w:rPr>
              <w:t xml:space="preserve">. </w:t>
            </w:r>
            <w:r>
              <w:rPr>
                <w:rStyle w:val="font81"/>
                <w:rFonts w:hint="default"/>
              </w:rPr>
              <w:t>▲</w:t>
            </w:r>
            <w:r>
              <w:rPr>
                <w:rFonts w:ascii="宋体" w:hAnsi="宋体" w:cs="宋体" w:hint="eastAsia"/>
                <w:b/>
                <w:bCs/>
                <w:color w:val="FF0000"/>
                <w:kern w:val="0"/>
                <w:sz w:val="18"/>
                <w:szCs w:val="18"/>
              </w:rPr>
              <w:t>为管理适应用户创建不同业务应用所需要的多个集群并统一管理，要求大数据平台支持独立模式和共享模式图形化管理界面同时管理多个Hadoop集群，支持多集群无缝切换；</w:t>
            </w:r>
            <w:r>
              <w:rPr>
                <w:rStyle w:val="font81"/>
                <w:rFonts w:hint="default"/>
              </w:rPr>
              <w:t>为保障数据的安全性，要求大数据平台支持可视化密钥管理和审计；</w:t>
            </w:r>
            <w:r>
              <w:rPr>
                <w:rFonts w:ascii="宋体" w:hAnsi="宋体" w:cs="宋体" w:hint="eastAsia"/>
                <w:b/>
                <w:bCs/>
                <w:color w:val="FF0000"/>
                <w:kern w:val="0"/>
                <w:sz w:val="18"/>
                <w:szCs w:val="18"/>
              </w:rPr>
              <w:t>提供第三方检测机构出具的带有CMA和CNAS标识的报告扫描件，原件备查；</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.为保障兼容性，要求和“私有云服务器”同一品牌</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64</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数据库服务器</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CPU：配置2颗主频不低于2.3GHz，单颗不少于20核处理器</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内存：配置不少于256G  DDR4 内存；</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硬盘：配置不少于4*600GB 10Krpm  SAS硬盘；配置磁盘阵列卡，缓存2G，支持RAID 0/1/10/5/50/6/60，支持掉电保护；</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电源：配置2* 550W通用电源模块；</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接口：配置不少于4*10GE接口（含万兆多模模块），不少于2*GE接口</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双宽GPU卡最大可支持4块，支持不少于14个PCIE4.0插槽，最大可支持不少于39块硬盘</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支持外接USB wifi模块，提供无线热点，用户可以使用手机或者便携机直接登录管理系统，无需额外的显示器。</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.为保障兼容性，要求和“私有云服务器”同一品牌</w:t>
            </w:r>
          </w:p>
        </w:tc>
      </w:tr>
      <w:tr>
        <w:tblPrEx>
          <w:tblW w:w="5000" w:type="pct"/>
          <w:tblInd w:w="0" w:type="dxa"/>
          <w:tblCellMar>
            <w:top w:w="0" w:type="dxa"/>
            <w:left w:w="108" w:type="dxa"/>
            <w:bottom w:w="0" w:type="dxa"/>
            <w:right w:w="108" w:type="dxa"/>
          </w:tblCellMar>
        </w:tblPrEx>
        <w:trPr>
          <w:trHeight w:val="45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65</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NAS（网盘系统硬件）</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★配置不少于4个控制器节点，最大支持64控制器节点；采用分布式架构，要求采用软硬件一体化设备，非纯软件+普通服务器的组合</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采用多核处理器，配置控制器处理器总物理核心数≥80核</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配置内存缓存≥1TB；</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配置≥8个10GE光口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★配置≥128块16TB NL-SAS/SATA 7200RPM硬盘</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网络附加存储，不需额外配置NAS网关；支持多控架构；为各种操作系统提供集中数据存储，支持NFS、CIFS、FTP、HTTP协议以及S3接口，配置NAS核心系统。</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 xml:space="preserve">7. </w:t>
            </w:r>
            <w:r>
              <w:rPr>
                <w:rStyle w:val="font81"/>
                <w:rFonts w:hint="default"/>
              </w:rPr>
              <w:t>在一个集群内同时提供块存储、文件存储、对象存储服务，提供第三方检测机构出具的带有CMA和CNAS标识的报告扫描件，原件备查</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8. </w:t>
            </w:r>
            <w:r>
              <w:rPr>
                <w:rStyle w:val="font51"/>
                <w:rFonts w:hint="default"/>
              </w:rPr>
              <w:t>本次配置不限容量的块、文件、对象存储服务授权许可</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 xml:space="preserve">9. </w:t>
            </w:r>
            <w:r>
              <w:rPr>
                <w:rStyle w:val="font81"/>
                <w:rFonts w:hint="default"/>
              </w:rPr>
              <w:t>▲支持视频智能容错，当硬盘或节点故障超出系统冗余度上限时，仍然能够保证视频业务不中断；支持对已上传的对象进行追加修改。支持对硬盘故障检测，提前感知硬盘故障风险并预警；支持对存储容量增长趋势进行预测；提供第三方检测机构出具的带有CMA和CNAS标识的报告扫描件，原件备查</w:t>
            </w:r>
          </w:p>
        </w:tc>
      </w:tr>
      <w:tr>
        <w:tblPrEx>
          <w:tblW w:w="5000" w:type="pct"/>
          <w:tblInd w:w="0" w:type="dxa"/>
          <w:tblCellMar>
            <w:top w:w="0" w:type="dxa"/>
            <w:left w:w="108" w:type="dxa"/>
            <w:bottom w:w="0" w:type="dxa"/>
            <w:right w:w="108" w:type="dxa"/>
          </w:tblCellMar>
        </w:tblPrEx>
        <w:trPr>
          <w:trHeight w:val="9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b/>
                <w:bCs/>
                <w:color w:val="FF0000"/>
                <w:kern w:val="0"/>
                <w:sz w:val="18"/>
                <w:szCs w:val="18"/>
              </w:rPr>
              <w:t>10</w:t>
            </w:r>
            <w:r>
              <w:rPr>
                <w:rFonts w:ascii="宋体" w:hAnsi="宋体" w:cs="宋体" w:hint="eastAsia"/>
                <w:b/>
                <w:bCs/>
                <w:color w:val="FF0000"/>
                <w:kern w:val="0"/>
                <w:sz w:val="18"/>
                <w:szCs w:val="18"/>
              </w:rPr>
              <w:t xml:space="preserve">. </w:t>
            </w:r>
            <w:r>
              <w:rPr>
                <w:rStyle w:val="font81"/>
                <w:rFonts w:hint="default"/>
              </w:rPr>
              <w:t>▲单个节点大文件带宽性能≥1.6GB/s；每TB数据重构恢复时间≤15分钟，提供第三方检测机构出具的带有CMA和CNAS标识的报告扫描件，原件备查；</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11</w:t>
            </w:r>
            <w:r>
              <w:rPr>
                <w:rFonts w:ascii="宋体" w:hAnsi="宋体" w:cs="宋体" w:hint="eastAsia"/>
                <w:color w:val="000000"/>
                <w:kern w:val="0"/>
                <w:sz w:val="18"/>
                <w:szCs w:val="18"/>
              </w:rPr>
              <w:t xml:space="preserve">. </w:t>
            </w:r>
            <w:r>
              <w:rPr>
                <w:rStyle w:val="font51"/>
                <w:rFonts w:hint="default"/>
              </w:rPr>
              <w:t>支持磁盘、电源不停机热插拔，配置冗余电源、风扇、控制器、阵列卡缓存断电保护功能</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12.</w:t>
            </w:r>
            <w:r>
              <w:rPr>
                <w:rFonts w:ascii="宋体" w:hAnsi="宋体" w:cs="宋体" w:hint="eastAsia"/>
                <w:color w:val="000000"/>
                <w:kern w:val="0"/>
                <w:sz w:val="18"/>
                <w:szCs w:val="18"/>
              </w:rPr>
              <w:t>为保障兼容性，要求和“私有云服务器”同一品牌</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66</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网盘系统软件</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★配置支持不少于3000个用户的网盘软件</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网盘软件，支持Windows客户端、Mac客户端、移动客户端（Android、IOS）、Web客户端、office插件、微信企业号访问；支持文件重复数据删除技术，相同的文件只上传一次，对于重复上传者而言实现文件的秒传；</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支持用户共享范围的可配置性。避免内部非法共享扩散；</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支持基于云存储的全文检索；</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产品提供断点续传功能，对于大文件的上传、下载，可以随时中断，重新连接后可以从中断处继续传输之前的数据</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支持丰富的审计日志功能，包括系统管理、人员组织授权、文件操作、权限配置、上传下载、文件访问均有日志记录审计；</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7. </w:t>
            </w:r>
            <w:r>
              <w:rPr>
                <w:rStyle w:val="font51"/>
                <w:rFonts w:hint="default"/>
              </w:rPr>
              <w:t>支持用户共享范围的可配置性，包括HTTP共享链接（外链的方式）。避免内部非法共享扩散，比如可以设置研发员工的共享范围，可根据管理规则来规划各个部门的共享区域</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8. </w:t>
            </w:r>
            <w:r>
              <w:rPr>
                <w:rStyle w:val="font51"/>
                <w:rFonts w:hint="default"/>
              </w:rPr>
              <w:t>用户将文件或文件夹共享给他人后，可以对已共享的HTTP链接文件的访问情况进行统计，支持查看访问者的IP、预览次数、下载次数</w:t>
            </w:r>
          </w:p>
        </w:tc>
      </w:tr>
      <w:tr>
        <w:tblPrEx>
          <w:tblW w:w="5000" w:type="pct"/>
          <w:tblInd w:w="0" w:type="dxa"/>
          <w:tblCellMar>
            <w:top w:w="0" w:type="dxa"/>
            <w:left w:w="108" w:type="dxa"/>
            <w:bottom w:w="0" w:type="dxa"/>
            <w:right w:w="108" w:type="dxa"/>
          </w:tblCellMar>
        </w:tblPrEx>
        <w:trPr>
          <w:trHeight w:val="45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67</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分布式块存储</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全分布式存储架构，既支持计算与存储分离部署，也支持计算与存储融合部署，</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b/>
                <w:color w:val="FF0000"/>
                <w:kern w:val="0"/>
                <w:sz w:val="18"/>
                <w:szCs w:val="18"/>
              </w:rPr>
              <w:t xml:space="preserve">2. </w:t>
            </w:r>
            <w:r>
              <w:rPr>
                <w:rStyle w:val="font81"/>
                <w:rFonts w:hint="default"/>
              </w:rPr>
              <w:t>▲</w:t>
            </w:r>
            <w:r>
              <w:rPr>
                <w:rStyle w:val="font51"/>
                <w:rFonts w:hint="default"/>
                <w:b/>
                <w:color w:val="FF0000"/>
              </w:rPr>
              <w:t>在一个集群内同时提供块存储、文件存储、对象以及HDFS存储服务，</w:t>
            </w:r>
            <w:r>
              <w:rPr>
                <w:rStyle w:val="font81"/>
                <w:rFonts w:hint="default"/>
              </w:rPr>
              <w:t>提供第三方检测机构出具的带有CMA和CNAS标识的报告扫描件，原件备查</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支持多副本或EC冗余机制</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具备大规模横向扩展能力，单集群最大可扩展至≥64节点，本次配置4个节点，</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★每节点配置不少于2*10核CPU，256GB内存，2*960GB SSD硬盘，12*14TB SATA 硬盘，2*3.2TB NVMe硬盘，4*10GE接口；</w:t>
            </w:r>
          </w:p>
        </w:tc>
      </w:tr>
      <w:tr>
        <w:tblPrEx>
          <w:tblW w:w="5000" w:type="pct"/>
          <w:tblInd w:w="0" w:type="dxa"/>
          <w:tblCellMar>
            <w:top w:w="0" w:type="dxa"/>
            <w:left w:w="108" w:type="dxa"/>
            <w:bottom w:w="0" w:type="dxa"/>
            <w:right w:w="108" w:type="dxa"/>
          </w:tblCellMar>
        </w:tblPrEx>
        <w:trPr>
          <w:trHeight w:val="9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color w:val="FF0000"/>
                <w:sz w:val="18"/>
                <w:szCs w:val="18"/>
              </w:rPr>
            </w:pPr>
            <w:r>
              <w:rPr>
                <w:rFonts w:ascii="宋体" w:hAnsi="宋体" w:cs="宋体"/>
                <w:b/>
                <w:color w:val="FF0000"/>
                <w:kern w:val="0"/>
                <w:sz w:val="18"/>
                <w:szCs w:val="18"/>
              </w:rPr>
              <w:t>6</w:t>
            </w:r>
            <w:r>
              <w:rPr>
                <w:rFonts w:ascii="宋体" w:hAnsi="宋体" w:cs="宋体" w:hint="eastAsia"/>
                <w:b/>
                <w:color w:val="FF0000"/>
                <w:kern w:val="0"/>
                <w:sz w:val="18"/>
                <w:szCs w:val="18"/>
              </w:rPr>
              <w:t xml:space="preserve">. </w:t>
            </w:r>
            <w:r>
              <w:rPr>
                <w:rStyle w:val="font51"/>
                <w:rFonts w:hint="default"/>
                <w:b/>
                <w:color w:val="FF0000"/>
              </w:rPr>
              <w:t>每TB数据重构恢复时间≤15分钟，</w:t>
            </w:r>
            <w:r>
              <w:rPr>
                <w:rStyle w:val="font81"/>
                <w:rFonts w:hint="default"/>
              </w:rPr>
              <w:t>提供第三方检测机构出具的带有CMA和CNAS标识的报告扫描件，原件备查</w:t>
            </w:r>
            <w:r>
              <w:rPr>
                <w:rStyle w:val="font51"/>
                <w:rFonts w:hint="default"/>
                <w:b/>
                <w:color w:val="FF0000"/>
              </w:rPr>
              <w:t>；</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 xml:space="preserve">. </w:t>
            </w:r>
            <w:r>
              <w:rPr>
                <w:rStyle w:val="font51"/>
                <w:rFonts w:hint="default"/>
              </w:rPr>
              <w:t>配置不少于672TB容量软件授权及相应的软件服务</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8</w:t>
            </w:r>
            <w:r>
              <w:rPr>
                <w:rFonts w:ascii="宋体" w:hAnsi="宋体" w:cs="宋体" w:hint="eastAsia"/>
                <w:color w:val="000000"/>
                <w:kern w:val="0"/>
                <w:sz w:val="18"/>
                <w:szCs w:val="18"/>
              </w:rPr>
              <w:t>.为保障兼容性，要求和“私有云服务器”同一品牌</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68</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数据库存储</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配置不少于双控制器，最大支持8控制器；</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 xml:space="preserve">2. </w:t>
            </w:r>
            <w:r>
              <w:rPr>
                <w:rStyle w:val="font81"/>
                <w:rFonts w:hint="default"/>
              </w:rPr>
              <w:t>▲系统具备100%可用性，提供官网描述截图扫描件</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采用多核处理器，每个控制器配置不少于2颗处理器</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配置缓存≥256GB（缓存不包含SSD磁盘、PCI-E SSD、闪存、压缩或重删缓存和NAS控制器缓存）；</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配置≥8*10GE（含万兆光模块）；配置≥8*16Gb FC（含光模块）；</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★配置≥16块 10Krpm 2.4TB SAS热插拔硬盘，≥8块 1.92TB SAS接口SSD热插拔硬盘，支持NVNe、SSD、SAS或NL-SAS硬盘混插；</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7. </w:t>
            </w:r>
            <w:r>
              <w:rPr>
                <w:rStyle w:val="font51"/>
                <w:rFonts w:hint="default"/>
              </w:rPr>
              <w:t>配置高级快照、复制、双活和重删压缩功能许可，配置跨盘柜RAID保护功能</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FF0000"/>
                <w:sz w:val="18"/>
                <w:szCs w:val="18"/>
              </w:rPr>
            </w:pPr>
            <w:r>
              <w:rPr>
                <w:rFonts w:ascii="宋体" w:hAnsi="宋体" w:cs="宋体" w:hint="eastAsia"/>
                <w:color w:val="000000"/>
                <w:kern w:val="0"/>
                <w:sz w:val="18"/>
                <w:szCs w:val="18"/>
              </w:rPr>
              <w:t>8.</w:t>
            </w:r>
            <w:r>
              <w:rPr>
                <w:rStyle w:val="font81"/>
                <w:rFonts w:hint="default"/>
                <w:b w:val="0"/>
                <w:bCs w:val="0"/>
                <w:color w:val="000000"/>
              </w:rPr>
              <w:t>存储提供双控LUN数量≥65536</w:t>
            </w:r>
            <w:r>
              <w:rPr>
                <w:rStyle w:val="font81"/>
                <w:rFonts w:hint="default"/>
                <w:b w:val="0"/>
                <w:bCs w:val="0"/>
              </w:rPr>
              <w:t>;</w:t>
            </w:r>
          </w:p>
        </w:tc>
      </w:tr>
      <w:tr>
        <w:tblPrEx>
          <w:tblW w:w="5000" w:type="pct"/>
          <w:tblInd w:w="0" w:type="dxa"/>
          <w:tblCellMar>
            <w:top w:w="0" w:type="dxa"/>
            <w:left w:w="108" w:type="dxa"/>
            <w:bottom w:w="0" w:type="dxa"/>
            <w:right w:w="108" w:type="dxa"/>
          </w:tblCellMar>
        </w:tblPrEx>
        <w:trPr>
          <w:trHeight w:val="18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9. </w:t>
            </w:r>
            <w:r>
              <w:rPr>
                <w:rStyle w:val="font51"/>
                <w:rFonts w:hint="default"/>
              </w:rPr>
              <w:t>存储设备具备快速得双活切换功能，当一台存储出现故障得时候，要求切换时间≤10秒；</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1</w:t>
            </w:r>
            <w:r>
              <w:rPr>
                <w:rFonts w:ascii="宋体" w:hAnsi="宋体" w:cs="宋体"/>
                <w:b/>
                <w:bCs/>
                <w:color w:val="FF0000"/>
                <w:kern w:val="0"/>
                <w:sz w:val="18"/>
                <w:szCs w:val="18"/>
              </w:rPr>
              <w:t>0</w:t>
            </w:r>
            <w:r>
              <w:rPr>
                <w:rFonts w:ascii="宋体" w:hAnsi="宋体" w:cs="宋体" w:hint="eastAsia"/>
                <w:b/>
                <w:bCs/>
                <w:color w:val="FF0000"/>
                <w:kern w:val="0"/>
                <w:sz w:val="18"/>
                <w:szCs w:val="18"/>
              </w:rPr>
              <w:t xml:space="preserve">. </w:t>
            </w:r>
            <w:r>
              <w:rPr>
                <w:rStyle w:val="font81"/>
                <w:rFonts w:hint="default"/>
              </w:rPr>
              <w:t>▲存储可以在不中断业务且不需要重启控制器或者切换控制器的情况下完成系统升级；当存储控制器出现故障时候，存储仍然可以正常工作，不影响业务得正常运行。提供第三方检测机构出具的带有CMA和CNAS标识的报告扫描件，原件备查；</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w:t>
            </w:r>
            <w:r>
              <w:rPr>
                <w:rFonts w:ascii="宋体" w:hAnsi="宋体" w:cs="宋体" w:hint="eastAsia"/>
                <w:color w:val="000000"/>
                <w:kern w:val="0"/>
                <w:sz w:val="18"/>
                <w:szCs w:val="18"/>
              </w:rPr>
              <w:t xml:space="preserve">. </w:t>
            </w:r>
            <w:r>
              <w:rPr>
                <w:rStyle w:val="font51"/>
                <w:rFonts w:hint="default"/>
              </w:rPr>
              <w:t>配置冗余电源、风扇、控制器、缓存断电保护功能；</w:t>
            </w:r>
          </w:p>
        </w:tc>
      </w:tr>
      <w:tr>
        <w:tblPrEx>
          <w:tblW w:w="5000" w:type="pct"/>
          <w:tblInd w:w="0" w:type="dxa"/>
          <w:tblCellMar>
            <w:top w:w="0" w:type="dxa"/>
            <w:left w:w="108" w:type="dxa"/>
            <w:bottom w:w="0" w:type="dxa"/>
            <w:right w:w="108" w:type="dxa"/>
          </w:tblCellMar>
        </w:tblPrEx>
        <w:trPr>
          <w:trHeight w:val="112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1</w:t>
            </w:r>
            <w:r>
              <w:rPr>
                <w:rFonts w:ascii="宋体" w:hAnsi="宋体" w:cs="宋体"/>
                <w:b/>
                <w:bCs/>
                <w:color w:val="FF0000"/>
                <w:kern w:val="0"/>
                <w:sz w:val="18"/>
                <w:szCs w:val="18"/>
              </w:rPr>
              <w:t>2</w:t>
            </w:r>
            <w:r>
              <w:rPr>
                <w:rFonts w:ascii="宋体" w:hAnsi="宋体" w:cs="宋体" w:hint="eastAsia"/>
                <w:b/>
                <w:bCs/>
                <w:color w:val="FF0000"/>
                <w:kern w:val="0"/>
                <w:sz w:val="18"/>
                <w:szCs w:val="18"/>
              </w:rPr>
              <w:t xml:space="preserve">. </w:t>
            </w:r>
            <w:r>
              <w:rPr>
                <w:rStyle w:val="font81"/>
                <w:rFonts w:hint="default"/>
              </w:rPr>
              <w:t>▲配置存储统一监控软件，支持对EMC、HDS、HPE、NetApp、IBM、华为、浪潮等厂家的磁盘阵列的配置信息、性能信息、告警信息的收集和展现，支持配置导出；支持对Brocade、Cisco等厂家光纤交换机的配置信息、性能信息的收集和展现；支持配置邮件、短信、微信等进行各种告警。提供监控软件对存储的兼容性截图。</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w:t>
            </w:r>
            <w:r>
              <w:rPr>
                <w:rFonts w:ascii="宋体" w:hAnsi="宋体" w:cs="宋体" w:hint="eastAsia"/>
                <w:color w:val="000000"/>
                <w:kern w:val="0"/>
                <w:sz w:val="18"/>
                <w:szCs w:val="18"/>
              </w:rPr>
              <w:t>.为保障兼容性，要求和“私有云服务器”同一品牌</w:t>
            </w:r>
          </w:p>
        </w:tc>
      </w:tr>
      <w:tr>
        <w:tblPrEx>
          <w:tblW w:w="5000" w:type="pct"/>
          <w:tblInd w:w="0" w:type="dxa"/>
          <w:tblCellMar>
            <w:top w:w="0" w:type="dxa"/>
            <w:left w:w="108" w:type="dxa"/>
            <w:bottom w:w="0" w:type="dxa"/>
            <w:right w:w="108" w:type="dxa"/>
          </w:tblCellMar>
        </w:tblPrEx>
        <w:trPr>
          <w:trHeight w:val="900"/>
        </w:trPr>
        <w:tc>
          <w:tcPr>
            <w:tcW w:w="455"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69</w:t>
            </w:r>
          </w:p>
        </w:tc>
        <w:tc>
          <w:tcPr>
            <w:tcW w:w="995"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光纤交换机</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配置24口光纤交换机，激活8端口配置8个16Gb光模块；机架式安装，无拥塞架构设计，所有FC端口全线速可支持多台交换机级联和Fabric扩展；支持基于数据帧级的“即插即用”的链路捆绑功能，单个链路聚合带宽最大256G；为保障兼容性，要求和“私有云服务器”同一品牌</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70</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备份一体机</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配置不少于80TB后端可用容量以及对应容量授权</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配置不少于2*8核CPU,4*32G内存,2*240GB 2.5" SSD，12*8000GB NL SAS/SATA HDD,6*GE,2*10GE（含万兆光模块）</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支持Windows/Linux/Unix客户端推送安装，降低人为误操作与实施成本；</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支持Vmware，Hyper-V，H3C CAS虚拟化平台的无代理备份，无需在宿主机与虚拟机中安装备份客户端。</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7. </w:t>
            </w:r>
            <w:r>
              <w:rPr>
                <w:rStyle w:val="font51"/>
                <w:rFonts w:hint="default"/>
              </w:rPr>
              <w:t>支持通过无代理方式实现SQL Server，Oracle，Exchange，Sharepoint数据库和应用的一致性备份，无需在虚拟机安装备份客户端</w:t>
            </w:r>
          </w:p>
        </w:tc>
      </w:tr>
      <w:tr>
        <w:tblPrEx>
          <w:tblW w:w="5000" w:type="pct"/>
          <w:tblInd w:w="0" w:type="dxa"/>
          <w:tblCellMar>
            <w:top w:w="0" w:type="dxa"/>
            <w:left w:w="108" w:type="dxa"/>
            <w:bottom w:w="0" w:type="dxa"/>
            <w:right w:w="108" w:type="dxa"/>
          </w:tblCellMar>
        </w:tblPrEx>
        <w:trPr>
          <w:trHeight w:val="45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8. </w:t>
            </w:r>
            <w:r>
              <w:rPr>
                <w:rStyle w:val="font51"/>
                <w:rFonts w:hint="default"/>
              </w:rPr>
              <w:t>支持Oracle的定时复制和实时复制。主库和备库支持主备切换、重做备库、激活备库。Oracle客户端平台支持Windows、Linux、AIX等主流环境。</w:t>
            </w:r>
          </w:p>
        </w:tc>
      </w:tr>
      <w:tr>
        <w:tblPrEx>
          <w:tblW w:w="5000" w:type="pct"/>
          <w:tblInd w:w="0" w:type="dxa"/>
          <w:tblCellMar>
            <w:top w:w="0" w:type="dxa"/>
            <w:left w:w="108" w:type="dxa"/>
            <w:bottom w:w="0" w:type="dxa"/>
            <w:right w:w="108" w:type="dxa"/>
          </w:tblCellMar>
        </w:tblPrEx>
        <w:trPr>
          <w:trHeight w:val="27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 xml:space="preserve">9. </w:t>
            </w:r>
            <w:r>
              <w:rPr>
                <w:rStyle w:val="font81"/>
                <w:rFonts w:hint="default"/>
              </w:rPr>
              <w:t>▲提供备份软件相关的计算机软件著作权证书扫描件</w:t>
            </w:r>
          </w:p>
        </w:tc>
      </w:tr>
      <w:tr>
        <w:tblPrEx>
          <w:tblW w:w="5000" w:type="pct"/>
          <w:tblInd w:w="0" w:type="dxa"/>
          <w:tblCellMar>
            <w:top w:w="0" w:type="dxa"/>
            <w:left w:w="108" w:type="dxa"/>
            <w:bottom w:w="0" w:type="dxa"/>
            <w:right w:w="108" w:type="dxa"/>
          </w:tblCellMar>
        </w:tblPrEx>
        <w:trPr>
          <w:trHeight w:val="464"/>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10. </w:t>
            </w:r>
            <w:r>
              <w:rPr>
                <w:rStyle w:val="font51"/>
                <w:rFonts w:hint="default"/>
              </w:rPr>
              <w:t>支持不少于4台备份一体机横向扩展集群，</w:t>
            </w:r>
            <w:r>
              <w:rPr>
                <w:rFonts w:ascii="宋体" w:hAnsi="宋体" w:cs="宋体" w:hint="eastAsia"/>
                <w:color w:val="000000"/>
                <w:kern w:val="0"/>
                <w:sz w:val="18"/>
                <w:szCs w:val="18"/>
              </w:rPr>
              <w:t>为保障兼容性，要求和“私有云服务器”同一品牌</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71</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数据库软件</w:t>
            </w: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永久授权</w:t>
            </w:r>
          </w:p>
        </w:tc>
      </w:tr>
      <w:tr>
        <w:tblPrEx>
          <w:tblW w:w="5000" w:type="pct"/>
          <w:tblInd w:w="0" w:type="dxa"/>
          <w:tblCellMar>
            <w:top w:w="0" w:type="dxa"/>
            <w:left w:w="108" w:type="dxa"/>
            <w:bottom w:w="0" w:type="dxa"/>
            <w:right w:w="108" w:type="dxa"/>
          </w:tblCellMar>
        </w:tblPrEx>
        <w:trPr>
          <w:trHeight w:val="675"/>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b/>
                <w:bCs/>
                <w:color w:val="FF0000"/>
                <w:kern w:val="0"/>
                <w:sz w:val="18"/>
                <w:szCs w:val="18"/>
              </w:rPr>
              <w:t>2.</w:t>
            </w:r>
            <w:r>
              <w:rPr>
                <w:rStyle w:val="font81"/>
                <w:rFonts w:hint="default"/>
              </w:rPr>
              <w:t>提供MySQL 5.7、8.0版本的自动化安装部署；如单实例、主从复制（异步复制、半同步复制）、MGR（单主模式、全主模式）高可用架构的自动化部署；提供MongoDB 4.2数据库自动安装部署：例如单实例、副本集、分片集群可用架构的自动化部署；提供Redis 5.0数据库自动化安装部署，例如Redis单实例、主从、Cluster三种模式的</w:t>
            </w:r>
            <w:r>
              <w:rPr>
                <w:rStyle w:val="font81"/>
                <w:rFonts w:ascii="Microsoft JhengHei" w:eastAsia="Microsoft JhengHei" w:hAnsi="Microsoft JhengHei" w:cs="Microsoft JhengHei" w:hint="default"/>
              </w:rPr>
              <w:t>⾃</w:t>
            </w:r>
            <w:r>
              <w:rPr>
                <w:rStyle w:val="font81"/>
                <w:rFonts w:hint="default"/>
              </w:rPr>
              <w:t>动安装部署；提供产品功能截图扫描件；</w:t>
            </w:r>
          </w:p>
        </w:tc>
      </w:tr>
      <w:tr>
        <w:tblPrEx>
          <w:tblW w:w="5000" w:type="pct"/>
          <w:tblInd w:w="0" w:type="dxa"/>
          <w:tblCellMar>
            <w:top w:w="0" w:type="dxa"/>
            <w:left w:w="108" w:type="dxa"/>
            <w:bottom w:w="0" w:type="dxa"/>
            <w:right w:w="108" w:type="dxa"/>
          </w:tblCellMar>
        </w:tblPrEx>
        <w:trPr>
          <w:trHeight w:val="270"/>
        </w:trPr>
        <w:tc>
          <w:tcPr>
            <w:tcW w:w="5000"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十三、辅材及其它</w:t>
            </w:r>
          </w:p>
        </w:tc>
      </w:tr>
      <w:tr>
        <w:tblPrEx>
          <w:tblW w:w="5000" w:type="pct"/>
          <w:tblInd w:w="0" w:type="dxa"/>
          <w:tblCellMar>
            <w:top w:w="0" w:type="dxa"/>
            <w:left w:w="108" w:type="dxa"/>
            <w:bottom w:w="0" w:type="dxa"/>
            <w:right w:w="108" w:type="dxa"/>
          </w:tblCellMar>
        </w:tblPrEx>
        <w:trPr>
          <w:trHeight w:val="270"/>
        </w:trPr>
        <w:tc>
          <w:tcPr>
            <w:tcW w:w="455"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72</w:t>
            </w:r>
          </w:p>
        </w:tc>
        <w:tc>
          <w:tcPr>
            <w:tcW w:w="995"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管线</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161"/>
                <w:rFonts w:hint="default"/>
              </w:rPr>
              <w:t>.</w:t>
            </w:r>
            <w:r>
              <w:rPr>
                <w:rStyle w:val="font51"/>
                <w:rFonts w:hint="default"/>
              </w:rPr>
              <w:t>包括管线、管线预埋、信号传输电缆和控制线缆等耗材及辅材。</w:t>
            </w:r>
          </w:p>
        </w:tc>
      </w:tr>
      <w:tr>
        <w:tblPrEx>
          <w:tblW w:w="5000" w:type="pct"/>
          <w:tblInd w:w="0" w:type="dxa"/>
          <w:tblCellMar>
            <w:top w:w="0" w:type="dxa"/>
            <w:left w:w="108" w:type="dxa"/>
            <w:bottom w:w="0" w:type="dxa"/>
            <w:right w:w="108" w:type="dxa"/>
          </w:tblCellMar>
        </w:tblPrEx>
        <w:trPr>
          <w:trHeight w:val="270"/>
        </w:trPr>
        <w:tc>
          <w:tcPr>
            <w:tcW w:w="455"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73</w:t>
            </w:r>
          </w:p>
        </w:tc>
        <w:tc>
          <w:tcPr>
            <w:tcW w:w="995"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系统集成和调试</w:t>
            </w: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1.包含教室、信息发布系统和服务器与存储系统；</w:t>
            </w:r>
          </w:p>
        </w:tc>
      </w:tr>
      <w:tr>
        <w:tblPrEx>
          <w:tblW w:w="5000" w:type="pct"/>
          <w:tblInd w:w="0" w:type="dxa"/>
          <w:tblCellMar>
            <w:top w:w="0" w:type="dxa"/>
            <w:left w:w="108" w:type="dxa"/>
            <w:bottom w:w="0" w:type="dxa"/>
            <w:right w:w="108" w:type="dxa"/>
          </w:tblCellMar>
        </w:tblPrEx>
        <w:trPr>
          <w:trHeight w:val="480"/>
        </w:trPr>
        <w:tc>
          <w:tcPr>
            <w:tcW w:w="455"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995"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3550"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2.应择优配置和选型，满足系统集成设备间短距离连接所需各类线材和辅材。</w:t>
            </w:r>
            <w:r>
              <w:rPr>
                <w:rStyle w:val="font111"/>
                <w:rFonts w:hint="default"/>
              </w:rPr>
              <w:t xml:space="preserve"> </w:t>
            </w:r>
          </w:p>
        </w:tc>
      </w:tr>
    </w:tbl>
    <w:p>
      <w:pPr>
        <w:rPr>
          <w:b/>
          <w:szCs w:val="21"/>
        </w:rPr>
      </w:pPr>
    </w:p>
    <w:p>
      <w:pPr>
        <w:rPr>
          <w:b/>
          <w:szCs w:val="21"/>
        </w:rPr>
      </w:pPr>
    </w:p>
    <w:p>
      <w:pPr>
        <w:pStyle w:val="Heading2"/>
        <w:spacing w:before="120" w:beforeLines="50" w:after="120" w:afterLines="50"/>
        <w:rPr>
          <w:sz w:val="28"/>
          <w:szCs w:val="28"/>
        </w:rPr>
      </w:pPr>
      <w:r>
        <w:rPr>
          <w:rFonts w:hint="eastAsia"/>
          <w:sz w:val="28"/>
          <w:szCs w:val="28"/>
        </w:rPr>
        <w:t>五、商务要求</w:t>
      </w:r>
    </w:p>
    <w:p>
      <w:pPr>
        <w:ind w:firstLine="480"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pPr>
        <w:ind w:firstLine="48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07"/>
        <w:gridCol w:w="1823"/>
        <w:gridCol w:w="5689"/>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591" w:type="pct"/>
            <w:vAlign w:val="center"/>
          </w:tcPr>
          <w:p>
            <w:pPr>
              <w:jc w:val="center"/>
              <w:rPr>
                <w:b/>
              </w:rPr>
            </w:pPr>
            <w:r>
              <w:rPr>
                <w:rFonts w:hint="eastAsia"/>
                <w:b/>
              </w:rPr>
              <w:t>序号</w:t>
            </w:r>
          </w:p>
        </w:tc>
        <w:tc>
          <w:tcPr>
            <w:tcW w:w="1070" w:type="pct"/>
            <w:vAlign w:val="center"/>
          </w:tcPr>
          <w:p>
            <w:pPr>
              <w:jc w:val="center"/>
              <w:rPr>
                <w:b/>
              </w:rPr>
            </w:pPr>
            <w:r>
              <w:rPr>
                <w:rFonts w:hint="eastAsia"/>
                <w:b/>
              </w:rPr>
              <w:t>目录</w:t>
            </w:r>
          </w:p>
        </w:tc>
        <w:tc>
          <w:tcPr>
            <w:tcW w:w="3338" w:type="pct"/>
            <w:vAlign w:val="center"/>
          </w:tcPr>
          <w:p>
            <w:pPr>
              <w:jc w:val="center"/>
              <w:rPr>
                <w:b/>
              </w:rPr>
            </w:pPr>
            <w:r>
              <w:rPr>
                <w:rFonts w:hint="eastAsia"/>
                <w:b/>
              </w:rPr>
              <w:t>招标商务需求</w:t>
            </w:r>
          </w:p>
        </w:tc>
      </w:tr>
      <w:tr>
        <w:tblPrEx>
          <w:tblW w:w="4998" w:type="pct"/>
          <w:tblInd w:w="0" w:type="dxa"/>
          <w:tblCellMar>
            <w:top w:w="0" w:type="dxa"/>
            <w:left w:w="108" w:type="dxa"/>
            <w:bottom w:w="0" w:type="dxa"/>
            <w:right w:w="108" w:type="dxa"/>
          </w:tblCellMar>
        </w:tblPrEx>
        <w:trPr>
          <w:trHeight w:val="280"/>
        </w:trPr>
        <w:tc>
          <w:tcPr>
            <w:tcW w:w="5000" w:type="pct"/>
            <w:gridSpan w:val="3"/>
          </w:tcPr>
          <w:p>
            <w:pPr>
              <w:rPr>
                <w:b/>
              </w:rPr>
            </w:pPr>
            <w:r>
              <w:rPr>
                <w:rFonts w:hint="eastAsia"/>
                <w:b/>
              </w:rPr>
              <w:t>（一）免费保修期内售后服务要求</w:t>
            </w:r>
          </w:p>
        </w:tc>
      </w:tr>
      <w:tr>
        <w:tblPrEx>
          <w:tblW w:w="4998" w:type="pct"/>
          <w:tblInd w:w="0" w:type="dxa"/>
          <w:tblCellMar>
            <w:top w:w="0" w:type="dxa"/>
            <w:left w:w="108" w:type="dxa"/>
            <w:bottom w:w="0" w:type="dxa"/>
            <w:right w:w="108" w:type="dxa"/>
          </w:tblCellMar>
        </w:tblPrEx>
        <w:trPr>
          <w:trHeight w:val="150"/>
        </w:trPr>
        <w:tc>
          <w:tcPr>
            <w:tcW w:w="591" w:type="pct"/>
            <w:vAlign w:val="center"/>
          </w:tcPr>
          <w:p>
            <w:pPr>
              <w:jc w:val="center"/>
              <w:rPr>
                <w:b/>
              </w:rPr>
            </w:pPr>
            <w:r>
              <w:rPr>
                <w:rFonts w:hint="eastAsia"/>
                <w:b/>
              </w:rPr>
              <w:t>1</w:t>
            </w:r>
          </w:p>
        </w:tc>
        <w:tc>
          <w:tcPr>
            <w:tcW w:w="1070" w:type="pct"/>
            <w:vAlign w:val="center"/>
          </w:tcPr>
          <w:p>
            <w:r>
              <w:rPr>
                <w:rFonts w:hint="eastAsia"/>
              </w:rPr>
              <w:t>免费保修期</w:t>
            </w:r>
          </w:p>
        </w:tc>
        <w:tc>
          <w:tcPr>
            <w:tcW w:w="3338" w:type="pct"/>
          </w:tcPr>
          <w:p>
            <w:r>
              <w:rPr>
                <w:rFonts w:ascii="宋体" w:hAnsi="宋体" w:cs="宋体" w:hint="eastAsia"/>
                <w:b/>
                <w:szCs w:val="21"/>
              </w:rPr>
              <w:t>★</w:t>
            </w:r>
            <w:r>
              <w:rPr>
                <w:rFonts w:hint="eastAsia"/>
              </w:rPr>
              <w:t>货物免费保修期</w:t>
            </w:r>
            <w:r>
              <w:rPr>
                <w:rFonts w:hint="eastAsia"/>
                <w:b/>
              </w:rPr>
              <w:t>两</w:t>
            </w:r>
            <w:r>
              <w:rPr>
                <w:rFonts w:hint="eastAsia"/>
              </w:rPr>
              <w:t>年，其中</w:t>
            </w:r>
            <w:r>
              <w:rPr>
                <w:rFonts w:ascii="宋体" w:hAnsi="宋体"/>
                <w:b/>
                <w:sz w:val="18"/>
                <w:szCs w:val="18"/>
              </w:rPr>
              <w:t>激光投影机（一）</w:t>
            </w:r>
            <w:r>
              <w:rPr>
                <w:rFonts w:ascii="宋体" w:hAnsi="宋体"/>
                <w:sz w:val="18"/>
                <w:szCs w:val="18"/>
              </w:rPr>
              <w:t>整机保修期为五年，</w:t>
            </w:r>
            <w:r>
              <w:rPr>
                <w:rFonts w:ascii="宋体" w:hAnsi="宋体"/>
                <w:b/>
                <w:sz w:val="18"/>
                <w:szCs w:val="18"/>
              </w:rPr>
              <w:t>超短焦激光投影机</w:t>
            </w:r>
            <w:r>
              <w:rPr>
                <w:rFonts w:ascii="宋体" w:hAnsi="宋体" w:hint="eastAsia"/>
                <w:b/>
                <w:sz w:val="18"/>
                <w:szCs w:val="18"/>
              </w:rPr>
              <w:t>（二）</w:t>
            </w:r>
            <w:r>
              <w:rPr>
                <w:rFonts w:ascii="宋体" w:hAnsi="宋体"/>
                <w:sz w:val="18"/>
                <w:szCs w:val="18"/>
              </w:rPr>
              <w:t>整机保修期为</w:t>
            </w:r>
            <w:r>
              <w:rPr>
                <w:rFonts w:ascii="宋体" w:hAnsi="宋体" w:hint="eastAsia"/>
                <w:sz w:val="18"/>
                <w:szCs w:val="18"/>
              </w:rPr>
              <w:t>三年，</w:t>
            </w:r>
            <w:r>
              <w:rPr>
                <w:rFonts w:hint="eastAsia"/>
              </w:rPr>
              <w:t>时间自最终验收合格并交付使用之日起计算。免费保修期内所有设备或系统故障的修复全部费用由中标人承担。</w:t>
            </w:r>
          </w:p>
        </w:tc>
      </w:tr>
      <w:tr>
        <w:tblPrEx>
          <w:tblW w:w="4998" w:type="pct"/>
          <w:tblInd w:w="0" w:type="dxa"/>
          <w:tblCellMar>
            <w:top w:w="0" w:type="dxa"/>
            <w:left w:w="108" w:type="dxa"/>
            <w:bottom w:w="0" w:type="dxa"/>
            <w:right w:w="108" w:type="dxa"/>
          </w:tblCellMar>
        </w:tblPrEx>
        <w:trPr>
          <w:trHeight w:val="320"/>
        </w:trPr>
        <w:tc>
          <w:tcPr>
            <w:tcW w:w="591" w:type="pct"/>
            <w:vAlign w:val="center"/>
          </w:tcPr>
          <w:p>
            <w:pPr>
              <w:jc w:val="center"/>
              <w:rPr>
                <w:b/>
              </w:rPr>
            </w:pPr>
            <w:r>
              <w:rPr>
                <w:rFonts w:hint="eastAsia"/>
                <w:b/>
              </w:rPr>
              <w:t>2</w:t>
            </w:r>
          </w:p>
        </w:tc>
        <w:tc>
          <w:tcPr>
            <w:tcW w:w="1070" w:type="pct"/>
          </w:tcPr>
          <w:p>
            <w:r>
              <w:rPr>
                <w:rFonts w:hint="eastAsia"/>
              </w:rPr>
              <w:t>维修响应及故障解决时间</w:t>
            </w:r>
          </w:p>
        </w:tc>
        <w:tc>
          <w:tcPr>
            <w:tcW w:w="3338" w:type="pct"/>
          </w:tcPr>
          <w:p>
            <w:pPr>
              <w:rPr>
                <w:b/>
              </w:rPr>
            </w:pPr>
            <w:r>
              <w:t>保修期间设备或软件系统发生故障，</w:t>
            </w:r>
            <w:r>
              <w:rPr>
                <w:rFonts w:hint="eastAsia"/>
              </w:rPr>
              <w:t>供应方应在不超过</w:t>
            </w:r>
            <w:r>
              <w:t>4</w:t>
            </w:r>
            <w:r>
              <w:rPr>
                <w:rFonts w:hint="eastAsia"/>
              </w:rPr>
              <w:t>小时内对用户的服务要求做出响应，接到用户维修通知后1个工作日内必须到客户现场进行修理或更换。</w:t>
            </w:r>
          </w:p>
        </w:tc>
      </w:tr>
      <w:tr>
        <w:tblPrEx>
          <w:tblW w:w="4998" w:type="pct"/>
          <w:tblInd w:w="0" w:type="dxa"/>
          <w:tblCellMar>
            <w:top w:w="0" w:type="dxa"/>
            <w:left w:w="108" w:type="dxa"/>
            <w:bottom w:w="0" w:type="dxa"/>
            <w:right w:w="108" w:type="dxa"/>
          </w:tblCellMar>
        </w:tblPrEx>
        <w:trPr>
          <w:trHeight w:val="320"/>
        </w:trPr>
        <w:tc>
          <w:tcPr>
            <w:tcW w:w="591" w:type="pct"/>
            <w:vAlign w:val="center"/>
          </w:tcPr>
          <w:p>
            <w:pPr>
              <w:jc w:val="center"/>
              <w:rPr>
                <w:b/>
              </w:rPr>
            </w:pPr>
            <w:r>
              <w:rPr>
                <w:rFonts w:hint="eastAsia"/>
                <w:b/>
              </w:rPr>
              <w:t>3</w:t>
            </w:r>
          </w:p>
        </w:tc>
        <w:tc>
          <w:tcPr>
            <w:tcW w:w="1070" w:type="pct"/>
          </w:tcPr>
          <w:p>
            <w:r>
              <w:rPr>
                <w:rFonts w:hint="eastAsia"/>
              </w:rPr>
              <w:t>培训</w:t>
            </w:r>
          </w:p>
        </w:tc>
        <w:tc>
          <w:tcPr>
            <w:tcW w:w="3338" w:type="pct"/>
          </w:tcPr>
          <w:p>
            <w:r>
              <w:rPr>
                <w:rFonts w:hint="eastAsia"/>
              </w:rPr>
              <w:t>技术培训工作应与系统安装、实施工作同步进行，供货方需针对不同应用系统的特点，有计划、有针对性地开展培训。免费提供全套完整的使用文档（含软硬件应用人员操作手册、软件系统管理手册等）。对使用者进行科学的、有组织、分步骤的培训，确保建设单位的运行管理人员熟练使用各个系统。</w:t>
            </w:r>
          </w:p>
        </w:tc>
      </w:tr>
      <w:tr>
        <w:tblPrEx>
          <w:tblW w:w="4998" w:type="pct"/>
          <w:tblInd w:w="0" w:type="dxa"/>
          <w:tblCellMar>
            <w:top w:w="0" w:type="dxa"/>
            <w:left w:w="108" w:type="dxa"/>
            <w:bottom w:w="0" w:type="dxa"/>
            <w:right w:w="108" w:type="dxa"/>
          </w:tblCellMar>
        </w:tblPrEx>
        <w:trPr>
          <w:trHeight w:val="280"/>
        </w:trPr>
        <w:tc>
          <w:tcPr>
            <w:tcW w:w="5000" w:type="pct"/>
            <w:gridSpan w:val="3"/>
          </w:tcPr>
          <w:p>
            <w:pPr>
              <w:rPr>
                <w:b/>
              </w:rPr>
            </w:pPr>
            <w:r>
              <w:rPr>
                <w:rFonts w:hint="eastAsia"/>
                <w:b/>
              </w:rPr>
              <w:t>（二）免费保修期外售后服务要求</w:t>
            </w:r>
          </w:p>
        </w:tc>
      </w:tr>
      <w:tr>
        <w:tblPrEx>
          <w:tblW w:w="4998" w:type="pct"/>
          <w:tblInd w:w="0" w:type="dxa"/>
          <w:tblCellMar>
            <w:top w:w="0" w:type="dxa"/>
            <w:left w:w="108" w:type="dxa"/>
            <w:bottom w:w="0" w:type="dxa"/>
            <w:right w:w="108" w:type="dxa"/>
          </w:tblCellMar>
        </w:tblPrEx>
        <w:trPr>
          <w:trHeight w:val="350"/>
        </w:trPr>
        <w:tc>
          <w:tcPr>
            <w:tcW w:w="591" w:type="pct"/>
            <w:vAlign w:val="center"/>
          </w:tcPr>
          <w:p>
            <w:pPr>
              <w:jc w:val="center"/>
              <w:rPr>
                <w:b/>
              </w:rPr>
            </w:pPr>
            <w:r>
              <w:rPr>
                <w:rFonts w:hint="eastAsia"/>
                <w:b/>
              </w:rPr>
              <w:t>1</w:t>
            </w:r>
          </w:p>
        </w:tc>
        <w:tc>
          <w:tcPr>
            <w:tcW w:w="1070" w:type="pct"/>
          </w:tcPr>
          <w:p>
            <w:pPr>
              <w:widowControl/>
              <w:spacing w:before="100" w:beforeAutospacing="1" w:after="100" w:afterAutospacing="1"/>
              <w:jc w:val="left"/>
              <w:rPr>
                <w:bCs/>
                <w:szCs w:val="21"/>
              </w:rPr>
            </w:pPr>
            <w:r>
              <w:rPr>
                <w:rFonts w:hint="eastAsia"/>
                <w:bCs/>
                <w:szCs w:val="21"/>
              </w:rPr>
              <w:t>维修响应及故障解决时间</w:t>
            </w:r>
          </w:p>
        </w:tc>
        <w:tc>
          <w:tcPr>
            <w:tcW w:w="3338" w:type="pct"/>
          </w:tcPr>
          <w:p>
            <w:pPr>
              <w:widowControl/>
              <w:spacing w:before="100" w:beforeAutospacing="1" w:after="100" w:afterAutospacing="1"/>
              <w:jc w:val="left"/>
              <w:rPr>
                <w:bCs/>
                <w:szCs w:val="21"/>
              </w:rPr>
            </w:pPr>
            <w:r>
              <w:rPr>
                <w:bCs/>
                <w:szCs w:val="21"/>
              </w:rPr>
              <w:t>设备或软件系统发生故障，</w:t>
            </w:r>
            <w:r>
              <w:rPr>
                <w:rFonts w:hint="eastAsia"/>
                <w:bCs/>
                <w:szCs w:val="21"/>
              </w:rPr>
              <w:t>供应方应在不超过</w:t>
            </w:r>
            <w:r>
              <w:rPr>
                <w:bCs/>
                <w:szCs w:val="21"/>
              </w:rPr>
              <w:t>4</w:t>
            </w:r>
            <w:r>
              <w:rPr>
                <w:rFonts w:hint="eastAsia"/>
                <w:bCs/>
                <w:szCs w:val="21"/>
              </w:rPr>
              <w:t>小时内对用户的服务要求做出响应，接到用户维修通知后1个工作日内必须到客户现场进行修理或更换。</w:t>
            </w:r>
          </w:p>
        </w:tc>
      </w:tr>
      <w:tr>
        <w:tblPrEx>
          <w:tblW w:w="4998" w:type="pct"/>
          <w:tblInd w:w="0" w:type="dxa"/>
          <w:tblCellMar>
            <w:top w:w="0" w:type="dxa"/>
            <w:left w:w="108" w:type="dxa"/>
            <w:bottom w:w="0" w:type="dxa"/>
            <w:right w:w="108" w:type="dxa"/>
          </w:tblCellMar>
        </w:tblPrEx>
        <w:trPr>
          <w:trHeight w:val="350"/>
        </w:trPr>
        <w:tc>
          <w:tcPr>
            <w:tcW w:w="591" w:type="pct"/>
            <w:vAlign w:val="center"/>
          </w:tcPr>
          <w:p>
            <w:pPr>
              <w:jc w:val="center"/>
              <w:rPr>
                <w:b/>
              </w:rPr>
            </w:pPr>
            <w:r>
              <w:rPr>
                <w:rFonts w:hint="eastAsia"/>
                <w:b/>
              </w:rPr>
              <w:t>2</w:t>
            </w:r>
          </w:p>
        </w:tc>
        <w:tc>
          <w:tcPr>
            <w:tcW w:w="1070" w:type="pct"/>
          </w:tcPr>
          <w:p>
            <w:pPr>
              <w:widowControl/>
              <w:spacing w:before="100" w:beforeAutospacing="1" w:after="100" w:afterAutospacing="1"/>
              <w:jc w:val="left"/>
              <w:rPr>
                <w:bCs/>
                <w:szCs w:val="21"/>
              </w:rPr>
            </w:pPr>
            <w:r>
              <w:rPr>
                <w:bCs/>
                <w:szCs w:val="21"/>
              </w:rPr>
              <w:t>零配件</w:t>
            </w:r>
          </w:p>
        </w:tc>
        <w:tc>
          <w:tcPr>
            <w:tcW w:w="3338" w:type="pct"/>
          </w:tcPr>
          <w:p>
            <w:pPr>
              <w:adjustRightInd w:val="0"/>
              <w:snapToGrid w:val="0"/>
              <w:spacing w:line="360" w:lineRule="auto"/>
              <w:rPr>
                <w:bCs/>
                <w:szCs w:val="21"/>
              </w:rPr>
            </w:pPr>
            <w:r>
              <w:rPr>
                <w:rFonts w:hint="eastAsia"/>
              </w:rPr>
              <w:t>若甲方有扩容需求或更换零配件，乙方需按照本次合同的单价执行，或低于本次合同的单价执行。</w:t>
            </w:r>
          </w:p>
        </w:tc>
      </w:tr>
      <w:tr>
        <w:tblPrEx>
          <w:tblW w:w="4998" w:type="pct"/>
          <w:tblInd w:w="0" w:type="dxa"/>
          <w:tblCellMar>
            <w:top w:w="0" w:type="dxa"/>
            <w:left w:w="108" w:type="dxa"/>
            <w:bottom w:w="0" w:type="dxa"/>
            <w:right w:w="108" w:type="dxa"/>
          </w:tblCellMar>
        </w:tblPrEx>
        <w:trPr>
          <w:trHeight w:val="350"/>
        </w:trPr>
        <w:tc>
          <w:tcPr>
            <w:tcW w:w="5000" w:type="pct"/>
            <w:gridSpan w:val="3"/>
          </w:tcPr>
          <w:p>
            <w:pPr>
              <w:rPr>
                <w:b/>
              </w:rPr>
            </w:pPr>
            <w:r>
              <w:rPr>
                <w:rFonts w:hint="eastAsia"/>
                <w:b/>
              </w:rPr>
              <w:t>（三）其他商务要求</w:t>
            </w:r>
          </w:p>
        </w:tc>
      </w:tr>
      <w:tr>
        <w:tblPrEx>
          <w:tblW w:w="4998" w:type="pct"/>
          <w:tblInd w:w="0" w:type="dxa"/>
          <w:tblCellMar>
            <w:top w:w="0" w:type="dxa"/>
            <w:left w:w="108" w:type="dxa"/>
            <w:bottom w:w="0" w:type="dxa"/>
            <w:right w:w="108" w:type="dxa"/>
          </w:tblCellMar>
        </w:tblPrEx>
        <w:trPr>
          <w:trHeight w:val="350"/>
        </w:trPr>
        <w:tc>
          <w:tcPr>
            <w:tcW w:w="591" w:type="pct"/>
            <w:vMerge w:val="restart"/>
            <w:vAlign w:val="center"/>
          </w:tcPr>
          <w:p>
            <w:pPr>
              <w:jc w:val="center"/>
              <w:rPr>
                <w:b/>
              </w:rPr>
            </w:pPr>
            <w:r>
              <w:rPr>
                <w:rFonts w:hint="eastAsia"/>
                <w:b/>
              </w:rPr>
              <w:t>1</w:t>
            </w:r>
          </w:p>
        </w:tc>
        <w:tc>
          <w:tcPr>
            <w:tcW w:w="1070" w:type="pct"/>
            <w:vMerge w:val="restart"/>
            <w:vAlign w:val="center"/>
          </w:tcPr>
          <w:p>
            <w:pPr>
              <w:jc w:val="center"/>
            </w:pPr>
            <w:r>
              <w:rPr>
                <w:rFonts w:hint="eastAsia"/>
              </w:rPr>
              <w:t>关于交货</w:t>
            </w:r>
          </w:p>
        </w:tc>
        <w:tc>
          <w:tcPr>
            <w:tcW w:w="3338" w:type="pct"/>
          </w:tcPr>
          <w:p>
            <w:pPr>
              <w:rPr>
                <w:b/>
              </w:rPr>
            </w:pPr>
            <w:r>
              <w:rPr>
                <w:rFonts w:ascii="宋体" w:hAnsi="宋体" w:cs="宋体" w:hint="eastAsia"/>
                <w:b/>
                <w:szCs w:val="21"/>
              </w:rPr>
              <w:t>★</w:t>
            </w:r>
            <w:r>
              <w:rPr>
                <w:rFonts w:hint="eastAsia"/>
                <w:bCs/>
                <w:szCs w:val="21"/>
              </w:rPr>
              <w:t>1.1签订合同后</w:t>
            </w:r>
            <w:r>
              <w:rPr>
                <w:rFonts w:hint="eastAsia"/>
                <w:bCs/>
                <w:szCs w:val="21"/>
                <w:u w:val="single"/>
              </w:rPr>
              <w:t xml:space="preserve"> 60  </w:t>
            </w:r>
            <w:r>
              <w:rPr>
                <w:rFonts w:hint="eastAsia"/>
                <w:bCs/>
                <w:szCs w:val="21"/>
              </w:rPr>
              <w:t>天（日历日）内。</w:t>
            </w:r>
          </w:p>
        </w:tc>
      </w:tr>
      <w:tr>
        <w:tblPrEx>
          <w:tblW w:w="4998" w:type="pct"/>
          <w:tblInd w:w="0" w:type="dxa"/>
          <w:tblCellMar>
            <w:top w:w="0" w:type="dxa"/>
            <w:left w:w="108" w:type="dxa"/>
            <w:bottom w:w="0" w:type="dxa"/>
            <w:right w:w="108" w:type="dxa"/>
          </w:tblCellMar>
        </w:tblPrEx>
        <w:trPr>
          <w:trHeight w:val="451"/>
        </w:trPr>
        <w:tc>
          <w:tcPr>
            <w:tcW w:w="591" w:type="pct"/>
            <w:vMerge/>
            <w:vAlign w:val="center"/>
          </w:tcPr>
          <w:p>
            <w:pPr>
              <w:jc w:val="center"/>
              <w:rPr>
                <w:b/>
              </w:rPr>
            </w:pPr>
          </w:p>
        </w:tc>
        <w:tc>
          <w:tcPr>
            <w:tcW w:w="1070" w:type="pct"/>
            <w:vMerge/>
            <w:vAlign w:val="center"/>
          </w:tcPr>
          <w:p>
            <w:pPr>
              <w:jc w:val="center"/>
            </w:pPr>
          </w:p>
        </w:tc>
        <w:tc>
          <w:tcPr>
            <w:tcW w:w="3338" w:type="pct"/>
          </w:tcPr>
          <w:p>
            <w:pPr>
              <w:rPr>
                <w:bCs/>
                <w:szCs w:val="21"/>
              </w:rPr>
            </w:pPr>
            <w:r>
              <w:rPr>
                <w:rFonts w:hint="eastAsia"/>
                <w:bCs/>
                <w:szCs w:val="21"/>
              </w:rPr>
              <w:t>1.2投标人必须承担的设备运输、安装调试、验收检测和提供设备操作说明书、图纸等其他类似的义务。</w:t>
            </w:r>
          </w:p>
        </w:tc>
      </w:tr>
      <w:tr>
        <w:tblPrEx>
          <w:tblW w:w="4998" w:type="pct"/>
          <w:tblInd w:w="0" w:type="dxa"/>
          <w:tblCellMar>
            <w:top w:w="0" w:type="dxa"/>
            <w:left w:w="108" w:type="dxa"/>
            <w:bottom w:w="0" w:type="dxa"/>
            <w:right w:w="108" w:type="dxa"/>
          </w:tblCellMar>
        </w:tblPrEx>
        <w:trPr>
          <w:trHeight w:val="451"/>
        </w:trPr>
        <w:tc>
          <w:tcPr>
            <w:tcW w:w="591" w:type="pct"/>
            <w:vMerge/>
            <w:vAlign w:val="center"/>
          </w:tcPr>
          <w:p>
            <w:pPr>
              <w:jc w:val="center"/>
              <w:rPr>
                <w:b/>
              </w:rPr>
            </w:pPr>
          </w:p>
        </w:tc>
        <w:tc>
          <w:tcPr>
            <w:tcW w:w="1070" w:type="pct"/>
            <w:vMerge/>
            <w:vAlign w:val="center"/>
          </w:tcPr>
          <w:p>
            <w:pPr>
              <w:jc w:val="center"/>
            </w:pPr>
          </w:p>
        </w:tc>
        <w:tc>
          <w:tcPr>
            <w:tcW w:w="3338" w:type="pct"/>
          </w:tcPr>
          <w:p>
            <w:pPr>
              <w:rPr>
                <w:bCs/>
                <w:szCs w:val="21"/>
              </w:rPr>
            </w:pPr>
            <w:r>
              <w:rPr>
                <w:rFonts w:hint="eastAsia"/>
                <w:bCs/>
                <w:szCs w:val="21"/>
              </w:rPr>
              <w:t>1</w:t>
            </w:r>
            <w:r>
              <w:rPr>
                <w:bCs/>
                <w:szCs w:val="21"/>
              </w:rPr>
              <w:t>.3 交货地点</w:t>
            </w:r>
            <w:r>
              <w:rPr>
                <w:rFonts w:hint="eastAsia"/>
                <w:bCs/>
                <w:szCs w:val="21"/>
              </w:rPr>
              <w:t>：</w:t>
            </w:r>
            <w:r>
              <w:rPr>
                <w:bCs/>
                <w:szCs w:val="21"/>
              </w:rPr>
              <w:t>清华大学深圳国际研究生院</w:t>
            </w:r>
            <w:r>
              <w:rPr>
                <w:rFonts w:hint="eastAsia"/>
                <w:bCs/>
                <w:szCs w:val="21"/>
              </w:rPr>
              <w:t>“国际一期”大楼</w:t>
            </w:r>
          </w:p>
        </w:tc>
      </w:tr>
      <w:tr>
        <w:tblPrEx>
          <w:tblW w:w="4998" w:type="pct"/>
          <w:tblInd w:w="0" w:type="dxa"/>
          <w:tblCellMar>
            <w:top w:w="0" w:type="dxa"/>
            <w:left w:w="108" w:type="dxa"/>
            <w:bottom w:w="0" w:type="dxa"/>
            <w:right w:w="108" w:type="dxa"/>
          </w:tblCellMar>
        </w:tblPrEx>
        <w:trPr>
          <w:trHeight w:val="451"/>
        </w:trPr>
        <w:tc>
          <w:tcPr>
            <w:tcW w:w="591" w:type="pct"/>
            <w:vAlign w:val="center"/>
          </w:tcPr>
          <w:p>
            <w:pPr>
              <w:jc w:val="center"/>
              <w:rPr>
                <w:b/>
              </w:rPr>
            </w:pPr>
            <w:r>
              <w:rPr>
                <w:rFonts w:hint="eastAsia"/>
                <w:b/>
              </w:rPr>
              <w:t>2</w:t>
            </w:r>
          </w:p>
        </w:tc>
        <w:tc>
          <w:tcPr>
            <w:tcW w:w="1070" w:type="pct"/>
            <w:vAlign w:val="center"/>
          </w:tcPr>
          <w:p>
            <w:pPr>
              <w:widowControl/>
              <w:spacing w:before="100" w:beforeAutospacing="1" w:after="100" w:afterAutospacing="1"/>
              <w:jc w:val="center"/>
              <w:rPr>
                <w:bCs/>
                <w:szCs w:val="21"/>
              </w:rPr>
            </w:pPr>
            <w:r>
              <w:rPr>
                <w:rFonts w:hint="eastAsia"/>
                <w:bCs/>
                <w:szCs w:val="21"/>
              </w:rPr>
              <w:t>付款方式</w:t>
            </w:r>
          </w:p>
        </w:tc>
        <w:tc>
          <w:tcPr>
            <w:tcW w:w="3338" w:type="pct"/>
          </w:tcPr>
          <w:p>
            <w:pPr>
              <w:widowControl/>
              <w:jc w:val="left"/>
              <w:rPr>
                <w:rFonts w:hint="eastAsia"/>
              </w:rPr>
            </w:pPr>
            <w:r>
              <w:rPr>
                <w:rFonts w:hint="eastAsia"/>
              </w:rPr>
              <w:t xml:space="preserve">（1）合同签订后，7个工作日内中标人向采购人提供符合国家规定的相应发票和采购支付规定的相关材料，采购人收到中标人履约保证金后，经采购人审批后交由市财政局统一支付合同总价的30%预付款； </w:t>
            </w:r>
          </w:p>
          <w:p>
            <w:pPr>
              <w:widowControl/>
              <w:jc w:val="left"/>
              <w:rPr>
                <w:rFonts w:hint="eastAsia"/>
              </w:rPr>
            </w:pPr>
            <w:r>
              <w:rPr>
                <w:rFonts w:hint="eastAsia"/>
              </w:rPr>
              <w:t>（2）货到安装调试完成、验收合格后，同时中标人提供70%的发票，采购人向财政申请合同总价的70%给中标人；</w:t>
            </w:r>
          </w:p>
          <w:p>
            <w:pPr>
              <w:widowControl/>
              <w:jc w:val="left"/>
              <w:rPr>
                <w:bCs/>
                <w:szCs w:val="21"/>
              </w:rPr>
            </w:pPr>
            <w:r>
              <w:rPr>
                <w:rFonts w:hint="eastAsia"/>
              </w:rPr>
              <w:t>（3）验收完成一年后，采购人无息退还中标人的履约保证金。</w:t>
            </w:r>
          </w:p>
        </w:tc>
      </w:tr>
      <w:tr>
        <w:tblPrEx>
          <w:tblW w:w="4998" w:type="pct"/>
          <w:tblInd w:w="0" w:type="dxa"/>
          <w:tblCellMar>
            <w:top w:w="0" w:type="dxa"/>
            <w:left w:w="108" w:type="dxa"/>
            <w:bottom w:w="0" w:type="dxa"/>
            <w:right w:w="108" w:type="dxa"/>
          </w:tblCellMar>
        </w:tblPrEx>
        <w:trPr>
          <w:trHeight w:val="350"/>
        </w:trPr>
        <w:tc>
          <w:tcPr>
            <w:tcW w:w="591" w:type="pct"/>
            <w:vMerge w:val="restart"/>
            <w:vAlign w:val="center"/>
          </w:tcPr>
          <w:p>
            <w:pPr>
              <w:jc w:val="center"/>
              <w:rPr>
                <w:b/>
              </w:rPr>
            </w:pPr>
            <w:r>
              <w:rPr>
                <w:rFonts w:hint="eastAsia"/>
                <w:b/>
              </w:rPr>
              <w:t>3</w:t>
            </w:r>
          </w:p>
        </w:tc>
        <w:tc>
          <w:tcPr>
            <w:tcW w:w="1070" w:type="pct"/>
            <w:vMerge w:val="restart"/>
            <w:vAlign w:val="center"/>
          </w:tcPr>
          <w:p>
            <w:pPr>
              <w:jc w:val="center"/>
            </w:pPr>
            <w:r>
              <w:rPr>
                <w:rFonts w:hint="eastAsia"/>
              </w:rPr>
              <w:t>关于验收</w:t>
            </w:r>
          </w:p>
        </w:tc>
        <w:tc>
          <w:tcPr>
            <w:tcW w:w="3338" w:type="pct"/>
          </w:tcPr>
          <w:p>
            <w:pPr>
              <w:spacing w:line="340" w:lineRule="exact"/>
              <w:rPr>
                <w:bCs/>
                <w:szCs w:val="21"/>
              </w:rPr>
            </w:pPr>
            <w:r>
              <w:rPr>
                <w:rFonts w:hint="eastAsia"/>
                <w:bCs/>
                <w:szCs w:val="21"/>
              </w:rPr>
              <w:t>1.1投标人货物经过双方检验认可后，签署验收报告，产品保修期自验收合格之日起算，由投标人提供产品保修文件。</w:t>
            </w:r>
          </w:p>
        </w:tc>
      </w:tr>
      <w:tr>
        <w:tblPrEx>
          <w:tblW w:w="4998" w:type="pct"/>
          <w:tblInd w:w="0" w:type="dxa"/>
          <w:tblCellMar>
            <w:top w:w="0" w:type="dxa"/>
            <w:left w:w="108" w:type="dxa"/>
            <w:bottom w:w="0" w:type="dxa"/>
            <w:right w:w="108" w:type="dxa"/>
          </w:tblCellMar>
        </w:tblPrEx>
        <w:trPr>
          <w:trHeight w:val="350"/>
        </w:trPr>
        <w:tc>
          <w:tcPr>
            <w:tcW w:w="591" w:type="pct"/>
            <w:vMerge/>
            <w:vAlign w:val="center"/>
          </w:tcPr>
          <w:p>
            <w:pPr>
              <w:jc w:val="center"/>
              <w:rPr>
                <w:b/>
              </w:rPr>
            </w:pPr>
          </w:p>
        </w:tc>
        <w:tc>
          <w:tcPr>
            <w:tcW w:w="1070" w:type="pct"/>
            <w:vMerge/>
          </w:tcPr>
          <w:p>
            <w:pPr>
              <w:rPr>
                <w:b/>
              </w:rPr>
            </w:pPr>
          </w:p>
        </w:tc>
        <w:tc>
          <w:tcPr>
            <w:tcW w:w="3338" w:type="pct"/>
          </w:tcPr>
          <w:p>
            <w:pPr>
              <w:widowControl/>
              <w:jc w:val="left"/>
              <w:rPr>
                <w:rFonts w:hint="eastAsia"/>
              </w:rPr>
            </w:pPr>
            <w:r>
              <w:rPr>
                <w:rFonts w:hint="eastAsia"/>
              </w:rPr>
              <w:t>1.2当满足以下条件时，采购人才向中标人签发货物验收报告：</w:t>
            </w:r>
          </w:p>
          <w:p>
            <w:pPr>
              <w:widowControl/>
              <w:jc w:val="left"/>
              <w:rPr>
                <w:rFonts w:hint="eastAsia"/>
              </w:rPr>
            </w:pPr>
            <w:r>
              <w:rPr>
                <w:rFonts w:hint="eastAsia"/>
              </w:rPr>
              <w:t>a、中标人已按照合同规定提供了全部产品及完整的技术资料。</w:t>
            </w:r>
          </w:p>
          <w:p>
            <w:pPr>
              <w:widowControl/>
              <w:jc w:val="left"/>
              <w:rPr>
                <w:rFonts w:hint="eastAsia"/>
              </w:rPr>
            </w:pPr>
            <w:r>
              <w:rPr>
                <w:rFonts w:hint="eastAsia"/>
              </w:rPr>
              <w:t>b、货物符合招标文件技术规格书的要求，性能满足要求。</w:t>
            </w:r>
          </w:p>
          <w:p>
            <w:pPr>
              <w:widowControl/>
              <w:jc w:val="left"/>
              <w:rPr>
                <w:bCs/>
                <w:szCs w:val="21"/>
              </w:rPr>
            </w:pPr>
            <w:r>
              <w:rPr>
                <w:rFonts w:hint="eastAsia"/>
              </w:rPr>
              <w:t>c、货物具备产品合格证。</w:t>
            </w:r>
          </w:p>
        </w:tc>
      </w:tr>
      <w:tr>
        <w:tblPrEx>
          <w:tblW w:w="4998" w:type="pct"/>
          <w:tblInd w:w="0" w:type="dxa"/>
          <w:tblCellMar>
            <w:top w:w="0" w:type="dxa"/>
            <w:left w:w="108" w:type="dxa"/>
            <w:bottom w:w="0" w:type="dxa"/>
            <w:right w:w="108" w:type="dxa"/>
          </w:tblCellMar>
        </w:tblPrEx>
        <w:trPr>
          <w:trHeight w:val="807"/>
        </w:trPr>
        <w:tc>
          <w:tcPr>
            <w:tcW w:w="591" w:type="pct"/>
            <w:vAlign w:val="center"/>
          </w:tcPr>
          <w:p>
            <w:pPr>
              <w:jc w:val="center"/>
              <w:rPr>
                <w:b/>
              </w:rPr>
            </w:pPr>
            <w:r>
              <w:rPr>
                <w:rFonts w:hint="eastAsia"/>
                <w:b/>
              </w:rPr>
              <w:t>4</w:t>
            </w:r>
          </w:p>
        </w:tc>
        <w:tc>
          <w:tcPr>
            <w:tcW w:w="1070" w:type="pct"/>
            <w:vAlign w:val="center"/>
          </w:tcPr>
          <w:p>
            <w:pPr>
              <w:jc w:val="center"/>
            </w:pPr>
            <w:r>
              <w:rPr>
                <w:rFonts w:hint="eastAsia"/>
              </w:rPr>
              <w:t>关于报价</w:t>
            </w:r>
          </w:p>
        </w:tc>
        <w:tc>
          <w:tcPr>
            <w:tcW w:w="3338" w:type="pct"/>
          </w:tcPr>
          <w:p>
            <w:r>
              <w:rPr>
                <w:rFonts w:hint="eastAsia"/>
                <w:bCs/>
                <w:szCs w:val="21"/>
              </w:rPr>
              <w:t>（1）</w:t>
            </w:r>
            <w:r>
              <w:rPr>
                <w:rFonts w:hint="eastAsia"/>
              </w:rPr>
              <w:t>报价中应包含各个单项报价和总价（含</w:t>
            </w:r>
            <w:r>
              <w:rPr>
                <w:rFonts w:ascii="宋体" w:hAnsi="宋体" w:hint="eastAsia"/>
                <w:bCs/>
                <w:szCs w:val="21"/>
              </w:rPr>
              <w:t>本项目开工前期所需的预埋、预设的各类管线、信号传输电缆和控制线缆等耗材费用</w:t>
            </w:r>
            <w:r>
              <w:rPr>
                <w:rFonts w:hint="eastAsia"/>
              </w:rPr>
              <w:t>）。</w:t>
            </w:r>
          </w:p>
        </w:tc>
      </w:tr>
      <w:tr>
        <w:tblPrEx>
          <w:tblW w:w="4998" w:type="pct"/>
          <w:tblInd w:w="0" w:type="dxa"/>
          <w:tblCellMar>
            <w:top w:w="0" w:type="dxa"/>
            <w:left w:w="108" w:type="dxa"/>
            <w:bottom w:w="0" w:type="dxa"/>
            <w:right w:w="108" w:type="dxa"/>
          </w:tblCellMar>
        </w:tblPrEx>
        <w:trPr>
          <w:trHeight w:val="1001"/>
        </w:trPr>
        <w:tc>
          <w:tcPr>
            <w:tcW w:w="591" w:type="pct"/>
            <w:vAlign w:val="center"/>
          </w:tcPr>
          <w:p>
            <w:pPr>
              <w:jc w:val="center"/>
              <w:rPr>
                <w:b/>
              </w:rPr>
            </w:pPr>
            <w:r>
              <w:rPr>
                <w:rFonts w:hint="eastAsia"/>
                <w:b/>
              </w:rPr>
              <w:t>5</w:t>
            </w:r>
          </w:p>
        </w:tc>
        <w:tc>
          <w:tcPr>
            <w:tcW w:w="1070" w:type="pct"/>
            <w:vAlign w:val="center"/>
          </w:tcPr>
          <w:p>
            <w:pPr>
              <w:jc w:val="center"/>
            </w:pPr>
            <w:r>
              <w:t>违约责任</w:t>
            </w:r>
          </w:p>
        </w:tc>
        <w:tc>
          <w:tcPr>
            <w:tcW w:w="3338" w:type="pct"/>
          </w:tcPr>
          <w:p>
            <w:r>
              <w:t>中标人逾期交付货物的，每逾期</w:t>
            </w:r>
            <w:r>
              <w:rPr>
                <w:rFonts w:hint="eastAsia"/>
              </w:rPr>
              <w:t>1天，中标人向采购人偿付逾期交货部分货款总额的千分之一的滞纳金。如中标人逾期交货达10天，采购人有权解除合同。中标人不能交货的，需偿付不能交货部分货款的50%的违约金并按主管部门相关规定处理。</w:t>
            </w:r>
          </w:p>
        </w:tc>
      </w:tr>
    </w:tbl>
    <w:p>
      <w:pPr>
        <w:pStyle w:val="NormalIndent"/>
        <w:spacing w:before="60" w:beforeLines="25" w:after="60" w:afterLines="25"/>
        <w:ind w:firstLine="449" w:firstLineChars="187"/>
        <w:rPr>
          <w:rFonts w:ascii="宋体" w:hAnsi="宋体"/>
          <w:szCs w:val="21"/>
        </w:rPr>
      </w:pPr>
    </w:p>
    <w:p>
      <w:pPr>
        <w:pStyle w:val="Heading2"/>
        <w:spacing w:before="120" w:beforeLines="50" w:after="120" w:afterLines="50"/>
        <w:rPr>
          <w:sz w:val="28"/>
          <w:szCs w:val="28"/>
        </w:rPr>
      </w:pPr>
      <w:r>
        <w:rPr>
          <w:rFonts w:hint="eastAsia"/>
          <w:sz w:val="28"/>
          <w:szCs w:val="28"/>
        </w:rPr>
        <w:t>六、其他重要条款</w:t>
      </w:r>
    </w:p>
    <w:p>
      <w:pPr>
        <w:ind w:firstLine="48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NormalIndent"/>
        <w:spacing w:before="60" w:beforeLines="25" w:after="60" w:afterLines="25"/>
        <w:ind w:firstLine="449"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8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8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ind w:firstLine="48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pPr>
        <w:ind w:firstLine="480" w:firstLineChars="200"/>
        <w:rPr>
          <w:bCs/>
          <w:szCs w:val="21"/>
        </w:rPr>
      </w:pPr>
      <w:r>
        <w:rPr>
          <w:bCs/>
          <w:szCs w:val="21"/>
        </w:rPr>
        <w:t>6</w:t>
      </w:r>
      <w:r>
        <w:rPr>
          <w:rFonts w:hint="eastAsia"/>
          <w:bCs/>
          <w:szCs w:val="21"/>
        </w:rPr>
        <w:t>、“信用中国”、“中国政府采购网”、“深圳信用网”以及“深圳市政府采购监管网”为供应商信用信息的查询渠道，相关信息以开标当日的查询结果为准。</w:t>
      </w:r>
    </w:p>
    <w:p>
      <w:pPr>
        <w:ind w:firstLine="480" w:firstLineChars="200"/>
        <w:rPr>
          <w:bCs/>
          <w:szCs w:val="21"/>
        </w:rPr>
      </w:pPr>
    </w:p>
    <w:p>
      <w:pPr>
        <w:widowControl/>
        <w:jc w:val="left"/>
        <w:rPr>
          <w:szCs w:val="20"/>
        </w:rPr>
      </w:pPr>
      <w:r>
        <w:br w:type="page"/>
      </w:r>
    </w:p>
    <w:p>
      <w:pPr>
        <w:pStyle w:val="Heading2"/>
        <w:rPr>
          <w:kern w:val="2"/>
        </w:rPr>
      </w:pPr>
      <w:bookmarkStart w:id="46" w:name="_Hlk86246764"/>
      <w:r>
        <w:rPr>
          <w:rFonts w:hint="eastAsia"/>
          <w:kern w:val="2"/>
        </w:rPr>
        <w:t>第四章 投标文件组成要求及格式</w:t>
      </w:r>
    </w:p>
    <w:p>
      <w:pPr>
        <w:rPr>
          <w:rStyle w:val="3Char"/>
          <w:sz w:val="24"/>
        </w:rPr>
      </w:pPr>
      <w:r>
        <w:rPr>
          <w:rStyle w:val="3Char"/>
          <w:rFonts w:hint="eastAsia"/>
          <w:sz w:val="24"/>
        </w:rPr>
        <w:t>特别提醒：</w:t>
      </w:r>
    </w:p>
    <w:p>
      <w:pPr>
        <w:ind w:firstLine="48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仿宋_GB2312" w:eastAsia="仿宋_GB2312"/>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形用户界面, 应用程序&#10;&#10;描述已自动生成" style="height:324.9pt;width:415.65pt" coordsize="21600,21600" o:preferrelative="t" filled="f" stroked="f">
            <v:imagedata r:id="rId4" o:title="图形用户界面, 应用程序&#10;&#10;描述已自动生成"/>
            <o:lock v:ext="edit" aspectratio="t"/>
            <w10:anchorlock/>
          </v:shape>
        </w:pict>
      </w:r>
    </w:p>
    <w:p>
      <w:pPr>
        <w:rPr>
          <w:rFonts w:ascii="仿宋_GB2312" w:eastAsia="仿宋_GB2312"/>
          <w:sz w:val="24"/>
        </w:rPr>
      </w:pPr>
    </w:p>
    <w:p>
      <w:pPr>
        <w:jc w:val="center"/>
        <w:rPr>
          <w:rFonts w:ascii="仿宋_GB2312" w:eastAsia="仿宋_GB2312"/>
          <w:sz w:val="24"/>
        </w:rPr>
      </w:pPr>
    </w:p>
    <w:p>
      <w:pPr>
        <w:ind w:firstLine="480" w:firstLineChars="200"/>
        <w:rPr>
          <w:rFonts w:ascii="仿宋_GB2312" w:eastAsia="仿宋_GB2312"/>
          <w:sz w:val="24"/>
        </w:rPr>
      </w:pPr>
      <w:bookmarkStart w:id="47"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pPr>
        <w:widowControl/>
        <w:jc w:val="left"/>
        <w:rPr>
          <w:rFonts w:ascii="仿宋_GB2312" w:eastAsia="仿宋_GB2312"/>
          <w:sz w:val="24"/>
        </w:rPr>
      </w:pPr>
      <w:bookmarkEnd w:id="46"/>
      <w:bookmarkEnd w:id="47"/>
      <w:r>
        <w:rPr>
          <w:rFonts w:ascii="仿宋_GB2312" w:eastAsia="仿宋_GB2312"/>
          <w:sz w:val="24"/>
        </w:rPr>
        <w:br w:type="page"/>
      </w:r>
    </w:p>
    <w:p>
      <w:pPr>
        <w:outlineLvl w:val="0"/>
        <w:rPr>
          <w:rStyle w:val="3Char"/>
          <w:sz w:val="28"/>
          <w:szCs w:val="28"/>
        </w:rPr>
      </w:pPr>
      <w:r>
        <w:rPr>
          <w:rStyle w:val="3Char"/>
          <w:rFonts w:hint="eastAsia"/>
          <w:sz w:val="28"/>
          <w:szCs w:val="28"/>
        </w:rPr>
        <w:t>投标文件组成：</w:t>
      </w:r>
    </w:p>
    <w:p>
      <w:pPr>
        <w:ind w:firstLine="1200" w:firstLineChars="500"/>
        <w:outlineLvl w:val="0"/>
        <w:rPr>
          <w:rFonts w:ascii="宋体" w:hAnsi="宋体"/>
          <w:sz w:val="24"/>
        </w:rPr>
      </w:pPr>
      <w:bookmarkStart w:id="48"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pPr>
        <w:ind w:left="821" w:firstLine="1620" w:leftChars="342" w:firstLineChars="675"/>
        <w:rPr>
          <w:szCs w:val="21"/>
        </w:rPr>
      </w:pPr>
      <w:r>
        <w:rPr>
          <w:rFonts w:hint="eastAsia"/>
          <w:szCs w:val="21"/>
        </w:rPr>
        <w:t>（1）</w:t>
      </w:r>
      <w:bookmarkStart w:id="49" w:name="_Hlk72070784"/>
      <w:r>
        <w:rPr>
          <w:rFonts w:hint="eastAsia"/>
          <w:szCs w:val="21"/>
        </w:rPr>
        <w:t>投标函</w:t>
      </w:r>
      <w:bookmarkEnd w:id="49"/>
    </w:p>
    <w:p>
      <w:pPr>
        <w:ind w:left="821" w:firstLine="1620" w:leftChars="342" w:firstLineChars="675"/>
        <w:rPr>
          <w:szCs w:val="21"/>
        </w:rPr>
      </w:pPr>
      <w:r>
        <w:rPr>
          <w:rFonts w:hint="eastAsia"/>
          <w:szCs w:val="21"/>
        </w:rPr>
        <w:t>（2）</w:t>
      </w:r>
      <w:bookmarkStart w:id="50" w:name="_Hlk72062521"/>
      <w:r>
        <w:rPr>
          <w:rFonts w:hint="eastAsia"/>
          <w:szCs w:val="21"/>
        </w:rPr>
        <w:t>政府采购投标及履约承诺函</w:t>
      </w:r>
      <w:bookmarkEnd w:id="50"/>
    </w:p>
    <w:p>
      <w:pPr>
        <w:ind w:left="821" w:firstLine="1620" w:leftChars="342" w:firstLineChars="675"/>
        <w:rPr>
          <w:szCs w:val="21"/>
        </w:rPr>
      </w:pPr>
      <w:r>
        <w:rPr>
          <w:rFonts w:hint="eastAsia"/>
          <w:szCs w:val="21"/>
        </w:rPr>
        <w:t>（</w:t>
      </w:r>
      <w:r>
        <w:rPr>
          <w:szCs w:val="21"/>
        </w:rPr>
        <w:t>3</w:t>
      </w:r>
      <w:r>
        <w:rPr>
          <w:rFonts w:hint="eastAsia"/>
          <w:szCs w:val="21"/>
        </w:rPr>
        <w:t>）投标人情况及资格证明文件</w:t>
      </w:r>
    </w:p>
    <w:p>
      <w:pPr>
        <w:ind w:left="821" w:firstLine="1620" w:leftChars="342" w:firstLineChars="675"/>
        <w:rPr>
          <w:szCs w:val="21"/>
        </w:rPr>
      </w:pPr>
      <w:bookmarkStart w:id="51" w:name="_Hlk72257201"/>
      <w:r>
        <w:rPr>
          <w:rFonts w:hint="eastAsia"/>
          <w:szCs w:val="21"/>
        </w:rPr>
        <w:t>（</w:t>
      </w:r>
      <w:r>
        <w:rPr>
          <w:szCs w:val="21"/>
        </w:rPr>
        <w:t>4</w:t>
      </w:r>
      <w:r>
        <w:rPr>
          <w:rFonts w:hint="eastAsia"/>
          <w:szCs w:val="21"/>
        </w:rPr>
        <w:t>）项目详细报价</w:t>
      </w:r>
    </w:p>
    <w:p>
      <w:pPr>
        <w:ind w:firstLine="1200" w:firstLineChars="500"/>
        <w:outlineLvl w:val="0"/>
        <w:rPr>
          <w:rFonts w:ascii="宋体" w:hAnsi="宋体"/>
          <w:sz w:val="24"/>
        </w:rPr>
      </w:pPr>
      <w:bookmarkEnd w:id="51"/>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pPr>
        <w:ind w:firstLine="2400" w:firstLineChars="1000"/>
        <w:rPr>
          <w:szCs w:val="21"/>
        </w:rPr>
      </w:pPr>
      <w:r>
        <w:rPr>
          <w:rFonts w:hint="eastAsia"/>
          <w:szCs w:val="21"/>
        </w:rPr>
        <w:t>（1）法定代表人（负责人）证明书</w:t>
      </w:r>
    </w:p>
    <w:p>
      <w:pPr>
        <w:ind w:left="821" w:firstLine="1620" w:leftChars="342" w:firstLineChars="675"/>
        <w:rPr>
          <w:szCs w:val="21"/>
        </w:rPr>
      </w:pPr>
      <w:r>
        <w:rPr>
          <w:rFonts w:hint="eastAsia"/>
          <w:szCs w:val="21"/>
        </w:rPr>
        <w:t>（2）投标文件签署授权委托书</w:t>
      </w:r>
    </w:p>
    <w:p>
      <w:pPr>
        <w:ind w:left="821" w:firstLine="1620" w:leftChars="342" w:firstLineChars="675"/>
        <w:rPr>
          <w:szCs w:val="21"/>
        </w:rPr>
      </w:pPr>
      <w:r>
        <w:rPr>
          <w:rFonts w:hint="eastAsia"/>
          <w:szCs w:val="21"/>
        </w:rPr>
        <w:t>（3）实质性条款响应情况表</w:t>
      </w:r>
    </w:p>
    <w:p>
      <w:pPr>
        <w:ind w:left="821" w:firstLine="1620" w:leftChars="342" w:firstLineChars="675"/>
        <w:rPr>
          <w:szCs w:val="21"/>
        </w:rPr>
      </w:pPr>
      <w:r>
        <w:rPr>
          <w:rFonts w:hint="eastAsia"/>
          <w:szCs w:val="21"/>
        </w:rPr>
        <w:t>（</w:t>
      </w:r>
      <w:r>
        <w:rPr>
          <w:szCs w:val="21"/>
        </w:rPr>
        <w:t>4</w:t>
      </w:r>
      <w:r>
        <w:rPr>
          <w:rFonts w:hint="eastAsia"/>
          <w:szCs w:val="21"/>
        </w:rPr>
        <w:t>）技术要求偏离表</w:t>
      </w:r>
    </w:p>
    <w:p>
      <w:pPr>
        <w:ind w:left="821" w:firstLine="1620" w:leftChars="342" w:firstLineChars="675"/>
        <w:rPr>
          <w:szCs w:val="21"/>
        </w:rPr>
      </w:pPr>
      <w:r>
        <w:rPr>
          <w:rFonts w:hint="eastAsia"/>
          <w:szCs w:val="21"/>
        </w:rPr>
        <w:t>（</w:t>
      </w:r>
      <w:r>
        <w:rPr>
          <w:szCs w:val="21"/>
        </w:rPr>
        <w:t>5</w:t>
      </w:r>
      <w:r>
        <w:rPr>
          <w:rFonts w:hint="eastAsia"/>
          <w:szCs w:val="21"/>
        </w:rPr>
        <w:t>）商务要求偏离表</w:t>
      </w:r>
    </w:p>
    <w:p>
      <w:pPr>
        <w:ind w:left="821" w:firstLine="1620" w:leftChars="342" w:firstLineChars="675"/>
        <w:rPr>
          <w:szCs w:val="21"/>
        </w:rPr>
      </w:pPr>
      <w:r>
        <w:rPr>
          <w:rFonts w:hint="eastAsia"/>
          <w:szCs w:val="21"/>
        </w:rPr>
        <w:t>（</w:t>
      </w:r>
      <w:r>
        <w:rPr>
          <w:szCs w:val="21"/>
        </w:rPr>
        <w:t>6</w:t>
      </w:r>
      <w:r>
        <w:rPr>
          <w:rFonts w:hint="eastAsia"/>
          <w:szCs w:val="21"/>
        </w:rPr>
        <w:t>）项目实施方案</w:t>
      </w:r>
    </w:p>
    <w:p>
      <w:pPr>
        <w:ind w:left="821" w:firstLine="1620" w:leftChars="342" w:firstLineChars="675"/>
        <w:rPr>
          <w:szCs w:val="21"/>
        </w:rPr>
      </w:pPr>
      <w:r>
        <w:rPr>
          <w:rFonts w:hint="eastAsia"/>
          <w:szCs w:val="21"/>
        </w:rPr>
        <w:t>（7）售后服务方案</w:t>
      </w:r>
    </w:p>
    <w:p>
      <w:pPr>
        <w:ind w:left="821" w:firstLine="1620" w:leftChars="342" w:firstLineChars="675"/>
        <w:rPr>
          <w:szCs w:val="21"/>
        </w:rPr>
      </w:pPr>
      <w:r>
        <w:rPr>
          <w:rFonts w:hint="eastAsia"/>
          <w:szCs w:val="21"/>
        </w:rPr>
        <w:t>（8）投标人认为需要加以说明的其他内容</w:t>
      </w:r>
      <w:bookmarkEnd w:id="48"/>
    </w:p>
    <w:p>
      <w:pPr>
        <w:ind w:firstLine="485" w:firstLineChars="202"/>
        <w:rPr>
          <w:rFonts w:ascii="宋体" w:hAnsi="宋体"/>
          <w:b/>
          <w:szCs w:val="21"/>
        </w:rPr>
      </w:pPr>
      <w:bookmarkStart w:id="52" w:name="_Hlk72257771"/>
      <w:r>
        <w:rPr>
          <w:rFonts w:ascii="宋体" w:hAnsi="宋体" w:hint="eastAsia"/>
          <w:b/>
          <w:szCs w:val="21"/>
        </w:rPr>
        <w:t>备注：</w:t>
      </w:r>
    </w:p>
    <w:p>
      <w:pPr>
        <w:ind w:firstLine="485"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pPr>
        <w:ind w:firstLine="480" w:firstLineChars="200"/>
        <w:rPr>
          <w:rFonts w:ascii="宋体" w:hAnsi="宋体"/>
          <w:color w:val="FF0000"/>
          <w:sz w:val="24"/>
        </w:rPr>
      </w:pPr>
      <w:bookmarkStart w:id="53" w:name="_Hlk72263559"/>
      <w:r>
        <w:rPr>
          <w:rFonts w:ascii="宋体" w:hAnsi="宋体" w:hint="eastAsia"/>
          <w:b/>
          <w:szCs w:val="21"/>
        </w:rPr>
        <w:t>2.关于填写“开标一览表”的说明：“开标一览表”中除“投标总价”外，其他信息不作评审依据。</w:t>
      </w:r>
      <w:bookmarkEnd w:id="52"/>
      <w:bookmarkEnd w:id="53"/>
    </w:p>
    <w:p>
      <w:pPr>
        <w:rPr>
          <w:rFonts w:ascii="宋体" w:hAnsi="宋体"/>
          <w:color w:val="FF0000"/>
          <w:sz w:val="24"/>
        </w:rPr>
      </w:pPr>
    </w:p>
    <w:p>
      <w:pPr>
        <w:widowControl/>
        <w:jc w:val="left"/>
        <w:rPr>
          <w:rFonts w:ascii="宋体" w:hAnsi="宋体"/>
          <w:color w:val="FF0000"/>
          <w:sz w:val="24"/>
        </w:rPr>
      </w:pPr>
      <w:r>
        <w:rPr>
          <w:rFonts w:ascii="宋体" w:hAnsi="宋体"/>
          <w:color w:val="FF0000"/>
          <w:sz w:val="24"/>
        </w:rPr>
        <w:br w:type="page"/>
      </w:r>
    </w:p>
    <w:p>
      <w:pPr>
        <w:rPr>
          <w:rFonts w:ascii="宋体" w:hAnsi="宋体"/>
          <w:color w:val="FF0000"/>
          <w:sz w:val="24"/>
        </w:rPr>
      </w:pPr>
    </w:p>
    <w:p>
      <w:pPr>
        <w:outlineLvl w:val="1"/>
        <w:rPr>
          <w:rFonts w:ascii="宋体" w:hAnsi="宋体"/>
          <w:b/>
          <w:color w:val="FF0000"/>
          <w:sz w:val="28"/>
          <w:szCs w:val="28"/>
        </w:rPr>
      </w:pPr>
      <w:r>
        <w:rPr>
          <w:rFonts w:ascii="宋体" w:hAnsi="宋体" w:hint="eastAsia"/>
          <w:b/>
          <w:color w:val="FF0000"/>
          <w:sz w:val="28"/>
          <w:szCs w:val="28"/>
        </w:rPr>
        <w:t>投标文件正文（信息公开部分）</w:t>
      </w:r>
    </w:p>
    <w:p>
      <w:pPr>
        <w:pStyle w:val="Heading3"/>
        <w:jc w:val="center"/>
        <w:rPr>
          <w:rFonts w:ascii="黑体" w:eastAsia="黑体"/>
          <w:b w:val="0"/>
          <w:sz w:val="24"/>
        </w:rPr>
      </w:pPr>
      <w:r>
        <w:rPr>
          <w:rFonts w:ascii="黑体" w:eastAsia="黑体" w:hint="eastAsia"/>
          <w:b w:val="0"/>
          <w:sz w:val="24"/>
        </w:rPr>
        <w:t>一、投标函</w:t>
      </w:r>
    </w:p>
    <w:p>
      <w:pPr>
        <w:spacing w:line="360" w:lineRule="auto"/>
        <w:rPr>
          <w:rFonts w:ascii="宋体" w:hAnsi="宋体"/>
          <w:szCs w:val="21"/>
        </w:rPr>
      </w:pPr>
      <w:bookmarkStart w:id="54" w:name="_Hlk72257506"/>
      <w:r>
        <w:rPr>
          <w:rFonts w:ascii="宋体" w:hAnsi="宋体" w:hint="eastAsia"/>
          <w:szCs w:val="21"/>
        </w:rPr>
        <w:t>致：</w:t>
      </w:r>
      <w:r>
        <w:rPr>
          <w:rFonts w:ascii="宋体" w:hAnsi="宋体" w:hint="eastAsia"/>
          <w:color w:val="FF0000"/>
          <w:szCs w:val="21"/>
          <w:u w:val="single"/>
        </w:rPr>
        <w:t>深圳公共资源交易中心</w:t>
      </w:r>
    </w:p>
    <w:p>
      <w:pPr>
        <w:ind w:firstLine="480" w:firstLineChars="200"/>
        <w:rPr>
          <w:rFonts w:ascii="宋体" w:hAnsi="宋体"/>
          <w:szCs w:val="21"/>
        </w:rPr>
      </w:pPr>
      <w:bookmarkStart w:id="55" w:name="_Hlk73818812"/>
      <w:r>
        <w:rPr>
          <w:rFonts w:hint="eastAsia"/>
          <w:szCs w:val="21"/>
        </w:rPr>
        <w:t>1、根据已收到贵单位的项目编号为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56" w:name="_Hlk72263588"/>
      <w:r>
        <w:rPr>
          <w:rFonts w:hint="eastAsia"/>
          <w:szCs w:val="21"/>
        </w:rPr>
        <w:t>愿意按照招标文件要求承包上述项目并修补其任何缺陷。</w:t>
      </w:r>
      <w:bookmarkEnd w:id="56"/>
    </w:p>
    <w:p>
      <w:pPr>
        <w:ind w:firstLine="480" w:firstLineChars="200"/>
        <w:rPr>
          <w:rFonts w:ascii="宋体" w:hAnsi="宋体"/>
          <w:szCs w:val="21"/>
        </w:rPr>
      </w:pPr>
      <w:r>
        <w:rPr>
          <w:rFonts w:ascii="宋体" w:hAnsi="宋体"/>
          <w:szCs w:val="21"/>
        </w:rPr>
        <w:t>2</w:t>
      </w:r>
      <w:r>
        <w:rPr>
          <w:rFonts w:ascii="宋体" w:hAnsi="宋体" w:hint="eastAsia"/>
          <w:szCs w:val="21"/>
        </w:rPr>
        <w:t>、</w:t>
      </w:r>
      <w:bookmarkStart w:id="57" w:name="_Hlk73819847"/>
      <w:r>
        <w:rPr>
          <w:rFonts w:ascii="宋体" w:hAnsi="宋体" w:hint="eastAsia"/>
          <w:szCs w:val="21"/>
        </w:rPr>
        <w:t>投标价格见</w:t>
      </w:r>
      <w:r>
        <w:rPr>
          <w:rFonts w:hint="eastAsia"/>
          <w:szCs w:val="21"/>
        </w:rPr>
        <w:t>投标书编制软件中《开标一览表》中填写的投标总价。</w:t>
      </w:r>
      <w:bookmarkEnd w:id="57"/>
    </w:p>
    <w:p>
      <w:pPr>
        <w:ind w:firstLine="480" w:firstLineChars="200"/>
        <w:rPr>
          <w:rFonts w:ascii="宋体" w:hAnsi="宋体"/>
          <w:szCs w:val="21"/>
        </w:rPr>
      </w:pPr>
      <w:r>
        <w:rPr>
          <w:rFonts w:ascii="宋体" w:hAnsi="宋体" w:hint="eastAsia"/>
          <w:szCs w:val="21"/>
        </w:rPr>
        <w:t>3、如果我单位中标，我单位将按照招标文件的要求足额提交履约担保。</w:t>
      </w:r>
    </w:p>
    <w:p>
      <w:pPr>
        <w:ind w:firstLine="48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pPr>
        <w:ind w:firstLine="48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pPr>
        <w:ind w:firstLine="480" w:firstLineChars="200"/>
        <w:rPr>
          <w:rFonts w:ascii="宋体" w:hAnsi="宋体"/>
          <w:szCs w:val="21"/>
        </w:rPr>
      </w:pPr>
      <w:r>
        <w:rPr>
          <w:rFonts w:ascii="宋体" w:hAnsi="宋体" w:hint="eastAsia"/>
          <w:szCs w:val="21"/>
        </w:rPr>
        <w:t>6、我单位理解贵单位将不受必须接受所收到的最低报价或其它任何投标文件的约束。</w:t>
      </w:r>
      <w:bookmarkEnd w:id="55"/>
    </w:p>
    <w:p>
      <w:pPr>
        <w:ind w:left="617" w:leftChars="257"/>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 xml:space="preserve">  </w:t>
      </w:r>
    </w:p>
    <w:p>
      <w:pPr>
        <w:ind w:left="617" w:leftChars="257"/>
        <w:rPr>
          <w:szCs w:val="21"/>
          <w:u w:val="single"/>
        </w:rPr>
      </w:pPr>
      <w:r>
        <w:rPr>
          <w:rFonts w:hint="eastAsia"/>
          <w:szCs w:val="21"/>
        </w:rPr>
        <w:t>法定代表人（负责人）或其委托代理人：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617" w:leftChars="257"/>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617" w:leftChars="257"/>
        <w:rPr>
          <w:szCs w:val="21"/>
          <w:u w:val="single"/>
        </w:rPr>
      </w:pPr>
      <w:r>
        <w:rPr>
          <w:rFonts w:hint="eastAsia"/>
          <w:szCs w:val="21"/>
        </w:rPr>
        <w:t>传真：</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617"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617"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617" w:firstLineChars="257"/>
        <w:rPr>
          <w:sz w:val="24"/>
        </w:rPr>
      </w:pPr>
      <w:r>
        <w:rPr>
          <w:rFonts w:ascii="宋体" w:hAnsi="宋体" w:hint="eastAsia"/>
          <w:szCs w:val="21"/>
        </w:rPr>
        <w:t>日期：</w:t>
      </w:r>
      <w:r>
        <w:rPr>
          <w:rFonts w:hint="eastAsia"/>
          <w:szCs w:val="21"/>
          <w:u w:val="single"/>
        </w:rPr>
        <w:tab/>
      </w:r>
      <w:r>
        <w:rPr>
          <w:rFonts w:hint="eastAsia"/>
          <w:szCs w:val="21"/>
          <w:u w:val="single"/>
        </w:rPr>
        <w:tab/>
      </w:r>
      <w:r>
        <w:rPr>
          <w:rFonts w:ascii="宋体" w:hAnsi="宋体" w:hint="eastAsia"/>
          <w:szCs w:val="21"/>
        </w:rPr>
        <w:t>年</w:t>
      </w:r>
      <w:r>
        <w:rPr>
          <w:rFonts w:hint="eastAsia"/>
          <w:szCs w:val="21"/>
          <w:u w:val="single"/>
        </w:rPr>
        <w:tab/>
      </w:r>
      <w:r>
        <w:rPr>
          <w:rFonts w:hint="eastAsia"/>
          <w:szCs w:val="21"/>
          <w:u w:val="single"/>
        </w:rPr>
        <w:tab/>
      </w:r>
      <w:r>
        <w:rPr>
          <w:rFonts w:ascii="宋体" w:hAnsi="宋体" w:hint="eastAsia"/>
          <w:szCs w:val="21"/>
        </w:rPr>
        <w:t>月</w:t>
      </w:r>
      <w:r>
        <w:rPr>
          <w:rFonts w:hint="eastAsia"/>
          <w:szCs w:val="21"/>
          <w:u w:val="single"/>
        </w:rPr>
        <w:tab/>
      </w:r>
      <w:r>
        <w:rPr>
          <w:rFonts w:hint="eastAsia"/>
          <w:szCs w:val="21"/>
          <w:u w:val="single"/>
        </w:rPr>
        <w:tab/>
      </w:r>
      <w:r>
        <w:rPr>
          <w:rFonts w:ascii="宋体" w:hAnsi="宋体" w:hint="eastAsia"/>
          <w:szCs w:val="21"/>
        </w:rPr>
        <w:t>日</w:t>
      </w:r>
    </w:p>
    <w:p>
      <w:pPr>
        <w:rPr>
          <w:rFonts w:ascii="黑体" w:eastAsia="黑体" w:hAnsi="宋体"/>
        </w:rPr>
      </w:pPr>
    </w:p>
    <w:p>
      <w:pPr>
        <w:pStyle w:val="Heading3"/>
        <w:jc w:val="center"/>
        <w:rPr>
          <w:rFonts w:ascii="黑体" w:eastAsia="黑体"/>
          <w:b w:val="0"/>
          <w:sz w:val="24"/>
        </w:rPr>
      </w:pPr>
      <w:bookmarkEnd w:id="54"/>
      <w:r>
        <w:rPr>
          <w:rFonts w:ascii="黑体" w:eastAsia="黑体" w:hint="eastAsia"/>
          <w:b w:val="0"/>
          <w:sz w:val="24"/>
        </w:rPr>
        <w:t>二、政府采购投标及履约承诺函</w:t>
      </w:r>
    </w:p>
    <w:p>
      <w:pPr>
        <w:rPr>
          <w:rFonts w:ascii="宋体" w:hAnsi="宋体"/>
          <w:color w:val="FF0000"/>
          <w:szCs w:val="21"/>
        </w:rPr>
      </w:pPr>
      <w:bookmarkStart w:id="58" w:name="_Hlk72257530"/>
      <w:r>
        <w:rPr>
          <w:rFonts w:ascii="宋体" w:hAnsi="宋体" w:hint="eastAsia"/>
          <w:color w:val="FF0000"/>
          <w:szCs w:val="21"/>
        </w:rPr>
        <w:t>致：</w:t>
      </w:r>
      <w:r>
        <w:rPr>
          <w:rFonts w:ascii="宋体" w:hAnsi="宋体" w:hint="eastAsia"/>
          <w:color w:val="FF0000"/>
          <w:szCs w:val="21"/>
          <w:u w:val="single"/>
        </w:rPr>
        <w:t>深圳公共资源交易中心</w:t>
      </w:r>
    </w:p>
    <w:p>
      <w:pPr>
        <w:ind w:right="-815" w:firstLine="480" w:firstLineChars="200"/>
        <w:rPr>
          <w:rFonts w:ascii="宋体" w:hAnsi="宋体"/>
          <w:szCs w:val="21"/>
        </w:rPr>
      </w:pPr>
      <w:r>
        <w:rPr>
          <w:rFonts w:ascii="宋体" w:hAnsi="宋体" w:hint="eastAsia"/>
          <w:szCs w:val="21"/>
        </w:rPr>
        <w:t>我单位承诺：</w:t>
      </w:r>
    </w:p>
    <w:p>
      <w:pPr>
        <w:ind w:firstLine="480" w:firstLineChars="200"/>
        <w:rPr>
          <w:rFonts w:ascii="宋体" w:hAnsi="宋体"/>
          <w:szCs w:val="21"/>
        </w:rPr>
      </w:pPr>
      <w:r>
        <w:rPr>
          <w:rFonts w:ascii="宋体" w:hAnsi="宋体" w:hint="eastAsia"/>
          <w:szCs w:val="21"/>
        </w:rPr>
        <w:t>1.我单位参与本项目所投标（响应）的货物、工程或服务，不存在侵犯知识产权的情况；已知悉并同意中标（成交）结果信息公示（公开）的内容。</w:t>
      </w:r>
    </w:p>
    <w:p>
      <w:pPr>
        <w:ind w:firstLine="480" w:firstLineChars="200"/>
        <w:rPr>
          <w:rFonts w:ascii="宋体" w:hAnsi="宋体"/>
          <w:szCs w:val="21"/>
        </w:rPr>
      </w:pPr>
      <w:r>
        <w:rPr>
          <w:rFonts w:ascii="宋体" w:hAnsi="宋体" w:hint="eastAsia"/>
          <w:szCs w:val="21"/>
        </w:rPr>
        <w:t>2.我单位参与本项目投标前三年内，在经营活动中没有重大违法记录。</w:t>
      </w:r>
    </w:p>
    <w:p>
      <w:pPr>
        <w:ind w:firstLine="48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pPr>
        <w:ind w:firstLine="480" w:firstLineChars="200"/>
        <w:rPr>
          <w:rFonts w:ascii="宋体" w:hAnsi="宋体"/>
          <w:szCs w:val="21"/>
        </w:rPr>
      </w:pPr>
      <w:r>
        <w:rPr>
          <w:rFonts w:ascii="宋体" w:hAnsi="宋体" w:hint="eastAsia"/>
          <w:szCs w:val="21"/>
        </w:rPr>
        <w:t>4.我单位具备《中华人民共和国政府采购法》第二十二条第一款规定的六项条件。</w:t>
      </w:r>
    </w:p>
    <w:p>
      <w:pPr>
        <w:ind w:firstLine="48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pPr>
        <w:ind w:firstLine="480" w:firstLineChars="200"/>
        <w:rPr>
          <w:rFonts w:ascii="宋体" w:hAnsi="宋体"/>
          <w:szCs w:val="21"/>
        </w:rPr>
      </w:pPr>
      <w:r>
        <w:rPr>
          <w:rFonts w:ascii="宋体" w:hAnsi="宋体" w:hint="eastAsia"/>
          <w:szCs w:val="21"/>
        </w:rPr>
        <w:t>6.</w:t>
      </w:r>
      <w:bookmarkStart w:id="59" w:name="_Hlk72587269"/>
      <w:bookmarkStart w:id="60"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9"/>
      <w:r>
        <w:rPr>
          <w:rFonts w:ascii="宋体" w:hAnsi="宋体" w:hint="eastAsia"/>
          <w:szCs w:val="21"/>
        </w:rPr>
        <w:t>。</w:t>
      </w:r>
    </w:p>
    <w:p>
      <w:pPr>
        <w:ind w:firstLine="480" w:firstLineChars="200"/>
        <w:rPr>
          <w:rFonts w:ascii="宋体" w:hAnsi="宋体"/>
          <w:szCs w:val="21"/>
        </w:rPr>
      </w:pPr>
      <w:bookmarkEnd w:id="60"/>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8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8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8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pPr>
        <w:ind w:firstLine="48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8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pPr>
        <w:ind w:firstLine="480" w:firstLineChars="200"/>
        <w:rPr>
          <w:rFonts w:ascii="宋体" w:hAnsi="宋体"/>
        </w:rPr>
      </w:pPr>
      <w:r>
        <w:rPr>
          <w:rFonts w:ascii="宋体" w:hAnsi="宋体" w:hint="eastAsia"/>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ind w:firstLine="480" w:firstLineChars="200"/>
        <w:rPr>
          <w:rFonts w:ascii="宋体" w:hAnsi="宋体"/>
          <w:szCs w:val="21"/>
        </w:rPr>
      </w:pPr>
      <w:r>
        <w:rPr>
          <w:rFonts w:ascii="宋体" w:hAnsi="宋体" w:hint="eastAsia"/>
          <w:szCs w:val="21"/>
        </w:rPr>
        <w:t>以上承诺，如有违反，愿依照国家相关法律法规处理，并承担由此给采购人带来的损失。</w:t>
      </w:r>
    </w:p>
    <w:p>
      <w:pPr>
        <w:spacing w:before="60" w:beforeLines="25" w:after="60" w:afterLines="25"/>
        <w:ind w:firstLine="6240" w:firstLineChars="2600"/>
        <w:rPr>
          <w:rFonts w:ascii="宋体" w:hAnsi="宋体"/>
          <w:szCs w:val="21"/>
        </w:rPr>
      </w:pPr>
    </w:p>
    <w:p>
      <w:pPr>
        <w:spacing w:before="60" w:beforeLines="25" w:after="60" w:afterLines="25"/>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pPr>
        <w:ind w:firstLine="645"/>
        <w:rPr>
          <w:rFonts w:ascii="宋体" w:hAnsi="宋体"/>
          <w:color w:val="FF0000"/>
          <w:szCs w:val="21"/>
        </w:rPr>
      </w:pPr>
      <w:r>
        <w:rPr>
          <w:rFonts w:ascii="宋体" w:hAnsi="宋体" w:hint="eastAsia"/>
          <w:color w:val="FF0000"/>
          <w:szCs w:val="21"/>
        </w:rPr>
        <w:t xml:space="preserve">                                           日期：</w:t>
      </w:r>
      <w:r>
        <w:rPr>
          <w:rFonts w:hint="eastAsia"/>
          <w:color w:val="FF0000"/>
          <w:szCs w:val="21"/>
          <w:u w:val="single"/>
        </w:rPr>
        <w:tab/>
      </w:r>
      <w:r>
        <w:rPr>
          <w:rFonts w:hint="eastAsia"/>
          <w:color w:val="FF0000"/>
          <w:szCs w:val="21"/>
          <w:u w:val="single"/>
        </w:rPr>
        <w:tab/>
      </w:r>
      <w:r>
        <w:rPr>
          <w:rFonts w:ascii="宋体" w:hAnsi="宋体" w:hint="eastAsia"/>
          <w:color w:val="FF0000"/>
          <w:szCs w:val="21"/>
        </w:rPr>
        <w:t>年</w:t>
      </w:r>
      <w:r>
        <w:rPr>
          <w:rFonts w:hint="eastAsia"/>
          <w:color w:val="FF0000"/>
          <w:szCs w:val="21"/>
          <w:u w:val="single"/>
        </w:rPr>
        <w:tab/>
      </w:r>
      <w:r>
        <w:rPr>
          <w:rFonts w:hint="eastAsia"/>
          <w:color w:val="FF0000"/>
          <w:szCs w:val="21"/>
          <w:u w:val="single"/>
        </w:rPr>
        <w:tab/>
      </w:r>
      <w:r>
        <w:rPr>
          <w:rFonts w:ascii="宋体" w:hAnsi="宋体" w:hint="eastAsia"/>
          <w:color w:val="FF0000"/>
          <w:szCs w:val="21"/>
        </w:rPr>
        <w:t>月</w:t>
      </w:r>
      <w:r>
        <w:rPr>
          <w:rFonts w:hint="eastAsia"/>
          <w:color w:val="FF0000"/>
          <w:szCs w:val="21"/>
          <w:u w:val="single"/>
        </w:rPr>
        <w:tab/>
      </w:r>
      <w:r>
        <w:rPr>
          <w:rFonts w:hint="eastAsia"/>
          <w:color w:val="FF0000"/>
          <w:szCs w:val="21"/>
          <w:u w:val="single"/>
        </w:rPr>
        <w:tab/>
      </w:r>
      <w:r>
        <w:rPr>
          <w:rFonts w:ascii="宋体" w:hAnsi="宋体" w:hint="eastAsia"/>
          <w:color w:val="FF0000"/>
          <w:szCs w:val="21"/>
        </w:rPr>
        <w:t>日</w:t>
      </w:r>
    </w:p>
    <w:p>
      <w:pPr>
        <w:rPr>
          <w:rFonts w:ascii="宋体"/>
          <w:b/>
          <w:szCs w:val="21"/>
        </w:rPr>
      </w:pPr>
      <w:bookmarkEnd w:id="58"/>
    </w:p>
    <w:p>
      <w:pPr>
        <w:ind w:firstLine="480" w:firstLineChars="200"/>
        <w:jc w:val="center"/>
        <w:rPr>
          <w:rFonts w:hAnsi="宋体"/>
          <w:b/>
          <w:bCs/>
          <w:sz w:val="24"/>
        </w:rPr>
      </w:pPr>
    </w:p>
    <w:p>
      <w:pPr>
        <w:pStyle w:val="Heading3"/>
        <w:jc w:val="center"/>
        <w:rPr>
          <w:rFonts w:ascii="黑体" w:eastAsia="黑体"/>
          <w:b w:val="0"/>
          <w:sz w:val="24"/>
          <w:szCs w:val="24"/>
        </w:rPr>
      </w:pPr>
      <w:r>
        <w:rPr>
          <w:rFonts w:ascii="黑体" w:eastAsia="黑体" w:hint="eastAsia"/>
          <w:b w:val="0"/>
          <w:sz w:val="24"/>
          <w:szCs w:val="24"/>
        </w:rPr>
        <w:t>三、投标人情况及资格证明文件</w:t>
      </w:r>
    </w:p>
    <w:p>
      <w:pPr>
        <w:rPr>
          <w:b/>
          <w:bCs/>
          <w:sz w:val="24"/>
        </w:rPr>
      </w:pPr>
    </w:p>
    <w:p>
      <w:pPr>
        <w:ind w:firstLine="2640" w:firstLineChars="1100"/>
        <w:outlineLvl w:val="3"/>
        <w:rPr>
          <w:rFonts w:ascii="黑体" w:eastAsia="黑体" w:hAnsi="宋体"/>
          <w:bCs/>
          <w:kern w:val="0"/>
          <w:sz w:val="24"/>
          <w:szCs w:val="32"/>
        </w:rPr>
      </w:pPr>
      <w:bookmarkStart w:id="61" w:name="_Hlk72257590"/>
      <w:r>
        <w:rPr>
          <w:rFonts w:ascii="黑体" w:eastAsia="黑体" w:hAnsi="宋体" w:hint="eastAsia"/>
          <w:bCs/>
          <w:kern w:val="0"/>
          <w:sz w:val="24"/>
          <w:szCs w:val="32"/>
        </w:rPr>
        <w:t>（一）投标人资格证明文件</w:t>
      </w:r>
    </w:p>
    <w:p>
      <w:pPr>
        <w:spacing w:before="120" w:beforeLines="50"/>
        <w:ind w:firstLine="480"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spacing w:before="120" w:beforeLines="50"/>
        <w:ind w:firstLine="480" w:firstLineChars="200"/>
        <w:rPr>
          <w:b/>
          <w:bCs/>
          <w:color w:val="FF0000"/>
        </w:rPr>
      </w:pPr>
    </w:p>
    <w:p>
      <w:pPr>
        <w:outlineLvl w:val="3"/>
        <w:rPr>
          <w:rFonts w:ascii="黑体" w:eastAsia="黑体" w:hAnsi="宋体"/>
          <w:bCs/>
          <w:kern w:val="0"/>
          <w:sz w:val="24"/>
          <w:szCs w:val="32"/>
        </w:rPr>
      </w:pPr>
      <w:r>
        <w:rPr>
          <w:rFonts w:ascii="黑体" w:eastAsia="黑体" w:hAnsi="宋体" w:hint="eastAsia"/>
          <w:bCs/>
          <w:kern w:val="0"/>
          <w:sz w:val="24"/>
          <w:szCs w:val="32"/>
        </w:rPr>
        <w:t>（二）证书（可选）</w:t>
      </w:r>
    </w:p>
    <w:p>
      <w:pPr>
        <w:rPr>
          <w:b/>
          <w:bCs/>
          <w:color w:val="FF0000"/>
        </w:rPr>
      </w:pPr>
      <w:r>
        <w:rPr>
          <w:rFonts w:hint="eastAsia"/>
          <w:b/>
          <w:bCs/>
          <w:color w:val="FF0000"/>
        </w:rPr>
        <w:t>（特别提示：投标人须按本招标文件评标信息中“证书”这一评审因素要求，提供证明资料）</w:t>
      </w:r>
    </w:p>
    <w:p>
      <w:pPr>
        <w:rPr>
          <w:b/>
          <w:bCs/>
          <w:sz w:val="22"/>
        </w:rPr>
      </w:pPr>
    </w:p>
    <w:p>
      <w:pPr>
        <w:jc w:val="left"/>
        <w:outlineLvl w:val="3"/>
        <w:rPr>
          <w:rFonts w:ascii="黑体" w:eastAsia="黑体" w:hAnsi="宋体"/>
          <w:bCs/>
          <w:kern w:val="0"/>
          <w:sz w:val="24"/>
          <w:szCs w:val="32"/>
        </w:rPr>
      </w:pPr>
      <w:r>
        <w:rPr>
          <w:rFonts w:ascii="黑体" w:eastAsia="黑体" w:hAnsi="宋体" w:hint="eastAsia"/>
          <w:bCs/>
          <w:kern w:val="0"/>
          <w:sz w:val="24"/>
          <w:szCs w:val="32"/>
        </w:rPr>
        <w:t>（三）近三年同类业绩（可选）</w:t>
      </w:r>
    </w:p>
    <w:tbl>
      <w:tblPr>
        <w:tblStyle w:val="TableNormal"/>
        <w:tblW w:w="5000" w:type="pct"/>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Grid>
        <w:gridCol w:w="1099"/>
        <w:gridCol w:w="1416"/>
        <w:gridCol w:w="1984"/>
        <w:gridCol w:w="849"/>
        <w:gridCol w:w="992"/>
        <w:gridCol w:w="2182"/>
      </w:tblGrid>
      <w:tr>
        <w:tblPrEx>
          <w:tblW w:w="5000" w:type="pct"/>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Ex>
        <w:tc>
          <w:tcPr>
            <w:tcW w:w="645" w:type="pct"/>
            <w:vAlign w:val="center"/>
          </w:tcPr>
          <w:p>
            <w:pPr>
              <w:jc w:val="center"/>
              <w:rPr>
                <w:rFonts w:ascii="宋体" w:hAnsi="宋体"/>
                <w:sz w:val="20"/>
                <w:szCs w:val="21"/>
              </w:rPr>
            </w:pPr>
            <w:r>
              <w:rPr>
                <w:rFonts w:ascii="宋体" w:hAnsi="宋体" w:hint="eastAsia"/>
                <w:sz w:val="20"/>
                <w:szCs w:val="21"/>
              </w:rPr>
              <w:t>采购人</w:t>
            </w:r>
          </w:p>
        </w:tc>
        <w:tc>
          <w:tcPr>
            <w:tcW w:w="831" w:type="pct"/>
            <w:vAlign w:val="center"/>
          </w:tcPr>
          <w:p>
            <w:pPr>
              <w:jc w:val="center"/>
              <w:rPr>
                <w:rFonts w:ascii="宋体" w:hAnsi="宋体"/>
                <w:sz w:val="20"/>
                <w:szCs w:val="21"/>
              </w:rPr>
            </w:pPr>
            <w:r>
              <w:rPr>
                <w:rFonts w:ascii="宋体" w:hAnsi="宋体" w:hint="eastAsia"/>
                <w:sz w:val="20"/>
                <w:szCs w:val="21"/>
              </w:rPr>
              <w:t>项目名称</w:t>
            </w:r>
          </w:p>
        </w:tc>
        <w:tc>
          <w:tcPr>
            <w:tcW w:w="1164" w:type="pct"/>
            <w:vAlign w:val="center"/>
          </w:tcPr>
          <w:p>
            <w:pPr>
              <w:jc w:val="center"/>
              <w:rPr>
                <w:rFonts w:ascii="宋体" w:hAnsi="宋体"/>
                <w:sz w:val="20"/>
                <w:szCs w:val="21"/>
              </w:rPr>
            </w:pPr>
            <w:r>
              <w:rPr>
                <w:rFonts w:ascii="宋体" w:hAnsi="宋体" w:hint="eastAsia"/>
                <w:sz w:val="20"/>
                <w:szCs w:val="21"/>
              </w:rPr>
              <w:t>项目规模（金额）</w:t>
            </w:r>
          </w:p>
        </w:tc>
        <w:tc>
          <w:tcPr>
            <w:tcW w:w="498" w:type="pct"/>
            <w:vAlign w:val="center"/>
          </w:tcPr>
          <w:p>
            <w:pPr>
              <w:jc w:val="center"/>
              <w:rPr>
                <w:rFonts w:ascii="宋体" w:hAnsi="宋体"/>
                <w:sz w:val="20"/>
                <w:szCs w:val="21"/>
              </w:rPr>
            </w:pPr>
            <w:r>
              <w:rPr>
                <w:rFonts w:ascii="宋体" w:hAnsi="宋体" w:hint="eastAsia"/>
                <w:sz w:val="20"/>
                <w:szCs w:val="21"/>
              </w:rPr>
              <w:t>合同签订日期</w:t>
            </w:r>
          </w:p>
        </w:tc>
        <w:tc>
          <w:tcPr>
            <w:tcW w:w="582" w:type="pct"/>
            <w:vAlign w:val="center"/>
          </w:tcPr>
          <w:p>
            <w:pPr>
              <w:jc w:val="center"/>
              <w:rPr>
                <w:rFonts w:ascii="宋体" w:hAnsi="宋体"/>
                <w:sz w:val="20"/>
                <w:szCs w:val="21"/>
              </w:rPr>
            </w:pPr>
            <w:r>
              <w:rPr>
                <w:rFonts w:ascii="宋体" w:hAnsi="宋体" w:hint="eastAsia"/>
                <w:sz w:val="20"/>
                <w:szCs w:val="21"/>
              </w:rPr>
              <w:t>履约验收时间</w:t>
            </w:r>
          </w:p>
        </w:tc>
        <w:tc>
          <w:tcPr>
            <w:tcW w:w="1280" w:type="pct"/>
            <w:vAlign w:val="center"/>
          </w:tcPr>
          <w:p>
            <w:pPr>
              <w:jc w:val="center"/>
              <w:rPr>
                <w:rFonts w:ascii="宋体" w:hAnsi="宋体"/>
                <w:sz w:val="20"/>
                <w:szCs w:val="21"/>
              </w:rPr>
            </w:pPr>
            <w:r>
              <w:rPr>
                <w:rFonts w:ascii="宋体" w:hAnsi="宋体" w:hint="eastAsia"/>
                <w:sz w:val="20"/>
                <w:szCs w:val="21"/>
              </w:rPr>
              <w:t>完成质量情况（以履约验收报告为准）</w:t>
            </w:r>
          </w:p>
        </w:tc>
      </w:tr>
      <w:tr>
        <w:tblPrEx>
          <w:tblW w:w="5000" w:type="pct"/>
          <w:tblInd w:w="0" w:type="dxa"/>
          <w:tblCellMar>
            <w:top w:w="0" w:type="dxa"/>
            <w:left w:w="108" w:type="dxa"/>
            <w:bottom w:w="0" w:type="dxa"/>
            <w:right w:w="108" w:type="dxa"/>
          </w:tblCellMar>
        </w:tblPrEx>
        <w:tc>
          <w:tcPr>
            <w:tcW w:w="645" w:type="pct"/>
            <w:vAlign w:val="center"/>
          </w:tcPr>
          <w:p>
            <w:pPr>
              <w:ind w:firstLine="480" w:firstLineChars="200"/>
              <w:rPr>
                <w:rFonts w:ascii="宋体" w:hAnsi="宋体"/>
                <w:sz w:val="20"/>
                <w:szCs w:val="21"/>
              </w:rPr>
            </w:pPr>
            <w:r>
              <w:rPr>
                <w:rFonts w:ascii="宋体" w:hAnsi="宋体"/>
                <w:sz w:val="20"/>
                <w:szCs w:val="21"/>
              </w:rPr>
              <w:t>……</w:t>
            </w:r>
          </w:p>
        </w:tc>
        <w:tc>
          <w:tcPr>
            <w:tcW w:w="831" w:type="pct"/>
            <w:vAlign w:val="center"/>
          </w:tcPr>
          <w:p>
            <w:pPr>
              <w:ind w:firstLine="480" w:firstLineChars="200"/>
              <w:rPr>
                <w:rFonts w:ascii="宋体" w:hAnsi="宋体"/>
                <w:sz w:val="20"/>
                <w:szCs w:val="21"/>
              </w:rPr>
            </w:pPr>
          </w:p>
        </w:tc>
        <w:tc>
          <w:tcPr>
            <w:tcW w:w="1164" w:type="pct"/>
            <w:vAlign w:val="center"/>
          </w:tcPr>
          <w:p>
            <w:pPr>
              <w:ind w:firstLine="480" w:firstLineChars="200"/>
              <w:rPr>
                <w:rFonts w:ascii="宋体" w:hAnsi="宋体"/>
                <w:sz w:val="20"/>
                <w:szCs w:val="21"/>
              </w:rPr>
            </w:pPr>
          </w:p>
        </w:tc>
        <w:tc>
          <w:tcPr>
            <w:tcW w:w="498" w:type="pct"/>
            <w:vAlign w:val="center"/>
          </w:tcPr>
          <w:p>
            <w:pPr>
              <w:ind w:firstLine="480" w:firstLineChars="200"/>
              <w:rPr>
                <w:rFonts w:ascii="宋体" w:hAnsi="宋体"/>
                <w:sz w:val="20"/>
                <w:szCs w:val="21"/>
              </w:rPr>
            </w:pPr>
          </w:p>
        </w:tc>
        <w:tc>
          <w:tcPr>
            <w:tcW w:w="582" w:type="pct"/>
            <w:vAlign w:val="center"/>
          </w:tcPr>
          <w:p>
            <w:pPr>
              <w:ind w:firstLine="480" w:firstLineChars="200"/>
              <w:rPr>
                <w:rFonts w:ascii="宋体" w:hAnsi="宋体"/>
                <w:sz w:val="20"/>
                <w:szCs w:val="21"/>
              </w:rPr>
            </w:pPr>
          </w:p>
        </w:tc>
        <w:tc>
          <w:tcPr>
            <w:tcW w:w="1280" w:type="pct"/>
            <w:vAlign w:val="center"/>
          </w:tcPr>
          <w:p>
            <w:pPr>
              <w:ind w:firstLine="480" w:firstLineChars="200"/>
              <w:rPr>
                <w:rFonts w:ascii="宋体" w:hAnsi="宋体"/>
                <w:sz w:val="20"/>
                <w:szCs w:val="21"/>
              </w:rPr>
            </w:pPr>
          </w:p>
        </w:tc>
      </w:tr>
      <w:tr>
        <w:tblPrEx>
          <w:tblW w:w="5000" w:type="pct"/>
          <w:tblInd w:w="0" w:type="dxa"/>
          <w:tblCellMar>
            <w:top w:w="0" w:type="dxa"/>
            <w:left w:w="108" w:type="dxa"/>
            <w:bottom w:w="0" w:type="dxa"/>
            <w:right w:w="108" w:type="dxa"/>
          </w:tblCellMar>
        </w:tblPrEx>
        <w:tc>
          <w:tcPr>
            <w:tcW w:w="645" w:type="pct"/>
            <w:vAlign w:val="center"/>
          </w:tcPr>
          <w:p>
            <w:pPr>
              <w:ind w:firstLine="480" w:firstLineChars="200"/>
              <w:rPr>
                <w:rFonts w:ascii="宋体" w:hAnsi="宋体"/>
                <w:sz w:val="20"/>
                <w:szCs w:val="21"/>
              </w:rPr>
            </w:pPr>
          </w:p>
        </w:tc>
        <w:tc>
          <w:tcPr>
            <w:tcW w:w="831" w:type="pct"/>
            <w:vAlign w:val="center"/>
          </w:tcPr>
          <w:p>
            <w:pPr>
              <w:ind w:firstLine="480" w:firstLineChars="200"/>
              <w:rPr>
                <w:rFonts w:ascii="宋体" w:hAnsi="宋体"/>
                <w:sz w:val="20"/>
                <w:szCs w:val="21"/>
              </w:rPr>
            </w:pPr>
          </w:p>
        </w:tc>
        <w:tc>
          <w:tcPr>
            <w:tcW w:w="1164" w:type="pct"/>
            <w:vAlign w:val="center"/>
          </w:tcPr>
          <w:p>
            <w:pPr>
              <w:ind w:firstLine="480" w:firstLineChars="200"/>
              <w:rPr>
                <w:rFonts w:ascii="宋体" w:hAnsi="宋体"/>
                <w:sz w:val="20"/>
                <w:szCs w:val="21"/>
              </w:rPr>
            </w:pPr>
          </w:p>
        </w:tc>
        <w:tc>
          <w:tcPr>
            <w:tcW w:w="498" w:type="pct"/>
            <w:vAlign w:val="center"/>
          </w:tcPr>
          <w:p>
            <w:pPr>
              <w:ind w:firstLine="480" w:firstLineChars="200"/>
              <w:rPr>
                <w:rFonts w:ascii="宋体" w:hAnsi="宋体"/>
                <w:sz w:val="20"/>
                <w:szCs w:val="21"/>
              </w:rPr>
            </w:pPr>
          </w:p>
        </w:tc>
        <w:tc>
          <w:tcPr>
            <w:tcW w:w="582" w:type="pct"/>
            <w:vAlign w:val="center"/>
          </w:tcPr>
          <w:p>
            <w:pPr>
              <w:ind w:firstLine="480" w:firstLineChars="200"/>
              <w:rPr>
                <w:rFonts w:ascii="宋体" w:hAnsi="宋体"/>
                <w:sz w:val="20"/>
                <w:szCs w:val="21"/>
              </w:rPr>
            </w:pPr>
          </w:p>
        </w:tc>
        <w:tc>
          <w:tcPr>
            <w:tcW w:w="1280" w:type="pct"/>
            <w:vAlign w:val="center"/>
          </w:tcPr>
          <w:p>
            <w:pPr>
              <w:ind w:firstLine="480" w:firstLineChars="200"/>
              <w:rPr>
                <w:rFonts w:ascii="宋体" w:hAnsi="宋体"/>
                <w:sz w:val="20"/>
                <w:szCs w:val="21"/>
              </w:rPr>
            </w:pPr>
          </w:p>
        </w:tc>
      </w:tr>
      <w:tr>
        <w:tblPrEx>
          <w:tblW w:w="5000" w:type="pct"/>
          <w:tblInd w:w="0" w:type="dxa"/>
          <w:tblCellMar>
            <w:top w:w="0" w:type="dxa"/>
            <w:left w:w="108" w:type="dxa"/>
            <w:bottom w:w="0" w:type="dxa"/>
            <w:right w:w="108" w:type="dxa"/>
          </w:tblCellMar>
        </w:tblPrEx>
        <w:tc>
          <w:tcPr>
            <w:tcW w:w="645" w:type="pct"/>
            <w:vAlign w:val="center"/>
          </w:tcPr>
          <w:p>
            <w:pPr>
              <w:ind w:firstLine="480" w:firstLineChars="200"/>
              <w:rPr>
                <w:rFonts w:ascii="宋体" w:hAnsi="宋体"/>
                <w:sz w:val="20"/>
                <w:szCs w:val="21"/>
              </w:rPr>
            </w:pPr>
          </w:p>
        </w:tc>
        <w:tc>
          <w:tcPr>
            <w:tcW w:w="831" w:type="pct"/>
            <w:vAlign w:val="center"/>
          </w:tcPr>
          <w:p>
            <w:pPr>
              <w:ind w:firstLine="480" w:firstLineChars="200"/>
              <w:rPr>
                <w:rFonts w:ascii="宋体" w:hAnsi="宋体"/>
                <w:sz w:val="20"/>
                <w:szCs w:val="21"/>
              </w:rPr>
            </w:pPr>
          </w:p>
        </w:tc>
        <w:tc>
          <w:tcPr>
            <w:tcW w:w="1164" w:type="pct"/>
            <w:vAlign w:val="center"/>
          </w:tcPr>
          <w:p>
            <w:pPr>
              <w:ind w:firstLine="480" w:firstLineChars="200"/>
              <w:rPr>
                <w:rFonts w:ascii="宋体" w:hAnsi="宋体"/>
                <w:sz w:val="20"/>
                <w:szCs w:val="21"/>
              </w:rPr>
            </w:pPr>
          </w:p>
        </w:tc>
        <w:tc>
          <w:tcPr>
            <w:tcW w:w="498" w:type="pct"/>
            <w:vAlign w:val="center"/>
          </w:tcPr>
          <w:p>
            <w:pPr>
              <w:ind w:firstLine="480" w:firstLineChars="200"/>
              <w:rPr>
                <w:rFonts w:ascii="宋体" w:hAnsi="宋体"/>
                <w:sz w:val="20"/>
                <w:szCs w:val="21"/>
              </w:rPr>
            </w:pPr>
          </w:p>
        </w:tc>
        <w:tc>
          <w:tcPr>
            <w:tcW w:w="582" w:type="pct"/>
            <w:vAlign w:val="center"/>
          </w:tcPr>
          <w:p>
            <w:pPr>
              <w:ind w:firstLine="480" w:firstLineChars="200"/>
              <w:rPr>
                <w:rFonts w:ascii="宋体" w:hAnsi="宋体"/>
                <w:sz w:val="20"/>
                <w:szCs w:val="21"/>
              </w:rPr>
            </w:pPr>
          </w:p>
        </w:tc>
        <w:tc>
          <w:tcPr>
            <w:tcW w:w="1280" w:type="pct"/>
            <w:vAlign w:val="center"/>
          </w:tcPr>
          <w:p>
            <w:pPr>
              <w:ind w:firstLine="480" w:firstLineChars="200"/>
              <w:rPr>
                <w:rFonts w:ascii="宋体" w:hAnsi="宋体"/>
                <w:sz w:val="20"/>
                <w:szCs w:val="21"/>
              </w:rPr>
            </w:pPr>
          </w:p>
        </w:tc>
      </w:tr>
    </w:tbl>
    <w:p>
      <w:pPr>
        <w:rPr>
          <w:b/>
          <w:bCs/>
          <w:sz w:val="24"/>
        </w:rPr>
      </w:pPr>
    </w:p>
    <w:p>
      <w:pPr>
        <w:outlineLvl w:val="3"/>
        <w:rPr>
          <w:rFonts w:ascii="黑体" w:eastAsia="黑体" w:hAnsi="宋体"/>
          <w:bCs/>
          <w:kern w:val="0"/>
          <w:sz w:val="24"/>
          <w:szCs w:val="32"/>
        </w:rPr>
      </w:pPr>
      <w:r>
        <w:rPr>
          <w:rFonts w:ascii="黑体" w:eastAsia="黑体" w:hAnsi="宋体" w:hint="eastAsia"/>
          <w:bCs/>
          <w:kern w:val="0"/>
          <w:sz w:val="24"/>
          <w:szCs w:val="32"/>
        </w:rPr>
        <w:t>（四）</w:t>
      </w:r>
      <w:bookmarkStart w:id="62" w:name="_Hlk72257908"/>
      <w:r>
        <w:rPr>
          <w:rFonts w:ascii="黑体" w:eastAsia="黑体" w:hAnsi="宋体" w:hint="eastAsia"/>
          <w:bCs/>
          <w:kern w:val="0"/>
          <w:sz w:val="24"/>
          <w:szCs w:val="32"/>
        </w:rPr>
        <w:t>中小企业声明函、残疾人福利性单位声明函及监狱企业声明函</w:t>
      </w:r>
    </w:p>
    <w:p>
      <w:pPr>
        <w:rPr>
          <w:color w:val="FF0000"/>
        </w:rPr>
      </w:pPr>
      <w:bookmarkEnd w:id="61"/>
      <w:r>
        <w:rPr>
          <w:rFonts w:hint="eastAsia"/>
          <w:color w:val="FF0000"/>
        </w:rPr>
        <w:t>填写指引：</w:t>
      </w:r>
    </w:p>
    <w:p>
      <w:pPr>
        <w:rPr>
          <w:color w:val="FF0000"/>
        </w:rPr>
      </w:pPr>
      <w:r>
        <w:rPr>
          <w:rFonts w:hint="eastAsia"/>
          <w:color w:val="FF0000"/>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rPr>
          <w:color w:val="FF0000"/>
        </w:rPr>
      </w:pPr>
      <w:r>
        <w:rPr>
          <w:rFonts w:hint="eastAsia"/>
          <w:color w:val="FF0000"/>
        </w:rPr>
        <w:t>2、该部分内容填写需要参考的相关文件：(</w:t>
      </w:r>
      <w:r>
        <w:rPr>
          <w:color w:val="FF0000"/>
        </w:rPr>
        <w:t>1</w:t>
      </w:r>
      <w:r>
        <w:rPr>
          <w:rFonts w:hint="eastAsia"/>
          <w:color w:val="FF0000"/>
        </w:rPr>
        <w:t>)财政部《政府采购促进中小企业发展管理办法》（财库〔2020〕46号）；(</w:t>
      </w:r>
      <w:r>
        <w:rPr>
          <w:color w:val="FF0000"/>
        </w:rPr>
        <w:t>2</w:t>
      </w:r>
      <w:r>
        <w:rPr>
          <w:rFonts w:hint="eastAsia"/>
          <w:color w:val="FF0000"/>
        </w:rPr>
        <w:t>)</w:t>
      </w:r>
      <w:bookmarkStart w:id="63" w:name="_Hlk71925120"/>
      <w:r>
        <w:rPr>
          <w:rFonts w:hint="eastAsia"/>
          <w:color w:val="FF0000"/>
        </w:rPr>
        <w:t>《工业和信息化部、国家统计局、国家发展和改革委员会、财政部关于印发中小企业划型标准规定的通知》（工信部联企业〔2011〕300 号</w:t>
      </w:r>
      <w:bookmarkEnd w:id="63"/>
      <w:r>
        <w:rPr>
          <w:rFonts w:hint="eastAsia"/>
          <w:color w:val="FF0000"/>
        </w:rPr>
        <w:t>，以下简称3</w:t>
      </w:r>
      <w:r>
        <w:rPr>
          <w:color w:val="FF0000"/>
        </w:rPr>
        <w:t>00</w:t>
      </w:r>
      <w:r>
        <w:rPr>
          <w:rFonts w:hint="eastAsia"/>
          <w:color w:val="FF0000"/>
        </w:rPr>
        <w:t>号文）。</w:t>
      </w:r>
    </w:p>
    <w:p>
      <w:pPr>
        <w:rPr>
          <w:color w:val="FF0000"/>
        </w:rPr>
      </w:pPr>
      <w:r>
        <w:rPr>
          <w:rFonts w:hint="eastAsia"/>
          <w:color w:val="FF0000"/>
        </w:rPr>
        <w:t>3、请依照提供的格式和内容填写声明函，不要随意变更格式；声明函不需要盖章或签字；满足多项优惠政策的投标人，不重复享受多项价格扣除政策。</w:t>
      </w:r>
    </w:p>
    <w:p>
      <w:pPr>
        <w:rPr>
          <w:color w:val="FF0000"/>
        </w:rPr>
      </w:pPr>
      <w:r>
        <w:rPr>
          <w:rFonts w:hint="eastAsia"/>
          <w:color w:val="FF0000"/>
        </w:rPr>
        <w:t>4、声明函具体填写要求：</w:t>
      </w:r>
    </w:p>
    <w:p>
      <w:pPr>
        <w:rPr>
          <w:color w:val="FF0000"/>
        </w:rPr>
      </w:pPr>
      <w:r>
        <w:rPr>
          <w:rFonts w:hint="eastAsia"/>
          <w:color w:val="FF0000"/>
        </w:rPr>
        <w:t>（1）声明是中小企业须填写《中小企业声明函》的以下内容：</w:t>
      </w:r>
    </w:p>
    <w:p>
      <w:pPr>
        <w:rPr>
          <w:color w:val="FF0000"/>
        </w:rPr>
      </w:pPr>
      <w:r>
        <w:rPr>
          <w:rFonts w:hint="eastAsia"/>
          <w:color w:val="FF0000"/>
        </w:rPr>
        <w:t>第一处，在“单位名称”下划线处如实填写采购人名称（深圳公共资源交易中心不是本项目的采购人，而是组织实施机构）；</w:t>
      </w:r>
    </w:p>
    <w:p>
      <w:pPr>
        <w:rPr>
          <w:color w:val="FF0000"/>
        </w:rPr>
      </w:pPr>
      <w:r>
        <w:rPr>
          <w:rFonts w:hint="eastAsia"/>
          <w:color w:val="FF0000"/>
        </w:rPr>
        <w:t>第二处，在“项目名称”下划线处如实填写采购项目名称；</w:t>
      </w:r>
    </w:p>
    <w:p>
      <w:pPr>
        <w:rPr>
          <w:color w:val="FF0000"/>
        </w:rPr>
      </w:pPr>
      <w:r>
        <w:rPr>
          <w:rFonts w:hint="eastAsia"/>
          <w:color w:val="FF0000"/>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rPr>
          <w:color w:val="FF0000"/>
        </w:rPr>
      </w:pPr>
      <w:r>
        <w:rPr>
          <w:rFonts w:hint="eastAsia"/>
          <w:color w:val="FF0000"/>
        </w:rPr>
        <w:t>第四处，在“招标文件中明确的所属行业”下划线处填写采购标的对应的中小企业划分标准所属行业（所属行业可在招标文件第一册第二章“对通用条款的补充内容及其他关键信息”章节查看）；</w:t>
      </w:r>
    </w:p>
    <w:p>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rPr>
          <w:color w:val="FF0000"/>
        </w:rPr>
      </w:pPr>
      <w:r>
        <w:rPr>
          <w:rFonts w:hint="eastAsia"/>
          <w:color w:val="FF0000"/>
        </w:rPr>
        <w:t>（2）声明是残疾人福利性单位须填写《残疾人福利性单位声明函》的相关内容，具体参照以上《中小企业声明函》填写要求执行。</w:t>
      </w:r>
    </w:p>
    <w:p>
      <w:pPr>
        <w:rPr>
          <w:color w:val="FF0000"/>
        </w:rPr>
      </w:pPr>
      <w:r>
        <w:rPr>
          <w:rFonts w:hint="eastAsia"/>
          <w:color w:val="FF0000"/>
        </w:rPr>
        <w:t>（3）声明是监狱企业须填写《监狱企业声明函》的三项内容（填写位置的字体已加粗），具体参照以上《中小企业声明函》填写要求执行。</w:t>
      </w:r>
    </w:p>
    <w:p>
      <w:r>
        <w:rPr>
          <w:rFonts w:hint="eastAsia"/>
          <w:color w:val="FF0000"/>
        </w:rPr>
        <w:t>5、声明函的有效性最终由评审委员会判定；如评审委员会判定声明函无效，相关供应商不享受价格扣除（但不作投标无效处理）。</w:t>
      </w:r>
    </w:p>
    <w:p>
      <w:pPr>
        <w:ind w:firstLine="480" w:firstLineChars="200"/>
      </w:pPr>
    </w:p>
    <w:p>
      <w:pPr>
        <w:jc w:val="center"/>
        <w:rPr>
          <w:b/>
          <w:sz w:val="24"/>
        </w:rPr>
      </w:pPr>
      <w:r>
        <w:rPr>
          <w:rFonts w:hint="eastAsia"/>
          <w:b/>
          <w:sz w:val="24"/>
        </w:rPr>
        <w:t>1、</w:t>
      </w:r>
      <w:r>
        <w:rPr>
          <w:b/>
          <w:sz w:val="24"/>
        </w:rPr>
        <w:t xml:space="preserve">中小企业声明函（货物） </w:t>
      </w:r>
    </w:p>
    <w:p>
      <w:pPr>
        <w:ind w:firstLine="480" w:firstLineChars="200"/>
        <w:rPr>
          <w:rFonts w:ascii="宋体" w:hAnsi="宋体"/>
          <w:szCs w:val="21"/>
        </w:rPr>
      </w:pPr>
      <w:r>
        <w:rPr>
          <w:rFonts w:ascii="宋体" w:hAnsi="宋体"/>
          <w:szCs w:val="21"/>
        </w:rPr>
        <w:t>本</w:t>
      </w:r>
      <w:r>
        <w:rPr>
          <w:rFonts w:ascii="宋体" w:hAnsi="宋体" w:hint="eastAsia"/>
          <w:szCs w:val="21"/>
        </w:rPr>
        <w:t>投标人</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 号）的规定，本</w:t>
      </w:r>
      <w:r>
        <w:rPr>
          <w:rFonts w:ascii="宋体" w:hAnsi="宋体" w:hint="eastAsia"/>
          <w:szCs w:val="21"/>
        </w:rPr>
        <w:t>投标人</w:t>
      </w:r>
      <w:r>
        <w:rPr>
          <w:rFonts w:ascii="宋体" w:hAnsi="宋体"/>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pPr>
        <w:ind w:firstLine="48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pPr>
        <w:ind w:firstLine="480" w:firstLineChars="200"/>
        <w:rPr>
          <w:rFonts w:ascii="宋体" w:hAnsi="宋体"/>
          <w:szCs w:val="21"/>
        </w:rPr>
      </w:pPr>
      <w:r>
        <w:rPr>
          <w:rFonts w:ascii="宋体" w:hAnsi="宋体"/>
          <w:szCs w:val="21"/>
        </w:rPr>
        <w:t xml:space="preserve">…… </w:t>
      </w:r>
    </w:p>
    <w:p>
      <w:pPr>
        <w:ind w:firstLine="48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80" w:firstLineChars="200"/>
      </w:pPr>
      <w:bookmarkStart w:id="64"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64"/>
    </w:p>
    <w:p>
      <w:pPr>
        <w:jc w:val="center"/>
        <w:rPr>
          <w:b/>
          <w:sz w:val="24"/>
        </w:rPr>
      </w:pPr>
    </w:p>
    <w:p>
      <w:pPr>
        <w:jc w:val="center"/>
        <w:rPr>
          <w:b/>
          <w:sz w:val="24"/>
        </w:rPr>
      </w:pPr>
      <w:r>
        <w:rPr>
          <w:rFonts w:hint="eastAsia"/>
          <w:b/>
          <w:sz w:val="24"/>
        </w:rPr>
        <w:t>2、残疾人福利性单位声明函（货物类）</w:t>
      </w:r>
    </w:p>
    <w:p>
      <w:pPr>
        <w:rPr>
          <w:b/>
          <w:bCs/>
        </w:rPr>
      </w:pPr>
    </w:p>
    <w:p>
      <w:pPr>
        <w:ind w:firstLine="480" w:firstLineChars="200"/>
        <w:rPr>
          <w:rFonts w:ascii="宋体" w:hAnsi="宋体"/>
          <w:szCs w:val="21"/>
        </w:rPr>
      </w:pPr>
      <w:r>
        <w:rPr>
          <w:rFonts w:ascii="宋体" w:hAnsi="宋体"/>
          <w:szCs w:val="21"/>
        </w:rPr>
        <w:t>本</w:t>
      </w:r>
      <w:r>
        <w:rPr>
          <w:rFonts w:ascii="宋体" w:hAnsi="宋体" w:hint="eastAsia"/>
          <w:szCs w:val="21"/>
        </w:rPr>
        <w:t>投标人郑重声明，根据《财政部民政部中国残疾人联合会关于促进残疾人就业政府采购政策的通知》（财库〔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pPr>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pPr>
        <w:ind w:firstLine="480" w:firstLineChars="200"/>
        <w:rPr>
          <w:rFonts w:ascii="宋体" w:hAnsi="宋体"/>
          <w:szCs w:val="21"/>
        </w:rPr>
      </w:pPr>
      <w:r>
        <w:rPr>
          <w:rFonts w:ascii="宋体" w:hAnsi="宋体"/>
          <w:szCs w:val="21"/>
        </w:rPr>
        <w:t xml:space="preserve">…… </w:t>
      </w:r>
    </w:p>
    <w:p>
      <w:pPr>
        <w:ind w:firstLine="480" w:firstLineChars="200"/>
        <w:rPr>
          <w:rFonts w:ascii="宋体" w:hAnsi="宋体"/>
          <w:szCs w:val="21"/>
        </w:rPr>
      </w:pPr>
      <w:bookmarkStart w:id="65" w:name="_Hlk73562331"/>
      <w:bookmarkStart w:id="66"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65"/>
    </w:p>
    <w:p>
      <w:pPr>
        <w:ind w:firstLine="480" w:firstLineChars="200"/>
        <w:rPr>
          <w:rFonts w:ascii="宋体" w:hAnsi="宋体"/>
          <w:szCs w:val="21"/>
        </w:rPr>
      </w:pPr>
      <w:bookmarkEnd w:id="66"/>
    </w:p>
    <w:p>
      <w:pPr>
        <w:jc w:val="center"/>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ind w:firstLine="48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pPr>
        <w:ind w:firstLine="48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pPr>
        <w:ind w:firstLine="48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pPr>
        <w:ind w:firstLine="480" w:firstLineChars="200"/>
        <w:rPr>
          <w:rFonts w:ascii="宋体" w:hAnsi="宋体"/>
          <w:szCs w:val="21"/>
        </w:rPr>
      </w:pPr>
      <w:r>
        <w:rPr>
          <w:rFonts w:ascii="宋体" w:hAnsi="宋体"/>
          <w:szCs w:val="21"/>
        </w:rPr>
        <w:t xml:space="preserve">…… </w:t>
      </w:r>
    </w:p>
    <w:p>
      <w:pPr>
        <w:ind w:firstLine="480" w:firstLineChars="200"/>
        <w:rPr>
          <w:rFonts w:ascii="宋体" w:hAnsi="宋体"/>
          <w:szCs w:val="21"/>
        </w:rPr>
      </w:pPr>
      <w:r>
        <w:rPr>
          <w:rFonts w:ascii="宋体" w:hAnsi="宋体"/>
          <w:szCs w:val="21"/>
        </w:rPr>
        <w:t>本</w:t>
      </w:r>
      <w:r>
        <w:rPr>
          <w:rFonts w:ascii="宋体" w:hAnsi="宋体" w:hint="eastAsia"/>
          <w:szCs w:val="21"/>
        </w:rPr>
        <w:t>投标人</w:t>
      </w:r>
      <w:r>
        <w:rPr>
          <w:rFonts w:ascii="宋体" w:hAnsi="宋体"/>
          <w:szCs w:val="21"/>
        </w:rPr>
        <w:t>对上述声明内容的真实性负责。如有虚假，将依法承担相应责任。</w:t>
      </w:r>
    </w:p>
    <w:p>
      <w:pPr>
        <w:ind w:firstLine="480" w:firstLineChars="200"/>
        <w:rPr>
          <w:rFonts w:ascii="宋体" w:hAnsi="宋体"/>
          <w:szCs w:val="21"/>
        </w:rPr>
      </w:pPr>
      <w:r>
        <w:rPr>
          <w:rFonts w:ascii="宋体" w:hAnsi="宋体" w:hint="eastAsia"/>
          <w:szCs w:val="21"/>
        </w:rPr>
        <w:t>附：省级以上监狱管理局、戒毒管理局（含新疆生产建设兵团）出具的监狱企业证明文件。</w:t>
      </w:r>
    </w:p>
    <w:p>
      <w:pPr>
        <w:rPr>
          <w:b/>
          <w:bCs/>
          <w:color w:val="FF0000"/>
          <w:sz w:val="24"/>
        </w:rPr>
      </w:pPr>
      <w:bookmarkEnd w:id="62"/>
    </w:p>
    <w:p>
      <w:pPr>
        <w:rPr>
          <w:b/>
          <w:bCs/>
          <w:color w:val="FF0000"/>
          <w:sz w:val="24"/>
        </w:rPr>
      </w:pPr>
    </w:p>
    <w:p>
      <w:pPr>
        <w:pStyle w:val="Heading3"/>
        <w:jc w:val="center"/>
        <w:rPr>
          <w:rFonts w:ascii="黑体" w:eastAsia="黑体"/>
          <w:b w:val="0"/>
          <w:sz w:val="24"/>
          <w:szCs w:val="24"/>
        </w:rPr>
      </w:pPr>
      <w:bookmarkStart w:id="67" w:name="_Hlk72259976"/>
      <w:r>
        <w:rPr>
          <w:rFonts w:ascii="黑体" w:eastAsia="黑体" w:hint="eastAsia"/>
          <w:b w:val="0"/>
          <w:sz w:val="24"/>
          <w:szCs w:val="24"/>
        </w:rPr>
        <w:t>四、项目详细报价</w:t>
      </w:r>
    </w:p>
    <w:p>
      <w:pPr>
        <w:tabs>
          <w:tab w:val="left" w:pos="720"/>
        </w:tabs>
        <w:ind w:firstLine="3120" w:firstLineChars="1300"/>
        <w:rPr>
          <w:b/>
          <w:sz w:val="24"/>
        </w:rPr>
      </w:pPr>
      <w:r>
        <w:rPr>
          <w:rFonts w:hint="eastAsia"/>
          <w:b/>
          <w:sz w:val="24"/>
        </w:rPr>
        <w:t>（一）分项报价表</w:t>
      </w:r>
    </w:p>
    <w:tbl>
      <w:tblPr>
        <w:tblStyle w:val="TableNormal"/>
        <w:tblW w:w="5000" w:type="pct"/>
        <w:tblInd w:w="0" w:type="dxa"/>
        <w:tblLayout w:type="fixed"/>
        <w:tblCellMar>
          <w:top w:w="0" w:type="dxa"/>
          <w:left w:w="108" w:type="dxa"/>
          <w:bottom w:w="0" w:type="dxa"/>
          <w:right w:w="108" w:type="dxa"/>
        </w:tblCellMar>
      </w:tblPr>
      <w:tblGrid>
        <w:gridCol w:w="767"/>
        <w:gridCol w:w="529"/>
        <w:gridCol w:w="1388"/>
        <w:gridCol w:w="1135"/>
        <w:gridCol w:w="668"/>
        <w:gridCol w:w="756"/>
        <w:gridCol w:w="541"/>
        <w:gridCol w:w="403"/>
        <w:gridCol w:w="707"/>
        <w:gridCol w:w="726"/>
        <w:gridCol w:w="901"/>
      </w:tblGrid>
      <w:tr>
        <w:tblPrEx>
          <w:tblW w:w="5000" w:type="pct"/>
          <w:tblInd w:w="0" w:type="dxa"/>
          <w:tblLayout w:type="fixed"/>
          <w:tblCellMar>
            <w:top w:w="0" w:type="dxa"/>
            <w:left w:w="108" w:type="dxa"/>
            <w:bottom w:w="0" w:type="dxa"/>
            <w:right w:w="108" w:type="dxa"/>
          </w:tblCellMar>
        </w:tblPrEx>
        <w:trPr>
          <w:trHeight w:val="1080"/>
        </w:trPr>
        <w:tc>
          <w:tcPr>
            <w:tcW w:w="451"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采购计划编号</w:t>
            </w:r>
          </w:p>
        </w:tc>
        <w:tc>
          <w:tcPr>
            <w:tcW w:w="310"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序号</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货物名称</w:t>
            </w:r>
          </w:p>
        </w:tc>
        <w:tc>
          <w:tcPr>
            <w:tcW w:w="66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规格</w:t>
            </w:r>
            <w:r>
              <w:rPr>
                <w:color w:val="000000"/>
                <w:kern w:val="0"/>
                <w:szCs w:val="21"/>
              </w:rPr>
              <w:t>/</w:t>
            </w:r>
            <w:r>
              <w:rPr>
                <w:rStyle w:val="font31"/>
                <w:rFonts w:hint="default"/>
              </w:rPr>
              <w:t>品牌</w:t>
            </w:r>
            <w:r>
              <w:rPr>
                <w:color w:val="000000"/>
                <w:kern w:val="0"/>
                <w:szCs w:val="21"/>
              </w:rPr>
              <w:t>/</w:t>
            </w:r>
            <w:r>
              <w:rPr>
                <w:rStyle w:val="font31"/>
                <w:rFonts w:hint="default"/>
              </w:rPr>
              <w:t>型号</w:t>
            </w:r>
          </w:p>
        </w:tc>
        <w:tc>
          <w:tcPr>
            <w:tcW w:w="392"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b/>
                <w:bCs/>
                <w:color w:val="FF0000"/>
                <w:szCs w:val="21"/>
              </w:rPr>
            </w:pPr>
            <w:r>
              <w:rPr>
                <w:rFonts w:ascii="宋体" w:hAnsi="宋体" w:cs="宋体" w:hint="eastAsia"/>
                <w:b/>
                <w:bCs/>
                <w:color w:val="FF0000"/>
                <w:kern w:val="0"/>
                <w:szCs w:val="21"/>
              </w:rPr>
              <w:t>原产地</w:t>
            </w:r>
          </w:p>
        </w:tc>
        <w:tc>
          <w:tcPr>
            <w:tcW w:w="44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制造商名称</w:t>
            </w:r>
          </w:p>
        </w:tc>
        <w:tc>
          <w:tcPr>
            <w:tcW w:w="317"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数量</w:t>
            </w:r>
          </w:p>
        </w:tc>
        <w:tc>
          <w:tcPr>
            <w:tcW w:w="23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单位</w:t>
            </w:r>
          </w:p>
        </w:tc>
        <w:tc>
          <w:tcPr>
            <w:tcW w:w="415"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单价</w:t>
            </w:r>
            <w:r>
              <w:rPr>
                <w:color w:val="000000"/>
                <w:kern w:val="0"/>
                <w:szCs w:val="21"/>
              </w:rPr>
              <w:t>(</w:t>
            </w:r>
            <w:r>
              <w:rPr>
                <w:rStyle w:val="font31"/>
                <w:rFonts w:hint="default"/>
              </w:rPr>
              <w:t>元</w:t>
            </w:r>
            <w:r>
              <w:rPr>
                <w:color w:val="000000"/>
                <w:kern w:val="0"/>
                <w:szCs w:val="21"/>
              </w:rPr>
              <w:t>)</w:t>
            </w:r>
          </w:p>
        </w:tc>
        <w:tc>
          <w:tcPr>
            <w:tcW w:w="422"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合价</w:t>
            </w:r>
            <w:r>
              <w:rPr>
                <w:color w:val="000000"/>
                <w:kern w:val="0"/>
                <w:szCs w:val="21"/>
              </w:rPr>
              <w:t>(</w:t>
            </w:r>
            <w:r>
              <w:rPr>
                <w:rStyle w:val="font31"/>
                <w:rFonts w:hint="default"/>
              </w:rPr>
              <w:t>元</w:t>
            </w:r>
            <w:r>
              <w:rPr>
                <w:color w:val="000000"/>
                <w:kern w:val="0"/>
                <w:szCs w:val="21"/>
              </w:rPr>
              <w:t>)</w:t>
            </w:r>
          </w:p>
        </w:tc>
        <w:tc>
          <w:tcPr>
            <w:tcW w:w="527"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财政预算限额（元）</w:t>
            </w:r>
          </w:p>
        </w:tc>
      </w:tr>
      <w:tr>
        <w:tblPrEx>
          <w:tblW w:w="5000" w:type="pct"/>
          <w:tblInd w:w="0" w:type="dxa"/>
          <w:tblLayout w:type="fixed"/>
          <w:tblCellMar>
            <w:top w:w="0" w:type="dxa"/>
            <w:left w:w="108" w:type="dxa"/>
            <w:bottom w:w="0" w:type="dxa"/>
            <w:right w:w="108" w:type="dxa"/>
          </w:tblCellMar>
        </w:tblPrEx>
        <w:trPr>
          <w:trHeight w:val="342"/>
        </w:trPr>
        <w:tc>
          <w:tcPr>
            <w:tcW w:w="451"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color w:val="000000"/>
                <w:szCs w:val="21"/>
              </w:rPr>
            </w:pPr>
            <w:r>
              <w:rPr>
                <w:color w:val="000000"/>
                <w:kern w:val="0"/>
                <w:szCs w:val="21"/>
              </w:rPr>
              <w:t>PLAN-2022-440300000-103609-05967</w:t>
            </w: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一、视频显示系统货物清单</w:t>
            </w:r>
          </w:p>
        </w:tc>
        <w:tc>
          <w:tcPr>
            <w:tcW w:w="527"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22"/>
                <w:szCs w:val="22"/>
              </w:rPr>
            </w:pPr>
            <w:r>
              <w:rPr>
                <w:rFonts w:ascii="宋体" w:hAnsi="宋体" w:cs="宋体" w:hint="eastAsia"/>
                <w:color w:val="000000"/>
                <w:kern w:val="0"/>
                <w:sz w:val="22"/>
                <w:szCs w:val="22"/>
              </w:rPr>
              <w:t>16,671,000.00</w:t>
            </w: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激光投影机（一）</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16</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64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超短焦激光投影机（二）</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幕布</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16</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4</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讲台</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教室电脑主机</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19</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触控显示器</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7</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视频传输器</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8</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对</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8</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无线投屏器</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8</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9</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采集卡</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10</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86寸触控一体机</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22</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11</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65寸触控一体机</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110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12</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智能互动交互系统</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22</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13</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视频矩阵</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4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二、音频及扩声系统货物清单</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64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14</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数字红外无线教学扩声系统主机</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15</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数字红外接收器</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68</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个</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16</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全向麦克风</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只</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17</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数字红外无线麦克风</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只</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18</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有线麦克风</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只</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19</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一进四出网口分路器</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8</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20</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数字音频功率放大器</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21</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扬声器</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34</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对</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4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三、录播系统货物清单</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1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Cs w:val="21"/>
              </w:rPr>
              <w:t>（一）精品录播系统</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22</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精品录播主机</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23</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录播主机管理软件</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24</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教师摄像机</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25</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学生摄像机</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26</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定位摄像机</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1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Cs w:val="21"/>
              </w:rPr>
              <w:t>（二）常态化录播系统</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27</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常态化录播主机</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25</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28</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录播管理软件</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25</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29</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摄像机</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4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四、中央控制系统货物清单</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中控主机</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31</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触控屏</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32</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强电继电器</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33</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16口千兆交换机</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4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五、感知与管理系统货物清单</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34</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调光器</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150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个</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35</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六合一传感器</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个</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36</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RFID标签</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900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张</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37</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RFID阅读器</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4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六、教室监控货物清单</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38</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监控摄像头</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4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七、远程呼叫系统货物清单</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39</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网络管理主机</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40</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网络音频系统软件</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41</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IP网络控制台</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576"/>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42</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IP网络对讲终端</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4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八、信息发布系统货物清单</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43</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显示屏</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4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九、电子时钟系统货物清单</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44</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网络同步电子时钟</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45</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时间服务器</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46</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控制软件</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4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十、教学管理控制中心货物清单</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47</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液晶拼接屏</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9</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48</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液压前维护支架</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9</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49</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落地式机柜</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50</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图像拼接处理器</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64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51</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可视化智慧校园综合信息管理平台</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52</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视频基础服务</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64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53</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智慧教学环境管理系统软件</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64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54</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多媒体教学远程观摩监控系统软件</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55</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大屏控制电脑</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56</w:t>
            </w:r>
          </w:p>
        </w:tc>
        <w:tc>
          <w:tcPr>
            <w:tcW w:w="814"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rPr>
              <w:t>资产设备感知管理平台</w:t>
            </w:r>
          </w:p>
        </w:tc>
        <w:tc>
          <w:tcPr>
            <w:tcW w:w="666"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57</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RFID手持读写器</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4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十</w:t>
            </w:r>
            <w:r>
              <w:rPr>
                <w:rStyle w:val="font71"/>
                <w:rFonts w:hint="default"/>
                <w:u w:val="none"/>
              </w:rPr>
              <w:t>一</w:t>
            </w:r>
            <w:r>
              <w:rPr>
                <w:rStyle w:val="font11"/>
                <w:rFonts w:hint="default"/>
              </w:rPr>
              <w:t>、打铃系统</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58</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音箱</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只</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4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十二、服务器与存储货物清单</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59</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私有云服务器</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60</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物理应用服务器</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10</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64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61</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HD大数据控制节点（一）</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64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62</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HD大数据数据节点（二）</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3</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63</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大数据软件许可</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64</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数据库服务器</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65</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NAS（网盘系统硬件）</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66</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网盘系统软件</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67</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分布式块存储</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68</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数据库存储</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69</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光纤交换机</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70</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备份一体机</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2</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台</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71</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数据库软件</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34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4020" w:type="pct"/>
            <w:gridSpan w:val="9"/>
            <w:tcBorders>
              <w:top w:val="single" w:sz="4" w:space="0" w:color="000000"/>
              <w:left w:val="single" w:sz="4" w:space="0" w:color="000000"/>
              <w:bottom w:val="single" w:sz="4" w:space="0" w:color="000000"/>
              <w:right w:val="single" w:sz="4" w:space="0" w:color="000000"/>
            </w:tcBorders>
          </w:tcPr>
          <w:p>
            <w:pPr>
              <w:rPr>
                <w:rFonts w:ascii="宋体" w:hAnsi="宋体" w:cs="宋体" w:hint="eastAsia"/>
                <w:color w:val="000000"/>
                <w:sz w:val="22"/>
                <w:szCs w:val="22"/>
              </w:rPr>
            </w:pPr>
            <w:r>
              <w:rPr>
                <w:rFonts w:ascii="宋体" w:hAnsi="宋体" w:cs="宋体" w:hint="eastAsia"/>
                <w:b/>
                <w:bCs/>
                <w:color w:val="000000"/>
                <w:kern w:val="0"/>
                <w:sz w:val="24"/>
              </w:rPr>
              <w:t>十三、辅材及其它</w:t>
            </w: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72</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管线</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批</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432"/>
        </w:trPr>
        <w:tc>
          <w:tcPr>
            <w:tcW w:w="451" w:type="pct"/>
            <w:vMerge/>
            <w:tcBorders>
              <w:top w:val="single" w:sz="4" w:space="0" w:color="000000"/>
              <w:left w:val="single" w:sz="4" w:space="0" w:color="000000"/>
              <w:bottom w:val="single" w:sz="4" w:space="0" w:color="000000"/>
              <w:right w:val="single" w:sz="4" w:space="0" w:color="000000"/>
            </w:tcBorders>
          </w:tcPr>
          <w:p>
            <w:pPr>
              <w:jc w:val="center"/>
              <w:rPr>
                <w:color w:val="000000"/>
                <w:szCs w:val="21"/>
              </w:rPr>
            </w:pPr>
          </w:p>
        </w:tc>
        <w:tc>
          <w:tcPr>
            <w:tcW w:w="310"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73</w:t>
            </w:r>
          </w:p>
        </w:tc>
        <w:tc>
          <w:tcPr>
            <w:tcW w:w="814"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系统集成和调试</w:t>
            </w:r>
          </w:p>
        </w:tc>
        <w:tc>
          <w:tcPr>
            <w:tcW w:w="666"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44"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17"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1</w:t>
            </w:r>
          </w:p>
        </w:tc>
        <w:tc>
          <w:tcPr>
            <w:tcW w:w="23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rPr>
              <w:t>套</w:t>
            </w:r>
          </w:p>
        </w:tc>
        <w:tc>
          <w:tcPr>
            <w:tcW w:w="415"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422" w:type="pct"/>
            <w:tcBorders>
              <w:top w:val="single" w:sz="4" w:space="0" w:color="000000"/>
              <w:left w:val="single" w:sz="4" w:space="0" w:color="000000"/>
              <w:bottom w:val="single" w:sz="4" w:space="0" w:color="000000"/>
              <w:right w:val="single" w:sz="4" w:space="0" w:color="000000"/>
            </w:tcBorders>
            <w:vAlign w:val="center"/>
          </w:tcPr>
          <w:p>
            <w:pPr>
              <w:rPr>
                <w:rFonts w:ascii="宋体" w:hAnsi="宋体" w:cs="宋体" w:hint="eastAsia"/>
                <w:color w:val="000000"/>
                <w:sz w:val="22"/>
                <w:szCs w:val="22"/>
              </w:rPr>
            </w:pPr>
          </w:p>
        </w:tc>
        <w:tc>
          <w:tcPr>
            <w:tcW w:w="527"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22"/>
                <w:szCs w:val="22"/>
              </w:rPr>
            </w:pPr>
          </w:p>
        </w:tc>
      </w:tr>
      <w:tr>
        <w:tblPrEx>
          <w:tblW w:w="5000" w:type="pct"/>
          <w:tblInd w:w="0" w:type="dxa"/>
          <w:tblLayout w:type="fixed"/>
          <w:tblCellMar>
            <w:top w:w="0" w:type="dxa"/>
            <w:left w:w="108" w:type="dxa"/>
            <w:bottom w:w="0" w:type="dxa"/>
            <w:right w:w="108" w:type="dxa"/>
          </w:tblCellMar>
        </w:tblPrEx>
        <w:trPr>
          <w:trHeight w:val="288"/>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22"/>
                <w:szCs w:val="22"/>
              </w:rPr>
            </w:pPr>
            <w:r>
              <w:rPr>
                <w:rFonts w:ascii="宋体" w:hAnsi="宋体" w:cs="宋体" w:hint="eastAsia"/>
                <w:color w:val="000000"/>
                <w:kern w:val="0"/>
                <w:sz w:val="22"/>
                <w:szCs w:val="22"/>
              </w:rPr>
              <w:t>合计（即投标总价；币种：人民币；单位：元） 小写：            大写：</w:t>
            </w:r>
          </w:p>
        </w:tc>
      </w:tr>
    </w:tbl>
    <w:p>
      <w:pPr>
        <w:ind w:firstLine="480" w:firstLineChars="200"/>
        <w:rPr>
          <w:rFonts w:ascii="宋体" w:hAnsi="宋体"/>
          <w:b/>
          <w:sz w:val="24"/>
        </w:rPr>
      </w:pPr>
      <w:r>
        <w:rPr>
          <w:rFonts w:ascii="宋体" w:hAnsi="宋体" w:hint="eastAsia"/>
          <w:b/>
          <w:sz w:val="24"/>
        </w:rPr>
        <w:t>注：1.本表可按同样格式扩展。</w:t>
      </w:r>
    </w:p>
    <w:p>
      <w:pPr>
        <w:ind w:firstLine="470" w:firstLineChars="196"/>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如所投货物属于定制类的非量产货物或无具体品牌、型号的货物，可以在“规格/品牌/型号”一栏仅填写规格信息而不填写品牌、型号等信息（品牌、型号信息用“定制”描述即可）；</w:t>
      </w:r>
      <w:bookmarkStart w:id="68" w:name="_Hlk73646428"/>
      <w:r>
        <w:rPr>
          <w:rFonts w:ascii="宋体" w:hAnsi="宋体" w:hint="eastAsia"/>
          <w:b/>
          <w:sz w:val="24"/>
        </w:rPr>
        <w:t>此类填写错误（所投货物为定制类的非量产货物但供应商却错误填报了品牌、型号）的不利后果由供应商承担，</w:t>
      </w:r>
      <w:r>
        <w:rPr>
          <w:rFonts w:hint="eastAsia"/>
          <w:b/>
          <w:sz w:val="24"/>
        </w:rPr>
        <w:t>经评审委员会认定，在使用综合评分法的项目中一项此类填写错误将按照一项招标技术要求负偏离作处理。</w:t>
      </w:r>
      <w:bookmarkEnd w:id="68"/>
    </w:p>
    <w:p>
      <w:pPr>
        <w:ind w:firstLine="470" w:firstLineChars="196"/>
        <w:rPr>
          <w:rFonts w:ascii="宋体" w:hAnsi="宋体"/>
          <w:b/>
          <w:sz w:val="24"/>
        </w:rPr>
      </w:pPr>
      <w:r>
        <w:rPr>
          <w:rFonts w:ascii="宋体" w:hAnsi="宋体"/>
          <w:b/>
          <w:sz w:val="24"/>
        </w:rPr>
        <w:t>3</w:t>
      </w:r>
      <w:r>
        <w:rPr>
          <w:rFonts w:ascii="宋体" w:hAnsi="宋体" w:hint="eastAsia"/>
          <w:b/>
          <w:sz w:val="24"/>
        </w:rPr>
        <w:t>.</w:t>
      </w:r>
      <w:bookmarkStart w:id="69" w:name="_Hlk72074795"/>
      <w:r>
        <w:rPr>
          <w:rFonts w:ascii="宋体" w:hAnsi="宋体" w:hint="eastAsia"/>
          <w:b/>
          <w:sz w:val="24"/>
        </w:rPr>
        <w:t>“原产地”是指该货物的实际生产加工地，而非品牌总公司所在地</w:t>
      </w:r>
      <w:bookmarkEnd w:id="69"/>
      <w:r>
        <w:rPr>
          <w:rFonts w:ascii="宋体" w:hAnsi="宋体" w:hint="eastAsia"/>
          <w:b/>
          <w:sz w:val="24"/>
        </w:rPr>
        <w:t>。</w:t>
      </w:r>
    </w:p>
    <w:p>
      <w:pPr>
        <w:ind w:firstLine="470" w:firstLineChars="196"/>
        <w:rPr>
          <w:rFonts w:ascii="宋体" w:hAnsi="宋体"/>
          <w:b/>
          <w:sz w:val="24"/>
        </w:rPr>
      </w:pPr>
      <w:r>
        <w:rPr>
          <w:rFonts w:ascii="宋体" w:hAnsi="宋体"/>
          <w:b/>
          <w:sz w:val="24"/>
        </w:rPr>
        <w:t>4</w:t>
      </w:r>
      <w:r>
        <w:rPr>
          <w:rFonts w:ascii="宋体" w:hAnsi="宋体" w:hint="eastAsia"/>
          <w:b/>
          <w:sz w:val="24"/>
        </w:rPr>
        <w:t>.所投货物均应填写制造商名称。</w:t>
      </w:r>
    </w:p>
    <w:p>
      <w:pPr>
        <w:ind w:firstLine="480" w:firstLineChars="200"/>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pPr>
        <w:ind w:firstLine="480" w:firstLineChars="200"/>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pPr>
        <w:ind w:firstLine="480" w:firstLineChars="200"/>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.所有价格应按“招标文件”中规定的货币单位填写；投标总价应为以上各分项价格之和；投标总价和项目报价表中单个采购预算条目报价均不得超过对应的财政预算限额，否则将导致投标无效。</w:t>
      </w:r>
    </w:p>
    <w:p>
      <w:pPr>
        <w:ind w:firstLine="480"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80" w:firstLineChars="200"/>
        <w:rPr>
          <w:rFonts w:ascii="宋体" w:hAnsi="宋体"/>
          <w:b/>
          <w:color w:val="FF0000"/>
          <w:sz w:val="24"/>
        </w:rPr>
      </w:pPr>
    </w:p>
    <w:p>
      <w:pPr>
        <w:ind w:firstLine="480" w:firstLineChars="200"/>
        <w:rPr>
          <w:rFonts w:ascii="宋体" w:hAnsi="宋体"/>
          <w:b/>
          <w:sz w:val="24"/>
        </w:rPr>
      </w:pPr>
      <w:r>
        <w:rPr>
          <w:rFonts w:hint="eastAsia"/>
          <w:b/>
          <w:sz w:val="24"/>
        </w:rPr>
        <w:t>我单位所投核心产品的品牌为：</w:t>
      </w:r>
      <w:r>
        <w:rPr>
          <w:rFonts w:hint="eastAsia"/>
          <w:b/>
          <w:bCs/>
          <w:szCs w:val="21"/>
          <w:u w:val="thick"/>
        </w:rPr>
        <w:tab/>
      </w:r>
      <w:r>
        <w:rPr>
          <w:rFonts w:hint="eastAsia"/>
          <w:b/>
          <w:bCs/>
          <w:szCs w:val="21"/>
          <w:u w:val="thick"/>
        </w:rPr>
        <w:tab/>
      </w:r>
      <w:r>
        <w:rPr>
          <w:rFonts w:hint="eastAsia"/>
          <w:b/>
          <w:bCs/>
          <w:szCs w:val="21"/>
          <w:u w:val="thick"/>
        </w:rPr>
        <w:tab/>
      </w:r>
      <w:r>
        <w:rPr>
          <w:rFonts w:hint="eastAsia"/>
          <w:b/>
          <w:bCs/>
          <w:szCs w:val="21"/>
          <w:u w:val="thick"/>
        </w:rPr>
        <w:tab/>
      </w:r>
      <w:r>
        <w:rPr>
          <w:rFonts w:hint="eastAsia"/>
          <w:b/>
          <w:sz w:val="24"/>
        </w:rPr>
        <w:t>。</w:t>
      </w:r>
    </w:p>
    <w:p>
      <w:pPr>
        <w:ind w:firstLine="480" w:firstLineChars="200"/>
        <w:rPr>
          <w:rFonts w:ascii="宋体" w:hAnsi="宋体"/>
          <w:b/>
          <w:color w:val="FF0000"/>
          <w:sz w:val="24"/>
        </w:rPr>
      </w:pPr>
    </w:p>
    <w:p>
      <w:pPr>
        <w:ind w:firstLine="480" w:firstLineChars="200"/>
        <w:rPr>
          <w:rFonts w:ascii="宋体" w:hAnsi="宋体"/>
          <w:sz w:val="24"/>
        </w:rPr>
      </w:pPr>
      <w:r>
        <w:rPr>
          <w:rFonts w:ascii="宋体" w:hAnsi="宋体" w:hint="eastAsia"/>
          <w:sz w:val="24"/>
        </w:rPr>
        <w:t>备注：招标文件未列明核心产品的，无需填写该项。</w:t>
      </w:r>
    </w:p>
    <w:p>
      <w:pPr>
        <w:ind w:firstLine="1200" w:firstLineChars="500"/>
        <w:rPr>
          <w:rFonts w:ascii="宋体" w:hAnsi="宋体"/>
          <w:b/>
          <w:bCs/>
          <w:sz w:val="24"/>
        </w:rPr>
      </w:pPr>
      <w:r>
        <w:rPr>
          <w:rFonts w:ascii="宋体" w:hAnsi="宋体" w:hint="eastAsia"/>
          <w:b/>
          <w:bCs/>
          <w:sz w:val="24"/>
        </w:rPr>
        <w:t>本项目核心产品为：</w:t>
      </w:r>
      <w:r>
        <w:rPr>
          <w:rFonts w:ascii="宋体" w:hAnsi="宋体" w:hint="eastAsia"/>
          <w:b/>
          <w:bCs/>
          <w:sz w:val="24"/>
          <w:u w:val="single"/>
        </w:rPr>
        <w:t>超短焦激光投影机（二）（序号2）</w:t>
      </w:r>
    </w:p>
    <w:p>
      <w:pPr>
        <w:rPr>
          <w:b/>
          <w:sz w:val="24"/>
        </w:rPr>
      </w:pPr>
    </w:p>
    <w:p>
      <w:pPr>
        <w:rPr>
          <w:b/>
          <w:sz w:val="24"/>
        </w:rPr>
      </w:pPr>
    </w:p>
    <w:p>
      <w:pPr>
        <w:tabs>
          <w:tab w:val="left" w:pos="720"/>
        </w:tabs>
        <w:ind w:firstLine="1920" w:firstLineChars="800"/>
        <w:rPr>
          <w:b/>
          <w:sz w:val="24"/>
        </w:rPr>
      </w:pPr>
      <w:r>
        <w:rPr>
          <w:rFonts w:hint="eastAsia"/>
          <w:b/>
          <w:sz w:val="24"/>
        </w:rPr>
        <w:t>（三）可选配件报价清单（不包括在总报价内）</w:t>
      </w:r>
    </w:p>
    <w:p>
      <w:pPr>
        <w:ind w:firstLine="480" w:firstLineChars="200"/>
        <w:rPr>
          <w:rFonts w:hAnsi="宋体"/>
          <w:b/>
          <w:bCs/>
          <w:szCs w:val="21"/>
        </w:rPr>
      </w:pPr>
      <w:r>
        <w:rPr>
          <w:rFonts w:hAnsi="宋体" w:hint="eastAsia"/>
          <w:b/>
          <w:bCs/>
          <w:szCs w:val="21"/>
        </w:rPr>
        <w:t>注：格式可以参照《（一）分项报价表》表格，并提供相应的品牌/规格/型号、原产地、制造商信息（没有品牌、型号的，用“定制”描述即可）、单价等详细信息</w:t>
      </w:r>
    </w:p>
    <w:p>
      <w:pPr>
        <w:ind w:firstLine="480" w:firstLineChars="200"/>
        <w:rPr>
          <w:rFonts w:hAnsi="宋体"/>
          <w:b/>
          <w:bCs/>
          <w:sz w:val="24"/>
        </w:rPr>
      </w:pPr>
    </w:p>
    <w:p>
      <w:pPr>
        <w:ind w:firstLine="480" w:firstLineChars="200"/>
        <w:rPr>
          <w:rFonts w:hAnsi="宋体"/>
          <w:b/>
          <w:bCs/>
          <w:sz w:val="24"/>
        </w:rPr>
      </w:pPr>
    </w:p>
    <w:p>
      <w:pPr>
        <w:tabs>
          <w:tab w:val="left" w:pos="720"/>
        </w:tabs>
        <w:jc w:val="center"/>
        <w:rPr>
          <w:b/>
          <w:sz w:val="24"/>
        </w:rPr>
      </w:pPr>
      <w:r>
        <w:rPr>
          <w:rFonts w:hint="eastAsia"/>
          <w:b/>
          <w:sz w:val="24"/>
        </w:rPr>
        <w:t>（四）</w:t>
      </w:r>
      <w:bookmarkStart w:id="70" w:name="_Hlk72073235"/>
      <w:r>
        <w:rPr>
          <w:rFonts w:hint="eastAsia"/>
          <w:b/>
          <w:sz w:val="24"/>
        </w:rPr>
        <w:t>投标人认为需要涉及的其他内容报价清单</w:t>
      </w:r>
      <w:bookmarkEnd w:id="70"/>
    </w:p>
    <w:p>
      <w:pPr>
        <w:rPr>
          <w:b/>
          <w:bCs/>
        </w:rPr>
      </w:pPr>
    </w:p>
    <w:p/>
    <w:p/>
    <w:p>
      <w:pPr>
        <w:ind w:firstLine="720" w:firstLineChars="300"/>
        <w:rPr>
          <w:b/>
          <w:color w:val="FF0000"/>
          <w:sz w:val="24"/>
        </w:rPr>
      </w:pPr>
      <w:r>
        <w:rPr>
          <w:rFonts w:hint="eastAsia"/>
          <w:b/>
          <w:color w:val="FF0000"/>
          <w:sz w:val="24"/>
        </w:rPr>
        <w:t>（信息公开部分的内容到此为止！以下为信息不公开部分。）</w:t>
      </w:r>
    </w:p>
    <w:p>
      <w:bookmarkEnd w:id="67"/>
      <w:r>
        <w:br w:type="page"/>
      </w:r>
    </w:p>
    <w:p>
      <w:pPr>
        <w:outlineLvl w:val="1"/>
        <w:rPr>
          <w:rFonts w:ascii="宋体" w:hAnsi="宋体"/>
          <w:b/>
          <w:color w:val="FF0000"/>
          <w:sz w:val="28"/>
          <w:szCs w:val="28"/>
        </w:rPr>
      </w:pPr>
      <w:bookmarkStart w:id="71" w:name="_Hlk72260530"/>
      <w:r>
        <w:rPr>
          <w:rFonts w:ascii="宋体" w:hAnsi="宋体" w:hint="eastAsia"/>
          <w:b/>
          <w:color w:val="FF0000"/>
          <w:sz w:val="28"/>
          <w:szCs w:val="28"/>
        </w:rPr>
        <w:t>投标文件附件（信息不公开部分）</w:t>
      </w:r>
    </w:p>
    <w:p>
      <w:pPr>
        <w:pStyle w:val="Heading3"/>
        <w:jc w:val="center"/>
        <w:rPr>
          <w:rFonts w:ascii="黑体" w:eastAsia="黑体"/>
          <w:b w:val="0"/>
          <w:sz w:val="24"/>
        </w:rPr>
      </w:pPr>
      <w:r>
        <w:rPr>
          <w:rFonts w:ascii="黑体" w:eastAsia="黑体" w:hint="eastAsia"/>
          <w:b w:val="0"/>
          <w:sz w:val="24"/>
        </w:rPr>
        <w:t>一、</w:t>
      </w:r>
      <w:bookmarkStart w:id="72" w:name="_Hlk72092499"/>
      <w:r>
        <w:rPr>
          <w:rFonts w:ascii="黑体" w:eastAsia="黑体" w:hint="eastAsia"/>
          <w:b w:val="0"/>
          <w:sz w:val="24"/>
        </w:rPr>
        <w:t>法定代表人（负责人）证明书</w:t>
      </w:r>
      <w:bookmarkEnd w:id="72"/>
    </w:p>
    <w:p>
      <w:pPr>
        <w:rPr>
          <w:sz w:val="24"/>
        </w:rPr>
      </w:pPr>
    </w:p>
    <w:p>
      <w:pPr>
        <w:spacing w:line="360" w:lineRule="auto"/>
        <w:ind w:firstLine="480" w:firstLineChars="200"/>
        <w:rPr>
          <w:szCs w:val="21"/>
        </w:rPr>
      </w:pPr>
      <w:r>
        <w:rPr>
          <w:rFonts w:hint="eastAsia"/>
          <w:szCs w:val="21"/>
          <w:u w:val="single"/>
        </w:rPr>
        <w:t xml:space="preserve">                   </w:t>
      </w:r>
      <w:r>
        <w:rPr>
          <w:rFonts w:hint="eastAsia"/>
          <w:szCs w:val="21"/>
        </w:rPr>
        <w:t xml:space="preserve"> 同志，现任我单位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rPr>
          <w:sz w:val="24"/>
        </w:rPr>
      </w:pPr>
    </w:p>
    <w:p>
      <w:pPr>
        <w:spacing w:line="360" w:lineRule="auto"/>
        <w:ind w:firstLine="480" w:firstLineChars="200"/>
        <w:rPr>
          <w:b/>
          <w:color w:val="FF0000"/>
          <w:szCs w:val="21"/>
        </w:rPr>
      </w:pPr>
      <w:r>
        <w:rPr>
          <w:rFonts w:hint="eastAsia"/>
          <w:b/>
          <w:color w:val="FF0000"/>
          <w:szCs w:val="21"/>
        </w:rPr>
        <w:t>附： 请提供法定代表人（负责人）身份证扫描件（正反两面）；港澳台居民可提供来往通行证扫描件；非中国国籍管辖范围人员，可提供公安部门认可的身份证明材料扫描件。</w:t>
      </w:r>
    </w:p>
    <w:p>
      <w:pPr>
        <w:rPr>
          <w:b/>
          <w:bCs/>
          <w:sz w:val="24"/>
        </w:rPr>
      </w:pPr>
    </w:p>
    <w:p>
      <w:pPr>
        <w:pStyle w:val="Heading3"/>
        <w:spacing w:before="120" w:after="120"/>
        <w:jc w:val="center"/>
        <w:rPr>
          <w:rFonts w:ascii="黑体" w:eastAsia="黑体"/>
          <w:b w:val="0"/>
          <w:sz w:val="24"/>
        </w:rPr>
      </w:pPr>
      <w:r>
        <w:rPr>
          <w:rFonts w:ascii="黑体" w:eastAsia="黑体" w:hint="eastAsia"/>
          <w:b w:val="0"/>
          <w:sz w:val="24"/>
        </w:rPr>
        <w:t>二、投标文件签署授权委托书</w:t>
      </w:r>
    </w:p>
    <w:p>
      <w:pPr>
        <w:spacing w:line="360" w:lineRule="auto"/>
        <w:ind w:firstLine="480" w:firstLineChars="200"/>
        <w:rPr>
          <w:szCs w:val="21"/>
        </w:rPr>
      </w:pPr>
      <w:r>
        <w:rPr>
          <w:rFonts w:hint="eastAsia"/>
          <w:szCs w:val="21"/>
        </w:rPr>
        <w:t>本授权委托书声明：我（姓名）</w:t>
      </w:r>
      <w:r>
        <w:rPr>
          <w:rFonts w:hint="eastAsia"/>
          <w:szCs w:val="21"/>
          <w:u w:val="single"/>
        </w:rPr>
        <w:t xml:space="preserve">           </w:t>
      </w:r>
      <w:r>
        <w:rPr>
          <w:rFonts w:hint="eastAsia"/>
          <w:szCs w:val="21"/>
        </w:rPr>
        <w:t xml:space="preserve"> 系（投标人名称）</w:t>
      </w:r>
      <w:r>
        <w:rPr>
          <w:rFonts w:hint="eastAsia"/>
          <w:szCs w:val="21"/>
          <w:u w:val="single"/>
        </w:rPr>
        <w:t xml:space="preserve">                  </w:t>
      </w:r>
      <w:r>
        <w:rPr>
          <w:rFonts w:hint="eastAsia"/>
          <w:szCs w:val="21"/>
        </w:rPr>
        <w:t xml:space="preserve">  的法定代表人（负责人），现授权委托（姓名）</w:t>
      </w:r>
      <w:r>
        <w:rPr>
          <w:szCs w:val="21"/>
          <w:u w:val="single"/>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pPr>
        <w:pStyle w:val="NormalIndent"/>
        <w:spacing w:line="360" w:lineRule="auto"/>
        <w:rPr>
          <w:szCs w:val="21"/>
        </w:rPr>
      </w:pPr>
      <w:r>
        <w:rPr>
          <w:rFonts w:hint="eastAsia"/>
          <w:szCs w:val="21"/>
        </w:rPr>
        <w:t>代理人无转委托权，特此委托。</w:t>
      </w:r>
    </w:p>
    <w:p>
      <w:pPr>
        <w:pStyle w:val="NormalIndent"/>
        <w:spacing w:line="360" w:lineRule="auto"/>
        <w:rPr>
          <w:szCs w:val="21"/>
        </w:rPr>
      </w:pPr>
    </w:p>
    <w:p>
      <w:pPr>
        <w:pStyle w:val="NormalIndent"/>
        <w:spacing w:line="360" w:lineRule="auto"/>
        <w:ind w:left="617" w:firstLine="0" w:leftChars="257"/>
        <w:rPr>
          <w:szCs w:val="21"/>
        </w:rPr>
      </w:pPr>
      <w:r>
        <w:rPr>
          <w:rFonts w:hint="eastAsia"/>
          <w:szCs w:val="21"/>
        </w:rPr>
        <w:t>代理人：</w:t>
      </w:r>
      <w:r>
        <w:rPr>
          <w:rFonts w:hint="eastAsia"/>
          <w:szCs w:val="21"/>
          <w:u w:val="single"/>
        </w:rPr>
        <w:t xml:space="preserve">                                    </w:t>
      </w:r>
      <w:r>
        <w:rPr>
          <w:rFonts w:hint="eastAsia"/>
          <w:szCs w:val="21"/>
          <w:u w:val="single"/>
        </w:rPr>
        <w:tab/>
      </w:r>
      <w:r>
        <w:rPr>
          <w:rFonts w:hint="eastAsia"/>
          <w:szCs w:val="21"/>
          <w:u w:val="single"/>
        </w:rPr>
        <w:t xml:space="preserve">          </w:t>
      </w:r>
    </w:p>
    <w:p>
      <w:pPr>
        <w:spacing w:line="360" w:lineRule="auto"/>
        <w:ind w:left="617" w:leftChars="257"/>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邮箱：</w:t>
      </w:r>
      <w:r>
        <w:rPr>
          <w:rFonts w:hint="eastAsia"/>
          <w:szCs w:val="21"/>
          <w:u w:val="single"/>
        </w:rPr>
        <w:t xml:space="preserve">                                    </w:t>
      </w:r>
      <w:r>
        <w:rPr>
          <w:rFonts w:hint="eastAsia"/>
          <w:szCs w:val="21"/>
          <w:u w:val="single"/>
        </w:rPr>
        <w:tab/>
      </w:r>
    </w:p>
    <w:p>
      <w:pPr>
        <w:spacing w:line="360" w:lineRule="auto"/>
        <w:ind w:left="617" w:leftChars="257"/>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职务：</w:t>
      </w:r>
      <w:r>
        <w:rPr>
          <w:rFonts w:hint="eastAsia"/>
          <w:szCs w:val="21"/>
          <w:u w:val="single"/>
        </w:rPr>
        <w:t xml:space="preserve">                                    </w:t>
      </w:r>
      <w:r>
        <w:rPr>
          <w:rFonts w:hint="eastAsia"/>
          <w:szCs w:val="21"/>
          <w:u w:val="single"/>
        </w:rPr>
        <w:tab/>
      </w:r>
    </w:p>
    <w:p>
      <w:pPr>
        <w:spacing w:line="360" w:lineRule="auto"/>
        <w:ind w:left="617" w:leftChars="257"/>
        <w:rPr>
          <w:szCs w:val="21"/>
        </w:rPr>
      </w:pPr>
      <w:r>
        <w:rPr>
          <w:rFonts w:hint="eastAsia"/>
          <w:szCs w:val="21"/>
        </w:rPr>
        <w:t>授权委托日期：</w:t>
      </w:r>
      <w:r>
        <w:rPr>
          <w:rFonts w:hint="eastAsia"/>
          <w:szCs w:val="21"/>
          <w:u w:val="single"/>
        </w:rPr>
        <w:t xml:space="preserve">             </w:t>
      </w:r>
      <w:r>
        <w:rPr>
          <w:rFonts w:hint="eastAsia"/>
          <w:szCs w:val="21"/>
        </w:rPr>
        <w:t xml:space="preserve"> 年</w:t>
      </w:r>
      <w:r>
        <w:rPr>
          <w:rFonts w:hint="eastAsia"/>
          <w:szCs w:val="21"/>
          <w:u w:val="single"/>
        </w:rPr>
        <w:t xml:space="preserve">        </w:t>
      </w:r>
      <w:r>
        <w:rPr>
          <w:rFonts w:hint="eastAsia"/>
          <w:szCs w:val="21"/>
          <w:u w:val="single"/>
        </w:rPr>
        <w:tab/>
      </w:r>
      <w:r>
        <w:rPr>
          <w:rFonts w:hint="eastAsia"/>
          <w:szCs w:val="21"/>
        </w:rPr>
        <w:t xml:space="preserve">月  </w:t>
      </w:r>
      <w:r>
        <w:rPr>
          <w:rFonts w:hint="eastAsia"/>
          <w:szCs w:val="21"/>
          <w:u w:val="single"/>
        </w:rPr>
        <w:t xml:space="preserve">             </w:t>
      </w:r>
      <w:r>
        <w:rPr>
          <w:rFonts w:hint="eastAsia"/>
          <w:szCs w:val="21"/>
          <w:u w:val="single"/>
        </w:rPr>
        <w:tab/>
      </w:r>
      <w:r>
        <w:rPr>
          <w:rFonts w:hint="eastAsia"/>
          <w:szCs w:val="21"/>
        </w:rPr>
        <w:t xml:space="preserve"> 日</w:t>
      </w:r>
    </w:p>
    <w:p/>
    <w:p>
      <w:pPr>
        <w:spacing w:line="360" w:lineRule="auto"/>
        <w:ind w:firstLine="480"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pPr>
        <w:spacing w:line="360" w:lineRule="auto"/>
        <w:rPr>
          <w:b/>
          <w:szCs w:val="21"/>
        </w:rPr>
      </w:pPr>
    </w:p>
    <w:p>
      <w:pPr>
        <w:pStyle w:val="Heading3"/>
        <w:jc w:val="center"/>
        <w:rPr>
          <w:rFonts w:ascii="黑体" w:eastAsia="黑体"/>
          <w:b w:val="0"/>
          <w:kern w:val="0"/>
          <w:sz w:val="24"/>
          <w:szCs w:val="24"/>
        </w:rPr>
      </w:pPr>
      <w:r>
        <w:rPr>
          <w:rFonts w:ascii="黑体" w:eastAsia="黑体" w:hint="eastAsia"/>
          <w:b w:val="0"/>
          <w:kern w:val="0"/>
          <w:sz w:val="24"/>
          <w:szCs w:val="24"/>
        </w:rPr>
        <w:t>三、</w:t>
      </w:r>
      <w:bookmarkStart w:id="73" w:name="_Hlk72092634"/>
      <w:r>
        <w:rPr>
          <w:rFonts w:ascii="黑体" w:eastAsia="黑体" w:hint="eastAsia"/>
          <w:b w:val="0"/>
          <w:kern w:val="0"/>
          <w:sz w:val="24"/>
          <w:szCs w:val="24"/>
        </w:rPr>
        <w:t>实质性条款响应情况表</w:t>
      </w:r>
      <w:bookmarkEnd w:id="73"/>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96"/>
        <w:gridCol w:w="5308"/>
        <w:gridCol w:w="1275"/>
        <w:gridCol w:w="812"/>
        <w:gridCol w:w="63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31"/>
        </w:trPr>
        <w:tc>
          <w:tcPr>
            <w:tcW w:w="291" w:type="pct"/>
            <w:vAlign w:val="center"/>
          </w:tcPr>
          <w:p>
            <w:pPr>
              <w:adjustRightInd w:val="0"/>
              <w:snapToGrid w:val="0"/>
              <w:spacing w:line="360" w:lineRule="auto"/>
              <w:jc w:val="center"/>
              <w:rPr>
                <w:rFonts w:ascii="宋体" w:hAnsi="宋体"/>
                <w:kern w:val="0"/>
                <w:szCs w:val="21"/>
              </w:rPr>
            </w:pPr>
            <w:bookmarkStart w:id="74" w:name="_Hlk72092651"/>
            <w:r>
              <w:rPr>
                <w:rFonts w:ascii="宋体" w:hAnsi="宋体" w:hint="eastAsia"/>
                <w:kern w:val="0"/>
                <w:szCs w:val="21"/>
              </w:rPr>
              <w:t>序号</w:t>
            </w:r>
          </w:p>
        </w:tc>
        <w:tc>
          <w:tcPr>
            <w:tcW w:w="3113" w:type="pct"/>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748" w:type="pct"/>
            <w:vAlign w:val="center"/>
          </w:tcPr>
          <w:p>
            <w:pPr>
              <w:adjustRightInd w:val="0"/>
              <w:snapToGrid w:val="0"/>
              <w:spacing w:line="360" w:lineRule="auto"/>
              <w:jc w:val="center"/>
              <w:rPr>
                <w:rFonts w:ascii="宋体" w:hAnsi="宋体"/>
                <w:kern w:val="0"/>
                <w:szCs w:val="21"/>
              </w:rPr>
            </w:pPr>
            <w:r>
              <w:rPr>
                <w:rFonts w:hint="eastAsia"/>
              </w:rPr>
              <w:t>投标响应</w:t>
            </w:r>
          </w:p>
        </w:tc>
        <w:tc>
          <w:tcPr>
            <w:tcW w:w="476" w:type="pct"/>
            <w:vAlign w:val="center"/>
          </w:tcPr>
          <w:p>
            <w:pPr>
              <w:adjustRightInd w:val="0"/>
              <w:snapToGrid w:val="0"/>
              <w:spacing w:line="360" w:lineRule="auto"/>
              <w:jc w:val="center"/>
              <w:rPr>
                <w:rFonts w:ascii="宋体" w:hAnsi="宋体"/>
                <w:kern w:val="0"/>
                <w:szCs w:val="21"/>
              </w:rPr>
            </w:pPr>
            <w:r>
              <w:rPr>
                <w:rFonts w:hint="eastAsia"/>
              </w:rPr>
              <w:t>偏离情况</w:t>
            </w:r>
          </w:p>
        </w:tc>
        <w:tc>
          <w:tcPr>
            <w:tcW w:w="370" w:type="pct"/>
            <w:vAlign w:val="center"/>
          </w:tcPr>
          <w:p>
            <w:pPr>
              <w:adjustRightInd w:val="0"/>
              <w:snapToGrid w:val="0"/>
              <w:spacing w:line="360" w:lineRule="auto"/>
              <w:jc w:val="center"/>
              <w:rPr>
                <w:rFonts w:ascii="宋体" w:hAnsi="宋体"/>
                <w:kern w:val="0"/>
                <w:szCs w:val="21"/>
              </w:rPr>
            </w:pPr>
            <w:r>
              <w:rPr>
                <w:rFonts w:hint="eastAsia"/>
              </w:rPr>
              <w:t>说明</w:t>
            </w:r>
          </w:p>
        </w:tc>
      </w:tr>
      <w:tr>
        <w:tblPrEx>
          <w:tblW w:w="5000" w:type="pct"/>
          <w:tblInd w:w="0" w:type="dxa"/>
          <w:tblCellMar>
            <w:top w:w="0" w:type="dxa"/>
            <w:left w:w="108" w:type="dxa"/>
            <w:bottom w:w="0" w:type="dxa"/>
            <w:right w:w="108" w:type="dxa"/>
          </w:tblCellMar>
        </w:tblPrEx>
        <w:tc>
          <w:tcPr>
            <w:tcW w:w="291" w:type="pct"/>
          </w:tcPr>
          <w:p>
            <w:pPr>
              <w:adjustRightInd w:val="0"/>
              <w:snapToGrid w:val="0"/>
              <w:spacing w:line="360" w:lineRule="auto"/>
              <w:rPr>
                <w:rFonts w:ascii="宋体" w:hAnsi="宋体"/>
                <w:kern w:val="0"/>
                <w:szCs w:val="21"/>
              </w:rPr>
            </w:pPr>
            <w:bookmarkEnd w:id="74"/>
            <w:r>
              <w:rPr>
                <w:rFonts w:ascii="宋体" w:hAnsi="宋体" w:hint="eastAsia"/>
                <w:kern w:val="0"/>
                <w:szCs w:val="21"/>
              </w:rPr>
              <w:t>1</w:t>
            </w:r>
          </w:p>
        </w:tc>
        <w:tc>
          <w:tcPr>
            <w:tcW w:w="3113" w:type="pct"/>
            <w:vAlign w:val="center"/>
          </w:tcPr>
          <w:p>
            <w:pPr>
              <w:adjustRightInd w:val="0"/>
              <w:snapToGrid w:val="0"/>
              <w:spacing w:line="360" w:lineRule="auto"/>
              <w:jc w:val="left"/>
              <w:rPr>
                <w:rFonts w:hAnsi="宋体"/>
                <w:kern w:val="0"/>
                <w:szCs w:val="21"/>
              </w:rPr>
            </w:pPr>
            <w:r>
              <w:rPr>
                <w:rFonts w:hAnsi="宋体" w:hint="eastAsia"/>
                <w:kern w:val="0"/>
                <w:szCs w:val="21"/>
              </w:rPr>
              <w:t>投标文件载明的交货期不超过招标文件规定的期限</w:t>
            </w:r>
          </w:p>
        </w:tc>
        <w:tc>
          <w:tcPr>
            <w:tcW w:w="748" w:type="pct"/>
          </w:tcPr>
          <w:p>
            <w:pPr>
              <w:adjustRightInd w:val="0"/>
              <w:snapToGrid w:val="0"/>
              <w:spacing w:line="360" w:lineRule="auto"/>
              <w:rPr>
                <w:rFonts w:ascii="宋体" w:hAnsi="宋体"/>
                <w:kern w:val="0"/>
                <w:szCs w:val="21"/>
              </w:rPr>
            </w:pPr>
          </w:p>
        </w:tc>
        <w:tc>
          <w:tcPr>
            <w:tcW w:w="476" w:type="pct"/>
          </w:tcPr>
          <w:p>
            <w:pPr>
              <w:adjustRightInd w:val="0"/>
              <w:snapToGrid w:val="0"/>
              <w:spacing w:line="360" w:lineRule="auto"/>
              <w:rPr>
                <w:rFonts w:ascii="宋体" w:hAnsi="宋体"/>
                <w:kern w:val="0"/>
                <w:szCs w:val="21"/>
              </w:rPr>
            </w:pPr>
          </w:p>
        </w:tc>
        <w:tc>
          <w:tcPr>
            <w:tcW w:w="370" w:type="pct"/>
          </w:tcPr>
          <w:p>
            <w:pPr>
              <w:adjustRightInd w:val="0"/>
              <w:snapToGrid w:val="0"/>
              <w:spacing w:line="360" w:lineRule="auto"/>
              <w:rPr>
                <w:rFonts w:ascii="宋体" w:hAnsi="宋体"/>
                <w:kern w:val="0"/>
                <w:szCs w:val="21"/>
              </w:rPr>
            </w:pPr>
          </w:p>
        </w:tc>
      </w:tr>
      <w:tr>
        <w:tblPrEx>
          <w:tblW w:w="5000" w:type="pct"/>
          <w:tblInd w:w="0" w:type="dxa"/>
          <w:tblCellMar>
            <w:top w:w="0" w:type="dxa"/>
            <w:left w:w="108" w:type="dxa"/>
            <w:bottom w:w="0" w:type="dxa"/>
            <w:right w:w="108" w:type="dxa"/>
          </w:tblCellMar>
        </w:tblPrEx>
        <w:tc>
          <w:tcPr>
            <w:tcW w:w="291" w:type="pct"/>
          </w:tcPr>
          <w:p>
            <w:pPr>
              <w:adjustRightInd w:val="0"/>
              <w:snapToGrid w:val="0"/>
              <w:spacing w:line="360" w:lineRule="auto"/>
              <w:rPr>
                <w:rFonts w:ascii="宋体" w:hAnsi="宋体"/>
                <w:kern w:val="0"/>
                <w:szCs w:val="21"/>
              </w:rPr>
            </w:pPr>
            <w:r>
              <w:rPr>
                <w:rFonts w:ascii="宋体" w:hAnsi="宋体" w:hint="eastAsia"/>
                <w:kern w:val="0"/>
                <w:szCs w:val="21"/>
              </w:rPr>
              <w:t>2</w:t>
            </w:r>
          </w:p>
        </w:tc>
        <w:tc>
          <w:tcPr>
            <w:tcW w:w="3113" w:type="pct"/>
            <w:vAlign w:val="center"/>
          </w:tcPr>
          <w:p>
            <w:pPr>
              <w:adjustRightInd w:val="0"/>
              <w:snapToGrid w:val="0"/>
              <w:spacing w:line="360" w:lineRule="auto"/>
              <w:jc w:val="left"/>
              <w:rPr>
                <w:rFonts w:hAnsi="宋体"/>
                <w:kern w:val="0"/>
                <w:szCs w:val="21"/>
              </w:rPr>
            </w:pPr>
            <w:r>
              <w:rPr>
                <w:rFonts w:hAnsi="宋体" w:hint="eastAsia"/>
                <w:kern w:val="0"/>
                <w:szCs w:val="21"/>
              </w:rPr>
              <w:t>投标文件载明的免费保修期不低于招标文件规定的期限</w:t>
            </w:r>
          </w:p>
        </w:tc>
        <w:tc>
          <w:tcPr>
            <w:tcW w:w="748" w:type="pct"/>
          </w:tcPr>
          <w:p>
            <w:pPr>
              <w:adjustRightInd w:val="0"/>
              <w:snapToGrid w:val="0"/>
              <w:spacing w:line="360" w:lineRule="auto"/>
              <w:rPr>
                <w:rFonts w:ascii="宋体" w:hAnsi="宋体"/>
                <w:kern w:val="0"/>
                <w:szCs w:val="21"/>
              </w:rPr>
            </w:pPr>
          </w:p>
        </w:tc>
        <w:tc>
          <w:tcPr>
            <w:tcW w:w="476" w:type="pct"/>
          </w:tcPr>
          <w:p>
            <w:pPr>
              <w:adjustRightInd w:val="0"/>
              <w:snapToGrid w:val="0"/>
              <w:spacing w:line="360" w:lineRule="auto"/>
              <w:rPr>
                <w:rFonts w:ascii="宋体" w:hAnsi="宋体"/>
                <w:kern w:val="0"/>
                <w:szCs w:val="21"/>
              </w:rPr>
            </w:pPr>
          </w:p>
        </w:tc>
        <w:tc>
          <w:tcPr>
            <w:tcW w:w="370" w:type="pct"/>
          </w:tcPr>
          <w:p>
            <w:pPr>
              <w:adjustRightInd w:val="0"/>
              <w:snapToGrid w:val="0"/>
              <w:spacing w:line="360" w:lineRule="auto"/>
              <w:rPr>
                <w:rFonts w:ascii="宋体" w:hAnsi="宋体"/>
                <w:kern w:val="0"/>
                <w:szCs w:val="21"/>
              </w:rPr>
            </w:pPr>
          </w:p>
        </w:tc>
      </w:tr>
      <w:tr>
        <w:tblPrEx>
          <w:tblW w:w="5000" w:type="pct"/>
          <w:tblInd w:w="0" w:type="dxa"/>
          <w:tblCellMar>
            <w:top w:w="0" w:type="dxa"/>
            <w:left w:w="108" w:type="dxa"/>
            <w:bottom w:w="0" w:type="dxa"/>
            <w:right w:w="108" w:type="dxa"/>
          </w:tblCellMar>
        </w:tblPrEx>
        <w:tc>
          <w:tcPr>
            <w:tcW w:w="291" w:type="pct"/>
          </w:tcPr>
          <w:p>
            <w:pPr>
              <w:adjustRightInd w:val="0"/>
              <w:snapToGrid w:val="0"/>
              <w:spacing w:line="360" w:lineRule="auto"/>
              <w:rPr>
                <w:rFonts w:ascii="宋体" w:hAnsi="宋体"/>
                <w:kern w:val="0"/>
                <w:szCs w:val="21"/>
              </w:rPr>
            </w:pPr>
            <w:r>
              <w:rPr>
                <w:rFonts w:ascii="宋体" w:hAnsi="宋体" w:hint="eastAsia"/>
                <w:kern w:val="0"/>
                <w:szCs w:val="21"/>
              </w:rPr>
              <w:t>3</w:t>
            </w:r>
          </w:p>
        </w:tc>
        <w:tc>
          <w:tcPr>
            <w:tcW w:w="3113" w:type="pct"/>
            <w:vAlign w:val="center"/>
          </w:tcPr>
          <w:p>
            <w:pPr>
              <w:adjustRightInd w:val="0"/>
              <w:snapToGrid w:val="0"/>
              <w:spacing w:line="360" w:lineRule="auto"/>
              <w:jc w:val="left"/>
              <w:rPr>
                <w:rFonts w:hAnsi="宋体"/>
                <w:kern w:val="0"/>
                <w:szCs w:val="21"/>
              </w:rPr>
            </w:pPr>
            <w:r>
              <w:rPr>
                <w:rFonts w:hAnsi="宋体" w:hint="eastAsia"/>
                <w:kern w:val="0"/>
                <w:szCs w:val="21"/>
              </w:rPr>
              <w:t>具体技术要求、商务需求中带“★”要求</w:t>
            </w:r>
          </w:p>
        </w:tc>
        <w:tc>
          <w:tcPr>
            <w:tcW w:w="748" w:type="pct"/>
          </w:tcPr>
          <w:p>
            <w:pPr>
              <w:adjustRightInd w:val="0"/>
              <w:snapToGrid w:val="0"/>
              <w:spacing w:line="360" w:lineRule="auto"/>
              <w:rPr>
                <w:rFonts w:ascii="宋体" w:hAnsi="宋体"/>
                <w:kern w:val="0"/>
                <w:szCs w:val="21"/>
              </w:rPr>
            </w:pPr>
          </w:p>
        </w:tc>
        <w:tc>
          <w:tcPr>
            <w:tcW w:w="476" w:type="pct"/>
          </w:tcPr>
          <w:p>
            <w:pPr>
              <w:adjustRightInd w:val="0"/>
              <w:snapToGrid w:val="0"/>
              <w:spacing w:line="360" w:lineRule="auto"/>
              <w:rPr>
                <w:rFonts w:ascii="宋体" w:hAnsi="宋体"/>
                <w:kern w:val="0"/>
                <w:szCs w:val="21"/>
              </w:rPr>
            </w:pPr>
          </w:p>
        </w:tc>
        <w:tc>
          <w:tcPr>
            <w:tcW w:w="370" w:type="pct"/>
          </w:tcPr>
          <w:p>
            <w:pPr>
              <w:adjustRightInd w:val="0"/>
              <w:snapToGrid w:val="0"/>
              <w:spacing w:line="360" w:lineRule="auto"/>
              <w:rPr>
                <w:rFonts w:ascii="宋体" w:hAnsi="宋体"/>
                <w:kern w:val="0"/>
                <w:szCs w:val="21"/>
              </w:rPr>
            </w:pPr>
          </w:p>
        </w:tc>
      </w:tr>
    </w:tbl>
    <w:p>
      <w:pPr>
        <w:ind w:firstLine="480" w:firstLineChars="200"/>
        <w:rPr>
          <w:b/>
          <w:sz w:val="24"/>
          <w:szCs w:val="22"/>
        </w:rPr>
      </w:pPr>
    </w:p>
    <w:p>
      <w:pPr>
        <w:ind w:firstLine="480" w:firstLineChars="200"/>
        <w:rPr>
          <w:b/>
          <w:sz w:val="24"/>
          <w:szCs w:val="22"/>
        </w:rPr>
      </w:pPr>
      <w:r>
        <w:rPr>
          <w:rFonts w:hint="eastAsia"/>
          <w:b/>
          <w:sz w:val="24"/>
          <w:szCs w:val="22"/>
        </w:rPr>
        <w:t>注：1. 上表所列各项均为不可负偏离条款。</w:t>
      </w:r>
    </w:p>
    <w:p>
      <w:pPr>
        <w:ind w:firstLine="480"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0" w:firstLineChars="200"/>
        <w:rPr>
          <w:b/>
          <w:sz w:val="24"/>
        </w:rPr>
      </w:pPr>
      <w:r>
        <w:rPr>
          <w:b/>
          <w:sz w:val="24"/>
        </w:rPr>
        <w:t>4.</w:t>
      </w:r>
      <w:r>
        <w:rPr>
          <w:rFonts w:hint="eastAsia"/>
          <w:b/>
          <w:sz w:val="24"/>
        </w:rPr>
        <w:t>评审委员会有权对投标响应情况作出判断（作出评审结论）。</w:t>
      </w:r>
    </w:p>
    <w:p>
      <w:pPr>
        <w:ind w:firstLine="480"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bookmarkEnd w:id="71"/>
    </w:p>
    <w:p>
      <w:pPr>
        <w:rPr>
          <w:sz w:val="24"/>
        </w:rPr>
      </w:pPr>
    </w:p>
    <w:p>
      <w:pPr>
        <w:pStyle w:val="Heading3"/>
        <w:jc w:val="center"/>
        <w:rPr>
          <w:sz w:val="24"/>
        </w:rPr>
      </w:pPr>
      <w:r>
        <w:rPr>
          <w:rFonts w:ascii="黑体" w:eastAsia="黑体" w:hint="eastAsia"/>
          <w:b w:val="0"/>
          <w:sz w:val="24"/>
          <w:szCs w:val="24"/>
        </w:rPr>
        <w:t>四、技术要求偏离表</w:t>
      </w:r>
    </w:p>
    <w:tbl>
      <w:tblPr>
        <w:tblStyle w:val="TableNormal"/>
        <w:tblW w:w="4997" w:type="pct"/>
        <w:tblInd w:w="0" w:type="dxa"/>
        <w:tblCellMar>
          <w:top w:w="0" w:type="dxa"/>
          <w:left w:w="108" w:type="dxa"/>
          <w:bottom w:w="0" w:type="dxa"/>
          <w:right w:w="108" w:type="dxa"/>
        </w:tblCellMar>
      </w:tblPr>
      <w:tblGrid>
        <w:gridCol w:w="638"/>
        <w:gridCol w:w="936"/>
        <w:gridCol w:w="3906"/>
        <w:gridCol w:w="1835"/>
        <w:gridCol w:w="716"/>
        <w:gridCol w:w="486"/>
      </w:tblGrid>
      <w:tr>
        <w:tblPrEx>
          <w:tblW w:w="4997" w:type="pct"/>
          <w:tblInd w:w="0" w:type="dxa"/>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b/>
                <w:bCs/>
                <w:color w:val="000000"/>
                <w:szCs w:val="21"/>
              </w:rPr>
            </w:pPr>
            <w:bookmarkStart w:id="75" w:name="_Hlk72095977"/>
            <w:r>
              <w:rPr>
                <w:rFonts w:hint="eastAsia"/>
                <w:sz w:val="24"/>
              </w:rPr>
              <w:t>序号</w:t>
            </w:r>
          </w:p>
        </w:tc>
        <w:tc>
          <w:tcPr>
            <w:tcW w:w="846"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b/>
                <w:bCs/>
                <w:color w:val="000000"/>
                <w:szCs w:val="21"/>
              </w:rPr>
            </w:pPr>
            <w:r>
              <w:rPr>
                <w:rFonts w:hint="eastAsia"/>
                <w:sz w:val="24"/>
              </w:rPr>
              <w:t>货物名称</w:t>
            </w:r>
          </w:p>
        </w:tc>
        <w:tc>
          <w:tcPr>
            <w:tcW w:w="3909"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b/>
                <w:bCs/>
                <w:color w:val="000000"/>
                <w:szCs w:val="21"/>
              </w:rPr>
            </w:pPr>
            <w:r>
              <w:rPr>
                <w:rFonts w:hint="eastAsia"/>
                <w:sz w:val="24"/>
              </w:rPr>
              <w:t>招标技术要求</w:t>
            </w:r>
          </w:p>
        </w:tc>
        <w:tc>
          <w:tcPr>
            <w:tcW w:w="1867"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b/>
                <w:bCs/>
                <w:color w:val="000000"/>
                <w:kern w:val="0"/>
                <w:szCs w:val="21"/>
              </w:rPr>
            </w:pPr>
            <w:r>
              <w:rPr>
                <w:rFonts w:hint="eastAsia"/>
                <w:sz w:val="24"/>
              </w:rPr>
              <w:t>投标技术响应</w:t>
            </w:r>
          </w:p>
        </w:tc>
        <w:tc>
          <w:tcPr>
            <w:tcW w:w="747"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b/>
                <w:bCs/>
                <w:color w:val="000000"/>
                <w:kern w:val="0"/>
                <w:szCs w:val="21"/>
              </w:rPr>
            </w:pPr>
            <w:r>
              <w:rPr>
                <w:rFonts w:hint="eastAsia"/>
                <w:sz w:val="24"/>
              </w:rPr>
              <w:t>偏离情况</w:t>
            </w:r>
          </w:p>
        </w:tc>
        <w:tc>
          <w:tcPr>
            <w:tcW w:w="517" w:type="dxa"/>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b/>
                <w:bCs/>
                <w:color w:val="000000"/>
                <w:kern w:val="0"/>
                <w:szCs w:val="21"/>
              </w:rPr>
            </w:pPr>
            <w:r>
              <w:rPr>
                <w:rFonts w:hint="eastAsia"/>
                <w:sz w:val="24"/>
              </w:rPr>
              <w:t>说明</w:t>
            </w: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一、</w:t>
            </w:r>
            <w:r>
              <w:rPr>
                <w:rStyle w:val="font21"/>
                <w:rFonts w:hint="default"/>
              </w:rPr>
              <w:t>视频显示系统</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激光投影机（一）</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1.</w:t>
            </w:r>
            <w:r>
              <w:rPr>
                <w:rStyle w:val="font51"/>
                <w:rFonts w:hint="default"/>
              </w:rPr>
              <w:t xml:space="preserve"> ▲亮度：≥</w:t>
            </w:r>
            <w:r>
              <w:rPr>
                <w:rStyle w:val="font01"/>
              </w:rPr>
              <w:t>6000LM</w:t>
            </w:r>
            <w:r>
              <w:rPr>
                <w:rStyle w:val="font51"/>
                <w:rFonts w:hint="default"/>
              </w:rPr>
              <w:t>；</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2.</w:t>
            </w:r>
            <w:r>
              <w:rPr>
                <w:rStyle w:val="font51"/>
                <w:rFonts w:hint="default"/>
              </w:rPr>
              <w:t xml:space="preserve"> ▲分辨率：≥</w:t>
            </w:r>
            <w:r>
              <w:rPr>
                <w:rStyle w:val="font01"/>
              </w:rPr>
              <w:t xml:space="preserve">WUXGA </w:t>
            </w:r>
            <w:r>
              <w:rPr>
                <w:rStyle w:val="font51"/>
                <w:rFonts w:hint="default"/>
              </w:rPr>
              <w:t>（</w:t>
            </w:r>
            <w:r>
              <w:rPr>
                <w:rStyle w:val="font01"/>
              </w:rPr>
              <w:t>1920 x 1200</w:t>
            </w:r>
            <w:r>
              <w:rPr>
                <w:rStyle w:val="font51"/>
                <w:rFonts w:hint="default"/>
              </w:rPr>
              <w:t>）；</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3.</w:t>
            </w:r>
            <w:r>
              <w:rPr>
                <w:rStyle w:val="font51"/>
                <w:rFonts w:hint="default"/>
              </w:rPr>
              <w:t>显示宽高比：</w:t>
            </w:r>
            <w:r>
              <w:rPr>
                <w:rStyle w:val="font01"/>
              </w:rPr>
              <w:t>16</w:t>
            </w:r>
            <w:r>
              <w:rPr>
                <w:rStyle w:val="font51"/>
                <w:rFonts w:hint="default"/>
              </w:rPr>
              <w:t>：</w:t>
            </w:r>
            <w:r>
              <w:rPr>
                <w:rStyle w:val="font01"/>
              </w:rPr>
              <w:t>10</w:t>
            </w:r>
            <w:r>
              <w:rPr>
                <w:rStyle w:val="font51"/>
                <w:rFonts w:hint="default"/>
              </w:rPr>
              <w:t>或</w:t>
            </w:r>
            <w:r>
              <w:rPr>
                <w:rStyle w:val="font01"/>
              </w:rPr>
              <w:t>16</w:t>
            </w:r>
            <w:r>
              <w:rPr>
                <w:rStyle w:val="font51"/>
                <w:rFonts w:hint="default"/>
              </w:rPr>
              <w:t>：</w:t>
            </w:r>
            <w:r>
              <w:rPr>
                <w:rStyle w:val="font01"/>
              </w:rPr>
              <w:t>9</w:t>
            </w:r>
            <w:r>
              <w:rPr>
                <w:rStyle w:val="font51"/>
                <w:rFonts w:hint="default"/>
              </w:rPr>
              <w:t>；</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4.</w:t>
            </w:r>
            <w:r>
              <w:rPr>
                <w:rStyle w:val="font51"/>
                <w:rFonts w:hint="default"/>
              </w:rPr>
              <w:t>对比度：≥</w:t>
            </w:r>
            <w:r>
              <w:rPr>
                <w:rStyle w:val="font01"/>
              </w:rPr>
              <w:t>1000000:1</w:t>
            </w:r>
            <w:r>
              <w:rPr>
                <w:rStyle w:val="font51"/>
                <w:rFonts w:hint="default"/>
              </w:rPr>
              <w:t>；</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5.</w:t>
            </w:r>
            <w:r>
              <w:rPr>
                <w:rStyle w:val="font51"/>
                <w:rFonts w:hint="default"/>
              </w:rPr>
              <w:t>显示技术：</w:t>
            </w:r>
            <w:r>
              <w:rPr>
                <w:rStyle w:val="font01"/>
              </w:rPr>
              <w:t>3LCD</w:t>
            </w:r>
            <w:r>
              <w:rPr>
                <w:rStyle w:val="font51"/>
                <w:rFonts w:hint="default"/>
              </w:rPr>
              <w:t>；</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6.</w:t>
            </w:r>
            <w:r>
              <w:rPr>
                <w:rStyle w:val="font51"/>
                <w:rFonts w:hint="default"/>
              </w:rPr>
              <w:t>投射比：≤</w:t>
            </w:r>
            <w:r>
              <w:rPr>
                <w:rStyle w:val="font01"/>
              </w:rPr>
              <w:t>1.4-2.2</w:t>
            </w:r>
            <w:r>
              <w:rPr>
                <w:rStyle w:val="font51"/>
                <w:rFonts w:hint="default"/>
              </w:rPr>
              <w:t>；</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7.</w:t>
            </w:r>
            <w:r>
              <w:rPr>
                <w:rStyle w:val="font51"/>
                <w:rFonts w:hint="default"/>
              </w:rPr>
              <w:t>镜头位移：≥±</w:t>
            </w:r>
            <w:r>
              <w:rPr>
                <w:rStyle w:val="font01"/>
              </w:rPr>
              <w:t>50%</w:t>
            </w:r>
            <w:r>
              <w:rPr>
                <w:rStyle w:val="font51"/>
                <w:rFonts w:hint="default"/>
              </w:rPr>
              <w:t>（垂直），≥±</w:t>
            </w:r>
            <w:r>
              <w:rPr>
                <w:rStyle w:val="font01"/>
              </w:rPr>
              <w:t>20%</w:t>
            </w:r>
            <w:r>
              <w:rPr>
                <w:rStyle w:val="font51"/>
                <w:rFonts w:hint="default"/>
              </w:rPr>
              <w:t>（水平）</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sz w:val="18"/>
                <w:szCs w:val="18"/>
              </w:rPr>
            </w:pPr>
            <w:r>
              <w:rPr>
                <w:color w:val="000000"/>
                <w:kern w:val="0"/>
                <w:sz w:val="18"/>
                <w:szCs w:val="18"/>
              </w:rPr>
              <w:t>8.</w:t>
            </w:r>
            <w:r>
              <w:rPr>
                <w:rStyle w:val="font51"/>
                <w:rFonts w:hint="default"/>
              </w:rPr>
              <w:t>输入接口：≥</w:t>
            </w:r>
            <w:r>
              <w:rPr>
                <w:rStyle w:val="font01"/>
              </w:rPr>
              <w:t>HDMI</w:t>
            </w:r>
            <w:r>
              <w:rPr>
                <w:rStyle w:val="font51"/>
                <w:rFonts w:hint="default"/>
              </w:rPr>
              <w:t>×</w:t>
            </w:r>
            <w:r>
              <w:rPr>
                <w:rStyle w:val="font01"/>
              </w:rPr>
              <w:t>2</w:t>
            </w:r>
            <w:r>
              <w:rPr>
                <w:rStyle w:val="font51"/>
                <w:rFonts w:hint="default"/>
              </w:rPr>
              <w:t>、</w:t>
            </w:r>
            <w:r>
              <w:rPr>
                <w:rStyle w:val="font01"/>
              </w:rPr>
              <w:t>HDBaseT</w:t>
            </w:r>
            <w:r>
              <w:rPr>
                <w:rStyle w:val="font51"/>
                <w:rFonts w:hint="default"/>
              </w:rPr>
              <w:t>×</w:t>
            </w:r>
            <w:r>
              <w:rPr>
                <w:rStyle w:val="font01"/>
              </w:rPr>
              <w:t>1</w:t>
            </w:r>
            <w:r>
              <w:rPr>
                <w:rStyle w:val="font51"/>
                <w:rFonts w:hint="default"/>
              </w:rPr>
              <w:t>、</w:t>
            </w:r>
            <w:r>
              <w:rPr>
                <w:rStyle w:val="font01"/>
              </w:rPr>
              <w:t>VGA</w:t>
            </w:r>
            <w:r>
              <w:rPr>
                <w:rStyle w:val="font51"/>
                <w:rFonts w:hint="default"/>
              </w:rPr>
              <w:t>×</w:t>
            </w:r>
            <w:r>
              <w:rPr>
                <w:rStyle w:val="font01"/>
              </w:rPr>
              <w:t>2</w:t>
            </w:r>
            <w:r>
              <w:rPr>
                <w:rStyle w:val="font51"/>
                <w:rFonts w:hint="default"/>
              </w:rPr>
              <w:t>、</w:t>
            </w:r>
            <w:r>
              <w:rPr>
                <w:rStyle w:val="font01"/>
              </w:rPr>
              <w:t>RS-232C</w:t>
            </w:r>
            <w:r>
              <w:rPr>
                <w:rStyle w:val="font51"/>
                <w:rFonts w:hint="default"/>
              </w:rPr>
              <w:t>×</w:t>
            </w:r>
            <w:r>
              <w:rPr>
                <w:rStyle w:val="font01"/>
              </w:rPr>
              <w:t>1</w:t>
            </w:r>
            <w:r>
              <w:rPr>
                <w:rStyle w:val="font51"/>
                <w:rFonts w:hint="default"/>
              </w:rPr>
              <w:t>，</w:t>
            </w:r>
            <w:r>
              <w:rPr>
                <w:rStyle w:val="font01"/>
              </w:rPr>
              <w:t>RJ45</w:t>
            </w:r>
            <w:r>
              <w:rPr>
                <w:rStyle w:val="font51"/>
                <w:rFonts w:hint="default"/>
              </w:rPr>
              <w:t>×</w:t>
            </w:r>
            <w:r>
              <w:rPr>
                <w:rStyle w:val="font01"/>
              </w:rPr>
              <w:t>1</w:t>
            </w:r>
            <w:r>
              <w:rPr>
                <w:rStyle w:val="font51"/>
                <w:rFonts w:hint="default"/>
              </w:rPr>
              <w:t>；</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color w:val="000000"/>
                <w:kern w:val="0"/>
                <w:sz w:val="18"/>
                <w:szCs w:val="18"/>
              </w:rPr>
            </w:pPr>
          </w:p>
        </w:tc>
      </w:tr>
      <w:tr>
        <w:tblPrEx>
          <w:tblW w:w="4997" w:type="pct"/>
          <w:tblInd w:w="0" w:type="dxa"/>
          <w:tblCellMar>
            <w:top w:w="0" w:type="dxa"/>
            <w:left w:w="108" w:type="dxa"/>
            <w:bottom w:w="0" w:type="dxa"/>
            <w:right w:w="108" w:type="dxa"/>
          </w:tblCellMar>
        </w:tblPrEx>
        <w:trPr>
          <w:trHeight w:val="272"/>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sz w:val="18"/>
                <w:szCs w:val="18"/>
              </w:rPr>
            </w:pPr>
            <w:r>
              <w:rPr>
                <w:color w:val="000000"/>
                <w:kern w:val="0"/>
                <w:sz w:val="18"/>
                <w:szCs w:val="18"/>
              </w:rPr>
              <w:t>9.</w:t>
            </w:r>
            <w:r>
              <w:rPr>
                <w:rStyle w:val="font51"/>
                <w:rFonts w:hint="default"/>
              </w:rPr>
              <w:t>光源寿命：≥</w:t>
            </w:r>
            <w:r>
              <w:rPr>
                <w:rStyle w:val="font01"/>
              </w:rPr>
              <w:t>20000</w:t>
            </w:r>
            <w:r>
              <w:rPr>
                <w:rStyle w:val="font51"/>
                <w:rFonts w:hint="default"/>
              </w:rPr>
              <w:t>小时；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kern w:val="0"/>
                <w:sz w:val="18"/>
                <w:szCs w:val="18"/>
              </w:rPr>
            </w:pPr>
          </w:p>
        </w:tc>
      </w:tr>
      <w:tr>
        <w:tblPrEx>
          <w:tblW w:w="4997" w:type="pct"/>
          <w:tblInd w:w="0" w:type="dxa"/>
          <w:tblCellMar>
            <w:top w:w="0" w:type="dxa"/>
            <w:left w:w="108" w:type="dxa"/>
            <w:bottom w:w="0" w:type="dxa"/>
            <w:right w:w="108" w:type="dxa"/>
          </w:tblCellMar>
        </w:tblPrEx>
        <w:trPr>
          <w:trHeight w:val="272"/>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vMerge/>
            <w:tcBorders>
              <w:top w:val="single" w:sz="4" w:space="0" w:color="000000"/>
              <w:left w:val="single" w:sz="4" w:space="0" w:color="000000"/>
              <w:bottom w:val="single" w:sz="4" w:space="0" w:color="000000"/>
              <w:right w:val="single" w:sz="4" w:space="0" w:color="000000"/>
            </w:tcBorders>
            <w:vAlign w:val="center"/>
          </w:tcPr>
          <w:p>
            <w:pPr>
              <w:jc w:val="center"/>
              <w:rPr>
                <w:color w:val="000000"/>
                <w:sz w:val="18"/>
                <w:szCs w:val="18"/>
              </w:rPr>
            </w:pPr>
          </w:p>
        </w:tc>
        <w:tc>
          <w:tcPr>
            <w:tcW w:w="1095" w:type="pct"/>
            <w:tcBorders>
              <w:top w:val="single" w:sz="4" w:space="0" w:color="000000"/>
              <w:left w:val="single" w:sz="4" w:space="0" w:color="000000"/>
              <w:bottom w:val="single" w:sz="4" w:space="0" w:color="000000"/>
              <w:right w:val="single" w:sz="4" w:space="0" w:color="000000"/>
            </w:tcBorders>
            <w:vAlign w:val="center"/>
          </w:tcPr>
          <w:p>
            <w:pPr>
              <w:jc w:val="center"/>
              <w:rPr>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jc w:val="center"/>
              <w:rPr>
                <w:color w:val="00000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jc w:val="center"/>
              <w:rPr>
                <w:color w:val="000000"/>
                <w:sz w:val="18"/>
                <w:szCs w:val="18"/>
              </w:rPr>
            </w:pPr>
          </w:p>
        </w:tc>
      </w:tr>
      <w:tr>
        <w:tblPrEx>
          <w:tblW w:w="4997" w:type="pct"/>
          <w:tblInd w:w="0" w:type="dxa"/>
          <w:tblCellMar>
            <w:top w:w="0" w:type="dxa"/>
            <w:left w:w="108" w:type="dxa"/>
            <w:bottom w:w="0" w:type="dxa"/>
            <w:right w:w="108" w:type="dxa"/>
          </w:tblCellMar>
        </w:tblPrEx>
        <w:trPr>
          <w:trHeight w:val="465"/>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超短焦激光投影机（二）</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b/>
                <w:bCs/>
                <w:color w:val="FF0000"/>
                <w:sz w:val="18"/>
                <w:szCs w:val="18"/>
              </w:rPr>
            </w:pPr>
            <w:r>
              <w:rPr>
                <w:b/>
                <w:bCs/>
                <w:color w:val="FF0000"/>
                <w:kern w:val="0"/>
                <w:sz w:val="18"/>
                <w:szCs w:val="18"/>
              </w:rPr>
              <w:t xml:space="preserve">1. </w:t>
            </w:r>
            <w:r>
              <w:rPr>
                <w:rStyle w:val="font81"/>
                <w:rFonts w:hint="default"/>
              </w:rPr>
              <w:t>▲亮度：≥</w:t>
            </w:r>
            <w:r>
              <w:rPr>
                <w:rStyle w:val="font41"/>
              </w:rPr>
              <w:t>5000LM</w:t>
            </w:r>
            <w:r>
              <w:rPr>
                <w:rStyle w:val="font81"/>
                <w:rFonts w:hint="default"/>
              </w:rPr>
              <w:t>；提供第三方检测机构出具的带有</w:t>
            </w:r>
            <w:r>
              <w:rPr>
                <w:rStyle w:val="font41"/>
              </w:rPr>
              <w:t>CMA</w:t>
            </w:r>
            <w:r>
              <w:rPr>
                <w:rStyle w:val="font81"/>
                <w:rFonts w:hint="default"/>
              </w:rPr>
              <w:t>和</w:t>
            </w:r>
            <w:r>
              <w:rPr>
                <w:rStyle w:val="font41"/>
              </w:rPr>
              <w:t>CNAS</w:t>
            </w:r>
            <w:r>
              <w:rPr>
                <w:rStyle w:val="font81"/>
                <w:rFonts w:hint="default"/>
              </w:rPr>
              <w:t>标识的检测报告扫描件，原件备查；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sz w:val="18"/>
                <w:szCs w:val="18"/>
              </w:rPr>
            </w:pPr>
            <w:r>
              <w:rPr>
                <w:color w:val="000000"/>
                <w:kern w:val="0"/>
                <w:sz w:val="18"/>
                <w:szCs w:val="18"/>
              </w:rPr>
              <w:t>2.</w:t>
            </w:r>
            <w:r>
              <w:rPr>
                <w:rFonts w:ascii="宋体" w:hAnsi="宋体" w:cs="宋体" w:hint="eastAsia"/>
                <w:color w:val="000000"/>
                <w:kern w:val="0"/>
                <w:sz w:val="18"/>
                <w:szCs w:val="18"/>
              </w:rPr>
              <w:t xml:space="preserve"> ▲</w:t>
            </w:r>
            <w:r>
              <w:rPr>
                <w:rStyle w:val="font51"/>
                <w:rFonts w:hint="default"/>
              </w:rPr>
              <w:t>分辨率：≥</w:t>
            </w:r>
            <w:r>
              <w:rPr>
                <w:rStyle w:val="font01"/>
              </w:rPr>
              <w:t>1920 x 1080</w:t>
            </w:r>
            <w:r>
              <w:rPr>
                <w:rStyle w:val="font51"/>
                <w:rFonts w:hint="default"/>
              </w:rPr>
              <w:t>；</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3.显示宽高比：16：10或16：9；</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4.对比度：≥1000000:1；</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sz w:val="18"/>
                <w:szCs w:val="18"/>
              </w:rPr>
            </w:pPr>
            <w:r>
              <w:rPr>
                <w:color w:val="000000"/>
                <w:kern w:val="0"/>
                <w:sz w:val="18"/>
                <w:szCs w:val="18"/>
              </w:rPr>
              <w:t>5.</w:t>
            </w:r>
            <w:r>
              <w:rPr>
                <w:rStyle w:val="font51"/>
                <w:rFonts w:hint="default"/>
              </w:rPr>
              <w:t>显示技术：</w:t>
            </w:r>
            <w:r>
              <w:rPr>
                <w:rStyle w:val="font01"/>
              </w:rPr>
              <w:t>LCD</w:t>
            </w:r>
            <w:r>
              <w:rPr>
                <w:rStyle w:val="font51"/>
                <w:rFonts w:hint="default"/>
              </w:rPr>
              <w:t>；</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6.投射比：≤0.28；</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7输入接口：≥HDMI×2，HDBaseT×1，VGA×2、RS-232C×1，RJ45×1；</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8.光源寿命：≥20000小时；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幕布</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1.类型：电动幕布；</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2.尺寸：150英寸；</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3.幕基：白塑幕或玻珠；</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4.显示比例：16：10</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讲台</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1.结构：木制钢制混合结构；</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2.外观：按使用方要求定制，喷印校方LOGO；</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3.电源接口： AC220V三孔插座</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4.信息接口：不少于2路USB接口、1路HDMI、1路3.5音频接口、1路RJ45；</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5.左侧具有放置笔记本电脑的伸缩板，右侧具有伸缩抽屉。</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教室电脑主机</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21"/>
                <w:rFonts w:hint="default"/>
              </w:rPr>
              <w:t xml:space="preserve"> </w:t>
            </w:r>
            <w:r>
              <w:rPr>
                <w:rStyle w:val="font51"/>
                <w:rFonts w:hint="default"/>
              </w:rPr>
              <w:t>CPU主频:</w:t>
            </w:r>
            <w:r>
              <w:rPr>
                <w:rStyle w:val="font01"/>
              </w:rPr>
              <w:t xml:space="preserve"> </w:t>
            </w:r>
            <w:r>
              <w:rPr>
                <w:rStyle w:val="font51"/>
                <w:rFonts w:hint="default"/>
              </w:rPr>
              <w:t>≥3GHz；</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内存：≥8G；</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3.存储：</w:t>
            </w:r>
            <w:r>
              <w:rPr>
                <w:rStyle w:val="font51"/>
                <w:rFonts w:hint="default"/>
              </w:rPr>
              <w:t>≥1T+128G；</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4.显卡：</w:t>
            </w:r>
            <w:r>
              <w:rPr>
                <w:rStyle w:val="font51"/>
                <w:rFonts w:hint="default"/>
              </w:rPr>
              <w:t>≥1G独显。</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触控显示器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尺寸：≥23.8寸；</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类型：IPS屏；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9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3.触控：10点触控；</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4.接口：HDMI/VGA/DP/USB端口。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7</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视频传输器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支持分辨率:≥4K@30HZ、1920×1200@60Hz向下兼容；</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43"/>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CAT5E\CAT6网线可以将HDMI信号传输1080P≥70米；</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3.支持HDMI1.4，HDCP兼容；</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4.支持RS232、IR；</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5.安装简单，支持热插拔，即插即用.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w:t>
            </w:r>
            <w:r>
              <w:rPr>
                <w:rStyle w:val="font51"/>
                <w:rFonts w:hint="default"/>
              </w:rPr>
              <w:t>与视频矩阵同一品牌。</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8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8</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无线投屏器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61"/>
                <w:rFonts w:hint="default"/>
              </w:rPr>
              <w:t>无需安装任何软件，按连接分享按钮（USB连接），即可通过无线方式将演示内容即时分享到屏幕上；</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2.支持显示比例可调整，等比，4：3，16：9，16：10； </w:t>
            </w:r>
            <w:r>
              <w:rPr>
                <w:rStyle w:val="font6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w:t>
            </w:r>
            <w:r>
              <w:rPr>
                <w:rStyle w:val="font61"/>
                <w:rFonts w:hint="default"/>
              </w:rPr>
              <w:t>支持 Windows7/8/10 32位和64位，支持 Mac OSX 10.10/10.11/10.12和更高版本，支持Android 5.0和更高版本，支持iOS 9.0 和更高版本（Airplay镜像）；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4.支持Airplay与Mirocast协议；</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5.支持每秒帧数≥30帧；</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6.支持最高分辨率≥1080p；</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7.支持屏幕上同时显示≥4路视频信号源； </w:t>
            </w:r>
            <w:r>
              <w:rPr>
                <w:rStyle w:val="font6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8.支持HDMI内嵌音频和3.5mm模拟新路音频输出； </w:t>
            </w:r>
            <w:r>
              <w:rPr>
                <w:rStyle w:val="font6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9.支持传输范围≥60米；</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10.支持可选择的信道：2.4G≥11个，5G≥9个；11.HDMI接口≥1路，网络接口≥1路，3.5mm音频接口≥1路，USB接口≥2路。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w:t>
            </w:r>
            <w:r>
              <w:rPr>
                <w:rStyle w:val="font51"/>
                <w:rFonts w:hint="default"/>
              </w:rPr>
              <w:t>与视频矩阵同一品牌。</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9</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采集卡</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61"/>
                <w:rFonts w:hint="default"/>
              </w:rPr>
              <w:t>支持USB3.0音视频采集，最高分辨率≥1920*1080P@60Hz；</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2.SDI输入接口≥1路，3.5插头麦克风输入接口≥1路；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3.支持音频格式：Stereo/16-bit/48000HZ；</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4.支持操作系统：Kylin/windows8/windows10/,MAC OS/Android；</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21"/>
                <w:rFonts w:hint="default"/>
              </w:rPr>
              <w:t>★</w:t>
            </w:r>
            <w:r>
              <w:rPr>
                <w:rStyle w:val="font61"/>
                <w:rFonts w:hint="default"/>
              </w:rPr>
              <w:t>免驱动，即插即用。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9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10</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86寸触控一体机</w:t>
            </w: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sz w:val="18"/>
                <w:szCs w:val="18"/>
              </w:rPr>
            </w:pPr>
            <w:r>
              <w:rPr>
                <w:rFonts w:ascii="宋体" w:hAnsi="宋体" w:cs="宋体" w:hint="eastAsia"/>
                <w:bCs/>
                <w:kern w:val="0"/>
                <w:sz w:val="18"/>
                <w:szCs w:val="18"/>
              </w:rPr>
              <w:t>1.尺寸：≥86英寸，采用不低于A+规屏；</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r>
      <w:tr>
        <w:tblPrEx>
          <w:tblW w:w="4997" w:type="pct"/>
          <w:tblInd w:w="0" w:type="dxa"/>
          <w:tblCellMar>
            <w:top w:w="0" w:type="dxa"/>
            <w:left w:w="108" w:type="dxa"/>
            <w:bottom w:w="0" w:type="dxa"/>
            <w:right w:w="108" w:type="dxa"/>
          </w:tblCellMar>
        </w:tblPrEx>
        <w:trPr>
          <w:trHeight w:val="9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kern w:val="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kern w:val="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r>
              <w:rPr>
                <w:rFonts w:ascii="宋体" w:hAnsi="宋体" w:cs="宋体" w:hint="eastAsia"/>
                <w:bCs/>
                <w:kern w:val="0"/>
                <w:sz w:val="18"/>
                <w:szCs w:val="18"/>
              </w:rPr>
              <w:t>2.</w:t>
            </w:r>
            <w:r>
              <w:rPr>
                <w:rStyle w:val="font21"/>
                <w:rFonts w:hint="default"/>
              </w:rPr>
              <w:t>★</w:t>
            </w:r>
            <w:r>
              <w:rPr>
                <w:rFonts w:ascii="宋体" w:hAnsi="宋体" w:cs="宋体" w:hint="eastAsia"/>
                <w:bCs/>
                <w:kern w:val="0"/>
                <w:sz w:val="18"/>
                <w:szCs w:val="18"/>
              </w:rPr>
              <w:t>分辨率：≥3840*2160；</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3.显示比例16:9；</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4.触摸屏采用红外感应技术，在双系统下均支持不少于20点触控，触摸分辨率≥32768（W）*32768（D）；</w:t>
            </w:r>
            <w:r>
              <w:rPr>
                <w:rStyle w:val="font6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5.屏幕采用防眩光钢化玻璃，防暴、防滑、防眩光，屏体采用防蓝光设计</w:t>
            </w:r>
            <w:r>
              <w:rPr>
                <w:rStyle w:val="font61"/>
                <w:rFonts w:hint="default"/>
              </w:rPr>
              <w:t>；</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6.设置windows模式后，开机可直接进行windows操作系统，方便教学中单一系统直接操作；</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6.内置本地白板功能，可实现手写、绘制、擦</w:t>
            </w:r>
            <w:r>
              <w:rPr>
                <w:rStyle w:val="font51"/>
                <w:rFonts w:hint="default"/>
              </w:rPr>
              <w:t>除、标注、</w:t>
            </w:r>
            <w:r>
              <w:rPr>
                <w:rStyle w:val="font61"/>
                <w:rFonts w:hint="default"/>
              </w:rPr>
              <w:t>白板缩放/锁定的功能；</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8.触摸屏嵌入式Android操作系统下，内置互动白板书写完成后须支持本地保存、邮件分享、微信等主流应用扫码带走功能，方便老师实时保存课堂书写内容；</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9.整机采用零贴合技术，钢化玻璃和液晶显示层间隙＜1mm，画面显示更加清晰通透、可视角度更广。</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10.整机能感应不同光照环境并自动调节屏幕亮度，此功能可手动开启或关闭；</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11.通过产品前面板独立物理按钮可实现唤醒、开机功能；</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12.为方便日常教学投屏使用，须支持多种投屏方式，须包括但不限于 </w:t>
            </w:r>
            <w:r>
              <w:rPr>
                <w:rStyle w:val="font51"/>
                <w:rFonts w:hint="default"/>
              </w:rPr>
              <w:t>APP 投屏、手机下拉菜单软投屏等方式。</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13.触摸屏内置安卓系统，CPU不低于四核，ROM≥32GB，RAM≥4GB，系统版本不低于9.0，支持在线升级；</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14.支持在无外接OPS电脑状态下，嵌入式Android操作系统下可实现windows系统中常用的教学应用功能，如白板书写、WPS软件使用、网页浏览、图片浏览、视频播放。</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b/>
                <w:bCs/>
                <w:color w:val="FF0000"/>
                <w:kern w:val="0"/>
                <w:sz w:val="18"/>
                <w:szCs w:val="18"/>
              </w:rPr>
              <w:t>15.▲</w:t>
            </w:r>
            <w:r>
              <w:rPr>
                <w:rFonts w:ascii="宋体" w:hAnsi="宋体" w:cs="宋体" w:hint="eastAsia"/>
                <w:b/>
                <w:color w:val="FF0000"/>
                <w:kern w:val="0"/>
                <w:sz w:val="18"/>
                <w:szCs w:val="18"/>
              </w:rPr>
              <w:t>整机能感应不同光照环境并自动调节屏幕亮度，此功能可手动开启或关闭；</w:t>
            </w:r>
            <w:r>
              <w:rPr>
                <w:rFonts w:ascii="宋体" w:hAnsi="宋体" w:cs="宋体" w:hint="eastAsia"/>
                <w:b/>
                <w:color w:val="FF0000"/>
                <w:sz w:val="18"/>
                <w:szCs w:val="18"/>
              </w:rPr>
              <w:t>须支持断点续传功能，终端升级过程中发生网络中断、断电重启，恢复后可断点续传，避免升级失败。</w:t>
            </w:r>
            <w:r>
              <w:rPr>
                <w:rFonts w:ascii="宋体" w:hAnsi="宋体" w:cs="宋体" w:hint="eastAsia"/>
                <w:b/>
                <w:bCs/>
                <w:color w:val="FF0000"/>
                <w:kern w:val="0"/>
                <w:sz w:val="18"/>
                <w:szCs w:val="18"/>
              </w:rPr>
              <w:t>提供第三方检测机构出具的带有CMA和CNAS标识的检测报告扫描件，原件备查；</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16.在无操作或无信号输入状态下，具备进入待机的功能，时间可自行设定。</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17.整机接口在无转接情况下须满足：HDMI≥2、USB Type-A≥2、RJ45≥1、USB Type-B≥1。</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2"/>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vMerge w:val="restar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18.</w:t>
            </w:r>
            <w:r>
              <w:rPr>
                <w:rStyle w:val="font21"/>
                <w:rFonts w:hint="default"/>
              </w:rPr>
              <w:t>★</w:t>
            </w:r>
            <w:r>
              <w:rPr>
                <w:rStyle w:val="font51"/>
                <w:rFonts w:hint="default"/>
              </w:rPr>
              <w:t>插拔式OPS微型PC设计，CPU主频：</w:t>
            </w:r>
            <w:r>
              <w:rPr>
                <w:rStyle w:val="font01"/>
              </w:rPr>
              <w:t xml:space="preserve"> </w:t>
            </w:r>
            <w:r>
              <w:rPr>
                <w:rStyle w:val="font51"/>
                <w:rFonts w:hint="default"/>
              </w:rPr>
              <w:t>≥3.0GHz，内存≥16GB，固态硬盘≥256G；支持WIFI无线网络。</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2"/>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1095"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 w:val="18"/>
                <w:szCs w:val="18"/>
              </w:rPr>
            </w:pPr>
          </w:p>
        </w:tc>
      </w:tr>
      <w:tr>
        <w:tblPrEx>
          <w:tblW w:w="4997" w:type="pct"/>
          <w:tblInd w:w="0" w:type="dxa"/>
          <w:tblCellMar>
            <w:top w:w="0" w:type="dxa"/>
            <w:left w:w="108" w:type="dxa"/>
            <w:bottom w:w="0" w:type="dxa"/>
            <w:right w:w="108" w:type="dxa"/>
          </w:tblCellMar>
        </w:tblPrEx>
        <w:trPr>
          <w:trHeight w:val="197"/>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11</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65寸触控一体机</w:t>
            </w: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sz w:val="18"/>
                <w:szCs w:val="18"/>
              </w:rPr>
            </w:pPr>
            <w:r>
              <w:rPr>
                <w:rFonts w:ascii="宋体" w:hAnsi="宋体" w:cs="宋体" w:hint="eastAsia"/>
                <w:bCs/>
                <w:kern w:val="0"/>
                <w:sz w:val="18"/>
                <w:szCs w:val="18"/>
              </w:rPr>
              <w:t xml:space="preserve">1.尺寸≥65英寸，采用不低于A+规屏； </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r>
      <w:tr>
        <w:tblPrEx>
          <w:tblW w:w="4997" w:type="pct"/>
          <w:tblInd w:w="0" w:type="dxa"/>
          <w:tblCellMar>
            <w:top w:w="0" w:type="dxa"/>
            <w:left w:w="108" w:type="dxa"/>
            <w:bottom w:w="0" w:type="dxa"/>
            <w:right w:w="108" w:type="dxa"/>
          </w:tblCellMar>
        </w:tblPrEx>
        <w:trPr>
          <w:trHeight w:val="273"/>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kern w:val="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kern w:val="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r>
              <w:rPr>
                <w:rFonts w:ascii="宋体" w:hAnsi="宋体" w:cs="宋体" w:hint="eastAsia"/>
                <w:bCs/>
                <w:kern w:val="0"/>
                <w:sz w:val="18"/>
                <w:szCs w:val="18"/>
              </w:rPr>
              <w:t>2.</w:t>
            </w:r>
            <w:r>
              <w:rPr>
                <w:rStyle w:val="font21"/>
                <w:rFonts w:hint="default"/>
                <w:color w:val="auto"/>
              </w:rPr>
              <w:t>★</w:t>
            </w:r>
            <w:r>
              <w:rPr>
                <w:rFonts w:ascii="宋体" w:hAnsi="宋体" w:cs="宋体" w:hint="eastAsia"/>
                <w:bCs/>
                <w:kern w:val="0"/>
                <w:sz w:val="18"/>
                <w:szCs w:val="18"/>
              </w:rPr>
              <w:t>分辨率≥3840*2160；</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r>
      <w:tr>
        <w:tblPrEx>
          <w:tblW w:w="4997" w:type="pct"/>
          <w:tblInd w:w="0" w:type="dxa"/>
          <w:tblCellMar>
            <w:top w:w="0" w:type="dxa"/>
            <w:left w:w="108" w:type="dxa"/>
            <w:bottom w:w="0" w:type="dxa"/>
            <w:right w:w="108" w:type="dxa"/>
          </w:tblCellMar>
        </w:tblPrEx>
        <w:trPr>
          <w:trHeight w:val="263"/>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kern w:val="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kern w:val="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r>
              <w:rPr>
                <w:rFonts w:ascii="宋体" w:hAnsi="宋体" w:cs="宋体" w:hint="eastAsia"/>
                <w:bCs/>
                <w:kern w:val="0"/>
                <w:sz w:val="18"/>
                <w:szCs w:val="18"/>
              </w:rPr>
              <w:t>3.显示比例16:9；</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Cs/>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4.触摸屏采用红外感应技术，在双系统下均支持不少于20点触控，触摸分辨率≥32768（W）*32768（D）；</w:t>
            </w:r>
            <w:r>
              <w:rPr>
                <w:rStyle w:val="font5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5.屏幕表面采用 </w:t>
            </w:r>
            <w:r>
              <w:rPr>
                <w:rStyle w:val="font51"/>
                <w:rFonts w:hint="default"/>
              </w:rPr>
              <w:t>3.2mm 厚防眩光钢化玻璃，透光率不低于 88%，表面硬度不低于莫氏 7 级。屏体采用防蓝光设计；</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6.设置windows模式后，开机可直接进行windows操作系统，方便教学中单一系统直接操作。</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7.触摸屏嵌入式Android操作系统下，内置互动白板书写完成后须支持本地保存、邮件分享、微信等主流应用扫码带走功能，方便老师实时保存课堂书写内容；</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8.通过产品前面板独立物理按钮可实现唤醒、开机功能；</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9.为方便日常教学投屏使用，须支持多种投屏方式，须包括但不限于 </w:t>
            </w:r>
            <w:r>
              <w:rPr>
                <w:rStyle w:val="font51"/>
                <w:rFonts w:hint="default"/>
              </w:rPr>
              <w:t>APP 投屏、手机下拉菜单软投屏等方式。</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10.触摸屏内置安卓系统，CPU采用四核，ROM≥32GB，RAM≥4GB，系统版本不低于9.0，支持在线升级；</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11.支持在无外接OPS电脑状态下，嵌入式Android操作系统下可实现windows系统中常用的教学应用功能，如白板书写、WPS软件使用、网页浏览、图片浏览、视频播放。</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12</w:t>
            </w:r>
            <w:r>
              <w:rPr>
                <w:rFonts w:ascii="宋体" w:hAnsi="宋体" w:cs="宋体" w:hint="eastAsia"/>
                <w:b/>
                <w:color w:val="FF0000"/>
                <w:kern w:val="0"/>
                <w:sz w:val="18"/>
                <w:szCs w:val="18"/>
              </w:rPr>
              <w:t>.▲在不同光照环境下，终端能感应并自动调节屏幕不同亮度的显示效果，此功能可</w:t>
            </w:r>
            <w:r>
              <w:rPr>
                <w:rStyle w:val="font51"/>
                <w:rFonts w:hint="default"/>
                <w:b/>
                <w:color w:val="FF0000"/>
              </w:rPr>
              <w:t>自行开启或关闭；</w:t>
            </w:r>
            <w:r>
              <w:rPr>
                <w:rFonts w:ascii="宋体" w:hAnsi="宋体" w:cs="宋体" w:hint="eastAsia"/>
                <w:b/>
                <w:color w:val="FF0000"/>
                <w:sz w:val="18"/>
                <w:szCs w:val="18"/>
              </w:rPr>
              <w:t>须支持断点续传功能，终端升级过程中发生网络中断、断电重启，恢复后可断点续传，避免升级失败。</w:t>
            </w:r>
            <w:r>
              <w:rPr>
                <w:rFonts w:ascii="宋体" w:hAnsi="宋体" w:cs="宋体" w:hint="eastAsia"/>
                <w:b/>
                <w:bCs/>
                <w:color w:val="FF0000"/>
                <w:kern w:val="0"/>
                <w:sz w:val="18"/>
                <w:szCs w:val="18"/>
              </w:rPr>
              <w:t>提供第三方检测机构出具的带有CMA和CNAS标识的检测报告扫描件，原件备查；</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8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13.</w:t>
            </w:r>
            <w:r>
              <w:rPr>
                <w:rStyle w:val="font21"/>
                <w:rFonts w:hint="default"/>
              </w:rPr>
              <w:t>★</w:t>
            </w:r>
            <w:r>
              <w:rPr>
                <w:rStyle w:val="font51"/>
                <w:rFonts w:hint="default"/>
              </w:rPr>
              <w:t>插拔式OPS微型PC设计，CPU主频：≥2.3GHz，内存≥8GB，固态硬盘≥256G；支持WIFI无线网络，带RJ45接口100M/1000Mbs；</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14.前置面板需具有以下输入接口：</w:t>
            </w:r>
            <w:r>
              <w:rPr>
                <w:rStyle w:val="font51"/>
                <w:rFonts w:hint="default"/>
              </w:rPr>
              <w:t>≥1 路标准非转接 Type- c 接口、≥2 路双通道 USB3.0 接口；</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15.整机后置</w:t>
            </w:r>
            <w:r>
              <w:rPr>
                <w:rStyle w:val="font51"/>
                <w:rFonts w:hint="default"/>
              </w:rPr>
              <w:t>≥2 路 HDMI 输入接口、≥1 路 HDMI 输出接口、≥1 路 MIC 输入接口、≥1 路 MIC 输出接口、≥1 路 RJ45 接口、≥1 路 COM 接口、≥1 路 USB3.0 Type-A 接口、≥1 路 USB Type-B 接口。</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16.整机能感应并自动调节屏幕，来达到在不同光照环境下的不同亮度显示效果，此功能可</w:t>
            </w:r>
            <w:r>
              <w:rPr>
                <w:rStyle w:val="font51"/>
                <w:rFonts w:hint="default"/>
              </w:rPr>
              <w:t>自行开启或关闭；</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12</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智能互动交互系统</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1.主讲端与听讲端各分组一键连接。主讲端与听讲端任意设置切换</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支持广域网接入、并且支持RTSP协议高清摄像机接入。</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3.分组画面预览：支持8分组的实时画面同时在主界面进行小窗口预览、点击预览窗口可放大显示。</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4.分组画面展示：支持将任意端的展示画面调取、并进行同步展示、且支持同时调取两端的展示画面进行对比展示。</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5.分组画面任意切换和调取、支持在调取的画面上进行批注。</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6.支持在教学大屏端和小组端上对讨论内容进行批注、并可以将批注的书写过程同步到所有学生屏幕。</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7.可实现学生考勤：支持学生扫码签到、老师及管理人员可实时查看数据。</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8.课堂互动：支持抢答、抽答、弹幕等课中互动工具。</w:t>
            </w:r>
            <w:r>
              <w:rPr>
                <w:rStyle w:val="font5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9.无线投屏功能，兼容安卓、IOS、Windows系统，投屏分辨率:1080P；</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10.▲提供智能互动交互系统相关的软件著作权软件证书扫描件，原件备查。</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48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13</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视频矩阵</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21"/>
                <w:rFonts w:hint="default"/>
              </w:rPr>
              <w:t>★</w:t>
            </w:r>
            <w:r>
              <w:rPr>
                <w:rStyle w:val="font51"/>
                <w:rFonts w:hint="default"/>
              </w:rPr>
              <w:t>支持≥16通道视频信号输入输出切换，视频矩阵接口采用插卡式模块化设计，视频接口单卡单路，子卡支持热插拔功能及单独电源管理；</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2.支持≥19.5Gbps数据速率的数字背板；支持HDMI2.0及HDCP 2.2向下兼容；最高支持分辨率≥4096*2160@60Hz 4:4:4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90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18"/>
                <w:szCs w:val="18"/>
              </w:rPr>
            </w:pPr>
            <w:r>
              <w:rPr>
                <w:rFonts w:ascii="宋体" w:hAnsi="宋体" w:cs="宋体" w:hint="eastAsia"/>
                <w:b/>
                <w:bCs/>
                <w:color w:val="FF0000"/>
                <w:kern w:val="0"/>
                <w:sz w:val="18"/>
                <w:szCs w:val="18"/>
              </w:rPr>
              <w:t>3.</w:t>
            </w:r>
            <w:r>
              <w:rPr>
                <w:rStyle w:val="font51"/>
                <w:rFonts w:hint="default"/>
                <w:color w:val="FF0000"/>
              </w:rPr>
              <w:t>▲</w:t>
            </w:r>
            <w:r>
              <w:rPr>
                <w:rStyle w:val="font81"/>
                <w:rFonts w:hint="default"/>
              </w:rPr>
              <w:t>输入输出接口支持HDMI、HDBaseT、DVI、SDI、VGA、DP、光等格式，可根据需求灵活搭配输入输出接口；矩阵主机采用1+1冗余电源热备设计，冗余电源双备热备；电源切换时间≤20ms；电压抖动≤15V；提供第三方检测机构出具的带有CMA和CNAS标识的检测报告扫描件，原件备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 支持EDID管理，允许读取输出设备EDID或储存的EDID并应用到任意输入卡上，支持EDID上传、下载、备份；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5.所有卡槽通道支持独立电源管理，可将板卡单独供/断电，可手动和自动管理，节能环保延长板卡使用寿命；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6.矩阵主机支持≥5寸触摸屏，WEB主界面显示设备实时运行温度，实时显示当前设备输入输出及工作状态；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7.内置音频矩阵功能，支持音频自由切换和音频加解嵌功能；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rPr>
              <w:t>二、音频及扩声系统</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9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14</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数字红外无线教学扩声系统主机</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b/>
                <w:bCs/>
                <w:color w:val="FF0000"/>
                <w:kern w:val="0"/>
                <w:sz w:val="18"/>
                <w:szCs w:val="18"/>
              </w:rPr>
              <w:t>1</w:t>
            </w:r>
            <w:r>
              <w:rPr>
                <w:rFonts w:hint="eastAsia"/>
                <w:b/>
                <w:bCs/>
                <w:color w:val="FF0000"/>
                <w:kern w:val="0"/>
              </w:rPr>
              <w:t>.</w:t>
            </w:r>
            <w:r>
              <w:rPr>
                <w:rFonts w:ascii="宋体" w:hAnsi="宋体" w:cs="宋体" w:hint="eastAsia"/>
                <w:b/>
                <w:bCs/>
                <w:color w:val="FF0000"/>
                <w:kern w:val="0"/>
                <w:sz w:val="18"/>
                <w:szCs w:val="18"/>
              </w:rPr>
              <w:t>▲红外传输副载波符合IEC 61603-7数字红外国际标准；提供采用国际标准产品标志证书扫描件，原件备查；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9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2．主机频响范围：优于110 Hz--20kHz</w:t>
            </w:r>
          </w:p>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麦克风频响范围：优于100 Hz--20kHz；</w:t>
            </w:r>
          </w:p>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信噪比：≥90 dBA；总谐波失真：≤0.05%；</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4．具有≥2个RJ45接口用于接数字红外接收器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51"/>
                <w:rFonts w:hint="default"/>
              </w:rPr>
              <w:t>支持2只无线麦克风同时讲话；</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6．具有线路声音自动衰减功能设置，即麦克风有声音触发时，背景声音降低。；</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7．通过USB连接PC，支持数字音频输入输出，配合数字红外无线麦克风可实现PPT翻页功能；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8.支持话筒灵敏度、线路输入音量、高低音及智能校准等调节功能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9.内置高性能数字信号处理器（DSP），可对音频进行反馈抑制（AFC）和回声消除（AEC）</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10．线路输入（LINE IN）≥2路，线路输出（LINE OUT）≥2路；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11．LINE IN1可作为麦克风输入，并可提供幻象电源；</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12．RS-232串口≥1路。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 不少于2路USB接口，1路USB口用于连接有线麦克风，另1路通过USB线连接到电脑实现无损音频传输或配合数字红外无线麦克风实现PPT翻页功能。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 需具有音乐或语音选择模式、童锁设置及语言设置等功能。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15</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数字红外接收器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1．dirATC--数字红外音频传输及控制技术；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2．不受高频驱动光源干扰，可正常工作于阳光下的环境；</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 xml:space="preserve"> 可配2个数字红外无线麦克风；</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w:t>
            </w:r>
            <w:r>
              <w:rPr>
                <w:rStyle w:val="font61"/>
                <w:rFonts w:hint="default"/>
              </w:rPr>
              <w:t>．</w:t>
            </w:r>
            <w:r>
              <w:rPr>
                <w:rStyle w:val="font51"/>
                <w:rFonts w:hint="default"/>
              </w:rPr>
              <w:t>接收距离：≥25 m；覆盖面积：≥80-100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16</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全向麦克风</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1.内置全向性驻极体麦克风，拾取学生互动声音</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声压级：≥125 dB（THD&lt;3%）</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61"/>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3.频率响应：优于50 Hz-20kHz；</w:t>
            </w:r>
          </w:p>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4.信噪比：≥65 dBA</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5.总谐波失真：≤0.5%</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6.拾音范围：半径不小于 5 m（中等环境噪声下）；半径不小于 8 m（安静环境下）</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17</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数字红外无线麦克风</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1.红外麦克风在不同教室之间使用，无需对频，即开即用，简单方便；</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2.不受高频驱动光源干扰，可正常工作于阳光下的环境；</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3.扩展性能强，支持外部音频输入（Ø 3.5 mm AUDIO IN），能够与其它音频设备（如MP3、手机等）组合。同时可支持外置3.5mm领夹麦输入；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4.支持多种使用方式：可手持、颈挂或置于上衣口袋；</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5.发射角度：垂直</w:t>
            </w:r>
            <w:r>
              <w:rPr>
                <w:rStyle w:val="font51"/>
                <w:rFonts w:hint="default"/>
              </w:rPr>
              <w:t>≥0°～90°，水平≥120°；</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6.内置可充电锂电池，持续发言时间</w:t>
            </w:r>
            <w:r>
              <w:rPr>
                <w:rStyle w:val="font51"/>
                <w:rFonts w:hint="default"/>
              </w:rPr>
              <w:t>≥7小时；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7.需支持USB口充电（兼容手机充电器）或插入充电座充电；</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8.为了满足互动教学，无线麦克风需支持按住发言功能，即按键开启话筒，松开话筒即关闭；</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w:t>
            </w:r>
            <w:r>
              <w:rPr>
                <w:rStyle w:val="font21"/>
                <w:rFonts w:hint="default"/>
              </w:rPr>
              <w:t>★</w:t>
            </w:r>
            <w:r>
              <w:rPr>
                <w:rStyle w:val="font61"/>
                <w:rFonts w:hint="default"/>
              </w:rPr>
              <w:t>红外波长：≥870nm；</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10.麦克风类型：驻极体心形指向性；</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Style w:val="font61"/>
                <w:rFonts w:hint="default"/>
              </w:rPr>
            </w:pPr>
            <w:r>
              <w:rPr>
                <w:rFonts w:ascii="宋体" w:hAnsi="宋体" w:cs="宋体" w:hint="eastAsia"/>
                <w:color w:val="000000"/>
                <w:kern w:val="0"/>
                <w:sz w:val="18"/>
                <w:szCs w:val="18"/>
              </w:rPr>
              <w:t>11.</w:t>
            </w:r>
            <w:r>
              <w:rPr>
                <w:rStyle w:val="font61"/>
                <w:rFonts w:hint="default"/>
              </w:rPr>
              <w:t>频率响应：优于110Hz～20kHz；</w:t>
            </w:r>
          </w:p>
          <w:p>
            <w:pPr>
              <w:widowControl/>
              <w:jc w:val="left"/>
              <w:textAlignment w:val="center"/>
              <w:rPr>
                <w:rStyle w:val="font61"/>
                <w:rFonts w:hint="default"/>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12.信噪比：≥90 dBA；</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13.最大声压级：</w:t>
            </w:r>
            <w:r>
              <w:rPr>
                <w:rStyle w:val="font61"/>
                <w:rFonts w:hint="default"/>
              </w:rPr>
              <w:t>≥110 dB；</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18</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有线麦克风</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1.可拆卸话筒杆，话筒杆长度可选；</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2.内置不少于2个无线麦克风充电位，可对无线麦克风进行充电；</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3.带1根音频线（USB接口）用于连接主机传输音频；</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4.具有1个USB接口，可使用适配器为充电座供电；</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5.麦克风类型：心型指向性驻极体；</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6.频率响应范围：优于85Hz - 20 kHz；</w:t>
            </w:r>
          </w:p>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w:t>
            </w:r>
            <w:r>
              <w:rPr>
                <w:rStyle w:val="font61"/>
                <w:rFonts w:hint="default"/>
              </w:rPr>
              <w:t>最大声压级：≥110 dB (THD&lt;3%)；</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765"/>
        </w:trPr>
        <w:tc>
          <w:tcPr>
            <w:tcW w:w="37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19</w:t>
            </w:r>
          </w:p>
        </w:tc>
        <w:tc>
          <w:tcPr>
            <w:tcW w:w="496" w:type="pc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一进四出网口分路器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1.具有不少于1路输入、4路输出RJ45接口，用于扩展数字红外接收器数量。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8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20</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数字音频功率放大器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输入接口：≥8路，凤凰平衡输入接口，支持话筒或线路输入，支持幻象供电；</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输出接口：≥8路，凤凰平衡输出接口；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3.功放功率输出：≥200W*2通道；</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输出阻抗：8</w:t>
            </w:r>
            <w:r>
              <w:rPr>
                <w:rStyle w:val="font91"/>
              </w:rPr>
              <w:t>Ω；</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4.前面板配置有音量调节功能和音频信号指示灯；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5.Ethernet 网络控制接口，支持电脑或者平板控制，支持第三方控制，支持RS-232、485及TCP/IP协议；</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6.输入通道DSP：所有通道都带前级话放、噪声门、反馈抑制器、高/低通滤波器、不少于16段参量均衡、压限器和延时器；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7.输出通道DSP：所有通道都带高/低通滤波器、不少于16段参量均衡、压限器和延时器；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8.内置机架式调音台，内置自动混音台，可设置衰减电平值，内置AEC回声消除器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9.场景预设：≥32个；</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10.权限密码：可设置权限、密码设置</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598"/>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Style w:val="font51"/>
                <w:rFonts w:hint="default"/>
              </w:rPr>
            </w:pPr>
            <w:r>
              <w:rPr>
                <w:rFonts w:ascii="宋体" w:hAnsi="宋体" w:cs="宋体" w:hint="eastAsia"/>
                <w:color w:val="000000"/>
                <w:kern w:val="0"/>
                <w:sz w:val="18"/>
                <w:szCs w:val="18"/>
              </w:rPr>
              <w:t>11.频率响应：</w:t>
            </w:r>
            <w:r>
              <w:rPr>
                <w:rStyle w:val="font61"/>
                <w:rFonts w:hint="default"/>
              </w:rPr>
              <w:t>优于</w:t>
            </w:r>
            <w:r>
              <w:rPr>
                <w:rStyle w:val="font51"/>
                <w:rFonts w:hint="default"/>
              </w:rPr>
              <w:t xml:space="preserve"> 20 Hz - 20 kHz(±1 dB)</w:t>
            </w:r>
          </w:p>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r>
              <w:rPr>
                <w:rStyle w:val="font5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12.总谐波失真(THD)： ＜0.005%（20 Hz‐20 kHz@ +4 dBu）</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13.动态范围： ≥112 dB；</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14.信道间串扰：≥50 dB/（20‐20 kHz）；</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15.输入阻抗：＞10kΩ</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16.共模抑制比：＞70 dB@1 kHz</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17.前置放大等效输入噪声（EIN）：＜‐123dBu；</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18.功放通道分离度：＞73dB</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Style w:val="font51"/>
                <w:rFonts w:hint="default"/>
              </w:rPr>
            </w:pPr>
            <w:r>
              <w:rPr>
                <w:rFonts w:ascii="宋体" w:hAnsi="宋体" w:cs="宋体" w:hint="eastAsia"/>
                <w:color w:val="000000"/>
                <w:kern w:val="0"/>
                <w:sz w:val="18"/>
                <w:szCs w:val="18"/>
              </w:rPr>
              <w:t>19.功放频率响应：</w:t>
            </w:r>
            <w:r>
              <w:rPr>
                <w:rStyle w:val="font61"/>
                <w:rFonts w:hint="default"/>
              </w:rPr>
              <w:t>优于</w:t>
            </w:r>
            <w:r>
              <w:rPr>
                <w:rStyle w:val="font51"/>
                <w:rFonts w:hint="default"/>
              </w:rPr>
              <w:t>20 Hz - 20 kHz(±0.5dB)</w:t>
            </w:r>
          </w:p>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r>
              <w:rPr>
                <w:rStyle w:val="font5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20.功放总谐波失真：≤0.7%</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21</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扬声器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 类型：线性阵列音柱，内置不少于4个≥3英寸喇叭单元；</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2.频率范围：优于80 Hz - 20 KHz（-10 dB）；</w:t>
            </w:r>
          </w:p>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3.频率响应：优于70 Hz - 18 kHz (±3 dB)；</w:t>
            </w:r>
          </w:p>
          <w:p>
            <w:pPr>
              <w:widowControl/>
              <w:jc w:val="left"/>
              <w:textAlignment w:val="center"/>
              <w:rPr>
                <w:rFonts w:ascii="宋体" w:hAnsi="宋体" w:cs="宋体" w:hint="eastAsia"/>
                <w:color w:val="000000"/>
                <w:kern w:val="0"/>
                <w:sz w:val="18"/>
                <w:szCs w:val="18"/>
              </w:rPr>
            </w:pPr>
            <w:r>
              <w:rPr>
                <w:rFonts w:ascii="宋体" w:hAnsi="宋体" w:cs="宋体" w:hint="eastAsia"/>
                <w:color w:val="000000"/>
                <w:kern w:val="0"/>
                <w:sz w:val="18"/>
                <w:szCs w:val="18"/>
              </w:rPr>
              <w:t>注：若参数要求范围：优于110 Hz--20kHz。其中优于指超出110Hz～20KHz（低于110Hz的、高于20KHz的视为正偏离）的频带更宽，为正偏离。</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21"/>
                <w:rFonts w:hint="default"/>
              </w:rPr>
              <w:t>★</w:t>
            </w:r>
            <w:r>
              <w:rPr>
                <w:rFonts w:ascii="宋体" w:hAnsi="宋体" w:cs="宋体" w:hint="eastAsia"/>
                <w:color w:val="000000"/>
                <w:kern w:val="0"/>
                <w:sz w:val="18"/>
                <w:szCs w:val="18"/>
              </w:rPr>
              <w:t>灵敏度：≥ (1w @ 1m): 90dB；</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 额定阻抗：≥8 Ohms；</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 最大声压级：≥105 dB；</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 额定功率：60-80W；</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 覆盖角度（H x V)：≥150°x 30°115°x 85°；</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w:t>
            </w:r>
            <w:r>
              <w:rPr>
                <w:rStyle w:val="font51"/>
                <w:rFonts w:hint="default"/>
              </w:rPr>
              <w:t>颜色： 白(W)；</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 含安装支架；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85"/>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rPr>
              <w:t>三、录播系统</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kern w:val="0"/>
                <w:sz w:val="24"/>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kern w:val="0"/>
                <w:sz w:val="24"/>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kern w:val="0"/>
                <w:sz w:val="24"/>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szCs w:val="21"/>
              </w:rPr>
            </w:pPr>
            <w:r>
              <w:rPr>
                <w:rFonts w:ascii="宋体" w:hAnsi="宋体" w:cs="宋体" w:hint="eastAsia"/>
                <w:b/>
                <w:bCs/>
                <w:color w:val="000000"/>
                <w:kern w:val="0"/>
                <w:szCs w:val="21"/>
              </w:rPr>
              <w:t>（一）精品录播系统</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45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22</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精品录播主机</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1.为了系统的安全稳定， 要求录播主机必须采用嵌入式硬件设计，内置Linux操作系统，支持7*24小时工作；不接受PC架构以及服务器设计方式；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2.系统集成录播系统、音频处理、编解码技术为一体，更符合信息化行业有关产品发展微小型化、低功耗、智能化和高可靠性政策；</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90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18"/>
                <w:szCs w:val="18"/>
              </w:rPr>
            </w:pPr>
            <w:r>
              <w:rPr>
                <w:rFonts w:ascii="宋体" w:hAnsi="宋体" w:cs="宋体" w:hint="eastAsia"/>
                <w:b/>
                <w:bCs/>
                <w:color w:val="FF0000"/>
                <w:kern w:val="0"/>
                <w:sz w:val="18"/>
                <w:szCs w:val="18"/>
              </w:rPr>
              <w:t>3.</w:t>
            </w:r>
            <w:r>
              <w:rPr>
                <w:rStyle w:val="font81"/>
                <w:rFonts w:hint="default"/>
              </w:rPr>
              <w:t>▲支持不小于4路高清3G-SDI、支持不小于2路HDMI输入接口；支持不小于1路VGA输入接口，不小于2路HDMI接口视频输出；不少于1路VGA输出；提供设备接口图片及第三方检测机构出具的带有CMA和CNAS标识的检测报告扫描件，原件备查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4.为了满足部分双教学大屏场景，要求2路HDMI输入接口支持同时接入，能够实现两路HDMI信号采集，并支持老师教学过程中大屏操作的全自动跟踪切换；</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5.主机默认内含6口交换机，其中支持不少于4口POE供电;</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6.满足老师特写、讲台全景、学生特写、学生全景信号接入；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7.为满足不同音频输入需求，主机音频支持不少于1路莲花（RCA）MIC IN接口、1路凤凰端子MIC IN接口、1路3.5 LINE IN、1路凤凰LINE IN接口可选，同时，主机应支持不少于1路凤凰端子、1路双莲花LINE OUT可选；</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w:t>
            </w:r>
            <w:r>
              <w:rPr>
                <w:rStyle w:val="font51"/>
                <w:rFonts w:hint="default"/>
              </w:rPr>
              <w:t xml:space="preserve"> 录播主机支持本地导播功能，接上鼠标、标准键盘与显示器就可实现无延时本地导播，可以扩展硬件导播台；</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9.为了便于录播主机连接鼠、标准键盘、导播控制键盘、双USB移动存储设备，要求录播主机支持不小于5路USB接口；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10.主机包含Reset按键，可以实现出厂设置恢复，能够实时初始化系统状态；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11.主机前面板配置液晶屏，支持显示主机版本、IP地址等信息，实时清晰管理设备操控，为确保清晰显示，液晶屏尺寸不小于2寸；</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12.控制接口不小于8路，可用于控制摄像机云台与控制面板等设备；</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13.系统内置跟踪功能，无需额外配置跟踪主机即可实现智能图像识别跟踪分析与处理功能，跟踪对象不需要佩戴任何辅助装置，便可对老师和学生的动作、移动进行准确定位、跟踪，清楚的记录整个教学活动；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14.系统内置不小于2T存储空间，支持双硬盘接入，最大支持不少于16T硬盘存储空间，录制文件既可存储在本地硬盘，可以上传到云资源管理平台或第三方FTP服务器；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15.支持H.323、SIP协议，能够对接第三方视频会议终端，实现互动场景录制；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16.支持微信直播功能，支持利用windows平台B/S架构和移动客户端Android平台APP、IOS平台APP微信端现场直播功能。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23</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录播主机管理软件</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1.录播主机系统软件须出厂即安装于录播主机内，要求支持网络导播与本地导播两种导播方式；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2.为了更清楚了解系统状态，系统应支持版本信息、序列号、设备型号、硬盘空间、剩余硬盘空间、跟踪机位信息、网络连接、平台接入信息等显示；</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3.支持远程登录管理系统，可设置用户密码、视频输入、视频输出、互动、推流方式及模式、VGA图像微调等功能；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4.系统支持视频文件上传、下载、异常修复、本地点播、删除等基本功能，支持通过状态标记自动检测课件上传是否成功，对于状态标记上传失败的课件资源支持人工手动续传；</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5.系统支持插入外接移动存储设备一键拷贝下载功能，并可选择多路外接移动设备；</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70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w:t>
            </w:r>
            <w:r>
              <w:rPr>
                <w:rStyle w:val="font51"/>
                <w:rFonts w:hint="default"/>
              </w:rPr>
              <w:t>系统支持异常课件修复功能，在录制过程中或其他不可抗拒因素导致设备突然断电使录制的课件异常时，可通过录播主机管理页面一键修复功能，修复异常课件为正常课件资源；</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7.系统采用主流RTMP/RTSP/HTTP流媒体直播推送技术，支持基于Flash技术和HTML5技术的直播和点播方式，能够让用户免安装插件即可接收和观看直播和点播，无论在移动端还是电脑端都享受一流视频观看体验；</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8.系统支持高低码流直播，并可以单独控制每一路直播的启用与停止；</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9.系统支持音频管理，可以进行回声消除、噪声消除、延时器、音量等设置；</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10.系统支持输入接口管理，显示当前接口信息与连接状态；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11.系统支持与资源平台无缝对接，实现视频自动上传功能，可以兼容多种资源管理平台与第三方FTP服务器；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12.系统可以设置多种教室类型，支持常规教室、互动录播教室与第三方互动录播教室三种模式；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13.录播系统内置互动功能，支持标准SIP协议，要求无须视频会议终端和MCU即可实现5台录播主机之间的音视频在线互动教学；</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14.录播系统互动功能，要求支持多台录播主机之间互动、录播主机与视频会议终端之间互动、录播主机与MCU之间互动等3种互动场景；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15.录播系统互动功能要求同时支持公网与内网同时互动；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16.录播系统互动要求听讲教室一个屏幕显示主讲教室的老师画面与PPT画面；</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17.系统支持一键式连接远程录播教室进行互动教学，互动教室列表支持不小于30间预设，支持互动教室数据的批量导入和导出功能；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18.录播系统互动要求支持主讲教室与听讲教室两种角色自由切换；</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19.录播互动系统支持双流互动功能，听讲教室使用两台显示器，分别显示主流老师画面与副流电脑PPT、板书画面；</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20.系统支持英文、简体、繁体三语版本切换，满足不同用户的应用需求；</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18"/>
                <w:szCs w:val="18"/>
              </w:rPr>
            </w:pPr>
            <w:r>
              <w:rPr>
                <w:rFonts w:ascii="宋体" w:hAnsi="宋体" w:cs="宋体" w:hint="eastAsia"/>
                <w:b/>
                <w:bCs/>
                <w:color w:val="FF0000"/>
                <w:kern w:val="0"/>
                <w:sz w:val="18"/>
                <w:szCs w:val="18"/>
              </w:rPr>
              <w:t>21.▲提供智慧教育录播主机系统相关的软件著作权证书扫描件，原件备查。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24</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教师摄像机</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采用不低于1/2.8 英寸CMOS, 有效像素≥207 万；</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 1080p/60, 1080p/50, 1080i/60,1080i/50, 1080p/30, 1080p/25, 720p/60,720p/50, 720p/30, 720p/25</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SD: 480i, 576i多种信号制式；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光学变焦：≥20X, f4.42mm ~ 88.5mm, F1.8 ~ F2.8；数字变焦：≥16X；</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4.最低照度：≤0.6 Lux @ (F1.8, AGC ON)；</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5.快门速度：≤1/30s ~ 1/10000s；</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6.支持白平衡自动，室内，室外，一键，手动，指定色温；</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7.支持背光补偿，支持2D&amp;3D 数字降噪；</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8.信噪比：≥ 50dB；</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9.水平视场角：≥60.7° ~ 3.36°、垂直视场角：≥34.1° ~ 1.89°；</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10.支持扩展预置位数量：≥255；</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11.输出接口：≥1 路HDMI；≥1 路3G-SDI；≥1 路CVBS；</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12.网络接口：≥1 路RJ45: 10M / 100M 自适应以太网口；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13.音频接口：≥ 1 路Line In, 3.5mm 音频接口；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14.USB 接口：≥1 路USB 2.0。</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15.摄像机与精品录播主机为同一品牌。</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25</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学生摄像机</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采用不低于1/2.8 英寸CMOS, 有效像素：≤207 万；</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 1080p/60, 1080p/50, 1080i/60,1080i/50, 1080p/30, 1080p/25, 720p/60,720p/50, 720p/30, 720p/25</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SD: 480i, 576i多种信号制式；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光学变焦：≥20X, f4.42mm ~ 88.5mm, F1.8 ~ F2.8；数字变焦：≥16X；</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4.最低照度：≤0.5 Lux @ (F1.8, AGC ON)；</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5.快门速度：≤1/30s ~ 1/10000s；</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6.支持白平衡自动，室内，室外，一键，手动，指定色温；</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7.支持背光补偿，支持2D&amp;3D 数字降噪；</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8.信噪比：≥ 50dB；</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9.水平视场角：≥60.7° ~ 3.36°、垂直视场角：≥34.1° ~ 1.89°；</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10.支持扩展预置位数量≥255；</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11.输出接口支持：≥1 路 HDMI；≥1 路3G-SDI；≥1 路CVBS；</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12.网络接口：≥1 路RJ45: 10M / 100M 自适应以太网口；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13.音频接口：≥ 1 路Line In, 3.5mm 音频接口；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14.USB 接口：≥1 路USB 2.0。</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15.摄像机与精品录播主机为同一品牌。</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26</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定位摄像机</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采用不低于1/2.8 英寸  CMOS 传感器, 总像素不小于200万；</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最低照度不低于：彩色0.6Lux@F1.2；黑白0.08Lux@F1.2；</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3.信噪比： 不小于50dB(AGC OFF)；</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4.编码格式支持：H.264；</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5.供电：DC12V；</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6.设备功率不大于3W。</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7.摄像机与精品录播主机为同一品牌。</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（二）常态化录播系统</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45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27</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常态化录播主机</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1.为了系统的安全稳定， 要求录播主机必须采用嵌入式硬件设计，内置Linux操作系统，支持7*24小时工作；不接受PC架构以及服务器设计方式；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2.系统集成录播系统、音频处理、编解码技术为一体，更符合信息化行业有关产品发展微小型化、低功耗、智能化和高可靠性政策；</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8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支持不小于5路高清3G-SDI、支持不小于1路HDMI输入接口；支持不小于1路VGA输入接口，不小于2路HDMI接口视频输出；</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4.录播主机支持本地导播功能，接上鼠标、标准键盘与显示器就可实现无延时本地导播，可以扩展硬件导播台；</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5.为了便于录播主机连接鼠、标准键盘、导播控制键盘、双USB移动存储设备，要求录播主机支持不小于5路USB接口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6.录播主机支持不小于1路千兆RJ45网络接口；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7.主机包含Reset按键，可以实现出厂设置恢复，能够实时初始化系统状态；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8.前面板配置液晶屏，支持显示主机版本、IP地址等信息，实时清晰管理设备操控，为确保清晰显示，液晶屏尺寸不小于2寸；</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9.接口不小于8路，可用于控制摄像机云台与控制面板等设备； </w:t>
            </w:r>
            <w:r>
              <w:rPr>
                <w:rStyle w:val="font5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10.系统内置跟踪功能，无需额外配置跟踪主机即可实现智能图像识别跟踪分析与处理功能，跟踪对象不需要佩戴任何辅助装置，便可对老师和学生的动作、移动进行准确定位、跟踪，清楚的记录整个教学活动；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11.系统内置不小于2T存储空间，支持双硬盘接入，最大支持不少于16T硬盘存储空间，录制文件既可存储在本地硬盘，可以上传到云资源管理平台或第三方FTP服务器；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12.支持H.323、SIP协议，能够对接第三方视频会议终端，实现互动场景录制；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13.支持微信直播功能，支持利用windows平台B/S架构和移动客户端Android平台APP、IOS平台APP微信端现场直播功能；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2"/>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14.设备的易用性以及安全性，要求设备高度不高于1U，要求采用12V直流供电；</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2"/>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1095"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28</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录播管理软件</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1.录播主机系统软件须出厂即安装于录播主机内，要求支持网络导播与本地导播两种导播方式；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2.为了更清楚了解系统状态，系统应支持版本信息、序列号、设备型号、硬盘空间、剩余硬盘空间、跟踪机位信息、网络连接、平台接入信息等显示；</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3.支持远程登录管理系统，可设置用户密码、视频输入、视频输出、互动、推流方式及模式、VGA图像微调等功能；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4.系统支持视频文件上传、下载、异常修复、本地点播、删除等基本功能，支持通过状态标记自动检测课件上传是否成功，对于状态标记上传失败的课件资源支持人工手动续传；</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5.系统支持插入外接移动存储设备一键拷贝下载功能，并可选择多路外接移动设备；</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70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w:t>
            </w:r>
            <w:r>
              <w:rPr>
                <w:rStyle w:val="font51"/>
                <w:rFonts w:hint="default"/>
              </w:rPr>
              <w:t>系统支持异常课件修复功能，在录制过程中或其他不可抗拒因素导致设备突然断电使录制的课件异常时，可通过录播主机管理页面一键修复功能，修复异常课件为正常课件资源；</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7.系统采用主流RTMP/RTSP/HTTP流媒体直播推送技术，支持基于Flash技术和HTML5技术的直播和点播方式，能够让用户免安装插件即可接收和观看直播和点播，无论在移动端还是电脑端都享受一流视频观看体验；</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8.系统支持高低码流直播，并可以单独控制每一路直播的启用与停止；</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9.系统支持音频管理，可以进行回声消除、噪声消除、延时器、音量等设置；</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10.系统支持输入接口管理，显示当前接口信息与连接状态；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11.系统支持与资源平台无缝对接，实现视频自动上传功能，可以兼容多种资源管理平台与第三方FTP服务器；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12.系统可以设置多种教室类型，支持常规教室、互动录播教室与第三方互动录播教室三种模式；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13.录播系统内置互动功能，支持标准H.323和SIP协议，支持与标准视频会议系统对接实现互动教学；</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14.录播系统互动功能，要求支持录播主机与录播主机之间互动，录播主机与视频会议终端之间互动、录播主机与MCU之间互动等3种互动场景；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15.系统支持一键式连接远程录播教室进行互动教学，支持互动教室数据的批量导入和导出功能；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16.录播系统互动要求支持主讲教室与听讲教室两种角色自由切换；</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17.系统支持英文、简体、繁体三语版本切换，满足不同用户的应用需求；</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29</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摄像机</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图像传感器：不低于1/1.8" Progressive Scan CMOS；</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CMOS最大分辨率：≥3840×2160；</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3.最低照度：≥0.005 Lux @(F1.2,AGC ON)（ 彩色）；</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4.数字增益：≥-30dB </w:t>
            </w:r>
            <w:r>
              <w:rPr>
                <w:rStyle w:val="font51"/>
                <w:rFonts w:hint="default"/>
              </w:rPr>
              <w:t xml:space="preserve"> -  23.9dB；</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5.日夜转换模式支持ICR红外滤片式；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6.视频压缩标准支持：H.264/H.265；</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7.视频输出分辨率：1080P@30、720P@30；</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8.压缩输出编码率：128Kbps～30Mbps可调；</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9.音频压缩编码率：AAC 32K/48；</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10.图像设置支持：饱和度，亮度，对比度，锐度，色度通过客户端可调；</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11.支持抗闪烁、电子防抖、电子快门、背光补偿、长曝光模式等功能；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12.ISO模式支持：ISO100、ISO200、ISO400、ISO800、ISO1600、ISO3200；</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13.支持老师跟踪、学生跟踪、电子云台跟踪；</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14.Sensor有效像素：≥800万；</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15.相机支持POE一线通，满足数据通信、供电均由一根网线完成；</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16.摄像机与常态化录播主机为同一品牌。</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四、中央控制系统</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30</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中控主机</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61"/>
                <w:rFonts w:hint="default"/>
              </w:rPr>
              <w:t>内置WEBSERVER，支持浏览器B/S模式控制；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2.支持模块及COMPILER+语言编程方式，使系统更加智能、方便、稳定；</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3.支持TCP/IP控制模式，UDP控制协议；</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4.支持温湿度，亮度，PM2.5，光照度等物联网传感器接入；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5.支持≥6路独立可编程RS-232，≥2路RS-485控制接口，用户可编程设置多种控制协议和代码；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6.支持≥4路独立可编程的红外发射接口 , 支持红外转串口 , 支持控制多台红外设备及串口设备；</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7.支持≥4路继电器,≥2路I/O接口；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8.支持≥4路RJ4510M/100M/1000M以太网接口；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70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w:t>
            </w:r>
            <w:r>
              <w:rPr>
                <w:rStyle w:val="font51"/>
                <w:rFonts w:hint="default"/>
              </w:rPr>
              <w:t>支持通过PC浏览器访问中控主机Web界面快速调用和设置投影机、触摸一体机、灯光、空调、电脑等设备的控制指令、执行指令的时间与周期等，并自动同步到触控屏；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10.支持通过移动端 IOS/Android App 控制设备；</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11.设备可实现对灯光、空调等设备的集中控制管理、统一开关、远程控制，设置计划任务，对空调进行温区控制、电源控制，支持不同教学场景的环境照明，模式化管理。</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12.▲支持Zigbee无线物联协议，内置物联模块与天线，可与调光器等物联设备进行无线通讯；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6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13.支持对接学校课表系统，触摸平板实时显示课表信息并根据课表信息自动执行上课/下课等模式；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31</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触控屏</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61"/>
                <w:rFonts w:hint="default"/>
              </w:rPr>
              <w:t>尺寸：≥7寸液晶屏，屏幕显示分辨率≥1280*800；</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2.触摸点数≥10点；</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3.内置处理器频率≥1.8GHZ；</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4.RJ45接口≥1路、USB2.0接口≥1路、3.5mm音频接口≥1路、HDMI接口≥1路；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51"/>
                <w:rFonts w:hint="default"/>
              </w:rPr>
              <w:t>与中控主机同一品牌。</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8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32</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强电继电器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21"/>
                <w:rFonts w:hint="default"/>
              </w:rPr>
              <w:t>★</w:t>
            </w:r>
            <w:r>
              <w:rPr>
                <w:rStyle w:val="font61"/>
                <w:rFonts w:hint="default"/>
              </w:rPr>
              <w:t>支持≥8路电源时序控制，提供≥8个插座输出，紫铜铜片，万能插座适合各种插头；</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2.支持2台机器级联（通过232口，使用九针双公交叉线），并可无限扩展第二台；</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3.支持标准RS232串口控制功能，可设置255个ID地址，最大可支持255台同时使用，适合于大规模集中控制； </w:t>
            </w:r>
            <w:r>
              <w:rPr>
                <w:rStyle w:val="font6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4.具有外部电平(5V-24V)控制接口；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5.支持数码LED电压指示，具备超压和欠压警示功能，当电压高于245V或者低于195V是闪亮警示；</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6.具备面板直通插座，支持电流≥10A，方便临时取电；</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7.预留20A净化模组安装空间，支持净化功能。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33</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16口千兆交换机</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1.传输速率：10/100/1000Mbps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2.交换方式：存储-转发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3.背板带宽：32Gbps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4.包转发率：24Mpps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51"/>
                <w:rFonts w:hint="default"/>
              </w:rPr>
              <w:t>端口描述：16个10/100/1000Base-T以太网端口；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6.网络标准：IEEE 802.3 10BASE-T、IEEE 802.3u 100BASE-TX、IEEE 802.3ab 1000BASE-T、ANSI/IEEE 802.3 Nway、IEEE 802.3x、IEEE 802.3af、IEEE 802.3at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w:t>
            </w:r>
            <w:r>
              <w:rPr>
                <w:rStyle w:val="font21"/>
                <w:rFonts w:hint="default"/>
              </w:rPr>
              <w:t xml:space="preserve"> </w:t>
            </w:r>
            <w:r>
              <w:rPr>
                <w:rStyle w:val="font51"/>
                <w:rFonts w:hint="default"/>
              </w:rPr>
              <w:t>POE供电：16个网口支持POE供电。</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五、感知与管理系统</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34</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调光器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1.工作电压:220V AC 50/60Hz，待机功耗:≤0.5W；</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2.无线工作频率：868.42MHz/915MHz/2.4GHz；</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3.支持有线串口通讯；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w:t>
            </w:r>
            <w:r>
              <w:rPr>
                <w:rStyle w:val="font61"/>
                <w:rFonts w:hint="default"/>
              </w:rPr>
              <w:t>支持Zigbee无线物联协议;无线传输距离:≤30m(室内)，≤100m(室外)；</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5.最大负载功率:单路阻性负载3A,容性感性负载1A；</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6.适应暗盒尺寸：标准86底盒；</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7.具备灯光的开关控制及亮度调节按钮。</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525"/>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35</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六合一传感器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61"/>
                <w:rFonts w:hint="default"/>
              </w:rPr>
              <w:t>支持同时检测甲醛、PM2.5、CO</w:t>
            </w:r>
            <w:r>
              <w:rPr>
                <w:rStyle w:val="font151"/>
                <w:rFonts w:hint="default"/>
              </w:rPr>
              <w:t>2</w:t>
            </w:r>
            <w:r>
              <w:rPr>
                <w:rStyle w:val="font61"/>
                <w:rFonts w:hint="default"/>
              </w:rPr>
              <w:t>、温度、湿度6种环境数据，具备以太网通讯接口；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2.甲醛测量范围：</w:t>
            </w:r>
            <w:r>
              <w:rPr>
                <w:rStyle w:val="font51"/>
                <w:rFonts w:hint="default"/>
              </w:rPr>
              <w:t>≥</w:t>
            </w:r>
            <w:r>
              <w:rPr>
                <w:rStyle w:val="font61"/>
                <w:rFonts w:hint="default"/>
              </w:rPr>
              <w:t>0---75ppm，分辨率：0.01mg/m³；</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3.PM2.5测量范围：</w:t>
            </w:r>
            <w:r>
              <w:rPr>
                <w:rStyle w:val="font51"/>
                <w:rFonts w:hint="default"/>
              </w:rPr>
              <w:t>≥</w:t>
            </w:r>
            <w:r>
              <w:rPr>
                <w:rStyle w:val="font61"/>
                <w:rFonts w:hint="default"/>
              </w:rPr>
              <w:t>0---999μg/m³，测量精度：±15%；</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30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4.CO</w:t>
            </w:r>
            <w:r>
              <w:rPr>
                <w:rStyle w:val="font151"/>
                <w:rFonts w:hint="default"/>
              </w:rPr>
              <w:t>2</w:t>
            </w:r>
            <w:r>
              <w:rPr>
                <w:rStyle w:val="font61"/>
                <w:rFonts w:hint="default"/>
              </w:rPr>
              <w:t>测量范围：</w:t>
            </w:r>
            <w:r>
              <w:rPr>
                <w:rStyle w:val="font51"/>
                <w:rFonts w:hint="default"/>
              </w:rPr>
              <w:t>≥</w:t>
            </w:r>
            <w:r>
              <w:rPr>
                <w:rStyle w:val="font61"/>
                <w:rFonts w:hint="default"/>
              </w:rPr>
              <w:t>400---5000ppm，测量精度：±40ppm；</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5.温度测量范围：</w:t>
            </w:r>
            <w:r>
              <w:rPr>
                <w:rStyle w:val="font51"/>
                <w:rFonts w:hint="default"/>
              </w:rPr>
              <w:t>≥</w:t>
            </w:r>
            <w:r>
              <w:rPr>
                <w:rStyle w:val="font61"/>
                <w:rFonts w:hint="default"/>
              </w:rPr>
              <w:t>-40℃--- +125℃，测量精度：±0.3℃；</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6.湿度传感器测量范围：</w:t>
            </w:r>
            <w:r>
              <w:rPr>
                <w:rStyle w:val="font51"/>
                <w:rFonts w:hint="default"/>
              </w:rPr>
              <w:t>≥</w:t>
            </w:r>
            <w:r>
              <w:rPr>
                <w:rStyle w:val="font61"/>
                <w:rFonts w:hint="default"/>
              </w:rPr>
              <w:t>0---100%RH，测量精度：±0.3RH。</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36</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RFID标签</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1.标签通讯方式：2.4G ，主动发送信号；</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2.电池：纽扣；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3.电池续航能力：≥5年。</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37</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RFID阅读器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1.通讯方式：支持2.4G，RJ45通讯；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2.读取性能：读取半径≥50米，速率100张/秒，容量≥1000张。</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六、教室监控</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38</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监控摄像头</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21"/>
                <w:rFonts w:hint="default"/>
              </w:rPr>
              <w:t>★</w:t>
            </w:r>
            <w:r>
              <w:rPr>
                <w:rStyle w:val="font51"/>
                <w:rFonts w:hint="default"/>
              </w:rPr>
              <w:t>分辨率：≥2560*1440；</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芯片：不低于1/3" Progressive Scan CMOS；</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3.最低照度：</w:t>
            </w:r>
            <w:r>
              <w:rPr>
                <w:rStyle w:val="font51"/>
                <w:rFonts w:hint="default"/>
              </w:rPr>
              <w:t>≥0.005 Lux @（F1.2，AGC ON）（彩色），0 Lux with IR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4.红外波长范围： 850 nm；</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5.调节角度：水平:</w:t>
            </w:r>
            <w:r>
              <w:rPr>
                <w:rStyle w:val="font51"/>
                <w:rFonts w:hint="default"/>
              </w:rPr>
              <w:t>≥0° ~  335°，垂直:≥0° ~ 75°；旋转:≥0° ~  335°</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6.网络接口：1个RJ4510M/100M自适应以太网口；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w:t>
            </w:r>
            <w:r>
              <w:rPr>
                <w:rStyle w:val="font51"/>
                <w:rFonts w:hint="default"/>
              </w:rPr>
              <w:t>供电方式：POE</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8.音频： 1个内置麦克风，1路输入（Line in），1路输出（Line out）。</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七、远程呼叫系统</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45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39</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网络管理主机</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1.工业级工控机机箱设计，机箱采用钢结构，有较高的防磁、防尘、防冲击的能力；</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2.采用不低于17英寸四线制工业级加固触摸屏，具有可抽拉隐藏式键盘、鼠标，简单易用的触摸屏操控；</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3.采用工业级专用主板设计，配置不低于CPU主频：≥2.3GHz，内存不小于8G DDR3；</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4.内置不低于256G SSD固态硬盘，读写速度达到600MB/S，抗震动、抗摔；</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5.配备接口应不少于： 接口要求：</w:t>
            </w:r>
            <w:r>
              <w:rPr>
                <w:rStyle w:val="font51"/>
                <w:rFonts w:hint="default"/>
              </w:rPr>
              <w:t xml:space="preserve"> I/O 接口 1×VGA，1×HDMI， 2×LAN，6×COM (需支持RS232/422/485)， 6×USB，1×MIC in,1× Line out,1×Line in，1×PS/2，1×TPRGGER INPUT前面板接口 2 × USB 2.0 接口；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6.支持主次服务器模式应用，支持搭配GPS的NTP（对时）服务器校准时间；</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7.具有一键紧急广播按钮，可进行快速的紧急广播；</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w:t>
            </w:r>
            <w:r>
              <w:rPr>
                <w:rStyle w:val="font51"/>
                <w:rFonts w:hint="default"/>
              </w:rPr>
              <w:t>带话筒插口，配备通话手柄，实现单项喊话和双向对讲功能；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40</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网络音频系统软件</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系统采用B/S架构；</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2.支持在同一平台下注册与管理广播终端和对讲终端，终端音量可自定义批次调节。当发生紧急事件时，对讲设备也能播放应急广播；</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3.支持地图视图、场景视图、视频视图等；</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 xml:space="preserve">4.具有优先级设定功能，单个终端可自由设定接收广播、接收对讲、接收监听的优先级，灵活匹配各种应用场所的应用需求； </w:t>
            </w:r>
            <w:r>
              <w:rPr>
                <w:rStyle w:val="font5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5.支持将要播放的媒体文件提前推送到终端保存，终端按照预设置的播放策略进行播放；</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6.系统应支持融合通信，后台录音录制在服务器硬盘中，并能进行导出，可直接将目标录音文件存储到指定目录；</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7.支持查看系统内的会话状态、刷卡状态、报警状态、应用日志、系统日志等报告，及时、准确了解系统状态；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8.支持在对讲系统网页客户端，调入外部监控视频，当发现有异常情况，可直接对视频对应的广播区域喊话；</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9.统一管理系统内终端, 主界面显示各终端当前工作状态，远程批量调节终端音量；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41</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IP网络控制台</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1.应支持桌面、壁挂、嵌入等多种安装方式；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2.应采用≥10英寸多点触控电容屏，自带可拆卸话筒杆；</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3.应内置≥1300万像素高清摄像头，支持摄像头物理遮挡，保护隐私；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4.应采用不低于双网口的设计方式，具有桥接功能，系统内两个不同的目标终端与本机连接可实现语音对讲；</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5.应具有HDMI视频输出接口，外接显示器与本机显示屏同屏或异屏显示；</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6.应内置人脸识别智能芯片，以人脸验证方式进行视频会议签到，并对签到结果进行记录汇总；</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7.应具有专用红色物理紧急按键，一键紧急广播到全区；</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8.接口：RJ45网口≥2个、报警输入接口≥1个、报警输出接口≥1个、3.5mm音频输入接口≥1个、音频输出接口≥1个、USB接口≥2个、SD卡插槽≥1个；</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9.应支持对单个终端监视监听或对多个终端循环监视监听；</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10.应内置≥3W扬声器和话筒咪头，用于免提通话、接收广播和监听；</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11.应支持查看其他终端的工作状态(登录状态、对讲状态、任务状态)；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12.应支持单个终端、分区、全区广播喊话；</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42</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IP网络对讲终端</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1.网络通讯协议 TCP/IP、UDP、ARP、ICMP、IGMP、SIP、HTTP、FTP、ONVIF；</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2.音频采样、位率要求 22.05KHz 16bit；</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3.接口应不少于 1×RJ45，1×路报警输入，1×路报警输出，1×路线路/录音输出，1×路线路输入，1×路级联接口（连接报警控制模块）；</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4.应支持各种特殊应用环境，支持嵌入墙壁或外装；</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5.采用一键求助按键设置；</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6.内置不低于3W扬声器和话筒眯头，接收广播和免提通话；应内置大容量FLASH存储器；应内置数字音频处理器，提升降噪效果、提高受话距离和音频音质；带音频输出口，可外接有源音箱或耳机；</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7.支持防拆报警功能，有人为非法强拆时，可自动向管理软件发出报警；</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8.终端应支持不少于1路报警输出, 可控制警灯或门锁；应支持不少于1路报警输入，可外接报警按钮或探头；</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18"/>
                <w:szCs w:val="18"/>
              </w:rPr>
            </w:pPr>
            <w:r>
              <w:rPr>
                <w:rFonts w:ascii="宋体" w:hAnsi="宋体" w:cs="宋体" w:hint="eastAsia"/>
                <w:b/>
                <w:bCs/>
                <w:color w:val="FF0000"/>
                <w:kern w:val="0"/>
                <w:sz w:val="18"/>
                <w:szCs w:val="18"/>
              </w:rPr>
              <w:t>9.</w:t>
            </w:r>
            <w:r>
              <w:rPr>
                <w:rStyle w:val="font161"/>
                <w:rFonts w:hint="default"/>
                <w:color w:val="FF0000"/>
              </w:rPr>
              <w:t>▲</w:t>
            </w:r>
            <w:r>
              <w:rPr>
                <w:rStyle w:val="font81"/>
                <w:rFonts w:hint="default"/>
              </w:rPr>
              <w:t>IP网络可视对讲终端支持ONVIF协议，可接入符合标准ONVIF协议的NVR等存储设备；提供第三方检测机构出具的带有CMA和CNAS标识的检测报告扫描件，原件备查；</w:t>
            </w:r>
            <w:r>
              <w:rPr>
                <w:rStyle w:val="font13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272"/>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10.标准RJ45接口，有以太网口的地方即可接入，跨网段和跨路由。</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312"/>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1095"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八、信息发布系统</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48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43</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显示屏</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基本配置：基于智慧班牌终端深度定制安卓系统，采用CPU 主频≥1.8GHz，内存≥2GB，内置FLASH闪存≥8GB，安卓5.1平台；</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2．主板：多媒体专用高清网络解码芯片；</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3．显示屏分辨率：≥1920*1080</w:t>
            </w:r>
            <w:r>
              <w:rPr>
                <w:rStyle w:val="font5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w:t>
            </w:r>
            <w:r>
              <w:rPr>
                <w:rStyle w:val="font51"/>
                <w:rFonts w:hint="default"/>
              </w:rPr>
              <w:t>尺寸：≥21.5英寸；</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5．集控系统：终端支持远程后台设置自动开关机；</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6．可显示教室当周课程，当前课程可高亮，突出显示，可查看教室本周、本学期的全部</w:t>
            </w:r>
            <w:r>
              <w:rPr>
                <w:rStyle w:val="font51"/>
                <w:rFonts w:hint="default"/>
              </w:rPr>
              <w:t>课程，标明周次、体现场地名称、课程名称等；</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7．外观：窄边框圆角设计；</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8．采用壁挂式、终端自带安装挂板；</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9．内置720p高清摄像头、内置音响；</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10．触摸：≥10点电容式触摸屏。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 需与用户现有信息发布系统管理平台兼容。</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九、电子时钟系统</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45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44</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网络同步电子时钟</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18"/>
                <w:szCs w:val="18"/>
              </w:rPr>
            </w:pPr>
            <w:r>
              <w:rPr>
                <w:rFonts w:ascii="宋体" w:hAnsi="宋体" w:cs="宋体" w:hint="eastAsia"/>
                <w:b/>
                <w:bCs/>
                <w:color w:val="FF0000"/>
                <w:kern w:val="0"/>
                <w:sz w:val="18"/>
                <w:szCs w:val="18"/>
              </w:rPr>
              <w:t>1.▲自身精度：±0.05s/d；提供第三方检测机构出具的带有CMA标识的检测报告扫描件，原件备查</w:t>
            </w:r>
            <w:r>
              <w:rPr>
                <w:rStyle w:val="font8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 xml:space="preserve"> LED发光强度≥1000mcd；</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3.功率：≤30W；</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4.采用标准POE/NTP；</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5.尺寸：530*160*45mm；</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45</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时间服务器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同步误差：≤2ms；</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2.输出接口：10BaseT/100BaseT以太网接口；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3.输出接口数量：≥4；</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4.客户端容量：≥8000次/秒；</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5.协议：SNTP/NTP V2 V3 V4等；</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316"/>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6.管理端口：通过以太网接口远程管理；</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46</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控制软件</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81"/>
                <w:rFonts w:hint="default"/>
              </w:rPr>
              <w:t>.▲提供具有时钟系统监控相关的软件著作权证书扫描件，原件备查；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2.通过监控终端能够真实显示系统的网络拓扑结构，实时反映其物理连接状态及各点设备运行条件和状态；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3.能够实现对全部时钟进行点对点的监控，监控及显示：母钟、子钟及传输通道的工作状态；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4.对全部时钟设备的控制（加快、减慢、复位、校对、停止、追时等）；</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5.系统支持当任一设备出现故障时，系统发出声响报警，并在主界面显示告警信息。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十、教学管理控制中心</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47</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液晶拼接屏</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屏幕尺寸：≥46寸，类型：DID FHD_LED，响应时间：不高于8ms；</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21"/>
                <w:rFonts w:hint="default"/>
              </w:rPr>
              <w:t>★</w:t>
            </w:r>
            <w:r>
              <w:rPr>
                <w:rStyle w:val="font51"/>
                <w:rFonts w:hint="default"/>
              </w:rPr>
              <w:t>物理缝隙≤0.88mm，屏幕比例：16:9，可视角度：178°；</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3.亮度：不低于500cd/m²，分辨率：不低于1920*1080；</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4.有效显示范围：不小于1018.08mm*572.67mm，标准颜色：16.7M；</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5.支持DVI、HDMI、VGA信号输入接口，支持不少于1路CVBS输入，USB接口软件在线升级；</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72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rPr>
              <w:t>6.具备基于FPGA的视频图像增强方法和装置、液晶屏的分割显示拼接电路等专项功能，具备图像引擎处理专项功能；具备标准、优化、用户、增强多个模式，支持对比度和亮度调整；</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20"/>
                <w:szCs w:val="20"/>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20"/>
                <w:szCs w:val="20"/>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20"/>
                <w:szCs w:val="20"/>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7.具备3D梳状滤波功能，有关、低、中、高、默认等多个模式调节，对视频信号有降噪提升效果；</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8.具备宽动态和自适应功能，提高图像的对比度，提高图像的清晰度；</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9.具备RC自适应功能，黑白电平延伸数字处理功能；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8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20"/>
                <w:szCs w:val="20"/>
              </w:rPr>
            </w:pPr>
            <w:r>
              <w:rPr>
                <w:rFonts w:ascii="宋体" w:hAnsi="宋体" w:cs="宋体" w:hint="eastAsia"/>
                <w:b/>
                <w:bCs/>
                <w:color w:val="FF0000"/>
                <w:kern w:val="0"/>
                <w:sz w:val="20"/>
                <w:szCs w:val="20"/>
              </w:rPr>
              <w:t>10.▲具备智能消除残影功能，采用图像防灼伤功能；提供第三方检测机构出具的带有CMA和CNAS标识的检测报告扫描件，原件备查；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20"/>
                <w:szCs w:val="20"/>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20"/>
                <w:szCs w:val="20"/>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20"/>
                <w:szCs w:val="20"/>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 具备智能通道巡航功能，具备智能通道巡航、巡航时间单元、通道巡航信源设置功能；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 具备局部放大功能，可通过遥控器/控制软件对显示画面的局部区域进行放大显示；</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13.具备流动字幕软件编译技术，内置流动字幕应用功能，具备开关/字体大小/背景颜色/字体颜色/流动速度功能可调；</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 具备SS引擎功能，支持根据应用场景不同设置相应的开机延长时间，支持查询显示单元已工作累计时间；</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15.具备在SD引擎功能，可查看当前显示单元的面板厂商/分辨率/面板亮度/对比度/响应时间/背光类型的液晶屏信息；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 具备H2S宽动态功能，具备H2S宽动态功能自动适应处理不同场频下的图像信号衰减和失真现象；</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17.具备GAMMA曲线调节，系统内置5条Gamma曲线智能调节功能，可适时调整液晶屏体色温曲线；</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18. 具备节能模式，用户可手动打开节能模式；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19.拼接图像边缘融合功能，内置图像边缘融合处理功能，拼接显示时可有效消除因液晶屏黑边造成的错位显示；</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20.具备七基色调节功能，具备图像七基色(RGBCMYF)的颜色亮度(IBC)、颜色对比度(IHC)、颜色饱和度(ICC)独立调节；</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2"/>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21.具备非线性曲线处理功能，具备对图像的亮度、对比度、饱和度、色调、锐度的曲线调节。</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2"/>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1095"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48</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液压前维护支架</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1.液晶拼接显示采用前维护支架结构；</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2.主体采用优碳冷扎钢板数控剪板、折弯、焊接加工，电镀处理，并配合机加工件使用。有足够的强度及钢度，无缝隙，不受热胀冷缩等环境影响；完全正面、布线、调试和维护，组建前维护拼接墙；</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3.维护方面需要满足独立维护并能快速方便，维护方式采用快速抽拉，只对有问题的屏进行维护，其他屏正常工作，以便保证项目正常使用；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4.超薄拼接框架，充分体现液晶拼接屏"薄”特点，高亮屏总厚度小于185mm，低亮屏总厚度小于205mm；</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5.直接与墙面固定，架通过膨胀螺丝与承重墙固定，100%保住液晶拼接整机的稳定牢固，墙面须为承重墙并保证墙面的平整，设备不占用维护空间；</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6.支架配有上下/左右/前后共六方位微调装置，屏体拼缝平整，美观大方，稳固安全。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49</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落地式机柜</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1.宽*深*高；600mm*440mm* 635mm；</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2.前门为5mm厚钢化玻璃门，侧门可快拆。</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8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50</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图像拼接处理器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61"/>
                <w:rFonts w:hint="default"/>
              </w:rPr>
              <w:t>采用纯硬件FPGA架构，无操作系统，启动速度快、稳定性高，启动时间＜10S；</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2.输入输出板、控制板、风扇等主要模块均为插卡式设计；</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3.输入信号支持：HDMI1.3/DVI/VGA/CVBS/SDI/HDMI1.4/SDI/IP，输出信号支持：HDMI1.3/DVI；</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4.接口(可选）：支持≥10路输入，≥15路输出；</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8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61"/>
                <w:rFonts w:hint="default"/>
              </w:rPr>
              <w:t>支持≥4组显示墙的分组管理，支持多组不同分辨率及拼接模式的显示布局；各组屏之间信号共享，方便用户管理；</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6.支持任意画面拼接及矩阵切换，支持任意开窗、漫游、叠加；</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7.支持TCP/IP网络及RS232串口控制，支持RS232环出控制功能。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135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51</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可视化智慧校园综合信息管理平台</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平台的架构：整体需采用B/S架构，无浏览器插件就能在电脑中登录查看和管理，平台采用微服务、模块化结构模式，可依托此架构平台需采用模块化管理，支持多用户多角色管理、教室和部门双组织架构管理。通过把管理人员、教师、学生、领导等角色和学校的组织与校园网络系统有机的联系在一起，以统一登录、统一数据、统一通信、统一设备管理的方式提供集成化、智能化、共享型、开放型的教育教学环境；</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8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平台支持Windows、常用信创操作系统部署；需提供国产操作系统及CPU兼容性要求、性能可靠性要求测试的；</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3．为学校提供一个统一应用、统一用户授权和统一账号管理的平台，解决了各应用系统的独立认证和用户分散管理的问题；</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4．用户只需登录统一管理平台，即可获取应用系统列表，登录任意认证通过的应用系统，无需逐一输入用户名、密码登录；</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5．提供标准第三方接口，需支持将第三方应用系统按标准接口纳入统一认证平台，实现与其他应用系统对接的通用性和广泛性；</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6．平台采用应用平台+分布式微服务架构，简化部署，松耦合，灵活组合，易扩展；</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平台的扩展性：平台不仅支持现有的教学设备集中管理控制，还能扩展到常态化录播、巡课观摩、资源管理、督导评价、预约管理应用，所有扩展系统都能在此平台统一调用基础信息，统一数据统计、统一数据呈现；</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8．基础数据平台是学校智慧教室管理系统的基础，为所有应用系统提供基础数据服务；</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9．统一管理组织结构、场地结构、资产、专业、课程、实验、学年学期、班级、教职工、学生、校园卡、课表等数据；</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规范并统一管理常用数据字典，包括场地类型、资产类型、身份类型、职称、职务、学科、课程类别、课程类型、课程性质、考试形式、考试方式、生产厂商、采购经销商、资产品牌、资产型号、采购方式等；</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11．一次对接，全应用系统共享；一次修改，全应用系统同步更新。</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12.平台遵循国家标准《智慧校园总体框架》，支持采用标准协议设备的无缝接入。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sz w:val="18"/>
                <w:szCs w:val="18"/>
              </w:rPr>
            </w:pPr>
            <w:r>
              <w:rPr>
                <w:rFonts w:ascii="宋体" w:hAnsi="宋体" w:cs="宋体" w:hint="eastAsia"/>
                <w:b/>
                <w:bCs/>
                <w:color w:val="FF0000"/>
                <w:kern w:val="0"/>
                <w:sz w:val="18"/>
                <w:szCs w:val="18"/>
              </w:rPr>
              <w:t>13.▲软件具有可视化智慧校园综合信息管理平台类软件著作权登记证书扫描件</w:t>
            </w:r>
            <w:r>
              <w:rPr>
                <w:rStyle w:val="font81"/>
                <w:rFonts w:hint="default"/>
              </w:rPr>
              <w:t>，原件备查。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52</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视频基础服务</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1．作为各应用系统、软件视频应用的基础服务；</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2．为应用系统提供实时推流、视频点播和视频录制等服务；</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3．支持主流网络摄像机接入、需支持Onvif和RTSP协议；</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4．支持网络摄像机H264/AAC编码，分辨率≥4K；</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5．支持网络摄像机云台控制及对讲功能；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6．可分布式部署，单台服务器最大支持≥200路视频设备接入（同时实现实时推流、录制服务和点播服务）；</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7．支持推送ws-flv、hls、rtmp视频流，客户端电脑及移动端无需插件即可播放；</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8．服务和资源共享，可实现不同应用同时用可同时控制调用相同视频流录制，互相不受影响，且只生成一份录制文件；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9．为应用提供点播服务，视频文件可检索任意时间段；</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10．支持多视频流电影画面合成（需支持字幕、台标控制）。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53</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智慧教学环境管理系统软件</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需采用B/S架构，兼容主流浏览器；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2．支持设备基础信息查看，设备远程控制和状态的监看，设备批量控制，摄像机云台预置位的设置，教学转播、报警管理等功能；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3．支持灵活、自由设置设备远程控制功能，自定义显示设备控制菜单，且支持不同教室显示不同的控制菜单；</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4．设备控制页面支持教室温度、湿度、照度、PM2.5、CO2、TVOC等环境参数的采集和显示；支持灯光空调窗帘的远程控制；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5．支持教室多个视频源接入，可实现教师授课场景、学生听课场景、电脑画面等场景三个画面的三分屏显示，支持画面任意位置调整，支持摄像头适用场景模式的一键切换，支持云镜控制和可视对讲；</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6．支持实时监测各多媒体教室设备的电流、功率和运行状态；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7．电视墙管理需支持显示策略的的设置，支持一键切换电视墙的分屏显示方式；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8．支持设备在线情况统一监控和报警管理；</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9．可远程接管各多媒体教室的计算机，协助老师解决问题；</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10．支持按教室进行设备一键巡检，提前排查设备故障，保障教学安全；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11．支持按教室、设备类型、设备状态查询巡检日志；</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12．支持将一间教室的上课场景转播到其他教室，实现教学直播或公开课的功能。任意教室既可做主讲教室，也可作为听课教室。各教室可同时收看主讲教室的授课场景（含声音）和电脑画面；</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13．可实现定时、依课表、依教室环境参数等多种策略实现设备的开启和关闭，支持依课表提前或延后开启或关闭设备；</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14．设备控制页面可以显示当前教室的上课课程（课程名称、主讲人、上课班级以及上课时间）；</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15．支持图形方式集中显示教室设备的运行状态，支持状态筛选，支持批量、分组集中控制；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16．支持向中控的液晶控制面板、LED显示屏和教室计算机等设备发送文字信息和通知；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54</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多媒体教学远程观摩监控系统软件</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1．系统软件需采用B/S架构，兼容主流浏览器，是智慧校园平台的一个子系统模块；</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2．实现可视化教学质量观摩，可根据课表展示当前正在授课的教室及课程，需支持按课程、任课教师、教室等条件检索；</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3．三分屏显示上课教室画面及音频，老师视频画面，课件电脑画面，学生听课画面以及其他画面可以自由拖动至主窗口；</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4．教学观摩人员可以远程在线对教师及其所教授的课程进行观摩，观摩窗口显示当前授课老师的院系、姓名、课程名称等信息。</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55</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大屏控制电脑</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21"/>
                <w:rFonts w:hint="default"/>
              </w:rPr>
              <w:t xml:space="preserve"> </w:t>
            </w:r>
            <w:r>
              <w:rPr>
                <w:rStyle w:val="font51"/>
                <w:rFonts w:hint="default"/>
              </w:rPr>
              <w:t>CPU主频：≥3GHz；</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内存：</w:t>
            </w:r>
            <w:r>
              <w:rPr>
                <w:rStyle w:val="font61"/>
                <w:rFonts w:hint="default"/>
              </w:rPr>
              <w:t>≥</w:t>
            </w:r>
            <w:r>
              <w:rPr>
                <w:rStyle w:val="font51"/>
                <w:rFonts w:hint="default"/>
              </w:rPr>
              <w:t>8G；</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3.硬盘：</w:t>
            </w:r>
            <w:r>
              <w:rPr>
                <w:rStyle w:val="font61"/>
                <w:rFonts w:hint="default"/>
              </w:rPr>
              <w:t>≥</w:t>
            </w:r>
            <w:r>
              <w:rPr>
                <w:rStyle w:val="font51"/>
                <w:rFonts w:hint="default"/>
              </w:rPr>
              <w:t>512G；</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w:t>
            </w:r>
            <w:r>
              <w:rPr>
                <w:rStyle w:val="font51"/>
                <w:rFonts w:hint="default"/>
              </w:rPr>
              <w:t>显卡：</w:t>
            </w:r>
            <w:r>
              <w:rPr>
                <w:rStyle w:val="font61"/>
                <w:rFonts w:hint="default"/>
              </w:rPr>
              <w:t>≥</w:t>
            </w:r>
            <w:r>
              <w:rPr>
                <w:rStyle w:val="font51"/>
                <w:rFonts w:hint="default"/>
              </w:rPr>
              <w:t>8G独立显存；</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51"/>
                <w:rFonts w:hint="default"/>
              </w:rPr>
              <w:t>显示器尺寸：</w:t>
            </w:r>
            <w:r>
              <w:rPr>
                <w:rStyle w:val="font61"/>
                <w:rFonts w:hint="default"/>
              </w:rPr>
              <w:t>≥</w:t>
            </w:r>
            <w:r>
              <w:rPr>
                <w:rStyle w:val="font51"/>
                <w:rFonts w:hint="default"/>
              </w:rPr>
              <w:t>23.8；</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6.操作系统：WIN10。</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8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56</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资产设备感知管理平台</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盘点功能：依据资产编号及区域盘点，数据以EXCEL表格形式可导出，自动生成盘点日志；</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8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w:t>
            </w:r>
            <w:r>
              <w:rPr>
                <w:rStyle w:val="font51"/>
                <w:rFonts w:hint="default"/>
              </w:rPr>
              <w:t>查找功能：依据资产编号单个或批量查找资产位置，查找项设置具备导入功能，自动生成查找日志；</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w:t>
            </w:r>
            <w:r>
              <w:rPr>
                <w:rStyle w:val="font51"/>
                <w:rFonts w:hint="default"/>
              </w:rPr>
              <w:t>报警功能：标签信号位移、传输异常报警，自动生成报警日志；</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4.数据传输与备份：采用2.4G超高频RFID技术收集数据，传输数据至用户终端，定时自动备份。</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5.标签地理位置信息显示：满足以EXCEL表格及平面图的两种显示形式；</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6.数据库：支持Microsoft SQL Server2012 及以上版本或支持MySQL 5.7及以上版本；</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7.操作系统：支持部署WindowsServer2012R2及以上版本或Redhat Linux6.8 或者7.4及以上版本或centOS 7.4及以上版本。</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57</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RFID手持读写器</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1.通讯方式：支持</w:t>
            </w:r>
            <w:r>
              <w:rPr>
                <w:rStyle w:val="font51"/>
                <w:rFonts w:hint="default"/>
              </w:rPr>
              <w:t xml:space="preserve"> GSM 语音、短信息和 GPRS 数据通讯，支持 2.4G/5G 双频，符合 IEEE 802.11a/b/g/n/ac 的 WiFi 无线局域网通讯，支持符合Bluetooth 4.0 的蓝牙通讯，支持高速 USB2.0 设备端接口，可通过 PC 进行数据更新；</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2.体积重量：体积≤170*85*23mm（长*宽*高MM），重量≤350g；</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3.外观及材质：外观设计、外观材料（B1级以上阻燃材料）及PCB板材质符合环保要求；</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w:t>
            </w:r>
            <w:r>
              <w:rPr>
                <w:rStyle w:val="font21"/>
                <w:rFonts w:hint="default"/>
              </w:rPr>
              <w:t>★</w:t>
            </w:r>
            <w:r>
              <w:rPr>
                <w:rStyle w:val="font51"/>
                <w:rFonts w:hint="default"/>
              </w:rPr>
              <w:t>读取性能：正常环境读取半径≥50米，速率100张/秒，容量≥1000张；</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5.防护等级：满足 IP65 防护等级要求；</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70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w:t>
            </w:r>
            <w:r>
              <w:rPr>
                <w:rStyle w:val="font51"/>
                <w:rFonts w:hint="default"/>
              </w:rPr>
              <w:t>硬件性能：Cortex A53 四核 、处理器速率≥1.3GHZ、RAM≥2GB LPDDR3 B 和ROM≥ 16GB EMMC、Micro SD/TF 卡扩展≥32G 的、IPS 屏≥5.0 寸, 分辨率≥ 720*1280, 高清全视角，阳光下可见；</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7.操作系统：Android 5.1；</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8.工作时间：电池满电状态下可持续工作达 ≥10 小时。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十一、打铃系统</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58</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音箱</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51"/>
                <w:rFonts w:hint="default"/>
              </w:rPr>
              <w:t>内置2x20W数字功率放大器；</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2．1路线路（AUX）输入接口，具有独立的音量电位器控制</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3．内置模拟音频信号备份模块，支持定压100V信号输入</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4．兼容路由器、交换机、网桥网关、Modem、Internet、2G、3G、4G等任意网络结构</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5．</w:t>
            </w:r>
            <w:r>
              <w:rPr>
                <w:rStyle w:val="font51"/>
                <w:rFonts w:hint="default"/>
              </w:rPr>
              <w:t>嵌入式计算机技术和DSP音频处理技术设计；</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6．一体化壁挂式音箱设计</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7．内置1路网络硬件音频解码模块，支持TCP/IP、UDP协议</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8.</w:t>
            </w:r>
            <w:r>
              <w:rPr>
                <w:rStyle w:val="font51"/>
                <w:rFonts w:hint="default"/>
              </w:rPr>
              <w:t xml:space="preserve"> 需接入用户现有广播打铃系统</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十二、服务器与存储</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59</w:t>
            </w:r>
          </w:p>
        </w:tc>
        <w:tc>
          <w:tcPr>
            <w:tcW w:w="496" w:type="pct"/>
            <w:vMerge w:val="restart"/>
            <w:tcBorders>
              <w:top w:val="single" w:sz="4" w:space="0" w:color="000000"/>
              <w:left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私有云服务器</w:t>
            </w: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一、14个计算节点。每节点：</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21"/>
                <w:rFonts w:hint="default"/>
              </w:rPr>
              <w:t>★</w:t>
            </w:r>
            <w:r>
              <w:rPr>
                <w:rStyle w:val="font51"/>
                <w:rFonts w:hint="default"/>
              </w:rPr>
              <w:t>CPU：2颗，单颗不少于20核，不低于2.3GHz，</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内存：不少于256GB 3200MT/s DDR4 内存，</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系统盘：不少于2*480GB SATA SSD 2.5英寸硬盘，</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2G缓存RAID卡，支持RAID 0/1/5/6/10/50/60，支持掉电保护</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电源： ≥900W电源模块*2</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网络：不少于2*GE接口，不少于4*10GE光口（含万兆多模模块）</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7. </w:t>
            </w:r>
            <w:r>
              <w:rPr>
                <w:rStyle w:val="font51"/>
                <w:rFonts w:hint="default"/>
              </w:rPr>
              <w:t>双宽GPU卡最大可支持4块，支持不少于14个PCIE4.0插槽，最大可支持不少于39块硬盘</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
                <w:bCs/>
                <w:color w:val="FF0000"/>
                <w:sz w:val="18"/>
                <w:szCs w:val="18"/>
              </w:rPr>
            </w:pPr>
            <w:r>
              <w:rPr>
                <w:rFonts w:ascii="宋体" w:hAnsi="宋体" w:cs="宋体"/>
                <w:b/>
                <w:color w:val="FF0000"/>
                <w:kern w:val="0"/>
                <w:sz w:val="18"/>
                <w:szCs w:val="18"/>
              </w:rPr>
              <w:t>8</w:t>
            </w:r>
            <w:r>
              <w:rPr>
                <w:rFonts w:ascii="宋体" w:hAnsi="宋体" w:cs="宋体" w:hint="eastAsia"/>
                <w:b/>
                <w:color w:val="FF0000"/>
                <w:kern w:val="0"/>
                <w:sz w:val="18"/>
                <w:szCs w:val="18"/>
              </w:rPr>
              <w:t xml:space="preserve">. </w:t>
            </w:r>
            <w:r>
              <w:rPr>
                <w:rStyle w:val="font81"/>
                <w:rFonts w:hint="default"/>
                <w:bCs w:val="0"/>
              </w:rPr>
              <w:t>为防范和消除系统安全风险，服务器需支持自研安全防护模块，可提供包含但不限于防火墙、IPS、防病毒和QoS等防护功能，提供产品实物图片及功能截图扫描件。</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b/>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b/>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b/>
                <w:color w:val="FF0000"/>
                <w:kern w:val="0"/>
                <w:sz w:val="18"/>
                <w:szCs w:val="18"/>
              </w:rPr>
            </w:pPr>
          </w:p>
        </w:tc>
      </w:tr>
      <w:tr>
        <w:tblPrEx>
          <w:tblW w:w="4997" w:type="pct"/>
          <w:tblInd w:w="0" w:type="dxa"/>
          <w:tblCellMar>
            <w:top w:w="0" w:type="dxa"/>
            <w:left w:w="108" w:type="dxa"/>
            <w:bottom w:w="0" w:type="dxa"/>
            <w:right w:w="108" w:type="dxa"/>
          </w:tblCellMar>
        </w:tblPrEx>
        <w:trPr>
          <w:trHeight w:val="9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
                <w:bCs/>
                <w:color w:val="FF0000"/>
                <w:sz w:val="18"/>
                <w:szCs w:val="18"/>
              </w:rPr>
            </w:pPr>
            <w:r>
              <w:rPr>
                <w:rFonts w:ascii="宋体" w:hAnsi="宋体" w:cs="宋体"/>
                <w:b/>
                <w:bCs/>
                <w:color w:val="FF0000"/>
                <w:kern w:val="0"/>
                <w:sz w:val="18"/>
                <w:szCs w:val="18"/>
              </w:rPr>
              <w:t>9</w:t>
            </w:r>
            <w:r>
              <w:rPr>
                <w:rFonts w:ascii="宋体" w:hAnsi="宋体" w:cs="宋体" w:hint="eastAsia"/>
                <w:b/>
                <w:bCs/>
                <w:color w:val="FF0000"/>
                <w:kern w:val="0"/>
                <w:sz w:val="18"/>
                <w:szCs w:val="18"/>
              </w:rPr>
              <w:t xml:space="preserve">. </w:t>
            </w:r>
            <w:r>
              <w:rPr>
                <w:rStyle w:val="font81"/>
                <w:rFonts w:hint="default"/>
              </w:rPr>
              <w:t>▲配置远程运维软件1套及运维网关2台；提供运维网关的实物图片扫描件。</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b/>
                <w:bCs/>
                <w:color w:val="FF0000"/>
                <w:kern w:val="0"/>
                <w:sz w:val="18"/>
                <w:szCs w:val="18"/>
              </w:rPr>
            </w:pPr>
          </w:p>
        </w:tc>
      </w:tr>
      <w:tr>
        <w:tblPrEx>
          <w:tblW w:w="4997" w:type="pct"/>
          <w:tblInd w:w="0" w:type="dxa"/>
          <w:tblCellMar>
            <w:top w:w="0" w:type="dxa"/>
            <w:left w:w="108" w:type="dxa"/>
            <w:bottom w:w="0" w:type="dxa"/>
            <w:right w:w="108" w:type="dxa"/>
          </w:tblCellMar>
        </w:tblPrEx>
        <w:trPr>
          <w:trHeight w:val="91"/>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b/>
                <w:bCs/>
                <w:color w:val="FF0000"/>
                <w:kern w:val="0"/>
                <w:sz w:val="18"/>
                <w:szCs w:val="18"/>
              </w:rPr>
            </w:pPr>
            <w:r>
              <w:rPr>
                <w:rFonts w:ascii="宋体" w:hAnsi="宋体" w:cs="宋体" w:hint="eastAsia"/>
                <w:kern w:val="0"/>
                <w:sz w:val="18"/>
                <w:szCs w:val="18"/>
              </w:rPr>
              <w:t>1</w:t>
            </w:r>
            <w:r>
              <w:rPr>
                <w:rFonts w:ascii="宋体" w:hAnsi="宋体" w:cs="宋体"/>
                <w:kern w:val="0"/>
                <w:sz w:val="18"/>
                <w:szCs w:val="18"/>
              </w:rPr>
              <w:t>0.</w:t>
            </w:r>
            <w:r>
              <w:rPr>
                <w:rStyle w:val="font81"/>
                <w:rFonts w:hint="default"/>
                <w:b w:val="0"/>
                <w:bCs w:val="0"/>
                <w:color w:val="auto"/>
              </w:rPr>
              <w:t xml:space="preserve"> 提供远程运维软件及运维网关的原厂后端支撑及服务，建立原厂与现场服务通道，支持原厂远程故障诊断和维护管理； </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color w:val="000000"/>
                <w:kern w:val="0"/>
                <w:sz w:val="18"/>
                <w:szCs w:val="18"/>
              </w:rPr>
              <w:t>11</w:t>
            </w:r>
            <w:r>
              <w:rPr>
                <w:rFonts w:ascii="宋体" w:hAnsi="宋体" w:cs="宋体" w:hint="eastAsia"/>
                <w:color w:val="000000"/>
                <w:kern w:val="0"/>
                <w:sz w:val="18"/>
                <w:szCs w:val="18"/>
              </w:rPr>
              <w:t xml:space="preserve">. </w:t>
            </w:r>
            <w:r>
              <w:rPr>
                <w:rStyle w:val="font51"/>
                <w:rFonts w:hint="default"/>
              </w:rPr>
              <w:t>▲为保障系统兼容性，本服务器要求和私有云管理平台为同一品牌</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二、私有云管理平台一套，要求如下：</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2</w:t>
            </w:r>
            <w:r>
              <w:rPr>
                <w:rFonts w:ascii="宋体" w:hAnsi="宋体" w:cs="宋体" w:hint="eastAsia"/>
                <w:color w:val="000000"/>
                <w:kern w:val="0"/>
                <w:sz w:val="18"/>
                <w:szCs w:val="18"/>
              </w:rPr>
              <w:t xml:space="preserve">. </w:t>
            </w:r>
            <w:r>
              <w:rPr>
                <w:rStyle w:val="font51"/>
                <w:rFonts w:hint="default"/>
              </w:rPr>
              <w:t>★管理范围：10个计算虚拟化节点（两路）、14个容器节点 （两路）、5个裸金属节点等（两路）</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90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w:t>
            </w:r>
            <w:r>
              <w:rPr>
                <w:rFonts w:ascii="宋体" w:hAnsi="宋体" w:cs="宋体" w:hint="eastAsia"/>
                <w:color w:val="000000"/>
                <w:kern w:val="0"/>
                <w:sz w:val="18"/>
                <w:szCs w:val="18"/>
              </w:rPr>
              <w:t xml:space="preserve">. </w:t>
            </w:r>
            <w:r>
              <w:rPr>
                <w:rStyle w:val="font51"/>
                <w:rFonts w:hint="default"/>
              </w:rPr>
              <w:t>云管理平台管理节点须支持Docker集群部署，并支持部署在虚拟机上，提供平滑升级扩展、高可靠容错机制，各云服务组件之间松耦合，支持不同的服务组件如IaaS、PaaS、大数据、数据库、安全等独立部署，支持不同的服务组件单独启用或停用，单云服务组件升级对其他云服务和云管理平台无影响。</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w:t>
            </w:r>
            <w:r>
              <w:rPr>
                <w:rFonts w:ascii="宋体" w:hAnsi="宋体" w:cs="宋体" w:hint="eastAsia"/>
                <w:color w:val="000000"/>
                <w:kern w:val="0"/>
                <w:sz w:val="18"/>
                <w:szCs w:val="18"/>
              </w:rPr>
              <w:t xml:space="preserve">. </w:t>
            </w:r>
            <w:r>
              <w:rPr>
                <w:rStyle w:val="font51"/>
                <w:rFonts w:hint="default"/>
              </w:rPr>
              <w:t>云管理平台支持容器服务，可以提供容器镜像仓库管理、容器镜像构建、图形化容器编排以及容器的生命周期管理。</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5</w:t>
            </w:r>
            <w:r>
              <w:rPr>
                <w:rFonts w:ascii="宋体" w:hAnsi="宋体" w:cs="宋体" w:hint="eastAsia"/>
                <w:color w:val="000000"/>
                <w:kern w:val="0"/>
                <w:sz w:val="18"/>
                <w:szCs w:val="18"/>
              </w:rPr>
              <w:t xml:space="preserve">. </w:t>
            </w:r>
            <w:r>
              <w:rPr>
                <w:rStyle w:val="font51"/>
                <w:rFonts w:hint="default"/>
              </w:rPr>
              <w:t>为保证系统数据的安全性，云管理平台须与虚拟化平台、容器平台、数据平台统一品牌，软件本体均要求在本地机房部署。</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Style w:val="font81"/>
                <w:rFonts w:hint="default"/>
              </w:rPr>
            </w:pPr>
            <w:r>
              <w:rPr>
                <w:rStyle w:val="font81"/>
                <w:rFonts w:hint="default"/>
              </w:rPr>
              <w:t>▲</w:t>
            </w:r>
            <w:r>
              <w:rPr>
                <w:rFonts w:ascii="宋体" w:hAnsi="宋体" w:cs="宋体" w:hint="eastAsia"/>
                <w:b/>
                <w:bCs/>
                <w:color w:val="FF0000"/>
                <w:kern w:val="0"/>
                <w:sz w:val="18"/>
                <w:szCs w:val="18"/>
              </w:rPr>
              <w:t>1</w:t>
            </w:r>
            <w:r>
              <w:rPr>
                <w:rFonts w:ascii="宋体" w:hAnsi="宋体" w:cs="宋体"/>
                <w:b/>
                <w:bCs/>
                <w:color w:val="FF0000"/>
                <w:kern w:val="0"/>
                <w:sz w:val="18"/>
                <w:szCs w:val="18"/>
              </w:rPr>
              <w:t>6</w:t>
            </w:r>
            <w:r>
              <w:rPr>
                <w:rFonts w:ascii="宋体" w:hAnsi="宋体" w:cs="宋体" w:hint="eastAsia"/>
                <w:b/>
                <w:bCs/>
                <w:color w:val="FF0000"/>
                <w:kern w:val="0"/>
                <w:sz w:val="18"/>
                <w:szCs w:val="18"/>
              </w:rPr>
              <w:t>. （1）</w:t>
            </w:r>
            <w:r>
              <w:rPr>
                <w:rStyle w:val="font81"/>
                <w:rFonts w:hint="default"/>
              </w:rPr>
              <w:t>云管理平台可以自定义允许访问系统数据库的白名单IP，只有添加进白名单的IP才能访问云管理平台的数据库。提供产品功能截图扫描件；</w:t>
            </w:r>
          </w:p>
          <w:p>
            <w:pPr>
              <w:widowControl/>
              <w:numPr>
                <w:ilvl w:val="0"/>
                <w:numId w:val="5"/>
              </w:numPr>
              <w:jc w:val="left"/>
              <w:textAlignment w:val="top"/>
              <w:rPr>
                <w:rStyle w:val="font81"/>
                <w:rFonts w:hint="default"/>
              </w:rPr>
            </w:pPr>
            <w:r>
              <w:rPr>
                <w:rStyle w:val="font81"/>
                <w:rFonts w:hint="default"/>
              </w:rPr>
              <w:t>云管理平台可提供云网盘服务，租户管理员可以直接创建云网盘，普通用户可自助申请私有网盘空间。网盘所有者可对网盘的文件夹或者文件设置共享权限，从而共享给组织内的其他用户。云网盘可以通过手机APP进行远程访问。</w:t>
            </w:r>
          </w:p>
          <w:p>
            <w:pPr>
              <w:widowControl/>
              <w:jc w:val="left"/>
              <w:textAlignment w:val="top"/>
              <w:rPr>
                <w:rStyle w:val="font81"/>
                <w:rFonts w:hint="default"/>
              </w:rPr>
            </w:pPr>
            <w:r>
              <w:rPr>
                <w:rStyle w:val="font81"/>
                <w:rFonts w:hint="default"/>
              </w:rPr>
              <w:t>提供第三方检测机构出具的符合上述要求且具备“申请新建云网盘”功能的具备CMA和CNAS标识的检测报告扫描件，原件备查；</w:t>
            </w:r>
          </w:p>
          <w:p>
            <w:pPr>
              <w:widowControl/>
              <w:jc w:val="left"/>
              <w:textAlignment w:val="top"/>
              <w:rPr>
                <w:rFonts w:ascii="宋体" w:hAnsi="宋体" w:cs="宋体" w:hint="eastAsia"/>
                <w:b/>
                <w:bCs/>
                <w:color w:val="FF0000"/>
                <w:sz w:val="18"/>
                <w:szCs w:val="18"/>
              </w:rPr>
            </w:pPr>
            <w:r>
              <w:rPr>
                <w:rStyle w:val="font81"/>
                <w:rFonts w:hint="default"/>
              </w:rPr>
              <w:t>（3）私有云管理平台所提供的容器资源应当具备相互隔离互不影响的能力；私有云管理平台所提供的CPU和内存应具备根据设定阈值进行自动伸缩功能。提供第三方检测机构出具的符合上述要求且具备“容器集群基于 namespace网络隔离”功能的具备CMA和CNAS标识的检测报告扫描件，原件备查；</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Style w:val="font81"/>
                <w:rFonts w:hint="default"/>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Style w:val="font81"/>
                <w:rFonts w:hint="default"/>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Style w:val="font81"/>
                <w:rFonts w:hint="default"/>
              </w:rPr>
            </w:pPr>
          </w:p>
        </w:tc>
      </w:tr>
      <w:tr>
        <w:tblPrEx>
          <w:tblW w:w="4997" w:type="pct"/>
          <w:tblInd w:w="0" w:type="dxa"/>
          <w:tblCellMar>
            <w:top w:w="0" w:type="dxa"/>
            <w:left w:w="108" w:type="dxa"/>
            <w:bottom w:w="0" w:type="dxa"/>
            <w:right w:w="108" w:type="dxa"/>
          </w:tblCellMar>
        </w:tblPrEx>
        <w:trPr>
          <w:trHeight w:val="90"/>
        </w:trPr>
        <w:tc>
          <w:tcPr>
            <w:tcW w:w="374" w:type="pct"/>
            <w:vMerge/>
            <w:tcBorders>
              <w:left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left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jc w:val="left"/>
              <w:textAlignment w:val="top"/>
              <w:rPr>
                <w:rStyle w:val="font81"/>
                <w:rFonts w:hint="default"/>
              </w:rPr>
            </w:pPr>
            <w:r>
              <w:rPr>
                <w:rFonts w:ascii="宋体" w:hAnsi="宋体" w:cs="宋体" w:hint="eastAsia"/>
                <w:b/>
                <w:bCs/>
                <w:color w:val="FF0000"/>
                <w:kern w:val="0"/>
                <w:sz w:val="18"/>
                <w:szCs w:val="18"/>
              </w:rPr>
              <w:t>1</w:t>
            </w:r>
            <w:r>
              <w:rPr>
                <w:rFonts w:ascii="宋体" w:hAnsi="宋体" w:cs="宋体"/>
                <w:b/>
                <w:bCs/>
                <w:color w:val="FF0000"/>
                <w:kern w:val="0"/>
                <w:sz w:val="18"/>
                <w:szCs w:val="18"/>
              </w:rPr>
              <w:t>7</w:t>
            </w:r>
            <w:r>
              <w:rPr>
                <w:rFonts w:ascii="宋体" w:hAnsi="宋体" w:cs="宋体" w:hint="eastAsia"/>
                <w:b/>
                <w:bCs/>
                <w:color w:val="FF0000"/>
                <w:kern w:val="0"/>
                <w:sz w:val="18"/>
                <w:szCs w:val="18"/>
              </w:rPr>
              <w:t>.投标产品通过由中国信息通信研究院和云计算开源产业联盟的“可信云容器解决方案”评估，并提供《容器解决方案》证书扫描件</w:t>
            </w:r>
          </w:p>
        </w:tc>
        <w:tc>
          <w:tcPr>
            <w:tcW w:w="1095"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jc w:val="left"/>
              <w:textAlignment w:val="top"/>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60</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物理应用服务器</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CPU：2颗，单颗不少于20核，不低于2.3GHz，</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内存：不少于256G DDR4；</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硬盘：不少于2*480GB SSD 硬盘</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2G缓存RAID卡，支持RAID 0/1/5/6/10/50/60，支持掉电保护;</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电源：2* ≥900W电源模块</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网络：不少于2*GE接口，不少于4*10GE光口（含万兆多模模块）；</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7. </w:t>
            </w:r>
            <w:r>
              <w:rPr>
                <w:rStyle w:val="font81"/>
                <w:rFonts w:hint="default"/>
                <w:b w:val="0"/>
                <w:color w:val="auto"/>
              </w:rPr>
              <w:t>▲</w:t>
            </w:r>
            <w:r>
              <w:rPr>
                <w:rStyle w:val="font51"/>
                <w:rFonts w:hint="default"/>
                <w:color w:val="auto"/>
              </w:rPr>
              <w:t>双宽GPU卡最大可支持4块，支持不少于14个PCIE4.0插槽，最大可支持不少于39块硬盘</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42"/>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Cs/>
                <w:color w:val="FF0000"/>
                <w:sz w:val="18"/>
                <w:szCs w:val="18"/>
              </w:rPr>
            </w:pPr>
            <w:r>
              <w:rPr>
                <w:rFonts w:ascii="宋体" w:hAnsi="宋体" w:cs="宋体" w:hint="eastAsia"/>
                <w:bCs/>
                <w:color w:val="FF0000"/>
                <w:kern w:val="0"/>
                <w:sz w:val="18"/>
                <w:szCs w:val="18"/>
              </w:rPr>
              <w:t xml:space="preserve">8. </w:t>
            </w:r>
            <w:r>
              <w:rPr>
                <w:rStyle w:val="font81"/>
                <w:rFonts w:hint="default"/>
              </w:rPr>
              <w:t>支持外接USB wifi模块，提供无线热点，用户可以使用手机或者便携机直接登录管理系统，无需额外的显示器。提供功能截图扫描件</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Cs/>
                <w:color w:val="FF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9</w:t>
            </w:r>
            <w:r>
              <w:rPr>
                <w:rFonts w:ascii="宋体" w:hAnsi="宋体" w:cs="宋体" w:hint="eastAsia"/>
                <w:color w:val="000000"/>
                <w:kern w:val="0"/>
                <w:sz w:val="18"/>
                <w:szCs w:val="18"/>
              </w:rPr>
              <w:t xml:space="preserve">. </w:t>
            </w:r>
            <w:r>
              <w:rPr>
                <w:rStyle w:val="font51"/>
                <w:rFonts w:hint="default"/>
              </w:rPr>
              <w:t>★具有2颗CPU国产虚拟化软件高级版授权，支持跨中心构建计算集群，保障集群中业务应用实现跨中心高可用HA</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r>
      <w:tr>
        <w:tblPrEx>
          <w:tblW w:w="4997" w:type="pct"/>
          <w:tblInd w:w="0" w:type="dxa"/>
          <w:tblCellMar>
            <w:top w:w="0" w:type="dxa"/>
            <w:left w:w="108" w:type="dxa"/>
            <w:bottom w:w="0" w:type="dxa"/>
            <w:right w:w="108" w:type="dxa"/>
          </w:tblCellMar>
        </w:tblPrEx>
        <w:trPr>
          <w:trHeight w:val="9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kern w:val="0"/>
                <w:sz w:val="18"/>
                <w:szCs w:val="18"/>
              </w:rPr>
              <w:t>1</w:t>
            </w:r>
            <w:r>
              <w:rPr>
                <w:rFonts w:ascii="宋体" w:hAnsi="宋体" w:cs="宋体"/>
                <w:kern w:val="0"/>
                <w:sz w:val="18"/>
                <w:szCs w:val="18"/>
              </w:rPr>
              <w:t>0</w:t>
            </w:r>
            <w:r>
              <w:rPr>
                <w:rFonts w:ascii="宋体" w:hAnsi="宋体" w:cs="宋体" w:hint="eastAsia"/>
                <w:kern w:val="0"/>
                <w:sz w:val="18"/>
                <w:szCs w:val="18"/>
              </w:rPr>
              <w:t>.</w:t>
            </w:r>
            <w:r>
              <w:rPr>
                <w:rStyle w:val="font81"/>
                <w:rFonts w:hint="default"/>
                <w:b w:val="0"/>
                <w:bCs w:val="0"/>
                <w:color w:val="auto"/>
              </w:rPr>
              <w:t>虚拟化软件架构采用裸金属架构，可直接安装在服务器硬件设备上，基于KVM架构开发，可维护性好；</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kern w:val="0"/>
                <w:sz w:val="18"/>
                <w:szCs w:val="18"/>
              </w:rPr>
            </w:pPr>
          </w:p>
        </w:tc>
      </w:tr>
      <w:tr>
        <w:tblPrEx>
          <w:tblW w:w="4997" w:type="pct"/>
          <w:tblInd w:w="0" w:type="dxa"/>
          <w:tblCellMar>
            <w:top w:w="0" w:type="dxa"/>
            <w:left w:w="108" w:type="dxa"/>
            <w:bottom w:w="0" w:type="dxa"/>
            <w:right w:w="108" w:type="dxa"/>
          </w:tblCellMar>
        </w:tblPrEx>
        <w:trPr>
          <w:trHeight w:val="154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wordWrap w:val="0"/>
              <w:jc w:val="left"/>
              <w:textAlignment w:val="top"/>
              <w:rPr>
                <w:rFonts w:ascii="宋体" w:hAnsi="宋体" w:cs="宋体" w:hint="eastAsia"/>
                <w:b/>
                <w:bCs/>
                <w:color w:val="FF0000"/>
                <w:sz w:val="18"/>
                <w:szCs w:val="18"/>
              </w:rPr>
            </w:pPr>
            <w:r>
              <w:rPr>
                <w:rStyle w:val="font81"/>
                <w:rFonts w:hint="default"/>
              </w:rPr>
              <w:t>▲</w:t>
            </w:r>
            <w:r>
              <w:rPr>
                <w:rFonts w:ascii="宋体" w:hAnsi="宋体" w:cs="宋体" w:hint="eastAsia"/>
                <w:b/>
                <w:bCs/>
                <w:color w:val="FF0000"/>
                <w:kern w:val="0"/>
                <w:sz w:val="18"/>
                <w:szCs w:val="18"/>
              </w:rPr>
              <w:t xml:space="preserve">11. </w:t>
            </w:r>
            <w:r>
              <w:rPr>
                <w:rStyle w:val="font81"/>
                <w:rFonts w:hint="default"/>
              </w:rPr>
              <w:t>虚拟化管理平台内置在线p2v、v2v迁移工具，支持WindowsServer、CentOS、Redhat等操作系统、公有云平台、虚拟化平台，包括但不限于VMware、H3C、华为等平台的迁移功能，提升被迁移业务平台的普适性、降低业务上云的难度，降低运维工作量。支持使用一键鼠标按钮分析后端存储上的无效镜像文件，并提供一键清理和释放存储空间能力；支持使用一键鼠标按钮快速查看、启动、删除、批量启动和批量删除长时间未使用且处于关闭状态的虚拟机，进行资源利用率统计，降低运维工作量与难度，保障投资。提供第三方检测机构出具的带有CMA和CNAS标识的报告扫描件，原件备查；</w:t>
            </w:r>
          </w:p>
        </w:tc>
        <w:tc>
          <w:tcPr>
            <w:tcW w:w="1095" w:type="pct"/>
            <w:tcBorders>
              <w:top w:val="single" w:sz="4" w:space="0" w:color="000000"/>
              <w:left w:val="single" w:sz="4" w:space="0" w:color="000000"/>
              <w:bottom w:val="single" w:sz="4" w:space="0" w:color="000000"/>
              <w:right w:val="single" w:sz="4" w:space="0" w:color="000000"/>
            </w:tcBorders>
          </w:tcPr>
          <w:p>
            <w:pPr>
              <w:widowControl/>
              <w:wordWrap w:val="0"/>
              <w:jc w:val="left"/>
              <w:textAlignment w:val="top"/>
              <w:rPr>
                <w:rStyle w:val="font81"/>
                <w:rFonts w:hint="default"/>
              </w:rPr>
            </w:pPr>
          </w:p>
        </w:tc>
        <w:tc>
          <w:tcPr>
            <w:tcW w:w="438" w:type="pct"/>
            <w:tcBorders>
              <w:top w:val="single" w:sz="4" w:space="0" w:color="000000"/>
              <w:left w:val="single" w:sz="4" w:space="0" w:color="000000"/>
              <w:bottom w:val="single" w:sz="4" w:space="0" w:color="000000"/>
              <w:right w:val="single" w:sz="4" w:space="0" w:color="000000"/>
            </w:tcBorders>
          </w:tcPr>
          <w:p>
            <w:pPr>
              <w:widowControl/>
              <w:wordWrap w:val="0"/>
              <w:jc w:val="left"/>
              <w:textAlignment w:val="top"/>
              <w:rPr>
                <w:rStyle w:val="font81"/>
                <w:rFonts w:hint="default"/>
              </w:rPr>
            </w:pPr>
          </w:p>
        </w:tc>
        <w:tc>
          <w:tcPr>
            <w:tcW w:w="303" w:type="pct"/>
            <w:tcBorders>
              <w:top w:val="single" w:sz="4" w:space="0" w:color="000000"/>
              <w:left w:val="single" w:sz="4" w:space="0" w:color="000000"/>
              <w:bottom w:val="single" w:sz="4" w:space="0" w:color="000000"/>
              <w:right w:val="single" w:sz="4" w:space="0" w:color="000000"/>
            </w:tcBorders>
          </w:tcPr>
          <w:p>
            <w:pPr>
              <w:widowControl/>
              <w:wordWrap w:val="0"/>
              <w:jc w:val="left"/>
              <w:textAlignment w:val="top"/>
              <w:rPr>
                <w:rStyle w:val="font81"/>
                <w:rFonts w:hint="default"/>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Style w:val="font81"/>
                <w:rFonts w:hint="default"/>
              </w:rPr>
              <w:t>12. ▲投标产品通过由中国信息通信研究院和云计算开源产业联盟的“可信云虚拟化及虚拟化管理软件”评估，提供《虚拟化及虚拟化管理评估证书》证描件.</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Style w:val="font81"/>
                <w:rFonts w:hint="default"/>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Style w:val="font81"/>
                <w:rFonts w:hint="default"/>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Style w:val="font81"/>
                <w:rFonts w:hint="default"/>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13.为保障系统兼容性，要求和“私有云服务器”为同一品牌</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61</w:t>
            </w:r>
          </w:p>
        </w:tc>
        <w:tc>
          <w:tcPr>
            <w:tcW w:w="496" w:type="pct"/>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HD大数据控制节点（一）</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CPU：2颗，单颗不少于20核，不低于2.3GHz，；</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内存：不少于256GB DDR4，</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硬盘：不少于12块600GB 10K 热插拔SAS，支持RAID0,1,5,6,10,50,60 2GB缓存 带电池保护；</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配置不少于2个10Gb以太网接口（含万兆多模模块），配置不少于双端口千兆以太网口</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双宽GPU卡最大可支持4块，支持不少于14个PCIE4.0插槽，最大可支持不少于39块硬盘</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 xml:space="preserve">6. </w:t>
            </w:r>
            <w:r>
              <w:rPr>
                <w:rStyle w:val="font81"/>
                <w:rFonts w:hint="default"/>
              </w:rPr>
              <w:t>▲支持外接USB wifi模块，提供无线热点，用户可以使用手机或者便携机直接登录管理系统，无需额外的显示器。提供系统功能截图扫描件</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vAlign w:val="center"/>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 xml:space="preserve">. </w:t>
            </w:r>
            <w:r>
              <w:rPr>
                <w:rStyle w:val="font51"/>
                <w:rFonts w:hint="default"/>
              </w:rPr>
              <w:t>为保障兼容性，要求和“私有云服务器”同一品牌</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62</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HD大数据数据节点（二）</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CPU：2颗，单颗不少于20核，不低于2.3GHz，；</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内存，不少于256GB DDR4，</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硬盘：不少于2块600GB 10K 热插拔SAS硬盘，不少于12块4TB热插拔硬盘，支持RAID 0/1/10/5，2GB缓存 带电池保护；</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接口：配置不少于2个10Gb以太网接口（含万兆多模模块），不少于2个千兆以太网口</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双宽GPU卡最大可支持4块，支持不少于14个PCIE4.0插槽，最大可支持不少于39块硬盘</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支持外接USB wifi模块，提供无线热点，用户可以使用手机或者便携机直接登录管理系统，无需额外的显示器。</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9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7. </w:t>
            </w:r>
            <w:r>
              <w:rPr>
                <w:rStyle w:val="font51"/>
                <w:rFonts w:hint="default"/>
              </w:rPr>
              <w:t>为防范和消除系统安全风险，服务器需支持自研安全防护模块，可提供包含但不限于防火墙、IPS、防病毒和QoS等防护功能;</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8.为保障兼容性，要求和“私有云服务器”同一品牌</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63</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大数据软件许可</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★3节点Hadoop标准版许可</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云管理平台支持基于虚拟机或物理机的大数据集群的自动化部署创建、扩容、销毁和服务监控。支持的大数据服务包括HDP、MapReduce2、Hive、HDFS、Hbase、Spark、Storm、MPP、Solr、Neo4j等。</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93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b/>
                <w:bCs/>
                <w:color w:val="FF0000"/>
                <w:kern w:val="0"/>
                <w:sz w:val="18"/>
                <w:szCs w:val="18"/>
              </w:rPr>
              <w:t>3</w:t>
            </w:r>
            <w:r>
              <w:rPr>
                <w:rFonts w:ascii="宋体" w:hAnsi="宋体" w:cs="宋体" w:hint="eastAsia"/>
                <w:b/>
                <w:bCs/>
                <w:color w:val="FF0000"/>
                <w:kern w:val="0"/>
                <w:sz w:val="18"/>
                <w:szCs w:val="18"/>
              </w:rPr>
              <w:t xml:space="preserve">. </w:t>
            </w:r>
            <w:r>
              <w:rPr>
                <w:rStyle w:val="font81"/>
                <w:rFonts w:hint="default"/>
              </w:rPr>
              <w:t>▲</w:t>
            </w:r>
            <w:r>
              <w:rPr>
                <w:rFonts w:ascii="宋体" w:hAnsi="宋体" w:cs="宋体" w:hint="eastAsia"/>
                <w:b/>
                <w:bCs/>
                <w:color w:val="FF0000"/>
                <w:kern w:val="0"/>
                <w:sz w:val="18"/>
                <w:szCs w:val="18"/>
              </w:rPr>
              <w:t>为管理适应用户创建不同业务应用所需要的多个集群并统一管理，要求大数据平台支持独立模式和共享模式图形化管理界面同时管理多个Hadoop集群，支持多集群无缝切换；</w:t>
            </w:r>
            <w:r>
              <w:rPr>
                <w:rStyle w:val="font81"/>
                <w:rFonts w:hint="default"/>
              </w:rPr>
              <w:t>为保障数据的安全性，要求大数据平台支持可视化密钥管理和审计；</w:t>
            </w:r>
            <w:r>
              <w:rPr>
                <w:rFonts w:ascii="宋体" w:hAnsi="宋体" w:cs="宋体" w:hint="eastAsia"/>
                <w:b/>
                <w:bCs/>
                <w:color w:val="FF0000"/>
                <w:kern w:val="0"/>
                <w:sz w:val="18"/>
                <w:szCs w:val="18"/>
              </w:rPr>
              <w:t>提供第三方检测机构出具的带有CMA和CNAS标识的报告扫描件，原件备查；</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.为保障兼容性，要求和“私有云服务器”同一品牌</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64</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数据库服务器</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CPU：配置2颗主频不低于2.3GHz，单颗不少于20核处理器</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内存：配置不少于256G  DDR4 内存；</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硬盘：配置不少于4*600GB 10Krpm  SAS硬盘；配置磁盘阵列卡，缓存2G，支持RAID 0/1/10/5/50/6/60，支持掉电保护；</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电源：配置2* 550W通用电源模块；</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接口：配置不少于4*10GE接口（含万兆多模模块），不少于2*GE接口</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双宽GPU卡最大可支持4块，支持不少于14个PCIE4.0插槽，最大可支持不少于39块硬盘</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支持外接USB wifi模块，提供无线热点，用户可以使用手机或者便携机直接登录管理系统，无需额外的显示器。</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.为保障兼容性，要求和“私有云服务器”同一品牌</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65</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NAS（网盘系统硬件）</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★配置不少于4个控制器节点，最大支持64控制器节点；采用分布式架构，要求采用软硬件一体化设备，非纯软件+普通服务器的组合</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采用多核处理器，配置控制器处理器总物理核心数≥80核</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配置内存缓存≥1TB；</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配置≥8个10GE光口</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★配置≥128块16TB NL-SAS/SATA 7200RPM硬盘</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网络附加存储，不需额外配置NAS网关；支持多控架构；为各种操作系统提供集中数据存储，支持NFS、CIFS、FTP、HTTP协议以及S3接口，配置NAS核心系统。</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 xml:space="preserve">7. </w:t>
            </w:r>
            <w:r>
              <w:rPr>
                <w:rStyle w:val="font81"/>
                <w:rFonts w:hint="default"/>
              </w:rPr>
              <w:t>在一个集群内同时提供块存储、文件存储、对象存储服务，提供第三方检测机构出具的带有CMA和CNAS标识的报告扫描件，原件备查</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8. </w:t>
            </w:r>
            <w:r>
              <w:rPr>
                <w:rStyle w:val="font51"/>
                <w:rFonts w:hint="default"/>
              </w:rPr>
              <w:t>本次配置不限容量的块、文件、对象存储服务授权许可</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 xml:space="preserve">9. </w:t>
            </w:r>
            <w:r>
              <w:rPr>
                <w:rStyle w:val="font81"/>
                <w:rFonts w:hint="default"/>
              </w:rPr>
              <w:t>▲支持视频智能容错，当硬盘或节点故障超出系统冗余度上限时，仍然能够保证视频业务不中断；支持对已上传的对象进行追加修改。支持对硬盘故障检测，提前感知硬盘故障风险并预警；支持对存储容量增长趋势进行预测；提供第三方检测机构出具的带有CMA和CNAS标识的报告扫描件，原件备查</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9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b/>
                <w:bCs/>
                <w:color w:val="FF0000"/>
                <w:kern w:val="0"/>
                <w:sz w:val="18"/>
                <w:szCs w:val="18"/>
              </w:rPr>
              <w:t>10</w:t>
            </w:r>
            <w:r>
              <w:rPr>
                <w:rFonts w:ascii="宋体" w:hAnsi="宋体" w:cs="宋体" w:hint="eastAsia"/>
                <w:b/>
                <w:bCs/>
                <w:color w:val="FF0000"/>
                <w:kern w:val="0"/>
                <w:sz w:val="18"/>
                <w:szCs w:val="18"/>
              </w:rPr>
              <w:t xml:space="preserve">. </w:t>
            </w:r>
            <w:r>
              <w:rPr>
                <w:rStyle w:val="font81"/>
                <w:rFonts w:hint="default"/>
              </w:rPr>
              <w:t>▲单个节点大文件带宽性能≥1.6GB/s；每TB数据重构恢复时间≤15分钟，提供第三方检测机构出具的带有CMA和CNAS标识的报告扫描件，原件备查；</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b/>
                <w:bCs/>
                <w:color w:val="FF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11</w:t>
            </w:r>
            <w:r>
              <w:rPr>
                <w:rFonts w:ascii="宋体" w:hAnsi="宋体" w:cs="宋体" w:hint="eastAsia"/>
                <w:color w:val="000000"/>
                <w:kern w:val="0"/>
                <w:sz w:val="18"/>
                <w:szCs w:val="18"/>
              </w:rPr>
              <w:t xml:space="preserve">. </w:t>
            </w:r>
            <w:r>
              <w:rPr>
                <w:rStyle w:val="font51"/>
                <w:rFonts w:hint="default"/>
              </w:rPr>
              <w:t>支持磁盘、电源不停机热插拔，配置冗余电源、风扇、控制器、阵列卡缓存断电保护功能</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12.</w:t>
            </w:r>
            <w:r>
              <w:rPr>
                <w:rFonts w:ascii="宋体" w:hAnsi="宋体" w:cs="宋体" w:hint="eastAsia"/>
                <w:color w:val="000000"/>
                <w:kern w:val="0"/>
                <w:sz w:val="18"/>
                <w:szCs w:val="18"/>
              </w:rPr>
              <w:t>为保障兼容性，要求和“私有云服务器”同一品牌</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66</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网盘系统软件</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★配置支持不少于3000个用户的网盘软件</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2. </w:t>
            </w:r>
            <w:r>
              <w:rPr>
                <w:rStyle w:val="font51"/>
                <w:rFonts w:hint="default"/>
              </w:rPr>
              <w:t>网盘软件，支持Windows客户端、Mac客户端、移动客户端（Android、IOS）、Web客户端、office插件、微信企业号访问；支持文件重复数据删除技术，相同的文件只上传一次，对于重复上传者而言实现文件的秒传；</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支持用户共享范围的可配置性。避免内部非法共享扩散；</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支持基于云存储的全文检索；</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产品提供断点续传功能，对于大文件的上传、下载，可以随时中断，重新连接后可以从中断处继续传输之前的数据</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支持丰富的审计日志功能，包括系统管理、人员组织授权、文件操作、权限配置、上传下载、文件访问均有日志记录审计；</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7. </w:t>
            </w:r>
            <w:r>
              <w:rPr>
                <w:rStyle w:val="font51"/>
                <w:rFonts w:hint="default"/>
              </w:rPr>
              <w:t>支持用户共享范围的可配置性，包括HTTP共享链接（外链的方式）。避免内部非法共享扩散，比如可以设置研发员工的共享范围，可根据管理规则来规划各个部门的共享区域</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8. </w:t>
            </w:r>
            <w:r>
              <w:rPr>
                <w:rStyle w:val="font51"/>
                <w:rFonts w:hint="default"/>
              </w:rPr>
              <w:t>用户将文件或文件夹共享给他人后，可以对已共享的HTTP链接文件的访问情况进行统计，支持查看访问者的IP、预览次数、下载次数</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67</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分布式块存储</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全分布式存储架构，既支持计算与存储分离部署，也支持计算与存储融合部署，</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b/>
                <w:color w:val="FF0000"/>
                <w:kern w:val="0"/>
                <w:sz w:val="18"/>
                <w:szCs w:val="18"/>
              </w:rPr>
              <w:t xml:space="preserve">2. </w:t>
            </w:r>
            <w:r>
              <w:rPr>
                <w:rStyle w:val="font81"/>
                <w:rFonts w:hint="default"/>
              </w:rPr>
              <w:t>▲</w:t>
            </w:r>
            <w:r>
              <w:rPr>
                <w:rStyle w:val="font51"/>
                <w:rFonts w:hint="default"/>
                <w:b/>
                <w:color w:val="FF0000"/>
              </w:rPr>
              <w:t>在一个集群内同时提供块存储、文件存储、对象以及HDFS存储服务，</w:t>
            </w:r>
            <w:r>
              <w:rPr>
                <w:rStyle w:val="font81"/>
                <w:rFonts w:hint="default"/>
              </w:rPr>
              <w:t>提供第三方检测机构出具的带有CMA和CNAS标识的报告扫描件，原件备查</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支持多副本或EC冗余机制</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具备大规模横向扩展能力，单集群最大可扩展至≥64节点，本次配置4个节点，</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★每节点配置不少于2*10核CPU，256GB内存，2*960GB SSD硬盘，12*14TB SATA 硬盘，2*3.2TB NVMe硬盘，4*10GE接口；</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9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color w:val="FF0000"/>
                <w:sz w:val="18"/>
                <w:szCs w:val="18"/>
              </w:rPr>
            </w:pPr>
            <w:r>
              <w:rPr>
                <w:rFonts w:ascii="宋体" w:hAnsi="宋体" w:cs="宋体"/>
                <w:b/>
                <w:color w:val="FF0000"/>
                <w:kern w:val="0"/>
                <w:sz w:val="18"/>
                <w:szCs w:val="18"/>
              </w:rPr>
              <w:t>6</w:t>
            </w:r>
            <w:r>
              <w:rPr>
                <w:rFonts w:ascii="宋体" w:hAnsi="宋体" w:cs="宋体" w:hint="eastAsia"/>
                <w:b/>
                <w:color w:val="FF0000"/>
                <w:kern w:val="0"/>
                <w:sz w:val="18"/>
                <w:szCs w:val="18"/>
              </w:rPr>
              <w:t xml:space="preserve">. </w:t>
            </w:r>
            <w:r>
              <w:rPr>
                <w:rStyle w:val="font51"/>
                <w:rFonts w:hint="default"/>
                <w:b/>
                <w:color w:val="FF0000"/>
              </w:rPr>
              <w:t>每TB数据重构恢复时间≤15分钟，</w:t>
            </w:r>
            <w:r>
              <w:rPr>
                <w:rStyle w:val="font81"/>
                <w:rFonts w:hint="default"/>
              </w:rPr>
              <w:t>提供第三方检测机构出具的带有CMA和CNAS标识的报告扫描件，原件备查</w:t>
            </w:r>
            <w:r>
              <w:rPr>
                <w:rStyle w:val="font51"/>
                <w:rFonts w:hint="default"/>
                <w:b/>
                <w:color w:val="FF0000"/>
              </w:rPr>
              <w:t>；</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b/>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b/>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b/>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 xml:space="preserve">. </w:t>
            </w:r>
            <w:r>
              <w:rPr>
                <w:rStyle w:val="font51"/>
                <w:rFonts w:hint="default"/>
              </w:rPr>
              <w:t>配置不少于672TB容量软件授权及相应的软件服务</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color w:val="000000"/>
                <w:kern w:val="0"/>
                <w:sz w:val="18"/>
                <w:szCs w:val="18"/>
              </w:rPr>
              <w:t>8</w:t>
            </w:r>
            <w:r>
              <w:rPr>
                <w:rFonts w:ascii="宋体" w:hAnsi="宋体" w:cs="宋体" w:hint="eastAsia"/>
                <w:color w:val="000000"/>
                <w:kern w:val="0"/>
                <w:sz w:val="18"/>
                <w:szCs w:val="18"/>
              </w:rPr>
              <w:t>.为保障兼容性，要求和“私有云服务器”同一品牌</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68</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数据库存储</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配置不少于双控制器，最大支持8控制器；</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 xml:space="preserve">2. </w:t>
            </w:r>
            <w:r>
              <w:rPr>
                <w:rStyle w:val="font81"/>
                <w:rFonts w:hint="default"/>
              </w:rPr>
              <w:t>▲系统具备100%可用性，提供官网描述截图扫描件</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采用多核处理器，每个控制器配置不少于2颗处理器</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配置缓存≥256GB（缓存不包含SSD磁盘、PCI-E SSD、闪存、压缩或重删缓存和NAS控制器缓存）；</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配置≥8*10GE（含万兆光模块）；配置≥8*16Gb FC（含光模块）；</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★配置≥16块 10Krpm 2.4TB SAS热插拔硬盘，≥8块 1.92TB SAS接口SSD热插拔硬盘，支持NVNe、SSD、SAS或NL-SAS硬盘混插；</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7. </w:t>
            </w:r>
            <w:r>
              <w:rPr>
                <w:rStyle w:val="font51"/>
                <w:rFonts w:hint="default"/>
              </w:rPr>
              <w:t>配置高级快照、复制、双活和重删压缩功能许可，配置跨盘柜RAID保护功能</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FF0000"/>
                <w:sz w:val="18"/>
                <w:szCs w:val="18"/>
              </w:rPr>
            </w:pPr>
            <w:r>
              <w:rPr>
                <w:rFonts w:ascii="宋体" w:hAnsi="宋体" w:cs="宋体" w:hint="eastAsia"/>
                <w:color w:val="000000"/>
                <w:kern w:val="0"/>
                <w:sz w:val="18"/>
                <w:szCs w:val="18"/>
              </w:rPr>
              <w:t>8.</w:t>
            </w:r>
            <w:r>
              <w:rPr>
                <w:rStyle w:val="font81"/>
                <w:rFonts w:hint="default"/>
                <w:b w:val="0"/>
                <w:bCs w:val="0"/>
                <w:color w:val="000000"/>
              </w:rPr>
              <w:t>存储提供双控LUN数量≥65536</w:t>
            </w:r>
            <w:r>
              <w:rPr>
                <w:rStyle w:val="font81"/>
                <w:rFonts w:hint="default"/>
                <w:b w:val="0"/>
                <w:bCs w:val="0"/>
              </w:rPr>
              <w:t>;</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18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9. </w:t>
            </w:r>
            <w:r>
              <w:rPr>
                <w:rStyle w:val="font51"/>
                <w:rFonts w:hint="default"/>
              </w:rPr>
              <w:t>存储设备具备快速得双活切换功能，当一台存储出现故障得时候，要求切换时间≤10秒；</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1</w:t>
            </w:r>
            <w:r>
              <w:rPr>
                <w:rFonts w:ascii="宋体" w:hAnsi="宋体" w:cs="宋体"/>
                <w:b/>
                <w:bCs/>
                <w:color w:val="FF0000"/>
                <w:kern w:val="0"/>
                <w:sz w:val="18"/>
                <w:szCs w:val="18"/>
              </w:rPr>
              <w:t>0</w:t>
            </w:r>
            <w:r>
              <w:rPr>
                <w:rFonts w:ascii="宋体" w:hAnsi="宋体" w:cs="宋体" w:hint="eastAsia"/>
                <w:b/>
                <w:bCs/>
                <w:color w:val="FF0000"/>
                <w:kern w:val="0"/>
                <w:sz w:val="18"/>
                <w:szCs w:val="18"/>
              </w:rPr>
              <w:t xml:space="preserve">. </w:t>
            </w:r>
            <w:r>
              <w:rPr>
                <w:rStyle w:val="font81"/>
                <w:rFonts w:hint="default"/>
              </w:rPr>
              <w:t>▲存储可以在不中断业务且不需要重启控制器或者切换控制器的情况下完成系统升级；当存储控制器出现故障时候，存储仍然可以正常工作，不影响业务得正常运行。提供第三方检测机构出具的带有CMA和CNAS标识的报告扫描件，原件备查；</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1</w:t>
            </w:r>
            <w:r>
              <w:rPr>
                <w:rFonts w:ascii="宋体" w:hAnsi="宋体" w:cs="宋体" w:hint="eastAsia"/>
                <w:color w:val="000000"/>
                <w:kern w:val="0"/>
                <w:sz w:val="18"/>
                <w:szCs w:val="18"/>
              </w:rPr>
              <w:t xml:space="preserve">. </w:t>
            </w:r>
            <w:r>
              <w:rPr>
                <w:rStyle w:val="font51"/>
                <w:rFonts w:hint="default"/>
              </w:rPr>
              <w:t>配置冗余电源、风扇、控制器、缓存断电保护功能；</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112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1</w:t>
            </w:r>
            <w:r>
              <w:rPr>
                <w:rFonts w:ascii="宋体" w:hAnsi="宋体" w:cs="宋体"/>
                <w:b/>
                <w:bCs/>
                <w:color w:val="FF0000"/>
                <w:kern w:val="0"/>
                <w:sz w:val="18"/>
                <w:szCs w:val="18"/>
              </w:rPr>
              <w:t>2</w:t>
            </w:r>
            <w:r>
              <w:rPr>
                <w:rFonts w:ascii="宋体" w:hAnsi="宋体" w:cs="宋体" w:hint="eastAsia"/>
                <w:b/>
                <w:bCs/>
                <w:color w:val="FF0000"/>
                <w:kern w:val="0"/>
                <w:sz w:val="18"/>
                <w:szCs w:val="18"/>
              </w:rPr>
              <w:t xml:space="preserve">. </w:t>
            </w:r>
            <w:r>
              <w:rPr>
                <w:rStyle w:val="font81"/>
                <w:rFonts w:hint="default"/>
              </w:rPr>
              <w:t>▲配置存储统一监控软件，支持对EMC、HDS、HPE、NetApp、IBM、华为、浪潮等厂家的磁盘阵列的配置信息、性能信息、告警信息的收集和展现，支持配置导出；支持对Brocade、Cisco等厂家光纤交换机的配置信息、性能信息的收集和展现；支持配置邮件、短信、微信等进行各种告警。提供监控软件对存储的兼容性截图。</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3</w:t>
            </w:r>
            <w:r>
              <w:rPr>
                <w:rFonts w:ascii="宋体" w:hAnsi="宋体" w:cs="宋体" w:hint="eastAsia"/>
                <w:color w:val="000000"/>
                <w:kern w:val="0"/>
                <w:sz w:val="18"/>
                <w:szCs w:val="18"/>
              </w:rPr>
              <w:t>.为保障兼容性，要求和“私有云服务器”同一品牌</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900"/>
        </w:trPr>
        <w:tc>
          <w:tcPr>
            <w:tcW w:w="37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69</w:t>
            </w:r>
          </w:p>
        </w:tc>
        <w:tc>
          <w:tcPr>
            <w:tcW w:w="49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光纤交换机</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配置24口光纤交换机，激活8端口配置8个16Gb光模块；机架式安装，无拥塞架构设计，所有FC端口全线速可支持多台交换机级联和Fabric扩展；支持基于数据帧级的“即插即用”的链路捆绑功能，单个链路聚合带宽最大256G；为保障兼容性，要求和“私有云服务器”同一品牌</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70</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备份一体机</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3. </w:t>
            </w:r>
            <w:r>
              <w:rPr>
                <w:rStyle w:val="font51"/>
                <w:rFonts w:hint="default"/>
              </w:rPr>
              <w:t>配置不少于80TB后端可用容量以及对应容量授权</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4. </w:t>
            </w:r>
            <w:r>
              <w:rPr>
                <w:rStyle w:val="font51"/>
                <w:rFonts w:hint="default"/>
              </w:rPr>
              <w:t>配置不少于2*8核CPU,4*32G内存,2*240GB 2.5" SSD，12*8000GB NL SAS/SATA HDD,6*GE,2*10GE（含万兆光模块）</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5. </w:t>
            </w:r>
            <w:r>
              <w:rPr>
                <w:rStyle w:val="font51"/>
                <w:rFonts w:hint="default"/>
              </w:rPr>
              <w:t>支持Windows/Linux/Unix客户端推送安装，降低人为误操作与实施成本；</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6. </w:t>
            </w:r>
            <w:r>
              <w:rPr>
                <w:rStyle w:val="font51"/>
                <w:rFonts w:hint="default"/>
              </w:rPr>
              <w:t>支持Vmware，Hyper-V，H3C CAS虚拟化平台的无代理备份，无需在宿主机与虚拟机中安装备份客户端。</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7. </w:t>
            </w:r>
            <w:r>
              <w:rPr>
                <w:rStyle w:val="font51"/>
                <w:rFonts w:hint="default"/>
              </w:rPr>
              <w:t>支持通过无代理方式实现SQL Server，Oracle，Exchange，Sharepoint数据库和应用的一致性备份，无需在虚拟机安装备份客户端</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45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8. </w:t>
            </w:r>
            <w:r>
              <w:rPr>
                <w:rStyle w:val="font51"/>
                <w:rFonts w:hint="default"/>
              </w:rPr>
              <w:t>支持Oracle的定时复制和实时复制。主库和备库支持主备切换、重做备库、激活备库。Oracle客户端平台支持Windows、Linux、AIX等主流环境。</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hint="eastAsia"/>
                <w:b/>
                <w:bCs/>
                <w:color w:val="FF0000"/>
                <w:kern w:val="0"/>
                <w:sz w:val="18"/>
                <w:szCs w:val="18"/>
              </w:rPr>
              <w:t xml:space="preserve">9. </w:t>
            </w:r>
            <w:r>
              <w:rPr>
                <w:rStyle w:val="font81"/>
                <w:rFonts w:hint="default"/>
              </w:rPr>
              <w:t>▲提供备份软件相关的计算机软件著作权证书扫描件</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kern w:val="0"/>
                <w:sz w:val="18"/>
                <w:szCs w:val="18"/>
              </w:rPr>
            </w:pPr>
          </w:p>
        </w:tc>
      </w:tr>
      <w:tr>
        <w:tblPrEx>
          <w:tblW w:w="4997" w:type="pct"/>
          <w:tblInd w:w="0" w:type="dxa"/>
          <w:tblCellMar>
            <w:top w:w="0" w:type="dxa"/>
            <w:left w:w="108" w:type="dxa"/>
            <w:bottom w:w="0" w:type="dxa"/>
            <w:right w:w="108" w:type="dxa"/>
          </w:tblCellMar>
        </w:tblPrEx>
        <w:trPr>
          <w:trHeight w:val="464"/>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10. </w:t>
            </w:r>
            <w:r>
              <w:rPr>
                <w:rStyle w:val="font51"/>
                <w:rFonts w:hint="default"/>
              </w:rPr>
              <w:t>支持不少于4台备份一体机横向扩展集群，</w:t>
            </w:r>
            <w:r>
              <w:rPr>
                <w:rFonts w:ascii="宋体" w:hAnsi="宋体" w:cs="宋体" w:hint="eastAsia"/>
                <w:color w:val="000000"/>
                <w:kern w:val="0"/>
                <w:sz w:val="18"/>
                <w:szCs w:val="18"/>
              </w:rPr>
              <w:t>为保障兼容性，要求和“私有云服务器”同一品牌</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71</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数据库软件</w:t>
            </w: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sz w:val="18"/>
                <w:szCs w:val="18"/>
              </w:rPr>
            </w:pPr>
            <w:r>
              <w:rPr>
                <w:rFonts w:ascii="宋体" w:hAnsi="宋体" w:cs="宋体" w:hint="eastAsia"/>
                <w:color w:val="000000"/>
                <w:kern w:val="0"/>
                <w:sz w:val="18"/>
                <w:szCs w:val="18"/>
              </w:rPr>
              <w:t xml:space="preserve">1. </w:t>
            </w:r>
            <w:r>
              <w:rPr>
                <w:rStyle w:val="font51"/>
                <w:rFonts w:hint="default"/>
              </w:rPr>
              <w:t>永久授权</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675"/>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hint="eastAsia"/>
                <w:b/>
                <w:bCs/>
                <w:color w:val="FF0000"/>
                <w:sz w:val="18"/>
                <w:szCs w:val="18"/>
              </w:rPr>
            </w:pPr>
            <w:r>
              <w:rPr>
                <w:rFonts w:ascii="宋体" w:hAnsi="宋体" w:cs="宋体"/>
                <w:b/>
                <w:bCs/>
                <w:color w:val="FF0000"/>
                <w:kern w:val="0"/>
                <w:sz w:val="18"/>
                <w:szCs w:val="18"/>
              </w:rPr>
              <w:t>2.</w:t>
            </w:r>
            <w:r>
              <w:rPr>
                <w:rStyle w:val="font81"/>
                <w:rFonts w:hint="default"/>
              </w:rPr>
              <w:t>提供MySQL 5.7、8.0版本的自动化安装部署；如单实例、主从复制（异步复制、半同步复制）、MGR（单主模式、全主模式）高可用架构的自动化部署；提供MongoDB 4.2数据库自动安装部署：例如单实例、副本集、分片集群可用架构的自动化部署；提供Redis 5.0数据库自动化安装部署，例如Redis单实例、主从、Cluster三种模式的</w:t>
            </w:r>
            <w:r>
              <w:rPr>
                <w:rStyle w:val="font81"/>
                <w:rFonts w:ascii="Microsoft JhengHei" w:eastAsia="Microsoft JhengHei" w:hAnsi="Microsoft JhengHei" w:cs="Microsoft JhengHei" w:hint="default"/>
              </w:rPr>
              <w:t>⾃</w:t>
            </w:r>
            <w:r>
              <w:rPr>
                <w:rStyle w:val="font81"/>
                <w:rFonts w:hint="default"/>
              </w:rPr>
              <w:t>动安装部署；提供产品功能截图扫描件；</w:t>
            </w:r>
          </w:p>
        </w:tc>
        <w:tc>
          <w:tcPr>
            <w:tcW w:w="1095"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b/>
                <w:bCs/>
                <w:color w:val="FF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b/>
                <w:bCs/>
                <w:color w:val="FF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tcPr>
          <w:p>
            <w:pPr>
              <w:widowControl/>
              <w:textAlignment w:val="top"/>
              <w:rPr>
                <w:rFonts w:ascii="宋体" w:hAnsi="宋体" w:cs="宋体"/>
                <w:b/>
                <w:bCs/>
                <w:color w:val="FF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162" w:type="pct"/>
            <w:gridSpan w:val="3"/>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szCs w:val="21"/>
              </w:rPr>
            </w:pPr>
            <w:r>
              <w:rPr>
                <w:rFonts w:ascii="宋体" w:hAnsi="宋体" w:cs="宋体" w:hint="eastAsia"/>
                <w:b/>
                <w:bCs/>
                <w:color w:val="000000"/>
                <w:kern w:val="0"/>
                <w:szCs w:val="21"/>
              </w:rPr>
              <w:t>十三、辅材及其它</w:t>
            </w:r>
          </w:p>
        </w:tc>
        <w:tc>
          <w:tcPr>
            <w:tcW w:w="1095"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438"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c>
          <w:tcPr>
            <w:tcW w:w="303" w:type="pct"/>
            <w:tcBorders>
              <w:top w:val="single" w:sz="4" w:space="0" w:color="000000"/>
              <w:left w:val="single" w:sz="4" w:space="0" w:color="000000"/>
              <w:bottom w:val="single" w:sz="4" w:space="0" w:color="000000"/>
              <w:right w:val="single" w:sz="4" w:space="0" w:color="000000"/>
            </w:tcBorders>
            <w:noWrap/>
            <w:vAlign w:val="center"/>
          </w:tcPr>
          <w:p>
            <w:pPr>
              <w:widowControl/>
              <w:jc w:val="left"/>
              <w:textAlignment w:val="center"/>
              <w:rPr>
                <w:rFonts w:ascii="宋体" w:hAnsi="宋体" w:cs="宋体" w:hint="eastAsia"/>
                <w:b/>
                <w:bCs/>
                <w:color w:val="000000"/>
                <w:kern w:val="0"/>
                <w:szCs w:val="21"/>
              </w:rPr>
            </w:pPr>
          </w:p>
        </w:tc>
      </w:tr>
      <w:tr>
        <w:tblPrEx>
          <w:tblW w:w="4997" w:type="pct"/>
          <w:tblInd w:w="0" w:type="dxa"/>
          <w:tblCellMar>
            <w:top w:w="0" w:type="dxa"/>
            <w:left w:w="108" w:type="dxa"/>
            <w:bottom w:w="0" w:type="dxa"/>
            <w:right w:w="108" w:type="dxa"/>
          </w:tblCellMar>
        </w:tblPrEx>
        <w:trPr>
          <w:trHeight w:val="270"/>
        </w:trPr>
        <w:tc>
          <w:tcPr>
            <w:tcW w:w="374" w:type="pc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72</w:t>
            </w:r>
          </w:p>
        </w:tc>
        <w:tc>
          <w:tcPr>
            <w:tcW w:w="496" w:type="pc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管线</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rPr>
              <w:t>1</w:t>
            </w:r>
            <w:r>
              <w:rPr>
                <w:rStyle w:val="font161"/>
                <w:rFonts w:hint="default"/>
              </w:rPr>
              <w:t>.</w:t>
            </w:r>
            <w:r>
              <w:rPr>
                <w:rStyle w:val="font51"/>
                <w:rFonts w:hint="default"/>
              </w:rPr>
              <w:t>包括管线、管线预埋、信号传输电缆和控制线缆等耗材及辅材。</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宋体" w:hAnsi="宋体" w:cs="宋体" w:hint="eastAsia"/>
                <w:color w:val="000000"/>
                <w:kern w:val="0"/>
                <w:sz w:val="18"/>
                <w:szCs w:val="18"/>
              </w:rPr>
            </w:pPr>
          </w:p>
        </w:tc>
      </w:tr>
      <w:tr>
        <w:tblPrEx>
          <w:tblW w:w="4997" w:type="pct"/>
          <w:tblInd w:w="0" w:type="dxa"/>
          <w:tblCellMar>
            <w:top w:w="0" w:type="dxa"/>
            <w:left w:w="108" w:type="dxa"/>
            <w:bottom w:w="0" w:type="dxa"/>
            <w:right w:w="108" w:type="dxa"/>
          </w:tblCellMar>
        </w:tblPrEx>
        <w:trPr>
          <w:trHeight w:val="270"/>
        </w:trPr>
        <w:tc>
          <w:tcPr>
            <w:tcW w:w="374" w:type="pct"/>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textAlignment w:val="center"/>
              <w:rPr>
                <w:rFonts w:ascii="宋体" w:hAnsi="宋体" w:cs="宋体" w:hint="eastAsia"/>
                <w:color w:val="000000"/>
                <w:szCs w:val="21"/>
              </w:rPr>
            </w:pPr>
            <w:r>
              <w:rPr>
                <w:rFonts w:ascii="宋体" w:hAnsi="宋体" w:cs="宋体" w:hint="eastAsia"/>
                <w:color w:val="000000"/>
                <w:kern w:val="0"/>
                <w:szCs w:val="21"/>
              </w:rPr>
              <w:t>73</w:t>
            </w:r>
          </w:p>
        </w:tc>
        <w:tc>
          <w:tcPr>
            <w:tcW w:w="496" w:type="pct"/>
            <w:vMerge w:val="restart"/>
            <w:tcBorders>
              <w:top w:val="single" w:sz="4" w:space="0" w:color="000000"/>
              <w:left w:val="single" w:sz="4" w:space="0" w:color="000000"/>
              <w:bottom w:val="single" w:sz="4" w:space="0" w:color="000000"/>
              <w:right w:val="single" w:sz="4" w:space="0" w:color="000000"/>
            </w:tcBorders>
          </w:tcPr>
          <w:p>
            <w:pPr>
              <w:widowControl/>
              <w:jc w:val="center"/>
              <w:textAlignment w:val="top"/>
              <w:rPr>
                <w:rFonts w:ascii="宋体" w:hAnsi="宋体" w:cs="宋体" w:hint="eastAsia"/>
                <w:color w:val="000000"/>
                <w:szCs w:val="21"/>
              </w:rPr>
            </w:pPr>
            <w:r>
              <w:rPr>
                <w:rFonts w:ascii="宋体" w:hAnsi="宋体" w:cs="宋体" w:hint="eastAsia"/>
                <w:color w:val="000000"/>
                <w:kern w:val="0"/>
                <w:szCs w:val="21"/>
              </w:rPr>
              <w:t>系统集成和调试</w:t>
            </w: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1.包含教室、信息发布系统和服务器与存储系统；</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hAnsi="宋体" w:cs="宋体" w:hint="eastAsia"/>
                <w:color w:val="000000"/>
                <w:kern w:val="0"/>
                <w:sz w:val="20"/>
                <w:szCs w:val="20"/>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hAnsi="宋体" w:cs="宋体" w:hint="eastAsia"/>
                <w:color w:val="000000"/>
                <w:kern w:val="0"/>
                <w:sz w:val="20"/>
                <w:szCs w:val="20"/>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hAnsi="宋体" w:cs="宋体" w:hint="eastAsia"/>
                <w:color w:val="000000"/>
                <w:kern w:val="0"/>
                <w:sz w:val="20"/>
                <w:szCs w:val="20"/>
              </w:rPr>
            </w:pPr>
          </w:p>
        </w:tc>
      </w:tr>
      <w:tr>
        <w:tblPrEx>
          <w:tblW w:w="4997" w:type="pct"/>
          <w:tblInd w:w="0" w:type="dxa"/>
          <w:tblCellMar>
            <w:top w:w="0" w:type="dxa"/>
            <w:left w:w="108" w:type="dxa"/>
            <w:bottom w:w="0" w:type="dxa"/>
            <w:right w:w="108" w:type="dxa"/>
          </w:tblCellMar>
        </w:tblPrEx>
        <w:trPr>
          <w:trHeight w:val="480"/>
        </w:trPr>
        <w:tc>
          <w:tcPr>
            <w:tcW w:w="374" w:type="pct"/>
            <w:vMerge/>
            <w:tcBorders>
              <w:top w:val="single" w:sz="4" w:space="0" w:color="000000"/>
              <w:left w:val="single" w:sz="4" w:space="0" w:color="000000"/>
              <w:bottom w:val="single" w:sz="4" w:space="0" w:color="000000"/>
              <w:right w:val="single" w:sz="4" w:space="0" w:color="000000"/>
            </w:tcBorders>
            <w:noWrap/>
            <w:vAlign w:val="center"/>
          </w:tcPr>
          <w:p>
            <w:pPr>
              <w:jc w:val="center"/>
              <w:rPr>
                <w:rFonts w:ascii="宋体" w:hAnsi="宋体" w:cs="宋体" w:hint="eastAsia"/>
                <w:color w:val="000000"/>
                <w:szCs w:val="21"/>
              </w:rPr>
            </w:pPr>
          </w:p>
        </w:tc>
        <w:tc>
          <w:tcPr>
            <w:tcW w:w="496" w:type="pct"/>
            <w:vMerge/>
            <w:tcBorders>
              <w:top w:val="single" w:sz="4" w:space="0" w:color="000000"/>
              <w:left w:val="single" w:sz="4" w:space="0" w:color="000000"/>
              <w:bottom w:val="single" w:sz="4" w:space="0" w:color="000000"/>
              <w:right w:val="single" w:sz="4" w:space="0" w:color="000000"/>
            </w:tcBorders>
          </w:tcPr>
          <w:p>
            <w:pPr>
              <w:jc w:val="center"/>
              <w:rPr>
                <w:rFonts w:ascii="宋体" w:hAnsi="宋体" w:cs="宋体" w:hint="eastAsia"/>
                <w:color w:val="000000"/>
                <w:szCs w:val="21"/>
              </w:rPr>
            </w:pPr>
          </w:p>
        </w:tc>
        <w:tc>
          <w:tcPr>
            <w:tcW w:w="2291"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hAnsi="宋体" w:cs="宋体" w:hint="eastAsia"/>
                <w:color w:val="000000"/>
                <w:sz w:val="20"/>
                <w:szCs w:val="20"/>
              </w:rPr>
            </w:pPr>
            <w:r>
              <w:rPr>
                <w:rFonts w:ascii="宋体" w:hAnsi="宋体" w:cs="宋体" w:hint="eastAsia"/>
                <w:color w:val="000000"/>
                <w:kern w:val="0"/>
                <w:sz w:val="20"/>
                <w:szCs w:val="20"/>
              </w:rPr>
              <w:t>2.应择优配置和选型，满足系统集成设备间短距离连接所需各类线材和辅材。</w:t>
            </w:r>
            <w:r>
              <w:rPr>
                <w:rStyle w:val="font111"/>
                <w:rFonts w:hint="default"/>
              </w:rPr>
              <w:t xml:space="preserve"> </w:t>
            </w:r>
          </w:p>
        </w:tc>
        <w:tc>
          <w:tcPr>
            <w:tcW w:w="1095"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hAnsi="宋体" w:cs="宋体" w:hint="eastAsia"/>
                <w:color w:val="000000"/>
                <w:kern w:val="0"/>
                <w:sz w:val="20"/>
                <w:szCs w:val="20"/>
              </w:rPr>
            </w:pPr>
          </w:p>
        </w:tc>
        <w:tc>
          <w:tcPr>
            <w:tcW w:w="438"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hAnsi="宋体" w:cs="宋体" w:hint="eastAsia"/>
                <w:color w:val="000000"/>
                <w:kern w:val="0"/>
                <w:sz w:val="20"/>
                <w:szCs w:val="20"/>
              </w:rPr>
            </w:pPr>
          </w:p>
        </w:tc>
        <w:tc>
          <w:tcPr>
            <w:tcW w:w="303" w:type="pct"/>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宋体" w:hAnsi="宋体" w:cs="宋体" w:hint="eastAsia"/>
                <w:color w:val="000000"/>
                <w:kern w:val="0"/>
                <w:sz w:val="20"/>
                <w:szCs w:val="20"/>
              </w:rPr>
            </w:pPr>
          </w:p>
        </w:tc>
      </w:tr>
    </w:tbl>
    <w:p>
      <w:pPr>
        <w:rPr>
          <w:sz w:val="24"/>
        </w:rPr>
      </w:pPr>
      <w:r>
        <w:rPr>
          <w:rFonts w:hint="eastAsia"/>
          <w:sz w:val="24"/>
        </w:rPr>
        <w:t>证明资料【如有的话，供应商提供的证明资料应统一编号（排序），格式自定】</w:t>
      </w:r>
      <w:bookmarkEnd w:id="75"/>
      <w:r>
        <w:rPr>
          <w:rFonts w:hint="eastAsia"/>
          <w:sz w:val="24"/>
        </w:rPr>
        <w:t>：</w:t>
      </w:r>
    </w:p>
    <w:p>
      <w:pPr>
        <w:ind w:firstLine="480" w:firstLineChars="200"/>
        <w:rPr>
          <w:b/>
          <w:sz w:val="24"/>
        </w:rPr>
      </w:pPr>
    </w:p>
    <w:p>
      <w:pPr>
        <w:ind w:firstLine="480" w:firstLineChars="200"/>
        <w:rPr>
          <w:b/>
          <w:sz w:val="24"/>
        </w:rPr>
      </w:pPr>
    </w:p>
    <w:p>
      <w:pPr>
        <w:ind w:firstLine="480" w:firstLineChars="200"/>
        <w:rPr>
          <w:b/>
          <w:sz w:val="24"/>
        </w:rPr>
      </w:pPr>
      <w:r>
        <w:rPr>
          <w:rFonts w:hint="eastAsia"/>
          <w:b/>
          <w:sz w:val="24"/>
        </w:rPr>
        <w:t>《技术要求偏离表》编制指引：</w:t>
      </w:r>
    </w:p>
    <w:p>
      <w:pPr>
        <w:ind w:firstLine="480" w:firstLineChars="200"/>
        <w:rPr>
          <w:b/>
          <w:sz w:val="24"/>
        </w:rPr>
      </w:pPr>
      <w:r>
        <w:rPr>
          <w:rFonts w:hint="eastAsia"/>
          <w:b/>
          <w:sz w:val="24"/>
        </w:rPr>
        <w:t>1、技术要求偏离表的序号、货物名称、招标技术要求等栏目</w:t>
      </w:r>
      <w:bookmarkStart w:id="76" w:name="_Hlk72094407"/>
      <w:r>
        <w:rPr>
          <w:rFonts w:hint="eastAsia"/>
          <w:b/>
          <w:sz w:val="24"/>
        </w:rPr>
        <w:t>对应“用户需求书”中的“技术要求”章节</w:t>
      </w:r>
      <w:bookmarkEnd w:id="76"/>
      <w:r>
        <w:rPr>
          <w:rFonts w:hint="eastAsia"/>
          <w:b/>
          <w:sz w:val="24"/>
        </w:rPr>
        <w:t>相关内容。</w:t>
      </w:r>
    </w:p>
    <w:p>
      <w:pPr>
        <w:ind w:firstLine="480" w:firstLineChars="200"/>
        <w:rPr>
          <w:b/>
          <w:sz w:val="24"/>
        </w:rPr>
      </w:pPr>
      <w:r>
        <w:rPr>
          <w:b/>
          <w:sz w:val="24"/>
        </w:rPr>
        <w:t>2</w:t>
      </w:r>
      <w:r>
        <w:rPr>
          <w:rFonts w:hint="eastAsia"/>
          <w:b/>
          <w:sz w:val="24"/>
        </w:rPr>
        <w:t>、“投标技术响应”一栏必须一一对照“招标技术要求”，详细填写投标人自身投标货物的具体参数，而不能不合理照搬照抄招标文件的技术要求，以体现具体响应情况。</w:t>
      </w:r>
    </w:p>
    <w:p>
      <w:pPr>
        <w:ind w:firstLine="480" w:firstLineChars="200"/>
        <w:rPr>
          <w:b/>
          <w:sz w:val="24"/>
        </w:rPr>
      </w:pPr>
      <w:r>
        <w:rPr>
          <w:b/>
          <w:sz w:val="24"/>
        </w:rPr>
        <w:t>3</w:t>
      </w:r>
      <w:r>
        <w:rPr>
          <w:rFonts w:hint="eastAsia"/>
          <w:b/>
          <w:sz w:val="24"/>
        </w:rPr>
        <w:t>、</w:t>
      </w:r>
      <w:bookmarkStart w:id="77" w:name="_Hlk72158270"/>
      <w:r>
        <w:rPr>
          <w:rFonts w:hint="eastAsia"/>
          <w:b/>
          <w:sz w:val="24"/>
        </w:rPr>
        <w:t>“偏离情况”</w:t>
      </w:r>
      <w:bookmarkEnd w:id="77"/>
      <w:r>
        <w:rPr>
          <w:rFonts w:hint="eastAsia"/>
          <w:b/>
          <w:sz w:val="24"/>
        </w:rPr>
        <w:t>一栏填写如实填写“正偏离”、“负偏离”或“无偏离”，其中：</w:t>
      </w:r>
      <w:bookmarkStart w:id="78" w:name="_Hlk72093866"/>
      <w:r>
        <w:rPr>
          <w:rFonts w:hint="eastAsia"/>
          <w:b/>
          <w:sz w:val="24"/>
        </w:rPr>
        <w:t>“正偏离”表示“投标响应优于招标技术要求”，“负偏离”表示“投标响应不满足招标技术要求”，“无偏离”表示“投标响应与招标技术要求一致”</w:t>
      </w:r>
      <w:bookmarkEnd w:id="78"/>
      <w:r>
        <w:rPr>
          <w:rFonts w:hint="eastAsia"/>
          <w:b/>
          <w:sz w:val="24"/>
        </w:rPr>
        <w:t>。“投标技术响应”对比“招标技术要求”存在响应不全（包括未响应整项招标技术要求或者未响应一项招标技术要求的部分内容），均视为“负偏离”。</w:t>
      </w:r>
    </w:p>
    <w:p>
      <w:pPr>
        <w:ind w:firstLine="480" w:firstLineChars="200"/>
        <w:rPr>
          <w:b/>
          <w:sz w:val="24"/>
        </w:rPr>
      </w:pPr>
      <w:r>
        <w:rPr>
          <w:b/>
          <w:sz w:val="24"/>
        </w:rPr>
        <w:t>4</w:t>
      </w:r>
      <w:r>
        <w:rPr>
          <w:rFonts w:hint="eastAsia"/>
          <w:b/>
          <w:sz w:val="24"/>
        </w:rPr>
        <w:t>、未要求提供证明资料的招标技术要求，可以不提供证明资料（如实响应即可）。</w:t>
      </w:r>
    </w:p>
    <w:p>
      <w:pPr>
        <w:ind w:firstLine="480" w:firstLineChars="200"/>
        <w:rPr>
          <w:b/>
          <w:sz w:val="24"/>
        </w:rPr>
      </w:pPr>
      <w:r>
        <w:rPr>
          <w:rFonts w:hint="eastAsia"/>
          <w:b/>
          <w:sz w:val="24"/>
        </w:rPr>
        <w:t>5、</w:t>
      </w:r>
      <w:bookmarkStart w:id="79" w:name="_Hlk72096106"/>
      <w:r>
        <w:rPr>
          <w:rFonts w:hint="eastAsia"/>
          <w:b/>
          <w:sz w:val="24"/>
        </w:rPr>
        <w:t>证明资料条款响应要求</w:t>
      </w:r>
      <w:bookmarkEnd w:id="79"/>
      <w:r>
        <w:rPr>
          <w:rFonts w:hint="eastAsia"/>
          <w:b/>
          <w:sz w:val="24"/>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80" w:name="_Hlk73558782"/>
      <w:r>
        <w:rPr>
          <w:rFonts w:hint="eastAsia"/>
          <w:b/>
          <w:sz w:val="24"/>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81" w:name="_Hlk73558164"/>
      <w:r>
        <w:rPr>
          <w:rFonts w:hint="eastAsia"/>
          <w:b/>
          <w:sz w:val="24"/>
        </w:rPr>
        <w:t>且投标人在“偏离情况”一栏响应为“正偏离”或“无偏离”的，经评审委员会认定，将判定为负偏离。</w:t>
      </w:r>
      <w:bookmarkEnd w:id="80"/>
      <w:bookmarkEnd w:id="81"/>
    </w:p>
    <w:p>
      <w:pPr>
        <w:ind w:firstLine="480" w:firstLineChars="200"/>
        <w:rPr>
          <w:b/>
          <w:sz w:val="24"/>
        </w:rPr>
      </w:pPr>
      <w:r>
        <w:rPr>
          <w:rFonts w:hint="eastAsia"/>
          <w:b/>
          <w:sz w:val="24"/>
        </w:rPr>
        <w:t>6、</w:t>
      </w:r>
      <w:bookmarkStart w:id="82" w:name="_Hlk72096137"/>
      <w:r>
        <w:rPr>
          <w:rFonts w:hint="eastAsia"/>
          <w:b/>
          <w:sz w:val="24"/>
        </w:rPr>
        <w:t>表后“证明资料”部分内容的编制</w:t>
      </w:r>
      <w:bookmarkEnd w:id="82"/>
      <w:r>
        <w:rPr>
          <w:rFonts w:hint="eastAsia"/>
          <w:b/>
          <w:sz w:val="24"/>
        </w:rPr>
        <w:t>：提供的所有证明资料应当统一编号（排序），且证明资料的编号（顺序）、数量和名称（形式）均应与“说明”一栏所填内容保持一致（一一对应），以便评审委员会查看。</w:t>
      </w:r>
      <w:bookmarkStart w:id="83" w:name="_Hlk73558180"/>
      <w:r>
        <w:rPr>
          <w:rFonts w:hint="eastAsia"/>
          <w:b/>
          <w:sz w:val="24"/>
        </w:rPr>
        <w:t>未按照招标文件要求在表后放置证明材料的供应商将承担不利后果，经评审委员会认定，相关技术要求将判定为负偏离。</w:t>
      </w:r>
      <w:bookmarkEnd w:id="83"/>
    </w:p>
    <w:p>
      <w:pPr>
        <w:ind w:firstLine="480" w:firstLineChars="200"/>
        <w:rPr>
          <w:b/>
          <w:sz w:val="24"/>
        </w:rPr>
      </w:pPr>
      <w:r>
        <w:rPr>
          <w:rFonts w:hint="eastAsia"/>
          <w:b/>
          <w:sz w:val="24"/>
        </w:rPr>
        <w:t>7、</w:t>
      </w:r>
      <w:bookmarkStart w:id="84" w:name="_Hlk72096176"/>
      <w:r>
        <w:rPr>
          <w:rFonts w:hint="eastAsia"/>
          <w:b/>
          <w:sz w:val="24"/>
        </w:rPr>
        <w:t>证明资料的形式及其它具体要求</w:t>
      </w:r>
      <w:bookmarkEnd w:id="84"/>
      <w:r>
        <w:rPr>
          <w:rFonts w:hint="eastAsia"/>
          <w:b/>
          <w:sz w:val="24"/>
        </w:rPr>
        <w:t>：</w:t>
      </w:r>
    </w:p>
    <w:p>
      <w:pPr>
        <w:ind w:firstLine="480" w:firstLineChars="200"/>
        <w:rPr>
          <w:b/>
          <w:sz w:val="24"/>
        </w:rPr>
      </w:pPr>
      <w:r>
        <w:rPr>
          <w:rFonts w:hint="eastAsia"/>
          <w:b/>
          <w:sz w:val="24"/>
        </w:rPr>
        <w:t>（1）除照片、图片（截图）及不需加盖公章的文字说明（技术说明）外，其它证明资料均要求为原件扫描件；</w:t>
      </w:r>
    </w:p>
    <w:p>
      <w:pPr>
        <w:ind w:firstLine="480"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80"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80"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pPr>
        <w:ind w:firstLine="480"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80" w:firstLineChars="200"/>
        <w:rPr>
          <w:b/>
          <w:sz w:val="24"/>
        </w:rPr>
      </w:pPr>
      <w:r>
        <w:rPr>
          <w:rFonts w:hint="eastAsia"/>
          <w:b/>
          <w:sz w:val="24"/>
        </w:rPr>
        <w:t>其它证明资料的形式要求参照以上要求执行；</w:t>
      </w:r>
    </w:p>
    <w:p>
      <w:pPr>
        <w:ind w:firstLine="480" w:firstLineChars="200"/>
        <w:rPr>
          <w:b/>
          <w:sz w:val="24"/>
        </w:rPr>
      </w:pPr>
      <w:r>
        <w:rPr>
          <w:rFonts w:hint="eastAsia"/>
          <w:b/>
          <w:sz w:val="24"/>
        </w:rPr>
        <w:t>（4）证明资料均要求原件备查。</w:t>
      </w:r>
    </w:p>
    <w:p>
      <w:pPr>
        <w:ind w:firstLine="480" w:firstLineChars="200"/>
        <w:rPr>
          <w:b/>
          <w:sz w:val="24"/>
        </w:rPr>
      </w:pPr>
      <w:r>
        <w:rPr>
          <w:rFonts w:hint="eastAsia"/>
          <w:b/>
          <w:sz w:val="24"/>
        </w:rPr>
        <w:t>8、其它注意事项：</w:t>
      </w:r>
    </w:p>
    <w:p>
      <w:pPr>
        <w:ind w:firstLine="480" w:firstLineChars="200"/>
        <w:rPr>
          <w:b/>
          <w:sz w:val="24"/>
        </w:rPr>
      </w:pPr>
      <w:r>
        <w:rPr>
          <w:rFonts w:hint="eastAsia"/>
          <w:b/>
          <w:sz w:val="24"/>
        </w:rPr>
        <w:t>（1）评审委员会有权对投标人的响应情况作出判断（评审结论）；</w:t>
      </w:r>
    </w:p>
    <w:p>
      <w:pPr>
        <w:ind w:firstLine="480" w:firstLineChars="200"/>
        <w:rPr>
          <w:b/>
          <w:sz w:val="24"/>
        </w:rPr>
      </w:pPr>
      <w:r>
        <w:rPr>
          <w:rFonts w:hint="eastAsia"/>
          <w:b/>
          <w:sz w:val="24"/>
        </w:rPr>
        <w:t>（2）</w:t>
      </w:r>
      <w:bookmarkStart w:id="85" w:name="_Hlk72158213"/>
      <w:r>
        <w:rPr>
          <w:rFonts w:hint="eastAsia"/>
          <w:b/>
          <w:sz w:val="24"/>
        </w:rPr>
        <w:t>评审委员会有权对以谋取中标为目的的技术规格模糊响应（如有意不合理照搬照抄招标文件的技术要求）或虚假响应予以认定，并视情况经政府集中采购机构报主管部门进行处理。</w:t>
      </w:r>
      <w:bookmarkEnd w:id="85"/>
    </w:p>
    <w:p>
      <w:pPr>
        <w:ind w:firstLine="480" w:firstLineChars="200"/>
        <w:rPr>
          <w:b/>
          <w:sz w:val="24"/>
        </w:rPr>
      </w:pPr>
    </w:p>
    <w:p>
      <w:pPr>
        <w:rPr>
          <w:sz w:val="24"/>
        </w:rPr>
      </w:pPr>
    </w:p>
    <w:p>
      <w:pPr>
        <w:pStyle w:val="Heading3"/>
        <w:jc w:val="center"/>
        <w:rPr>
          <w:sz w:val="24"/>
        </w:rPr>
      </w:pPr>
      <w:r>
        <w:rPr>
          <w:rFonts w:ascii="黑体" w:eastAsia="黑体" w:hint="eastAsia"/>
          <w:b w:val="0"/>
          <w:bCs w:val="0"/>
          <w:sz w:val="24"/>
          <w:szCs w:val="20"/>
        </w:rPr>
        <w:t>五、商务要求偏离表</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56"/>
        <w:gridCol w:w="861"/>
        <w:gridCol w:w="4061"/>
        <w:gridCol w:w="1730"/>
        <w:gridCol w:w="909"/>
        <w:gridCol w:w="502"/>
      </w:tblGrid>
      <w:tr>
        <w:tblPrEx>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427" w:type="dxa"/>
            <w:vAlign w:val="center"/>
          </w:tcPr>
          <w:p>
            <w:pPr>
              <w:jc w:val="center"/>
              <w:rPr>
                <w:b/>
              </w:rPr>
            </w:pPr>
            <w:r>
              <w:rPr>
                <w:rFonts w:hint="eastAsia"/>
                <w:sz w:val="24"/>
              </w:rPr>
              <w:t>序号</w:t>
            </w:r>
          </w:p>
        </w:tc>
        <w:tc>
          <w:tcPr>
            <w:tcW w:w="867" w:type="dxa"/>
            <w:vAlign w:val="center"/>
          </w:tcPr>
          <w:p>
            <w:pPr>
              <w:jc w:val="center"/>
              <w:rPr>
                <w:b/>
              </w:rPr>
            </w:pPr>
            <w:r>
              <w:rPr>
                <w:rFonts w:hint="eastAsia"/>
                <w:b/>
              </w:rPr>
              <w:t>商务需求项</w:t>
            </w:r>
          </w:p>
        </w:tc>
        <w:tc>
          <w:tcPr>
            <w:tcW w:w="4070" w:type="dxa"/>
            <w:vAlign w:val="center"/>
          </w:tcPr>
          <w:p>
            <w:pPr>
              <w:jc w:val="center"/>
              <w:rPr>
                <w:b/>
              </w:rPr>
            </w:pPr>
            <w:r>
              <w:rPr>
                <w:rFonts w:hint="eastAsia"/>
                <w:sz w:val="24"/>
              </w:rPr>
              <w:t>招标商务要求</w:t>
            </w:r>
          </w:p>
        </w:tc>
        <w:tc>
          <w:tcPr>
            <w:tcW w:w="1738" w:type="dxa"/>
            <w:vAlign w:val="center"/>
          </w:tcPr>
          <w:p>
            <w:pPr>
              <w:jc w:val="center"/>
              <w:rPr>
                <w:rFonts w:hint="eastAsia"/>
                <w:b/>
              </w:rPr>
            </w:pPr>
            <w:r>
              <w:rPr>
                <w:rFonts w:hint="eastAsia"/>
                <w:sz w:val="24"/>
              </w:rPr>
              <w:t>投标商务响应</w:t>
            </w:r>
          </w:p>
        </w:tc>
        <w:tc>
          <w:tcPr>
            <w:tcW w:w="916" w:type="dxa"/>
            <w:vAlign w:val="center"/>
          </w:tcPr>
          <w:p>
            <w:pPr>
              <w:jc w:val="center"/>
              <w:rPr>
                <w:rFonts w:hint="eastAsia"/>
                <w:b/>
              </w:rPr>
            </w:pPr>
            <w:r>
              <w:rPr>
                <w:rFonts w:hint="eastAsia"/>
              </w:rPr>
              <w:t>偏离情况</w:t>
            </w:r>
          </w:p>
        </w:tc>
        <w:tc>
          <w:tcPr>
            <w:tcW w:w="508" w:type="dxa"/>
            <w:vAlign w:val="center"/>
          </w:tcPr>
          <w:p>
            <w:pPr>
              <w:jc w:val="center"/>
              <w:rPr>
                <w:rFonts w:hint="eastAsia"/>
                <w:b/>
              </w:rPr>
            </w:pPr>
            <w:r>
              <w:rPr>
                <w:rFonts w:hint="eastAsia"/>
                <w:sz w:val="24"/>
              </w:rPr>
              <w:t>说明</w:t>
            </w:r>
          </w:p>
        </w:tc>
      </w:tr>
      <w:tr>
        <w:tblPrEx>
          <w:tblW w:w="4998" w:type="pct"/>
          <w:tblInd w:w="0" w:type="dxa"/>
          <w:tblCellMar>
            <w:top w:w="0" w:type="dxa"/>
            <w:left w:w="108" w:type="dxa"/>
            <w:bottom w:w="0" w:type="dxa"/>
            <w:right w:w="108" w:type="dxa"/>
          </w:tblCellMar>
        </w:tblPrEx>
        <w:trPr>
          <w:trHeight w:val="280"/>
        </w:trPr>
        <w:tc>
          <w:tcPr>
            <w:tcW w:w="5000" w:type="pct"/>
            <w:gridSpan w:val="6"/>
          </w:tcPr>
          <w:p>
            <w:pPr>
              <w:rPr>
                <w:rFonts w:hint="eastAsia"/>
                <w:b/>
              </w:rPr>
            </w:pPr>
            <w:r>
              <w:rPr>
                <w:rFonts w:hint="eastAsia"/>
                <w:b/>
              </w:rPr>
              <w:t>（一）免费保修期内售后服务要求</w:t>
            </w:r>
          </w:p>
        </w:tc>
      </w:tr>
      <w:tr>
        <w:tblPrEx>
          <w:tblW w:w="4998" w:type="pct"/>
          <w:tblInd w:w="0" w:type="dxa"/>
          <w:tblCellMar>
            <w:top w:w="0" w:type="dxa"/>
            <w:left w:w="108" w:type="dxa"/>
            <w:bottom w:w="0" w:type="dxa"/>
            <w:right w:w="108" w:type="dxa"/>
          </w:tblCellMar>
        </w:tblPrEx>
        <w:trPr>
          <w:trHeight w:val="150"/>
        </w:trPr>
        <w:tc>
          <w:tcPr>
            <w:tcW w:w="250" w:type="pct"/>
            <w:vAlign w:val="center"/>
          </w:tcPr>
          <w:p>
            <w:pPr>
              <w:jc w:val="center"/>
              <w:rPr>
                <w:b/>
              </w:rPr>
            </w:pPr>
            <w:r>
              <w:rPr>
                <w:rFonts w:hint="eastAsia"/>
                <w:b/>
              </w:rPr>
              <w:t>1</w:t>
            </w:r>
          </w:p>
        </w:tc>
        <w:tc>
          <w:tcPr>
            <w:tcW w:w="509" w:type="pct"/>
            <w:vAlign w:val="center"/>
          </w:tcPr>
          <w:p>
            <w:r>
              <w:rPr>
                <w:rFonts w:hint="eastAsia"/>
              </w:rPr>
              <w:t>免费保修期</w:t>
            </w:r>
          </w:p>
        </w:tc>
        <w:tc>
          <w:tcPr>
            <w:tcW w:w="2387" w:type="pct"/>
          </w:tcPr>
          <w:p>
            <w:r>
              <w:rPr>
                <w:rFonts w:ascii="宋体" w:hAnsi="宋体" w:cs="宋体" w:hint="eastAsia"/>
                <w:b/>
                <w:szCs w:val="21"/>
              </w:rPr>
              <w:t>★</w:t>
            </w:r>
            <w:r>
              <w:rPr>
                <w:rFonts w:hint="eastAsia"/>
              </w:rPr>
              <w:t>货物免费保修期</w:t>
            </w:r>
            <w:r>
              <w:rPr>
                <w:rFonts w:hint="eastAsia"/>
                <w:b/>
              </w:rPr>
              <w:t>两</w:t>
            </w:r>
            <w:r>
              <w:rPr>
                <w:rFonts w:hint="eastAsia"/>
              </w:rPr>
              <w:t>年，其中</w:t>
            </w:r>
            <w:r>
              <w:rPr>
                <w:rFonts w:ascii="宋体" w:hAnsi="宋体"/>
                <w:b/>
                <w:sz w:val="18"/>
                <w:szCs w:val="18"/>
              </w:rPr>
              <w:t>激光投影机（一）</w:t>
            </w:r>
            <w:r>
              <w:rPr>
                <w:rFonts w:ascii="宋体" w:hAnsi="宋体"/>
                <w:sz w:val="18"/>
                <w:szCs w:val="18"/>
              </w:rPr>
              <w:t>整机保修期为五年，</w:t>
            </w:r>
            <w:r>
              <w:rPr>
                <w:rFonts w:ascii="宋体" w:hAnsi="宋体"/>
                <w:b/>
                <w:sz w:val="18"/>
                <w:szCs w:val="18"/>
              </w:rPr>
              <w:t>超短焦激光投影机</w:t>
            </w:r>
            <w:r>
              <w:rPr>
                <w:rFonts w:ascii="宋体" w:hAnsi="宋体" w:hint="eastAsia"/>
                <w:b/>
                <w:sz w:val="18"/>
                <w:szCs w:val="18"/>
              </w:rPr>
              <w:t>（二）</w:t>
            </w:r>
            <w:r>
              <w:rPr>
                <w:rFonts w:ascii="宋体" w:hAnsi="宋体"/>
                <w:sz w:val="18"/>
                <w:szCs w:val="18"/>
              </w:rPr>
              <w:t>整机保修期为</w:t>
            </w:r>
            <w:r>
              <w:rPr>
                <w:rFonts w:ascii="宋体" w:hAnsi="宋体" w:hint="eastAsia"/>
                <w:sz w:val="18"/>
                <w:szCs w:val="18"/>
              </w:rPr>
              <w:t>三年，</w:t>
            </w:r>
            <w:r>
              <w:rPr>
                <w:rFonts w:hint="eastAsia"/>
              </w:rPr>
              <w:t>时间自最终验收合格并交付使用之日起计算。免费保修期内所有设备或系统故障的修复全部费用由中标人承担。</w:t>
            </w:r>
          </w:p>
        </w:tc>
        <w:tc>
          <w:tcPr>
            <w:tcW w:w="1019" w:type="pct"/>
          </w:tcPr>
          <w:p>
            <w:pPr>
              <w:rPr>
                <w:rFonts w:ascii="宋体" w:hAnsi="宋体" w:cs="宋体" w:hint="eastAsia"/>
                <w:b/>
                <w:szCs w:val="21"/>
              </w:rPr>
            </w:pPr>
          </w:p>
        </w:tc>
        <w:tc>
          <w:tcPr>
            <w:tcW w:w="537" w:type="pct"/>
          </w:tcPr>
          <w:p>
            <w:pPr>
              <w:rPr>
                <w:rFonts w:ascii="宋体" w:hAnsi="宋体" w:cs="宋体" w:hint="eastAsia"/>
                <w:b/>
                <w:szCs w:val="21"/>
              </w:rPr>
            </w:pPr>
          </w:p>
        </w:tc>
        <w:tc>
          <w:tcPr>
            <w:tcW w:w="296" w:type="pct"/>
          </w:tcPr>
          <w:p>
            <w:pPr>
              <w:rPr>
                <w:rFonts w:ascii="宋体" w:hAnsi="宋体" w:cs="宋体" w:hint="eastAsia"/>
                <w:b/>
                <w:szCs w:val="21"/>
              </w:rPr>
            </w:pPr>
          </w:p>
        </w:tc>
      </w:tr>
      <w:tr>
        <w:tblPrEx>
          <w:tblW w:w="4998" w:type="pct"/>
          <w:tblInd w:w="0" w:type="dxa"/>
          <w:tblCellMar>
            <w:top w:w="0" w:type="dxa"/>
            <w:left w:w="108" w:type="dxa"/>
            <w:bottom w:w="0" w:type="dxa"/>
            <w:right w:w="108" w:type="dxa"/>
          </w:tblCellMar>
        </w:tblPrEx>
        <w:trPr>
          <w:trHeight w:val="320"/>
        </w:trPr>
        <w:tc>
          <w:tcPr>
            <w:tcW w:w="250" w:type="pct"/>
            <w:vAlign w:val="center"/>
          </w:tcPr>
          <w:p>
            <w:pPr>
              <w:jc w:val="center"/>
              <w:rPr>
                <w:b/>
              </w:rPr>
            </w:pPr>
            <w:r>
              <w:rPr>
                <w:rFonts w:hint="eastAsia"/>
                <w:b/>
              </w:rPr>
              <w:t>2</w:t>
            </w:r>
          </w:p>
        </w:tc>
        <w:tc>
          <w:tcPr>
            <w:tcW w:w="509" w:type="pct"/>
          </w:tcPr>
          <w:p>
            <w:r>
              <w:rPr>
                <w:rFonts w:hint="eastAsia"/>
              </w:rPr>
              <w:t>维修响应及故障解决时间</w:t>
            </w:r>
          </w:p>
        </w:tc>
        <w:tc>
          <w:tcPr>
            <w:tcW w:w="2387" w:type="pct"/>
          </w:tcPr>
          <w:p>
            <w:pPr>
              <w:rPr>
                <w:b/>
              </w:rPr>
            </w:pPr>
            <w:r>
              <w:t>保修期间设备或软件系统发生故障，</w:t>
            </w:r>
            <w:r>
              <w:rPr>
                <w:rFonts w:hint="eastAsia"/>
              </w:rPr>
              <w:t>供应方应在不超过</w:t>
            </w:r>
            <w:r>
              <w:t>4</w:t>
            </w:r>
            <w:r>
              <w:rPr>
                <w:rFonts w:hint="eastAsia"/>
              </w:rPr>
              <w:t>小时内对用户的服务要求做出响应，接到用户维修通知后1个工作日内必须到客户现场进行修理或更换。</w:t>
            </w:r>
          </w:p>
        </w:tc>
        <w:tc>
          <w:tcPr>
            <w:tcW w:w="1019" w:type="pct"/>
          </w:tcPr>
          <w:p/>
        </w:tc>
        <w:tc>
          <w:tcPr>
            <w:tcW w:w="537" w:type="pct"/>
          </w:tcPr>
          <w:p/>
        </w:tc>
        <w:tc>
          <w:tcPr>
            <w:tcW w:w="296" w:type="pct"/>
          </w:tcPr>
          <w:p/>
        </w:tc>
      </w:tr>
      <w:tr>
        <w:tblPrEx>
          <w:tblW w:w="4998" w:type="pct"/>
          <w:tblInd w:w="0" w:type="dxa"/>
          <w:tblCellMar>
            <w:top w:w="0" w:type="dxa"/>
            <w:left w:w="108" w:type="dxa"/>
            <w:bottom w:w="0" w:type="dxa"/>
            <w:right w:w="108" w:type="dxa"/>
          </w:tblCellMar>
        </w:tblPrEx>
        <w:trPr>
          <w:trHeight w:val="320"/>
        </w:trPr>
        <w:tc>
          <w:tcPr>
            <w:tcW w:w="250" w:type="pct"/>
            <w:vAlign w:val="center"/>
          </w:tcPr>
          <w:p>
            <w:pPr>
              <w:jc w:val="center"/>
              <w:rPr>
                <w:b/>
              </w:rPr>
            </w:pPr>
            <w:r>
              <w:rPr>
                <w:rFonts w:hint="eastAsia"/>
                <w:b/>
              </w:rPr>
              <w:t>3</w:t>
            </w:r>
          </w:p>
        </w:tc>
        <w:tc>
          <w:tcPr>
            <w:tcW w:w="509" w:type="pct"/>
          </w:tcPr>
          <w:p>
            <w:r>
              <w:rPr>
                <w:rFonts w:hint="eastAsia"/>
              </w:rPr>
              <w:t>培训</w:t>
            </w:r>
          </w:p>
        </w:tc>
        <w:tc>
          <w:tcPr>
            <w:tcW w:w="2387" w:type="pct"/>
          </w:tcPr>
          <w:p>
            <w:r>
              <w:rPr>
                <w:rFonts w:hint="eastAsia"/>
              </w:rPr>
              <w:t>技术培训工作应与系统安装、实施工作同步进行，供货方需针对不同应用系统的特点，有计划、有针对性地开展培训。免费提供全套完整的使用文档（含软硬件应用人员操作手册、软件系统管理手册等）。对使用者进行科学的、有组织、分步骤的培训，确保建设单位的运行管理人员熟练使用各个系统。</w:t>
            </w:r>
          </w:p>
        </w:tc>
        <w:tc>
          <w:tcPr>
            <w:tcW w:w="1019" w:type="pct"/>
          </w:tcPr>
          <w:p>
            <w:pPr>
              <w:rPr>
                <w:rFonts w:hint="eastAsia"/>
              </w:rPr>
            </w:pPr>
          </w:p>
        </w:tc>
        <w:tc>
          <w:tcPr>
            <w:tcW w:w="537" w:type="pct"/>
          </w:tcPr>
          <w:p>
            <w:pPr>
              <w:rPr>
                <w:rFonts w:hint="eastAsia"/>
              </w:rPr>
            </w:pPr>
          </w:p>
        </w:tc>
        <w:tc>
          <w:tcPr>
            <w:tcW w:w="296" w:type="pct"/>
          </w:tcPr>
          <w:p>
            <w:pPr>
              <w:rPr>
                <w:rFonts w:hint="eastAsia"/>
              </w:rPr>
            </w:pPr>
          </w:p>
        </w:tc>
      </w:tr>
      <w:tr>
        <w:tblPrEx>
          <w:tblW w:w="4998" w:type="pct"/>
          <w:tblInd w:w="0" w:type="dxa"/>
          <w:tblCellMar>
            <w:top w:w="0" w:type="dxa"/>
            <w:left w:w="108" w:type="dxa"/>
            <w:bottom w:w="0" w:type="dxa"/>
            <w:right w:w="108" w:type="dxa"/>
          </w:tblCellMar>
        </w:tblPrEx>
        <w:trPr>
          <w:trHeight w:val="280"/>
        </w:trPr>
        <w:tc>
          <w:tcPr>
            <w:tcW w:w="5000" w:type="pct"/>
            <w:gridSpan w:val="6"/>
          </w:tcPr>
          <w:p>
            <w:pPr>
              <w:rPr>
                <w:rFonts w:hint="eastAsia"/>
                <w:b/>
              </w:rPr>
            </w:pPr>
            <w:r>
              <w:rPr>
                <w:rFonts w:hint="eastAsia"/>
                <w:b/>
              </w:rPr>
              <w:t>（二）免费保修期外售后服务要求</w:t>
            </w:r>
          </w:p>
        </w:tc>
      </w:tr>
      <w:tr>
        <w:tblPrEx>
          <w:tblW w:w="4998" w:type="pct"/>
          <w:tblInd w:w="0" w:type="dxa"/>
          <w:tblCellMar>
            <w:top w:w="0" w:type="dxa"/>
            <w:left w:w="108" w:type="dxa"/>
            <w:bottom w:w="0" w:type="dxa"/>
            <w:right w:w="108" w:type="dxa"/>
          </w:tblCellMar>
        </w:tblPrEx>
        <w:trPr>
          <w:trHeight w:val="350"/>
        </w:trPr>
        <w:tc>
          <w:tcPr>
            <w:tcW w:w="250" w:type="pct"/>
            <w:vAlign w:val="center"/>
          </w:tcPr>
          <w:p>
            <w:pPr>
              <w:jc w:val="center"/>
              <w:rPr>
                <w:b/>
              </w:rPr>
            </w:pPr>
            <w:r>
              <w:rPr>
                <w:rFonts w:hint="eastAsia"/>
                <w:b/>
              </w:rPr>
              <w:t>1</w:t>
            </w:r>
          </w:p>
        </w:tc>
        <w:tc>
          <w:tcPr>
            <w:tcW w:w="509" w:type="pct"/>
          </w:tcPr>
          <w:p>
            <w:pPr>
              <w:widowControl/>
              <w:spacing w:before="100" w:beforeAutospacing="1" w:after="100" w:afterAutospacing="1"/>
              <w:jc w:val="left"/>
              <w:rPr>
                <w:bCs/>
                <w:szCs w:val="21"/>
              </w:rPr>
            </w:pPr>
            <w:r>
              <w:rPr>
                <w:rFonts w:hint="eastAsia"/>
                <w:bCs/>
                <w:szCs w:val="21"/>
              </w:rPr>
              <w:t>维修响应及故障解决时间</w:t>
            </w:r>
          </w:p>
        </w:tc>
        <w:tc>
          <w:tcPr>
            <w:tcW w:w="2387" w:type="pct"/>
          </w:tcPr>
          <w:p>
            <w:pPr>
              <w:widowControl/>
              <w:spacing w:before="100" w:beforeAutospacing="1" w:after="100" w:afterAutospacing="1"/>
              <w:jc w:val="left"/>
              <w:rPr>
                <w:bCs/>
                <w:szCs w:val="21"/>
              </w:rPr>
            </w:pPr>
            <w:r>
              <w:rPr>
                <w:bCs/>
                <w:szCs w:val="21"/>
              </w:rPr>
              <w:t>设备或软件系统发生故障，</w:t>
            </w:r>
            <w:r>
              <w:rPr>
                <w:rFonts w:hint="eastAsia"/>
                <w:bCs/>
                <w:szCs w:val="21"/>
              </w:rPr>
              <w:t>供应方应在不超过</w:t>
            </w:r>
            <w:r>
              <w:rPr>
                <w:bCs/>
                <w:szCs w:val="21"/>
              </w:rPr>
              <w:t>4</w:t>
            </w:r>
            <w:r>
              <w:rPr>
                <w:rFonts w:hint="eastAsia"/>
                <w:bCs/>
                <w:szCs w:val="21"/>
              </w:rPr>
              <w:t>小时内对用户的服务要求做出响应，接到用户维修通知后1个工作日内必须到客户现场进行修理或更换。</w:t>
            </w:r>
          </w:p>
        </w:tc>
        <w:tc>
          <w:tcPr>
            <w:tcW w:w="1019" w:type="pct"/>
          </w:tcPr>
          <w:p>
            <w:pPr>
              <w:widowControl/>
              <w:spacing w:before="100" w:beforeAutospacing="1" w:after="100" w:afterAutospacing="1"/>
              <w:jc w:val="left"/>
              <w:rPr>
                <w:bCs/>
                <w:szCs w:val="21"/>
              </w:rPr>
            </w:pPr>
          </w:p>
        </w:tc>
        <w:tc>
          <w:tcPr>
            <w:tcW w:w="537" w:type="pct"/>
          </w:tcPr>
          <w:p>
            <w:pPr>
              <w:widowControl/>
              <w:spacing w:before="100" w:beforeAutospacing="1" w:after="100" w:afterAutospacing="1"/>
              <w:jc w:val="left"/>
              <w:rPr>
                <w:bCs/>
                <w:szCs w:val="21"/>
              </w:rPr>
            </w:pPr>
          </w:p>
        </w:tc>
        <w:tc>
          <w:tcPr>
            <w:tcW w:w="296" w:type="pct"/>
          </w:tcPr>
          <w:p>
            <w:pPr>
              <w:widowControl/>
              <w:spacing w:before="100" w:beforeAutospacing="1" w:after="100" w:afterAutospacing="1"/>
              <w:jc w:val="left"/>
              <w:rPr>
                <w:bCs/>
                <w:szCs w:val="21"/>
              </w:rPr>
            </w:pPr>
          </w:p>
        </w:tc>
      </w:tr>
      <w:tr>
        <w:tblPrEx>
          <w:tblW w:w="4998" w:type="pct"/>
          <w:tblInd w:w="0" w:type="dxa"/>
          <w:tblCellMar>
            <w:top w:w="0" w:type="dxa"/>
            <w:left w:w="108" w:type="dxa"/>
            <w:bottom w:w="0" w:type="dxa"/>
            <w:right w:w="108" w:type="dxa"/>
          </w:tblCellMar>
        </w:tblPrEx>
        <w:trPr>
          <w:trHeight w:val="350"/>
        </w:trPr>
        <w:tc>
          <w:tcPr>
            <w:tcW w:w="250" w:type="pct"/>
            <w:vAlign w:val="center"/>
          </w:tcPr>
          <w:p>
            <w:pPr>
              <w:jc w:val="center"/>
              <w:rPr>
                <w:b/>
              </w:rPr>
            </w:pPr>
            <w:r>
              <w:rPr>
                <w:rFonts w:hint="eastAsia"/>
                <w:b/>
              </w:rPr>
              <w:t>2</w:t>
            </w:r>
          </w:p>
        </w:tc>
        <w:tc>
          <w:tcPr>
            <w:tcW w:w="509" w:type="pct"/>
          </w:tcPr>
          <w:p>
            <w:pPr>
              <w:widowControl/>
              <w:spacing w:before="100" w:beforeAutospacing="1" w:after="100" w:afterAutospacing="1"/>
              <w:jc w:val="left"/>
              <w:rPr>
                <w:bCs/>
                <w:szCs w:val="21"/>
              </w:rPr>
            </w:pPr>
            <w:r>
              <w:rPr>
                <w:bCs/>
                <w:szCs w:val="21"/>
              </w:rPr>
              <w:t>零配件</w:t>
            </w:r>
          </w:p>
        </w:tc>
        <w:tc>
          <w:tcPr>
            <w:tcW w:w="2387" w:type="pct"/>
          </w:tcPr>
          <w:p>
            <w:pPr>
              <w:adjustRightInd w:val="0"/>
              <w:snapToGrid w:val="0"/>
              <w:spacing w:line="360" w:lineRule="auto"/>
              <w:rPr>
                <w:bCs/>
                <w:szCs w:val="21"/>
              </w:rPr>
            </w:pPr>
            <w:r>
              <w:rPr>
                <w:rFonts w:hint="eastAsia"/>
              </w:rPr>
              <w:t>若甲方有扩容需求或更换零配件，乙方需按照本次合同的单价执行，或低于本次合同的单价执行。</w:t>
            </w:r>
          </w:p>
        </w:tc>
        <w:tc>
          <w:tcPr>
            <w:tcW w:w="1019" w:type="pct"/>
          </w:tcPr>
          <w:p>
            <w:pPr>
              <w:adjustRightInd w:val="0"/>
              <w:snapToGrid w:val="0"/>
              <w:spacing w:line="360" w:lineRule="auto"/>
              <w:rPr>
                <w:rFonts w:hint="eastAsia"/>
              </w:rPr>
            </w:pPr>
          </w:p>
        </w:tc>
        <w:tc>
          <w:tcPr>
            <w:tcW w:w="537" w:type="pct"/>
          </w:tcPr>
          <w:p>
            <w:pPr>
              <w:adjustRightInd w:val="0"/>
              <w:snapToGrid w:val="0"/>
              <w:spacing w:line="360" w:lineRule="auto"/>
              <w:rPr>
                <w:rFonts w:hint="eastAsia"/>
              </w:rPr>
            </w:pPr>
          </w:p>
        </w:tc>
        <w:tc>
          <w:tcPr>
            <w:tcW w:w="296" w:type="pct"/>
          </w:tcPr>
          <w:p>
            <w:pPr>
              <w:adjustRightInd w:val="0"/>
              <w:snapToGrid w:val="0"/>
              <w:spacing w:line="360" w:lineRule="auto"/>
              <w:rPr>
                <w:rFonts w:hint="eastAsia"/>
              </w:rPr>
            </w:pPr>
          </w:p>
        </w:tc>
      </w:tr>
      <w:tr>
        <w:tblPrEx>
          <w:tblW w:w="4998" w:type="pct"/>
          <w:tblInd w:w="0" w:type="dxa"/>
          <w:tblCellMar>
            <w:top w:w="0" w:type="dxa"/>
            <w:left w:w="108" w:type="dxa"/>
            <w:bottom w:w="0" w:type="dxa"/>
            <w:right w:w="108" w:type="dxa"/>
          </w:tblCellMar>
        </w:tblPrEx>
        <w:trPr>
          <w:trHeight w:val="350"/>
        </w:trPr>
        <w:tc>
          <w:tcPr>
            <w:tcW w:w="5000" w:type="pct"/>
            <w:gridSpan w:val="6"/>
          </w:tcPr>
          <w:p>
            <w:pPr>
              <w:rPr>
                <w:rFonts w:hint="eastAsia"/>
                <w:b/>
              </w:rPr>
            </w:pPr>
            <w:r>
              <w:rPr>
                <w:rFonts w:hint="eastAsia"/>
                <w:b/>
              </w:rPr>
              <w:t>（三）其他商务要求</w:t>
            </w:r>
          </w:p>
        </w:tc>
      </w:tr>
      <w:tr>
        <w:tblPrEx>
          <w:tblW w:w="4998" w:type="pct"/>
          <w:tblInd w:w="0" w:type="dxa"/>
          <w:tblCellMar>
            <w:top w:w="0" w:type="dxa"/>
            <w:left w:w="108" w:type="dxa"/>
            <w:bottom w:w="0" w:type="dxa"/>
            <w:right w:w="108" w:type="dxa"/>
          </w:tblCellMar>
        </w:tblPrEx>
        <w:trPr>
          <w:trHeight w:val="350"/>
        </w:trPr>
        <w:tc>
          <w:tcPr>
            <w:tcW w:w="250" w:type="pct"/>
            <w:vMerge w:val="restart"/>
            <w:vAlign w:val="center"/>
          </w:tcPr>
          <w:p>
            <w:pPr>
              <w:jc w:val="center"/>
              <w:rPr>
                <w:b/>
              </w:rPr>
            </w:pPr>
            <w:r>
              <w:rPr>
                <w:rFonts w:hint="eastAsia"/>
                <w:b/>
              </w:rPr>
              <w:t>1</w:t>
            </w:r>
          </w:p>
        </w:tc>
        <w:tc>
          <w:tcPr>
            <w:tcW w:w="509" w:type="pct"/>
            <w:vMerge w:val="restart"/>
            <w:vAlign w:val="center"/>
          </w:tcPr>
          <w:p>
            <w:pPr>
              <w:jc w:val="center"/>
            </w:pPr>
            <w:r>
              <w:rPr>
                <w:rFonts w:hint="eastAsia"/>
              </w:rPr>
              <w:t>关于交货</w:t>
            </w:r>
          </w:p>
        </w:tc>
        <w:tc>
          <w:tcPr>
            <w:tcW w:w="2387" w:type="pct"/>
          </w:tcPr>
          <w:p>
            <w:pPr>
              <w:rPr>
                <w:b/>
              </w:rPr>
            </w:pPr>
            <w:r>
              <w:rPr>
                <w:rFonts w:ascii="宋体" w:hAnsi="宋体" w:cs="宋体" w:hint="eastAsia"/>
                <w:b/>
                <w:szCs w:val="21"/>
              </w:rPr>
              <w:t>★</w:t>
            </w:r>
            <w:r>
              <w:rPr>
                <w:rFonts w:hint="eastAsia"/>
                <w:bCs/>
                <w:szCs w:val="21"/>
              </w:rPr>
              <w:t>1.1签订合同后</w:t>
            </w:r>
            <w:r>
              <w:rPr>
                <w:rFonts w:hint="eastAsia"/>
                <w:bCs/>
                <w:szCs w:val="21"/>
                <w:u w:val="single"/>
              </w:rPr>
              <w:t xml:space="preserve"> 60  </w:t>
            </w:r>
            <w:r>
              <w:rPr>
                <w:rFonts w:hint="eastAsia"/>
                <w:bCs/>
                <w:szCs w:val="21"/>
              </w:rPr>
              <w:t>天（日历日）内。</w:t>
            </w:r>
          </w:p>
        </w:tc>
        <w:tc>
          <w:tcPr>
            <w:tcW w:w="1019" w:type="pct"/>
          </w:tcPr>
          <w:p>
            <w:pPr>
              <w:rPr>
                <w:rFonts w:ascii="宋体" w:hAnsi="宋体" w:cs="宋体" w:hint="eastAsia"/>
                <w:b/>
                <w:szCs w:val="21"/>
              </w:rPr>
            </w:pPr>
          </w:p>
        </w:tc>
        <w:tc>
          <w:tcPr>
            <w:tcW w:w="537" w:type="pct"/>
          </w:tcPr>
          <w:p>
            <w:pPr>
              <w:rPr>
                <w:rFonts w:ascii="宋体" w:hAnsi="宋体" w:cs="宋体" w:hint="eastAsia"/>
                <w:b/>
                <w:szCs w:val="21"/>
              </w:rPr>
            </w:pPr>
          </w:p>
        </w:tc>
        <w:tc>
          <w:tcPr>
            <w:tcW w:w="296" w:type="pct"/>
          </w:tcPr>
          <w:p>
            <w:pPr>
              <w:rPr>
                <w:rFonts w:ascii="宋体" w:hAnsi="宋体" w:cs="宋体" w:hint="eastAsia"/>
                <w:b/>
                <w:szCs w:val="21"/>
              </w:rPr>
            </w:pPr>
          </w:p>
        </w:tc>
      </w:tr>
      <w:tr>
        <w:tblPrEx>
          <w:tblW w:w="4998" w:type="pct"/>
          <w:tblInd w:w="0" w:type="dxa"/>
          <w:tblCellMar>
            <w:top w:w="0" w:type="dxa"/>
            <w:left w:w="108" w:type="dxa"/>
            <w:bottom w:w="0" w:type="dxa"/>
            <w:right w:w="108" w:type="dxa"/>
          </w:tblCellMar>
        </w:tblPrEx>
        <w:trPr>
          <w:trHeight w:val="451"/>
        </w:trPr>
        <w:tc>
          <w:tcPr>
            <w:tcW w:w="250" w:type="pct"/>
            <w:vMerge/>
            <w:vAlign w:val="center"/>
          </w:tcPr>
          <w:p>
            <w:pPr>
              <w:jc w:val="center"/>
              <w:rPr>
                <w:b/>
              </w:rPr>
            </w:pPr>
          </w:p>
        </w:tc>
        <w:tc>
          <w:tcPr>
            <w:tcW w:w="509" w:type="pct"/>
            <w:vMerge/>
            <w:vAlign w:val="center"/>
          </w:tcPr>
          <w:p>
            <w:pPr>
              <w:jc w:val="center"/>
            </w:pPr>
          </w:p>
        </w:tc>
        <w:tc>
          <w:tcPr>
            <w:tcW w:w="2387" w:type="pct"/>
          </w:tcPr>
          <w:p>
            <w:pPr>
              <w:rPr>
                <w:bCs/>
                <w:szCs w:val="21"/>
              </w:rPr>
            </w:pPr>
            <w:r>
              <w:rPr>
                <w:rFonts w:hint="eastAsia"/>
                <w:bCs/>
                <w:szCs w:val="21"/>
              </w:rPr>
              <w:t>1.2投标人必须承担的设备运输、安装调试、验收检测和提供设备操作说明书、图纸等其他类似的义务。</w:t>
            </w:r>
          </w:p>
        </w:tc>
        <w:tc>
          <w:tcPr>
            <w:tcW w:w="1019" w:type="pct"/>
          </w:tcPr>
          <w:p>
            <w:pPr>
              <w:rPr>
                <w:rFonts w:hint="eastAsia"/>
                <w:bCs/>
                <w:szCs w:val="21"/>
              </w:rPr>
            </w:pPr>
          </w:p>
        </w:tc>
        <w:tc>
          <w:tcPr>
            <w:tcW w:w="537" w:type="pct"/>
          </w:tcPr>
          <w:p>
            <w:pPr>
              <w:rPr>
                <w:rFonts w:hint="eastAsia"/>
                <w:bCs/>
                <w:szCs w:val="21"/>
              </w:rPr>
            </w:pPr>
          </w:p>
        </w:tc>
        <w:tc>
          <w:tcPr>
            <w:tcW w:w="296" w:type="pct"/>
          </w:tcPr>
          <w:p>
            <w:pPr>
              <w:rPr>
                <w:rFonts w:hint="eastAsia"/>
                <w:bCs/>
                <w:szCs w:val="21"/>
              </w:rPr>
            </w:pPr>
          </w:p>
        </w:tc>
      </w:tr>
      <w:tr>
        <w:tblPrEx>
          <w:tblW w:w="4998" w:type="pct"/>
          <w:tblInd w:w="0" w:type="dxa"/>
          <w:tblCellMar>
            <w:top w:w="0" w:type="dxa"/>
            <w:left w:w="108" w:type="dxa"/>
            <w:bottom w:w="0" w:type="dxa"/>
            <w:right w:w="108" w:type="dxa"/>
          </w:tblCellMar>
        </w:tblPrEx>
        <w:trPr>
          <w:trHeight w:val="451"/>
        </w:trPr>
        <w:tc>
          <w:tcPr>
            <w:tcW w:w="250" w:type="pct"/>
            <w:vMerge/>
            <w:vAlign w:val="center"/>
          </w:tcPr>
          <w:p>
            <w:pPr>
              <w:jc w:val="center"/>
              <w:rPr>
                <w:b/>
              </w:rPr>
            </w:pPr>
          </w:p>
        </w:tc>
        <w:tc>
          <w:tcPr>
            <w:tcW w:w="509" w:type="pct"/>
            <w:vMerge/>
            <w:vAlign w:val="center"/>
          </w:tcPr>
          <w:p>
            <w:pPr>
              <w:jc w:val="center"/>
            </w:pPr>
          </w:p>
        </w:tc>
        <w:tc>
          <w:tcPr>
            <w:tcW w:w="2387" w:type="pct"/>
          </w:tcPr>
          <w:p>
            <w:pPr>
              <w:rPr>
                <w:bCs/>
                <w:szCs w:val="21"/>
              </w:rPr>
            </w:pPr>
            <w:r>
              <w:rPr>
                <w:rFonts w:hint="eastAsia"/>
                <w:bCs/>
                <w:szCs w:val="21"/>
              </w:rPr>
              <w:t>1</w:t>
            </w:r>
            <w:r>
              <w:rPr>
                <w:bCs/>
                <w:szCs w:val="21"/>
              </w:rPr>
              <w:t>.3 交货地点</w:t>
            </w:r>
            <w:r>
              <w:rPr>
                <w:rFonts w:hint="eastAsia"/>
                <w:bCs/>
                <w:szCs w:val="21"/>
              </w:rPr>
              <w:t>：</w:t>
            </w:r>
            <w:r>
              <w:rPr>
                <w:bCs/>
                <w:szCs w:val="21"/>
              </w:rPr>
              <w:t>清华大学深圳国际研究生院</w:t>
            </w:r>
            <w:r>
              <w:rPr>
                <w:rFonts w:hint="eastAsia"/>
                <w:bCs/>
                <w:szCs w:val="21"/>
              </w:rPr>
              <w:t>“国际一期”大楼</w:t>
            </w:r>
          </w:p>
        </w:tc>
        <w:tc>
          <w:tcPr>
            <w:tcW w:w="1019" w:type="pct"/>
          </w:tcPr>
          <w:p>
            <w:pPr>
              <w:rPr>
                <w:rFonts w:hint="eastAsia"/>
                <w:bCs/>
                <w:szCs w:val="21"/>
              </w:rPr>
            </w:pPr>
          </w:p>
        </w:tc>
        <w:tc>
          <w:tcPr>
            <w:tcW w:w="537" w:type="pct"/>
          </w:tcPr>
          <w:p>
            <w:pPr>
              <w:rPr>
                <w:rFonts w:hint="eastAsia"/>
                <w:bCs/>
                <w:szCs w:val="21"/>
              </w:rPr>
            </w:pPr>
          </w:p>
        </w:tc>
        <w:tc>
          <w:tcPr>
            <w:tcW w:w="296" w:type="pct"/>
          </w:tcPr>
          <w:p>
            <w:pPr>
              <w:rPr>
                <w:rFonts w:hint="eastAsia"/>
                <w:bCs/>
                <w:szCs w:val="21"/>
              </w:rPr>
            </w:pPr>
          </w:p>
        </w:tc>
      </w:tr>
      <w:tr>
        <w:tblPrEx>
          <w:tblW w:w="4998" w:type="pct"/>
          <w:tblInd w:w="0" w:type="dxa"/>
          <w:tblCellMar>
            <w:top w:w="0" w:type="dxa"/>
            <w:left w:w="108" w:type="dxa"/>
            <w:bottom w:w="0" w:type="dxa"/>
            <w:right w:w="108" w:type="dxa"/>
          </w:tblCellMar>
        </w:tblPrEx>
        <w:trPr>
          <w:trHeight w:val="451"/>
        </w:trPr>
        <w:tc>
          <w:tcPr>
            <w:tcW w:w="250" w:type="pct"/>
            <w:vAlign w:val="center"/>
          </w:tcPr>
          <w:p>
            <w:pPr>
              <w:jc w:val="center"/>
              <w:rPr>
                <w:b/>
              </w:rPr>
            </w:pPr>
            <w:r>
              <w:rPr>
                <w:rFonts w:hint="eastAsia"/>
                <w:b/>
              </w:rPr>
              <w:t>2</w:t>
            </w:r>
          </w:p>
        </w:tc>
        <w:tc>
          <w:tcPr>
            <w:tcW w:w="509" w:type="pct"/>
            <w:vAlign w:val="center"/>
          </w:tcPr>
          <w:p>
            <w:pPr>
              <w:widowControl/>
              <w:spacing w:before="100" w:beforeAutospacing="1" w:after="100" w:afterAutospacing="1"/>
              <w:jc w:val="center"/>
              <w:rPr>
                <w:bCs/>
                <w:szCs w:val="21"/>
              </w:rPr>
            </w:pPr>
            <w:r>
              <w:rPr>
                <w:rFonts w:hint="eastAsia"/>
                <w:bCs/>
                <w:szCs w:val="21"/>
              </w:rPr>
              <w:t>付款方式</w:t>
            </w:r>
          </w:p>
        </w:tc>
        <w:tc>
          <w:tcPr>
            <w:tcW w:w="2387" w:type="pct"/>
          </w:tcPr>
          <w:p>
            <w:pPr>
              <w:widowControl/>
              <w:jc w:val="left"/>
              <w:rPr>
                <w:rFonts w:hint="eastAsia"/>
              </w:rPr>
            </w:pPr>
            <w:r>
              <w:rPr>
                <w:rFonts w:hint="eastAsia"/>
              </w:rPr>
              <w:t xml:space="preserve">（1）合同签订后，7个工作日内中标人向采购人提供符合国家规定的相应发票和采购支付规定的相关材料，采购人收到中标人履约保证金后，经采购人审批后交由市财政局统一支付合同总价的30%预付款； </w:t>
            </w:r>
          </w:p>
          <w:p>
            <w:pPr>
              <w:widowControl/>
              <w:jc w:val="left"/>
              <w:rPr>
                <w:rFonts w:hint="eastAsia"/>
              </w:rPr>
            </w:pPr>
            <w:r>
              <w:rPr>
                <w:rFonts w:hint="eastAsia"/>
              </w:rPr>
              <w:t>（2）货到安装调试完成、验收合格后，同时中标人提供70%的发票，采购人向财政申请合同总价的70%给中标人；</w:t>
            </w:r>
          </w:p>
          <w:p>
            <w:pPr>
              <w:widowControl/>
              <w:jc w:val="left"/>
              <w:rPr>
                <w:bCs/>
                <w:szCs w:val="21"/>
              </w:rPr>
            </w:pPr>
            <w:r>
              <w:rPr>
                <w:rFonts w:hint="eastAsia"/>
              </w:rPr>
              <w:t>（3）验收完成一年后，采购人无息退还中标人的履约保证金。</w:t>
            </w:r>
          </w:p>
        </w:tc>
        <w:tc>
          <w:tcPr>
            <w:tcW w:w="1019" w:type="pct"/>
          </w:tcPr>
          <w:p>
            <w:pPr>
              <w:widowControl/>
              <w:jc w:val="left"/>
              <w:rPr>
                <w:rFonts w:hint="eastAsia"/>
              </w:rPr>
            </w:pPr>
          </w:p>
        </w:tc>
        <w:tc>
          <w:tcPr>
            <w:tcW w:w="537" w:type="pct"/>
          </w:tcPr>
          <w:p>
            <w:pPr>
              <w:widowControl/>
              <w:jc w:val="left"/>
              <w:rPr>
                <w:rFonts w:hint="eastAsia"/>
              </w:rPr>
            </w:pPr>
          </w:p>
        </w:tc>
        <w:tc>
          <w:tcPr>
            <w:tcW w:w="296" w:type="pct"/>
          </w:tcPr>
          <w:p>
            <w:pPr>
              <w:widowControl/>
              <w:jc w:val="left"/>
              <w:rPr>
                <w:rFonts w:hint="eastAsia"/>
              </w:rPr>
            </w:pPr>
          </w:p>
        </w:tc>
      </w:tr>
      <w:tr>
        <w:tblPrEx>
          <w:tblW w:w="4998" w:type="pct"/>
          <w:tblInd w:w="0" w:type="dxa"/>
          <w:tblCellMar>
            <w:top w:w="0" w:type="dxa"/>
            <w:left w:w="108" w:type="dxa"/>
            <w:bottom w:w="0" w:type="dxa"/>
            <w:right w:w="108" w:type="dxa"/>
          </w:tblCellMar>
        </w:tblPrEx>
        <w:trPr>
          <w:trHeight w:val="350"/>
        </w:trPr>
        <w:tc>
          <w:tcPr>
            <w:tcW w:w="250" w:type="pct"/>
            <w:vMerge w:val="restart"/>
            <w:vAlign w:val="center"/>
          </w:tcPr>
          <w:p>
            <w:pPr>
              <w:jc w:val="center"/>
              <w:rPr>
                <w:b/>
              </w:rPr>
            </w:pPr>
            <w:r>
              <w:rPr>
                <w:rFonts w:hint="eastAsia"/>
                <w:b/>
              </w:rPr>
              <w:t>3</w:t>
            </w:r>
          </w:p>
        </w:tc>
        <w:tc>
          <w:tcPr>
            <w:tcW w:w="509" w:type="pct"/>
            <w:vMerge w:val="restart"/>
            <w:vAlign w:val="center"/>
          </w:tcPr>
          <w:p>
            <w:pPr>
              <w:jc w:val="center"/>
            </w:pPr>
            <w:r>
              <w:rPr>
                <w:rFonts w:hint="eastAsia"/>
              </w:rPr>
              <w:t>关于验收</w:t>
            </w:r>
          </w:p>
        </w:tc>
        <w:tc>
          <w:tcPr>
            <w:tcW w:w="2387" w:type="pct"/>
          </w:tcPr>
          <w:p>
            <w:pPr>
              <w:spacing w:line="340" w:lineRule="exact"/>
              <w:rPr>
                <w:bCs/>
                <w:szCs w:val="21"/>
              </w:rPr>
            </w:pPr>
            <w:r>
              <w:rPr>
                <w:rFonts w:hint="eastAsia"/>
                <w:bCs/>
                <w:szCs w:val="21"/>
              </w:rPr>
              <w:t>1.1投标人货物经过双方检验认可后，签署验收报告，产品保修期自验收合格之日起算，由投标人提供产品保修文件。</w:t>
            </w:r>
          </w:p>
        </w:tc>
        <w:tc>
          <w:tcPr>
            <w:tcW w:w="1019" w:type="pct"/>
          </w:tcPr>
          <w:p>
            <w:pPr>
              <w:spacing w:line="340" w:lineRule="exact"/>
              <w:rPr>
                <w:rFonts w:hint="eastAsia"/>
                <w:bCs/>
                <w:szCs w:val="21"/>
              </w:rPr>
            </w:pPr>
          </w:p>
        </w:tc>
        <w:tc>
          <w:tcPr>
            <w:tcW w:w="537" w:type="pct"/>
          </w:tcPr>
          <w:p>
            <w:pPr>
              <w:spacing w:line="340" w:lineRule="exact"/>
              <w:rPr>
                <w:rFonts w:hint="eastAsia"/>
                <w:bCs/>
                <w:szCs w:val="21"/>
              </w:rPr>
            </w:pPr>
          </w:p>
        </w:tc>
        <w:tc>
          <w:tcPr>
            <w:tcW w:w="296" w:type="pct"/>
          </w:tcPr>
          <w:p>
            <w:pPr>
              <w:spacing w:line="340" w:lineRule="exact"/>
              <w:rPr>
                <w:rFonts w:hint="eastAsia"/>
                <w:bCs/>
                <w:szCs w:val="21"/>
              </w:rPr>
            </w:pPr>
          </w:p>
        </w:tc>
      </w:tr>
      <w:tr>
        <w:tblPrEx>
          <w:tblW w:w="4998" w:type="pct"/>
          <w:tblInd w:w="0" w:type="dxa"/>
          <w:tblCellMar>
            <w:top w:w="0" w:type="dxa"/>
            <w:left w:w="108" w:type="dxa"/>
            <w:bottom w:w="0" w:type="dxa"/>
            <w:right w:w="108" w:type="dxa"/>
          </w:tblCellMar>
        </w:tblPrEx>
        <w:trPr>
          <w:trHeight w:val="350"/>
        </w:trPr>
        <w:tc>
          <w:tcPr>
            <w:tcW w:w="250" w:type="pct"/>
            <w:vMerge/>
            <w:vAlign w:val="center"/>
          </w:tcPr>
          <w:p>
            <w:pPr>
              <w:jc w:val="center"/>
              <w:rPr>
                <w:b/>
              </w:rPr>
            </w:pPr>
          </w:p>
        </w:tc>
        <w:tc>
          <w:tcPr>
            <w:tcW w:w="509" w:type="pct"/>
            <w:vMerge/>
          </w:tcPr>
          <w:p>
            <w:pPr>
              <w:rPr>
                <w:b/>
              </w:rPr>
            </w:pPr>
          </w:p>
        </w:tc>
        <w:tc>
          <w:tcPr>
            <w:tcW w:w="2387" w:type="pct"/>
          </w:tcPr>
          <w:p>
            <w:pPr>
              <w:widowControl/>
              <w:jc w:val="left"/>
              <w:rPr>
                <w:rFonts w:hint="eastAsia"/>
              </w:rPr>
            </w:pPr>
            <w:r>
              <w:rPr>
                <w:rFonts w:hint="eastAsia"/>
              </w:rPr>
              <w:t>1.2当满足以下条件时，采购人才向中标人签发货物验收报告：</w:t>
            </w:r>
          </w:p>
          <w:p>
            <w:pPr>
              <w:widowControl/>
              <w:jc w:val="left"/>
              <w:rPr>
                <w:rFonts w:hint="eastAsia"/>
              </w:rPr>
            </w:pPr>
            <w:r>
              <w:rPr>
                <w:rFonts w:hint="eastAsia"/>
              </w:rPr>
              <w:t>a、中标人已按照合同规定提供了全部产品及完整的技术资料。</w:t>
            </w:r>
          </w:p>
          <w:p>
            <w:pPr>
              <w:widowControl/>
              <w:jc w:val="left"/>
              <w:rPr>
                <w:rFonts w:hint="eastAsia"/>
              </w:rPr>
            </w:pPr>
            <w:r>
              <w:rPr>
                <w:rFonts w:hint="eastAsia"/>
              </w:rPr>
              <w:t>b、货物符合招标文件技术规格书的要求，性能满足要求。</w:t>
            </w:r>
          </w:p>
          <w:p>
            <w:pPr>
              <w:widowControl/>
              <w:jc w:val="left"/>
              <w:rPr>
                <w:bCs/>
                <w:szCs w:val="21"/>
              </w:rPr>
            </w:pPr>
            <w:r>
              <w:rPr>
                <w:rFonts w:hint="eastAsia"/>
              </w:rPr>
              <w:t>c、货物具备产品合格证。</w:t>
            </w:r>
          </w:p>
        </w:tc>
        <w:tc>
          <w:tcPr>
            <w:tcW w:w="1019" w:type="pct"/>
          </w:tcPr>
          <w:p>
            <w:pPr>
              <w:widowControl/>
              <w:jc w:val="left"/>
              <w:rPr>
                <w:rFonts w:hint="eastAsia"/>
              </w:rPr>
            </w:pPr>
          </w:p>
        </w:tc>
        <w:tc>
          <w:tcPr>
            <w:tcW w:w="537" w:type="pct"/>
          </w:tcPr>
          <w:p>
            <w:pPr>
              <w:widowControl/>
              <w:jc w:val="left"/>
              <w:rPr>
                <w:rFonts w:hint="eastAsia"/>
              </w:rPr>
            </w:pPr>
          </w:p>
        </w:tc>
        <w:tc>
          <w:tcPr>
            <w:tcW w:w="296" w:type="pct"/>
          </w:tcPr>
          <w:p>
            <w:pPr>
              <w:widowControl/>
              <w:jc w:val="left"/>
              <w:rPr>
                <w:rFonts w:hint="eastAsia"/>
              </w:rPr>
            </w:pPr>
          </w:p>
        </w:tc>
      </w:tr>
      <w:tr>
        <w:tblPrEx>
          <w:tblW w:w="4998" w:type="pct"/>
          <w:tblInd w:w="0" w:type="dxa"/>
          <w:tblCellMar>
            <w:top w:w="0" w:type="dxa"/>
            <w:left w:w="108" w:type="dxa"/>
            <w:bottom w:w="0" w:type="dxa"/>
            <w:right w:w="108" w:type="dxa"/>
          </w:tblCellMar>
        </w:tblPrEx>
        <w:trPr>
          <w:trHeight w:val="807"/>
        </w:trPr>
        <w:tc>
          <w:tcPr>
            <w:tcW w:w="250" w:type="pct"/>
            <w:vAlign w:val="center"/>
          </w:tcPr>
          <w:p>
            <w:pPr>
              <w:jc w:val="center"/>
              <w:rPr>
                <w:b/>
              </w:rPr>
            </w:pPr>
            <w:r>
              <w:rPr>
                <w:rFonts w:hint="eastAsia"/>
                <w:b/>
              </w:rPr>
              <w:t>4</w:t>
            </w:r>
          </w:p>
        </w:tc>
        <w:tc>
          <w:tcPr>
            <w:tcW w:w="509" w:type="pct"/>
            <w:vAlign w:val="center"/>
          </w:tcPr>
          <w:p>
            <w:pPr>
              <w:jc w:val="center"/>
            </w:pPr>
            <w:r>
              <w:rPr>
                <w:rFonts w:hint="eastAsia"/>
              </w:rPr>
              <w:t>关于报价</w:t>
            </w:r>
          </w:p>
        </w:tc>
        <w:tc>
          <w:tcPr>
            <w:tcW w:w="2387" w:type="pct"/>
          </w:tcPr>
          <w:p>
            <w:r>
              <w:rPr>
                <w:rFonts w:hint="eastAsia"/>
                <w:bCs/>
                <w:szCs w:val="21"/>
              </w:rPr>
              <w:t>（1）</w:t>
            </w:r>
            <w:r>
              <w:rPr>
                <w:rFonts w:hint="eastAsia"/>
              </w:rPr>
              <w:t>报价中应包含各个单项报价和总价（含</w:t>
            </w:r>
            <w:r>
              <w:rPr>
                <w:rFonts w:ascii="宋体" w:hAnsi="宋体" w:hint="eastAsia"/>
                <w:bCs/>
                <w:szCs w:val="21"/>
              </w:rPr>
              <w:t>本项目开工前期所需的预埋、预设的各类管线、信号传输电缆和控制线缆等耗材费用</w:t>
            </w:r>
            <w:r>
              <w:rPr>
                <w:rFonts w:hint="eastAsia"/>
              </w:rPr>
              <w:t>）。</w:t>
            </w:r>
          </w:p>
        </w:tc>
        <w:tc>
          <w:tcPr>
            <w:tcW w:w="1019" w:type="pct"/>
          </w:tcPr>
          <w:p>
            <w:pPr>
              <w:rPr>
                <w:rFonts w:hint="eastAsia"/>
                <w:bCs/>
                <w:szCs w:val="21"/>
              </w:rPr>
            </w:pPr>
          </w:p>
        </w:tc>
        <w:tc>
          <w:tcPr>
            <w:tcW w:w="537" w:type="pct"/>
          </w:tcPr>
          <w:p>
            <w:pPr>
              <w:rPr>
                <w:rFonts w:hint="eastAsia"/>
                <w:bCs/>
                <w:szCs w:val="21"/>
              </w:rPr>
            </w:pPr>
          </w:p>
        </w:tc>
        <w:tc>
          <w:tcPr>
            <w:tcW w:w="296" w:type="pct"/>
          </w:tcPr>
          <w:p>
            <w:pPr>
              <w:rPr>
                <w:rFonts w:hint="eastAsia"/>
                <w:bCs/>
                <w:szCs w:val="21"/>
              </w:rPr>
            </w:pPr>
          </w:p>
        </w:tc>
      </w:tr>
      <w:tr>
        <w:tblPrEx>
          <w:tblW w:w="4998" w:type="pct"/>
          <w:tblInd w:w="0" w:type="dxa"/>
          <w:tblCellMar>
            <w:top w:w="0" w:type="dxa"/>
            <w:left w:w="108" w:type="dxa"/>
            <w:bottom w:w="0" w:type="dxa"/>
            <w:right w:w="108" w:type="dxa"/>
          </w:tblCellMar>
        </w:tblPrEx>
        <w:trPr>
          <w:trHeight w:val="1001"/>
        </w:trPr>
        <w:tc>
          <w:tcPr>
            <w:tcW w:w="250" w:type="pct"/>
            <w:vAlign w:val="center"/>
          </w:tcPr>
          <w:p>
            <w:pPr>
              <w:jc w:val="center"/>
              <w:rPr>
                <w:b/>
              </w:rPr>
            </w:pPr>
            <w:r>
              <w:rPr>
                <w:rFonts w:hint="eastAsia"/>
                <w:b/>
              </w:rPr>
              <w:t>5</w:t>
            </w:r>
          </w:p>
        </w:tc>
        <w:tc>
          <w:tcPr>
            <w:tcW w:w="509" w:type="pct"/>
            <w:vAlign w:val="center"/>
          </w:tcPr>
          <w:p>
            <w:pPr>
              <w:jc w:val="center"/>
            </w:pPr>
            <w:r>
              <w:t>违约责任</w:t>
            </w:r>
          </w:p>
        </w:tc>
        <w:tc>
          <w:tcPr>
            <w:tcW w:w="2387" w:type="pct"/>
          </w:tcPr>
          <w:p>
            <w:r>
              <w:t>中标人逾期交付货物的，每逾期</w:t>
            </w:r>
            <w:r>
              <w:rPr>
                <w:rFonts w:hint="eastAsia"/>
              </w:rPr>
              <w:t>1天，中标人向采购人偿付逾期交货部分货款总额的千分之一的滞纳金。如中标人逾期交货达10天，采购人有权解除合同。中标人不能交货的，需偿付不能交货部分货款的50%的违约金并按主管部门相关规定处理。</w:t>
            </w:r>
          </w:p>
        </w:tc>
        <w:tc>
          <w:tcPr>
            <w:tcW w:w="1019" w:type="pct"/>
          </w:tcPr>
          <w:p/>
        </w:tc>
        <w:tc>
          <w:tcPr>
            <w:tcW w:w="537" w:type="pct"/>
          </w:tcPr>
          <w:p/>
        </w:tc>
        <w:tc>
          <w:tcPr>
            <w:tcW w:w="296" w:type="pct"/>
          </w:tcPr>
          <w:p/>
        </w:tc>
      </w:tr>
    </w:tbl>
    <w:p>
      <w:pPr>
        <w:ind w:firstLine="480" w:firstLineChars="200"/>
        <w:rPr>
          <w:b/>
          <w:sz w:val="24"/>
        </w:rPr>
      </w:pPr>
      <w:r>
        <w:rPr>
          <w:rFonts w:hint="eastAsia"/>
          <w:b/>
          <w:sz w:val="24"/>
        </w:rPr>
        <w:t>《商务要求偏离表》编制指引：</w:t>
      </w:r>
    </w:p>
    <w:p>
      <w:pPr>
        <w:ind w:firstLine="480" w:firstLineChars="200"/>
        <w:rPr>
          <w:b/>
          <w:sz w:val="24"/>
        </w:rPr>
      </w:pPr>
      <w:r>
        <w:rPr>
          <w:rFonts w:hint="eastAsia"/>
          <w:b/>
          <w:sz w:val="24"/>
        </w:rPr>
        <w:t>1、商务要求偏离表的序号、商务需求项、招标商务要求等栏目对应“用户需求书”中的“商务要求”章节相关内容。</w:t>
      </w:r>
    </w:p>
    <w:p>
      <w:pPr>
        <w:ind w:firstLine="480" w:firstLineChars="200"/>
        <w:rPr>
          <w:b/>
          <w:sz w:val="24"/>
        </w:rPr>
      </w:pPr>
      <w:r>
        <w:rPr>
          <w:b/>
          <w:sz w:val="24"/>
        </w:rPr>
        <w:t>2</w:t>
      </w:r>
      <w:r>
        <w:rPr>
          <w:rFonts w:hint="eastAsia"/>
          <w:b/>
          <w:sz w:val="24"/>
        </w:rPr>
        <w:t>、“投标商务响应”一栏必须一一对照“招标商务要求”，详细填写自身响应情况，而不能不合理照搬照抄招标文件的商务要求，以体现具体响应情况。</w:t>
      </w:r>
    </w:p>
    <w:p>
      <w:pPr>
        <w:ind w:firstLine="480"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pPr>
        <w:rPr>
          <w:sz w:val="24"/>
        </w:rPr>
      </w:pPr>
      <w:r>
        <w:rPr>
          <w:rFonts w:hint="eastAsia"/>
          <w:b/>
          <w:sz w:val="24"/>
        </w:rPr>
        <w:t>“投标商务响应”对比“招标商务要求”存在响应不全（包括未响应整项招标商务要求或者未响应一项招标商务要求的部分内容），均视为“负偏离”。</w:t>
      </w:r>
    </w:p>
    <w:p>
      <w:pPr>
        <w:rPr>
          <w:sz w:val="24"/>
        </w:rPr>
      </w:pPr>
    </w:p>
    <w:p>
      <w:pPr>
        <w:rPr>
          <w:sz w:val="24"/>
        </w:rPr>
      </w:pPr>
    </w:p>
    <w:p>
      <w:pPr>
        <w:pStyle w:val="Heading3"/>
        <w:jc w:val="center"/>
        <w:rPr>
          <w:rFonts w:ascii="黑体" w:eastAsia="黑体"/>
          <w:b w:val="0"/>
          <w:sz w:val="24"/>
          <w:szCs w:val="24"/>
        </w:rPr>
      </w:pPr>
      <w:bookmarkStart w:id="86" w:name="_Hlk72260576"/>
      <w:r>
        <w:rPr>
          <w:rFonts w:ascii="黑体" w:eastAsia="黑体" w:hint="eastAsia"/>
          <w:b w:val="0"/>
          <w:sz w:val="24"/>
          <w:szCs w:val="24"/>
        </w:rPr>
        <w:t>六、项目实施方案</w:t>
      </w:r>
    </w:p>
    <w:p>
      <w:pPr>
        <w:rPr>
          <w:sz w:val="24"/>
        </w:rPr>
      </w:pPr>
      <w:r>
        <w:rPr>
          <w:rFonts w:hint="eastAsia"/>
          <w:sz w:val="24"/>
        </w:rPr>
        <w:t>主要内容应包括</w:t>
      </w:r>
      <w:r>
        <w:rPr>
          <w:rFonts w:hint="eastAsia"/>
          <w:color w:val="FF0000"/>
          <w:sz w:val="24"/>
        </w:rPr>
        <w:t>(根据项目实际情况适当调整内容)</w:t>
      </w:r>
      <w:r>
        <w:rPr>
          <w:rFonts w:hint="eastAsia"/>
          <w:sz w:val="24"/>
        </w:rPr>
        <w:t>：</w:t>
      </w:r>
    </w:p>
    <w:p>
      <w:pPr>
        <w:rPr>
          <w:sz w:val="24"/>
        </w:rPr>
      </w:pPr>
    </w:p>
    <w:p>
      <w:pPr>
        <w:rPr>
          <w:sz w:val="24"/>
        </w:rPr>
      </w:pPr>
      <w:r>
        <w:rPr>
          <w:rFonts w:hint="eastAsia"/>
          <w:sz w:val="24"/>
        </w:rPr>
        <w:t>1、项目实施方案、维修维护方案</w:t>
      </w:r>
    </w:p>
    <w:p>
      <w:pPr>
        <w:rPr>
          <w:sz w:val="24"/>
        </w:rPr>
      </w:pPr>
      <w:r>
        <w:rPr>
          <w:sz w:val="24"/>
        </w:rPr>
        <w:t>2</w:t>
      </w:r>
      <w:r>
        <w:rPr>
          <w:rFonts w:hint="eastAsia"/>
          <w:sz w:val="24"/>
        </w:rPr>
        <w:t>、其他相关配套措施</w:t>
      </w:r>
    </w:p>
    <w:p>
      <w:pPr>
        <w:rPr>
          <w:sz w:val="24"/>
        </w:rPr>
      </w:pPr>
      <w:r>
        <w:rPr>
          <w:rFonts w:hint="eastAsia"/>
          <w:sz w:val="24"/>
        </w:rPr>
        <w:t>3、实施进度表</w:t>
      </w:r>
    </w:p>
    <w:p>
      <w:pPr>
        <w:rPr>
          <w:b/>
          <w:bCs/>
          <w:color w:val="FF0000"/>
          <w:sz w:val="24"/>
        </w:rPr>
      </w:pPr>
      <w:r>
        <w:rPr>
          <w:rFonts w:hint="eastAsia"/>
          <w:b/>
          <w:bCs/>
          <w:color w:val="FF0000"/>
          <w:sz w:val="24"/>
        </w:rPr>
        <w:t>（备注：该部分须与投标文件其他部分内容应当相呼应，不得前后矛盾。）</w:t>
      </w:r>
    </w:p>
    <w:p>
      <w:pPr>
        <w:rPr>
          <w:b/>
          <w:bCs/>
          <w:color w:val="FF0000"/>
          <w:sz w:val="24"/>
        </w:rPr>
      </w:pPr>
    </w:p>
    <w:p>
      <w:pPr>
        <w:pStyle w:val="Heading3"/>
        <w:jc w:val="center"/>
        <w:rPr>
          <w:rFonts w:ascii="黑体" w:eastAsia="黑体"/>
          <w:b w:val="0"/>
          <w:sz w:val="24"/>
          <w:szCs w:val="24"/>
        </w:rPr>
      </w:pPr>
      <w:bookmarkEnd w:id="86"/>
      <w:r>
        <w:rPr>
          <w:rFonts w:ascii="黑体" w:eastAsia="黑体" w:hint="eastAsia"/>
          <w:b w:val="0"/>
          <w:sz w:val="24"/>
          <w:szCs w:val="24"/>
        </w:rPr>
        <w:t>七、售后服务方案</w:t>
      </w:r>
    </w:p>
    <w:p>
      <w:pPr>
        <w:rPr>
          <w:sz w:val="24"/>
        </w:rPr>
      </w:pPr>
    </w:p>
    <w:p>
      <w:pPr>
        <w:rPr>
          <w:sz w:val="24"/>
        </w:rPr>
      </w:pPr>
      <w:r>
        <w:rPr>
          <w:rFonts w:hint="eastAsia"/>
          <w:sz w:val="24"/>
        </w:rPr>
        <w:t>主要内容应包括</w:t>
      </w:r>
      <w:r>
        <w:rPr>
          <w:sz w:val="24"/>
        </w:rPr>
        <w:t>(</w:t>
      </w:r>
      <w:r>
        <w:rPr>
          <w:rFonts w:hint="eastAsia"/>
          <w:sz w:val="24"/>
        </w:rPr>
        <w:t>根据项目实际情况适当调整内容</w:t>
      </w:r>
      <w:r>
        <w:rPr>
          <w:sz w:val="24"/>
        </w:rPr>
        <w:t>)</w:t>
      </w:r>
      <w:r>
        <w:rPr>
          <w:rFonts w:hint="eastAsia"/>
          <w:sz w:val="24"/>
        </w:rPr>
        <w:t>：</w:t>
      </w:r>
    </w:p>
    <w:p>
      <w:pPr>
        <w:rPr>
          <w:sz w:val="24"/>
        </w:rPr>
      </w:pPr>
      <w:r>
        <w:rPr>
          <w:sz w:val="24"/>
        </w:rPr>
        <w:t>1</w:t>
      </w:r>
      <w:r>
        <w:rPr>
          <w:rFonts w:hint="eastAsia"/>
          <w:sz w:val="24"/>
        </w:rPr>
        <w:t>、免费保修期；</w:t>
      </w:r>
    </w:p>
    <w:p>
      <w:pPr>
        <w:rPr>
          <w:sz w:val="24"/>
        </w:rPr>
      </w:pPr>
      <w:r>
        <w:rPr>
          <w:sz w:val="24"/>
        </w:rPr>
        <w:t>2</w:t>
      </w:r>
      <w:r>
        <w:rPr>
          <w:rFonts w:hint="eastAsia"/>
          <w:sz w:val="24"/>
        </w:rPr>
        <w:t>、故障或技术支持响应时间；</w:t>
      </w:r>
    </w:p>
    <w:p>
      <w:pPr>
        <w:rPr>
          <w:sz w:val="24"/>
        </w:rPr>
      </w:pPr>
      <w:r>
        <w:rPr>
          <w:sz w:val="24"/>
        </w:rPr>
        <w:t>3</w:t>
      </w:r>
      <w:r>
        <w:rPr>
          <w:rFonts w:hint="eastAsia"/>
          <w:sz w:val="24"/>
        </w:rPr>
        <w:t>、投标人承诺的其他维修维护方案、措施</w:t>
      </w:r>
    </w:p>
    <w:p>
      <w:pPr>
        <w:rPr>
          <w:sz w:val="24"/>
        </w:rPr>
      </w:pPr>
      <w:r>
        <w:rPr>
          <w:sz w:val="24"/>
        </w:rPr>
        <w:t>4</w:t>
      </w:r>
      <w:r>
        <w:rPr>
          <w:rFonts w:hint="eastAsia"/>
          <w:sz w:val="24"/>
        </w:rPr>
        <w:t>、质量保证及违约承诺。</w:t>
      </w:r>
    </w:p>
    <w:p>
      <w:pPr>
        <w:rPr>
          <w:b/>
          <w:color w:val="FF0000"/>
          <w:sz w:val="24"/>
        </w:rPr>
      </w:pPr>
      <w:r>
        <w:rPr>
          <w:rFonts w:hint="eastAsia"/>
          <w:b/>
          <w:color w:val="FF0000"/>
          <w:sz w:val="24"/>
        </w:rPr>
        <w:t>（备注：该部分须与“商务需求”承诺的内容相呼应，不得前后矛盾。）</w:t>
      </w:r>
    </w:p>
    <w:p>
      <w:pPr>
        <w:rPr>
          <w:b/>
          <w:bCs/>
          <w:sz w:val="24"/>
        </w:rPr>
      </w:pPr>
    </w:p>
    <w:p>
      <w:pPr>
        <w:pStyle w:val="Heading3"/>
        <w:jc w:val="center"/>
        <w:rPr>
          <w:rFonts w:ascii="黑体" w:eastAsia="黑体"/>
          <w:b w:val="0"/>
          <w:bCs w:val="0"/>
          <w:sz w:val="24"/>
          <w:szCs w:val="20"/>
        </w:rPr>
      </w:pPr>
      <w:r>
        <w:rPr>
          <w:rFonts w:ascii="黑体" w:eastAsia="黑体" w:hint="eastAsia"/>
          <w:b w:val="0"/>
          <w:bCs w:val="0"/>
          <w:sz w:val="24"/>
          <w:szCs w:val="20"/>
        </w:rPr>
        <w:t>八、</w:t>
      </w:r>
      <w:bookmarkStart w:id="87" w:name="_Hlk72062872"/>
      <w:r>
        <w:rPr>
          <w:rFonts w:ascii="黑体" w:eastAsia="黑体" w:hint="eastAsia"/>
          <w:b w:val="0"/>
          <w:bCs w:val="0"/>
          <w:sz w:val="24"/>
          <w:szCs w:val="20"/>
        </w:rPr>
        <w:t>投标人认为需要加以说明的其他内容</w:t>
      </w:r>
      <w:bookmarkEnd w:id="87"/>
    </w:p>
    <w:p>
      <w:pPr>
        <w:outlineLvl w:val="3"/>
        <w:rPr>
          <w:rFonts w:ascii="黑体" w:eastAsia="黑体" w:hAnsi="宋体"/>
          <w:bCs/>
          <w:kern w:val="0"/>
          <w:sz w:val="24"/>
          <w:szCs w:val="32"/>
        </w:rPr>
      </w:pPr>
      <w:r>
        <w:rPr>
          <w:rFonts w:ascii="黑体" w:eastAsia="黑体" w:hAnsi="宋体" w:hint="eastAsia"/>
          <w:bCs/>
          <w:kern w:val="0"/>
          <w:sz w:val="24"/>
          <w:szCs w:val="32"/>
        </w:rPr>
        <w:t>（一）技术保障措施（可选）</w:t>
      </w:r>
    </w:p>
    <w:p>
      <w:pPr>
        <w:rPr>
          <w:b/>
          <w:bCs/>
          <w:color w:val="FF0000"/>
        </w:rPr>
      </w:pPr>
      <w:r>
        <w:rPr>
          <w:rFonts w:hint="eastAsia"/>
          <w:b/>
          <w:bCs/>
          <w:color w:val="FF0000"/>
        </w:rPr>
        <w:t>（特别提示：投标人须按本招标文件评标信息中“技术保障措施”这一评审因素要求，提供证明资料）</w:t>
      </w:r>
    </w:p>
    <w:p>
      <w:pPr>
        <w:outlineLvl w:val="3"/>
        <w:rPr>
          <w:rFonts w:ascii="黑体" w:eastAsia="黑体" w:hAnsi="宋体" w:hint="eastAsia"/>
          <w:bCs/>
          <w:kern w:val="0"/>
          <w:sz w:val="24"/>
          <w:szCs w:val="32"/>
        </w:rPr>
      </w:pPr>
    </w:p>
    <w:p>
      <w:pPr>
        <w:outlineLvl w:val="3"/>
        <w:rPr>
          <w:b/>
          <w:sz w:val="22"/>
        </w:rPr>
      </w:pPr>
      <w:r>
        <w:rPr>
          <w:rFonts w:ascii="黑体" w:eastAsia="黑体" w:hAnsi="宋体" w:hint="eastAsia"/>
          <w:bCs/>
          <w:kern w:val="0"/>
          <w:sz w:val="24"/>
          <w:szCs w:val="32"/>
        </w:rPr>
        <w:t>（二）</w:t>
      </w:r>
      <w:r>
        <w:rPr>
          <w:rFonts w:hint="eastAsia"/>
          <w:b/>
          <w:sz w:val="22"/>
        </w:rPr>
        <w:t>投标人认为需提供的其他证明文件</w:t>
      </w:r>
    </w:p>
    <w:p/>
    <w:p/>
    <w:p>
      <w:pPr>
        <w:pStyle w:val="Heading2"/>
      </w:pPr>
      <w:r>
        <w:rPr>
          <w:rFonts w:hint="eastAsia"/>
        </w:rPr>
        <w:t>第五章  合同条款及格式</w:t>
      </w:r>
    </w:p>
    <w:p>
      <w:pPr>
        <w:ind w:firstLine="470" w:firstLineChars="196"/>
      </w:pPr>
    </w:p>
    <w:p>
      <w:pPr>
        <w:jc w:val="center"/>
      </w:pPr>
      <w:bookmarkStart w:id="88" w:name="_Hlk72574405"/>
      <w:bookmarkStart w:id="89" w:name="_Hlk72260917"/>
      <w:r>
        <w:rPr>
          <w:rFonts w:hint="eastAsia"/>
          <w:b/>
          <w:sz w:val="24"/>
        </w:rPr>
        <w:t>（仅供参考，具体以项目需求及采购结果为准）</w:t>
      </w:r>
      <w:bookmarkEnd w:id="88"/>
    </w:p>
    <w:p>
      <w:pPr>
        <w:rPr>
          <w:rFonts w:ascii="宋体" w:hAnsi="宋体"/>
          <w:b/>
          <w:bCs/>
          <w:szCs w:val="21"/>
        </w:rPr>
      </w:pPr>
      <w:r>
        <w:rPr>
          <w:rFonts w:ascii="宋体" w:hAnsi="宋体" w:hint="eastAsia"/>
          <w:b/>
          <w:bCs/>
          <w:szCs w:val="21"/>
        </w:rPr>
        <w:t>甲方：</w:t>
      </w:r>
    </w:p>
    <w:p>
      <w:pPr>
        <w:rPr>
          <w:rFonts w:ascii="宋体" w:hAnsi="宋体"/>
          <w:szCs w:val="21"/>
        </w:rPr>
      </w:pPr>
      <w:bookmarkStart w:id="90" w:name="_Hlk75014453"/>
      <w:r>
        <w:rPr>
          <w:rFonts w:ascii="宋体" w:hAnsi="宋体" w:hint="eastAsia"/>
          <w:szCs w:val="21"/>
        </w:rPr>
        <w:t>地址：</w:t>
      </w:r>
    </w:p>
    <w:p>
      <w:pPr>
        <w:rPr>
          <w:rFonts w:ascii="宋体" w:hAnsi="宋体"/>
          <w:szCs w:val="21"/>
        </w:rPr>
      </w:pPr>
      <w:r>
        <w:rPr>
          <w:rFonts w:ascii="宋体" w:hAnsi="宋体" w:hint="eastAsia"/>
          <w:szCs w:val="21"/>
        </w:rPr>
        <w:t>联系人：</w:t>
      </w:r>
    </w:p>
    <w:p>
      <w:pPr>
        <w:rPr>
          <w:rFonts w:ascii="宋体" w:hAnsi="宋体"/>
          <w:b/>
          <w:bCs/>
          <w:szCs w:val="21"/>
        </w:rPr>
      </w:pPr>
      <w:r>
        <w:rPr>
          <w:rFonts w:ascii="宋体" w:hAnsi="宋体" w:hint="eastAsia"/>
          <w:szCs w:val="21"/>
        </w:rPr>
        <w:t>联系电话：</w:t>
      </w:r>
      <w:bookmarkEnd w:id="90"/>
    </w:p>
    <w:p>
      <w:pPr>
        <w:rPr>
          <w:rFonts w:ascii="宋体" w:hAnsi="宋体"/>
          <w:b/>
          <w:bCs/>
          <w:szCs w:val="21"/>
        </w:rPr>
      </w:pPr>
    </w:p>
    <w:p>
      <w:pPr>
        <w:rPr>
          <w:rFonts w:ascii="宋体" w:hAnsi="宋体"/>
          <w:b/>
          <w:bCs/>
          <w:szCs w:val="21"/>
        </w:rPr>
      </w:pPr>
      <w:r>
        <w:rPr>
          <w:rFonts w:ascii="宋体" w:hAnsi="宋体" w:hint="eastAsia"/>
          <w:b/>
          <w:bCs/>
          <w:szCs w:val="21"/>
        </w:rPr>
        <w:t>乙方：</w:t>
      </w:r>
      <w:bookmarkEnd w:id="89"/>
    </w:p>
    <w:p>
      <w:pPr>
        <w:rPr>
          <w:rFonts w:ascii="宋体" w:hAnsi="宋体"/>
          <w:szCs w:val="21"/>
        </w:rPr>
      </w:pPr>
      <w:r>
        <w:rPr>
          <w:rFonts w:ascii="宋体" w:hAnsi="宋体" w:hint="eastAsia"/>
          <w:szCs w:val="21"/>
        </w:rPr>
        <w:t>地址：</w:t>
      </w:r>
    </w:p>
    <w:p>
      <w:pPr>
        <w:rPr>
          <w:rFonts w:ascii="宋体" w:hAnsi="宋体"/>
          <w:szCs w:val="21"/>
        </w:rPr>
      </w:pPr>
      <w:r>
        <w:rPr>
          <w:rFonts w:ascii="宋体" w:hAnsi="宋体" w:hint="eastAsia"/>
          <w:szCs w:val="21"/>
        </w:rPr>
        <w:t>联系人：</w:t>
      </w:r>
    </w:p>
    <w:p>
      <w:pPr>
        <w:rPr>
          <w:rFonts w:ascii="宋体" w:hAnsi="宋体"/>
          <w:szCs w:val="21"/>
        </w:rPr>
      </w:pPr>
      <w:r>
        <w:rPr>
          <w:rFonts w:ascii="宋体" w:hAnsi="宋体" w:hint="eastAsia"/>
          <w:szCs w:val="21"/>
        </w:rPr>
        <w:t>联系电话：</w:t>
      </w:r>
    </w:p>
    <w:p>
      <w:pPr>
        <w:rPr>
          <w:rFonts w:ascii="宋体" w:hAnsi="宋体"/>
          <w:szCs w:val="21"/>
        </w:rPr>
      </w:pPr>
    </w:p>
    <w:p>
      <w:pPr>
        <w:spacing w:line="360" w:lineRule="auto"/>
        <w:ind w:firstLine="560"/>
        <w:jc w:val="left"/>
        <w:rPr>
          <w:szCs w:val="21"/>
        </w:rPr>
      </w:pPr>
      <w:bookmarkStart w:id="91"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91"/>
      <w:r>
        <w:rPr>
          <w:rFonts w:hint="eastAsia"/>
          <w:szCs w:val="21"/>
        </w:rPr>
        <w:t>按照《中华人民共和国民法典》（第三编 合同）和《深圳经济特区政府采购条例》，经深圳市（以下简称甲方）和单位（以下简称乙方）协商，达成以下合同条款：</w:t>
      </w:r>
    </w:p>
    <w:p>
      <w:pPr>
        <w:spacing w:line="360" w:lineRule="auto"/>
        <w:ind w:firstLine="560"/>
        <w:jc w:val="left"/>
        <w:outlineLvl w:val="0"/>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outlineLvl w:val="0"/>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numPr>
          <w:ilvl w:val="0"/>
          <w:numId w:val="6"/>
        </w:numPr>
        <w:spacing w:line="360" w:lineRule="auto"/>
        <w:ind w:firstLine="560"/>
        <w:jc w:val="left"/>
        <w:outlineLvl w:val="0"/>
        <w:rPr>
          <w:b/>
          <w:szCs w:val="21"/>
        </w:rPr>
      </w:pPr>
      <w:r>
        <w:rPr>
          <w:rFonts w:hint="eastAsia"/>
          <w:b/>
          <w:szCs w:val="21"/>
        </w:rPr>
        <w:t>履行期限</w:t>
      </w:r>
    </w:p>
    <w:p>
      <w:pPr>
        <w:spacing w:line="360" w:lineRule="auto"/>
        <w:ind w:firstLine="560"/>
        <w:jc w:val="left"/>
        <w:rPr>
          <w:b/>
          <w:szCs w:val="21"/>
        </w:rPr>
      </w:pPr>
      <w:r>
        <w:rPr>
          <w:rFonts w:hint="eastAsia"/>
          <w:bCs/>
          <w:szCs w:val="21"/>
        </w:rPr>
        <w:t>乙方应于本合同签订之日其日内将符合要求的产品向甲方交付（含安装调试），但乙方交付前应向书面通知甲方并征得甲方同意。</w:t>
      </w:r>
    </w:p>
    <w:p>
      <w:pPr>
        <w:numPr>
          <w:ilvl w:val="0"/>
          <w:numId w:val="6"/>
        </w:numPr>
        <w:spacing w:line="360" w:lineRule="auto"/>
        <w:ind w:firstLine="560"/>
        <w:jc w:val="left"/>
        <w:outlineLvl w:val="0"/>
        <w:rPr>
          <w:b/>
          <w:szCs w:val="21"/>
        </w:rPr>
      </w:pPr>
      <w:r>
        <w:rPr>
          <w:rFonts w:hint="eastAsia"/>
          <w:b/>
          <w:szCs w:val="21"/>
        </w:rPr>
        <w:t>权利保证</w:t>
      </w:r>
    </w:p>
    <w:p>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outlineLvl w:val="0"/>
        <w:rPr>
          <w:b/>
          <w:szCs w:val="21"/>
        </w:rPr>
      </w:pPr>
      <w:r>
        <w:rPr>
          <w:rFonts w:hint="eastAsia"/>
          <w:b/>
          <w:szCs w:val="21"/>
        </w:rPr>
        <w:t>第五条  质量保证</w:t>
      </w:r>
    </w:p>
    <w:p>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pPr>
        <w:spacing w:line="360" w:lineRule="auto"/>
        <w:ind w:firstLine="560"/>
        <w:jc w:val="left"/>
        <w:rPr>
          <w:b/>
          <w:szCs w:val="21"/>
        </w:rPr>
      </w:pPr>
      <w:r>
        <w:rPr>
          <w:rFonts w:hint="eastAsia"/>
          <w:b/>
          <w:szCs w:val="21"/>
        </w:rPr>
        <w:t>第六条  交货和验收</w:t>
      </w:r>
    </w:p>
    <w:p>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pPr>
        <w:spacing w:line="360" w:lineRule="auto"/>
        <w:ind w:firstLine="560"/>
        <w:jc w:val="left"/>
        <w:outlineLvl w:val="0"/>
        <w:rPr>
          <w:b/>
          <w:szCs w:val="21"/>
        </w:rPr>
      </w:pPr>
      <w:r>
        <w:rPr>
          <w:rFonts w:hint="eastAsia"/>
          <w:b/>
          <w:szCs w:val="21"/>
        </w:rPr>
        <w:t>第七条  保修及其他服务</w:t>
      </w:r>
    </w:p>
    <w:p>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pPr>
        <w:spacing w:line="360" w:lineRule="auto"/>
        <w:ind w:firstLine="560"/>
        <w:jc w:val="left"/>
        <w:outlineLvl w:val="0"/>
        <w:rPr>
          <w:b/>
          <w:szCs w:val="21"/>
        </w:rPr>
      </w:pPr>
      <w:r>
        <w:rPr>
          <w:rFonts w:hint="eastAsia"/>
          <w:b/>
          <w:szCs w:val="21"/>
        </w:rPr>
        <w:t>第八条 保密条款</w:t>
      </w:r>
    </w:p>
    <w:p>
      <w:pPr>
        <w:spacing w:line="360" w:lineRule="auto"/>
        <w:ind w:firstLine="480" w:firstLineChars="200"/>
        <w:jc w:val="left"/>
        <w:rPr>
          <w:bCs/>
          <w:szCs w:val="21"/>
        </w:rPr>
      </w:pPr>
      <w:r>
        <w:rPr>
          <w:bCs/>
          <w:szCs w:val="21"/>
        </w:rPr>
        <w:t>1</w:t>
      </w:r>
      <w:r>
        <w:rPr>
          <w:rFonts w:hint="eastAsia"/>
          <w:bCs/>
          <w:szCs w:val="21"/>
        </w:rPr>
        <w:t>、乙方对在本合同履行中获取或者知悉甲方提供的资料、信息负有保密义务。</w:t>
      </w:r>
    </w:p>
    <w:p>
      <w:pPr>
        <w:spacing w:line="360" w:lineRule="auto"/>
        <w:ind w:firstLine="560"/>
        <w:jc w:val="left"/>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spacing w:line="360" w:lineRule="auto"/>
        <w:ind w:firstLine="560"/>
        <w:jc w:val="left"/>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pPr>
        <w:spacing w:line="360" w:lineRule="auto"/>
        <w:ind w:firstLine="560"/>
        <w:jc w:val="left"/>
        <w:outlineLvl w:val="0"/>
        <w:rPr>
          <w:b/>
          <w:szCs w:val="21"/>
        </w:rPr>
      </w:pPr>
      <w:r>
        <w:rPr>
          <w:rFonts w:hint="eastAsia"/>
          <w:b/>
          <w:szCs w:val="21"/>
        </w:rPr>
        <w:t>第九条  履约保证金</w:t>
      </w:r>
    </w:p>
    <w:p>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pPr>
        <w:spacing w:line="360" w:lineRule="auto"/>
        <w:ind w:firstLine="480" w:firstLineChars="200"/>
        <w:jc w:val="left"/>
        <w:outlineLvl w:val="0"/>
        <w:rPr>
          <w:b/>
          <w:szCs w:val="21"/>
        </w:rPr>
      </w:pPr>
      <w:r>
        <w:rPr>
          <w:rFonts w:hint="eastAsia"/>
          <w:b/>
          <w:szCs w:val="21"/>
        </w:rPr>
        <w:t>第十条  货款支付</w:t>
      </w:r>
    </w:p>
    <w:p>
      <w:pPr>
        <w:spacing w:line="360" w:lineRule="auto"/>
        <w:jc w:val="left"/>
        <w:rPr>
          <w:b/>
          <w:szCs w:val="21"/>
          <w:u w:val="single"/>
        </w:rPr>
      </w:pPr>
      <w:r>
        <w:rPr>
          <w:rFonts w:hint="eastAsia"/>
          <w:b/>
          <w:szCs w:val="21"/>
          <w:u w:val="single"/>
        </w:rPr>
        <w:t>（详见商务要求）</w:t>
      </w:r>
    </w:p>
    <w:p>
      <w:pPr>
        <w:spacing w:line="360" w:lineRule="auto"/>
        <w:ind w:firstLine="560"/>
        <w:jc w:val="left"/>
        <w:rPr>
          <w:szCs w:val="21"/>
        </w:rPr>
      </w:pPr>
    </w:p>
    <w:p>
      <w:pPr>
        <w:spacing w:line="360" w:lineRule="auto"/>
        <w:ind w:firstLine="480" w:firstLineChars="200"/>
        <w:jc w:val="left"/>
        <w:outlineLvl w:val="0"/>
        <w:rPr>
          <w:b/>
          <w:szCs w:val="21"/>
        </w:rPr>
      </w:pPr>
      <w:r>
        <w:rPr>
          <w:rFonts w:hint="eastAsia"/>
          <w:b/>
          <w:szCs w:val="21"/>
        </w:rPr>
        <w:t>第十一条 违约责任</w:t>
      </w:r>
      <w:r>
        <w:rPr>
          <w:rFonts w:hint="eastAsia"/>
          <w:b/>
          <w:szCs w:val="21"/>
          <w:u w:val="single"/>
        </w:rPr>
        <w:t>（详见商务要求）</w:t>
      </w:r>
    </w:p>
    <w:p>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ascii="宋体" w:hAnsi="宋体" w:hint="eastAsia"/>
          <w:szCs w:val="21"/>
        </w:rPr>
        <w:t>6.</w:t>
      </w:r>
      <w:bookmarkStart w:id="92"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92"/>
    </w:p>
    <w:p>
      <w:pPr>
        <w:spacing w:line="360" w:lineRule="auto"/>
        <w:ind w:firstLine="560"/>
        <w:jc w:val="left"/>
        <w:rPr>
          <w:rFonts w:ascii="宋体" w:hAnsi="宋体"/>
          <w:szCs w:val="21"/>
        </w:rPr>
      </w:pPr>
      <w:r>
        <w:rPr>
          <w:rFonts w:ascii="宋体" w:hAnsi="宋体" w:hint="eastAsia"/>
          <w:szCs w:val="21"/>
        </w:rPr>
        <w:t>7、</w:t>
      </w:r>
      <w:bookmarkStart w:id="93"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93"/>
    </w:p>
    <w:p>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outlineLvl w:val="0"/>
        <w:rPr>
          <w:b/>
          <w:szCs w:val="21"/>
        </w:rPr>
      </w:pPr>
      <w:r>
        <w:rPr>
          <w:rFonts w:hint="eastAsia"/>
          <w:b/>
          <w:szCs w:val="21"/>
        </w:rPr>
        <w:t>第十条    合同的变更和终止</w:t>
      </w:r>
    </w:p>
    <w:p>
      <w:pPr>
        <w:spacing w:line="360" w:lineRule="auto"/>
        <w:ind w:firstLine="560"/>
        <w:jc w:val="left"/>
        <w:rPr>
          <w:rFonts w:ascii="宋体" w:hAnsi="宋体"/>
          <w:szCs w:val="21"/>
        </w:rPr>
      </w:pPr>
      <w:r>
        <w:rPr>
          <w:rFonts w:ascii="宋体" w:hAnsi="宋体" w:hint="eastAsia"/>
          <w:szCs w:val="21"/>
        </w:rPr>
        <w:t>除</w:t>
      </w:r>
      <w:bookmarkStart w:id="94" w:name="_Hlk75015119"/>
      <w:r>
        <w:rPr>
          <w:rFonts w:ascii="宋体" w:hAnsi="宋体" w:hint="eastAsia"/>
          <w:szCs w:val="21"/>
        </w:rPr>
        <w:t>《深圳经济特区政府采购条例》第40条、</w:t>
      </w:r>
      <w:bookmarkEnd w:id="94"/>
      <w:r>
        <w:rPr>
          <w:rFonts w:ascii="宋体" w:hAnsi="宋体" w:hint="eastAsia"/>
          <w:szCs w:val="21"/>
        </w:rPr>
        <w:t>《中华人民共和国政府采购法》第50条第二款规定或者主管部门另有政策规定的情形外，本合同一经签订，甲乙双方不得擅自变更、中止或终止合同。</w:t>
      </w:r>
    </w:p>
    <w:p>
      <w:pPr>
        <w:spacing w:line="360" w:lineRule="auto"/>
        <w:ind w:firstLine="560"/>
        <w:jc w:val="left"/>
        <w:outlineLvl w:val="0"/>
        <w:rPr>
          <w:b/>
          <w:szCs w:val="21"/>
        </w:rPr>
      </w:pPr>
      <w:r>
        <w:rPr>
          <w:rFonts w:hint="eastAsia"/>
          <w:b/>
          <w:szCs w:val="21"/>
        </w:rPr>
        <w:t>第十一条   争议的解决</w:t>
      </w:r>
    </w:p>
    <w:p>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outlineLvl w:val="0"/>
        <w:rPr>
          <w:b/>
          <w:szCs w:val="21"/>
        </w:rPr>
      </w:pPr>
      <w:r>
        <w:rPr>
          <w:rFonts w:hint="eastAsia"/>
          <w:b/>
          <w:szCs w:val="21"/>
        </w:rPr>
        <w:t>第十二条   合同生效及其他</w:t>
      </w:r>
    </w:p>
    <w:p>
      <w:pPr>
        <w:spacing w:line="360" w:lineRule="auto"/>
        <w:ind w:firstLine="560"/>
        <w:jc w:val="left"/>
        <w:rPr>
          <w:rFonts w:ascii="宋体" w:hAnsi="宋体"/>
          <w:szCs w:val="21"/>
        </w:rPr>
      </w:pPr>
      <w:r>
        <w:rPr>
          <w:rFonts w:ascii="宋体" w:hAnsi="宋体" w:hint="eastAsia"/>
          <w:szCs w:val="21"/>
        </w:rPr>
        <w:t>1、下列文件均为本合同的组成部分：</w:t>
      </w:r>
    </w:p>
    <w:p>
      <w:pPr>
        <w:spacing w:line="360" w:lineRule="auto"/>
        <w:ind w:firstLine="560"/>
        <w:jc w:val="left"/>
        <w:rPr>
          <w:rFonts w:ascii="宋体" w:hAnsi="宋体"/>
          <w:szCs w:val="21"/>
        </w:rPr>
      </w:pPr>
      <w:r>
        <w:rPr>
          <w:rFonts w:ascii="宋体" w:hAnsi="宋体" w:hint="eastAsia"/>
          <w:szCs w:val="21"/>
        </w:rPr>
        <w:t>（1）号招标文件、答疑及补充通知；</w:t>
      </w:r>
    </w:p>
    <w:p>
      <w:pPr>
        <w:spacing w:line="360" w:lineRule="auto"/>
        <w:ind w:firstLine="560"/>
        <w:jc w:val="left"/>
        <w:rPr>
          <w:rFonts w:ascii="宋体" w:hAnsi="宋体"/>
          <w:szCs w:val="21"/>
        </w:rPr>
      </w:pPr>
      <w:r>
        <w:rPr>
          <w:rFonts w:ascii="宋体" w:hAnsi="宋体" w:hint="eastAsia"/>
          <w:szCs w:val="21"/>
        </w:rPr>
        <w:t>（2）乙方的投标文件；</w:t>
      </w:r>
    </w:p>
    <w:p>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ascii="宋体" w:hAnsi="宋体" w:hint="eastAsia"/>
          <w:szCs w:val="21"/>
        </w:rPr>
        <w:t>甲方（采购人）：   （盖章）       乙方（供应商）：    （盖章）</w:t>
      </w:r>
    </w:p>
    <w:p>
      <w:pPr>
        <w:spacing w:line="360" w:lineRule="auto"/>
        <w:ind w:firstLine="560"/>
        <w:jc w:val="left"/>
        <w:rPr>
          <w:rFonts w:ascii="宋体" w:hAnsi="宋体"/>
          <w:szCs w:val="21"/>
        </w:rPr>
      </w:pPr>
      <w:r>
        <w:rPr>
          <w:rFonts w:ascii="宋体" w:hAnsi="宋体" w:hint="eastAsia"/>
          <w:szCs w:val="21"/>
        </w:rPr>
        <w:t xml:space="preserve">法定代表人：                     法定代表人： </w:t>
      </w:r>
    </w:p>
    <w:p>
      <w:pPr>
        <w:spacing w:line="360" w:lineRule="auto"/>
        <w:ind w:firstLine="560"/>
        <w:jc w:val="left"/>
        <w:rPr>
          <w:rFonts w:ascii="宋体" w:hAnsi="宋体"/>
          <w:szCs w:val="21"/>
        </w:rPr>
      </w:pPr>
      <w:r>
        <w:rPr>
          <w:rFonts w:ascii="宋体" w:hAnsi="宋体" w:hint="eastAsia"/>
          <w:szCs w:val="21"/>
        </w:rPr>
        <w:t>委托代理人：                     委托代理人：</w:t>
      </w:r>
    </w:p>
    <w:p>
      <w:pPr>
        <w:ind w:firstLine="600" w:firstLineChars="250"/>
        <w:rPr>
          <w:rFonts w:ascii="宋体" w:hAnsi="宋体"/>
          <w:b/>
          <w:szCs w:val="21"/>
        </w:rPr>
      </w:pPr>
      <w:r>
        <w:rPr>
          <w:rFonts w:ascii="宋体" w:hAnsi="宋体" w:hint="eastAsia"/>
          <w:szCs w:val="21"/>
        </w:rPr>
        <w:t>日期：   年     月    日         日期：   年     月    日</w:t>
      </w:r>
    </w:p>
    <w:p/>
    <w:p>
      <w:pPr>
        <w:widowControl/>
        <w:jc w:val="left"/>
        <w:rPr>
          <w:rFonts w:ascii="宋体" w:hAnsi="宋体"/>
          <w:szCs w:val="21"/>
        </w:rPr>
      </w:pPr>
      <w:r>
        <w:rPr>
          <w:rFonts w:ascii="宋体" w:hAnsi="宋体"/>
          <w:szCs w:val="21"/>
        </w:rPr>
        <w:br w:type="page"/>
      </w:r>
    </w:p>
    <w:p>
      <w:pPr>
        <w:pStyle w:val="Heading2"/>
        <w:spacing w:before="120" w:beforeLines="50" w:after="120" w:afterLines="50"/>
        <w:ind w:left="562"/>
        <w:rPr>
          <w:sz w:val="28"/>
          <w:szCs w:val="28"/>
        </w:rPr>
      </w:pPr>
      <w:r>
        <w:rPr>
          <w:rFonts w:hint="eastAsia"/>
          <w:sz w:val="28"/>
          <w:szCs w:val="28"/>
        </w:rPr>
        <w:t>第二册  通用条款（公开招标）</w:t>
      </w:r>
    </w:p>
    <w:p>
      <w:pPr>
        <w:pStyle w:val="Heading2"/>
        <w:numPr>
          <w:ilvl w:val="0"/>
          <w:numId w:val="7"/>
        </w:numPr>
        <w:spacing w:before="120" w:beforeLines="50" w:after="120" w:afterLines="50"/>
        <w:ind w:left="562" w:hanging="562"/>
        <w:rPr>
          <w:sz w:val="28"/>
          <w:szCs w:val="28"/>
        </w:rPr>
      </w:pPr>
      <w:bookmarkStart w:id="95" w:name="_Hlk72399513"/>
      <w:r>
        <w:rPr>
          <w:rFonts w:hint="eastAsia"/>
          <w:sz w:val="28"/>
          <w:szCs w:val="28"/>
        </w:rPr>
        <w:t>总则</w:t>
      </w:r>
    </w:p>
    <w:p>
      <w:pPr>
        <w:outlineLvl w:val="1"/>
        <w:rPr>
          <w:rFonts w:ascii="黑体" w:eastAsia="黑体" w:hAnsi="宋体"/>
          <w:sz w:val="24"/>
        </w:rPr>
      </w:pPr>
      <w:bookmarkEnd w:id="95"/>
      <w:r>
        <w:rPr>
          <w:rFonts w:ascii="黑体" w:eastAsia="黑体" w:hAnsi="宋体" w:hint="eastAsia"/>
          <w:sz w:val="24"/>
        </w:rPr>
        <w:t>1. 通用条款说明</w:t>
      </w:r>
    </w:p>
    <w:p>
      <w:pPr>
        <w:ind w:firstLine="470"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96" w:name="_Hlk72399729"/>
      <w:r>
        <w:rPr>
          <w:rFonts w:ascii="宋体" w:hAnsi="宋体" w:hint="eastAsia"/>
          <w:szCs w:val="21"/>
        </w:rPr>
        <w:t>如有需要，政府集中采购机构可以对通用条款的内容进行补充。</w:t>
      </w:r>
      <w:bookmarkEnd w:id="96"/>
    </w:p>
    <w:p>
      <w:pPr>
        <w:ind w:firstLine="470" w:firstLineChars="196"/>
        <w:rPr>
          <w:rFonts w:ascii="宋体" w:hAnsi="宋体"/>
          <w:szCs w:val="21"/>
        </w:rPr>
      </w:pPr>
      <w:r>
        <w:rPr>
          <w:rFonts w:ascii="宋体" w:hAnsi="宋体" w:hint="eastAsia"/>
          <w:szCs w:val="21"/>
        </w:rPr>
        <w:t>1.2招标文件分为第一册“专用条款”和第二册“通用条款”。</w:t>
      </w:r>
    </w:p>
    <w:p>
      <w:pPr>
        <w:ind w:firstLine="470"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pPr>
        <w:ind w:firstLine="470" w:firstLineChars="196"/>
        <w:rPr>
          <w:rFonts w:ascii="宋体" w:hAnsi="宋体"/>
          <w:szCs w:val="21"/>
        </w:rPr>
      </w:pPr>
      <w:r>
        <w:rPr>
          <w:rFonts w:ascii="宋体" w:hAnsi="宋体" w:hint="eastAsia"/>
          <w:szCs w:val="21"/>
        </w:rPr>
        <w:t>1.4“通用条款”是适用于政府采购公开招标项目的基础性条款，具有普遍性和通用性。</w:t>
      </w:r>
    </w:p>
    <w:p>
      <w:pPr>
        <w:ind w:firstLine="470" w:firstLineChars="196"/>
        <w:rPr>
          <w:rFonts w:ascii="宋体" w:hAnsi="宋体"/>
          <w:szCs w:val="21"/>
        </w:rPr>
      </w:pPr>
      <w:r>
        <w:rPr>
          <w:rFonts w:ascii="宋体" w:hAnsi="宋体" w:hint="eastAsia"/>
          <w:szCs w:val="21"/>
        </w:rPr>
        <w:t>1.5 “专用条款”和“通用条款”表述不一致或有冲突时，以“专用条款”为准。</w:t>
      </w:r>
    </w:p>
    <w:p>
      <w:pPr>
        <w:outlineLvl w:val="1"/>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pPr>
        <w:ind w:firstLine="470"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pPr>
        <w:outlineLvl w:val="1"/>
        <w:rPr>
          <w:rFonts w:ascii="黑体" w:eastAsia="黑体" w:hAnsi="宋体"/>
          <w:sz w:val="24"/>
        </w:rPr>
      </w:pPr>
      <w:r>
        <w:rPr>
          <w:rFonts w:ascii="黑体" w:eastAsia="黑体" w:hAnsi="宋体" w:hint="eastAsia"/>
          <w:sz w:val="24"/>
        </w:rPr>
        <w:t>3．定义</w:t>
      </w:r>
    </w:p>
    <w:p>
      <w:pPr>
        <w:ind w:firstLine="480" w:firstLineChars="200"/>
        <w:rPr>
          <w:rFonts w:ascii="宋体" w:hAnsi="宋体"/>
          <w:szCs w:val="21"/>
        </w:rPr>
      </w:pPr>
      <w:r>
        <w:rPr>
          <w:rFonts w:ascii="宋体" w:hAnsi="宋体"/>
          <w:szCs w:val="21"/>
        </w:rPr>
        <w:t>招标文件中下列术语应解释为：</w:t>
      </w:r>
    </w:p>
    <w:p>
      <w:pPr>
        <w:ind w:firstLine="470"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pPr>
        <w:ind w:firstLine="470" w:firstLineChars="196"/>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pPr>
        <w:ind w:firstLine="470"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pPr>
        <w:ind w:firstLine="470" w:firstLineChars="196"/>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pPr>
        <w:ind w:firstLine="470" w:firstLineChars="196"/>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pPr>
        <w:ind w:firstLine="470" w:firstLineChars="196"/>
        <w:rPr>
          <w:rFonts w:ascii="宋体" w:hAnsi="宋体"/>
          <w:szCs w:val="21"/>
        </w:rPr>
      </w:pPr>
      <w:r>
        <w:rPr>
          <w:rFonts w:ascii="宋体" w:hAnsi="宋体" w:hint="eastAsia"/>
          <w:szCs w:val="21"/>
        </w:rPr>
        <w:t>3.6“合同”指由本次招标所产生的合同或合约文件；</w:t>
      </w:r>
    </w:p>
    <w:p>
      <w:pPr>
        <w:suppressAutoHyphens/>
        <w:wordWrap w:val="0"/>
        <w:ind w:firstLine="470" w:firstLineChars="196"/>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w:t>
      </w:r>
      <w:r>
        <w:rPr>
          <w:rFonts w:ascii="宋体" w:hAnsi="宋体" w:hint="eastAsia"/>
        </w:rPr>
        <w:t>深圳智慧采购平台投标文件制作专用软件（以下简称：投标文件制作软件）制作并</w:t>
      </w:r>
      <w:r>
        <w:rPr>
          <w:rFonts w:ascii="宋体" w:hAnsi="宋体" w:hint="eastAsia"/>
          <w:szCs w:val="21"/>
        </w:rPr>
        <w:t>加密的投标文件,适用于网上投标；（投标文件制作软件可从</w:t>
      </w:r>
      <w:r>
        <w:rPr>
          <w:rFonts w:hint="eastAsia"/>
        </w:rPr>
        <w:t>“</w:t>
      </w:r>
      <w:r>
        <w:rPr>
          <w:rFonts w:ascii="宋体" w:hAnsi="宋体" w:hint="eastAsia"/>
        </w:rPr>
        <w:t>下载地址：</w:t>
      </w:r>
      <w:r>
        <w:t>http://zfcg.szggzy.com:8081/cgxy/013002/20210923/173e0b2c-7a4c-4246-a0c7-e0ea75d84dd6.html</w:t>
      </w:r>
      <w:r>
        <w:rPr>
          <w:rFonts w:ascii="宋体" w:hAnsi="宋体" w:hint="eastAsia"/>
        </w:rPr>
        <w:t>深圳智慧采购平台投标文件制作专用软件.zip</w:t>
      </w:r>
      <w:r>
        <w:rPr>
          <w:rFonts w:hint="eastAsia"/>
        </w:rPr>
        <w:t>”</w:t>
      </w:r>
      <w:r>
        <w:rPr>
          <w:rFonts w:ascii="宋体" w:hAnsi="宋体" w:hint="eastAsia"/>
          <w:szCs w:val="21"/>
        </w:rPr>
        <w:t>下载）；</w:t>
      </w:r>
    </w:p>
    <w:p>
      <w:pPr>
        <w:ind w:firstLine="470" w:firstLineChars="196"/>
        <w:rPr>
          <w:rFonts w:ascii="宋体" w:hAnsi="宋体"/>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pPr>
        <w:ind w:firstLine="470" w:firstLineChars="196"/>
        <w:rPr>
          <w:rFonts w:ascii="宋体" w:hAnsi="宋体"/>
          <w:szCs w:val="21"/>
        </w:rPr>
      </w:pPr>
      <w:r>
        <w:rPr>
          <w:rFonts w:ascii="宋体" w:hAnsi="宋体" w:hint="eastAsia"/>
          <w:szCs w:val="21"/>
        </w:rPr>
        <w:t>3.9招标文件中的标题或题名仅起引导作用，而不应视为对招标文件内容的理解和解释。</w:t>
      </w:r>
    </w:p>
    <w:p>
      <w:pPr>
        <w:outlineLvl w:val="1"/>
        <w:rPr>
          <w:rFonts w:ascii="黑体" w:eastAsia="黑体" w:hAnsi="宋体"/>
          <w:sz w:val="24"/>
        </w:rPr>
      </w:pPr>
      <w:r>
        <w:rPr>
          <w:rFonts w:ascii="黑体" w:eastAsia="黑体" w:hAnsi="宋体" w:hint="eastAsia"/>
          <w:sz w:val="24"/>
        </w:rPr>
        <w:t xml:space="preserve">4. </w:t>
      </w:r>
      <w:bookmarkStart w:id="97" w:name="_Hlk72398643"/>
      <w:r>
        <w:rPr>
          <w:rFonts w:ascii="黑体" w:eastAsia="黑体" w:hAnsi="宋体" w:hint="eastAsia"/>
          <w:sz w:val="24"/>
        </w:rPr>
        <w:t>政府采购供应商责任</w:t>
      </w:r>
    </w:p>
    <w:p>
      <w:pPr>
        <w:ind w:firstLine="470" w:firstLineChars="196"/>
        <w:rPr>
          <w:rFonts w:ascii="宋体" w:hAnsi="宋体"/>
          <w:szCs w:val="21"/>
        </w:rPr>
      </w:pPr>
      <w:r>
        <w:rPr>
          <w:rFonts w:ascii="宋体" w:hAnsi="宋体" w:hint="eastAsia"/>
          <w:szCs w:val="21"/>
        </w:rPr>
        <w:t>4.1欢迎诚信、有实力和有社会责任心的供应商参与政府采购事业。</w:t>
      </w:r>
    </w:p>
    <w:p>
      <w:pPr>
        <w:ind w:firstLine="470"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eastAsia="黑体" w:hAnsi="宋体"/>
          <w:sz w:val="24"/>
        </w:rPr>
      </w:pPr>
      <w:r>
        <w:rPr>
          <w:rFonts w:ascii="黑体" w:eastAsia="黑体" w:hAnsi="宋体" w:hint="eastAsia"/>
          <w:sz w:val="24"/>
        </w:rPr>
        <w:t>5．投标人参加政府采购的条件</w:t>
      </w:r>
    </w:p>
    <w:p>
      <w:pPr>
        <w:ind w:firstLine="470"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 xml:space="preserve"> HYPERLINK "file:///C:\\Users\\xiuziwong\\Desktop\\模板\\供应商注册及信息变更指引" </w:instrText>
      </w:r>
      <w:r>
        <w:fldChar w:fldCharType="separate"/>
      </w:r>
      <w:r>
        <w:rPr>
          <w:rStyle w:val="Hyperlink"/>
          <w:rFonts w:ascii="宋体" w:hAnsi="宋体"/>
          <w:szCs w:val="21"/>
        </w:rPr>
        <w:t>供应商注册及信息变更指引</w:t>
      </w:r>
      <w:r>
        <w:rPr>
          <w:rStyle w:val="Hyperlink"/>
          <w:rFonts w:ascii="宋体" w:hAnsi="宋体"/>
          <w:szCs w:val="21"/>
        </w:rPr>
        <w:fldChar w:fldCharType="end"/>
      </w:r>
      <w:r>
        <w:rPr>
          <w:rFonts w:ascii="宋体" w:hAnsi="宋体" w:hint="eastAsia"/>
          <w:szCs w:val="21"/>
        </w:rPr>
        <w:t>》详见</w:t>
      </w:r>
      <w:r>
        <w:t>http://zfcg.szggzy.com/</w:t>
      </w:r>
      <w:r>
        <w:rPr>
          <w:rFonts w:ascii="宋体" w:hAnsi="宋体" w:hint="eastAsia"/>
          <w:szCs w:val="21"/>
        </w:rPr>
        <w:t>。</w:t>
      </w:r>
    </w:p>
    <w:p>
      <w:pPr>
        <w:ind w:firstLine="470" w:firstLineChars="196"/>
        <w:rPr>
          <w:rFonts w:ascii="宋体" w:hAnsi="宋体"/>
          <w:szCs w:val="21"/>
        </w:rPr>
      </w:pPr>
      <w:r>
        <w:rPr>
          <w:rFonts w:ascii="宋体" w:hAnsi="宋体" w:hint="eastAsia"/>
          <w:szCs w:val="21"/>
        </w:rPr>
        <w:t>5.2投标人资格要求</w:t>
      </w:r>
    </w:p>
    <w:p>
      <w:pPr>
        <w:ind w:firstLine="470"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pPr>
        <w:ind w:firstLine="470" w:firstLineChars="196"/>
        <w:rPr>
          <w:rFonts w:ascii="宋体" w:hAnsi="宋体"/>
          <w:szCs w:val="21"/>
        </w:rPr>
      </w:pPr>
      <w:r>
        <w:rPr>
          <w:rFonts w:ascii="宋体" w:hAnsi="宋体" w:hint="eastAsia"/>
          <w:szCs w:val="21"/>
        </w:rPr>
        <w:t>5.3联合体投标</w:t>
      </w:r>
    </w:p>
    <w:p>
      <w:pPr>
        <w:ind w:firstLine="470" w:firstLineChars="196"/>
        <w:rPr>
          <w:rFonts w:ascii="宋体" w:hAnsi="宋体"/>
          <w:szCs w:val="21"/>
        </w:rPr>
      </w:pPr>
      <w:r>
        <w:rPr>
          <w:rFonts w:ascii="宋体" w:hAnsi="宋体" w:hint="eastAsia"/>
          <w:szCs w:val="21"/>
        </w:rPr>
        <w:t>5.3.1　以下有关联合体投标的条款仅适用于允许投标人组成联合体投标的项目。</w:t>
      </w:r>
    </w:p>
    <w:p>
      <w:pPr>
        <w:ind w:firstLine="470"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pPr>
        <w:ind w:firstLine="470" w:firstLineChars="196"/>
        <w:rPr>
          <w:rFonts w:ascii="宋体" w:hAnsi="宋体"/>
        </w:rPr>
      </w:pPr>
      <w:r>
        <w:rPr>
          <w:rFonts w:ascii="宋体" w:hAnsi="宋体" w:hint="eastAsia"/>
        </w:rPr>
        <w:t>（1）投标联合体各方参加政府采购活动应当具备下列条件：</w:t>
      </w:r>
    </w:p>
    <w:p>
      <w:pPr>
        <w:ind w:left="480" w:firstLine="470" w:leftChars="200" w:firstLineChars="196"/>
        <w:rPr>
          <w:rFonts w:ascii="宋体" w:hAnsi="宋体"/>
        </w:rPr>
      </w:pPr>
      <w:r>
        <w:rPr>
          <w:rFonts w:ascii="宋体" w:hAnsi="宋体" w:hint="eastAsia"/>
        </w:rPr>
        <w:t>1、具有独立承担民事责任的能力；</w:t>
      </w:r>
    </w:p>
    <w:p>
      <w:pPr>
        <w:ind w:left="420" w:firstLine="470" w:firstLineChars="196"/>
        <w:rPr>
          <w:rFonts w:ascii="宋体" w:hAnsi="宋体"/>
        </w:rPr>
      </w:pPr>
      <w:r>
        <w:rPr>
          <w:rFonts w:ascii="宋体" w:hAnsi="宋体" w:hint="eastAsia"/>
        </w:rPr>
        <w:t>2、有良好的商业信誉和健全的财务会计制度；</w:t>
      </w:r>
    </w:p>
    <w:p>
      <w:pPr>
        <w:ind w:left="480" w:firstLine="470" w:leftChars="200" w:firstLineChars="196"/>
        <w:rPr>
          <w:rFonts w:ascii="宋体" w:hAnsi="宋体"/>
        </w:rPr>
      </w:pPr>
      <w:r>
        <w:rPr>
          <w:rFonts w:ascii="宋体" w:hAnsi="宋体" w:hint="eastAsia"/>
        </w:rPr>
        <w:t>3、具有履行合同所必需的设备和专业技术能力；</w:t>
      </w:r>
    </w:p>
    <w:p>
      <w:pPr>
        <w:ind w:left="480" w:firstLine="470" w:leftChars="200" w:firstLineChars="196"/>
        <w:rPr>
          <w:rFonts w:ascii="宋体" w:hAnsi="宋体"/>
        </w:rPr>
      </w:pPr>
      <w:r>
        <w:rPr>
          <w:rFonts w:ascii="宋体" w:hAnsi="宋体" w:hint="eastAsia"/>
        </w:rPr>
        <w:t>4、有依法缴纳税收和社会保障资金的良好记录；</w:t>
      </w:r>
    </w:p>
    <w:p>
      <w:pPr>
        <w:ind w:left="480" w:firstLine="470" w:leftChars="200" w:firstLineChars="196"/>
        <w:rPr>
          <w:rFonts w:ascii="宋体" w:hAnsi="宋体"/>
        </w:rPr>
      </w:pPr>
      <w:r>
        <w:rPr>
          <w:rFonts w:ascii="宋体" w:hAnsi="宋体" w:hint="eastAsia"/>
        </w:rPr>
        <w:t>5、参加政府采购活动前三年内，在经营活动中没有重大违法记录；</w:t>
      </w:r>
    </w:p>
    <w:p>
      <w:pPr>
        <w:ind w:left="480" w:firstLine="470" w:leftChars="200" w:firstLineChars="196"/>
        <w:rPr>
          <w:rFonts w:ascii="宋体" w:hAnsi="宋体"/>
        </w:rPr>
      </w:pPr>
      <w:r>
        <w:rPr>
          <w:rFonts w:ascii="宋体" w:hAnsi="宋体" w:hint="eastAsia"/>
        </w:rPr>
        <w:t>6、法律、行政法规规定的其他条件。</w:t>
      </w:r>
    </w:p>
    <w:p>
      <w:pPr>
        <w:ind w:firstLine="470" w:firstLineChars="196"/>
        <w:rPr>
          <w:rFonts w:ascii="宋体" w:hAnsi="宋体"/>
        </w:rPr>
      </w:pPr>
      <w:r>
        <w:rPr>
          <w:rFonts w:ascii="宋体" w:hAnsi="宋体" w:hint="eastAsia"/>
        </w:rPr>
        <w:t>（2）在投标截止前，投标联合体各方均应注册成政府集中采购机构供应商；</w:t>
      </w:r>
    </w:p>
    <w:p>
      <w:pPr>
        <w:ind w:firstLine="470"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pPr>
        <w:ind w:firstLine="470"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70" w:firstLineChars="196"/>
        <w:rPr>
          <w:rFonts w:ascii="宋体" w:hAnsi="宋体"/>
        </w:rPr>
      </w:pPr>
      <w:r>
        <w:rPr>
          <w:rFonts w:ascii="宋体" w:hAnsi="宋体" w:hint="eastAsia"/>
        </w:rPr>
        <w:t>（5）投标人的投标文件及中标后签署的合同协议对联合体各方均具法律约束力；</w:t>
      </w:r>
    </w:p>
    <w:p>
      <w:pPr>
        <w:ind w:firstLine="470"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pPr>
        <w:ind w:firstLine="470" w:firstLineChars="196"/>
        <w:rPr>
          <w:rFonts w:ascii="宋体" w:hAnsi="宋体"/>
        </w:rPr>
      </w:pPr>
      <w:r>
        <w:rPr>
          <w:rFonts w:ascii="宋体" w:hAnsi="宋体" w:hint="eastAsia"/>
        </w:rPr>
        <w:t>（7）联合体中标后，联合体各方应当共同与采购人签订合同，就中标项目向采购人承担连带责任；</w:t>
      </w:r>
    </w:p>
    <w:p>
      <w:pPr>
        <w:ind w:firstLine="470"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70" w:firstLineChars="196"/>
        <w:rPr>
          <w:rFonts w:ascii="宋体" w:hAnsi="宋体"/>
          <w:szCs w:val="21"/>
        </w:rPr>
      </w:pPr>
      <w:r>
        <w:rPr>
          <w:rFonts w:ascii="宋体" w:hAnsi="宋体" w:hint="eastAsia"/>
        </w:rPr>
        <w:t>（9）本通用条款中“投标人”一词亦指联合体各方，专用条款另有规定或说明的除外。</w:t>
      </w:r>
    </w:p>
    <w:p>
      <w:pPr>
        <w:outlineLvl w:val="1"/>
        <w:rPr>
          <w:rFonts w:ascii="黑体" w:eastAsia="黑体" w:hAnsi="宋体"/>
          <w:sz w:val="24"/>
        </w:rPr>
      </w:pPr>
      <w:r>
        <w:rPr>
          <w:rFonts w:ascii="黑体" w:eastAsia="黑体" w:hAnsi="宋体" w:hint="eastAsia"/>
          <w:sz w:val="24"/>
        </w:rPr>
        <w:t>6．政策导向</w:t>
      </w:r>
    </w:p>
    <w:p>
      <w:pPr>
        <w:ind w:firstLine="470" w:firstLineChars="196"/>
        <w:rPr>
          <w:rFonts w:ascii="宋体" w:hAnsi="宋体"/>
        </w:rPr>
      </w:pPr>
      <w:r>
        <w:rPr>
          <w:rFonts w:ascii="宋体" w:hAnsi="宋体" w:hint="eastAsia"/>
        </w:rPr>
        <w:t>6.1政府采购扶持贫困地区、中小企业、监狱企业和残疾人福利性单位发展，支持节能减排、环境保护。</w:t>
      </w:r>
    </w:p>
    <w:p>
      <w:pPr>
        <w:ind w:firstLine="405"/>
        <w:rPr>
          <w:shd w:val="clear" w:color="auto" w:fill="FFFFFF"/>
        </w:rPr>
      </w:pPr>
      <w:r>
        <w:rPr>
          <w:rFonts w:ascii="宋体" w:hAnsi="宋体" w:hint="eastAsia"/>
        </w:rPr>
        <w:t>6.2本项目落实深圳市政府采购供应商诚信管理政策要求。</w:t>
      </w:r>
    </w:p>
    <w:p>
      <w:pPr>
        <w:outlineLvl w:val="1"/>
        <w:rPr>
          <w:rFonts w:ascii="黑体" w:eastAsia="黑体" w:hAnsi="宋体"/>
          <w:sz w:val="24"/>
        </w:rPr>
      </w:pPr>
      <w:r>
        <w:rPr>
          <w:rFonts w:ascii="黑体" w:eastAsia="黑体" w:hAnsi="宋体" w:hint="eastAsia"/>
          <w:sz w:val="24"/>
        </w:rPr>
        <w:t>7. 本项目若涉及采购货物，则合格的货物及相应服务应满足以下要求：</w:t>
      </w:r>
    </w:p>
    <w:p>
      <w:pPr>
        <w:ind w:firstLine="470"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pPr>
        <w:ind w:firstLine="470"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70" w:firstLineChars="196"/>
        <w:rPr>
          <w:rFonts w:ascii="宋体" w:hAnsi="宋体"/>
        </w:rPr>
      </w:pPr>
      <w:r>
        <w:rPr>
          <w:rFonts w:ascii="宋体" w:hAnsi="宋体" w:hint="eastAsia"/>
        </w:rPr>
        <w:t>7</w:t>
      </w:r>
      <w:r>
        <w:rPr>
          <w:rFonts w:ascii="宋体" w:hAnsi="宋体"/>
        </w:rPr>
        <w:t>.</w:t>
      </w:r>
      <w:r>
        <w:rPr>
          <w:rFonts w:ascii="宋体" w:hAnsi="宋体" w:hint="eastAsia"/>
        </w:rPr>
        <w:t>4投标人</w:t>
      </w:r>
      <w:bookmarkStart w:id="98"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98"/>
    </w:p>
    <w:p>
      <w:pPr>
        <w:ind w:firstLine="470"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70"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pPr>
        <w:ind w:firstLine="470" w:firstLineChars="196"/>
        <w:rPr>
          <w:rFonts w:ascii="宋体" w:hAnsi="宋体"/>
        </w:rPr>
      </w:pPr>
      <w:r>
        <w:rPr>
          <w:rFonts w:ascii="宋体" w:hAnsi="宋体" w:hint="eastAsia"/>
        </w:rPr>
        <w:t>7.7  投标人必须承担的设备运输、安装调试、验收检测和提供设备操作说明书、图纸等其他相关及类似的义务。</w:t>
      </w:r>
    </w:p>
    <w:p>
      <w:pPr>
        <w:outlineLvl w:val="1"/>
        <w:rPr>
          <w:rFonts w:ascii="黑体" w:eastAsia="黑体" w:hAnsi="宋体"/>
          <w:sz w:val="24"/>
        </w:rPr>
      </w:pPr>
      <w:r>
        <w:rPr>
          <w:rFonts w:ascii="黑体" w:eastAsia="黑体" w:hAnsi="宋体" w:hint="eastAsia"/>
          <w:sz w:val="24"/>
        </w:rPr>
        <w:t>8．投标费用</w:t>
      </w:r>
    </w:p>
    <w:p>
      <w:pPr>
        <w:ind w:firstLine="470" w:firstLineChars="196"/>
        <w:rPr>
          <w:rFonts w:ascii="宋体" w:hAnsi="宋体"/>
          <w:szCs w:val="21"/>
        </w:rPr>
      </w:pPr>
      <w:r>
        <w:rPr>
          <w:rFonts w:ascii="宋体" w:hAnsi="宋体" w:hint="eastAsia"/>
          <w:szCs w:val="21"/>
        </w:rPr>
        <w:t>不论投标结果如何，投标人应承担其编制投标文件与递交投标文件所涉及的一切费用。</w:t>
      </w:r>
    </w:p>
    <w:p>
      <w:pPr>
        <w:outlineLvl w:val="1"/>
        <w:rPr>
          <w:rFonts w:ascii="黑体" w:eastAsia="黑体" w:hAnsi="宋体"/>
          <w:sz w:val="24"/>
        </w:rPr>
      </w:pPr>
      <w:r>
        <w:rPr>
          <w:rFonts w:ascii="黑体" w:eastAsia="黑体" w:hAnsi="宋体" w:hint="eastAsia"/>
          <w:sz w:val="24"/>
        </w:rPr>
        <w:t>9．踏勘现场</w:t>
      </w:r>
    </w:p>
    <w:p>
      <w:pPr>
        <w:ind w:firstLine="470"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70"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pPr>
        <w:ind w:firstLine="470" w:firstLineChars="196"/>
        <w:rPr>
          <w:rFonts w:ascii="宋体" w:hAnsi="宋体"/>
        </w:rPr>
      </w:pPr>
      <w:r>
        <w:rPr>
          <w:rFonts w:ascii="宋体" w:hAnsi="宋体" w:hint="eastAsia"/>
        </w:rPr>
        <w:t>9.3采购人应当通过政府集中采购机构向投标人提供有关现场的书面资料和数据。</w:t>
      </w:r>
    </w:p>
    <w:p>
      <w:pPr>
        <w:ind w:firstLine="470"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pPr>
        <w:ind w:firstLine="470"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pPr>
        <w:outlineLvl w:val="1"/>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70"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pPr>
        <w:ind w:firstLine="470"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pPr>
        <w:pStyle w:val="Heading2"/>
        <w:numPr>
          <w:ilvl w:val="0"/>
          <w:numId w:val="7"/>
        </w:numPr>
        <w:spacing w:before="120" w:beforeLines="50" w:after="120" w:afterLines="50"/>
        <w:ind w:left="562" w:hanging="562"/>
        <w:rPr>
          <w:sz w:val="28"/>
          <w:szCs w:val="28"/>
        </w:rPr>
      </w:pPr>
      <w:bookmarkEnd w:id="97"/>
      <w:r>
        <w:rPr>
          <w:rFonts w:hint="eastAsia"/>
          <w:sz w:val="28"/>
          <w:szCs w:val="28"/>
        </w:rPr>
        <w:t>招标文件</w:t>
      </w:r>
    </w:p>
    <w:p>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99" w:name="_Hlk72399819"/>
      <w:r>
        <w:rPr>
          <w:rFonts w:ascii="黑体" w:eastAsia="黑体" w:hAnsi="宋体" w:hint="eastAsia"/>
          <w:sz w:val="24"/>
        </w:rPr>
        <w:t>招标文件的编制与组成</w:t>
      </w:r>
    </w:p>
    <w:p>
      <w:pPr>
        <w:snapToGrid w:val="0"/>
        <w:ind w:firstLine="48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pPr>
        <w:ind w:firstLine="470" w:firstLineChars="196"/>
        <w:rPr>
          <w:rFonts w:ascii="宋体" w:hAnsi="宋体"/>
          <w:szCs w:val="21"/>
        </w:rPr>
      </w:pPr>
      <w:r>
        <w:rPr>
          <w:rFonts w:ascii="宋体" w:hAnsi="宋体" w:hint="eastAsia"/>
          <w:szCs w:val="21"/>
        </w:rPr>
        <w:t>招标文件包括下列内容：</w:t>
      </w:r>
    </w:p>
    <w:p>
      <w:pPr>
        <w:ind w:left="480" w:firstLine="470" w:leftChars="200" w:firstLineChars="196"/>
        <w:rPr>
          <w:rFonts w:ascii="宋体" w:hAnsi="宋体"/>
          <w:b/>
          <w:szCs w:val="21"/>
        </w:rPr>
      </w:pPr>
      <w:r>
        <w:rPr>
          <w:rFonts w:ascii="宋体" w:hAnsi="宋体" w:hint="eastAsia"/>
          <w:b/>
          <w:szCs w:val="21"/>
        </w:rPr>
        <w:t>第一册  专用条款</w:t>
      </w:r>
    </w:p>
    <w:p>
      <w:pPr>
        <w:ind w:left="1234" w:leftChars="514"/>
        <w:rPr>
          <w:rFonts w:ascii="宋体" w:hAnsi="宋体"/>
          <w:b/>
          <w:szCs w:val="21"/>
        </w:rPr>
      </w:pPr>
      <w:r>
        <w:rPr>
          <w:rFonts w:ascii="宋体" w:hAnsi="宋体" w:hint="eastAsia"/>
          <w:b/>
          <w:szCs w:val="21"/>
        </w:rPr>
        <w:t>关键信息</w:t>
      </w:r>
    </w:p>
    <w:p>
      <w:pPr>
        <w:ind w:left="720" w:firstLine="470" w:leftChars="300" w:firstLineChars="196"/>
        <w:outlineLvl w:val="0"/>
        <w:rPr>
          <w:rFonts w:ascii="宋体" w:hAnsi="宋体"/>
          <w:szCs w:val="21"/>
        </w:rPr>
      </w:pPr>
      <w:r>
        <w:rPr>
          <w:rFonts w:ascii="宋体" w:hAnsi="宋体" w:hint="eastAsia"/>
          <w:szCs w:val="21"/>
        </w:rPr>
        <w:t>第一章  招标公告</w:t>
      </w:r>
    </w:p>
    <w:p>
      <w:pPr>
        <w:ind w:left="720" w:firstLine="470" w:leftChars="300" w:firstLineChars="196"/>
        <w:outlineLvl w:val="0"/>
        <w:rPr>
          <w:rFonts w:ascii="宋体" w:hAnsi="宋体"/>
          <w:szCs w:val="21"/>
        </w:rPr>
      </w:pPr>
      <w:r>
        <w:rPr>
          <w:rFonts w:ascii="宋体" w:hAnsi="宋体" w:hint="eastAsia"/>
          <w:szCs w:val="21"/>
        </w:rPr>
        <w:t>第二章  对通用条款的补充内容及其他关键信息</w:t>
      </w:r>
    </w:p>
    <w:p>
      <w:pPr>
        <w:ind w:left="720" w:firstLine="470" w:leftChars="300" w:firstLineChars="196"/>
        <w:outlineLvl w:val="0"/>
        <w:rPr>
          <w:rFonts w:ascii="宋体" w:hAnsi="宋体"/>
          <w:szCs w:val="21"/>
        </w:rPr>
      </w:pPr>
      <w:r>
        <w:rPr>
          <w:rFonts w:ascii="宋体" w:hAnsi="宋体" w:hint="eastAsia"/>
          <w:szCs w:val="21"/>
        </w:rPr>
        <w:t>第三章  用户需求书</w:t>
      </w:r>
    </w:p>
    <w:p>
      <w:pPr>
        <w:ind w:left="720" w:firstLine="470" w:leftChars="300" w:firstLineChars="196"/>
        <w:outlineLvl w:val="0"/>
        <w:rPr>
          <w:rFonts w:ascii="宋体" w:hAnsi="宋体"/>
          <w:szCs w:val="21"/>
        </w:rPr>
      </w:pPr>
      <w:r>
        <w:rPr>
          <w:rFonts w:hint="eastAsia"/>
        </w:rPr>
        <w:t>第四章 投标文件格式及附件</w:t>
      </w:r>
    </w:p>
    <w:p>
      <w:pPr>
        <w:ind w:left="720" w:firstLine="470" w:leftChars="300" w:firstLineChars="196"/>
        <w:outlineLvl w:val="0"/>
        <w:rPr>
          <w:rFonts w:ascii="宋体" w:hAnsi="宋体"/>
          <w:szCs w:val="21"/>
        </w:rPr>
      </w:pPr>
      <w:r>
        <w:rPr>
          <w:rFonts w:ascii="宋体" w:hAnsi="宋体" w:hint="eastAsia"/>
          <w:szCs w:val="21"/>
        </w:rPr>
        <w:t>第五章  合同条款及格式</w:t>
      </w:r>
    </w:p>
    <w:p>
      <w:pPr>
        <w:ind w:left="480" w:firstLine="470" w:leftChars="200" w:firstLineChars="196"/>
        <w:outlineLvl w:val="0"/>
        <w:rPr>
          <w:rFonts w:ascii="宋体" w:hAnsi="宋体"/>
          <w:b/>
          <w:szCs w:val="21"/>
        </w:rPr>
      </w:pPr>
      <w:r>
        <w:rPr>
          <w:rFonts w:ascii="宋体" w:hAnsi="宋体" w:hint="eastAsia"/>
          <w:b/>
          <w:szCs w:val="21"/>
        </w:rPr>
        <w:t>第二册  通用条款</w:t>
      </w:r>
    </w:p>
    <w:p>
      <w:pPr>
        <w:ind w:left="720" w:firstLine="470" w:leftChars="300" w:firstLineChars="196"/>
        <w:outlineLvl w:val="0"/>
        <w:rPr>
          <w:rFonts w:ascii="宋体" w:hAnsi="宋体"/>
          <w:szCs w:val="21"/>
        </w:rPr>
      </w:pPr>
      <w:r>
        <w:rPr>
          <w:rFonts w:ascii="宋体" w:hAnsi="宋体" w:hint="eastAsia"/>
          <w:szCs w:val="21"/>
        </w:rPr>
        <w:t>第一章  总则</w:t>
      </w:r>
    </w:p>
    <w:p>
      <w:pPr>
        <w:ind w:left="720" w:firstLine="470" w:leftChars="300" w:firstLineChars="196"/>
        <w:outlineLvl w:val="0"/>
        <w:rPr>
          <w:rFonts w:ascii="宋体" w:hAnsi="宋体"/>
          <w:szCs w:val="21"/>
        </w:rPr>
      </w:pPr>
      <w:r>
        <w:rPr>
          <w:rFonts w:ascii="宋体" w:hAnsi="宋体" w:hint="eastAsia"/>
          <w:szCs w:val="21"/>
        </w:rPr>
        <w:t>第二章  招标文件</w:t>
      </w:r>
    </w:p>
    <w:p>
      <w:pPr>
        <w:ind w:left="720" w:firstLine="470" w:leftChars="300" w:firstLineChars="196"/>
        <w:outlineLvl w:val="0"/>
        <w:rPr>
          <w:rFonts w:ascii="宋体" w:hAnsi="宋体"/>
          <w:szCs w:val="21"/>
        </w:rPr>
      </w:pPr>
      <w:r>
        <w:rPr>
          <w:rFonts w:ascii="宋体" w:hAnsi="宋体" w:hint="eastAsia"/>
          <w:szCs w:val="21"/>
        </w:rPr>
        <w:t>第三章  投标文件的编制</w:t>
      </w:r>
    </w:p>
    <w:p>
      <w:pPr>
        <w:ind w:left="720" w:firstLine="470" w:leftChars="300" w:firstLineChars="196"/>
        <w:outlineLvl w:val="0"/>
        <w:rPr>
          <w:rFonts w:ascii="宋体" w:hAnsi="宋体"/>
          <w:szCs w:val="21"/>
        </w:rPr>
      </w:pPr>
      <w:r>
        <w:rPr>
          <w:rFonts w:ascii="宋体" w:hAnsi="宋体" w:hint="eastAsia"/>
          <w:szCs w:val="21"/>
        </w:rPr>
        <w:t>第四章  投标文件的递交</w:t>
      </w:r>
    </w:p>
    <w:p>
      <w:pPr>
        <w:ind w:left="720" w:firstLine="470" w:leftChars="300" w:firstLineChars="196"/>
        <w:outlineLvl w:val="0"/>
        <w:rPr>
          <w:rFonts w:ascii="宋体" w:hAnsi="宋体"/>
          <w:szCs w:val="21"/>
        </w:rPr>
      </w:pPr>
      <w:r>
        <w:rPr>
          <w:rFonts w:ascii="宋体" w:hAnsi="宋体" w:hint="eastAsia"/>
          <w:szCs w:val="21"/>
        </w:rPr>
        <w:t>第五章  开标</w:t>
      </w:r>
    </w:p>
    <w:p>
      <w:pPr>
        <w:ind w:left="720" w:firstLine="470" w:leftChars="300" w:firstLineChars="196"/>
        <w:outlineLvl w:val="0"/>
        <w:rPr>
          <w:rFonts w:ascii="宋体" w:hAnsi="宋体"/>
          <w:szCs w:val="21"/>
        </w:rPr>
      </w:pPr>
      <w:r>
        <w:rPr>
          <w:rFonts w:ascii="宋体" w:hAnsi="宋体" w:hint="eastAsia"/>
          <w:szCs w:val="21"/>
        </w:rPr>
        <w:t>第六章  评审要求</w:t>
      </w:r>
    </w:p>
    <w:p>
      <w:pPr>
        <w:ind w:left="720" w:firstLine="470" w:leftChars="300" w:firstLineChars="196"/>
        <w:outlineLvl w:val="0"/>
        <w:rPr>
          <w:rFonts w:ascii="宋体" w:hAnsi="宋体"/>
          <w:szCs w:val="21"/>
        </w:rPr>
      </w:pPr>
      <w:r>
        <w:rPr>
          <w:rFonts w:ascii="宋体" w:hAnsi="宋体" w:hint="eastAsia"/>
          <w:szCs w:val="21"/>
        </w:rPr>
        <w:t>第七章  评审程序及评审方法</w:t>
      </w:r>
    </w:p>
    <w:p>
      <w:pPr>
        <w:ind w:left="720" w:firstLine="470" w:leftChars="300" w:firstLineChars="196"/>
        <w:outlineLvl w:val="0"/>
        <w:rPr>
          <w:rFonts w:ascii="宋体" w:hAnsi="宋体"/>
          <w:szCs w:val="21"/>
        </w:rPr>
      </w:pPr>
      <w:r>
        <w:rPr>
          <w:rFonts w:ascii="宋体" w:hAnsi="宋体" w:hint="eastAsia"/>
          <w:szCs w:val="21"/>
        </w:rPr>
        <w:t>第八章  定标及公示</w:t>
      </w:r>
    </w:p>
    <w:p>
      <w:pPr>
        <w:ind w:left="720" w:firstLine="470" w:leftChars="300" w:firstLineChars="196"/>
        <w:outlineLvl w:val="0"/>
        <w:rPr>
          <w:rFonts w:ascii="宋体" w:hAnsi="宋体"/>
          <w:szCs w:val="21"/>
        </w:rPr>
      </w:pPr>
      <w:r>
        <w:rPr>
          <w:rFonts w:ascii="宋体" w:hAnsi="宋体" w:hint="eastAsia"/>
          <w:szCs w:val="21"/>
        </w:rPr>
        <w:t>第九章  公开招标失败的后续处理</w:t>
      </w:r>
    </w:p>
    <w:p>
      <w:pPr>
        <w:ind w:left="720" w:firstLine="470" w:leftChars="300" w:firstLineChars="196"/>
        <w:outlineLvl w:val="0"/>
        <w:rPr>
          <w:rFonts w:ascii="宋体" w:hAnsi="宋体"/>
          <w:szCs w:val="21"/>
        </w:rPr>
      </w:pPr>
      <w:r>
        <w:rPr>
          <w:rFonts w:ascii="宋体" w:hAnsi="宋体" w:hint="eastAsia"/>
          <w:szCs w:val="21"/>
        </w:rPr>
        <w:t>第十章  合同的授予与备案</w:t>
      </w:r>
    </w:p>
    <w:p>
      <w:pPr>
        <w:ind w:left="720" w:firstLine="470" w:leftChars="300" w:firstLineChars="196"/>
        <w:outlineLvl w:val="0"/>
        <w:rPr>
          <w:rFonts w:ascii="宋体" w:hAnsi="宋体"/>
          <w:szCs w:val="21"/>
        </w:rPr>
      </w:pPr>
      <w:r>
        <w:rPr>
          <w:rFonts w:ascii="宋体" w:hAnsi="宋体" w:hint="eastAsia"/>
          <w:szCs w:val="21"/>
        </w:rPr>
        <w:t>第十一章  质疑处理</w:t>
      </w:r>
    </w:p>
    <w:p>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70"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pPr>
        <w:ind w:firstLine="470"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pPr>
        <w:ind w:firstLine="470"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pPr>
        <w:ind w:firstLine="470"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pPr>
        <w:ind w:firstLine="470"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70"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99"/>
    </w:p>
    <w:p>
      <w:pPr>
        <w:pStyle w:val="Heading2"/>
        <w:numPr>
          <w:ilvl w:val="0"/>
          <w:numId w:val="7"/>
        </w:numPr>
        <w:spacing w:before="120" w:beforeLines="50" w:after="120" w:afterLines="50"/>
        <w:ind w:left="562" w:hanging="562"/>
        <w:rPr>
          <w:sz w:val="28"/>
          <w:szCs w:val="28"/>
        </w:rPr>
      </w:pPr>
      <w:r>
        <w:rPr>
          <w:rFonts w:hint="eastAsia"/>
          <w:sz w:val="28"/>
          <w:szCs w:val="28"/>
        </w:rPr>
        <w:t>投标文件的编制</w:t>
      </w:r>
    </w:p>
    <w:p>
      <w:pPr>
        <w:rPr>
          <w:rFonts w:ascii="黑体" w:eastAsia="黑体" w:hAnsi="宋体"/>
          <w:sz w:val="24"/>
        </w:rPr>
      </w:pPr>
      <w:r>
        <w:rPr>
          <w:rFonts w:ascii="黑体" w:eastAsia="黑体" w:hAnsi="宋体" w:hint="eastAsia"/>
          <w:sz w:val="24"/>
        </w:rPr>
        <w:t>14．</w:t>
      </w:r>
      <w:bookmarkStart w:id="100" w:name="_Hlk72400236"/>
      <w:r>
        <w:rPr>
          <w:rFonts w:ascii="黑体" w:eastAsia="黑体" w:hAnsi="宋体" w:hint="eastAsia"/>
          <w:sz w:val="24"/>
        </w:rPr>
        <w:t>投标文件的语言及度量单位</w:t>
      </w:r>
    </w:p>
    <w:p>
      <w:pPr>
        <w:ind w:firstLine="470"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70"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pPr>
        <w:rPr>
          <w:rFonts w:ascii="黑体" w:eastAsia="黑体" w:hAnsi="宋体"/>
          <w:sz w:val="24"/>
        </w:rPr>
      </w:pPr>
      <w:bookmarkEnd w:id="100"/>
      <w:r>
        <w:rPr>
          <w:rFonts w:ascii="黑体" w:eastAsia="黑体" w:hAnsi="宋体" w:hint="eastAsia"/>
          <w:sz w:val="24"/>
        </w:rPr>
        <w:t>15．</w:t>
      </w:r>
      <w:bookmarkStart w:id="101" w:name="_Hlk72401567"/>
      <w:r>
        <w:rPr>
          <w:rFonts w:ascii="黑体" w:eastAsia="黑体" w:hAnsi="宋体" w:hint="eastAsia"/>
          <w:sz w:val="24"/>
        </w:rPr>
        <w:t>投标文件的组成</w:t>
      </w:r>
    </w:p>
    <w:p>
      <w:pPr>
        <w:ind w:firstLine="470" w:firstLineChars="196"/>
        <w:rPr>
          <w:rFonts w:ascii="宋体" w:hAnsi="宋体"/>
          <w:szCs w:val="21"/>
        </w:rPr>
      </w:pPr>
      <w:r>
        <w:rPr>
          <w:rFonts w:ascii="宋体" w:hAnsi="宋体" w:hint="eastAsia"/>
          <w:szCs w:val="21"/>
        </w:rPr>
        <w:t>具体内容在招标文件专用条款中进行规定。</w:t>
      </w:r>
    </w:p>
    <w:p>
      <w:pPr>
        <w:rPr>
          <w:rFonts w:ascii="黑体" w:eastAsia="黑体" w:hAnsi="宋体"/>
          <w:sz w:val="24"/>
        </w:rPr>
      </w:pPr>
      <w:r>
        <w:rPr>
          <w:rFonts w:ascii="黑体" w:eastAsia="黑体" w:hAnsi="宋体"/>
          <w:sz w:val="24"/>
        </w:rPr>
        <w:t>16．投标文件格式</w:t>
      </w:r>
    </w:p>
    <w:p>
      <w:pPr>
        <w:ind w:firstLine="470"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pPr>
        <w:rPr>
          <w:rFonts w:ascii="黑体" w:eastAsia="黑体" w:hAnsi="宋体"/>
          <w:sz w:val="24"/>
        </w:rPr>
      </w:pPr>
      <w:r>
        <w:rPr>
          <w:rFonts w:ascii="黑体" w:eastAsia="黑体" w:hAnsi="宋体" w:hint="eastAsia"/>
          <w:sz w:val="24"/>
        </w:rPr>
        <w:t>17．投标货币</w:t>
      </w:r>
    </w:p>
    <w:p>
      <w:pPr>
        <w:ind w:firstLine="470" w:firstLineChars="196"/>
        <w:rPr>
          <w:rFonts w:ascii="宋体" w:hAnsi="宋体"/>
          <w:szCs w:val="21"/>
        </w:rPr>
      </w:pPr>
      <w:r>
        <w:rPr>
          <w:rFonts w:ascii="宋体" w:hAnsi="宋体" w:hint="eastAsia"/>
          <w:szCs w:val="21"/>
        </w:rPr>
        <w:t>本项目的投标报价应以人民币计。</w:t>
      </w:r>
    </w:p>
    <w:p>
      <w:pPr>
        <w:rPr>
          <w:rFonts w:ascii="黑体" w:eastAsia="黑体" w:hAnsi="宋体"/>
          <w:sz w:val="24"/>
        </w:rPr>
      </w:pPr>
      <w:bookmarkEnd w:id="101"/>
      <w:r>
        <w:rPr>
          <w:rFonts w:ascii="黑体" w:eastAsia="黑体" w:hAnsi="宋体" w:hint="eastAsia"/>
          <w:sz w:val="24"/>
        </w:rPr>
        <w:t>18．</w:t>
      </w:r>
      <w:bookmarkStart w:id="102" w:name="_Hlk72401735"/>
      <w:r>
        <w:rPr>
          <w:rFonts w:ascii="黑体" w:eastAsia="黑体" w:hAnsi="宋体" w:hint="eastAsia"/>
          <w:sz w:val="24"/>
        </w:rPr>
        <w:t>证明投标文件投标技术方案的合格性和符合招标文件规定的文件要求</w:t>
      </w:r>
    </w:p>
    <w:p>
      <w:pPr>
        <w:ind w:firstLine="470"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70" w:firstLineChars="196"/>
        <w:rPr>
          <w:rFonts w:ascii="宋体" w:hAnsi="宋体"/>
          <w:szCs w:val="21"/>
        </w:rPr>
      </w:pPr>
      <w:r>
        <w:rPr>
          <w:rFonts w:ascii="宋体" w:hAnsi="宋体" w:hint="eastAsia"/>
          <w:szCs w:val="21"/>
        </w:rPr>
        <w:t>18.2.1主要技术指标和性能的详细说明。</w:t>
      </w:r>
    </w:p>
    <w:p>
      <w:pPr>
        <w:ind w:firstLine="470"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pPr>
        <w:ind w:firstLine="470"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70"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pPr>
        <w:ind w:firstLine="470"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70"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pPr>
        <w:ind w:firstLine="470"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pPr>
        <w:ind w:firstLine="470"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pPr>
        <w:rPr>
          <w:rFonts w:ascii="黑体" w:eastAsia="黑体" w:hAnsi="宋体"/>
          <w:sz w:val="24"/>
        </w:rPr>
      </w:pPr>
      <w:bookmarkEnd w:id="102"/>
      <w:r>
        <w:rPr>
          <w:rFonts w:ascii="黑体" w:eastAsia="黑体" w:hAnsi="宋体" w:hint="eastAsia"/>
          <w:sz w:val="24"/>
        </w:rPr>
        <w:t>19．</w:t>
      </w:r>
      <w:bookmarkStart w:id="103" w:name="_Hlk72402034"/>
      <w:r>
        <w:rPr>
          <w:rFonts w:ascii="黑体" w:eastAsia="黑体" w:hAnsi="宋体" w:hint="eastAsia"/>
          <w:sz w:val="24"/>
        </w:rPr>
        <w:t>投标文件其他证明文件的要求</w:t>
      </w:r>
    </w:p>
    <w:p>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104" w:name="_Hlk71407299"/>
    </w:p>
    <w:p>
      <w:pPr>
        <w:ind w:firstLine="470" w:firstLineChars="196"/>
        <w:rPr>
          <w:rFonts w:ascii="宋体" w:hAnsi="宋体"/>
          <w:szCs w:val="21"/>
        </w:rPr>
      </w:pPr>
      <w:bookmarkEnd w:id="104"/>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eastAsia="黑体" w:hAnsi="宋体"/>
          <w:sz w:val="24"/>
        </w:rPr>
      </w:pPr>
      <w:r>
        <w:rPr>
          <w:rFonts w:ascii="黑体" w:eastAsia="黑体" w:hAnsi="宋体" w:hint="eastAsia"/>
          <w:sz w:val="24"/>
        </w:rPr>
        <w:t>20．投标有效期</w:t>
      </w:r>
    </w:p>
    <w:p>
      <w:pPr>
        <w:ind w:firstLine="470" w:firstLineChars="196"/>
        <w:rPr>
          <w:rFonts w:ascii="宋体" w:hAnsi="宋体"/>
          <w:szCs w:val="21"/>
        </w:rPr>
      </w:pPr>
      <w:bookmarkEnd w:id="103"/>
      <w:bookmarkStart w:id="105" w:name="_Hlk72402214"/>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pPr>
        <w:ind w:firstLine="470"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70"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pPr>
        <w:rPr>
          <w:rFonts w:ascii="黑体" w:eastAsia="黑体" w:hAnsi="宋体"/>
          <w:sz w:val="24"/>
        </w:rPr>
      </w:pPr>
      <w:bookmarkEnd w:id="105"/>
      <w:r>
        <w:rPr>
          <w:rFonts w:ascii="黑体" w:eastAsia="黑体" w:hAnsi="宋体" w:hint="eastAsia"/>
          <w:sz w:val="24"/>
        </w:rPr>
        <w:t>21．</w:t>
      </w:r>
      <w:bookmarkStart w:id="106" w:name="_Hlk72402325"/>
      <w:r>
        <w:rPr>
          <w:rFonts w:ascii="黑体" w:eastAsia="黑体" w:hAnsi="宋体" w:hint="eastAsia"/>
          <w:sz w:val="24"/>
        </w:rPr>
        <w:t xml:space="preserve">关于投标保证金 </w:t>
      </w:r>
    </w:p>
    <w:p>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eastAsia="黑体" w:hAnsi="宋体"/>
          <w:sz w:val="24"/>
        </w:rPr>
      </w:pPr>
      <w:r>
        <w:rPr>
          <w:rFonts w:ascii="黑体" w:eastAsia="黑体" w:hAnsi="宋体" w:hint="eastAsia"/>
          <w:sz w:val="24"/>
        </w:rPr>
        <w:t>22．投标人的替代方案</w:t>
      </w:r>
    </w:p>
    <w:p>
      <w:pPr>
        <w:ind w:firstLine="470"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70"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eastAsia="黑体" w:hAnsi="宋体"/>
          <w:sz w:val="24"/>
        </w:rPr>
      </w:pPr>
      <w:bookmarkEnd w:id="106"/>
      <w:r>
        <w:rPr>
          <w:rFonts w:ascii="黑体" w:eastAsia="黑体" w:hAnsi="宋体" w:hint="eastAsia"/>
          <w:sz w:val="24"/>
        </w:rPr>
        <w:t>23．</w:t>
      </w:r>
      <w:bookmarkStart w:id="107"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pPr>
        <w:ind w:firstLine="470" w:firstLineChars="196"/>
        <w:rPr>
          <w:rFonts w:ascii="宋体" w:hAnsi="宋体"/>
        </w:rPr>
      </w:pPr>
      <w:r>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t>http://zfcg.szggzy.com/</w:t>
      </w:r>
      <w:r>
        <w:rPr>
          <w:rFonts w:ascii="宋体" w:hAnsi="宋体" w:hint="eastAsia"/>
        </w:rPr>
        <w:t>TPBidder/DownLoad/深圳智慧采购平台投标文件制作专用软件.zip】。</w:t>
      </w:r>
    </w:p>
    <w:p>
      <w:pPr>
        <w:ind w:firstLine="470" w:firstLineChars="196"/>
        <w:rPr>
          <w:rFonts w:ascii="宋体" w:hAnsi="宋体"/>
        </w:rPr>
      </w:pPr>
      <w:r>
        <w:rPr>
          <w:rFonts w:ascii="宋体" w:hAnsi="宋体" w:hint="eastAsia"/>
        </w:rPr>
        <w:t>23.2投标人在使用《投标文件制作软件》编制投标书时须注意：</w:t>
      </w:r>
    </w:p>
    <w:p>
      <w:pPr>
        <w:ind w:firstLine="470" w:firstLineChars="196"/>
        <w:rPr>
          <w:rFonts w:ascii="宋体" w:hAnsi="宋体"/>
        </w:rPr>
      </w:pPr>
      <w:r>
        <w:rPr>
          <w:rFonts w:ascii="宋体" w:hAnsi="宋体" w:hint="eastAsia"/>
        </w:rPr>
        <w:t>23.2.1导入《投标文件制作软件》的招标文件项目编号、包号应与以此制作的投标文件项目编号、包号一致。例如，不能将甲项目A包的招标书导入《投标文件制作软件》，制作乙项目B包的投标书。</w:t>
      </w:r>
    </w:p>
    <w:p>
      <w:pPr>
        <w:ind w:firstLine="470" w:firstLineChars="196"/>
        <w:rPr>
          <w:rFonts w:ascii="宋体" w:hAnsi="宋体"/>
        </w:rPr>
      </w:pPr>
      <w:r>
        <w:rPr>
          <w:rFonts w:ascii="宋体" w:hAnsi="宋体" w:hint="eastAsia"/>
        </w:rPr>
        <w:t>23.2.2不能用非本公司的电子密钥加密本公司的投标文件，或者用其它公司的登录用户上传本公司的投标文件。</w:t>
      </w:r>
    </w:p>
    <w:p>
      <w:pPr>
        <w:ind w:firstLine="470" w:firstLineChars="196"/>
        <w:rPr>
          <w:rFonts w:ascii="宋体" w:hAnsi="宋体"/>
        </w:rPr>
      </w:pPr>
      <w:r>
        <w:rPr>
          <w:rFonts w:ascii="宋体" w:hAnsi="宋体" w:hint="eastAsia"/>
        </w:rPr>
        <w:t>23.2.3要求用《投标文件制作软件》编制投标书的包，不能用其它方式编制投标书。编制投标文件时，电脑须连通互联网。</w:t>
      </w:r>
    </w:p>
    <w:p>
      <w:pPr>
        <w:ind w:firstLine="470" w:firstLineChars="196"/>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pPr>
        <w:ind w:firstLine="470" w:firstLineChars="196"/>
        <w:rPr>
          <w:rFonts w:ascii="宋体" w:hAnsi="宋体"/>
        </w:rPr>
      </w:pPr>
      <w:r>
        <w:rPr>
          <w:rFonts w:ascii="宋体" w:hAnsi="宋体" w:hint="eastAsia"/>
        </w:rPr>
        <w:t>23.2.5完整填写“投标关键信息”，如下图所示：</w:t>
      </w:r>
    </w:p>
    <w:p>
      <w:pPr>
        <w:ind w:firstLine="470" w:firstLineChars="196"/>
        <w:rPr>
          <w:rFonts w:ascii="宋体" w:hAnsi="宋体"/>
        </w:rPr>
      </w:pPr>
      <w:r>
        <w:rPr>
          <w:rFonts w:ascii="宋体" w:hAnsi="宋体"/>
        </w:rPr>
        <w:pict>
          <v:shape id="_x0000_i1026" type="#_x0000_t75" alt="图形用户界面, 应用程序&#10;&#10;描述已自动生成" style="height:214.3pt;width:415.65pt" coordsize="21600,21600" o:preferrelative="t" filled="f" stroked="f">
            <v:imagedata r:id="rId5" o:title="图形用户界面, 应用程序&#10;&#10;描述已自动生成"/>
            <o:lock v:ext="edit" aspectratio="t"/>
            <w10:anchorlock/>
          </v:shape>
        </w:pict>
      </w:r>
    </w:p>
    <w:p>
      <w:pPr>
        <w:ind w:firstLine="470" w:firstLineChars="196"/>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pPr>
        <w:ind w:firstLine="470"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pPr>
        <w:ind w:firstLine="470" w:firstLineChars="196"/>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pPr>
        <w:ind w:firstLine="470" w:firstLineChars="196"/>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70"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pPr>
        <w:ind w:firstLine="470" w:firstLineChars="196"/>
        <w:rPr>
          <w:rFonts w:ascii="宋体" w:hAnsi="宋体"/>
        </w:rPr>
      </w:pPr>
      <w:r>
        <w:rPr>
          <w:rFonts w:ascii="宋体" w:hAnsi="宋体" w:hint="eastAsia"/>
        </w:rPr>
        <w:t>23.3电报、电话、传真形式的投标概不接受。</w:t>
      </w:r>
    </w:p>
    <w:p>
      <w:pPr>
        <w:ind w:firstLine="470"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pPr>
        <w:ind w:firstLine="470"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107"/>
    </w:p>
    <w:p>
      <w:pPr>
        <w:pStyle w:val="Heading2"/>
        <w:numPr>
          <w:ilvl w:val="0"/>
          <w:numId w:val="7"/>
        </w:numPr>
        <w:spacing w:before="120" w:beforeLines="50" w:after="120" w:afterLines="50"/>
        <w:ind w:left="562" w:hanging="562"/>
        <w:rPr>
          <w:sz w:val="28"/>
          <w:szCs w:val="28"/>
        </w:rPr>
      </w:pPr>
      <w:r>
        <w:rPr>
          <w:rFonts w:hint="eastAsia"/>
          <w:sz w:val="28"/>
          <w:szCs w:val="28"/>
        </w:rPr>
        <w:t>投标文件的递交</w:t>
      </w:r>
      <w:bookmarkStart w:id="108" w:name="_Hlk72405459"/>
    </w:p>
    <w:p>
      <w:pPr>
        <w:rPr>
          <w:rFonts w:ascii="黑体" w:eastAsia="黑体" w:hAnsi="宋体"/>
          <w:sz w:val="24"/>
        </w:rPr>
      </w:pPr>
      <w:r>
        <w:rPr>
          <w:rFonts w:ascii="黑体" w:eastAsia="黑体" w:hAnsi="宋体" w:hint="eastAsia"/>
          <w:sz w:val="24"/>
        </w:rPr>
        <w:t>24．投标书的保密</w:t>
      </w:r>
    </w:p>
    <w:p>
      <w:pPr>
        <w:ind w:firstLine="470" w:firstLineChars="196"/>
        <w:rPr>
          <w:rFonts w:ascii="宋体" w:hAnsi="宋体"/>
        </w:rPr>
      </w:pPr>
      <w:r>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ind w:firstLine="470" w:firstLineChars="196"/>
        <w:rPr>
          <w:rFonts w:ascii="宋体" w:hAnsi="宋体"/>
        </w:rPr>
      </w:pPr>
      <w:r>
        <w:rPr>
          <w:rFonts w:ascii="宋体" w:hAnsi="宋体"/>
        </w:rPr>
        <w:pict>
          <v:shape id="_x0000_i1027" type="#_x0000_t75" alt="图形用户界面, 应用程序&#10;&#10;描述已自动生成" style="height:214.3pt;width:415.65pt" coordsize="21600,21600" o:preferrelative="t" filled="f" stroked="f">
            <v:imagedata r:id="rId5" o:title="图形用户界面, 应用程序&#10;&#10;描述已自动生成"/>
            <o:lock v:ext="edit" aspectratio="t"/>
            <w10:anchorlock/>
          </v:shape>
        </w:pict>
      </w:r>
    </w:p>
    <w:p>
      <w:pPr>
        <w:ind w:firstLine="470" w:firstLineChars="196"/>
        <w:rPr>
          <w:rFonts w:ascii="宋体" w:hAnsi="宋体"/>
        </w:rPr>
      </w:pPr>
      <w:r>
        <w:rPr>
          <w:rFonts w:ascii="宋体" w:hAnsi="宋体" w:hint="eastAsia"/>
        </w:rPr>
        <w:t>在投标文件制作软件点击【生成标书】按钮进入【填写开标一览表界面】界面，在该界面填写完开标一览表信息后点击【确定】，进入投标文件生成环节。</w:t>
      </w:r>
      <w:r>
        <w:rPr>
          <w:rFonts w:ascii="宋体" w:hAnsi="宋体"/>
        </w:rPr>
        <w:pict>
          <v:shape id="_x0000_i1028" type="#_x0000_t75" alt="图形用户界面&#10;&#10;描述已自动生成" style="height:215.15pt;width:415.65pt" coordsize="21600,21600" o:preferrelative="t" filled="f" stroked="f">
            <v:imagedata r:id="rId6" o:title="图形用户界面&#10;&#10;描述已自动生成"/>
            <o:lock v:ext="edit" aspectratio="t"/>
            <w10:anchorlock/>
          </v:shape>
        </w:pict>
      </w:r>
    </w:p>
    <w:p>
      <w:pPr>
        <w:ind w:firstLine="470" w:firstLineChars="196"/>
        <w:rPr>
          <w:rFonts w:ascii="宋体" w:hAnsi="宋体"/>
        </w:rPr>
      </w:pPr>
      <w:r>
        <w:rPr>
          <w:rFonts w:ascii="宋体" w:hAnsi="宋体" w:hint="eastAsia"/>
        </w:rPr>
        <w:t>投标文件制作软件会在投标文件生成过程中，提示用户输入密码，输入密码后对投标文件自动进行加密。</w:t>
      </w:r>
    </w:p>
    <w:p>
      <w:pPr>
        <w:ind w:firstLine="480" w:firstLineChars="200"/>
        <w:rPr>
          <w:rFonts w:ascii="宋体" w:hAnsi="宋体"/>
          <w:b/>
        </w:rPr>
      </w:pPr>
      <w:r>
        <w:rPr>
          <w:rFonts w:ascii="宋体" w:hAnsi="宋体" w:hint="eastAsia"/>
          <w:b/>
        </w:rPr>
        <w:t>24.2若采购项目出现延期情况：</w:t>
      </w:r>
    </w:p>
    <w:p>
      <w:pPr>
        <w:ind w:firstLine="480" w:firstLineChars="200"/>
        <w:rPr>
          <w:rFonts w:ascii="黑体" w:eastAsia="黑体" w:hAnsi="宋体"/>
          <w:b/>
          <w:sz w:val="24"/>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pPr>
        <w:rPr>
          <w:rFonts w:ascii="黑体" w:eastAsia="黑体" w:hAnsi="宋体"/>
          <w:sz w:val="24"/>
        </w:rPr>
      </w:pPr>
      <w:r>
        <w:rPr>
          <w:rFonts w:ascii="黑体" w:eastAsia="黑体" w:hAnsi="宋体" w:hint="eastAsia"/>
          <w:sz w:val="24"/>
        </w:rPr>
        <w:t>25．上传投标文件及投标截止日期</w:t>
      </w:r>
    </w:p>
    <w:p>
      <w:pPr>
        <w:ind w:firstLine="470" w:firstLineChars="196"/>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http://zfcg.szggzy.com/TPBidder/memberLogin）”，用“【我的项目】→【项目流程】→【递交投标(应答)文件】”功能点上传投标文件。如果确有困难，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深圳公共资源交易中心（深圳交易集团有限公司政府采购业务分公司）3楼304室（地址：深圳市福田区景田路70号雅枫国际酒店北侧交易集团评审区三楼），联系方式：83948100，83938584，83938599。</w:t>
      </w:r>
    </w:p>
    <w:p>
      <w:pPr>
        <w:ind w:firstLine="470" w:firstLineChars="196"/>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70"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pPr>
        <w:ind w:firstLine="470" w:firstLineChars="196"/>
        <w:rPr>
          <w:rFonts w:ascii="宋体" w:hAnsi="宋体"/>
        </w:rPr>
      </w:pPr>
      <w:r>
        <w:rPr>
          <w:rFonts w:ascii="宋体" w:hAnsi="宋体" w:hint="eastAsia"/>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rPr>
          <w:rFonts w:ascii="黑体" w:eastAsia="黑体" w:hAnsi="宋体"/>
          <w:sz w:val="24"/>
        </w:rPr>
      </w:pPr>
      <w:bookmarkEnd w:id="108"/>
      <w:r>
        <w:rPr>
          <w:rFonts w:ascii="黑体" w:eastAsia="黑体" w:hAnsi="宋体" w:hint="eastAsia"/>
          <w:sz w:val="24"/>
        </w:rPr>
        <w:t>26. 样品、现场演示、方案讲解</w:t>
      </w:r>
    </w:p>
    <w:p>
      <w:pPr>
        <w:ind w:firstLine="470" w:firstLineChars="196"/>
        <w:rPr>
          <w:rFonts w:ascii="宋体" w:hAnsi="宋体"/>
          <w:szCs w:val="21"/>
        </w:rPr>
      </w:pPr>
      <w:r>
        <w:rPr>
          <w:rFonts w:ascii="宋体" w:hAnsi="宋体" w:hint="eastAsia"/>
          <w:szCs w:val="21"/>
        </w:rPr>
        <w:t>26.1 样品、现场演示、方案讲解等事项在招标文件专用条款中进行规定。</w:t>
      </w:r>
    </w:p>
    <w:p>
      <w:pPr>
        <w:rPr>
          <w:rFonts w:ascii="黑体" w:eastAsia="黑体" w:hAnsi="宋体"/>
          <w:sz w:val="24"/>
        </w:rPr>
      </w:pPr>
      <w:bookmarkStart w:id="109"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pPr>
        <w:ind w:firstLine="470"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pPr>
        <w:ind w:firstLine="470" w:firstLineChars="196"/>
        <w:rPr>
          <w:rFonts w:ascii="宋体" w:hAnsi="宋体"/>
          <w:szCs w:val="21"/>
        </w:rPr>
      </w:pPr>
      <w:r>
        <w:rPr>
          <w:rFonts w:ascii="宋体" w:hAnsi="宋体" w:hint="eastAsia"/>
          <w:szCs w:val="21"/>
        </w:rPr>
        <w:t>27.4政府集中采购机构不退还投标文件，专用条款另有规定的除外。</w:t>
      </w:r>
    </w:p>
    <w:p>
      <w:pPr>
        <w:pStyle w:val="Heading2"/>
        <w:numPr>
          <w:ilvl w:val="0"/>
          <w:numId w:val="7"/>
        </w:numPr>
        <w:spacing w:before="120" w:beforeLines="50" w:after="120" w:afterLines="50"/>
        <w:ind w:left="562" w:hanging="562"/>
        <w:rPr>
          <w:sz w:val="28"/>
          <w:szCs w:val="28"/>
        </w:rPr>
      </w:pPr>
      <w:bookmarkEnd w:id="109"/>
      <w:r>
        <w:rPr>
          <w:rFonts w:hint="eastAsia"/>
          <w:sz w:val="28"/>
          <w:szCs w:val="28"/>
        </w:rPr>
        <w:t>开标</w:t>
      </w:r>
    </w:p>
    <w:p>
      <w:pPr>
        <w:rPr>
          <w:rFonts w:ascii="黑体" w:eastAsia="黑体" w:hAnsi="宋体"/>
          <w:sz w:val="24"/>
        </w:rPr>
      </w:pPr>
      <w:r>
        <w:rPr>
          <w:rFonts w:ascii="黑体" w:eastAsia="黑体" w:hAnsi="宋体" w:hint="eastAsia"/>
          <w:sz w:val="24"/>
        </w:rPr>
        <w:t>28．开标</w:t>
      </w:r>
    </w:p>
    <w:p>
      <w:pPr>
        <w:ind w:firstLine="480" w:firstLineChars="200"/>
        <w:rPr>
          <w:rFonts w:ascii="宋体" w:hAnsi="宋体"/>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w:t>
      </w:r>
      <w:r>
        <w:rPr>
          <w:rFonts w:ascii="宋体" w:hAnsi="宋体"/>
        </w:rPr>
        <w:t>http://zfcg.szggzy.com/</w:t>
      </w:r>
      <w:r>
        <w:rPr>
          <w:rFonts w:ascii="宋体" w:hAnsi="宋体" w:hint="eastAsia"/>
        </w:rPr>
        <w:t>TPBidder/memberLogin）”，使用本单位制作电子投标文件同一个电子密钥，在“【我的项目】→【项目流程】→【开标及解密】”进行在线解密、查询开标情况。</w:t>
      </w:r>
    </w:p>
    <w:p>
      <w:pPr>
        <w:ind w:firstLine="410" w:firstLineChars="171"/>
        <w:rPr>
          <w:rFonts w:ascii="宋体" w:hAnsi="宋体"/>
          <w:szCs w:val="21"/>
        </w:rPr>
      </w:pPr>
      <w:r>
        <w:rPr>
          <w:rFonts w:ascii="宋体" w:hAnsi="宋体" w:hint="eastAsia"/>
          <w:szCs w:val="21"/>
        </w:rPr>
        <w:t>2</w:t>
      </w:r>
      <w:r>
        <w:rPr>
          <w:rFonts w:ascii="宋体" w:hAnsi="宋体"/>
          <w:szCs w:val="21"/>
        </w:rPr>
        <w:t xml:space="preserve">8.2 </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pPr>
        <w:pStyle w:val="Heading2"/>
        <w:numPr>
          <w:ilvl w:val="0"/>
          <w:numId w:val="7"/>
        </w:numPr>
        <w:spacing w:before="120" w:beforeLines="50" w:after="120" w:afterLines="50"/>
        <w:ind w:left="562" w:hanging="562"/>
        <w:rPr>
          <w:sz w:val="28"/>
          <w:szCs w:val="28"/>
        </w:rPr>
      </w:pPr>
      <w:r>
        <w:rPr>
          <w:rFonts w:hint="eastAsia"/>
          <w:sz w:val="28"/>
          <w:szCs w:val="28"/>
        </w:rPr>
        <w:t>评审要求</w:t>
      </w:r>
    </w:p>
    <w:p>
      <w:pPr>
        <w:rPr>
          <w:rFonts w:ascii="黑体" w:eastAsia="黑体" w:hAnsi="宋体"/>
          <w:sz w:val="24"/>
        </w:rPr>
      </w:pPr>
      <w:r>
        <w:rPr>
          <w:rFonts w:ascii="黑体" w:eastAsia="黑体" w:hAnsi="宋体" w:hint="eastAsia"/>
          <w:sz w:val="24"/>
        </w:rPr>
        <w:t>29．评审委员会组成</w:t>
      </w:r>
    </w:p>
    <w:p>
      <w:pPr>
        <w:ind w:firstLine="470"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pPr>
        <w:ind w:firstLine="470" w:firstLineChars="196"/>
        <w:rPr>
          <w:rFonts w:ascii="宋体" w:hAnsi="宋体"/>
        </w:rPr>
      </w:pPr>
      <w:bookmarkStart w:id="110"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110"/>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pPr>
        <w:ind w:firstLine="470" w:firstLineChars="196"/>
        <w:rPr>
          <w:rFonts w:ascii="宋体" w:hAnsi="宋体"/>
        </w:rPr>
      </w:pPr>
      <w:r>
        <w:rPr>
          <w:rFonts w:ascii="宋体" w:hAnsi="宋体" w:hint="eastAsia"/>
        </w:rPr>
        <w:t>29.2评审定标应当遵循公平、公正、科学、择优的原则。</w:t>
      </w:r>
    </w:p>
    <w:p>
      <w:pPr>
        <w:ind w:firstLine="470" w:firstLineChars="196"/>
        <w:rPr>
          <w:rFonts w:ascii="宋体" w:hAnsi="宋体"/>
        </w:rPr>
      </w:pPr>
      <w:r>
        <w:rPr>
          <w:rFonts w:ascii="宋体" w:hAnsi="宋体" w:hint="eastAsia"/>
        </w:rPr>
        <w:t>29.3评审活动依法进行，任何单位和个人不得非法干预评标过程和结果。</w:t>
      </w:r>
    </w:p>
    <w:p>
      <w:pPr>
        <w:ind w:firstLine="470" w:firstLineChars="196"/>
        <w:rPr>
          <w:rFonts w:ascii="宋体" w:hAnsi="宋体"/>
        </w:rPr>
      </w:pPr>
      <w:r>
        <w:rPr>
          <w:rFonts w:ascii="宋体" w:hAnsi="宋体" w:hint="eastAsia"/>
        </w:rPr>
        <w:t>29.4评审过程中不允许违背评标程序或采用招标文件未载明的评标方法或评标因素进行评标。</w:t>
      </w:r>
    </w:p>
    <w:p>
      <w:pPr>
        <w:ind w:firstLine="470"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pPr>
        <w:rPr>
          <w:rFonts w:ascii="黑体" w:eastAsia="黑体" w:hAnsi="宋体"/>
          <w:sz w:val="24"/>
        </w:rPr>
      </w:pPr>
      <w:r>
        <w:rPr>
          <w:rFonts w:ascii="黑体" w:eastAsia="黑体" w:hAnsi="宋体" w:hint="eastAsia"/>
          <w:sz w:val="24"/>
        </w:rPr>
        <w:t>30．向评审委员会提供的资料</w:t>
      </w:r>
    </w:p>
    <w:p>
      <w:pPr>
        <w:ind w:firstLine="470" w:firstLineChars="196"/>
        <w:rPr>
          <w:rFonts w:ascii="宋体" w:hAnsi="宋体"/>
        </w:rPr>
      </w:pPr>
      <w:r>
        <w:rPr>
          <w:rFonts w:ascii="宋体" w:hAnsi="宋体" w:hint="eastAsia"/>
        </w:rPr>
        <w:t>30.1公开发布的招标文件，包括图纸、服务清单、答疑文件等；</w:t>
      </w:r>
    </w:p>
    <w:p>
      <w:pPr>
        <w:ind w:firstLine="470" w:firstLineChars="196"/>
        <w:rPr>
          <w:rFonts w:ascii="宋体" w:hAnsi="宋体"/>
        </w:rPr>
      </w:pPr>
      <w:r>
        <w:rPr>
          <w:rFonts w:ascii="宋体" w:hAnsi="宋体" w:hint="eastAsia"/>
        </w:rPr>
        <w:t>30.2其他评标必须的资料。</w:t>
      </w:r>
    </w:p>
    <w:p>
      <w:pPr>
        <w:ind w:firstLine="470"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pPr>
        <w:ind w:firstLine="470" w:firstLineChars="196"/>
        <w:rPr>
          <w:rFonts w:ascii="宋体" w:hAnsi="宋体"/>
        </w:rPr>
      </w:pPr>
      <w:r>
        <w:rPr>
          <w:rFonts w:ascii="宋体" w:hAnsi="宋体" w:hint="eastAsia"/>
        </w:rPr>
        <w:t>（1）招标的目的；</w:t>
      </w:r>
    </w:p>
    <w:p>
      <w:pPr>
        <w:ind w:firstLine="470" w:firstLineChars="196"/>
        <w:rPr>
          <w:rFonts w:ascii="宋体" w:hAnsi="宋体"/>
        </w:rPr>
      </w:pPr>
      <w:r>
        <w:rPr>
          <w:rFonts w:ascii="宋体" w:hAnsi="宋体" w:hint="eastAsia"/>
        </w:rPr>
        <w:t>（2）招标项目需求的范围和性质；</w:t>
      </w:r>
    </w:p>
    <w:p>
      <w:pPr>
        <w:ind w:firstLine="470" w:firstLineChars="196"/>
        <w:rPr>
          <w:rFonts w:ascii="宋体" w:hAnsi="宋体"/>
        </w:rPr>
      </w:pPr>
      <w:r>
        <w:rPr>
          <w:rFonts w:ascii="宋体" w:hAnsi="宋体" w:hint="eastAsia"/>
        </w:rPr>
        <w:t>（3）招标文件规定的投标人的资格、财政预算限额、商务条款；</w:t>
      </w:r>
    </w:p>
    <w:p>
      <w:pPr>
        <w:ind w:firstLine="470" w:firstLineChars="196"/>
        <w:rPr>
          <w:rFonts w:ascii="宋体" w:hAnsi="宋体"/>
        </w:rPr>
      </w:pPr>
      <w:r>
        <w:rPr>
          <w:rFonts w:ascii="宋体" w:hAnsi="宋体" w:hint="eastAsia"/>
        </w:rPr>
        <w:t>（4）招标文件规定的评标程序、评标方法和评标因素；</w:t>
      </w:r>
    </w:p>
    <w:p>
      <w:pPr>
        <w:ind w:firstLine="470" w:firstLineChars="196"/>
        <w:rPr>
          <w:rFonts w:ascii="宋体" w:hAnsi="宋体"/>
        </w:rPr>
      </w:pPr>
      <w:r>
        <w:rPr>
          <w:rFonts w:ascii="宋体" w:hAnsi="宋体" w:hint="eastAsia"/>
        </w:rPr>
        <w:t>（5）招标文件所列示的资格性审查表及符合性审查表。</w:t>
      </w:r>
    </w:p>
    <w:p>
      <w:pPr>
        <w:rPr>
          <w:rFonts w:ascii="黑体" w:eastAsia="黑体" w:hAnsi="宋体"/>
          <w:sz w:val="24"/>
        </w:rPr>
      </w:pPr>
      <w:r>
        <w:rPr>
          <w:rFonts w:ascii="黑体" w:eastAsia="黑体" w:hAnsi="宋体" w:hint="eastAsia"/>
          <w:sz w:val="24"/>
        </w:rPr>
        <w:t>31．独立评审</w:t>
      </w:r>
    </w:p>
    <w:p>
      <w:pPr>
        <w:ind w:firstLine="470"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pPr>
        <w:pStyle w:val="Heading2"/>
        <w:numPr>
          <w:ilvl w:val="0"/>
          <w:numId w:val="7"/>
        </w:numPr>
        <w:spacing w:before="120" w:beforeLines="50" w:after="120" w:afterLines="50"/>
        <w:ind w:left="562" w:hanging="562"/>
        <w:rPr>
          <w:sz w:val="28"/>
          <w:szCs w:val="28"/>
        </w:rPr>
      </w:pPr>
      <w:r>
        <w:rPr>
          <w:rFonts w:hint="eastAsia"/>
          <w:sz w:val="28"/>
          <w:szCs w:val="28"/>
        </w:rPr>
        <w:t>评审程序及评审方法</w:t>
      </w:r>
    </w:p>
    <w:p>
      <w:pPr>
        <w:rPr>
          <w:rFonts w:ascii="黑体" w:eastAsia="黑体" w:hAnsi="宋体"/>
          <w:sz w:val="24"/>
        </w:rPr>
      </w:pPr>
      <w:r>
        <w:rPr>
          <w:rFonts w:ascii="黑体" w:eastAsia="黑体" w:hAnsi="宋体" w:hint="eastAsia"/>
          <w:sz w:val="24"/>
        </w:rPr>
        <w:t>32．投标文件初审</w:t>
      </w:r>
    </w:p>
    <w:p>
      <w:pPr>
        <w:ind w:firstLine="470" w:firstLineChars="196"/>
        <w:rPr>
          <w:rFonts w:ascii="宋体" w:hAnsi="宋体"/>
        </w:rPr>
      </w:pPr>
      <w:r>
        <w:rPr>
          <w:rFonts w:ascii="宋体" w:hAnsi="宋体" w:hint="eastAsia"/>
        </w:rPr>
        <w:t>32.1投标文件初审包括资格性审查和符合性审查。</w:t>
      </w:r>
    </w:p>
    <w:p>
      <w:pPr>
        <w:ind w:firstLine="470"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pPr>
        <w:ind w:firstLine="470"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pPr>
        <w:ind w:firstLine="470"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pPr>
        <w:ind w:firstLine="470" w:firstLineChars="196"/>
        <w:rPr>
          <w:rFonts w:ascii="宋体" w:hAnsi="宋体"/>
          <w:bCs/>
        </w:rPr>
      </w:pPr>
      <w:r>
        <w:rPr>
          <w:rFonts w:ascii="宋体" w:hAnsi="宋体" w:hint="eastAsia"/>
          <w:bCs/>
        </w:rPr>
        <w:t>32.3 投标文件初审中关于供应商家数的计算:</w:t>
      </w:r>
    </w:p>
    <w:p>
      <w:pPr>
        <w:ind w:firstLine="470"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70"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pPr>
        <w:ind w:firstLine="470"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pPr>
        <w:ind w:firstLine="470" w:firstLineChars="196"/>
        <w:rPr>
          <w:rFonts w:ascii="宋体" w:hAnsi="宋体"/>
        </w:rPr>
      </w:pPr>
      <w:r>
        <w:rPr>
          <w:rFonts w:ascii="宋体" w:hAnsi="宋体" w:hint="eastAsia"/>
        </w:rPr>
        <w:t>32.4投标人投标文件作无效处理的情形，具体包括但不限于以下：</w:t>
      </w:r>
    </w:p>
    <w:p>
      <w:pPr>
        <w:ind w:firstLine="470" w:firstLineChars="196"/>
      </w:pPr>
      <w:r>
        <w:rPr>
          <w:rFonts w:ascii="宋体" w:hAnsi="宋体" w:hint="eastAsia"/>
        </w:rPr>
        <w:t>32.4.1</w:t>
      </w:r>
      <w:r>
        <w:rPr>
          <w:rFonts w:hint="eastAsia"/>
        </w:rPr>
        <w:t>不同投标人的投标文件由同一单位或者同一个人编制，或者由同一个人分阶段参与编制；</w:t>
      </w:r>
    </w:p>
    <w:p>
      <w:pPr>
        <w:ind w:firstLine="470" w:firstLineChars="196"/>
      </w:pPr>
      <w:r>
        <w:rPr>
          <w:rFonts w:ascii="宋体" w:hAnsi="宋体"/>
        </w:rPr>
        <w:t>32.4.</w:t>
      </w:r>
      <w:r>
        <w:rPr>
          <w:rFonts w:ascii="宋体" w:hAnsi="宋体" w:hint="eastAsia"/>
        </w:rPr>
        <w:t>2</w:t>
      </w:r>
      <w:r>
        <w:rPr>
          <w:rFonts w:hint="eastAsia"/>
        </w:rPr>
        <w:t>不同投标人委托同一单位或者个人办理投标事宜；</w:t>
      </w:r>
    </w:p>
    <w:p>
      <w:pPr>
        <w:ind w:firstLine="470" w:firstLineChars="196"/>
        <w:rPr>
          <w:rFonts w:ascii="宋体" w:hAnsi="宋体"/>
        </w:rPr>
      </w:pPr>
      <w:r>
        <w:rPr>
          <w:rFonts w:ascii="宋体" w:hAnsi="宋体" w:hint="eastAsia"/>
        </w:rPr>
        <w:t>32.4.3不同投标人的投标文件载明的项目管理成员或者联系人员为同一人；</w:t>
      </w:r>
    </w:p>
    <w:p>
      <w:pPr>
        <w:ind w:firstLine="470" w:firstLineChars="196"/>
        <w:rPr>
          <w:rFonts w:ascii="宋体" w:hAnsi="宋体"/>
        </w:rPr>
      </w:pPr>
      <w:r>
        <w:rPr>
          <w:rFonts w:ascii="宋体" w:hAnsi="宋体" w:hint="eastAsia"/>
        </w:rPr>
        <w:t>32.4.4不同投标人的投标文件异常一致或者投标报价呈规律性差异；</w:t>
      </w:r>
    </w:p>
    <w:p>
      <w:pPr>
        <w:ind w:firstLine="470"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pPr>
        <w:ind w:firstLine="470" w:firstLineChars="196"/>
        <w:rPr>
          <w:rFonts w:ascii="宋体" w:hAnsi="宋体"/>
        </w:rPr>
      </w:pPr>
      <w:r>
        <w:rPr>
          <w:rFonts w:ascii="宋体" w:hAnsi="宋体" w:hint="eastAsia"/>
        </w:rPr>
        <w:t>32.4.6投标供应商之间相互约定给予未中标的供应商利益补偿；</w:t>
      </w:r>
    </w:p>
    <w:p>
      <w:pPr>
        <w:ind w:firstLine="470"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pPr>
        <w:ind w:firstLine="470" w:firstLineChars="196"/>
        <w:rPr>
          <w:rFonts w:ascii="宋体" w:hAnsi="宋体"/>
        </w:rPr>
      </w:pPr>
      <w:r>
        <w:rPr>
          <w:rFonts w:ascii="宋体" w:hAnsi="宋体" w:hint="eastAsia"/>
        </w:rPr>
        <w:t>32.4.8不同投标供应商的投标文件内容存在非正常一致；</w:t>
      </w:r>
    </w:p>
    <w:p>
      <w:pPr>
        <w:ind w:firstLine="470" w:firstLineChars="196"/>
        <w:rPr>
          <w:rFonts w:ascii="宋体" w:hAnsi="宋体"/>
        </w:rPr>
      </w:pPr>
      <w:r>
        <w:rPr>
          <w:rFonts w:ascii="宋体" w:hAnsi="宋体" w:hint="eastAsia"/>
        </w:rPr>
        <w:t>32.4.9在同一单位工作人员为两家以上（含两家）供应商进行同一项投标活动；</w:t>
      </w:r>
    </w:p>
    <w:p>
      <w:pPr>
        <w:ind w:firstLine="470" w:firstLineChars="196"/>
        <w:rPr>
          <w:rFonts w:ascii="宋体" w:hAnsi="宋体"/>
        </w:rPr>
      </w:pPr>
      <w:r>
        <w:rPr>
          <w:rFonts w:ascii="宋体" w:hAnsi="宋体" w:hint="eastAsia"/>
        </w:rPr>
        <w:t>32.4.10主管部门依照法律、法规认定的其他情形。</w:t>
      </w:r>
    </w:p>
    <w:p>
      <w:pPr>
        <w:ind w:firstLine="470" w:firstLineChars="196"/>
        <w:rPr>
          <w:rFonts w:ascii="宋体" w:hAnsi="宋体" w:hint="eastAsia"/>
        </w:rPr>
      </w:pPr>
      <w:r>
        <w:rPr>
          <w:rFonts w:ascii="宋体" w:hAnsi="宋体" w:hint="eastAsia"/>
        </w:rPr>
        <w:t>32.5对不属于《资格性审查表》和《符合性审查表》所列的其他情形，除专用条款另有规定和32.4条款所列情形外，不得作为投标无效的理由。</w:t>
      </w:r>
    </w:p>
    <w:p>
      <w:pPr>
        <w:ind w:firstLine="470" w:firstLineChars="196"/>
        <w:rPr>
          <w:rFonts w:ascii="宋体" w:hAnsi="宋体" w:hint="eastAsia"/>
        </w:rPr>
      </w:pPr>
      <w:r>
        <w:rPr>
          <w:rFonts w:ascii="宋体" w:hAnsi="宋体" w:hint="eastAsia"/>
        </w:rPr>
        <w:t>32.6不同投标人的“文件制作时间”“文件制作机器码”“文件创建标识码”“IP”“上传时间”等信息异常一致的，不得作为投标无效的理由。如出现上述异常情况，应报主管部门处理。</w:t>
      </w:r>
    </w:p>
    <w:p>
      <w:pPr>
        <w:rPr>
          <w:rFonts w:ascii="黑体" w:eastAsia="黑体" w:hAnsi="宋体"/>
          <w:sz w:val="24"/>
        </w:rPr>
      </w:pPr>
      <w:r>
        <w:rPr>
          <w:rFonts w:ascii="黑体" w:eastAsia="黑体" w:hAnsi="宋体" w:hint="eastAsia"/>
          <w:sz w:val="24"/>
        </w:rPr>
        <w:t>33．澄清有关问题</w:t>
      </w:r>
    </w:p>
    <w:p>
      <w:pPr>
        <w:ind w:firstLine="470" w:firstLineChars="196"/>
        <w:rPr>
          <w:rFonts w:ascii="宋体" w:hAnsi="宋体"/>
        </w:rPr>
      </w:pPr>
      <w:bookmarkStart w:id="111"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111"/>
    </w:p>
    <w:p>
      <w:pPr>
        <w:ind w:firstLine="470"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70"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pPr>
        <w:ind w:firstLine="470"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70"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pPr>
        <w:rPr>
          <w:rFonts w:ascii="黑体" w:eastAsia="黑体" w:hAnsi="宋体"/>
          <w:sz w:val="24"/>
        </w:rPr>
      </w:pPr>
      <w:bookmarkStart w:id="112" w:name="_Toc73518151"/>
      <w:bookmarkStart w:id="113" w:name="_Toc73521581"/>
      <w:bookmarkStart w:id="114" w:name="_Toc73521669"/>
      <w:bookmarkStart w:id="115" w:name="_Toc73517673"/>
      <w:bookmarkStart w:id="116" w:name="_Toc100052400"/>
      <w:r>
        <w:rPr>
          <w:rFonts w:ascii="黑体" w:eastAsia="黑体" w:hAnsi="宋体" w:hint="eastAsia"/>
          <w:sz w:val="24"/>
        </w:rPr>
        <w:t>34．错误的修正</w:t>
      </w:r>
      <w:bookmarkEnd w:id="112"/>
      <w:bookmarkEnd w:id="113"/>
      <w:bookmarkEnd w:id="114"/>
      <w:bookmarkEnd w:id="115"/>
      <w:bookmarkEnd w:id="116"/>
    </w:p>
    <w:p>
      <w:pPr>
        <w:ind w:firstLine="470" w:firstLineChars="196"/>
        <w:rPr>
          <w:rFonts w:ascii="宋体" w:hAnsi="宋体"/>
          <w:szCs w:val="21"/>
        </w:rPr>
      </w:pPr>
      <w:r>
        <w:rPr>
          <w:rFonts w:ascii="宋体" w:hAnsi="宋体" w:hint="eastAsia"/>
          <w:szCs w:val="21"/>
        </w:rPr>
        <w:t>投标文件报价出现前后不一致的，除专用条款另有规定外，按照下列规定修正：</w:t>
      </w:r>
    </w:p>
    <w:p>
      <w:pPr>
        <w:ind w:firstLine="470"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pPr>
        <w:ind w:firstLine="470" w:firstLineChars="196"/>
        <w:rPr>
          <w:rFonts w:ascii="宋体" w:hAnsi="宋体"/>
          <w:szCs w:val="21"/>
        </w:rPr>
      </w:pPr>
      <w:r>
        <w:rPr>
          <w:rFonts w:ascii="宋体" w:hAnsi="宋体" w:hint="eastAsia"/>
          <w:szCs w:val="21"/>
        </w:rPr>
        <w:t>34.2大写金额和小写金额不一致的，以大写金额为准；</w:t>
      </w:r>
    </w:p>
    <w:p>
      <w:pPr>
        <w:ind w:firstLine="470" w:firstLineChars="196"/>
        <w:rPr>
          <w:rFonts w:ascii="宋体" w:hAnsi="宋体"/>
          <w:szCs w:val="21"/>
        </w:rPr>
      </w:pPr>
      <w:r>
        <w:rPr>
          <w:rFonts w:ascii="宋体" w:hAnsi="宋体" w:hint="eastAsia"/>
          <w:szCs w:val="21"/>
        </w:rPr>
        <w:t>34.3单价金额小数点或者百分比有明显错位，以开标一览表的总价为准，并修改单价；</w:t>
      </w:r>
    </w:p>
    <w:p>
      <w:pPr>
        <w:ind w:firstLine="470" w:firstLineChars="196"/>
        <w:rPr>
          <w:rFonts w:ascii="宋体" w:hAnsi="宋体"/>
          <w:szCs w:val="21"/>
        </w:rPr>
      </w:pPr>
      <w:r>
        <w:rPr>
          <w:rFonts w:ascii="宋体" w:hAnsi="宋体" w:hint="eastAsia"/>
          <w:szCs w:val="21"/>
        </w:rPr>
        <w:t>34.4总价金额与按单价汇总金额不一致的，以单价金额计算结果为准。</w:t>
      </w:r>
    </w:p>
    <w:p>
      <w:pPr>
        <w:ind w:firstLine="470"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pPr>
        <w:rPr>
          <w:rFonts w:ascii="黑体" w:eastAsia="黑体" w:hAnsi="宋体"/>
          <w:sz w:val="24"/>
        </w:rPr>
      </w:pPr>
      <w:r>
        <w:rPr>
          <w:rFonts w:ascii="黑体" w:eastAsia="黑体" w:hAnsi="宋体" w:hint="eastAsia"/>
          <w:sz w:val="24"/>
        </w:rPr>
        <w:t>35．投标文件的比较与评价</w:t>
      </w:r>
    </w:p>
    <w:p>
      <w:pPr>
        <w:ind w:firstLine="470"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70"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pPr>
        <w:rPr>
          <w:rFonts w:ascii="黑体" w:eastAsia="黑体" w:hAnsi="宋体"/>
          <w:sz w:val="24"/>
        </w:rPr>
      </w:pPr>
      <w:r>
        <w:rPr>
          <w:rFonts w:ascii="黑体" w:eastAsia="黑体" w:hAnsi="宋体" w:hint="eastAsia"/>
          <w:sz w:val="24"/>
        </w:rPr>
        <w:t>36. 实地考察或资料查验</w:t>
      </w:r>
    </w:p>
    <w:p>
      <w:pPr>
        <w:ind w:firstLine="470"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pPr>
        <w:rPr>
          <w:rFonts w:ascii="黑体" w:eastAsia="黑体" w:hAnsi="宋体"/>
          <w:sz w:val="24"/>
        </w:rPr>
      </w:pPr>
      <w:r>
        <w:rPr>
          <w:rFonts w:ascii="黑体" w:eastAsia="黑体" w:hAnsi="宋体" w:hint="eastAsia"/>
          <w:sz w:val="24"/>
        </w:rPr>
        <w:t>37．评审方法</w:t>
      </w:r>
    </w:p>
    <w:p>
      <w:pPr>
        <w:ind w:firstLine="470" w:firstLineChars="196"/>
        <w:rPr>
          <w:rFonts w:ascii="宋体" w:hAnsi="宋体"/>
          <w:b/>
          <w:bCs/>
          <w:szCs w:val="21"/>
        </w:rPr>
      </w:pPr>
      <w:r>
        <w:rPr>
          <w:rFonts w:ascii="宋体" w:hAnsi="宋体" w:hint="eastAsia"/>
          <w:b/>
          <w:bCs/>
          <w:szCs w:val="21"/>
        </w:rPr>
        <w:t>37.1.1最低价法</w:t>
      </w:r>
    </w:p>
    <w:p>
      <w:pPr>
        <w:ind w:firstLine="470" w:firstLineChars="196"/>
        <w:rPr>
          <w:rFonts w:ascii="ˎ̥" w:hAnsi="ˎ̥" w:hint="eastAsia"/>
        </w:rPr>
      </w:pPr>
      <w:bookmarkStart w:id="117"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pPr>
        <w:ind w:firstLine="470" w:firstLineChars="196"/>
        <w:rPr>
          <w:rFonts w:ascii="宋体" w:hAnsi="宋体"/>
          <w:b/>
          <w:bCs/>
          <w:szCs w:val="21"/>
        </w:rPr>
      </w:pPr>
      <w:r>
        <w:rPr>
          <w:rFonts w:ascii="宋体" w:hAnsi="宋体" w:hint="eastAsia"/>
          <w:b/>
          <w:bCs/>
          <w:szCs w:val="21"/>
        </w:rPr>
        <w:t>37.1.2综合评分法</w:t>
      </w:r>
    </w:p>
    <w:p>
      <w:pPr>
        <w:ind w:firstLine="470" w:firstLineChars="196"/>
        <w:rPr>
          <w:rFonts w:ascii="ˎ̥" w:hAnsi="ˎ̥" w:hint="eastAsia"/>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17"/>
    </w:p>
    <w:p>
      <w:pPr>
        <w:ind w:firstLine="470"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pPr>
        <w:ind w:firstLine="470" w:firstLineChars="196"/>
        <w:rPr>
          <w:rFonts w:ascii="宋体" w:hAnsi="宋体"/>
          <w:b/>
          <w:bCs/>
          <w:szCs w:val="21"/>
        </w:rPr>
      </w:pPr>
      <w:r>
        <w:rPr>
          <w:rFonts w:ascii="宋体" w:hAnsi="宋体" w:hint="eastAsia"/>
          <w:b/>
          <w:bCs/>
          <w:szCs w:val="21"/>
        </w:rPr>
        <w:t>37.3重新评审的情形</w:t>
      </w:r>
    </w:p>
    <w:p>
      <w:pPr>
        <w:ind w:firstLine="470" w:firstLineChars="196"/>
        <w:rPr>
          <w:rFonts w:ascii="宋体" w:hAnsi="宋体"/>
          <w:b/>
          <w:bCs/>
          <w:szCs w:val="21"/>
        </w:rPr>
      </w:pPr>
      <w:r>
        <w:rPr>
          <w:rFonts w:ascii="宋体" w:hAnsi="宋体" w:cs="宋体" w:hint="eastAsia"/>
          <w:kern w:val="0"/>
          <w:szCs w:val="21"/>
        </w:rPr>
        <w:t>评审结果汇总完成后，除下列情形外，任何人不得修改评审结果：</w:t>
      </w:r>
    </w:p>
    <w:p>
      <w:pPr>
        <w:ind w:firstLine="470" w:firstLineChars="196"/>
        <w:rPr>
          <w:rFonts w:ascii="宋体" w:hAnsi="宋体" w:cs="宋体"/>
          <w:kern w:val="0"/>
          <w:szCs w:val="21"/>
        </w:rPr>
      </w:pPr>
      <w:r>
        <w:rPr>
          <w:rFonts w:ascii="宋体" w:hAnsi="宋体" w:cs="宋体" w:hint="eastAsia"/>
          <w:kern w:val="0"/>
          <w:szCs w:val="21"/>
        </w:rPr>
        <w:t>37.3.1分值汇总计算错误的；</w:t>
      </w:r>
    </w:p>
    <w:p>
      <w:pPr>
        <w:ind w:firstLine="470" w:firstLineChars="196"/>
        <w:rPr>
          <w:rFonts w:ascii="宋体" w:hAnsi="宋体" w:cs="宋体"/>
          <w:kern w:val="0"/>
          <w:szCs w:val="21"/>
        </w:rPr>
      </w:pPr>
      <w:r>
        <w:rPr>
          <w:rFonts w:ascii="宋体" w:hAnsi="宋体" w:cs="宋体" w:hint="eastAsia"/>
          <w:kern w:val="0"/>
          <w:szCs w:val="21"/>
        </w:rPr>
        <w:t>37.3.2分项评分超出评分标准范围的；</w:t>
      </w:r>
    </w:p>
    <w:p>
      <w:pPr>
        <w:ind w:firstLine="470" w:firstLineChars="196"/>
        <w:rPr>
          <w:rFonts w:ascii="宋体" w:hAnsi="宋体" w:cs="宋体"/>
          <w:kern w:val="0"/>
          <w:szCs w:val="21"/>
        </w:rPr>
      </w:pPr>
      <w:r>
        <w:rPr>
          <w:rFonts w:ascii="宋体" w:hAnsi="宋体" w:cs="宋体" w:hint="eastAsia"/>
          <w:kern w:val="0"/>
          <w:szCs w:val="21"/>
        </w:rPr>
        <w:t>37.3.3评审委员会成员对客观评审因素评分不一致的；</w:t>
      </w:r>
    </w:p>
    <w:p>
      <w:pPr>
        <w:ind w:firstLine="470" w:firstLineChars="196"/>
        <w:rPr>
          <w:rFonts w:ascii="宋体" w:hAnsi="宋体" w:cs="宋体"/>
          <w:kern w:val="0"/>
          <w:szCs w:val="21"/>
        </w:rPr>
      </w:pPr>
      <w:r>
        <w:rPr>
          <w:rFonts w:ascii="宋体" w:hAnsi="宋体" w:cs="宋体" w:hint="eastAsia"/>
          <w:kern w:val="0"/>
          <w:szCs w:val="21"/>
        </w:rPr>
        <w:t>37.3.4经评审委员会认定评分畸高、畸低的。</w:t>
      </w:r>
    </w:p>
    <w:p>
      <w:pPr>
        <w:ind w:firstLine="470" w:firstLineChars="196"/>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70" w:firstLineChars="196"/>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pPr>
        <w:ind w:firstLine="470" w:firstLineChars="196"/>
        <w:rPr>
          <w:rFonts w:ascii="宋体" w:hAnsi="宋体"/>
          <w:b/>
          <w:bCs/>
          <w:szCs w:val="21"/>
        </w:rPr>
      </w:pPr>
      <w:r>
        <w:rPr>
          <w:rFonts w:ascii="宋体" w:hAnsi="宋体" w:hint="eastAsia"/>
          <w:b/>
          <w:bCs/>
          <w:szCs w:val="21"/>
        </w:rPr>
        <w:t xml:space="preserve"> 37.4重新组建评审委员会的情形</w:t>
      </w:r>
    </w:p>
    <w:p>
      <w:pPr>
        <w:ind w:firstLine="470" w:firstLineChars="196"/>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pPr>
        <w:ind w:firstLine="470" w:firstLineChars="196"/>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pPr>
        <w:ind w:firstLine="470" w:firstLineChars="196"/>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pPr>
        <w:ind w:firstLine="470" w:firstLineChars="196"/>
        <w:rPr>
          <w:rFonts w:ascii="宋体" w:hAnsi="宋体" w:cs="宋体"/>
          <w:kern w:val="0"/>
          <w:szCs w:val="21"/>
        </w:rPr>
      </w:pPr>
      <w:r>
        <w:rPr>
          <w:rFonts w:ascii="宋体" w:hAnsi="宋体" w:cs="宋体" w:hint="eastAsia"/>
          <w:kern w:val="0"/>
          <w:szCs w:val="21"/>
        </w:rPr>
        <w:t>37.4.3评审委员会及其成员独立评标受到非法干预的；</w:t>
      </w:r>
    </w:p>
    <w:p>
      <w:pPr>
        <w:ind w:firstLine="470" w:firstLineChars="196"/>
        <w:rPr>
          <w:rFonts w:ascii="宋体" w:hAnsi="宋体" w:cs="宋体"/>
          <w:kern w:val="0"/>
          <w:szCs w:val="21"/>
        </w:rPr>
      </w:pPr>
      <w:r>
        <w:rPr>
          <w:rFonts w:ascii="宋体" w:hAnsi="宋体" w:cs="宋体" w:hint="eastAsia"/>
          <w:kern w:val="0"/>
          <w:szCs w:val="21"/>
        </w:rPr>
        <w:t>37.4.4有政府采购法实施条例第七十五条规定的违法行为的。</w:t>
      </w:r>
    </w:p>
    <w:p>
      <w:pPr>
        <w:ind w:firstLine="470" w:firstLineChars="196"/>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pPr>
        <w:pStyle w:val="Heading2"/>
        <w:numPr>
          <w:ilvl w:val="0"/>
          <w:numId w:val="7"/>
        </w:numPr>
        <w:spacing w:before="120" w:beforeLines="50" w:after="120" w:afterLines="50"/>
        <w:ind w:left="562" w:hanging="562"/>
        <w:rPr>
          <w:sz w:val="28"/>
          <w:szCs w:val="28"/>
        </w:rPr>
      </w:pPr>
      <w:r>
        <w:rPr>
          <w:rFonts w:hint="eastAsia"/>
          <w:sz w:val="28"/>
          <w:szCs w:val="28"/>
        </w:rPr>
        <w:t>定标及公示</w:t>
      </w:r>
    </w:p>
    <w:p>
      <w:pPr>
        <w:rPr>
          <w:rFonts w:ascii="黑体" w:eastAsia="黑体" w:hAnsi="宋体"/>
          <w:sz w:val="24"/>
        </w:rPr>
      </w:pPr>
      <w:r>
        <w:rPr>
          <w:rFonts w:ascii="黑体" w:eastAsia="黑体" w:hAnsi="宋体" w:hint="eastAsia"/>
          <w:sz w:val="24"/>
        </w:rPr>
        <w:t>38．定标方法</w:t>
      </w:r>
    </w:p>
    <w:p>
      <w:pPr>
        <w:ind w:firstLine="470" w:firstLineChars="196"/>
        <w:rPr>
          <w:rFonts w:ascii="宋体" w:hAnsi="宋体"/>
          <w:szCs w:val="21"/>
        </w:rPr>
      </w:pPr>
      <w:bookmarkStart w:id="118" w:name="_Hlk73782795"/>
      <w:r>
        <w:rPr>
          <w:rFonts w:ascii="宋体" w:hAnsi="宋体" w:hint="eastAsia"/>
          <w:szCs w:val="21"/>
        </w:rPr>
        <w:t>38.1非评定分离项目定标方法</w:t>
      </w:r>
    </w:p>
    <w:p>
      <w:pPr>
        <w:ind w:firstLine="470"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70"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19"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19"/>
      <w:r>
        <w:rPr>
          <w:rFonts w:ascii="ˎ̥" w:hAnsi="ˎ̥"/>
        </w:rPr>
        <w:t>）。</w:t>
      </w:r>
    </w:p>
    <w:p>
      <w:pPr>
        <w:ind w:firstLine="470"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pPr>
        <w:ind w:firstLine="470" w:firstLineChars="196"/>
        <w:rPr>
          <w:rFonts w:ascii="宋体" w:hAnsi="宋体"/>
          <w:szCs w:val="21"/>
        </w:rPr>
      </w:pPr>
      <w:r>
        <w:rPr>
          <w:rFonts w:ascii="宋体" w:hAnsi="宋体" w:hint="eastAsia"/>
          <w:szCs w:val="21"/>
        </w:rPr>
        <w:t>38.2评定分离项目定标方法</w:t>
      </w:r>
    </w:p>
    <w:p>
      <w:pPr>
        <w:ind w:firstLine="470"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70" w:firstLineChars="196"/>
      </w:pPr>
      <w:r>
        <w:rPr>
          <w:rFonts w:ascii="宋体" w:hAnsi="宋体"/>
          <w:szCs w:val="21"/>
        </w:rPr>
        <w:t xml:space="preserve">38.2.2 </w:t>
      </w:r>
      <w:bookmarkStart w:id="120"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pPr>
        <w:ind w:firstLine="470" w:firstLineChars="196"/>
        <w:rPr>
          <w:rFonts w:ascii="宋体" w:hAnsi="宋体"/>
          <w:szCs w:val="21"/>
        </w:rPr>
      </w:pPr>
      <w:r>
        <w:rPr>
          <w:rFonts w:ascii="宋体" w:hAnsi="宋体" w:hint="eastAsia"/>
          <w:szCs w:val="21"/>
        </w:rPr>
        <w:t>38.2.3</w:t>
      </w:r>
      <w:bookmarkStart w:id="121"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20"/>
      <w:bookmarkEnd w:id="121"/>
    </w:p>
    <w:p>
      <w:pPr>
        <w:ind w:firstLine="470"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》（深财规【2</w:t>
      </w:r>
      <w:r>
        <w:t>020</w:t>
      </w:r>
      <w:r>
        <w:rPr>
          <w:rFonts w:hint="eastAsia"/>
        </w:rPr>
        <w:t>】1号）执行。</w:t>
      </w:r>
    </w:p>
    <w:p>
      <w:pPr>
        <w:ind w:firstLine="470" w:firstLineChars="196"/>
        <w:rPr>
          <w:rFonts w:ascii="宋体" w:hAnsi="宋体"/>
          <w:szCs w:val="21"/>
        </w:rPr>
      </w:pPr>
      <w:r>
        <w:rPr>
          <w:rFonts w:ascii="宋体" w:hAnsi="宋体" w:hint="eastAsia"/>
          <w:szCs w:val="21"/>
        </w:rPr>
        <w:t>说明：采购人及投标供应商应按照上述方法提前做好相关准备。</w:t>
      </w:r>
    </w:p>
    <w:p>
      <w:pPr>
        <w:ind w:firstLine="470" w:firstLineChars="196"/>
        <w:rPr>
          <w:rFonts w:ascii="宋体" w:hAnsi="宋体"/>
          <w:szCs w:val="21"/>
        </w:rPr>
      </w:pPr>
      <w:r>
        <w:rPr>
          <w:rFonts w:ascii="宋体" w:hAnsi="宋体" w:hint="eastAsia"/>
          <w:szCs w:val="21"/>
        </w:rPr>
        <w:t>38.3专用条款另有规定的，按专用条款相关要求定标。</w:t>
      </w:r>
      <w:bookmarkEnd w:id="118"/>
    </w:p>
    <w:p>
      <w:pPr>
        <w:rPr>
          <w:rFonts w:ascii="黑体" w:eastAsia="黑体" w:hAnsi="宋体"/>
          <w:sz w:val="24"/>
        </w:rPr>
      </w:pPr>
      <w:r>
        <w:rPr>
          <w:rFonts w:ascii="黑体" w:eastAsia="黑体" w:hAnsi="宋体" w:hint="eastAsia"/>
          <w:sz w:val="24"/>
        </w:rPr>
        <w:t>39．编写评审报告</w:t>
      </w:r>
    </w:p>
    <w:p>
      <w:pPr>
        <w:ind w:firstLine="470"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eastAsia="黑体" w:hAnsi="宋体"/>
          <w:sz w:val="24"/>
        </w:rPr>
      </w:pPr>
      <w:r>
        <w:rPr>
          <w:rFonts w:ascii="黑体" w:eastAsia="黑体" w:hAnsi="宋体" w:hint="eastAsia"/>
          <w:sz w:val="24"/>
        </w:rPr>
        <w:t>40．中标公告</w:t>
      </w:r>
    </w:p>
    <w:p>
      <w:pPr>
        <w:ind w:firstLine="470" w:firstLineChars="196"/>
        <w:rPr>
          <w:rFonts w:ascii="宋体" w:hAnsi="宋体"/>
          <w:szCs w:val="21"/>
        </w:rPr>
      </w:pPr>
      <w:r>
        <w:rPr>
          <w:rFonts w:ascii="宋体" w:hAnsi="宋体" w:hint="eastAsia"/>
          <w:szCs w:val="21"/>
        </w:rPr>
        <w:t>40.1</w:t>
      </w:r>
      <w:bookmarkStart w:id="122" w:name="_Hlk72438709"/>
      <w:r>
        <w:rPr>
          <w:rFonts w:ascii="宋体" w:hAnsi="宋体" w:hint="eastAsia"/>
          <w:szCs w:val="21"/>
        </w:rPr>
        <w:t>为体现“公开、公平、公正”的原则，评审结束后经采购人确认（确定）评审结果，政府集中采购机构将在“深圳政府采购智慧平台（http://zfcg.szggzy.com/）”上发布中标结果公告。</w:t>
      </w:r>
      <w:bookmarkEnd w:id="122"/>
      <w:bookmarkStart w:id="123" w:name="_Hlk72438751"/>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p>
      <w:pPr>
        <w:ind w:firstLine="470" w:firstLineChars="196"/>
        <w:rPr>
          <w:rFonts w:ascii="宋体" w:hAnsi="宋体"/>
          <w:szCs w:val="21"/>
        </w:rPr>
      </w:pPr>
      <w:bookmarkEnd w:id="123"/>
      <w:r>
        <w:rPr>
          <w:rFonts w:ascii="宋体" w:hAnsi="宋体" w:hint="eastAsia"/>
          <w:szCs w:val="21"/>
        </w:rPr>
        <w:t>40.2质疑、投诉供应商应保证质疑、投诉内容的真实性和可靠性，并承担相应的法律责任。</w:t>
      </w:r>
    </w:p>
    <w:p>
      <w:pPr>
        <w:rPr>
          <w:rFonts w:ascii="黑体" w:eastAsia="黑体" w:hAnsi="宋体"/>
          <w:sz w:val="24"/>
        </w:rPr>
      </w:pPr>
      <w:r>
        <w:rPr>
          <w:rFonts w:ascii="黑体" w:eastAsia="黑体" w:hAnsi="宋体" w:hint="eastAsia"/>
          <w:sz w:val="24"/>
        </w:rPr>
        <w:t>41．中标通知书</w:t>
      </w:r>
    </w:p>
    <w:p>
      <w:pPr>
        <w:ind w:firstLine="470"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24" w:name="_Hlk72438863"/>
      <w:r>
        <w:rPr>
          <w:rFonts w:ascii="宋体" w:hAnsi="宋体" w:hint="eastAsia"/>
          <w:szCs w:val="21"/>
        </w:rPr>
        <w:t>中标公告公布以后无异常的情况下,中标供应商和采购人可自行在“深圳政府采购智慧平台（http://zfcg.szggzy.com/）”上打印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0755-83938599，83948100，83938584</w:t>
      </w:r>
      <w:r>
        <w:rPr>
          <w:rFonts w:ascii="宋体" w:hAnsi="宋体" w:hint="eastAsia"/>
          <w:szCs w:val="21"/>
        </w:rPr>
        <w:t>）。</w:t>
      </w:r>
      <w:bookmarkEnd w:id="124"/>
    </w:p>
    <w:p>
      <w:pPr>
        <w:ind w:firstLine="470"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pPr>
        <w:ind w:firstLine="470" w:firstLineChars="196"/>
        <w:rPr>
          <w:rFonts w:ascii="宋体" w:hAnsi="宋体"/>
          <w:szCs w:val="21"/>
        </w:rPr>
      </w:pPr>
      <w:bookmarkStart w:id="125" w:name="_Hlk71407340"/>
      <w:r>
        <w:rPr>
          <w:rFonts w:ascii="宋体" w:hAnsi="宋体" w:hint="eastAsia"/>
          <w:szCs w:val="21"/>
        </w:rPr>
        <w:t>41.3因质疑投诉或其它原因导致项目结果变更或采购终止的，政府集中采购机构有权吊销中标通知书。</w:t>
      </w:r>
    </w:p>
    <w:p>
      <w:pPr>
        <w:pStyle w:val="Heading2"/>
        <w:numPr>
          <w:ilvl w:val="0"/>
          <w:numId w:val="7"/>
        </w:numPr>
        <w:spacing w:before="120" w:beforeLines="50" w:after="120" w:afterLines="50"/>
        <w:ind w:left="562" w:hanging="562"/>
        <w:rPr>
          <w:sz w:val="28"/>
          <w:szCs w:val="28"/>
        </w:rPr>
      </w:pPr>
      <w:bookmarkEnd w:id="125"/>
      <w:r>
        <w:rPr>
          <w:rFonts w:hint="eastAsia"/>
          <w:sz w:val="28"/>
          <w:szCs w:val="28"/>
        </w:rPr>
        <w:t>公开招标失败的后续处理</w:t>
      </w:r>
    </w:p>
    <w:p>
      <w:pPr>
        <w:rPr>
          <w:rFonts w:ascii="黑体" w:eastAsia="黑体" w:hAnsi="宋体"/>
          <w:sz w:val="24"/>
        </w:rPr>
      </w:pPr>
      <w:r>
        <w:rPr>
          <w:rFonts w:ascii="黑体" w:eastAsia="黑体" w:hAnsi="宋体" w:hint="eastAsia"/>
          <w:sz w:val="24"/>
        </w:rPr>
        <w:t>42．公开招标失败的处理</w:t>
      </w:r>
    </w:p>
    <w:p>
      <w:pPr>
        <w:ind w:firstLine="470"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pPr>
        <w:ind w:firstLine="470"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pPr>
        <w:ind w:firstLine="470" w:firstLineChars="196"/>
        <w:rPr>
          <w:rFonts w:ascii="宋体" w:hAnsi="宋体"/>
          <w:szCs w:val="21"/>
        </w:rPr>
      </w:pPr>
      <w:r>
        <w:rPr>
          <w:rFonts w:ascii="宋体" w:hAnsi="宋体" w:hint="eastAsia"/>
          <w:szCs w:val="21"/>
        </w:rPr>
        <w:t>42.3重新组织采购有以下两种组织形式：</w:t>
      </w:r>
    </w:p>
    <w:p>
      <w:pPr>
        <w:ind w:firstLine="470" w:firstLineChars="196"/>
        <w:rPr>
          <w:rFonts w:ascii="宋体" w:hAnsi="宋体"/>
        </w:rPr>
      </w:pPr>
      <w:r>
        <w:rPr>
          <w:rFonts w:ascii="宋体" w:hAnsi="宋体" w:hint="eastAsia"/>
        </w:rPr>
        <w:t>（1）由政府集中采购机构重新组织公开招标；</w:t>
      </w:r>
    </w:p>
    <w:p>
      <w:pPr>
        <w:ind w:firstLine="470"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pPr>
        <w:ind w:firstLine="470" w:firstLineChars="196"/>
        <w:rPr>
          <w:rFonts w:ascii="宋体" w:hAnsi="宋体"/>
        </w:rPr>
      </w:pPr>
      <w:r>
        <w:rPr>
          <w:rFonts w:ascii="宋体" w:hAnsi="宋体" w:hint="eastAsia"/>
        </w:rPr>
        <w:t>42.4公开招标失败的采购项目重新组织公开招标，由政府集中采购机构重新按公开招标流程组织采购活动。</w:t>
      </w:r>
    </w:p>
    <w:p>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pPr>
        <w:pStyle w:val="Heading2"/>
        <w:numPr>
          <w:ilvl w:val="0"/>
          <w:numId w:val="7"/>
        </w:numPr>
        <w:spacing w:before="120" w:beforeLines="50" w:after="120" w:afterLines="50"/>
        <w:ind w:left="562" w:hanging="562"/>
        <w:rPr>
          <w:sz w:val="28"/>
          <w:szCs w:val="28"/>
        </w:rPr>
      </w:pPr>
      <w:bookmarkStart w:id="126" w:name="_Hlk72439043"/>
      <w:r>
        <w:rPr>
          <w:rFonts w:hint="eastAsia"/>
          <w:sz w:val="28"/>
          <w:szCs w:val="28"/>
        </w:rPr>
        <w:t>合同的授予与备案</w:t>
      </w:r>
      <w:bookmarkEnd w:id="126"/>
    </w:p>
    <w:p>
      <w:pPr>
        <w:rPr>
          <w:rFonts w:ascii="黑体" w:eastAsia="黑体" w:hAnsi="宋体"/>
          <w:sz w:val="24"/>
        </w:rPr>
      </w:pPr>
      <w:bookmarkStart w:id="127" w:name="_Toc73518157"/>
      <w:bookmarkStart w:id="128" w:name="_Toc73521586"/>
      <w:bookmarkStart w:id="129" w:name="_Toc73517679"/>
      <w:bookmarkStart w:id="130" w:name="_Toc100052408"/>
      <w:bookmarkStart w:id="131" w:name="_Toc73521674"/>
      <w:bookmarkStart w:id="132" w:name="_Hlk72439088"/>
      <w:r>
        <w:rPr>
          <w:rFonts w:ascii="黑体" w:eastAsia="黑体" w:hAnsi="宋体" w:hint="eastAsia"/>
          <w:sz w:val="24"/>
        </w:rPr>
        <w:t>43．合同授予标准</w:t>
      </w:r>
      <w:bookmarkEnd w:id="127"/>
      <w:bookmarkEnd w:id="128"/>
      <w:bookmarkEnd w:id="129"/>
      <w:bookmarkEnd w:id="130"/>
      <w:bookmarkEnd w:id="131"/>
    </w:p>
    <w:p>
      <w:pPr>
        <w:ind w:firstLine="470" w:firstLineChars="196"/>
        <w:rPr>
          <w:rFonts w:ascii="宋体" w:hAnsi="宋体"/>
          <w:szCs w:val="21"/>
        </w:rPr>
      </w:pPr>
      <w:r>
        <w:rPr>
          <w:rFonts w:ascii="宋体" w:hAnsi="宋体" w:hint="eastAsia"/>
          <w:szCs w:val="21"/>
        </w:rPr>
        <w:t>本项目的合同将授予经本招标文件规定评审确定的中标供应商。</w:t>
      </w:r>
    </w:p>
    <w:p>
      <w:pPr>
        <w:rPr>
          <w:rFonts w:ascii="黑体" w:eastAsia="黑体" w:hAnsi="宋体"/>
          <w:sz w:val="24"/>
        </w:rPr>
      </w:pPr>
      <w:bookmarkStart w:id="133" w:name="_Toc100052409"/>
      <w:bookmarkStart w:id="134" w:name="_Toc73517680"/>
      <w:bookmarkStart w:id="135" w:name="_Toc73518158"/>
      <w:bookmarkStart w:id="136" w:name="_Toc73521675"/>
      <w:bookmarkStart w:id="137" w:name="_Toc73521587"/>
      <w:r>
        <w:rPr>
          <w:rFonts w:ascii="黑体" w:eastAsia="黑体" w:hAnsi="宋体" w:hint="eastAsia"/>
          <w:sz w:val="24"/>
        </w:rPr>
        <w:t>44．</w:t>
      </w:r>
      <w:bookmarkEnd w:id="133"/>
      <w:bookmarkEnd w:id="134"/>
      <w:bookmarkEnd w:id="135"/>
      <w:bookmarkEnd w:id="136"/>
      <w:bookmarkEnd w:id="137"/>
      <w:r>
        <w:rPr>
          <w:rFonts w:ascii="黑体" w:eastAsia="黑体" w:hAnsi="宋体" w:hint="eastAsia"/>
          <w:sz w:val="24"/>
        </w:rPr>
        <w:t>接受和拒绝任何或所有投标的权力</w:t>
      </w:r>
    </w:p>
    <w:p>
      <w:pPr>
        <w:ind w:firstLine="470"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eastAsia="黑体" w:hAnsi="宋体"/>
          <w:sz w:val="24"/>
        </w:rPr>
      </w:pPr>
      <w:bookmarkStart w:id="138" w:name="_Toc100052410"/>
      <w:bookmarkStart w:id="139" w:name="_Toc73521677"/>
      <w:bookmarkStart w:id="140" w:name="_Toc73517682"/>
      <w:bookmarkStart w:id="141" w:name="_Toc73521589"/>
      <w:bookmarkStart w:id="142" w:name="_Toc73518160"/>
      <w:r>
        <w:rPr>
          <w:rFonts w:ascii="黑体" w:eastAsia="黑体" w:hAnsi="宋体" w:hint="eastAsia"/>
          <w:sz w:val="24"/>
        </w:rPr>
        <w:t>45．合同的签订</w:t>
      </w:r>
      <w:bookmarkEnd w:id="138"/>
      <w:bookmarkEnd w:id="139"/>
      <w:bookmarkEnd w:id="140"/>
      <w:bookmarkEnd w:id="141"/>
      <w:bookmarkEnd w:id="142"/>
    </w:p>
    <w:p>
      <w:pPr>
        <w:ind w:firstLine="470"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pPr>
        <w:ind w:firstLine="470"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pPr>
        <w:ind w:firstLine="470" w:firstLineChars="196"/>
        <w:rPr>
          <w:rFonts w:ascii="宋体" w:hAnsi="宋体"/>
          <w:szCs w:val="21"/>
        </w:rPr>
      </w:pPr>
      <w:r>
        <w:rPr>
          <w:rFonts w:ascii="宋体" w:hAnsi="宋体" w:hint="eastAsia"/>
          <w:szCs w:val="21"/>
        </w:rPr>
        <w:t>45.3中标人应当按照合同约定履行义务，完成中标项目，不得将中标项目转让（转包）给他人。</w:t>
      </w:r>
    </w:p>
    <w:p>
      <w:pPr>
        <w:rPr>
          <w:rFonts w:ascii="黑体" w:eastAsia="黑体" w:hAnsi="宋体"/>
          <w:sz w:val="24"/>
        </w:rPr>
      </w:pPr>
      <w:bookmarkStart w:id="143" w:name="_Toc100052411"/>
      <w:bookmarkStart w:id="144" w:name="_Toc73517683"/>
      <w:bookmarkStart w:id="145" w:name="_Toc73521590"/>
      <w:bookmarkStart w:id="146" w:name="_Toc73521678"/>
      <w:bookmarkStart w:id="147" w:name="_Toc73518161"/>
      <w:r>
        <w:rPr>
          <w:rFonts w:ascii="黑体" w:eastAsia="黑体" w:hAnsi="宋体" w:hint="eastAsia"/>
          <w:sz w:val="24"/>
        </w:rPr>
        <w:t>46．履约担保</w:t>
      </w:r>
      <w:bookmarkEnd w:id="143"/>
      <w:bookmarkEnd w:id="144"/>
      <w:bookmarkEnd w:id="145"/>
      <w:bookmarkEnd w:id="146"/>
      <w:bookmarkEnd w:id="147"/>
    </w:p>
    <w:p>
      <w:pPr>
        <w:ind w:firstLine="470"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pPr>
        <w:ind w:firstLine="470"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eastAsia="黑体" w:hAnsi="宋体"/>
          <w:sz w:val="24"/>
        </w:rPr>
      </w:pPr>
      <w:r>
        <w:rPr>
          <w:rFonts w:ascii="黑体" w:eastAsia="黑体" w:hAnsi="宋体" w:hint="eastAsia"/>
          <w:sz w:val="24"/>
        </w:rPr>
        <w:t>47. 合同备案</w:t>
      </w:r>
    </w:p>
    <w:p>
      <w:pPr>
        <w:ind w:firstLine="470"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pPr>
        <w:rPr>
          <w:rFonts w:ascii="黑体" w:eastAsia="黑体" w:hAnsi="宋体"/>
          <w:sz w:val="24"/>
        </w:rPr>
      </w:pPr>
      <w:r>
        <w:rPr>
          <w:rFonts w:ascii="黑体" w:eastAsia="黑体" w:hAnsi="宋体" w:hint="eastAsia"/>
          <w:sz w:val="24"/>
        </w:rPr>
        <w:t>48. 合同变更</w:t>
      </w:r>
    </w:p>
    <w:p>
      <w:pPr>
        <w:ind w:firstLine="470" w:firstLineChars="196"/>
        <w:rPr>
          <w:rFonts w:ascii="宋体" w:hAnsi="宋体"/>
          <w:szCs w:val="21"/>
        </w:rPr>
      </w:pPr>
      <w:r>
        <w:rPr>
          <w:rFonts w:ascii="宋体" w:hAnsi="宋体" w:hint="eastAsia"/>
          <w:szCs w:val="21"/>
        </w:rPr>
        <w:t>合同变更事宜按《深圳市财政局 深圳市政府采购中心关于进一步加强市本级政府采购合同备案管理工作的通知》（深财购〔2019〕43号）相关规定执行。</w:t>
      </w:r>
    </w:p>
    <w:p>
      <w:pPr>
        <w:rPr>
          <w:rFonts w:ascii="黑体" w:eastAsia="黑体" w:hAnsi="宋体"/>
          <w:sz w:val="24"/>
        </w:rPr>
      </w:pPr>
      <w:r>
        <w:rPr>
          <w:rFonts w:ascii="黑体" w:eastAsia="黑体" w:hAnsi="宋体" w:hint="eastAsia"/>
          <w:sz w:val="24"/>
        </w:rPr>
        <w:t>49. 项目验收</w:t>
      </w:r>
    </w:p>
    <w:p>
      <w:pPr>
        <w:widowControl/>
        <w:ind w:right="176" w:firstLine="420"/>
        <w:jc w:val="left"/>
        <w:rPr>
          <w:rFonts w:ascii="宋体" w:hAnsi="宋体"/>
        </w:rPr>
      </w:pPr>
      <w:r>
        <w:rPr>
          <w:rFonts w:ascii="宋体" w:hAnsi="宋体" w:hint="eastAsia"/>
        </w:rPr>
        <w:t>49.1采购人应当按照招标文件和合同规定的标准和方法，及时组织验收。</w:t>
      </w:r>
    </w:p>
    <w:p>
      <w:pPr>
        <w:rPr>
          <w:rFonts w:ascii="黑体" w:eastAsia="黑体" w:hAnsi="宋体"/>
          <w:sz w:val="24"/>
        </w:rPr>
      </w:pPr>
      <w:r>
        <w:rPr>
          <w:rFonts w:ascii="黑体" w:eastAsia="黑体" w:hAnsi="宋体" w:hint="eastAsia"/>
          <w:sz w:val="24"/>
        </w:rPr>
        <w:t>50. 宣传</w:t>
      </w:r>
    </w:p>
    <w:p>
      <w:pPr>
        <w:ind w:left="240" w:firstLine="470"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pPr>
        <w:ind w:left="240" w:firstLine="470" w:leftChars="100" w:firstLineChars="196"/>
        <w:rPr>
          <w:rFonts w:ascii="宋体" w:hAnsi="宋体"/>
        </w:rPr>
      </w:pPr>
      <w:r>
        <w:rPr>
          <w:rFonts w:ascii="宋体" w:hAnsi="宋体"/>
        </w:rPr>
        <w:t>a.名片、宣传册、广告标语等；</w:t>
      </w:r>
    </w:p>
    <w:p>
      <w:pPr>
        <w:ind w:left="240" w:firstLine="470" w:leftChars="100" w:firstLineChars="196"/>
        <w:rPr>
          <w:rFonts w:ascii="宋体" w:hAnsi="宋体"/>
        </w:rPr>
      </w:pPr>
      <w:r>
        <w:rPr>
          <w:rFonts w:ascii="宋体" w:hAnsi="宋体"/>
        </w:rPr>
        <w:t>b.案例介绍、推广等；</w:t>
      </w:r>
    </w:p>
    <w:p>
      <w:pPr>
        <w:ind w:left="240" w:firstLine="470" w:leftChars="100" w:firstLineChars="196"/>
        <w:rPr>
          <w:rFonts w:ascii="宋体" w:hAnsi="宋体"/>
        </w:rPr>
      </w:pPr>
      <w:r>
        <w:rPr>
          <w:rFonts w:ascii="宋体" w:hAnsi="宋体" w:hint="eastAsia"/>
        </w:rPr>
        <w:t>c.工作</w:t>
      </w:r>
      <w:r>
        <w:rPr>
          <w:rFonts w:ascii="宋体" w:hAnsi="宋体"/>
        </w:rPr>
        <w:t>人员向其他消费群体宣传。</w:t>
      </w:r>
    </w:p>
    <w:p>
      <w:pPr>
        <w:rPr>
          <w:rFonts w:ascii="黑体" w:eastAsia="黑体" w:hAnsi="宋体"/>
          <w:sz w:val="24"/>
        </w:rPr>
      </w:pPr>
      <w:r>
        <w:rPr>
          <w:rFonts w:ascii="黑体" w:eastAsia="黑体" w:hAnsi="宋体" w:hint="eastAsia"/>
          <w:sz w:val="24"/>
        </w:rPr>
        <w:t>51. 供应商违法责任</w:t>
      </w:r>
    </w:p>
    <w:p>
      <w:pPr>
        <w:ind w:firstLine="470"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70" w:firstLineChars="196"/>
        <w:rPr>
          <w:rFonts w:ascii="宋体" w:hAnsi="宋体"/>
          <w:szCs w:val="21"/>
        </w:rPr>
      </w:pPr>
      <w:r>
        <w:rPr>
          <w:rFonts w:ascii="宋体" w:hAnsi="宋体" w:hint="eastAsia"/>
          <w:szCs w:val="21"/>
        </w:rPr>
        <w:t>（1）在采购活动中应当回避而未回避的；</w:t>
      </w:r>
    </w:p>
    <w:p>
      <w:pPr>
        <w:ind w:firstLine="470" w:firstLineChars="196"/>
        <w:rPr>
          <w:rFonts w:ascii="宋体" w:hAnsi="宋体"/>
          <w:szCs w:val="21"/>
        </w:rPr>
      </w:pPr>
      <w:r>
        <w:rPr>
          <w:rFonts w:ascii="宋体" w:hAnsi="宋体" w:hint="eastAsia"/>
          <w:szCs w:val="21"/>
        </w:rPr>
        <w:t>（2）未按本条例规定签订、履行采购合同，造成严重后果的；</w:t>
      </w:r>
    </w:p>
    <w:p>
      <w:pPr>
        <w:ind w:firstLine="470" w:firstLineChars="196"/>
        <w:rPr>
          <w:rFonts w:ascii="宋体" w:hAnsi="宋体"/>
          <w:szCs w:val="21"/>
        </w:rPr>
      </w:pPr>
      <w:r>
        <w:rPr>
          <w:rFonts w:ascii="宋体" w:hAnsi="宋体" w:hint="eastAsia"/>
          <w:szCs w:val="21"/>
        </w:rPr>
        <w:t>（3）隐瞒真实情况，提供虚假资料的；</w:t>
      </w:r>
    </w:p>
    <w:p>
      <w:pPr>
        <w:ind w:firstLine="470" w:firstLineChars="196"/>
        <w:rPr>
          <w:rFonts w:ascii="宋体" w:hAnsi="宋体"/>
          <w:szCs w:val="21"/>
        </w:rPr>
      </w:pPr>
      <w:r>
        <w:rPr>
          <w:rFonts w:ascii="宋体" w:hAnsi="宋体" w:hint="eastAsia"/>
          <w:szCs w:val="21"/>
        </w:rPr>
        <w:t>（4）以非法手段排斥其他供应商参与竞争的；</w:t>
      </w:r>
    </w:p>
    <w:p>
      <w:pPr>
        <w:ind w:firstLine="470" w:firstLineChars="196"/>
        <w:rPr>
          <w:rFonts w:ascii="宋体" w:hAnsi="宋体"/>
          <w:szCs w:val="21"/>
        </w:rPr>
      </w:pPr>
      <w:r>
        <w:rPr>
          <w:rFonts w:ascii="宋体" w:hAnsi="宋体" w:hint="eastAsia"/>
          <w:szCs w:val="21"/>
        </w:rPr>
        <w:t>（5）与其他采购参加人串通投标的；</w:t>
      </w:r>
    </w:p>
    <w:p>
      <w:pPr>
        <w:ind w:firstLine="470" w:firstLineChars="196"/>
        <w:rPr>
          <w:rFonts w:ascii="宋体" w:hAnsi="宋体"/>
          <w:szCs w:val="21"/>
        </w:rPr>
      </w:pPr>
      <w:r>
        <w:rPr>
          <w:rFonts w:ascii="宋体" w:hAnsi="宋体" w:hint="eastAsia"/>
          <w:szCs w:val="21"/>
        </w:rPr>
        <w:t>（6）恶意投诉的；</w:t>
      </w:r>
    </w:p>
    <w:p>
      <w:pPr>
        <w:ind w:firstLine="470" w:firstLineChars="196"/>
        <w:rPr>
          <w:rFonts w:ascii="宋体" w:hAnsi="宋体"/>
          <w:szCs w:val="21"/>
        </w:rPr>
      </w:pPr>
      <w:r>
        <w:rPr>
          <w:rFonts w:ascii="宋体" w:hAnsi="宋体" w:hint="eastAsia"/>
          <w:szCs w:val="21"/>
        </w:rPr>
        <w:t>（7）向采购项目相关人行贿或者提供其他不当利益的；</w:t>
      </w:r>
    </w:p>
    <w:p>
      <w:pPr>
        <w:ind w:firstLine="470" w:firstLineChars="196"/>
        <w:rPr>
          <w:rFonts w:ascii="宋体" w:hAnsi="宋体"/>
          <w:szCs w:val="21"/>
        </w:rPr>
      </w:pPr>
      <w:r>
        <w:rPr>
          <w:rFonts w:ascii="宋体" w:hAnsi="宋体" w:hint="eastAsia"/>
          <w:szCs w:val="21"/>
        </w:rPr>
        <w:t>（8）阻碍、抗拒主管部门监督检查的；</w:t>
      </w:r>
    </w:p>
    <w:p>
      <w:pPr>
        <w:ind w:firstLine="470" w:firstLineChars="196"/>
        <w:rPr>
          <w:rFonts w:ascii="宋体" w:hAnsi="宋体"/>
          <w:szCs w:val="21"/>
        </w:rPr>
      </w:pPr>
      <w:r>
        <w:rPr>
          <w:rFonts w:ascii="宋体" w:hAnsi="宋体" w:hint="eastAsia"/>
          <w:szCs w:val="21"/>
        </w:rPr>
        <w:t>（9）其他违反本条例规定的行为。</w:t>
      </w:r>
    </w:p>
    <w:p>
      <w:pPr>
        <w:ind w:firstLine="470"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48" w:name="_Hlk72440769"/>
      <w:r>
        <w:rPr>
          <w:rFonts w:ascii="宋体" w:hAnsi="宋体" w:hint="eastAsia"/>
          <w:szCs w:val="21"/>
        </w:rPr>
        <w:t>采购人或政府集中采购机构</w:t>
      </w:r>
      <w:bookmarkEnd w:id="148"/>
      <w:r>
        <w:rPr>
          <w:rFonts w:ascii="宋体" w:hAnsi="宋体" w:hint="eastAsia"/>
          <w:szCs w:val="21"/>
        </w:rPr>
        <w:t>可将有关情况报同级财政部门，由财政部门根据实际情况记入供应商诚信档案，予以通报：</w:t>
      </w:r>
    </w:p>
    <w:p>
      <w:pPr>
        <w:ind w:firstLine="470" w:firstLineChars="196"/>
        <w:rPr>
          <w:rFonts w:ascii="宋体" w:hAnsi="宋体"/>
          <w:szCs w:val="21"/>
        </w:rPr>
      </w:pPr>
      <w:r>
        <w:rPr>
          <w:rFonts w:ascii="宋体" w:hAnsi="宋体" w:hint="eastAsia"/>
          <w:szCs w:val="21"/>
        </w:rPr>
        <w:t>（1</w:t>
      </w:r>
      <w:r>
        <w:rPr>
          <w:rFonts w:ascii="宋体" w:hAnsi="宋体"/>
          <w:szCs w:val="21"/>
        </w:rPr>
        <w:t>）投标截止后，撤销投标的；</w:t>
      </w:r>
    </w:p>
    <w:p>
      <w:pPr>
        <w:ind w:firstLine="470"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pPr>
        <w:ind w:firstLine="470"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pPr>
        <w:ind w:firstLine="470"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pPr>
        <w:pStyle w:val="Heading2"/>
        <w:numPr>
          <w:ilvl w:val="0"/>
          <w:numId w:val="7"/>
        </w:numPr>
        <w:spacing w:before="120" w:beforeLines="50" w:after="120" w:afterLines="50"/>
        <w:ind w:left="562" w:hanging="562"/>
        <w:rPr>
          <w:sz w:val="28"/>
          <w:szCs w:val="28"/>
        </w:rPr>
      </w:pPr>
      <w:bookmarkEnd w:id="132"/>
      <w:r>
        <w:rPr>
          <w:rFonts w:hint="eastAsia"/>
          <w:sz w:val="28"/>
          <w:szCs w:val="28"/>
        </w:rPr>
        <w:t>质疑处理</w:t>
      </w:r>
    </w:p>
    <w:p>
      <w:pPr>
        <w:rPr>
          <w:rFonts w:ascii="黑体" w:eastAsia="黑体" w:hAnsi="宋体"/>
          <w:sz w:val="24"/>
        </w:rPr>
      </w:pPr>
      <w:bookmarkStart w:id="149" w:name="_Hlk72439706"/>
      <w:r>
        <w:rPr>
          <w:rFonts w:ascii="黑体" w:eastAsia="黑体" w:hAnsi="宋体" w:hint="eastAsia"/>
          <w:sz w:val="24"/>
        </w:rPr>
        <w:t>52.质疑提出与答复</w:t>
      </w:r>
    </w:p>
    <w:p>
      <w:pPr>
        <w:rPr>
          <w:rFonts w:ascii="宋体" w:hAnsi="宋体"/>
          <w:szCs w:val="21"/>
        </w:rPr>
      </w:pPr>
      <w:r>
        <w:rPr>
          <w:rFonts w:ascii="宋体" w:hAnsi="宋体" w:hint="eastAsia"/>
          <w:szCs w:val="21"/>
        </w:rPr>
        <w:t xml:space="preserve">    52.1提出质疑</w:t>
      </w:r>
    </w:p>
    <w:p>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ascii="宋体" w:hAnsi="宋体" w:hint="eastAsia"/>
          <w:szCs w:val="21"/>
        </w:rPr>
        <w:t xml:space="preserve">    52.2</w:t>
      </w:r>
      <w:r>
        <w:rPr>
          <w:rFonts w:ascii="宋体" w:hAnsi="宋体"/>
          <w:szCs w:val="21"/>
        </w:rPr>
        <w:t>法律依据</w:t>
      </w:r>
    </w:p>
    <w:p>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pPr>
        <w:rPr>
          <w:rFonts w:ascii="宋体" w:hAnsi="宋体"/>
          <w:szCs w:val="21"/>
        </w:rPr>
      </w:pPr>
      <w:r>
        <w:rPr>
          <w:rFonts w:ascii="宋体" w:hAnsi="宋体" w:hint="eastAsia"/>
          <w:szCs w:val="21"/>
        </w:rPr>
        <w:t>52.3质疑条件</w:t>
      </w:r>
    </w:p>
    <w:p>
      <w:pPr>
        <w:rPr>
          <w:rFonts w:ascii="宋体" w:hAnsi="宋体"/>
          <w:szCs w:val="21"/>
        </w:rPr>
      </w:pPr>
      <w:r>
        <w:rPr>
          <w:rFonts w:ascii="宋体" w:hAnsi="宋体" w:hint="eastAsia"/>
          <w:szCs w:val="21"/>
        </w:rPr>
        <w:t xml:space="preserve">    52.3.1提出质疑的供应商应当是参与所质疑项目采购活动的供应商；</w:t>
      </w:r>
      <w:bookmarkStart w:id="150" w:name="_Hlk75374941"/>
      <w:r>
        <w:rPr>
          <w:rFonts w:ascii="宋体" w:hAnsi="宋体" w:hint="eastAsia"/>
          <w:szCs w:val="21"/>
        </w:rPr>
        <w:t>以联合体形式参与的，质疑应当由组成联合体的所有成员共同提出</w:t>
      </w:r>
      <w:bookmarkEnd w:id="150"/>
      <w:r>
        <w:rPr>
          <w:rFonts w:ascii="宋体" w:hAnsi="宋体" w:hint="eastAsia"/>
          <w:szCs w:val="21"/>
        </w:rPr>
        <w:t>；</w:t>
      </w:r>
    </w:p>
    <w:p>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ascii="宋体" w:hAnsi="宋体" w:hint="eastAsia"/>
          <w:szCs w:val="21"/>
        </w:rPr>
        <w:t>52.3.3应提交书面质疑函，质疑函应当包括以下内容：</w:t>
      </w:r>
    </w:p>
    <w:p>
      <w:pPr>
        <w:ind w:firstLine="420"/>
        <w:rPr>
          <w:rFonts w:ascii="宋体" w:hAnsi="宋体"/>
          <w:szCs w:val="21"/>
        </w:rPr>
      </w:pPr>
      <w:r>
        <w:rPr>
          <w:rFonts w:ascii="宋体" w:hAnsi="宋体" w:hint="eastAsia"/>
          <w:szCs w:val="21"/>
        </w:rPr>
        <w:t>（1）供应商的名称（或者姓名）、地址、邮编、邮箱、联系人及联系电话；</w:t>
      </w:r>
    </w:p>
    <w:p>
      <w:pPr>
        <w:ind w:firstLine="480" w:firstLineChars="200"/>
        <w:rPr>
          <w:rFonts w:ascii="宋体" w:hAnsi="宋体"/>
          <w:szCs w:val="21"/>
        </w:rPr>
      </w:pPr>
      <w:r>
        <w:rPr>
          <w:rFonts w:ascii="宋体" w:hAnsi="宋体" w:hint="eastAsia"/>
          <w:szCs w:val="21"/>
        </w:rPr>
        <w:t>（2）质疑项目的名称、编号；</w:t>
      </w:r>
    </w:p>
    <w:p>
      <w:pPr>
        <w:ind w:firstLine="480" w:firstLineChars="200"/>
        <w:rPr>
          <w:rFonts w:ascii="宋体" w:hAnsi="宋体"/>
          <w:szCs w:val="21"/>
        </w:rPr>
      </w:pPr>
      <w:r>
        <w:rPr>
          <w:rFonts w:ascii="宋体" w:hAnsi="宋体" w:hint="eastAsia"/>
          <w:szCs w:val="21"/>
        </w:rPr>
        <w:t>（3）具体、明确的质疑对象、质疑事项和质疑请求；</w:t>
      </w:r>
    </w:p>
    <w:p>
      <w:pPr>
        <w:ind w:firstLine="480" w:firstLineChars="200"/>
        <w:rPr>
          <w:rFonts w:ascii="宋体" w:hAnsi="宋体"/>
          <w:szCs w:val="21"/>
        </w:rPr>
      </w:pPr>
      <w:r>
        <w:rPr>
          <w:rFonts w:ascii="宋体" w:hAnsi="宋体" w:hint="eastAsia"/>
          <w:szCs w:val="21"/>
        </w:rPr>
        <w:t>（4）因质疑事项而受损害的权益；</w:t>
      </w:r>
    </w:p>
    <w:p>
      <w:pPr>
        <w:ind w:firstLine="480" w:firstLineChars="200"/>
        <w:rPr>
          <w:rFonts w:ascii="宋体" w:hAnsi="宋体"/>
          <w:szCs w:val="21"/>
        </w:rPr>
      </w:pPr>
      <w:r>
        <w:rPr>
          <w:rFonts w:ascii="宋体" w:hAnsi="宋体" w:hint="eastAsia"/>
          <w:szCs w:val="21"/>
        </w:rPr>
        <w:t>（5）事实依据；</w:t>
      </w:r>
    </w:p>
    <w:p>
      <w:pPr>
        <w:ind w:firstLine="480" w:firstLineChars="200"/>
        <w:rPr>
          <w:rFonts w:ascii="宋体" w:hAnsi="宋体"/>
          <w:szCs w:val="21"/>
        </w:rPr>
      </w:pPr>
      <w:r>
        <w:rPr>
          <w:rFonts w:ascii="宋体" w:hAnsi="宋体" w:hint="eastAsia"/>
          <w:szCs w:val="21"/>
        </w:rPr>
        <w:t>（6）必要的法律依据；</w:t>
      </w:r>
    </w:p>
    <w:p>
      <w:pPr>
        <w:ind w:firstLine="480" w:firstLineChars="200"/>
        <w:rPr>
          <w:rFonts w:ascii="宋体" w:hAnsi="宋体"/>
          <w:szCs w:val="21"/>
        </w:rPr>
      </w:pPr>
      <w:r>
        <w:rPr>
          <w:rFonts w:ascii="宋体" w:hAnsi="宋体" w:hint="eastAsia"/>
          <w:szCs w:val="21"/>
        </w:rPr>
        <w:t>（7）提出质疑的日期。</w:t>
      </w:r>
    </w:p>
    <w:p>
      <w:pPr>
        <w:ind w:firstLine="48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pPr>
        <w:ind w:firstLine="480" w:firstLineChars="200"/>
        <w:rPr>
          <w:rFonts w:ascii="宋体" w:hAnsi="宋体"/>
          <w:szCs w:val="21"/>
        </w:rPr>
      </w:pPr>
      <w:r>
        <w:rPr>
          <w:rFonts w:ascii="宋体" w:hAnsi="宋体" w:hint="eastAsia"/>
          <w:szCs w:val="21"/>
        </w:rPr>
        <w:t>52.4提交</w:t>
      </w:r>
      <w:r>
        <w:rPr>
          <w:rFonts w:ascii="宋体" w:hAnsi="宋体"/>
          <w:szCs w:val="21"/>
        </w:rPr>
        <w:t>材料</w:t>
      </w:r>
    </w:p>
    <w:p>
      <w:pPr>
        <w:ind w:firstLine="48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8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80" w:firstLineChars="200"/>
        <w:rPr>
          <w:rFonts w:ascii="宋体" w:hAnsi="宋体"/>
          <w:szCs w:val="21"/>
        </w:rPr>
      </w:pPr>
      <w:r>
        <w:rPr>
          <w:rFonts w:ascii="宋体" w:hAnsi="宋体" w:hint="eastAsia"/>
          <w:szCs w:val="21"/>
        </w:rPr>
        <w:t>52.5提交方式</w:t>
      </w:r>
    </w:p>
    <w:p>
      <w:pPr>
        <w:ind w:firstLine="420"/>
        <w:rPr>
          <w:rFonts w:ascii="宋体" w:hAnsi="宋体"/>
          <w:szCs w:val="21"/>
        </w:rPr>
      </w:pPr>
      <w:r>
        <w:rPr>
          <w:rFonts w:ascii="宋体" w:hAnsi="宋体" w:hint="eastAsia"/>
          <w:szCs w:val="21"/>
        </w:rPr>
        <w:t>5</w:t>
      </w:r>
      <w:r>
        <w:rPr>
          <w:rFonts w:ascii="宋体" w:hAnsi="宋体"/>
          <w:szCs w:val="21"/>
        </w:rPr>
        <w:t>2.5.1</w:t>
      </w:r>
      <w:r>
        <w:rPr>
          <w:rFonts w:ascii="宋体" w:hAnsi="宋体" w:hint="eastAsia"/>
          <w:szCs w:val="21"/>
        </w:rPr>
        <w:t>供应商登录“深圳政府采购智慧平台用户网上办事子系统（http://zfcg.szggzy.com/TPBidder/memberLogin）”，在“【我的项目】→【项目流程】→【质疑】”中提出质疑。</w:t>
      </w:r>
    </w:p>
    <w:p>
      <w:pPr>
        <w:ind w:firstLine="480" w:firstLineChars="200"/>
        <w:rPr>
          <w:rFonts w:ascii="宋体" w:hAnsi="宋体"/>
          <w:b/>
          <w:bCs/>
          <w:szCs w:val="21"/>
        </w:rPr>
      </w:pPr>
      <w:r>
        <w:rPr>
          <w:rFonts w:ascii="宋体" w:hAnsi="宋体" w:hint="eastAsia"/>
          <w:szCs w:val="21"/>
        </w:rPr>
        <w:t>5</w:t>
      </w:r>
      <w:r>
        <w:rPr>
          <w:rFonts w:ascii="宋体" w:hAnsi="宋体"/>
          <w:szCs w:val="21"/>
        </w:rPr>
        <w:t>2.5.2</w:t>
      </w:r>
      <w:r>
        <w:rPr>
          <w:rFonts w:ascii="宋体" w:hAnsi="宋体" w:hint="eastAsia"/>
          <w:szCs w:val="21"/>
        </w:rPr>
        <w:t>请质疑供应商根据深圳政府采购智慧平台（http://zfcg.szggzy.com/）所发布的质疑指引、质疑函模板填写质疑函并提交质疑材料。</w:t>
      </w:r>
      <w:r>
        <w:rPr>
          <w:rFonts w:ascii="宋体" w:hAnsi="宋体" w:hint="eastAsia"/>
          <w:b/>
          <w:bCs/>
          <w:szCs w:val="21"/>
        </w:rPr>
        <w:t>地址：深圳公共资源交易中心（深圳交易集团有限公司政府采购业务分公司）3楼306室，质疑咨询电话：0755-86500054。</w:t>
      </w:r>
    </w:p>
    <w:p>
      <w:pPr>
        <w:ind w:firstLine="480" w:firstLineChars="200"/>
        <w:rPr>
          <w:rFonts w:ascii="宋体" w:hAnsi="宋体"/>
          <w:szCs w:val="21"/>
        </w:rPr>
      </w:pPr>
      <w:r>
        <w:rPr>
          <w:rFonts w:ascii="宋体" w:hAnsi="宋体" w:hint="eastAsia"/>
          <w:szCs w:val="21"/>
        </w:rPr>
        <w:t>52.6收文办理</w:t>
      </w:r>
      <w:r>
        <w:rPr>
          <w:rFonts w:ascii="宋体" w:hAnsi="宋体"/>
          <w:szCs w:val="21"/>
        </w:rPr>
        <w:t>程序</w:t>
      </w:r>
    </w:p>
    <w:p>
      <w:pPr>
        <w:ind w:firstLine="48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80" w:firstLineChars="200"/>
        <w:rPr>
          <w:rFonts w:ascii="仿宋" w:eastAsia="仿宋" w:hAnsi="仿宋"/>
          <w:sz w:val="28"/>
          <w:szCs w:val="28"/>
        </w:rPr>
      </w:pPr>
      <w:r>
        <w:rPr>
          <w:rFonts w:ascii="宋体" w:hAnsi="宋体" w:hint="eastAsia"/>
          <w:szCs w:val="21"/>
        </w:rPr>
        <w:t>52.6.2供应商提交的质疑材料不符合质疑条件的，视情况处理：</w:t>
      </w:r>
    </w:p>
    <w:p>
      <w:pPr>
        <w:ind w:firstLine="48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pPr>
        <w:ind w:firstLine="480" w:firstLineChars="200"/>
        <w:rPr>
          <w:rFonts w:ascii="宋体" w:hAnsi="宋体"/>
          <w:szCs w:val="21"/>
        </w:rPr>
      </w:pPr>
      <w:r>
        <w:rPr>
          <w:rFonts w:ascii="宋体" w:hAnsi="宋体" w:hint="eastAsia"/>
          <w:szCs w:val="21"/>
        </w:rPr>
        <w:t>供应商提交的质疑存在下列情形之一的，不予受理：</w:t>
      </w:r>
    </w:p>
    <w:p>
      <w:pPr>
        <w:ind w:firstLine="480" w:firstLineChars="200"/>
        <w:rPr>
          <w:rFonts w:ascii="宋体" w:hAnsi="宋体"/>
          <w:szCs w:val="21"/>
        </w:rPr>
      </w:pPr>
      <w:r>
        <w:rPr>
          <w:rFonts w:ascii="宋体" w:hAnsi="宋体" w:hint="eastAsia"/>
          <w:szCs w:val="21"/>
        </w:rPr>
        <w:t>（1）质疑主体不满足要求的；</w:t>
      </w:r>
    </w:p>
    <w:p>
      <w:pPr>
        <w:ind w:firstLine="480" w:firstLineChars="200"/>
        <w:rPr>
          <w:rFonts w:ascii="宋体" w:hAnsi="宋体"/>
          <w:szCs w:val="21"/>
        </w:rPr>
      </w:pPr>
      <w:r>
        <w:rPr>
          <w:rFonts w:ascii="宋体" w:hAnsi="宋体" w:hint="eastAsia"/>
          <w:szCs w:val="21"/>
        </w:rPr>
        <w:t>（2）供应商自身权益未受到损害的；</w:t>
      </w:r>
    </w:p>
    <w:p>
      <w:pPr>
        <w:ind w:firstLine="480" w:firstLineChars="200"/>
        <w:rPr>
          <w:rFonts w:ascii="宋体" w:hAnsi="宋体"/>
          <w:szCs w:val="21"/>
        </w:rPr>
      </w:pPr>
      <w:r>
        <w:rPr>
          <w:rFonts w:ascii="宋体" w:hAnsi="宋体" w:hint="eastAsia"/>
          <w:szCs w:val="21"/>
        </w:rPr>
        <w:t>（3）供应商未在法定质疑期限内提出质疑的；</w:t>
      </w:r>
    </w:p>
    <w:p>
      <w:pPr>
        <w:ind w:firstLine="48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pPr>
        <w:ind w:firstLine="480" w:firstLineChars="200"/>
        <w:rPr>
          <w:rFonts w:ascii="宋体" w:hAnsi="宋体"/>
          <w:szCs w:val="21"/>
        </w:rPr>
      </w:pPr>
      <w:r>
        <w:rPr>
          <w:rFonts w:ascii="宋体" w:hAnsi="宋体" w:hint="eastAsia"/>
          <w:szCs w:val="21"/>
        </w:rPr>
        <w:t>（5）其他不符合受理条件情形的。</w:t>
      </w:r>
    </w:p>
    <w:p>
      <w:pPr>
        <w:ind w:firstLine="480" w:firstLineChars="200"/>
        <w:rPr>
          <w:rFonts w:ascii="宋体" w:hAnsi="宋体"/>
          <w:szCs w:val="21"/>
        </w:rPr>
      </w:pPr>
      <w:r>
        <w:rPr>
          <w:rFonts w:ascii="宋体" w:hAnsi="宋体" w:hint="eastAsia"/>
          <w:szCs w:val="21"/>
        </w:rPr>
        <w:t>质疑事项不予受理的，政府集中采购机构应当向供应商出具不符合质疑条件告知书。</w:t>
      </w:r>
    </w:p>
    <w:p>
      <w:pPr>
        <w:rPr>
          <w:rFonts w:ascii="宋体" w:hAnsi="宋体"/>
          <w:szCs w:val="21"/>
        </w:rPr>
      </w:pPr>
      <w:r>
        <w:rPr>
          <w:rFonts w:ascii="宋体" w:hAnsi="宋体" w:hint="eastAsia"/>
          <w:szCs w:val="21"/>
        </w:rPr>
        <w:t xml:space="preserve">  52.7质疑答复时限</w:t>
      </w:r>
    </w:p>
    <w:p>
      <w:pPr>
        <w:rPr>
          <w:rFonts w:ascii="宋体" w:hAnsi="宋体"/>
          <w:szCs w:val="21"/>
        </w:rPr>
      </w:pPr>
      <w:r>
        <w:rPr>
          <w:rFonts w:ascii="宋体" w:hAnsi="宋体" w:hint="eastAsia"/>
          <w:szCs w:val="21"/>
        </w:rPr>
        <w:t xml:space="preserve">    自收文之日起七个工作日内。</w:t>
      </w:r>
    </w:p>
    <w:p>
      <w:pPr>
        <w:rPr>
          <w:rFonts w:ascii="宋体" w:hAnsi="宋体"/>
          <w:szCs w:val="21"/>
        </w:rPr>
      </w:pPr>
      <w:r>
        <w:rPr>
          <w:rFonts w:ascii="宋体" w:hAnsi="宋体" w:hint="eastAsia"/>
          <w:szCs w:val="21"/>
        </w:rPr>
        <w:t xml:space="preserve">    52.8投诉</w:t>
      </w:r>
    </w:p>
    <w:p>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pPr>
        <w:rPr>
          <w:rFonts w:ascii="黑体" w:eastAsia="黑体" w:hAnsi="宋体"/>
          <w:sz w:val="24"/>
        </w:rPr>
      </w:pPr>
      <w:r>
        <w:rPr>
          <w:rFonts w:ascii="黑体" w:eastAsia="黑体" w:hAnsi="宋体" w:hint="eastAsia"/>
          <w:sz w:val="24"/>
        </w:rPr>
        <w:t>53. 质疑后续处理</w:t>
      </w:r>
    </w:p>
    <w:p>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pPr>
      <w:r>
        <w:t>---- END ----</w:t>
      </w:r>
      <w:bookmarkEnd w:id="149"/>
    </w:p>
    <w:p/>
    <w:p/>
    <w:p/>
    <w:sectPr>
      <w:pgSz w:w="11906" w:h="16838"/>
      <w:pgMar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left" w:pos="312"/>
        </w:tabs>
      </w:pPr>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2"/>
      <w:numFmt w:val="chineseCounting"/>
      <w:suff w:val="nothing"/>
      <w:lvlText w:val="%1、"/>
      <w:lvlJc w:val="left"/>
      <w:rPr>
        <w:rFonts w:hint="eastAsia"/>
      </w:rPr>
    </w:lvl>
  </w:abstractNum>
  <w:abstractNum w:abstractNumId="3">
    <w:nsid w:val="00000004"/>
    <w:multiLevelType w:val="singleLevel"/>
    <w:tmpl w:val="00000004"/>
    <w:lvl w:ilvl="0">
      <w:start w:val="2"/>
      <w:numFmt w:val="decimal"/>
      <w:suff w:val="nothing"/>
      <w:lvlText w:val="（%1）"/>
      <w:lvlJc w:val="left"/>
    </w:lvl>
  </w:abstractNum>
  <w:abstractNum w:abstractNumId="4">
    <w:nsid w:val="00000005"/>
    <w:multiLevelType w:val="singleLevel"/>
    <w:tmpl w:val="00000005"/>
    <w:lvl w:ilvl="0">
      <w:start w:val="2"/>
      <w:numFmt w:val="decimal"/>
      <w:suff w:val="nothing"/>
      <w:lvlText w:val="（%1）"/>
      <w:lvlJc w:val="left"/>
    </w:lvl>
  </w:abstractNum>
  <w:abstractNum w:abstractNumId="5">
    <w:nsid w:val="00000006"/>
    <w:multiLevelType w:val="singleLevel"/>
    <w:tmpl w:val="00000006"/>
    <w:lvl w:ilvl="0">
      <w:start w:val="3"/>
      <w:numFmt w:val="chineseCounting"/>
      <w:suff w:val="space"/>
      <w:lvlText w:val="第%1条"/>
      <w:lvlJc w:val="left"/>
      <w:rPr>
        <w:rFonts w:hint="eastAsia"/>
      </w:rPr>
    </w:lvl>
  </w:abstractNum>
  <w:abstractNum w:abstractNumId="6">
    <w:nsid w:val="00000007"/>
    <w:multiLevelType w:val="multilevel"/>
    <w:tmpl w:val="00000007"/>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efaultTabStop w:val="720"/>
  <w:noPunctuationKerning/>
  <w:characterSpacingControl w:val="doNotCompress"/>
  <w:compat>
    <w:ulTrailSpac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qFormat/>
    <w:pPr>
      <w:spacing w:before="340" w:after="330" w:line="360" w:lineRule="auto"/>
      <w:jc w:val="center"/>
      <w:outlineLvl w:val="0"/>
    </w:pPr>
    <w:rPr>
      <w:rFonts w:eastAsia="黑体"/>
      <w:kern w:val="44"/>
      <w:szCs w:val="44"/>
    </w:rPr>
  </w:style>
  <w:style w:type="paragraph" w:styleId="Heading2">
    <w:name w:val="heading 2"/>
    <w:basedOn w:val="Heading3"/>
    <w:next w:val="Heading4"/>
    <w:qFormat/>
    <w:pPr>
      <w:adjustRightInd w:val="0"/>
      <w:jc w:val="center"/>
      <w:textAlignment w:val="baseline"/>
      <w:outlineLvl w:val="1"/>
    </w:pPr>
    <w:rPr>
      <w:kern w:val="0"/>
      <w:sz w:val="24"/>
      <w:szCs w:val="20"/>
    </w:rPr>
  </w:style>
  <w:style w:type="paragraph" w:styleId="Heading3">
    <w:name w:val="heading 3"/>
    <w:basedOn w:val="Heading4"/>
    <w:next w:val="Normal"/>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uiPriority w:val="9"/>
    <w:qFormat/>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qFormat/>
    <w:pPr>
      <w:spacing w:beforeAutospacing="1" w:afterAutospacing="1"/>
      <w:jc w:val="left"/>
    </w:pPr>
    <w:rPr>
      <w:kern w:val="0"/>
      <w:sz w:val="24"/>
    </w:rPr>
  </w:style>
  <w:style w:type="character" w:styleId="CommentReference">
    <w:name w:val="annotation reference"/>
    <w:uiPriority w:val="99"/>
    <w:qFormat/>
    <w:rPr>
      <w:sz w:val="21"/>
      <w:szCs w:val="21"/>
    </w:rPr>
  </w:style>
  <w:style w:type="paragraph" w:styleId="Header">
    <w:name w:val="header"/>
    <w:basedOn w:val="Normal"/>
    <w:uiPriority w:val="99"/>
    <w:qFormat/>
    <w:pPr>
      <w:pBdr>
        <w:bottom w:val="single" w:sz="6" w:space="1" w:color="auto"/>
      </w:pBdr>
      <w:tabs>
        <w:tab w:val="center" w:pos="4153"/>
        <w:tab w:val="right" w:pos="8306"/>
      </w:tabs>
      <w:snapToGrid w:val="0"/>
      <w:jc w:val="center"/>
    </w:pPr>
    <w:rPr>
      <w:sz w:val="18"/>
      <w:szCs w:val="18"/>
    </w:rPr>
  </w:style>
  <w:style w:type="character" w:customStyle="1" w:styleId="font21">
    <w:name w:val="font21"/>
    <w:rPr>
      <w:rFonts w:ascii="宋体" w:eastAsia="宋体" w:hAnsi="宋体" w:cs="宋体" w:hint="eastAsia"/>
      <w:b/>
      <w:bCs/>
      <w:color w:val="000000"/>
      <w:sz w:val="21"/>
      <w:szCs w:val="21"/>
      <w:u w:val="none"/>
    </w:rPr>
  </w:style>
  <w:style w:type="character" w:customStyle="1" w:styleId="font51">
    <w:name w:val="font51"/>
    <w:rPr>
      <w:rFonts w:ascii="宋体" w:eastAsia="宋体" w:hAnsi="宋体" w:cs="宋体" w:hint="eastAsia"/>
      <w:color w:val="000000"/>
      <w:sz w:val="18"/>
      <w:szCs w:val="18"/>
      <w:u w:val="none"/>
    </w:rPr>
  </w:style>
  <w:style w:type="character" w:customStyle="1" w:styleId="font01">
    <w:name w:val="font01"/>
    <w:qFormat/>
    <w:rPr>
      <w:rFonts w:ascii="Times New Roman" w:hAnsi="Times New Roman" w:cs="Times New Roman" w:hint="default"/>
      <w:color w:val="000000"/>
      <w:sz w:val="18"/>
      <w:szCs w:val="18"/>
      <w:u w:val="none"/>
    </w:rPr>
  </w:style>
  <w:style w:type="character" w:customStyle="1" w:styleId="font81">
    <w:name w:val="font81"/>
    <w:rPr>
      <w:rFonts w:ascii="宋体" w:eastAsia="宋体" w:hAnsi="宋体" w:cs="宋体" w:hint="eastAsia"/>
      <w:b/>
      <w:bCs/>
      <w:color w:val="FF0000"/>
      <w:sz w:val="18"/>
      <w:szCs w:val="18"/>
      <w:u w:val="none"/>
    </w:rPr>
  </w:style>
  <w:style w:type="character" w:customStyle="1" w:styleId="font41">
    <w:name w:val="font41"/>
    <w:qFormat/>
    <w:rPr>
      <w:rFonts w:ascii="Times New Roman" w:hAnsi="Times New Roman" w:cs="Times New Roman" w:hint="default"/>
      <w:b/>
      <w:bCs/>
      <w:color w:val="FF0000"/>
      <w:sz w:val="18"/>
      <w:szCs w:val="18"/>
      <w:u w:val="none"/>
    </w:rPr>
  </w:style>
  <w:style w:type="character" w:customStyle="1" w:styleId="font61">
    <w:name w:val="font61"/>
    <w:qFormat/>
    <w:rPr>
      <w:rFonts w:ascii="宋体" w:eastAsia="宋体" w:hAnsi="宋体" w:cs="宋体" w:hint="eastAsia"/>
      <w:color w:val="000000"/>
      <w:sz w:val="18"/>
      <w:szCs w:val="18"/>
      <w:u w:val="none"/>
    </w:rPr>
  </w:style>
  <w:style w:type="character" w:customStyle="1" w:styleId="font91">
    <w:name w:val="font91"/>
    <w:rPr>
      <w:rFonts w:ascii="Malgun Gothic" w:eastAsia="Malgun Gothic" w:hAnsi="Malgun Gothic" w:cs="Malgun Gothic"/>
      <w:color w:val="000000"/>
      <w:sz w:val="18"/>
      <w:szCs w:val="18"/>
      <w:u w:val="none"/>
    </w:rPr>
  </w:style>
  <w:style w:type="character" w:customStyle="1" w:styleId="font151">
    <w:name w:val="font151"/>
    <w:qFormat/>
    <w:rPr>
      <w:rFonts w:ascii="宋体" w:eastAsia="宋体" w:hAnsi="宋体" w:cs="宋体" w:hint="eastAsia"/>
      <w:color w:val="000000"/>
      <w:sz w:val="21"/>
      <w:szCs w:val="21"/>
      <w:u w:val="none"/>
      <w:vertAlign w:val="subscript"/>
    </w:rPr>
  </w:style>
  <w:style w:type="character" w:customStyle="1" w:styleId="font161">
    <w:name w:val="font161"/>
    <w:rPr>
      <w:rFonts w:ascii="宋体" w:eastAsia="宋体" w:hAnsi="宋体" w:cs="宋体" w:hint="eastAsia"/>
      <w:b/>
      <w:bCs/>
      <w:color w:val="000000"/>
      <w:sz w:val="18"/>
      <w:szCs w:val="18"/>
      <w:u w:val="none"/>
    </w:rPr>
  </w:style>
  <w:style w:type="character" w:customStyle="1" w:styleId="font131">
    <w:name w:val="font131"/>
    <w:rPr>
      <w:rFonts w:ascii="宋体" w:eastAsia="宋体" w:hAnsi="宋体" w:cs="宋体" w:hint="eastAsia"/>
      <w:color w:val="FF0000"/>
      <w:sz w:val="18"/>
      <w:szCs w:val="18"/>
      <w:u w:val="none"/>
    </w:rPr>
  </w:style>
  <w:style w:type="character" w:customStyle="1" w:styleId="font111">
    <w:name w:val="font111"/>
    <w:qFormat/>
    <w:rPr>
      <w:rFonts w:ascii="宋体" w:eastAsia="宋体" w:hAnsi="宋体" w:cs="宋体" w:hint="eastAsia"/>
      <w:color w:val="000000"/>
      <w:sz w:val="20"/>
      <w:szCs w:val="20"/>
      <w:u w:val="none"/>
    </w:rPr>
  </w:style>
  <w:style w:type="paragraph" w:styleId="NormalIndent">
    <w:name w:val="Normal Indent"/>
    <w:basedOn w:val="Normal"/>
    <w:qFormat/>
    <w:pPr>
      <w:ind w:firstLine="420"/>
    </w:pPr>
    <w:rPr>
      <w:szCs w:val="20"/>
    </w:rPr>
  </w:style>
  <w:style w:type="character" w:customStyle="1" w:styleId="3Char">
    <w:name w:val="标题 3 Char"/>
    <w:qFormat/>
    <w:rPr>
      <w:rFonts w:ascii="黑体" w:eastAsia="黑体"/>
      <w:bCs/>
      <w:sz w:val="30"/>
    </w:rPr>
  </w:style>
  <w:style w:type="character" w:customStyle="1" w:styleId="font31">
    <w:name w:val="font31"/>
    <w:rPr>
      <w:rFonts w:ascii="宋体" w:eastAsia="宋体" w:hAnsi="宋体" w:cs="宋体" w:hint="eastAsia"/>
      <w:color w:val="000000"/>
      <w:sz w:val="21"/>
      <w:szCs w:val="21"/>
      <w:u w:val="none"/>
    </w:rPr>
  </w:style>
  <w:style w:type="character" w:customStyle="1" w:styleId="font71">
    <w:name w:val="font71"/>
    <w:rPr>
      <w:rFonts w:ascii="宋体" w:eastAsia="宋体" w:hAnsi="宋体" w:cs="宋体" w:hint="eastAsia"/>
      <w:b/>
      <w:bCs/>
      <w:color w:val="0000FF"/>
      <w:sz w:val="24"/>
      <w:szCs w:val="24"/>
      <w:u w:val="single"/>
    </w:rPr>
  </w:style>
  <w:style w:type="character" w:customStyle="1" w:styleId="font11">
    <w:name w:val="font11"/>
    <w:qFormat/>
    <w:rPr>
      <w:rFonts w:ascii="宋体" w:eastAsia="宋体" w:hAnsi="宋体" w:cs="宋体" w:hint="eastAsia"/>
      <w:b/>
      <w:bCs/>
      <w:color w:val="000000"/>
      <w:sz w:val="24"/>
      <w:szCs w:val="24"/>
      <w:u w:val="none"/>
    </w:rPr>
  </w:style>
  <w:style w:type="character" w:styleId="Hyperlink">
    <w:name w:val="Hyperlink"/>
    <w:uiPriority w:val="99"/>
    <w:qFormat/>
    <w:rPr>
      <w:color w:val="5C5C5C"/>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86</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