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bookmarkStart w:id="3" w:name="_GoBack"/>
      <w:bookmarkEnd w:id="3"/>
      <w:r>
        <w:rPr>
          <w:rFonts w:hint="eastAsia"/>
          <w:b/>
          <w:kern w:val="0"/>
          <w:sz w:val="24"/>
        </w:rPr>
        <w:t>附件1：购置需求</w:t>
      </w:r>
    </w:p>
    <w:p>
      <w:pPr>
        <w:adjustRightInd w:val="0"/>
        <w:snapToGrid w:val="0"/>
        <w:spacing w:line="360" w:lineRule="auto"/>
        <w:rPr>
          <w:b/>
          <w:kern w:val="0"/>
          <w:sz w:val="24"/>
        </w:rPr>
      </w:pPr>
      <w:r>
        <w:rPr>
          <w:rFonts w:hint="eastAsia"/>
          <w:b/>
          <w:kern w:val="0"/>
          <w:sz w:val="24"/>
        </w:rPr>
        <w:t>光量子加密与存储系统</w:t>
      </w:r>
    </w:p>
    <w:p>
      <w:pPr>
        <w:numPr>
          <w:ilvl w:val="0"/>
          <w:numId w:val="1"/>
        </w:numPr>
        <w:adjustRightInd w:val="0"/>
        <w:snapToGrid w:val="0"/>
        <w:spacing w:line="360" w:lineRule="auto"/>
        <w:rPr>
          <w:b/>
          <w:kern w:val="0"/>
          <w:sz w:val="24"/>
        </w:rPr>
      </w:pPr>
      <w:r>
        <w:rPr>
          <w:rFonts w:hint="eastAsia"/>
          <w:b/>
          <w:kern w:val="0"/>
          <w:sz w:val="24"/>
        </w:rPr>
        <w:t>应用背景</w:t>
      </w:r>
    </w:p>
    <w:p>
      <w:pPr>
        <w:adjustRightInd w:val="0"/>
        <w:snapToGrid w:val="0"/>
        <w:spacing w:line="360" w:lineRule="auto"/>
        <w:ind w:firstLine="480" w:firstLineChars="200"/>
        <w:rPr>
          <w:kern w:val="0"/>
          <w:sz w:val="24"/>
        </w:rPr>
      </w:pPr>
      <w:r>
        <w:rPr>
          <w:rFonts w:hint="eastAsia"/>
          <w:kern w:val="0"/>
          <w:sz w:val="24"/>
        </w:rPr>
        <w:t>近年来，由于量子力学和密码学的结合，诞生了量子密码学，它可完成传统数学方法无法完成的完善保密系统，量子密码学是在量子理论基础上提出了一种全新的安全通信系统，它从根本上解决了通信线路被消极监听的问题。本实验系统以光学偏振编码的方式进行量子保密通信，诠释了</w:t>
      </w:r>
      <w:r>
        <w:rPr>
          <w:kern w:val="0"/>
          <w:sz w:val="24"/>
        </w:rPr>
        <w:t xml:space="preserve"> BB84 量子密钥分配协议的工作原理，和在无噪声信道上的加密通信及发现监听者的反窃听应用过程。使学生清晰简明地了解到传统光学知识是如何在现代先进通信领域中应用。</w:t>
      </w:r>
    </w:p>
    <w:p>
      <w:pPr>
        <w:adjustRightInd w:val="0"/>
        <w:snapToGrid w:val="0"/>
        <w:spacing w:line="360" w:lineRule="auto"/>
        <w:ind w:firstLine="480" w:firstLineChars="200"/>
        <w:rPr>
          <w:kern w:val="0"/>
          <w:sz w:val="24"/>
        </w:rPr>
      </w:pPr>
      <w:r>
        <w:rPr>
          <w:rFonts w:hint="eastAsia"/>
          <w:kern w:val="0"/>
          <w:sz w:val="24"/>
        </w:rPr>
        <w:t>在传统的物理信道中，当存在窃听者时，收发双方不会知道窃听者的存在，尤其像光盘和无线电波，其中所携带的信息在被复制或截收时都难以被发现，但当信息以量子为载体时，根据量子力学原理，微观世界的粒子的位置不可能被确定，它总是以不同的概率存在于不同的地方。对未知状态的量子系统的每一次测量都必将改变系统原来的状态。反过来说，如果系统状态没有改变，也就没有测量或窃听行为的发生。也就是说，一个位置的量子状态不可能被复制或克隆，因此它也被成为不可克隆原理。量子密码学利用了量子的不确定性，一旦信道上有窃听发生，通信本身必然受到影响，从而达到发现窃听者的目的，保证信道的安全。</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kern w:val="0"/>
          <w:sz w:val="24"/>
        </w:rPr>
        <w:t>2.1 同轴框架结构</w:t>
      </w:r>
    </w:p>
    <w:p>
      <w:pPr>
        <w:adjustRightInd w:val="0"/>
        <w:snapToGrid w:val="0"/>
        <w:spacing w:line="360" w:lineRule="auto"/>
        <w:rPr>
          <w:kern w:val="0"/>
          <w:sz w:val="24"/>
        </w:rPr>
      </w:pPr>
      <w:r>
        <w:rPr>
          <w:rFonts w:hint="eastAsia"/>
          <w:kern w:val="0"/>
          <w:sz w:val="24"/>
        </w:rPr>
        <w:t>2.2 固体激光器</w:t>
      </w:r>
    </w:p>
    <w:p>
      <w:pPr>
        <w:adjustRightInd w:val="0"/>
        <w:snapToGrid w:val="0"/>
        <w:spacing w:line="360" w:lineRule="auto"/>
        <w:rPr>
          <w:kern w:val="0"/>
          <w:sz w:val="24"/>
        </w:rPr>
      </w:pPr>
      <w:r>
        <w:rPr>
          <w:rFonts w:hint="eastAsia"/>
          <w:kern w:val="0"/>
          <w:sz w:val="24"/>
        </w:rPr>
        <w:t>2.3 多孔固定板</w:t>
      </w:r>
    </w:p>
    <w:p>
      <w:pPr>
        <w:adjustRightInd w:val="0"/>
        <w:snapToGrid w:val="0"/>
        <w:spacing w:line="360" w:lineRule="auto"/>
        <w:rPr>
          <w:kern w:val="0"/>
          <w:sz w:val="24"/>
        </w:rPr>
      </w:pPr>
      <w:r>
        <w:rPr>
          <w:rFonts w:hint="eastAsia"/>
          <w:kern w:val="0"/>
          <w:sz w:val="24"/>
        </w:rPr>
        <w:t>2.4 偏振分光器/旋转器</w:t>
      </w:r>
    </w:p>
    <w:p>
      <w:pPr>
        <w:adjustRightInd w:val="0"/>
        <w:snapToGrid w:val="0"/>
        <w:spacing w:line="360" w:lineRule="auto"/>
        <w:rPr>
          <w:kern w:val="0"/>
          <w:sz w:val="24"/>
        </w:rPr>
      </w:pPr>
      <w:r>
        <w:rPr>
          <w:rFonts w:hint="eastAsia"/>
          <w:kern w:val="0"/>
          <w:sz w:val="24"/>
        </w:rPr>
        <w:t>2.5量子通信终端处理器</w:t>
      </w:r>
    </w:p>
    <w:p>
      <w:pPr>
        <w:adjustRightInd w:val="0"/>
        <w:snapToGrid w:val="0"/>
        <w:spacing w:line="360" w:lineRule="auto"/>
        <w:rPr>
          <w:kern w:val="0"/>
          <w:sz w:val="24"/>
        </w:rPr>
      </w:pPr>
      <w:r>
        <w:rPr>
          <w:rFonts w:hint="eastAsia"/>
          <w:kern w:val="0"/>
          <w:sz w:val="24"/>
        </w:rPr>
        <w:t>2</w:t>
      </w:r>
      <w:r>
        <w:rPr>
          <w:kern w:val="0"/>
          <w:sz w:val="24"/>
        </w:rPr>
        <w:t xml:space="preserve">.6 </w:t>
      </w:r>
      <w:r>
        <w:rPr>
          <w:rFonts w:hint="eastAsia"/>
          <w:kern w:val="0"/>
          <w:sz w:val="24"/>
        </w:rPr>
        <w:t>光电探测器组件</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kern w:val="0"/>
          <w:sz w:val="24"/>
        </w:rPr>
      </w:pPr>
      <w:r>
        <w:rPr>
          <w:rFonts w:hint="eastAsia"/>
          <w:kern w:val="0"/>
          <w:sz w:val="24"/>
        </w:rPr>
        <w:t>3.1 同轴框架结构：高精度主体框架模块，杆间距：</w:t>
      </w:r>
      <w:r>
        <w:rPr>
          <w:kern w:val="0"/>
          <w:sz w:val="24"/>
        </w:rPr>
        <w:sym w:font="Symbol" w:char="F0A3"/>
      </w:r>
      <w:r>
        <w:rPr>
          <w:rFonts w:hint="eastAsia"/>
          <w:kern w:val="0"/>
          <w:sz w:val="24"/>
        </w:rPr>
        <w:t>30mm，杆数量：</w:t>
      </w:r>
      <w:r>
        <w:rPr>
          <w:kern w:val="0"/>
          <w:sz w:val="24"/>
        </w:rPr>
        <w:sym w:font="Symbol" w:char="F0B3"/>
      </w:r>
      <w:r>
        <w:rPr>
          <w:rFonts w:hint="eastAsia"/>
          <w:kern w:val="0"/>
          <w:sz w:val="24"/>
        </w:rPr>
        <w:t>4根；三维转接多节点模块；叉式压板不锈钢立柱支撑模块；同轴框架可搭载移动式直径Φ：</w:t>
      </w:r>
      <w:r>
        <w:rPr>
          <w:kern w:val="0"/>
          <w:sz w:val="24"/>
        </w:rPr>
        <w:sym w:font="Symbol" w:char="F0B3"/>
      </w:r>
      <w:r>
        <w:rPr>
          <w:rFonts w:hint="eastAsia"/>
          <w:kern w:val="0"/>
          <w:sz w:val="24"/>
        </w:rPr>
        <w:t>25.4mm镜框、LED光源架、分光棱镜架等主要光学原件支撑架；</w:t>
      </w:r>
    </w:p>
    <w:p>
      <w:pPr>
        <w:adjustRightInd w:val="0"/>
        <w:snapToGrid w:val="0"/>
        <w:spacing w:line="360" w:lineRule="auto"/>
        <w:rPr>
          <w:kern w:val="0"/>
          <w:sz w:val="24"/>
        </w:rPr>
      </w:pPr>
      <w:r>
        <w:rPr>
          <w:rFonts w:hint="eastAsia"/>
          <w:kern w:val="0"/>
          <w:sz w:val="24"/>
        </w:rPr>
        <w:t>3.2 固体激光器：波长:532</w:t>
      </w:r>
      <w:r>
        <w:rPr>
          <w:kern w:val="0"/>
          <w:sz w:val="24"/>
        </w:rPr>
        <w:sym w:font="Symbol" w:char="F0B1"/>
      </w:r>
      <w:r>
        <w:rPr>
          <w:rFonts w:hint="eastAsia"/>
          <w:kern w:val="0"/>
          <w:sz w:val="24"/>
        </w:rPr>
        <w:t>3nm，输出功率不小于:10mW，激光稳定性</w:t>
      </w:r>
      <w:r>
        <w:rPr>
          <w:kern w:val="0"/>
          <w:sz w:val="24"/>
        </w:rPr>
        <w:sym w:font="Symbol" w:char="F0A3"/>
      </w:r>
      <w:r>
        <w:rPr>
          <w:rFonts w:hint="eastAsia"/>
          <w:kern w:val="0"/>
          <w:sz w:val="24"/>
        </w:rPr>
        <w:t>3%；</w:t>
      </w:r>
    </w:p>
    <w:p>
      <w:pPr>
        <w:adjustRightInd w:val="0"/>
        <w:snapToGrid w:val="0"/>
        <w:spacing w:line="360" w:lineRule="auto"/>
        <w:rPr>
          <w:kern w:val="0"/>
          <w:sz w:val="24"/>
        </w:rPr>
      </w:pPr>
      <w:r>
        <w:rPr>
          <w:rFonts w:hint="eastAsia"/>
          <w:kern w:val="0"/>
          <w:sz w:val="24"/>
        </w:rPr>
        <w:t>3.3 多孔固定板：尺寸</w:t>
      </w:r>
      <w:r>
        <w:rPr>
          <w:kern w:val="0"/>
          <w:sz w:val="24"/>
        </w:rPr>
        <w:sym w:font="Symbol" w:char="F0B3"/>
      </w:r>
      <w:r>
        <w:rPr>
          <w:rFonts w:hint="eastAsia"/>
          <w:kern w:val="0"/>
          <w:sz w:val="24"/>
        </w:rPr>
        <w:t>600*450mm，M6螺纹孔，孔间距25mm，表面发黑处理；</w:t>
      </w:r>
    </w:p>
    <w:p>
      <w:pPr>
        <w:adjustRightInd w:val="0"/>
        <w:snapToGrid w:val="0"/>
        <w:spacing w:line="360" w:lineRule="auto"/>
        <w:rPr>
          <w:kern w:val="0"/>
          <w:sz w:val="24"/>
        </w:rPr>
      </w:pPr>
      <w:r>
        <w:rPr>
          <w:rFonts w:hint="eastAsia"/>
          <w:kern w:val="0"/>
          <w:sz w:val="24"/>
        </w:rPr>
        <w:t>3.4 偏振分光器/旋转器：工作波长：532</w:t>
      </w:r>
      <w:r>
        <w:rPr>
          <w:kern w:val="0"/>
          <w:sz w:val="24"/>
        </w:rPr>
        <w:sym w:font="Symbol" w:char="F0B1"/>
      </w:r>
      <w:r>
        <w:rPr>
          <w:rFonts w:hint="eastAsia"/>
          <w:kern w:val="0"/>
          <w:sz w:val="24"/>
        </w:rPr>
        <w:t xml:space="preserve">3nm，Tp/Ts </w:t>
      </w:r>
      <w:r>
        <w:rPr>
          <w:kern w:val="0"/>
          <w:sz w:val="24"/>
        </w:rPr>
        <w:sym w:font="Symbol" w:char="F0B3"/>
      </w:r>
      <w:r>
        <w:rPr>
          <w:rFonts w:hint="eastAsia"/>
          <w:kern w:val="0"/>
          <w:sz w:val="24"/>
        </w:rPr>
        <w:t xml:space="preserve"> 500：1；直径</w:t>
      </w:r>
      <w:r>
        <w:rPr>
          <w:kern w:val="0"/>
          <w:sz w:val="24"/>
        </w:rPr>
        <w:sym w:font="Symbol" w:char="F0B3"/>
      </w:r>
      <w:r>
        <w:rPr>
          <w:rFonts w:hint="eastAsia"/>
          <w:kern w:val="0"/>
          <w:sz w:val="24"/>
        </w:rPr>
        <w:t>25.4mm，中心波长532nm，相位延迟精度</w:t>
      </w:r>
      <w:r>
        <w:rPr>
          <w:kern w:val="0"/>
          <w:sz w:val="24"/>
        </w:rPr>
        <w:sym w:font="Symbol" w:char="F0A3"/>
      </w:r>
      <w:r>
        <w:rPr>
          <w:rFonts w:hint="eastAsia"/>
          <w:kern w:val="0"/>
          <w:sz w:val="24"/>
        </w:rPr>
        <w:t>λ/100，最小旋转读数</w:t>
      </w:r>
      <w:r>
        <w:rPr>
          <w:kern w:val="0"/>
          <w:sz w:val="24"/>
        </w:rPr>
        <w:sym w:font="Symbol" w:char="F0A3"/>
      </w:r>
      <w:r>
        <w:rPr>
          <w:rFonts w:hint="eastAsia"/>
          <w:kern w:val="0"/>
          <w:sz w:val="24"/>
        </w:rPr>
        <w:t>2°；</w:t>
      </w:r>
    </w:p>
    <w:p>
      <w:pPr>
        <w:adjustRightInd w:val="0"/>
        <w:snapToGrid w:val="0"/>
        <w:spacing w:line="360" w:lineRule="auto"/>
        <w:rPr>
          <w:kern w:val="0"/>
          <w:sz w:val="24"/>
        </w:rPr>
      </w:pPr>
      <w:r>
        <w:rPr>
          <w:rFonts w:hint="eastAsia"/>
          <w:kern w:val="0"/>
          <w:sz w:val="24"/>
        </w:rPr>
        <w:t>3.5 量子通信终端处理器：具备发送模式与接收模式，液晶屏尺寸</w:t>
      </w:r>
      <w:r>
        <w:rPr>
          <w:kern w:val="0"/>
          <w:sz w:val="24"/>
        </w:rPr>
        <w:sym w:font="Symbol" w:char="F0B3"/>
      </w:r>
      <w:r>
        <w:rPr>
          <w:rFonts w:hint="eastAsia"/>
          <w:kern w:val="0"/>
          <w:sz w:val="24"/>
        </w:rPr>
        <w:t>5"，屏幕分辨率</w:t>
      </w:r>
      <w:r>
        <w:rPr>
          <w:kern w:val="0"/>
          <w:sz w:val="24"/>
        </w:rPr>
        <w:sym w:font="Symbol" w:char="F0B3"/>
      </w:r>
      <w:r>
        <w:rPr>
          <w:rFonts w:hint="eastAsia"/>
          <w:kern w:val="0"/>
          <w:sz w:val="24"/>
        </w:rPr>
        <w:t>800×480全彩色触摸液晶屏，可随机生成共轭基及二进制量子发送编码，并翻译接收的二进制量子编码；</w:t>
      </w:r>
    </w:p>
    <w:p>
      <w:pPr>
        <w:adjustRightInd w:val="0"/>
        <w:snapToGrid w:val="0"/>
        <w:spacing w:line="360" w:lineRule="auto"/>
        <w:rPr>
          <w:kern w:val="0"/>
          <w:sz w:val="24"/>
        </w:rPr>
      </w:pPr>
      <w:r>
        <w:rPr>
          <w:rFonts w:hint="eastAsia"/>
          <w:kern w:val="0"/>
          <w:sz w:val="24"/>
        </w:rPr>
        <w:t>3.6 光电探测器组件:感光范围400-800nm，直流耦合输出。</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kern w:val="0"/>
          <w:sz w:val="24"/>
        </w:rPr>
      </w:pPr>
      <w:r>
        <w:rPr>
          <w:rFonts w:hint="eastAsia"/>
          <w:kern w:val="0"/>
          <w:sz w:val="24"/>
        </w:rPr>
        <w:t>2）付款方式：</w:t>
      </w:r>
    </w:p>
    <w:p>
      <w:pPr>
        <w:pStyle w:val="13"/>
        <w:ind w:left="420" w:firstLine="0" w:firstLineChars="0"/>
        <w:rPr>
          <w:rFonts w:asciiTheme="minorHAnsi" w:hAnsiTheme="minorHAnsi" w:eastAsiaTheme="minorEastAsia" w:cstheme="minorBidi"/>
          <w:kern w:val="0"/>
          <w:sz w:val="24"/>
          <w:szCs w:val="24"/>
        </w:rPr>
      </w:pPr>
      <w:bookmarkStart w:id="0" w:name="_Hlk142405607"/>
      <w:r>
        <w:rPr>
          <w:rFonts w:hint="eastAsia" w:asciiTheme="minorHAnsi" w:hAnsiTheme="minorHAnsi" w:eastAsiaTheme="minorEastAsia" w:cstheme="minorBidi"/>
          <w:kern w:val="0"/>
          <w:sz w:val="24"/>
          <w:szCs w:val="24"/>
        </w:rPr>
        <w:t>国产设备</w:t>
      </w:r>
      <w:r>
        <w:rPr>
          <w:rFonts w:asciiTheme="minorHAnsi" w:hAnsiTheme="minorHAnsi" w:eastAsiaTheme="minorEastAsia" w:cstheme="minorBidi"/>
          <w:kern w:val="0"/>
          <w:sz w:val="24"/>
          <w:szCs w:val="24"/>
        </w:rPr>
        <w:t>：</w:t>
      </w:r>
    </w:p>
    <w:p>
      <w:pPr>
        <w:adjustRightInd w:val="0"/>
        <w:snapToGrid w:val="0"/>
        <w:spacing w:line="360" w:lineRule="auto"/>
        <w:ind w:firstLine="480" w:firstLineChars="200"/>
        <w:rPr>
          <w:kern w:val="0"/>
          <w:sz w:val="24"/>
        </w:rPr>
      </w:pPr>
      <w:r>
        <w:rPr>
          <w:rFonts w:hint="eastAsia"/>
          <w:kern w:val="0"/>
          <w:sz w:val="24"/>
          <w:szCs w:val="24"/>
        </w:rPr>
        <w:t>①4</w:t>
      </w:r>
      <w:r>
        <w:rPr>
          <w:kern w:val="0"/>
          <w:sz w:val="24"/>
          <w:szCs w:val="24"/>
        </w:rPr>
        <w:t>1.9</w:t>
      </w:r>
      <w:r>
        <w:rPr>
          <w:rFonts w:hint="eastAsia"/>
          <w:kern w:val="0"/>
          <w:sz w:val="24"/>
          <w:szCs w:val="24"/>
        </w:rPr>
        <w:t>%货款签订合同后支付；② 设备到货安装验收合格后，出具验收报告，凭验收报告且货款到位后支付 5</w:t>
      </w:r>
      <w:r>
        <w:rPr>
          <w:kern w:val="0"/>
          <w:sz w:val="24"/>
          <w:szCs w:val="24"/>
        </w:rPr>
        <w:t>8</w:t>
      </w:r>
      <w:r>
        <w:rPr>
          <w:rFonts w:hint="eastAsia"/>
          <w:kern w:val="0"/>
          <w:sz w:val="24"/>
          <w:szCs w:val="24"/>
        </w:rPr>
        <w:t>.</w:t>
      </w:r>
      <w:r>
        <w:rPr>
          <w:kern w:val="0"/>
          <w:sz w:val="24"/>
          <w:szCs w:val="24"/>
        </w:rPr>
        <w:t>1</w:t>
      </w:r>
      <w:r>
        <w:rPr>
          <w:rFonts w:hint="eastAsia"/>
          <w:kern w:val="0"/>
          <w:sz w:val="24"/>
          <w:szCs w:val="24"/>
        </w:rPr>
        <w:t xml:space="preserve"> %货款（预计2024年4月支付）。本合同下所有付款均以政府财政部门划拨款项到位后支付，买方不承担因财政审批或拨款延迟造成延迟付款的违约责任。</w:t>
      </w:r>
    </w:p>
    <w:bookmarkEnd w:id="0"/>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kern w:val="0"/>
          <w:sz w:val="24"/>
        </w:rPr>
        <w:t>合同签订</w:t>
      </w:r>
      <w:r>
        <w:rPr>
          <w:rFonts w:hint="eastAsia"/>
          <w:color w:val="000000" w:themeColor="text1"/>
          <w:kern w:val="0"/>
          <w:sz w:val="24"/>
          <w14:textFill>
            <w14:solidFill>
              <w14:schemeClr w14:val="tx1"/>
            </w14:solidFill>
          </w14:textFill>
        </w:rPr>
        <w:t>后</w:t>
      </w:r>
      <w:r>
        <w:rPr>
          <w:b/>
          <w:color w:val="000000" w:themeColor="text1"/>
          <w:kern w:val="0"/>
          <w:sz w:val="24"/>
          <w14:textFill>
            <w14:solidFill>
              <w14:schemeClr w14:val="tx1"/>
            </w14:solidFill>
          </w14:textFill>
        </w:rPr>
        <w:t>90</w:t>
      </w:r>
      <w:r>
        <w:rPr>
          <w:rFonts w:hint="eastAsia"/>
          <w:color w:val="000000" w:themeColor="text1"/>
          <w:kern w:val="0"/>
          <w:sz w:val="24"/>
          <w14:textFill>
            <w14:solidFill>
              <w14:schemeClr w14:val="tx1"/>
            </w14:solidFill>
          </w14:textFill>
        </w:rPr>
        <w:t>个工作日。</w:t>
      </w:r>
    </w:p>
    <w:p>
      <w:pPr>
        <w:adjustRightInd w:val="0"/>
        <w:snapToGrid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4）质保期</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质保期一年，自验收合格之日算起。</w:t>
      </w:r>
    </w:p>
    <w:p>
      <w:pPr>
        <w:adjustRightInd w:val="0"/>
        <w:snapToGrid w:val="0"/>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二、其它配置</w:t>
      </w:r>
    </w:p>
    <w:p>
      <w:pPr>
        <w:adjustRightInd w:val="0"/>
        <w:snapToGrid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color w:val="000000" w:themeColor="text1"/>
          <w:sz w:val="24"/>
          <w14:textFill>
            <w14:solidFill>
              <w14:schemeClr w14:val="tx1"/>
            </w14:solidFill>
          </w14:textFill>
        </w:rPr>
      </w:pPr>
      <w:r>
        <w:rPr>
          <w:rFonts w:hint="eastAsia"/>
          <w:kern w:val="0"/>
          <w:sz w:val="24"/>
        </w:rPr>
        <w:t>3）工程师</w:t>
      </w:r>
      <w:r>
        <w:rPr>
          <w:rFonts w:hint="eastAsia"/>
          <w:color w:val="000000" w:themeColor="text1"/>
          <w:kern w:val="0"/>
          <w:sz w:val="24"/>
          <w14:textFill>
            <w14:solidFill>
              <w14:schemeClr w14:val="tx1"/>
            </w14:solidFill>
          </w14:textFill>
        </w:rPr>
        <w:t>到仪器用户现场安装、调试仪器，要求按照购置需求要求进行验收。</w:t>
      </w:r>
      <w:r>
        <w:rPr>
          <w:rFonts w:hint="eastAsia"/>
          <w:color w:val="000000" w:themeColor="text1"/>
          <w:sz w:val="24"/>
          <w14:textFill>
            <w14:solidFill>
              <w14:schemeClr w14:val="tx1"/>
            </w14:solidFill>
          </w14:textFill>
        </w:rPr>
        <w:t>以上服务的费用已计入总价，不另行收费。</w:t>
      </w:r>
    </w:p>
    <w:p>
      <w:pPr>
        <w:adjustRightInd w:val="0"/>
        <w:snapToGrid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4）在用户现场对用户的仪器操作、维修和电气人员免费进行技术培训。培训内容包括仪器的基本原理、安装、调试、操作使用和日常保养维修等。培训时间均不少于</w:t>
      </w:r>
      <w:r>
        <w:rPr>
          <w:b/>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个工作日。验收合格后一个月，再在用户现场进行第2次提高培训。</w:t>
      </w:r>
    </w:p>
    <w:p>
      <w:pPr>
        <w:adjustRightInd w:val="0"/>
        <w:snapToGrid w:val="0"/>
        <w:spacing w:line="360" w:lineRule="auto"/>
        <w:rPr>
          <w:kern w:val="0"/>
          <w:sz w:val="24"/>
        </w:rPr>
      </w:pPr>
      <w:r>
        <w:rPr>
          <w:rFonts w:hint="eastAsia"/>
          <w:color w:val="000000" w:themeColor="text1"/>
          <w:kern w:val="0"/>
          <w:sz w:val="24"/>
          <w14:textFill>
            <w14:solidFill>
              <w14:schemeClr w14:val="tx1"/>
            </w14:solidFill>
          </w14:textFill>
        </w:rPr>
        <w:t>5）质保期内，</w:t>
      </w:r>
      <w:r>
        <w:rPr>
          <w:rFonts w:hint="eastAsia"/>
          <w:color w:val="000000" w:themeColor="text1"/>
          <w:sz w:val="24"/>
          <w14:textFill>
            <w14:solidFill>
              <w14:schemeClr w14:val="tx1"/>
            </w14:solidFill>
          </w14:textFill>
        </w:rPr>
        <w:t>对使</w:t>
      </w:r>
      <w:r>
        <w:rPr>
          <w:rFonts w:hint="eastAsia"/>
          <w:sz w:val="24"/>
        </w:rPr>
        <w:t>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
    <w:p/>
    <w:p/>
    <w:p/>
    <w:p>
      <w:pPr>
        <w:widowControl/>
        <w:jc w:val="left"/>
      </w:pPr>
      <w:r>
        <w:br w:type="page"/>
      </w:r>
    </w:p>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2"/>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2"/>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3"/>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1"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1"/>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9"/>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2" w:name="_Hlk517017036"/>
      <w:r>
        <w:rPr>
          <w:rFonts w:hint="eastAsia" w:ascii="黑体" w:hAnsi="黑体" w:eastAsia="黑体"/>
          <w:b/>
          <w:sz w:val="36"/>
          <w:szCs w:val="36"/>
        </w:rPr>
        <w:t>《谈判响应文件》真实性承诺函</w:t>
      </w:r>
    </w:p>
    <w:bookmarkEnd w:id="2"/>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color w:val="000000" w:themeColor="text1"/>
          <w:sz w:val="30"/>
          <w:szCs w:val="30"/>
          <w14:textFill>
            <w14:solidFill>
              <w14:schemeClr w14:val="tx1"/>
            </w14:solidFill>
          </w14:textFill>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27564"/>
    <w:multiLevelType w:val="singleLevel"/>
    <w:tmpl w:val="99427564"/>
    <w:lvl w:ilvl="0" w:tentative="0">
      <w:start w:val="1"/>
      <w:numFmt w:val="chineseCounting"/>
      <w:suff w:val="nothing"/>
      <w:lvlText w:val="%1、"/>
      <w:lvlJc w:val="left"/>
      <w:rPr>
        <w:rFonts w:hint="eastAsia"/>
      </w:rPr>
    </w:lvl>
  </w:abstractNum>
  <w:abstractNum w:abstractNumId="1">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0C229B"/>
    <w:rsid w:val="00012262"/>
    <w:rsid w:val="000C229B"/>
    <w:rsid w:val="000F0D98"/>
    <w:rsid w:val="00133472"/>
    <w:rsid w:val="001A1A51"/>
    <w:rsid w:val="001A5ECE"/>
    <w:rsid w:val="00271A7A"/>
    <w:rsid w:val="00281D42"/>
    <w:rsid w:val="00390D37"/>
    <w:rsid w:val="003F72E2"/>
    <w:rsid w:val="00731A1C"/>
    <w:rsid w:val="007531B0"/>
    <w:rsid w:val="00776DB0"/>
    <w:rsid w:val="007C638A"/>
    <w:rsid w:val="007D57FB"/>
    <w:rsid w:val="008423F8"/>
    <w:rsid w:val="00931DFC"/>
    <w:rsid w:val="009D0A0C"/>
    <w:rsid w:val="00A05F6D"/>
    <w:rsid w:val="00A3496F"/>
    <w:rsid w:val="00A35460"/>
    <w:rsid w:val="00B652B6"/>
    <w:rsid w:val="00B815CF"/>
    <w:rsid w:val="00CB78C4"/>
    <w:rsid w:val="00CF73B5"/>
    <w:rsid w:val="00D114FB"/>
    <w:rsid w:val="00D168D0"/>
    <w:rsid w:val="00E33D00"/>
    <w:rsid w:val="00E66CAB"/>
    <w:rsid w:val="00FE0AA4"/>
    <w:rsid w:val="063D692A"/>
    <w:rsid w:val="1182223C"/>
    <w:rsid w:val="247C3FA3"/>
    <w:rsid w:val="2B3E5F06"/>
    <w:rsid w:val="39436076"/>
    <w:rsid w:val="47177B9E"/>
    <w:rsid w:val="7B87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Plain Text"/>
    <w:basedOn w:val="1"/>
    <w:link w:val="18"/>
    <w:qFormat/>
    <w:uiPriority w:val="0"/>
    <w:rPr>
      <w:rFonts w:ascii="宋体" w:hAnsi="Courier New" w:eastAsia="宋体"/>
    </w:rPr>
  </w:style>
  <w:style w:type="paragraph" w:styleId="4">
    <w:name w:val="Balloon Text"/>
    <w:basedOn w:val="1"/>
    <w:link w:val="15"/>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semiHidden/>
    <w:unhideWhenUsed/>
    <w:uiPriority w:val="99"/>
    <w:rPr>
      <w:sz w:val="21"/>
      <w:szCs w:val="21"/>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批注文字 字符"/>
    <w:basedOn w:val="10"/>
    <w:link w:val="2"/>
    <w:semiHidden/>
    <w:qFormat/>
    <w:uiPriority w:val="99"/>
  </w:style>
  <w:style w:type="character" w:customStyle="1" w:styleId="15">
    <w:name w:val="批注框文本 字符"/>
    <w:basedOn w:val="10"/>
    <w:link w:val="4"/>
    <w:semiHidden/>
    <w:qFormat/>
    <w:uiPriority w:val="99"/>
    <w:rPr>
      <w:sz w:val="18"/>
      <w:szCs w:val="18"/>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纯文本 字符"/>
    <w:link w:val="3"/>
    <w:qFormat/>
    <w:locked/>
    <w:uiPriority w:val="0"/>
    <w:rPr>
      <w:rFonts w:ascii="宋体" w:hAnsi="Courier New" w:eastAsia="宋体"/>
    </w:rPr>
  </w:style>
  <w:style w:type="character" w:customStyle="1" w:styleId="19">
    <w:name w:val="纯文本 字符1"/>
    <w:basedOn w:val="10"/>
    <w:semiHidden/>
    <w:qFormat/>
    <w:uiPriority w:val="99"/>
    <w:rPr>
      <w:rFonts w:hAnsi="Courier New" w:cs="Courier New" w:asciiTheme="minorEastAsia"/>
    </w:rPr>
  </w:style>
  <w:style w:type="character" w:customStyle="1" w:styleId="20">
    <w:name w:val="批注主题 字符"/>
    <w:basedOn w:val="14"/>
    <w:link w:val="7"/>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1338</Words>
  <Characters>7630</Characters>
  <Lines>63</Lines>
  <Paragraphs>17</Paragraphs>
  <TotalTime>5</TotalTime>
  <ScaleCrop>false</ScaleCrop>
  <LinksUpToDate>false</LinksUpToDate>
  <CharactersWithSpaces>8951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2023-07-05T01:14:00Z</dcterms:created>
  <dc:creator>Windows User</dc:creator>
  <cp:lastModifiedBy>admin</cp:lastModifiedBy>
  <dcterms:modified xsi:type="dcterms:W3CDTF">2023-08-18T01:58:43Z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21097ADE97B64A41922FBABAF0769387_12</vt:lpwstr>
  </property>
</Properties>
</file>