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jc w:val="center"/>
        <w:rPr>
          <w:b/>
          <w:bCs/>
          <w:sz w:val="40"/>
          <w:szCs w:val="40"/>
        </w:rPr>
      </w:pPr>
      <w:bookmarkStart w:id="0" w:name="_Hlk71456902"/>
      <w:r>
        <w:rPr>
          <w:rFonts w:hint="eastAsia"/>
          <w:b/>
          <w:bCs/>
          <w:sz w:val="40"/>
          <w:szCs w:val="40"/>
        </w:rPr>
        <w:t>清华大学深圳国际研究生院中央台、仪器台等一批实验家具项目</w:t>
      </w:r>
    </w:p>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CellMar>
          <w:top w:w="45" w:type="dxa"/>
          <w:left w:w="45" w:type="dxa"/>
          <w:bottom w:w="45" w:type="dxa"/>
          <w:right w:w="45" w:type="dxa"/>
        </w:tblCellMar>
        <w:tblLook w:val="0000"/>
      </w:tblPr>
      <w:tblGrid>
        <w:gridCol w:w="2723"/>
        <w:gridCol w:w="5220"/>
      </w:tblGrid>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项目编号：</w:t>
            </w:r>
          </w:p>
        </w:tc>
        <w:tc>
          <w:tcPr>
            <w:tcW w:w="0" w:type="auto"/>
            <w:vAlign w:val="center"/>
          </w:tcPr>
          <w:p>
            <w:pPr>
              <w:widowControl/>
              <w:jc w:val="left"/>
              <w:rPr>
                <w:sz w:val="30"/>
                <w:szCs w:val="30"/>
              </w:rPr>
            </w:pPr>
            <w:r>
              <w:rPr>
                <w:rFonts w:ascii="宋体" w:eastAsia="宋体" w:hAnsi="宋体" w:cs="宋体"/>
                <w:kern w:val="0"/>
                <w:sz w:val="30"/>
                <w:szCs w:val="30"/>
              </w:rPr>
              <w:t>SZCG2023000944</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项目名称：</w:t>
            </w:r>
          </w:p>
        </w:tc>
        <w:tc>
          <w:tcPr>
            <w:tcW w:w="0" w:type="auto"/>
            <w:vAlign w:val="center"/>
          </w:tcPr>
          <w:p>
            <w:pPr>
              <w:widowControl/>
              <w:jc w:val="left"/>
              <w:rPr>
                <w:sz w:val="30"/>
                <w:szCs w:val="30"/>
              </w:rPr>
            </w:pPr>
            <w:r>
              <w:rPr>
                <w:rFonts w:ascii="宋体" w:hAnsi="宋体" w:cs="宋体"/>
                <w:kern w:val="0"/>
                <w:sz w:val="30"/>
                <w:szCs w:val="30"/>
              </w:rPr>
              <w:t>清华大学深圳国际研究生院中央台、仪器台等一批实验家具项目</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包 号：</w:t>
            </w:r>
          </w:p>
        </w:tc>
        <w:tc>
          <w:tcPr>
            <w:tcW w:w="0" w:type="auto"/>
            <w:vAlign w:val="center"/>
          </w:tcPr>
          <w:p>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项目类型：</w:t>
            </w:r>
          </w:p>
        </w:tc>
        <w:tc>
          <w:tcPr>
            <w:tcW w:w="0" w:type="auto"/>
            <w:vAlign w:val="center"/>
          </w:tcPr>
          <w:p>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采购方式：</w:t>
            </w:r>
          </w:p>
        </w:tc>
        <w:tc>
          <w:tcPr>
            <w:tcW w:w="0" w:type="auto"/>
            <w:vAlign w:val="center"/>
          </w:tcPr>
          <w:p>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货币类型：</w:t>
            </w:r>
          </w:p>
        </w:tc>
        <w:tc>
          <w:tcPr>
            <w:tcW w:w="0" w:type="auto"/>
            <w:vAlign w:val="center"/>
          </w:tcPr>
          <w:p>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000"/>
        </w:tblPrEx>
        <w:trPr>
          <w:trHeight w:val="738"/>
          <w:tblCellSpacing w:w="0" w:type="dxa"/>
          <w:jc w:val="center"/>
        </w:trPr>
        <w:tc>
          <w:tcPr>
            <w:tcW w:w="0" w:type="auto"/>
            <w:vAlign w:val="center"/>
          </w:tcPr>
          <w:p>
            <w:pPr>
              <w:widowControl/>
              <w:jc w:val="right"/>
              <w:rPr>
                <w:sz w:val="30"/>
                <w:szCs w:val="30"/>
              </w:rPr>
            </w:pPr>
            <w:r>
              <w:rPr>
                <w:rFonts w:ascii="宋体" w:hAnsi="宋体" w:cs="宋体"/>
                <w:kern w:val="0"/>
                <w:sz w:val="30"/>
                <w:szCs w:val="30"/>
              </w:rPr>
              <w:t>评标方法：</w:t>
            </w:r>
          </w:p>
        </w:tc>
        <w:tc>
          <w:tcPr>
            <w:tcW w:w="0" w:type="auto"/>
            <w:vAlign w:val="center"/>
          </w:tcPr>
          <w:p>
            <w:pPr>
              <w:widowControl/>
              <w:jc w:val="left"/>
              <w:rPr>
                <w:sz w:val="30"/>
                <w:szCs w:val="30"/>
              </w:rPr>
            </w:pPr>
            <w:r>
              <w:rPr>
                <w:rFonts w:ascii="宋体" w:hAnsi="宋体" w:cs="宋体"/>
                <w:kern w:val="0"/>
                <w:sz w:val="30"/>
                <w:szCs w:val="30"/>
              </w:rPr>
              <w:t>综合评分</w:t>
            </w:r>
            <w:r>
              <w:rPr>
                <w:rFonts w:ascii="宋体" w:hAnsi="宋体" w:cs="宋体" w:hint="eastAsia"/>
                <w:kern w:val="0"/>
                <w:sz w:val="30"/>
                <w:szCs w:val="30"/>
              </w:rPr>
              <w:t>法</w:t>
            </w:r>
          </w:p>
        </w:tc>
      </w:tr>
    </w:tbl>
    <w:p>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不得将一个包内容拆开投标；</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分项报价或投标总价不得高于</w:t>
            </w:r>
            <w:bookmarkStart w:id="1" w:name="_Hlk71832186"/>
            <w:r>
              <w:rPr>
                <w:rFonts w:hint="eastAsia"/>
              </w:rPr>
              <w:t>相应预算金额（或设定的预算金额下的最高限价）</w:t>
            </w:r>
            <w:bookmarkEnd w:id="1"/>
            <w:r>
              <w:rPr>
                <w:rFonts w:hint="eastAsia"/>
              </w:rPr>
              <w:t>；</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left w:w="108" w:type="dxa"/>
            <w:bottom w:w="20" w:type="dxa"/>
            <w:right w:w="108" w:type="dxa"/>
          </w:tblCellMar>
          <w:tblLook w:val="0000"/>
        </w:tblPrEx>
        <w:trPr>
          <w:trHeight w:val="581"/>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投标文件电子文档不得带病毒；</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hint="eastAsia"/>
                <w:color w:val="FF0000"/>
                <w:kern w:val="0"/>
                <w:szCs w:val="21"/>
              </w:rPr>
              <w:t>1</w:t>
            </w:r>
            <w:r>
              <w:rPr>
                <w:rFonts w:ascii="宋体" w:hAnsi="宋体" w:cs="宋体"/>
                <w:color w:val="FF0000"/>
                <w:kern w:val="0"/>
                <w:szCs w:val="21"/>
              </w:rPr>
              <w:t>1</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color w:val="FF0000"/>
              </w:rPr>
              <w:t>不同投标供应商投标文件“文件制作机器码”一致；</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hAnsi="宋体" w:cs="宋体"/>
                <w:kern w:val="0"/>
                <w:szCs w:val="21"/>
              </w:rPr>
            </w:pPr>
            <w:r>
              <w:rPr>
                <w:rFonts w:ascii="宋体" w:hAnsi="宋体" w:cs="宋体" w:hint="eastAsia"/>
                <w:color w:val="FF0000"/>
                <w:kern w:val="0"/>
                <w:szCs w:val="21"/>
              </w:rPr>
              <w:t>1</w:t>
            </w:r>
            <w:r>
              <w:rPr>
                <w:rFonts w:ascii="宋体" w:hAnsi="宋体" w:cs="宋体"/>
                <w:color w:val="FF0000"/>
                <w:kern w:val="0"/>
                <w:szCs w:val="21"/>
              </w:rPr>
              <w:t>2</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pPr>
            <w:r>
              <w:rPr>
                <w:color w:val="FF0000"/>
              </w:rPr>
              <w:t>不同投标供应商投标文件“文件创建标识码”一致</w:t>
            </w:r>
            <w:r>
              <w:rPr>
                <w:rFonts w:hint="eastAsia"/>
                <w:color w:val="FF0000"/>
              </w:rPr>
              <w:t>；</w:t>
            </w:r>
          </w:p>
        </w:tc>
      </w:tr>
      <w:tr>
        <w:tblPrEx>
          <w:tblW w:w="9078" w:type="dxa"/>
          <w:jc w:val="center"/>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hAnsi="宋体" w:cs="宋体"/>
                <w:kern w:val="0"/>
                <w:szCs w:val="21"/>
              </w:rPr>
            </w:pPr>
            <w:r>
              <w:rPr>
                <w:rFonts w:ascii="宋体" w:hAnsi="宋体" w:cs="宋体"/>
                <w:kern w:val="0"/>
                <w:szCs w:val="21"/>
              </w:rPr>
              <w:t>13</w:t>
            </w:r>
          </w:p>
        </w:tc>
        <w:tc>
          <w:tcPr>
            <w:tcW w:w="8284" w:type="dxa"/>
            <w:tcBorders>
              <w:top w:val="single" w:sz="8" w:space="0" w:color="000000"/>
              <w:left w:val="single" w:sz="8" w:space="0" w:color="000000"/>
              <w:bottom w:val="single" w:sz="8" w:space="0" w:color="000000"/>
              <w:right w:val="single" w:sz="8" w:space="0" w:color="000000"/>
            </w:tcBorders>
          </w:tcPr>
          <w:p>
            <w:pPr>
              <w:widowControl/>
              <w:jc w:val="left"/>
              <w:textAlignment w:val="top"/>
            </w:pPr>
            <w:r>
              <w:rPr>
                <w:rFonts w:hint="eastAsia"/>
              </w:rPr>
              <w:t>法律、法规、规章、规范性文件规定的其他情形。</w:t>
            </w:r>
          </w:p>
        </w:tc>
      </w:tr>
    </w:tbl>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000"/>
      </w:tblPr>
      <w:tblGrid>
        <w:gridCol w:w="8685"/>
        <w:gridCol w:w="393"/>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000"/>
        </w:tblPrEx>
        <w:trPr>
          <w:tblCellSpacing w:w="0" w:type="dxa"/>
          <w:jc w:val="center"/>
        </w:trPr>
        <w:tc>
          <w:tcPr>
            <w:tcW w:w="0" w:type="auto"/>
            <w:vAlign w:val="center"/>
          </w:tcPr>
          <w:p>
            <w:pPr>
              <w:widowControl/>
              <w:jc w:val="left"/>
              <w:rPr>
                <w:b/>
                <w:bCs/>
                <w:sz w:val="24"/>
              </w:rPr>
            </w:pPr>
            <w:r>
              <w:rPr>
                <w:b/>
                <w:bCs/>
              </w:rPr>
              <w:t>评标方法：综合评分法</w:t>
            </w:r>
          </w:p>
        </w:tc>
        <w:tc>
          <w:tcPr>
            <w:tcW w:w="0" w:type="auto"/>
            <w:vAlign w:val="center"/>
          </w:tcPr>
          <w:p>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000"/>
        </w:tblPrEx>
        <w:trPr>
          <w:tblCellSpacing w:w="0" w:type="dxa"/>
          <w:jc w:val="center"/>
        </w:trPr>
        <w:tc>
          <w:tcPr>
            <w:tcW w:w="0" w:type="auto"/>
            <w:gridSpan w:val="2"/>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NormalWeb"/>
              <w:widowControl/>
              <w:spacing w:line="324" w:lineRule="auto"/>
              <w:ind w:left="420"/>
              <w:rPr>
                <w:sz w:val="21"/>
                <w:szCs w:val="21"/>
              </w:rPr>
            </w:pPr>
            <w:r>
              <w:rPr>
                <w:kern w:val="2"/>
                <w:sz w:val="21"/>
                <w:szCs w:val="21"/>
              </w:rPr>
              <w:t xml:space="preserve">采用低价优先法计算，即满足招标文件要求且投标价格最低的投标报价为评标基准价，其价格分为满分。其他投标人的价格分统一按照下列公式计算： </w:t>
            </w:r>
            <w:r>
              <w:rPr>
                <w:kern w:val="2"/>
                <w:sz w:val="21"/>
                <w:szCs w:val="21"/>
              </w:rPr>
              <w:br/>
            </w:r>
            <w:r>
              <w:rPr>
                <w:kern w:val="2"/>
                <w:sz w:val="21"/>
                <w:szCs w:val="21"/>
              </w:rPr>
              <w:t xml:space="preserve">投标报价得分=(评标基准价／投标报价)×100 </w:t>
            </w:r>
            <w:r>
              <w:rPr>
                <w:kern w:val="2"/>
                <w:sz w:val="21"/>
                <w:szCs w:val="21"/>
              </w:rPr>
              <w:br/>
            </w:r>
            <w:r>
              <w:rPr>
                <w:kern w:val="2"/>
                <w:sz w:val="21"/>
                <w:szCs w:val="21"/>
              </w:rPr>
              <w:t xml:space="preserve">评标总得分＝F1×A1＋F2×A2＋……＋Fn×An </w:t>
            </w:r>
            <w:r>
              <w:rPr>
                <w:kern w:val="2"/>
                <w:sz w:val="21"/>
                <w:szCs w:val="21"/>
              </w:rPr>
              <w:br/>
            </w:r>
            <w:r>
              <w:rPr>
                <w:kern w:val="2"/>
                <w:sz w:val="21"/>
                <w:szCs w:val="21"/>
              </w:rPr>
              <w:t xml:space="preserve">F1、F2……Fn分别为各项评审因素的得分； </w:t>
            </w:r>
            <w:r>
              <w:rPr>
                <w:kern w:val="2"/>
                <w:sz w:val="21"/>
                <w:szCs w:val="21"/>
              </w:rPr>
              <w:br/>
            </w:r>
            <w:r>
              <w:rPr>
                <w:kern w:val="2"/>
                <w:sz w:val="21"/>
                <w:szCs w:val="21"/>
              </w:rPr>
              <w:t xml:space="preserve">A1、A2、……An 分别为各项评审因素所占的权重(A1＋A2＋……＋An＝1)。 </w:t>
            </w:r>
            <w:r>
              <w:rPr>
                <w:kern w:val="2"/>
                <w:sz w:val="21"/>
                <w:szCs w:val="21"/>
              </w:rPr>
              <w:br/>
            </w:r>
            <w:r>
              <w:rPr>
                <w:kern w:val="2"/>
                <w:sz w:val="21"/>
                <w:szCs w:val="21"/>
              </w:rPr>
              <w:t xml:space="preserve">评标过程中，不得去掉报价中的最高报价和最低报价。 </w:t>
            </w:r>
          </w:p>
        </w:tc>
      </w:tr>
    </w:tbl>
    <w:p>
      <w:pPr>
        <w:rPr>
          <w:vanish/>
          <w:sz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16"/>
        <w:gridCol w:w="416"/>
        <w:gridCol w:w="1814"/>
        <w:gridCol w:w="1555"/>
        <w:gridCol w:w="755"/>
        <w:gridCol w:w="432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bookmarkStart w:id="2" w:name="_Hlk72360569"/>
            <w:r>
              <w:rPr>
                <w:rFonts w:ascii="宋体" w:hAnsi="宋体" w:hint="eastAsia"/>
                <w:sz w:val="20"/>
                <w:szCs w:val="20"/>
              </w:rPr>
              <w:t>序号</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评分项</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权重</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价格</w:t>
            </w:r>
          </w:p>
        </w:tc>
        <w:tc>
          <w:tcPr>
            <w:tcW w:w="4328" w:type="dxa"/>
            <w:vAlign w:val="center"/>
          </w:tcPr>
          <w:p>
            <w:pPr>
              <w:spacing w:line="240" w:lineRule="exact"/>
              <w:jc w:val="center"/>
              <w:rPr>
                <w:rFonts w:ascii="宋体" w:hAnsi="宋体"/>
                <w:sz w:val="20"/>
                <w:szCs w:val="20"/>
              </w:rPr>
            </w:pPr>
            <w:r>
              <w:rPr>
                <w:rFonts w:ascii="宋体" w:hAnsi="宋体"/>
                <w:sz w:val="20"/>
                <w:szCs w:val="20"/>
              </w:rPr>
              <w:t>30</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技术部分</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58</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restart"/>
            <w:vAlign w:val="center"/>
          </w:tcPr>
          <w:p>
            <w:pPr>
              <w:spacing w:line="240" w:lineRule="exact"/>
              <w:jc w:val="center"/>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1555"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1</w:t>
            </w:r>
          </w:p>
        </w:tc>
        <w:tc>
          <w:tcPr>
            <w:tcW w:w="1814" w:type="dxa"/>
            <w:vAlign w:val="center"/>
          </w:tcPr>
          <w:p>
            <w:pPr>
              <w:spacing w:line="240" w:lineRule="exact"/>
              <w:jc w:val="center"/>
              <w:rPr>
                <w:rFonts w:ascii="宋体" w:hAnsi="宋体"/>
                <w:sz w:val="20"/>
                <w:szCs w:val="20"/>
              </w:rPr>
            </w:pPr>
            <w:r>
              <w:rPr>
                <w:rFonts w:ascii="宋体" w:hAnsi="宋体" w:cs="宋体" w:hint="eastAsia"/>
                <w:kern w:val="0"/>
                <w:sz w:val="20"/>
                <w:szCs w:val="20"/>
              </w:rPr>
              <w:t>技术要求偏离情况</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4</w:t>
            </w:r>
            <w:r>
              <w:rPr>
                <w:rFonts w:ascii="宋体" w:hAnsi="宋体" w:cs="宋体"/>
                <w:sz w:val="20"/>
                <w:szCs w:val="20"/>
              </w:rPr>
              <w:t>8</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widowControl/>
              <w:jc w:val="left"/>
              <w:rPr>
                <w:rFonts w:cs="宋体"/>
                <w:sz w:val="20"/>
                <w:szCs w:val="20"/>
              </w:rPr>
            </w:pPr>
            <w:r>
              <w:rPr>
                <w:rFonts w:ascii="宋体" w:hAnsi="宋体" w:cs="宋体" w:hint="eastAsia"/>
                <w:kern w:val="0"/>
                <w:sz w:val="20"/>
                <w:szCs w:val="20"/>
              </w:rPr>
              <w:t>投标人应如实填写《技术要求偏离表》，评审委员会根据技术需求参数响应情况进行打分，各项技术参数指标及要求全部满足的得100分，</w:t>
            </w:r>
            <w:r>
              <w:rPr>
                <w:rFonts w:ascii="宋体" w:hAnsi="宋体" w:cs="宋体" w:hint="eastAsia"/>
                <w:kern w:val="0"/>
                <w:sz w:val="20"/>
                <w:szCs w:val="20"/>
                <w:highlight w:val="none"/>
              </w:rPr>
              <w:t>所有标注“▲”的重要参数每项负偏离一扣4分，一般参数每负偏离一条扣</w:t>
            </w:r>
            <w:r>
              <w:rPr>
                <w:rFonts w:ascii="宋体" w:hAnsi="宋体" w:cs="宋体"/>
                <w:kern w:val="0"/>
                <w:sz w:val="20"/>
                <w:szCs w:val="20"/>
                <w:highlight w:val="none"/>
              </w:rPr>
              <w:t>0.1</w:t>
            </w:r>
            <w:r>
              <w:rPr>
                <w:rFonts w:ascii="宋体" w:hAnsi="宋体" w:cs="宋体" w:hint="eastAsia"/>
                <w:kern w:val="0"/>
                <w:sz w:val="20"/>
                <w:szCs w:val="20"/>
                <w:highlight w:val="none"/>
              </w:rPr>
              <w:t>分，扣完为止。</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1814" w:type="dxa"/>
            <w:vAlign w:val="center"/>
          </w:tcPr>
          <w:p>
            <w:pPr>
              <w:spacing w:line="240" w:lineRule="exact"/>
              <w:jc w:val="center"/>
              <w:rPr>
                <w:rFonts w:ascii="宋体" w:hAnsi="宋体" w:cs="宋体"/>
                <w:kern w:val="0"/>
                <w:sz w:val="20"/>
                <w:szCs w:val="20"/>
              </w:rPr>
            </w:pPr>
            <w:r>
              <w:rPr>
                <w:rFonts w:ascii="宋体" w:hAnsi="宋体" w:cs="宋体" w:hint="eastAsia"/>
                <w:kern w:val="0"/>
                <w:sz w:val="20"/>
                <w:szCs w:val="20"/>
              </w:rPr>
              <w:t>配套安装方案</w:t>
            </w:r>
          </w:p>
        </w:tc>
        <w:tc>
          <w:tcPr>
            <w:tcW w:w="1555" w:type="dxa"/>
            <w:vAlign w:val="center"/>
          </w:tcPr>
          <w:p>
            <w:pPr>
              <w:spacing w:line="240" w:lineRule="exact"/>
              <w:jc w:val="center"/>
              <w:rPr>
                <w:rFonts w:ascii="宋体" w:hAnsi="宋体" w:cs="宋体"/>
                <w:sz w:val="20"/>
                <w:szCs w:val="20"/>
              </w:rPr>
            </w:pPr>
            <w:r>
              <w:rPr>
                <w:rFonts w:ascii="宋体" w:hAnsi="宋体" w:cs="宋体" w:hint="eastAsia"/>
                <w:sz w:val="20"/>
                <w:szCs w:val="20"/>
              </w:rPr>
              <w:t>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widowControl/>
              <w:jc w:val="left"/>
              <w:rPr>
                <w:rFonts w:ascii="宋体" w:hAnsi="宋体" w:cs="宋体" w:hint="eastAsia"/>
                <w:kern w:val="0"/>
                <w:sz w:val="20"/>
                <w:szCs w:val="20"/>
              </w:rPr>
            </w:pPr>
            <w:r>
              <w:rPr>
                <w:rFonts w:ascii="宋体" w:hAnsi="宋体" w:cs="宋体" w:hint="eastAsia"/>
                <w:kern w:val="0"/>
                <w:sz w:val="20"/>
                <w:szCs w:val="20"/>
              </w:rPr>
              <w:t>配套安装方案，应包括如下内容：</w:t>
            </w:r>
          </w:p>
          <w:p>
            <w:pPr>
              <w:widowControl/>
              <w:jc w:val="left"/>
              <w:rPr>
                <w:rFonts w:ascii="宋体" w:hAnsi="宋体" w:cs="宋体" w:hint="eastAsia"/>
                <w:kern w:val="0"/>
                <w:sz w:val="20"/>
                <w:szCs w:val="20"/>
              </w:rPr>
            </w:pPr>
            <w:r>
              <w:rPr>
                <w:rFonts w:ascii="宋体" w:hAnsi="宋体" w:cs="宋体" w:hint="eastAsia"/>
                <w:kern w:val="0"/>
                <w:sz w:val="20"/>
                <w:szCs w:val="20"/>
              </w:rPr>
              <w:t>1、进度表（须有货物生产、货物安装的进度时间等关键信息）；</w:t>
            </w:r>
          </w:p>
          <w:p>
            <w:pPr>
              <w:widowControl/>
              <w:jc w:val="left"/>
              <w:rPr>
                <w:rFonts w:ascii="宋体" w:hAnsi="宋体" w:cs="宋体" w:hint="eastAsia"/>
                <w:kern w:val="0"/>
                <w:sz w:val="20"/>
                <w:szCs w:val="20"/>
              </w:rPr>
            </w:pPr>
            <w:r>
              <w:rPr>
                <w:rFonts w:ascii="宋体" w:hAnsi="宋体" w:cs="宋体" w:hint="eastAsia"/>
                <w:kern w:val="0"/>
                <w:sz w:val="20"/>
                <w:szCs w:val="20"/>
              </w:rPr>
              <w:t>2、序号12的货物（中央台12）的水、电和功能柱安装示意图；</w:t>
            </w:r>
          </w:p>
          <w:p>
            <w:pPr>
              <w:widowControl/>
              <w:jc w:val="left"/>
              <w:rPr>
                <w:rFonts w:ascii="宋体" w:hAnsi="宋体" w:cs="宋体" w:hint="eastAsia"/>
                <w:kern w:val="0"/>
                <w:sz w:val="20"/>
                <w:szCs w:val="20"/>
              </w:rPr>
            </w:pPr>
            <w:r>
              <w:rPr>
                <w:rFonts w:ascii="宋体" w:hAnsi="宋体" w:cs="宋体" w:hint="eastAsia"/>
                <w:kern w:val="0"/>
                <w:sz w:val="20"/>
                <w:szCs w:val="20"/>
              </w:rPr>
              <w:t>3、序号77和78货物（万向排气罩和承载式天花）安装示意图；</w:t>
            </w:r>
          </w:p>
          <w:p>
            <w:pPr>
              <w:widowControl/>
              <w:jc w:val="left"/>
              <w:rPr>
                <w:rFonts w:ascii="宋体" w:hAnsi="宋体" w:cs="宋体" w:hint="eastAsia"/>
                <w:kern w:val="0"/>
                <w:sz w:val="20"/>
                <w:szCs w:val="20"/>
              </w:rPr>
            </w:pPr>
            <w:r>
              <w:rPr>
                <w:rFonts w:ascii="宋体" w:hAnsi="宋体" w:cs="宋体" w:hint="eastAsia"/>
                <w:kern w:val="0"/>
                <w:sz w:val="20"/>
                <w:szCs w:val="20"/>
              </w:rPr>
              <w:t>满足以上3点得60分，满足2点得20分，满足1点或以下得0分。</w:t>
            </w:r>
          </w:p>
          <w:p>
            <w:pPr>
              <w:widowControl/>
              <w:jc w:val="left"/>
              <w:rPr>
                <w:rFonts w:ascii="宋体" w:hAnsi="宋体" w:cs="宋体" w:hint="eastAsia"/>
                <w:kern w:val="0"/>
                <w:sz w:val="20"/>
                <w:szCs w:val="20"/>
              </w:rPr>
            </w:pPr>
            <w:r>
              <w:rPr>
                <w:rFonts w:ascii="宋体" w:hAnsi="宋体" w:cs="宋体" w:hint="eastAsia"/>
                <w:kern w:val="0"/>
                <w:sz w:val="20"/>
                <w:szCs w:val="20"/>
              </w:rPr>
              <w:t>在以上方案的基础上：</w:t>
            </w:r>
          </w:p>
          <w:p>
            <w:pPr>
              <w:widowControl/>
              <w:jc w:val="left"/>
              <w:rPr>
                <w:rFonts w:ascii="宋体" w:hAnsi="宋体" w:cs="宋体" w:hint="eastAsia"/>
                <w:kern w:val="0"/>
                <w:sz w:val="20"/>
                <w:szCs w:val="20"/>
              </w:rPr>
            </w:pPr>
            <w:r>
              <w:rPr>
                <w:rFonts w:ascii="宋体" w:hAnsi="宋体" w:cs="宋体" w:hint="eastAsia"/>
                <w:kern w:val="0"/>
                <w:sz w:val="20"/>
                <w:szCs w:val="20"/>
              </w:rPr>
              <w:t>1、优：提供标注清晰的、详细的立面图、方案合理，得40分。</w:t>
            </w:r>
          </w:p>
          <w:p>
            <w:pPr>
              <w:widowControl/>
              <w:jc w:val="left"/>
              <w:rPr>
                <w:rFonts w:ascii="宋体" w:hAnsi="宋体" w:cs="宋体" w:hint="eastAsia"/>
                <w:kern w:val="0"/>
                <w:sz w:val="20"/>
                <w:szCs w:val="20"/>
              </w:rPr>
            </w:pPr>
            <w:r>
              <w:rPr>
                <w:rFonts w:ascii="宋体" w:hAnsi="宋体" w:cs="宋体" w:hint="eastAsia"/>
                <w:kern w:val="0"/>
                <w:sz w:val="20"/>
                <w:szCs w:val="20"/>
              </w:rPr>
              <w:t>2、中：提供标注比较清晰的、比较详细的立面图、方案比较合理，得20分。</w:t>
            </w:r>
          </w:p>
          <w:p>
            <w:pPr>
              <w:widowControl/>
              <w:jc w:val="left"/>
            </w:pPr>
            <w:r>
              <w:rPr>
                <w:rFonts w:ascii="宋体" w:hAnsi="宋体" w:cs="宋体" w:hint="eastAsia"/>
                <w:kern w:val="0"/>
                <w:sz w:val="20"/>
                <w:szCs w:val="20"/>
              </w:rPr>
              <w:t>3、差：未提供立面图，方案不合理，得0分。如果评价为差，要求专家书面说明理由，并记录在档。</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160" w:line="240" w:lineRule="exact"/>
              <w:jc w:val="center"/>
              <w:outlineLvl w:val="2"/>
              <w:rPr>
                <w:rFonts w:ascii="宋体" w:eastAsia="仿宋_GB2312"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1814" w:type="dxa"/>
            <w:vAlign w:val="center"/>
          </w:tcPr>
          <w:p>
            <w:pPr>
              <w:spacing w:line="240" w:lineRule="exact"/>
              <w:jc w:val="center"/>
              <w:rPr>
                <w:rFonts w:ascii="宋体" w:hAnsi="宋体"/>
                <w:color w:val="FF0000"/>
                <w:sz w:val="20"/>
                <w:szCs w:val="20"/>
              </w:rPr>
            </w:pPr>
            <w:r>
              <w:rPr>
                <w:rFonts w:ascii="宋体" w:hAnsi="宋体" w:cs="宋体" w:hint="eastAsia"/>
                <w:sz w:val="20"/>
                <w:szCs w:val="20"/>
              </w:rPr>
              <w:t>样品</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rPr>
                <w:rFonts w:ascii="宋体" w:hAnsi="宋体" w:cs="宋体"/>
                <w:sz w:val="20"/>
                <w:szCs w:val="20"/>
              </w:rPr>
            </w:pPr>
            <w:r>
              <w:rPr>
                <w:rFonts w:ascii="宋体" w:hAnsi="宋体" w:hint="eastAsia"/>
                <w:bCs/>
                <w:snapToGrid w:val="0"/>
                <w:color w:val="000000"/>
                <w:kern w:val="0"/>
                <w:szCs w:val="21"/>
                <w:highlight w:val="none"/>
              </w:rPr>
              <w:t>投标人根据“样品要求”提供样品，三项样品规格均满足要求的，得80分，在此基础上，台面平滑、无瑕疵，水槽台的陶瓷板台面是蝶形一体成型的，得20分；台面有轻微瑕疵，水槽台的陶瓷板台面是蝶形一体成型的，得10分；台面有瑕疵，水槽台的陶瓷板台面不是蝶形一体成型的，得0分。</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highlight w:val="none"/>
              </w:rPr>
              <w:t>商务部分</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7</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restart"/>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1555"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免费保修期内售后服务条款偏离情况</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3</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highlight w:val="none"/>
              </w:rPr>
            </w:pPr>
            <w:r>
              <w:rPr>
                <w:rFonts w:cs="宋体" w:hint="eastAsia"/>
                <w:sz w:val="20"/>
                <w:szCs w:val="20"/>
                <w:highlight w:val="none"/>
              </w:rPr>
              <w:t>投标人应如实填写《商务要求偏离表（免费保修期内售后服务要求）》，评审委员会根据响应情况进行打分，全部满足要求的得</w:t>
            </w:r>
            <w:r>
              <w:rPr>
                <w:sz w:val="20"/>
                <w:szCs w:val="20"/>
                <w:highlight w:val="none"/>
              </w:rPr>
              <w:t>100</w:t>
            </w:r>
            <w:r>
              <w:rPr>
                <w:rFonts w:cs="宋体" w:hint="eastAsia"/>
                <w:sz w:val="20"/>
                <w:szCs w:val="20"/>
                <w:highlight w:val="none"/>
              </w:rPr>
              <w:t>分，每负偏离一项扣</w:t>
            </w:r>
            <w:r>
              <w:rPr>
                <w:rFonts w:hint="eastAsia"/>
                <w:sz w:val="20"/>
                <w:szCs w:val="20"/>
                <w:highlight w:val="none"/>
                <w:lang w:val="en-US" w:eastAsia="zh-CN"/>
              </w:rPr>
              <w:t>100</w:t>
            </w:r>
            <w:r>
              <w:rPr>
                <w:rFonts w:cs="宋体" w:hint="eastAsia"/>
                <w:sz w:val="20"/>
                <w:szCs w:val="20"/>
                <w:highlight w:val="none"/>
              </w:rPr>
              <w:t>分，扣完为止。</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1814" w:type="dxa"/>
            <w:vAlign w:val="center"/>
          </w:tcPr>
          <w:p>
            <w:pPr>
              <w:spacing w:line="240" w:lineRule="exact"/>
              <w:jc w:val="center"/>
              <w:rPr>
                <w:rFonts w:ascii="宋体" w:hAnsi="宋体" w:cs="宋体"/>
                <w:sz w:val="20"/>
                <w:szCs w:val="20"/>
              </w:rPr>
            </w:pPr>
            <w:r>
              <w:rPr>
                <w:rFonts w:ascii="宋体" w:hAnsi="宋体" w:cs="宋体" w:hint="eastAsia"/>
                <w:sz w:val="20"/>
                <w:szCs w:val="20"/>
              </w:rPr>
              <w:t>免费保修期外售后服务条款偏离情况</w:t>
            </w:r>
          </w:p>
          <w:p>
            <w:pPr>
              <w:spacing w:line="240" w:lineRule="exact"/>
              <w:jc w:val="center"/>
              <w:rPr>
                <w:rFonts w:ascii="宋体" w:hAnsi="宋体"/>
                <w:color w:val="FF0000"/>
                <w:sz w:val="20"/>
                <w:szCs w:val="20"/>
              </w:rPr>
            </w:pP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1</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highlight w:val="none"/>
              </w:rPr>
            </w:pPr>
            <w:r>
              <w:rPr>
                <w:rFonts w:cs="宋体" w:hint="eastAsia"/>
                <w:sz w:val="20"/>
                <w:szCs w:val="20"/>
                <w:highlight w:val="none"/>
              </w:rPr>
              <w:t>投标人应如实填写《商务要求偏离表（免费保修期外售后服务要求）》，评审委员会根据响应情况进行打分，全部满足要求的得</w:t>
            </w:r>
            <w:r>
              <w:rPr>
                <w:sz w:val="20"/>
                <w:szCs w:val="20"/>
                <w:highlight w:val="none"/>
              </w:rPr>
              <w:t>100</w:t>
            </w:r>
            <w:r>
              <w:rPr>
                <w:rFonts w:cs="宋体" w:hint="eastAsia"/>
                <w:sz w:val="20"/>
                <w:szCs w:val="20"/>
                <w:highlight w:val="none"/>
              </w:rPr>
              <w:t>分，每负偏离一项扣</w:t>
            </w:r>
            <w:r>
              <w:rPr>
                <w:sz w:val="20"/>
                <w:szCs w:val="20"/>
                <w:highlight w:val="none"/>
              </w:rPr>
              <w:t>100</w:t>
            </w:r>
            <w:r>
              <w:rPr>
                <w:rFonts w:cs="宋体" w:hint="eastAsia"/>
                <w:sz w:val="20"/>
                <w:szCs w:val="20"/>
                <w:highlight w:val="none"/>
              </w:rPr>
              <w:t>分。</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其他商务条款偏离情况</w:t>
            </w:r>
          </w:p>
        </w:tc>
        <w:tc>
          <w:tcPr>
            <w:tcW w:w="1555" w:type="dxa"/>
            <w:vAlign w:val="center"/>
          </w:tcPr>
          <w:p>
            <w:pPr>
              <w:spacing w:line="240" w:lineRule="exact"/>
              <w:jc w:val="center"/>
              <w:rPr>
                <w:rFonts w:ascii="宋体" w:hAnsi="宋体"/>
                <w:sz w:val="20"/>
                <w:szCs w:val="20"/>
              </w:rPr>
            </w:pPr>
            <w:r>
              <w:rPr>
                <w:rFonts w:ascii="宋体" w:hAnsi="宋体" w:cs="宋体" w:hint="eastAsia"/>
                <w:sz w:val="20"/>
                <w:szCs w:val="20"/>
              </w:rPr>
              <w:t>3</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highlight w:val="none"/>
              </w:rPr>
            </w:pPr>
            <w:r>
              <w:rPr>
                <w:rFonts w:cs="宋体" w:hint="eastAsia"/>
                <w:sz w:val="20"/>
                <w:szCs w:val="20"/>
                <w:highlight w:val="none"/>
              </w:rPr>
              <w:t>投标人应如实填写《商务要求偏离表（其他商务要求）》，评审委员会根据响应情况进行打分，全部满足要求的得</w:t>
            </w:r>
            <w:r>
              <w:rPr>
                <w:sz w:val="20"/>
                <w:szCs w:val="20"/>
                <w:highlight w:val="none"/>
              </w:rPr>
              <w:t>100</w:t>
            </w:r>
            <w:r>
              <w:rPr>
                <w:rFonts w:cs="宋体" w:hint="eastAsia"/>
                <w:sz w:val="20"/>
                <w:szCs w:val="20"/>
                <w:highlight w:val="none"/>
              </w:rPr>
              <w:t>分，每负偏离一项扣</w:t>
            </w:r>
            <w:r>
              <w:rPr>
                <w:sz w:val="20"/>
                <w:szCs w:val="20"/>
                <w:highlight w:val="none"/>
              </w:rPr>
              <w:t>10</w:t>
            </w:r>
            <w:r>
              <w:rPr>
                <w:rFonts w:cs="宋体" w:hint="eastAsia"/>
                <w:sz w:val="20"/>
                <w:szCs w:val="20"/>
                <w:highlight w:val="none"/>
              </w:rPr>
              <w:t>分，扣完为止。</w:t>
            </w:r>
          </w:p>
        </w:tc>
      </w:tr>
      <w:tr>
        <w:tblPrEx>
          <w:tblW w:w="0" w:type="auto"/>
          <w:jc w:val="center"/>
          <w:tblCellMar>
            <w:top w:w="0" w:type="dxa"/>
            <w:left w:w="108" w:type="dxa"/>
            <w:bottom w:w="0" w:type="dxa"/>
            <w:right w:w="108" w:type="dxa"/>
          </w:tblCellMar>
          <w:tblLook w:val="0000"/>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hint="eastAsia"/>
                <w:sz w:val="20"/>
                <w:szCs w:val="20"/>
              </w:rPr>
              <w:t>4</w:t>
            </w:r>
          </w:p>
        </w:tc>
        <w:tc>
          <w:tcPr>
            <w:tcW w:w="4540" w:type="dxa"/>
            <w:gridSpan w:val="4"/>
            <w:vAlign w:val="center"/>
          </w:tcPr>
          <w:p>
            <w:pPr>
              <w:spacing w:line="240" w:lineRule="exact"/>
              <w:jc w:val="center"/>
              <w:rPr>
                <w:rFonts w:ascii="宋体" w:hAnsi="宋体"/>
                <w:sz w:val="20"/>
                <w:szCs w:val="20"/>
              </w:rPr>
            </w:pPr>
            <w:r>
              <w:rPr>
                <w:rFonts w:ascii="宋体" w:hAnsi="宋体" w:hint="eastAsia"/>
                <w:sz w:val="20"/>
                <w:szCs w:val="20"/>
              </w:rPr>
              <w:t>诚信情况</w:t>
            </w:r>
          </w:p>
        </w:tc>
        <w:tc>
          <w:tcPr>
            <w:tcW w:w="4328" w:type="dxa"/>
            <w:vAlign w:val="center"/>
          </w:tcPr>
          <w:p>
            <w:pPr>
              <w:pStyle w:val="Header"/>
              <w:pBdr>
                <w:bottom w:val="nil"/>
              </w:pBdr>
              <w:tabs>
                <w:tab w:val="clear" w:pos="4153"/>
                <w:tab w:val="clear" w:pos="8306"/>
              </w:tabs>
              <w:spacing w:line="300" w:lineRule="auto"/>
              <w:rPr>
                <w:rFonts w:ascii="宋体" w:hAnsi="宋体"/>
                <w:sz w:val="20"/>
                <w:szCs w:val="20"/>
              </w:rPr>
            </w:pPr>
            <w:r>
              <w:rPr>
                <w:rFonts w:ascii="宋体" w:hAnsi="宋体"/>
                <w:sz w:val="20"/>
                <w:szCs w:val="20"/>
              </w:rPr>
              <w:t>5</w:t>
            </w:r>
          </w:p>
        </w:tc>
      </w:tr>
      <w:tr>
        <w:tblPrEx>
          <w:tblW w:w="0" w:type="auto"/>
          <w:jc w:val="center"/>
          <w:tblCellMar>
            <w:top w:w="0" w:type="dxa"/>
            <w:left w:w="108" w:type="dxa"/>
            <w:bottom w:w="0" w:type="dxa"/>
            <w:right w:w="108" w:type="dxa"/>
          </w:tblCellMar>
          <w:tblLook w:val="0000"/>
        </w:tblPrEx>
        <w:trPr>
          <w:trHeight w:val="57"/>
          <w:jc w:val="center"/>
        </w:trPr>
        <w:tc>
          <w:tcPr>
            <w:tcW w:w="416" w:type="dxa"/>
            <w:vMerge w:val="restart"/>
            <w:vAlign w:val="center"/>
          </w:tcPr>
          <w:p>
            <w:pPr>
              <w:spacing w:line="240" w:lineRule="exact"/>
              <w:jc w:val="center"/>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1555"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0" w:type="auto"/>
          <w:jc w:val="center"/>
          <w:tblCellMar>
            <w:top w:w="0" w:type="dxa"/>
            <w:left w:w="108" w:type="dxa"/>
            <w:bottom w:w="0" w:type="dxa"/>
            <w:right w:w="108" w:type="dxa"/>
          </w:tblCellMar>
          <w:tblLook w:val="0000"/>
        </w:tblPrEx>
        <w:trPr>
          <w:trHeight w:val="90"/>
          <w:jc w:val="center"/>
        </w:trPr>
        <w:tc>
          <w:tcPr>
            <w:tcW w:w="416" w:type="dxa"/>
            <w:vMerge/>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诚信</w:t>
            </w:r>
          </w:p>
        </w:tc>
        <w:tc>
          <w:tcPr>
            <w:tcW w:w="1555" w:type="dxa"/>
            <w:vAlign w:val="center"/>
          </w:tcPr>
          <w:p>
            <w:pPr>
              <w:spacing w:line="240" w:lineRule="exact"/>
              <w:jc w:val="center"/>
              <w:rPr>
                <w:rFonts w:ascii="宋体" w:hAnsi="宋体"/>
                <w:sz w:val="20"/>
                <w:szCs w:val="20"/>
              </w:rPr>
            </w:pPr>
            <w:r>
              <w:rPr>
                <w:rFonts w:ascii="宋体" w:hAnsi="宋体"/>
                <w:sz w:val="20"/>
                <w:szCs w:val="20"/>
              </w:rPr>
              <w:t>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tcPr>
          <w:p>
            <w:pPr>
              <w:rPr>
                <w:rFonts w:ascii="宋体" w:hAnsi="宋体"/>
                <w:sz w:val="20"/>
                <w:szCs w:val="20"/>
              </w:rPr>
            </w:pPr>
            <w:r>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bl>
    <w:p>
      <w:pPr>
        <w:sectPr>
          <w:footerReference w:type="even" r:id="rId4"/>
          <w:footerReference w:type="default" r:id="rId5"/>
          <w:pgSz w:w="11907" w:h="16840"/>
          <w:pgMar w:top="1440" w:right="1418" w:bottom="1440" w:left="1418" w:header="851" w:footer="992" w:gutter="0"/>
          <w:cols w:space="720"/>
          <w:titlePg/>
          <w:docGrid w:linePitch="462"/>
        </w:sectPr>
      </w:pPr>
      <w:bookmarkEnd w:id="2"/>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3" w:name="_Hlk71465316"/>
      <w:r>
        <w:rPr>
          <w:rFonts w:hint="eastAsia"/>
          <w:b/>
          <w:sz w:val="44"/>
          <w:szCs w:val="44"/>
        </w:rPr>
        <w:t>深圳公共资源交易中心</w:t>
      </w:r>
    </w:p>
    <w:p>
      <w:pPr>
        <w:jc w:val="center"/>
        <w:rPr>
          <w:b/>
          <w:sz w:val="44"/>
          <w:szCs w:val="44"/>
        </w:rPr>
      </w:pPr>
      <w:r>
        <w:rPr>
          <w:rFonts w:hint="eastAsia"/>
          <w:b/>
          <w:sz w:val="44"/>
          <w:szCs w:val="44"/>
        </w:rPr>
        <w:t>（2023年）</w:t>
      </w:r>
      <w:bookmarkEnd w:id="3"/>
    </w:p>
    <w:p>
      <w:pPr>
        <w:ind w:firstLine="435"/>
        <w:jc w:val="left"/>
      </w:pPr>
    </w:p>
    <w:p>
      <w:pPr>
        <w:widowControl/>
        <w:jc w:val="left"/>
      </w:pPr>
      <w:r>
        <w:br w:type="page"/>
      </w:r>
    </w:p>
    <w:p>
      <w:pPr>
        <w:ind w:firstLine="3150" w:firstLineChars="1500"/>
        <w:rPr>
          <w:rFonts w:ascii="宋体" w:hAnsi="宋体"/>
          <w:color w:val="FF0000"/>
          <w:szCs w:val="21"/>
        </w:rPr>
      </w:pPr>
      <w:bookmarkStart w:id="4" w:name="_Hlk72218009"/>
      <w:r>
        <w:rPr>
          <w:rFonts w:ascii="宋体" w:eastAsia="黑体" w:hAnsi="宋体" w:hint="eastAsia"/>
          <w:b/>
          <w:bCs/>
          <w:color w:val="FF0000"/>
          <w:kern w:val="44"/>
          <w:sz w:val="28"/>
          <w:szCs w:val="44"/>
        </w:rPr>
        <w:t>警示条款</w:t>
      </w:r>
    </w:p>
    <w:p>
      <w:pPr>
        <w:ind w:firstLine="420" w:firstLineChars="200"/>
        <w:rPr>
          <w:rFonts w:ascii="宋体" w:hAnsi="宋体"/>
          <w:color w:val="FF0000"/>
          <w:sz w:val="20"/>
          <w:szCs w:val="20"/>
        </w:rPr>
      </w:pPr>
    </w:p>
    <w:p>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20" w:firstLineChars="200"/>
        <w:rPr>
          <w:rFonts w:ascii="宋体" w:hAnsi="宋体"/>
          <w:color w:val="FF0000"/>
          <w:sz w:val="20"/>
          <w:szCs w:val="20"/>
        </w:rPr>
      </w:pPr>
      <w:r>
        <w:rPr>
          <w:rFonts w:ascii="宋体" w:hAnsi="宋体" w:hint="eastAsia"/>
          <w:color w:val="FF0000"/>
          <w:sz w:val="20"/>
          <w:szCs w:val="20"/>
        </w:rPr>
        <w:t>（六）恶意投诉的；</w:t>
      </w:r>
    </w:p>
    <w:p>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Pr>
        <w:ind w:firstLine="420" w:firstLineChars="200"/>
        <w:rPr>
          <w:rFonts w:ascii="宋体" w:hAnsi="宋体"/>
          <w:color w:val="FF0000"/>
          <w:sz w:val="20"/>
          <w:szCs w:val="20"/>
        </w:rPr>
      </w:pPr>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ascii="宋体" w:hAnsi="宋体" w:hint="eastAsia"/>
          <w:color w:val="FF0000"/>
          <w:sz w:val="20"/>
          <w:szCs w:val="20"/>
        </w:rPr>
        <w:br/>
      </w:r>
      <w:r>
        <w:rPr>
          <w:rFonts w:ascii="宋体" w:hAnsi="宋体" w:hint="eastAsia"/>
          <w:color w:val="FF0000"/>
          <w:sz w:val="20"/>
          <w:szCs w:val="20"/>
        </w:rPr>
        <w:t>注：该风险知悉确认书用于对供应商违法行为的警示，不作为供应商资格性审查及符合性审查条件。</w:t>
      </w:r>
    </w:p>
    <w:p>
      <w:pPr>
        <w:ind w:firstLine="420" w:firstLineChars="200"/>
      </w:pPr>
      <w:r>
        <w:rPr>
          <w:rFonts w:ascii="宋体" w:hAnsi="宋体" w:hint="eastAsia"/>
          <w:color w:val="FF0000"/>
          <w:sz w:val="20"/>
          <w:szCs w:val="20"/>
        </w:rPr>
        <w:t>五、</w:t>
      </w:r>
      <w:r>
        <w:rPr>
          <w:rFonts w:ascii="宋体" w:hAnsi="宋体"/>
          <w:color w:val="FF0000"/>
          <w:sz w:val="20"/>
          <w:szCs w:val="20"/>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color w:val="FF0000"/>
          <w:sz w:val="20"/>
          <w:szCs w:val="20"/>
        </w:rPr>
        <w:br/>
      </w:r>
      <w:r>
        <w:rPr>
          <w:rFonts w:ascii="宋体" w:hAnsi="宋体" w:hint="eastAsia"/>
          <w:color w:val="FF0000"/>
          <w:sz w:val="20"/>
          <w:szCs w:val="20"/>
        </w:rPr>
        <w:t xml:space="preserve"> </w:t>
      </w:r>
      <w:r>
        <w:rPr>
          <w:rFonts w:ascii="宋体" w:hAnsi="宋体"/>
          <w:color w:val="FF0000"/>
          <w:sz w:val="20"/>
          <w:szCs w:val="20"/>
        </w:rPr>
        <w:t xml:space="preserve">   </w:t>
      </w:r>
      <w:r>
        <w:rPr>
          <w:rFonts w:ascii="宋体" w:hAnsi="宋体" w:hint="eastAsia"/>
          <w:color w:val="FF0000"/>
          <w:sz w:val="20"/>
          <w:szCs w:val="20"/>
        </w:rPr>
        <w:t>六、</w:t>
      </w:r>
      <w:r>
        <w:rPr>
          <w:rFonts w:ascii="宋体" w:hAnsi="宋体"/>
          <w:color w:val="FF0000"/>
          <w:sz w:val="20"/>
          <w:szCs w:val="20"/>
        </w:rPr>
        <w:t>为避免出现不同供应商投标文件的文件制作机器码、文件创建标识码、IP 地址一致的异常情况，建议各供应商编制、上传投标文件时不要使用公共电脑设备或公共网络。</w:t>
      </w:r>
      <w:r>
        <w:rPr>
          <w:rFonts w:ascii="宋体" w:hAnsi="宋体"/>
          <w:color w:val="FF0000"/>
          <w:sz w:val="20"/>
          <w:szCs w:val="20"/>
        </w:rPr>
        <w:br/>
      </w:r>
      <w:r>
        <w:rPr>
          <w:rFonts w:ascii="宋体" w:hAnsi="宋体" w:hint="eastAsia"/>
          <w:color w:val="FF0000"/>
          <w:sz w:val="20"/>
          <w:szCs w:val="20"/>
        </w:rPr>
        <w:t xml:space="preserve"> </w:t>
      </w:r>
      <w:r>
        <w:rPr>
          <w:rFonts w:ascii="宋体" w:hAnsi="宋体"/>
          <w:color w:val="FF0000"/>
          <w:sz w:val="20"/>
          <w:szCs w:val="20"/>
        </w:rPr>
        <w:t xml:space="preserve">   </w:t>
      </w:r>
      <w:r>
        <w:rPr>
          <w:rFonts w:ascii="宋体" w:hAnsi="宋体" w:hint="eastAsia"/>
          <w:color w:val="FF0000"/>
          <w:sz w:val="20"/>
          <w:szCs w:val="20"/>
        </w:rPr>
        <w:t>七、</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r>
    </w:p>
    <w:p>
      <w:pPr>
        <w:widowControl/>
        <w:jc w:val="left"/>
        <w:rPr>
          <w:rFonts w:ascii="宋体" w:eastAsia="黑体" w:hAnsi="宋体"/>
          <w:b/>
          <w:bCs/>
          <w:kern w:val="44"/>
          <w:sz w:val="28"/>
          <w:szCs w:val="44"/>
        </w:rPr>
      </w:pPr>
      <w:r>
        <w:br w:type="page"/>
      </w:r>
    </w:p>
    <w:p>
      <w:pPr>
        <w:pStyle w:val="Heading1"/>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firstLine="630" w:leftChars="300" w:firstLineChars="300"/>
        <w:outlineLvl w:val="0"/>
        <w:rPr>
          <w:rFonts w:ascii="宋体" w:hAnsi="宋体"/>
          <w:szCs w:val="21"/>
        </w:rPr>
      </w:pPr>
      <w:r>
        <w:rPr>
          <w:rFonts w:ascii="宋体" w:hAnsi="宋体" w:hint="eastAsia"/>
          <w:szCs w:val="21"/>
        </w:rPr>
        <w:t>第一章  招标公告</w:t>
      </w:r>
    </w:p>
    <w:p>
      <w:pPr>
        <w:ind w:left="630" w:firstLine="63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pPr>
        <w:ind w:left="630" w:firstLine="630" w:leftChars="300" w:firstLineChars="300"/>
        <w:outlineLvl w:val="0"/>
        <w:rPr>
          <w:rFonts w:ascii="宋体" w:hAnsi="宋体"/>
          <w:szCs w:val="21"/>
        </w:rPr>
      </w:pPr>
      <w:r>
        <w:rPr>
          <w:rFonts w:ascii="宋体" w:hAnsi="宋体" w:hint="eastAsia"/>
          <w:szCs w:val="21"/>
        </w:rPr>
        <w:t>第三章 用户需求书</w:t>
      </w:r>
    </w:p>
    <w:p>
      <w:pPr>
        <w:ind w:left="630" w:firstLine="630" w:leftChars="300" w:firstLineChars="300"/>
        <w:outlineLvl w:val="0"/>
        <w:rPr>
          <w:rFonts w:ascii="宋体" w:hAnsi="宋体"/>
          <w:szCs w:val="21"/>
        </w:rPr>
      </w:pPr>
      <w:r>
        <w:rPr>
          <w:rFonts w:ascii="宋体" w:hAnsi="宋体" w:hint="eastAsia"/>
          <w:szCs w:val="21"/>
        </w:rPr>
        <w:t>第四章 投标文件组成要求及格式</w:t>
      </w:r>
    </w:p>
    <w:p>
      <w:pPr>
        <w:ind w:left="630" w:firstLine="630" w:leftChars="300" w:firstLineChars="300"/>
        <w:outlineLvl w:val="0"/>
        <w:rPr>
          <w:rFonts w:ascii="宋体" w:hAnsi="宋体"/>
          <w:szCs w:val="21"/>
        </w:rPr>
      </w:pPr>
      <w:r>
        <w:rPr>
          <w:rFonts w:ascii="宋体" w:hAnsi="宋体" w:hint="eastAsia"/>
          <w:szCs w:val="21"/>
        </w:rPr>
        <w:t>第五章  合同条款及格式</w:t>
      </w:r>
    </w:p>
    <w:p>
      <w:pPr>
        <w:rPr>
          <w:b/>
          <w:sz w:val="24"/>
        </w:rPr>
      </w:pPr>
    </w:p>
    <w:p>
      <w:pPr>
        <w:outlineLvl w:val="0"/>
        <w:rPr>
          <w:b/>
          <w:sz w:val="24"/>
        </w:rPr>
      </w:pPr>
      <w:r>
        <w:rPr>
          <w:rFonts w:hint="eastAsia"/>
          <w:b/>
          <w:sz w:val="24"/>
        </w:rPr>
        <w:t>第二册  通用条款</w:t>
      </w:r>
    </w:p>
    <w:p>
      <w:pPr>
        <w:ind w:left="630" w:firstLine="412" w:leftChars="300" w:firstLineChars="196"/>
        <w:outlineLvl w:val="0"/>
        <w:rPr>
          <w:rFonts w:ascii="宋体" w:hAnsi="宋体"/>
          <w:szCs w:val="21"/>
        </w:rPr>
      </w:pPr>
      <w:r>
        <w:rPr>
          <w:rFonts w:ascii="宋体" w:hAnsi="宋体" w:hint="eastAsia"/>
          <w:szCs w:val="21"/>
        </w:rPr>
        <w:t>第一章  总则</w:t>
      </w:r>
    </w:p>
    <w:p>
      <w:pPr>
        <w:ind w:left="630" w:firstLine="412" w:leftChars="300" w:firstLineChars="196"/>
        <w:outlineLvl w:val="0"/>
        <w:rPr>
          <w:rFonts w:ascii="宋体" w:hAnsi="宋体"/>
          <w:szCs w:val="21"/>
        </w:rPr>
      </w:pPr>
      <w:r>
        <w:rPr>
          <w:rFonts w:ascii="宋体" w:hAnsi="宋体" w:hint="eastAsia"/>
          <w:szCs w:val="21"/>
        </w:rPr>
        <w:t>第二章  招标文件</w:t>
      </w:r>
    </w:p>
    <w:p>
      <w:pPr>
        <w:ind w:left="630" w:firstLine="412" w:leftChars="300" w:firstLineChars="196"/>
        <w:outlineLvl w:val="0"/>
        <w:rPr>
          <w:rFonts w:ascii="宋体" w:hAnsi="宋体"/>
          <w:szCs w:val="21"/>
        </w:rPr>
      </w:pPr>
      <w:r>
        <w:rPr>
          <w:rFonts w:ascii="宋体" w:hAnsi="宋体" w:hint="eastAsia"/>
          <w:szCs w:val="21"/>
        </w:rPr>
        <w:t>第三章  投标文件的编制</w:t>
      </w:r>
    </w:p>
    <w:p>
      <w:pPr>
        <w:ind w:left="630" w:firstLine="412" w:leftChars="300" w:firstLineChars="196"/>
        <w:outlineLvl w:val="0"/>
        <w:rPr>
          <w:rFonts w:ascii="宋体" w:hAnsi="宋体"/>
          <w:szCs w:val="21"/>
        </w:rPr>
      </w:pPr>
      <w:r>
        <w:rPr>
          <w:rFonts w:ascii="宋体" w:hAnsi="宋体" w:hint="eastAsia"/>
          <w:szCs w:val="21"/>
        </w:rPr>
        <w:t>第四章  投标文件的递交</w:t>
      </w:r>
    </w:p>
    <w:p>
      <w:pPr>
        <w:ind w:left="630" w:firstLine="412" w:leftChars="300" w:firstLineChars="196"/>
        <w:outlineLvl w:val="0"/>
        <w:rPr>
          <w:rFonts w:ascii="宋体" w:hAnsi="宋体"/>
          <w:szCs w:val="21"/>
        </w:rPr>
      </w:pPr>
      <w:r>
        <w:rPr>
          <w:rFonts w:ascii="宋体" w:hAnsi="宋体" w:hint="eastAsia"/>
          <w:szCs w:val="21"/>
        </w:rPr>
        <w:t>第五章  开标</w:t>
      </w:r>
    </w:p>
    <w:p>
      <w:pPr>
        <w:ind w:left="630" w:firstLine="412" w:leftChars="300" w:firstLineChars="196"/>
        <w:outlineLvl w:val="0"/>
        <w:rPr>
          <w:rFonts w:ascii="宋体" w:hAnsi="宋体"/>
          <w:szCs w:val="21"/>
        </w:rPr>
      </w:pPr>
      <w:r>
        <w:rPr>
          <w:rFonts w:ascii="宋体" w:hAnsi="宋体" w:hint="eastAsia"/>
          <w:szCs w:val="21"/>
        </w:rPr>
        <w:t>第六章  评审要求</w:t>
      </w:r>
    </w:p>
    <w:p>
      <w:pPr>
        <w:ind w:left="630" w:firstLine="412" w:leftChars="300" w:firstLineChars="196"/>
        <w:outlineLvl w:val="0"/>
        <w:rPr>
          <w:rFonts w:ascii="宋体" w:hAnsi="宋体"/>
          <w:szCs w:val="21"/>
        </w:rPr>
      </w:pPr>
      <w:r>
        <w:rPr>
          <w:rFonts w:ascii="宋体" w:hAnsi="宋体" w:hint="eastAsia"/>
          <w:szCs w:val="21"/>
        </w:rPr>
        <w:t>第七章  评审程序及评审方法</w:t>
      </w:r>
    </w:p>
    <w:p>
      <w:pPr>
        <w:ind w:left="630" w:firstLine="412" w:leftChars="300" w:firstLineChars="196"/>
        <w:outlineLvl w:val="0"/>
        <w:rPr>
          <w:rFonts w:ascii="宋体" w:hAnsi="宋体"/>
          <w:szCs w:val="21"/>
        </w:rPr>
      </w:pPr>
      <w:r>
        <w:rPr>
          <w:rFonts w:ascii="宋体" w:hAnsi="宋体" w:hint="eastAsia"/>
          <w:szCs w:val="21"/>
        </w:rPr>
        <w:t>第八章  定标及公示</w:t>
      </w:r>
    </w:p>
    <w:p>
      <w:pPr>
        <w:ind w:left="630" w:firstLine="412" w:leftChars="300" w:firstLineChars="196"/>
        <w:outlineLvl w:val="0"/>
        <w:rPr>
          <w:rFonts w:ascii="宋体" w:hAnsi="宋体"/>
          <w:szCs w:val="21"/>
        </w:rPr>
      </w:pPr>
      <w:r>
        <w:rPr>
          <w:rFonts w:ascii="宋体" w:hAnsi="宋体" w:hint="eastAsia"/>
          <w:szCs w:val="21"/>
        </w:rPr>
        <w:t>第九章  公开招标失败的后续处理</w:t>
      </w:r>
    </w:p>
    <w:p>
      <w:pPr>
        <w:ind w:left="630" w:firstLine="412" w:leftChars="300" w:firstLineChars="196"/>
        <w:outlineLvl w:val="0"/>
        <w:rPr>
          <w:rFonts w:ascii="宋体" w:hAnsi="宋体"/>
          <w:szCs w:val="21"/>
        </w:rPr>
      </w:pPr>
      <w:r>
        <w:rPr>
          <w:rFonts w:ascii="宋体" w:hAnsi="宋体" w:hint="eastAsia"/>
          <w:szCs w:val="21"/>
        </w:rPr>
        <w:t>第十章  合同的授予与备案</w:t>
      </w:r>
    </w:p>
    <w:p>
      <w:pPr>
        <w:ind w:left="630" w:firstLine="412" w:leftChars="300" w:firstLineChars="196"/>
        <w:outlineLvl w:val="0"/>
        <w:rPr>
          <w:rFonts w:ascii="宋体" w:hAnsi="宋体"/>
          <w:szCs w:val="21"/>
        </w:rPr>
      </w:pPr>
      <w:r>
        <w:rPr>
          <w:rFonts w:ascii="宋体" w:hAnsi="宋体" w:hint="eastAsia"/>
          <w:szCs w:val="21"/>
        </w:rPr>
        <w:t>第十一章  质疑处理</w:t>
      </w:r>
    </w:p>
    <w:p>
      <w:pPr>
        <w:widowControl/>
        <w:jc w:val="left"/>
        <w:rPr>
          <w:rFonts w:ascii="宋体" w:eastAsia="黑体" w:hAnsi="宋体"/>
          <w:b/>
          <w:bCs/>
          <w:kern w:val="44"/>
          <w:sz w:val="28"/>
          <w:szCs w:val="44"/>
        </w:rPr>
      </w:pPr>
      <w:bookmarkStart w:id="6" w:name="bt投标人须知"/>
      <w:bookmarkStart w:id="7" w:name="bt开标一览表"/>
      <w:bookmarkStart w:id="8" w:name="bt技术标投标文件格式"/>
      <w:bookmarkStart w:id="9" w:name="bt投标人情况介绍"/>
      <w:bookmarkStart w:id="10" w:name="bt其他资料2"/>
      <w:bookmarkStart w:id="11" w:name="bt其他资料由投标人自定"/>
      <w:bookmarkStart w:id="12" w:name="bt说明"/>
      <w:bookmarkStart w:id="13" w:name="bt本工程承诺书"/>
      <w:bookmarkStart w:id="14" w:name="bt投标文件签署授权委托书"/>
      <w:bookmarkStart w:id="15" w:name="bt商务标投标文件格式"/>
      <w:bookmarkStart w:id="16" w:name="bt投标函"/>
      <w:bookmarkStart w:id="17" w:name="bt合同格式"/>
      <w:bookmarkStart w:id="18" w:name="bt项目管理班子配备情况"/>
      <w:bookmarkStart w:id="19" w:name="合同格式"/>
      <w:bookmarkStart w:id="20" w:name="bt合同条款及格式"/>
      <w:bookmarkStart w:id="21" w:name="bt合同条款"/>
      <w:bookmarkStart w:id="22" w:name="bt投标报价汇总表"/>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pPr>
        <w:pStyle w:val="Heading1"/>
        <w:rPr>
          <w:color w:val="FF0000"/>
          <w:sz w:val="24"/>
        </w:rPr>
      </w:pPr>
      <w:r>
        <w:rPr>
          <w:rFonts w:hint="eastAsia"/>
        </w:rPr>
        <w:t>第一册  专用条款</w:t>
      </w:r>
    </w:p>
    <w:p>
      <w:pPr>
        <w:pStyle w:val="Heading2"/>
        <w:rPr>
          <w:sz w:val="28"/>
          <w:szCs w:val="28"/>
        </w:rPr>
      </w:pPr>
      <w:r>
        <w:rPr>
          <w:rFonts w:hint="eastAsia"/>
          <w:sz w:val="28"/>
          <w:szCs w:val="28"/>
        </w:rPr>
        <w:t>第一章  招标公告</w:t>
      </w:r>
    </w:p>
    <w:p>
      <w:pPr>
        <w:spacing w:line="360" w:lineRule="auto"/>
        <w:rPr>
          <w:rFonts w:ascii="宋体" w:hAnsi="宋体" w:cs="宋体"/>
          <w:kern w:val="0"/>
          <w:sz w:val="18"/>
          <w:szCs w:val="18"/>
        </w:rPr>
      </w:pPr>
      <w:r>
        <w:rPr>
          <w:rFonts w:ascii="宋体" w:hAnsi="宋体" w:cs="宋体" w:hint="eastAsia"/>
          <w:b/>
          <w:bCs/>
          <w:kern w:val="0"/>
          <w:szCs w:val="21"/>
        </w:rPr>
        <w:t>申请人的资格要求</w:t>
      </w:r>
    </w:p>
    <w:p>
      <w:pPr>
        <w:ind w:firstLine="63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pPr>
        <w:ind w:firstLine="630" w:firstLineChars="300"/>
        <w:rPr>
          <w:color w:val="FF0000"/>
        </w:rPr>
      </w:pPr>
      <w:r>
        <w:rPr>
          <w:rFonts w:hint="eastAsia"/>
          <w:color w:val="FF0000"/>
        </w:rPr>
        <w:t>2</w:t>
      </w:r>
      <w:r>
        <w:rPr>
          <w:color w:val="FF0000"/>
        </w:rPr>
        <w:t>.</w:t>
      </w:r>
      <w:r>
        <w:rPr>
          <w:rFonts w:hint="eastAsia"/>
          <w:color w:val="FF0000"/>
        </w:rPr>
        <w:t>本项目不接受联合体投标（由供应商在《政府采购投标及履约承诺函》中作出声明），是否接受投标人选用进口产品参与投标详见招标文件“货物需求明细”表；</w:t>
      </w:r>
    </w:p>
    <w:p>
      <w:pPr>
        <w:ind w:firstLine="630" w:firstLineChars="300"/>
      </w:pPr>
      <w:r>
        <w:rPr>
          <w:rFonts w:hint="eastAsia"/>
        </w:rPr>
        <w:t>3</w:t>
      </w:r>
      <w:r>
        <w:t>.</w:t>
      </w:r>
      <w:r>
        <w:rPr>
          <w:rFonts w:hint="eastAsia"/>
        </w:rPr>
        <w:t>参与本项目政府采购活动时不存在被有关部门禁止参与政府采购活动且在有效期内的情况（由供应商在《政府采购投标及履约承诺函》中作出声明）；</w:t>
      </w:r>
    </w:p>
    <w:p>
      <w:pPr>
        <w:ind w:firstLine="630" w:firstLineChars="300"/>
      </w:pPr>
      <w:r>
        <w:rPr>
          <w:rFonts w:hint="eastAsia"/>
        </w:rPr>
        <w:t>4</w:t>
      </w:r>
      <w:r>
        <w:t>.</w:t>
      </w:r>
      <w:r>
        <w:rPr>
          <w:rFonts w:hint="eastAsia"/>
        </w:rPr>
        <w:t>具备《中华人民共和国政府采购法》第二十二条的条件（由供应商在《政府采购投标及履约承诺函》中作出声明）；</w:t>
      </w:r>
    </w:p>
    <w:p>
      <w:pPr>
        <w:ind w:firstLine="630" w:firstLineChars="300"/>
      </w:pPr>
      <w:r>
        <w:rPr>
          <w:rFonts w:hint="eastAsia"/>
        </w:rPr>
        <w:t>5</w:t>
      </w:r>
      <w:r>
        <w:t>.</w:t>
      </w:r>
      <w:r>
        <w:rPr>
          <w:rFonts w:hint="eastAsia"/>
        </w:rPr>
        <w:t>未被列入失信被执行人、重大税收违法案件当事人名单、政府采购严重违法失信行为记录名单（由供应商在《政府采购投标及履约承诺函》中作出声明）。</w:t>
      </w:r>
    </w:p>
    <w:p>
      <w:pPr>
        <w:ind w:firstLine="630" w:firstLineChars="300"/>
      </w:pPr>
      <w:r>
        <w:rPr>
          <w:rFonts w:hint="eastAsia"/>
        </w:rPr>
        <w:t>6.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ind w:firstLine="630" w:firstLineChars="3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pPr>
        <w:widowControl/>
        <w:jc w:val="left"/>
        <w:rPr>
          <w:rFonts w:ascii="宋体" w:hAnsi="宋体"/>
          <w:b/>
          <w:bCs/>
          <w:kern w:val="0"/>
          <w:sz w:val="28"/>
          <w:szCs w:val="28"/>
        </w:rPr>
      </w:pPr>
      <w:r>
        <w:rPr>
          <w:sz w:val="28"/>
          <w:szCs w:val="28"/>
        </w:rPr>
        <w:br w:type="page"/>
      </w:r>
    </w:p>
    <w:p>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pPr>
        <w:pStyle w:val="Heading2"/>
        <w:spacing w:before="120" w:beforeLines="50" w:after="120" w:afterLines="50"/>
        <w:rPr>
          <w:szCs w:val="24"/>
        </w:rPr>
      </w:pPr>
      <w:bookmarkStart w:id="25" w:name="_Toc73518117"/>
      <w:bookmarkStart w:id="26" w:name="_Toc73521635"/>
      <w:bookmarkStart w:id="27" w:name="_Toc100052364"/>
      <w:bookmarkStart w:id="28" w:name="_Toc101074876"/>
      <w:bookmarkStart w:id="29" w:name="_Toc73517639"/>
      <w:bookmarkStart w:id="30" w:name="_Toc73521547"/>
      <w:bookmarkStart w:id="31" w:name="_Toc60631620"/>
      <w:bookmarkStart w:id="32" w:name="_Toc60560625"/>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Look w:val="000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具 体 补 充 内 容</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rPr>
              <w:t>清华大学深圳国际研究生院</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w:t>
            </w:r>
          </w:p>
          <w:p>
            <w:pPr>
              <w:jc w:val="center"/>
              <w:rPr>
                <w:rFonts w:ascii="宋体" w:hAnsi="宋体"/>
              </w:rPr>
            </w:pPr>
            <w:r>
              <w:rPr>
                <w:rFonts w:ascii="宋体" w:hAnsi="宋体" w:hint="eastAsia"/>
              </w:rPr>
              <w:t>（深圳交易集团有限公司政府采购业务分公司）</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pStyle w:val="CommentText"/>
              <w:jc w:val="center"/>
              <w:rPr>
                <w:rFonts w:hAnsi="宋体"/>
              </w:rPr>
            </w:pPr>
            <w:r>
              <w:rPr>
                <w:rFonts w:hAnsi="宋体" w:hint="eastAsia"/>
                <w:kern w:val="2"/>
                <w:sz w:val="21"/>
                <w:szCs w:val="24"/>
              </w:rPr>
              <w:t>不组织</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hAnsi="宋体" w:hint="eastAsia"/>
              </w:rPr>
              <w:t>不组织</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投标文件大小不得超过100MB</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34" w:name="_Hlk71664860"/>
            <w:r>
              <w:rPr>
                <w:rFonts w:ascii="宋体" w:hAnsi="宋体" w:hint="eastAsia"/>
              </w:rPr>
              <w:t>样品、演示、方案讲解</w:t>
            </w:r>
            <w:bookmarkEnd w:id="34"/>
          </w:p>
        </w:tc>
        <w:tc>
          <w:tcPr>
            <w:tcW w:w="4980" w:type="dxa"/>
            <w:vAlign w:val="center"/>
          </w:tcPr>
          <w:p>
            <w:pPr>
              <w:jc w:val="left"/>
              <w:rPr>
                <w:rFonts w:ascii="宋体" w:hAnsi="宋体"/>
              </w:rPr>
            </w:pPr>
            <w:r>
              <w:rPr>
                <w:rFonts w:ascii="宋体" w:hAnsi="宋体" w:hint="eastAsia"/>
              </w:rPr>
              <w:t>如有样品、演示、方案讲解，具体安排见第三章 用户需求书相关要求</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left"/>
              <w:rPr>
                <w:rFonts w:ascii="宋体" w:hAnsi="宋体"/>
              </w:rPr>
            </w:pPr>
            <w:r>
              <w:rPr>
                <w:rFonts w:ascii="宋体" w:hAnsi="宋体" w:hint="eastAsia"/>
              </w:rPr>
              <w:t>综合评分法</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left"/>
              <w:rPr>
                <w:rFonts w:ascii="宋体" w:hAnsi="宋体"/>
              </w:rPr>
            </w:pPr>
            <w:r>
              <w:rPr>
                <w:rFonts w:ascii="宋体" w:hAnsi="宋体" w:hint="eastAsia"/>
              </w:rPr>
              <w:t>非评定分离</w:t>
            </w:r>
          </w:p>
        </w:tc>
      </w:tr>
      <w:tr>
        <w:tblPrEx>
          <w:tblW w:w="8367" w:type="dxa"/>
          <w:jc w:val="center"/>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hAnsi="宋体"/>
              </w:rPr>
            </w:pPr>
            <w:r>
              <w:rPr>
                <w:rFonts w:ascii="宋体" w:hAnsi="宋体" w:hint="eastAsia"/>
              </w:rPr>
              <w:t>履约担保</w:t>
            </w:r>
          </w:p>
        </w:tc>
        <w:tc>
          <w:tcPr>
            <w:tcW w:w="4980" w:type="dxa"/>
            <w:vAlign w:val="center"/>
          </w:tcPr>
          <w:p>
            <w:pPr>
              <w:jc w:val="left"/>
              <w:rPr>
                <w:rFonts w:ascii="宋体" w:hAnsi="宋体"/>
              </w:rPr>
            </w:pPr>
            <w:r>
              <w:rPr>
                <w:rFonts w:ascii="宋体" w:hAnsi="宋体" w:hint="eastAsia"/>
              </w:rPr>
              <w:t>需要，</w:t>
            </w:r>
            <w:r>
              <w:rPr>
                <w:rFonts w:hint="eastAsia"/>
              </w:rPr>
              <w:t xml:space="preserve">合同金额的 </w:t>
            </w:r>
            <w:r>
              <w:rPr>
                <w:u w:val="single"/>
              </w:rPr>
              <w:t>5</w:t>
            </w:r>
            <w:r>
              <w:rPr>
                <w:rFonts w:hint="eastAsia"/>
                <w:u w:val="single"/>
              </w:rPr>
              <w:t xml:space="preserve"> %</w:t>
            </w:r>
            <w:r>
              <w:rPr>
                <w:rFonts w:hint="eastAsia"/>
              </w:rPr>
              <w:t>，投标供应商自主选择以支票、汇票、本票、保函等非现金形式缴纳或提交。履约保证金在项目验收合格满1年后，</w:t>
            </w:r>
            <w:r>
              <w:rPr>
                <w:rFonts w:hint="eastAsia"/>
                <w:u w:val="single"/>
              </w:rPr>
              <w:t>6</w:t>
            </w:r>
            <w:r>
              <w:rPr>
                <w:u w:val="single"/>
              </w:rPr>
              <w:t>0</w:t>
            </w:r>
            <w:r>
              <w:rPr>
                <w:rFonts w:hint="eastAsia"/>
                <w:u w:val="single"/>
              </w:rPr>
              <w:t>日</w:t>
            </w:r>
            <w:r>
              <w:rPr>
                <w:rFonts w:hint="eastAsia"/>
              </w:rPr>
              <w:t>内按原方式退还，不计利息。采购人逾期退还履约保证金的，向中标人每日偿付履约保证金的0.5‰的利息。因中标人原因而未能达到本项目验收标准或验收不通过的，履约保证金不予退还。</w:t>
            </w:r>
          </w:p>
        </w:tc>
      </w:tr>
    </w:tbl>
    <w:p>
      <w:pPr>
        <w:rPr>
          <w:b/>
        </w:rPr>
      </w:pPr>
      <w:r>
        <w:rPr>
          <w:rFonts w:hint="eastAsia"/>
          <w:szCs w:val="21"/>
        </w:rPr>
        <w:t>备注：本表是通用条款相关条款的补充和明确，如与通用条款内容相冲突的，以本表为准。</w:t>
      </w:r>
    </w:p>
    <w:p>
      <w:pPr>
        <w:pStyle w:val="Heading2"/>
        <w:spacing w:before="120" w:beforeLines="50" w:after="120" w:afterLines="50"/>
        <w:rPr>
          <w:szCs w:val="24"/>
        </w:rPr>
      </w:pPr>
      <w:bookmarkStart w:id="35" w:name="_Hlk72218117"/>
      <w:bookmarkEnd w:id="33"/>
      <w:r>
        <w:rPr>
          <w:rFonts w:hint="eastAsia"/>
          <w:szCs w:val="24"/>
        </w:rPr>
        <w:t>二、其他关键信息</w:t>
      </w:r>
    </w:p>
    <w:p>
      <w:pPr>
        <w:ind w:firstLine="420" w:firstLineChars="200"/>
        <w:rPr>
          <w:b/>
          <w:bCs/>
        </w:rPr>
      </w:pPr>
      <w:bookmarkStart w:id="36" w:name="_Hlk72579427"/>
      <w:r>
        <w:rPr>
          <w:rFonts w:hint="eastAsia"/>
          <w:b/>
          <w:bCs/>
        </w:rPr>
        <w:t>（一）1.评标定标信息</w:t>
      </w:r>
    </w:p>
    <w:p>
      <w:pPr>
        <w:jc w:val="center"/>
        <w:rPr>
          <w:b/>
        </w:rPr>
      </w:pPr>
    </w:p>
    <w:p>
      <w:pPr>
        <w:jc w:val="center"/>
      </w:pPr>
      <w:r>
        <w:rPr>
          <w:rFonts w:hint="eastAsia"/>
          <w:b/>
        </w:rPr>
        <w:t>非评定分离项目</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4"/>
        <w:gridCol w:w="426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4264" w:type="dxa"/>
          </w:tcPr>
          <w:p>
            <w:pPr>
              <w:jc w:val="center"/>
            </w:pPr>
            <w:bookmarkStart w:id="37" w:name="_Hlk74239733"/>
            <w:r>
              <w:rPr>
                <w:rFonts w:hint="eastAsia"/>
              </w:rPr>
              <w:t>评标方法</w:t>
            </w:r>
          </w:p>
        </w:tc>
        <w:tc>
          <w:tcPr>
            <w:tcW w:w="4265" w:type="dxa"/>
          </w:tcPr>
          <w:p>
            <w:pPr>
              <w:jc w:val="center"/>
            </w:pPr>
            <w:r>
              <w:rPr>
                <w:rFonts w:hint="eastAsia"/>
              </w:rPr>
              <w:t>综合评分法</w:t>
            </w:r>
          </w:p>
        </w:tc>
      </w:tr>
      <w:tr>
        <w:tblPrEx>
          <w:tblW w:w="0" w:type="auto"/>
          <w:tblLayout w:type="fixed"/>
          <w:tblCellMar>
            <w:top w:w="0" w:type="dxa"/>
            <w:left w:w="108" w:type="dxa"/>
            <w:bottom w:w="0" w:type="dxa"/>
            <w:right w:w="108" w:type="dxa"/>
          </w:tblCellMar>
          <w:tblLook w:val="0000"/>
        </w:tblPrEx>
        <w:tc>
          <w:tcPr>
            <w:tcW w:w="4264" w:type="dxa"/>
          </w:tcPr>
          <w:p>
            <w:pPr>
              <w:jc w:val="center"/>
            </w:pPr>
            <w:r>
              <w:rPr>
                <w:rFonts w:hint="eastAsia"/>
              </w:rPr>
              <w:t>候选中标供应商家数</w:t>
            </w:r>
          </w:p>
        </w:tc>
        <w:tc>
          <w:tcPr>
            <w:tcW w:w="4265" w:type="dxa"/>
          </w:tcPr>
          <w:p>
            <w:pPr>
              <w:jc w:val="center"/>
            </w:pPr>
            <w:r>
              <w:rPr>
                <w:rFonts w:hint="eastAsia"/>
              </w:rPr>
              <w:t>3</w:t>
            </w:r>
          </w:p>
        </w:tc>
      </w:tr>
      <w:tr>
        <w:tblPrEx>
          <w:tblW w:w="0" w:type="auto"/>
          <w:tblLayout w:type="fixed"/>
          <w:tblCellMar>
            <w:top w:w="0" w:type="dxa"/>
            <w:left w:w="108" w:type="dxa"/>
            <w:bottom w:w="0" w:type="dxa"/>
            <w:right w:w="108" w:type="dxa"/>
          </w:tblCellMar>
          <w:tblLook w:val="0000"/>
        </w:tblPrEx>
        <w:tc>
          <w:tcPr>
            <w:tcW w:w="4264" w:type="dxa"/>
          </w:tcPr>
          <w:p>
            <w:pPr>
              <w:jc w:val="center"/>
            </w:pPr>
            <w:r>
              <w:rPr>
                <w:rFonts w:hint="eastAsia"/>
              </w:rPr>
              <w:t>中标供应商家数</w:t>
            </w:r>
          </w:p>
        </w:tc>
        <w:tc>
          <w:tcPr>
            <w:tcW w:w="4265" w:type="dxa"/>
          </w:tcPr>
          <w:p>
            <w:pPr>
              <w:jc w:val="center"/>
            </w:pPr>
            <w:r>
              <w:rPr>
                <w:rFonts w:hint="eastAsia"/>
              </w:rPr>
              <w:t>1</w:t>
            </w:r>
          </w:p>
        </w:tc>
      </w:tr>
    </w:tbl>
    <w:p>
      <w:pPr>
        <w:ind w:firstLine="420" w:firstLineChars="200"/>
        <w:rPr>
          <w:rFonts w:hint="eastAsia"/>
          <w:b/>
        </w:rPr>
      </w:pPr>
      <w:bookmarkEnd w:id="37"/>
    </w:p>
    <w:p>
      <w:pPr>
        <w:ind w:firstLine="420" w:firstLineChars="200"/>
        <w:rPr>
          <w:rFonts w:hint="eastAsia"/>
          <w:b/>
        </w:rPr>
      </w:pPr>
    </w:p>
    <w:p>
      <w:pPr>
        <w:ind w:firstLine="420" w:firstLineChars="200"/>
        <w:rPr>
          <w:b/>
        </w:rPr>
      </w:pPr>
      <w:r>
        <w:rPr>
          <w:rFonts w:hint="eastAsia"/>
          <w:b/>
        </w:rPr>
        <w:t>（二）其他事项</w:t>
      </w:r>
      <w:bookmarkEnd w:id="36"/>
    </w:p>
    <w:p>
      <w:pPr>
        <w:ind w:firstLine="420" w:firstLineChars="200"/>
        <w:rPr>
          <w:b/>
          <w:bCs/>
        </w:rPr>
      </w:pPr>
      <w:r>
        <w:rPr>
          <w:b/>
          <w:bCs/>
        </w:rPr>
        <w:t>1</w:t>
      </w:r>
      <w:r>
        <w:rPr>
          <w:rFonts w:hint="eastAsia"/>
          <w:b/>
          <w:bCs/>
        </w:rPr>
        <w:t>、关于享受优惠政策的主体及价格扣除比例</w:t>
      </w:r>
    </w:p>
    <w:p>
      <w:pPr>
        <w:ind w:firstLine="420" w:firstLineChars="200"/>
      </w:pPr>
      <w:r>
        <w:rPr>
          <w:rFonts w:hint="eastAsia"/>
        </w:rPr>
        <w:t>（1）投标人提供的货物（以招标文件用户需求书“货物需求明细”的“货物名称”一栏为准）全部均由优惠主体制造，则对其投标总价给予</w:t>
      </w:r>
      <w:r>
        <w:rPr>
          <w:rFonts w:hint="eastAsia"/>
          <w:color w:val="FF0000"/>
          <w:u w:val="single"/>
        </w:rPr>
        <w:t>10</w:t>
      </w:r>
      <w:r>
        <w:rPr>
          <w:color w:val="FF0000"/>
          <w:u w:val="single"/>
        </w:rPr>
        <w:t>%</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2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8" w:name="_Hlk71970739"/>
      <w:r>
        <w:rPr>
          <w:rFonts w:hint="eastAsia"/>
        </w:rPr>
        <w:t>本项目</w:t>
      </w:r>
      <w:bookmarkStart w:id="39" w:name="_Hlk71924718"/>
      <w:r>
        <w:rPr>
          <w:rFonts w:hint="eastAsia"/>
        </w:rPr>
        <w:t>采购标的（货物）对应的中小企业划分标准所属行业</w:t>
      </w:r>
      <w:bookmarkEnd w:id="39"/>
      <w:r>
        <w:rPr>
          <w:rFonts w:hint="eastAsia"/>
        </w:rPr>
        <w:t>为</w:t>
      </w:r>
      <w:r>
        <w:rPr>
          <w:rFonts w:hint="eastAsia"/>
          <w:color w:val="FF0000"/>
          <w:u w:val="single"/>
        </w:rPr>
        <w:t xml:space="preserve"> </w:t>
      </w:r>
      <w:r>
        <w:rPr>
          <w:rFonts w:hint="eastAsia"/>
          <w:b/>
          <w:bCs/>
          <w:color w:val="FF0000"/>
          <w:u w:val="single"/>
        </w:rPr>
        <w:t>其他未列明行业。</w:t>
      </w:r>
      <w:bookmarkEnd w:id="38"/>
    </w:p>
    <w:p>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rFonts w:ascii="仿宋" w:eastAsia="仿宋" w:hAnsi="仿宋"/>
          <w:sz w:val="28"/>
          <w:szCs w:val="28"/>
        </w:rPr>
      </w:pPr>
      <w:r>
        <w:rPr>
          <w:rFonts w:hint="eastAsia"/>
        </w:rPr>
        <w:t>（4）享受价格扣除获得政府采购合同的，小微企业不得将合同分包给大中型企业。</w:t>
      </w:r>
    </w:p>
    <w:p>
      <w:pPr>
        <w:rPr>
          <w:b/>
        </w:rPr>
      </w:pPr>
    </w:p>
    <w:p>
      <w:pPr>
        <w:ind w:firstLine="420" w:firstLineChars="200"/>
        <w:rPr>
          <w:b/>
          <w:bCs/>
        </w:rPr>
      </w:pPr>
      <w:r>
        <w:rPr>
          <w:b/>
          <w:bCs/>
        </w:rPr>
        <w:t>2、</w:t>
      </w:r>
      <w:r>
        <w:rPr>
          <w:rFonts w:hint="eastAsia"/>
          <w:b/>
          <w:bCs/>
        </w:rPr>
        <w:t>关于订单融资</w:t>
      </w:r>
    </w:p>
    <w:p>
      <w:pPr>
        <w:ind w:firstLine="420" w:firstLineChars="200"/>
      </w:pPr>
      <w:r>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pPr>
        <w:pStyle w:val="BodyText"/>
      </w:pPr>
    </w:p>
    <w:p>
      <w:pPr>
        <w:ind w:firstLine="420" w:firstLineChars="200"/>
        <w:jc w:val="left"/>
        <w:rPr>
          <w:rFonts w:ascii="宋体" w:hAnsi="宋体" w:cs="宋体"/>
          <w:b/>
          <w:color w:val="FF0000"/>
          <w:szCs w:val="21"/>
        </w:rPr>
      </w:pPr>
      <w:r>
        <w:rPr>
          <w:rFonts w:hint="eastAsia"/>
          <w:b/>
          <w:color w:val="FF0000"/>
        </w:rPr>
        <w:t>3、代理服务费</w:t>
      </w:r>
    </w:p>
    <w:p>
      <w:pPr>
        <w:spacing w:before="50" w:after="50"/>
        <w:ind w:firstLine="420" w:firstLineChars="200"/>
        <w:rPr>
          <w:rFonts w:ascii="宋体" w:hAnsi="宋体" w:cs="宋体"/>
          <w:color w:val="FF0000"/>
          <w:szCs w:val="21"/>
        </w:rPr>
      </w:pPr>
      <w:r>
        <w:rPr>
          <w:rFonts w:ascii="宋体" w:hAnsi="宋体" w:cs="宋体" w:hint="eastAsia"/>
          <w:color w:val="FF0000"/>
          <w:szCs w:val="21"/>
        </w:rPr>
        <w:t>（1）本项目不向中标供应商收取代理服务费</w:t>
      </w:r>
    </w:p>
    <w:p>
      <w:pPr>
        <w:spacing w:after="160" w:line="259" w:lineRule="auto"/>
        <w:ind w:firstLine="420" w:firstLineChars="200"/>
        <w:jc w:val="left"/>
        <w:rPr>
          <w:b/>
          <w:color w:val="000000"/>
        </w:rPr>
      </w:pPr>
    </w:p>
    <w:p>
      <w:pPr>
        <w:spacing w:after="160" w:line="259" w:lineRule="auto"/>
        <w:ind w:firstLine="420" w:firstLineChars="200"/>
        <w:jc w:val="left"/>
        <w:rPr>
          <w:rFonts w:ascii="宋体" w:hAnsi="宋体" w:cs="宋体"/>
          <w:b/>
          <w:color w:val="000000"/>
          <w:szCs w:val="21"/>
        </w:rPr>
      </w:pPr>
      <w:r>
        <w:rPr>
          <w:b/>
          <w:color w:val="000000"/>
        </w:rPr>
        <w:t>4</w:t>
      </w:r>
      <w:r>
        <w:rPr>
          <w:rFonts w:hint="eastAsia"/>
          <w:b/>
          <w:color w:val="000000"/>
        </w:rPr>
        <w:t>、其他说明</w:t>
      </w:r>
    </w:p>
    <w:p>
      <w:pPr>
        <w:wordWrap w:val="0"/>
        <w:spacing w:after="160" w:line="360" w:lineRule="auto"/>
        <w:ind w:firstLine="420" w:firstLineChars="200"/>
      </w:pPr>
      <w: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ordWrap w:val="0"/>
        <w:spacing w:after="160" w:line="360" w:lineRule="auto"/>
        <w:ind w:firstLine="420" w:firstLineChars="200"/>
        <w:rPr>
          <w:b/>
          <w:bCs/>
        </w:rPr>
      </w:pPr>
      <w:r>
        <w:rPr>
          <w:b/>
          <w:bCs/>
        </w:rPr>
        <w:t>重要提示：</w:t>
      </w:r>
    </w:p>
    <w:p>
      <w:pPr>
        <w:wordWrap w:val="0"/>
        <w:spacing w:after="160" w:line="360" w:lineRule="auto"/>
        <w:ind w:firstLine="420" w:firstLineChars="200"/>
      </w:pPr>
      <w:r>
        <w:rPr>
          <w:rFonts w:hint="eastAsia"/>
        </w:rPr>
        <w:t>（1）</w:t>
      </w:r>
      <w: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ordWrap w:val="0"/>
        <w:spacing w:after="160" w:line="360" w:lineRule="auto"/>
        <w:ind w:firstLine="420" w:firstLineChars="200"/>
      </w:pPr>
      <w:r>
        <w:rPr>
          <w:rFonts w:hint="eastAsia"/>
        </w:rPr>
        <w:t>（2）</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wordWrap w:val="0"/>
        <w:spacing w:after="160" w:line="360" w:lineRule="auto"/>
        <w:ind w:firstLine="420" w:firstLineChars="200"/>
      </w:pPr>
      <w:r>
        <w:rPr>
          <w:rFonts w:hint="eastAsia"/>
        </w:rPr>
        <w:t>（3）</w:t>
      </w:r>
      <w: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pPr>
        <w:pStyle w:val="BodyText2"/>
      </w:pPr>
    </w:p>
    <w:p>
      <w:pPr>
        <w:pStyle w:val="Heading2"/>
        <w:rPr>
          <w:sz w:val="28"/>
          <w:szCs w:val="28"/>
        </w:rPr>
      </w:pPr>
      <w:bookmarkEnd w:id="35"/>
      <w:r>
        <w:rPr>
          <w:rFonts w:hint="eastAsia"/>
          <w:sz w:val="28"/>
          <w:szCs w:val="28"/>
        </w:rPr>
        <w:t>第三章 用户需求书</w:t>
      </w:r>
    </w:p>
    <w:p>
      <w:pPr>
        <w:pStyle w:val="Heading2"/>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TableNormal"/>
        <w:tblpPr w:leftFromText="180" w:rightFromText="180" w:vertAnchor="text" w:horzAnchor="margin" w:tblpY="173"/>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
        <w:gridCol w:w="2012"/>
        <w:gridCol w:w="2446"/>
        <w:gridCol w:w="3585"/>
      </w:tblGrid>
      <w:tr>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54"/>
        </w:trPr>
        <w:tc>
          <w:tcPr>
            <w:tcW w:w="251" w:type="pct"/>
            <w:vAlign w:val="center"/>
          </w:tcPr>
          <w:p>
            <w:pPr>
              <w:jc w:val="center"/>
              <w:rPr>
                <w:bCs/>
                <w:szCs w:val="21"/>
              </w:rPr>
            </w:pPr>
            <w:r>
              <w:rPr>
                <w:rFonts w:hint="eastAsia"/>
                <w:bCs/>
                <w:szCs w:val="21"/>
              </w:rPr>
              <w:t>序号</w:t>
            </w:r>
          </w:p>
        </w:tc>
        <w:tc>
          <w:tcPr>
            <w:tcW w:w="1188" w:type="pct"/>
            <w:vAlign w:val="center"/>
          </w:tcPr>
          <w:p>
            <w:pPr>
              <w:jc w:val="center"/>
              <w:rPr>
                <w:bCs/>
                <w:szCs w:val="21"/>
              </w:rPr>
            </w:pPr>
            <w:r>
              <w:rPr>
                <w:rFonts w:hint="eastAsia"/>
                <w:szCs w:val="21"/>
              </w:rPr>
              <w:t>采购计划编号</w:t>
            </w:r>
          </w:p>
        </w:tc>
        <w:tc>
          <w:tcPr>
            <w:tcW w:w="1444" w:type="pct"/>
            <w:vAlign w:val="center"/>
          </w:tcPr>
          <w:p>
            <w:pPr>
              <w:jc w:val="center"/>
              <w:rPr>
                <w:bCs/>
                <w:szCs w:val="21"/>
              </w:rPr>
            </w:pPr>
            <w:r>
              <w:rPr>
                <w:rFonts w:hint="eastAsia"/>
                <w:bCs/>
                <w:szCs w:val="21"/>
              </w:rPr>
              <w:t>采购项目名称</w:t>
            </w:r>
          </w:p>
        </w:tc>
        <w:tc>
          <w:tcPr>
            <w:tcW w:w="2116" w:type="pct"/>
            <w:vAlign w:val="center"/>
          </w:tcPr>
          <w:p>
            <w:pPr>
              <w:jc w:val="center"/>
              <w:rPr>
                <w:b/>
                <w:bCs/>
                <w:color w:val="FF0000"/>
                <w:szCs w:val="21"/>
              </w:rPr>
            </w:pPr>
            <w:r>
              <w:rPr>
                <w:rFonts w:hint="eastAsia"/>
                <w:b/>
                <w:bCs/>
                <w:color w:val="FF0000"/>
                <w:szCs w:val="21"/>
              </w:rPr>
              <w:t>预算金额（元）</w:t>
            </w:r>
          </w:p>
        </w:tc>
      </w:tr>
      <w:tr>
        <w:tblPrEx>
          <w:tblW w:w="4965" w:type="pct"/>
          <w:tblCellMar>
            <w:top w:w="0" w:type="dxa"/>
            <w:left w:w="108" w:type="dxa"/>
            <w:bottom w:w="0" w:type="dxa"/>
            <w:right w:w="108" w:type="dxa"/>
          </w:tblCellMar>
          <w:tblLook w:val="0000"/>
        </w:tblPrEx>
        <w:trPr>
          <w:trHeight w:val="290"/>
        </w:trPr>
        <w:tc>
          <w:tcPr>
            <w:tcW w:w="251" w:type="pct"/>
            <w:vAlign w:val="center"/>
          </w:tcPr>
          <w:p>
            <w:pPr>
              <w:jc w:val="center"/>
              <w:rPr>
                <w:bCs/>
                <w:color w:val="FF0000"/>
                <w:szCs w:val="21"/>
              </w:rPr>
            </w:pPr>
            <w:r>
              <w:rPr>
                <w:rFonts w:hint="eastAsia"/>
                <w:bCs/>
                <w:color w:val="FF0000"/>
                <w:szCs w:val="21"/>
              </w:rPr>
              <w:t>1</w:t>
            </w:r>
          </w:p>
        </w:tc>
        <w:tc>
          <w:tcPr>
            <w:tcW w:w="1188" w:type="pct"/>
            <w:vAlign w:val="center"/>
          </w:tcPr>
          <w:p>
            <w:pPr>
              <w:jc w:val="center"/>
              <w:rPr>
                <w:bCs/>
                <w:color w:val="FF0000"/>
                <w:szCs w:val="21"/>
              </w:rPr>
            </w:pPr>
            <w:r>
              <w:rPr>
                <w:rFonts w:hint="eastAsia"/>
                <w:bCs/>
                <w:color w:val="FF0000"/>
                <w:szCs w:val="21"/>
              </w:rPr>
              <w:t>PLAN-2023-440300000-103609-09771</w:t>
            </w:r>
          </w:p>
        </w:tc>
        <w:tc>
          <w:tcPr>
            <w:tcW w:w="1444" w:type="pct"/>
            <w:vAlign w:val="center"/>
          </w:tcPr>
          <w:p>
            <w:pPr>
              <w:jc w:val="center"/>
              <w:rPr>
                <w:b/>
                <w:bCs/>
                <w:color w:val="FF0000"/>
                <w:szCs w:val="21"/>
              </w:rPr>
            </w:pPr>
            <w:r>
              <w:rPr>
                <w:rFonts w:hint="eastAsia"/>
                <w:bCs/>
                <w:szCs w:val="21"/>
              </w:rPr>
              <w:t>清华大学深圳国际研究生院</w:t>
            </w:r>
            <w:bookmarkStart w:id="40" w:name="OLE_LINK5"/>
            <w:r>
              <w:rPr>
                <w:rFonts w:hint="eastAsia"/>
                <w:bCs/>
                <w:szCs w:val="21"/>
              </w:rPr>
              <w:t>中央台</w:t>
            </w:r>
            <w:bookmarkEnd w:id="40"/>
            <w:r>
              <w:rPr>
                <w:rFonts w:hint="eastAsia"/>
                <w:bCs/>
                <w:szCs w:val="21"/>
              </w:rPr>
              <w:t>、仪器台等一批实验家具项目</w:t>
            </w:r>
          </w:p>
        </w:tc>
        <w:tc>
          <w:tcPr>
            <w:tcW w:w="2116" w:type="pct"/>
            <w:vAlign w:val="center"/>
          </w:tcPr>
          <w:p>
            <w:pPr>
              <w:jc w:val="center"/>
              <w:rPr>
                <w:bCs/>
                <w:color w:val="FF0000"/>
                <w:szCs w:val="21"/>
              </w:rPr>
            </w:pPr>
            <w:r>
              <w:rPr>
                <w:rFonts w:hint="eastAsia"/>
                <w:bCs/>
                <w:color w:val="FF0000"/>
                <w:szCs w:val="21"/>
              </w:rPr>
              <w:t>4900000.00</w:t>
            </w:r>
          </w:p>
        </w:tc>
      </w:tr>
    </w:tbl>
    <w:p>
      <w:pPr>
        <w:pStyle w:val="BodyText2"/>
      </w:pPr>
    </w:p>
    <w:p>
      <w:pPr>
        <w:pStyle w:val="Heading2"/>
        <w:spacing w:before="120" w:beforeLines="50" w:after="120" w:afterLines="50"/>
        <w:rPr>
          <w:szCs w:val="24"/>
        </w:rPr>
      </w:pPr>
      <w:bookmarkStart w:id="41" w:name="_Hlk72258617"/>
      <w:r>
        <w:rPr>
          <w:rFonts w:hint="eastAsia"/>
          <w:szCs w:val="24"/>
        </w:rPr>
        <w:t>二、</w:t>
      </w:r>
      <w:bookmarkStart w:id="42" w:name="_Hlk72073432"/>
      <w:r>
        <w:rPr>
          <w:rFonts w:hint="eastAsia"/>
          <w:szCs w:val="24"/>
        </w:rPr>
        <w:t>货物需求明细</w:t>
      </w:r>
      <w:bookmarkEnd w:id="42"/>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13"/>
        <w:gridCol w:w="1232"/>
        <w:gridCol w:w="2045"/>
        <w:gridCol w:w="689"/>
        <w:gridCol w:w="515"/>
        <w:gridCol w:w="2074"/>
        <w:gridCol w:w="14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90"/>
        </w:trPr>
        <w:tc>
          <w:tcPr>
            <w:tcW w:w="301" w:type="pct"/>
            <w:vAlign w:val="center"/>
          </w:tcPr>
          <w:p>
            <w:pPr>
              <w:jc w:val="center"/>
              <w:rPr>
                <w:bCs/>
                <w:szCs w:val="21"/>
              </w:rPr>
            </w:pPr>
            <w:r>
              <w:rPr>
                <w:rFonts w:hint="eastAsia"/>
                <w:bCs/>
                <w:szCs w:val="21"/>
              </w:rPr>
              <w:t>序号</w:t>
            </w:r>
          </w:p>
        </w:tc>
        <w:tc>
          <w:tcPr>
            <w:tcW w:w="722" w:type="pct"/>
            <w:vAlign w:val="center"/>
          </w:tcPr>
          <w:p>
            <w:pPr>
              <w:jc w:val="center"/>
              <w:rPr>
                <w:bCs/>
                <w:szCs w:val="21"/>
              </w:rPr>
            </w:pPr>
            <w:r>
              <w:rPr>
                <w:rFonts w:hint="eastAsia"/>
                <w:szCs w:val="21"/>
              </w:rPr>
              <w:t>采购计划编号</w:t>
            </w:r>
          </w:p>
        </w:tc>
        <w:tc>
          <w:tcPr>
            <w:tcW w:w="1199" w:type="pct"/>
            <w:vAlign w:val="center"/>
          </w:tcPr>
          <w:p>
            <w:pPr>
              <w:jc w:val="center"/>
              <w:rPr>
                <w:bCs/>
                <w:szCs w:val="21"/>
              </w:rPr>
            </w:pPr>
            <w:r>
              <w:rPr>
                <w:rFonts w:hint="eastAsia"/>
                <w:bCs/>
                <w:szCs w:val="21"/>
              </w:rPr>
              <w:t>货物名称（标的名称）</w:t>
            </w:r>
          </w:p>
        </w:tc>
        <w:tc>
          <w:tcPr>
            <w:tcW w:w="404" w:type="pct"/>
            <w:vAlign w:val="center"/>
          </w:tcPr>
          <w:p>
            <w:pPr>
              <w:jc w:val="center"/>
              <w:rPr>
                <w:bCs/>
                <w:szCs w:val="21"/>
              </w:rPr>
            </w:pPr>
            <w:r>
              <w:rPr>
                <w:rFonts w:hint="eastAsia"/>
                <w:bCs/>
                <w:szCs w:val="21"/>
              </w:rPr>
              <w:t>数量</w:t>
            </w:r>
          </w:p>
        </w:tc>
        <w:tc>
          <w:tcPr>
            <w:tcW w:w="302" w:type="pct"/>
            <w:vAlign w:val="center"/>
          </w:tcPr>
          <w:p>
            <w:pPr>
              <w:jc w:val="center"/>
              <w:rPr>
                <w:bCs/>
                <w:szCs w:val="21"/>
              </w:rPr>
            </w:pPr>
            <w:r>
              <w:rPr>
                <w:rFonts w:hint="eastAsia"/>
                <w:bCs/>
                <w:szCs w:val="21"/>
              </w:rPr>
              <w:t>单位</w:t>
            </w:r>
          </w:p>
        </w:tc>
        <w:tc>
          <w:tcPr>
            <w:tcW w:w="1216" w:type="pct"/>
            <w:vAlign w:val="center"/>
          </w:tcPr>
          <w:p>
            <w:pPr>
              <w:jc w:val="center"/>
              <w:rPr>
                <w:rFonts w:ascii="宋体" w:hAnsi="宋体" w:cs="宋体"/>
                <w:b/>
                <w:kern w:val="0"/>
                <w:sz w:val="22"/>
                <w:szCs w:val="22"/>
              </w:rPr>
            </w:pPr>
            <w:r>
              <w:rPr>
                <w:rFonts w:hAnsi="宋体" w:hint="eastAsia"/>
                <w:color w:val="FF0000"/>
                <w:szCs w:val="21"/>
                <w:highlight w:val="yellow"/>
              </w:rPr>
              <w:t>★</w:t>
            </w:r>
            <w:r>
              <w:rPr>
                <w:rFonts w:ascii="宋体" w:hAnsi="宋体" w:cs="宋体" w:hint="eastAsia"/>
                <w:b/>
                <w:kern w:val="0"/>
                <w:sz w:val="22"/>
                <w:szCs w:val="22"/>
              </w:rPr>
              <w:t>规格</w:t>
            </w:r>
          </w:p>
          <w:p>
            <w:pPr>
              <w:jc w:val="center"/>
              <w:rPr>
                <w:b/>
                <w:bCs/>
                <w:color w:val="FF0000"/>
                <w:szCs w:val="21"/>
              </w:rPr>
            </w:pPr>
            <w:r>
              <w:rPr>
                <w:rFonts w:ascii="宋体" w:hAnsi="宋体" w:cs="宋体" w:hint="eastAsia"/>
                <w:b/>
                <w:kern w:val="0"/>
                <w:sz w:val="22"/>
                <w:szCs w:val="22"/>
              </w:rPr>
              <w:t>（长*宽*高mm)</w:t>
            </w:r>
            <w:r>
              <w:rPr>
                <w:b/>
                <w:bCs/>
                <w:color w:val="FF0000"/>
                <w:szCs w:val="21"/>
              </w:rPr>
              <w:t xml:space="preserve"> </w:t>
            </w:r>
          </w:p>
        </w:tc>
        <w:tc>
          <w:tcPr>
            <w:tcW w:w="856" w:type="pct"/>
            <w:vAlign w:val="center"/>
          </w:tcPr>
          <w:p>
            <w:pPr>
              <w:jc w:val="center"/>
              <w:rPr>
                <w:b/>
                <w:bCs/>
                <w:color w:val="FF0000"/>
                <w:szCs w:val="21"/>
              </w:rPr>
            </w:pPr>
            <w:r>
              <w:rPr>
                <w:rFonts w:hint="eastAsia"/>
                <w:b/>
                <w:bCs/>
                <w:color w:val="FF0000"/>
                <w:szCs w:val="21"/>
              </w:rPr>
              <w:t>备注</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p>
        </w:tc>
        <w:tc>
          <w:tcPr>
            <w:tcW w:w="722" w:type="pct"/>
            <w:vMerge w:val="restart"/>
            <w:vAlign w:val="center"/>
          </w:tcPr>
          <w:p>
            <w:pPr>
              <w:jc w:val="center"/>
              <w:rPr>
                <w:bCs/>
                <w:szCs w:val="21"/>
              </w:rPr>
            </w:pPr>
            <w:r>
              <w:rPr>
                <w:rFonts w:hint="eastAsia"/>
                <w:bCs/>
                <w:color w:val="000000"/>
                <w:szCs w:val="21"/>
              </w:rPr>
              <w:t>PLAN-2023-440300000-103609-09771</w:t>
            </w:r>
          </w:p>
        </w:tc>
        <w:tc>
          <w:tcPr>
            <w:tcW w:w="1199" w:type="pct"/>
            <w:vAlign w:val="center"/>
          </w:tcPr>
          <w:p>
            <w:pPr>
              <w:jc w:val="center"/>
              <w:rPr>
                <w:bCs/>
                <w:szCs w:val="21"/>
              </w:rPr>
            </w:pPr>
            <w:r>
              <w:rPr>
                <w:rFonts w:hint="eastAsia"/>
                <w:bCs/>
                <w:szCs w:val="21"/>
              </w:rPr>
              <w:t>中央台1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widowControl/>
              <w:ind w:left="420" w:right="210" w:hanging="420" w:hangingChars="200"/>
              <w:jc w:val="right"/>
              <w:rPr>
                <w:b/>
                <w:bCs/>
                <w:color w:val="FF0000"/>
                <w:szCs w:val="21"/>
              </w:rPr>
            </w:pPr>
            <w:r>
              <w:t>1500 *1500*950</w:t>
            </w:r>
          </w:p>
        </w:tc>
        <w:tc>
          <w:tcPr>
            <w:tcW w:w="856" w:type="pct"/>
            <w:vAlign w:val="center"/>
          </w:tcPr>
          <w:p>
            <w:pPr>
              <w:jc w:val="center"/>
              <w:rPr>
                <w:color w:val="FF0000"/>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中央台（防静电）2</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widowControl/>
              <w:ind w:left="420" w:right="210" w:hanging="420" w:hangingChars="200"/>
              <w:jc w:val="right"/>
              <w:rPr>
                <w:b/>
                <w:bCs/>
                <w:color w:val="FF0000"/>
                <w:szCs w:val="21"/>
              </w:rPr>
            </w:pPr>
            <w:r>
              <w:t>4000 *1500*850</w:t>
            </w:r>
          </w:p>
        </w:tc>
        <w:tc>
          <w:tcPr>
            <w:tcW w:w="856" w:type="pct"/>
            <w:vAlign w:val="center"/>
          </w:tcPr>
          <w:p>
            <w:pPr>
              <w:jc w:val="center"/>
              <w:rPr>
                <w:color w:val="FF0000"/>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4200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中央台4</w:t>
            </w:r>
          </w:p>
        </w:tc>
        <w:tc>
          <w:tcPr>
            <w:tcW w:w="404" w:type="pct"/>
            <w:vAlign w:val="center"/>
          </w:tcPr>
          <w:p>
            <w:pPr>
              <w:jc w:val="center"/>
              <w:rPr>
                <w:bCs/>
                <w:szCs w:val="21"/>
              </w:rPr>
            </w:pPr>
            <w:r>
              <w:rPr>
                <w:rFonts w:hint="eastAsia"/>
                <w:bCs/>
                <w:szCs w:val="21"/>
              </w:rPr>
              <w:t>9</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4200 *1500*950</w:t>
            </w:r>
          </w:p>
        </w:tc>
        <w:tc>
          <w:tcPr>
            <w:tcW w:w="856" w:type="pct"/>
            <w:vAlign w:val="center"/>
          </w:tcPr>
          <w:p>
            <w:pPr>
              <w:jc w:val="center"/>
              <w:rPr>
                <w:color w:val="FF0000"/>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4260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中央台6</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4600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4900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中央台8</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5300 *1500*950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中央台9</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中央台10</w:t>
            </w:r>
          </w:p>
        </w:tc>
        <w:tc>
          <w:tcPr>
            <w:tcW w:w="404" w:type="pct"/>
            <w:vAlign w:val="center"/>
          </w:tcPr>
          <w:p>
            <w:pPr>
              <w:jc w:val="center"/>
              <w:rPr>
                <w:bCs/>
                <w:szCs w:val="21"/>
              </w:rPr>
            </w:pPr>
            <w:r>
              <w:rPr>
                <w:rFonts w:hint="eastAsia"/>
                <w:bCs/>
                <w:szCs w:val="21"/>
              </w:rPr>
              <w:t>6</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 *1500*950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中央台（防静电）11</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5700 *1500*850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中央台12</w:t>
            </w:r>
          </w:p>
        </w:tc>
        <w:tc>
          <w:tcPr>
            <w:tcW w:w="404" w:type="pct"/>
            <w:vAlign w:val="center"/>
          </w:tcPr>
          <w:p>
            <w:pPr>
              <w:jc w:val="center"/>
              <w:rPr>
                <w:bCs/>
                <w:szCs w:val="21"/>
              </w:rPr>
            </w:pPr>
            <w:r>
              <w:rPr>
                <w:rFonts w:hint="eastAsia"/>
                <w:bCs/>
                <w:szCs w:val="21"/>
              </w:rPr>
              <w:t>54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5800 *1500*950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4300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仪器台3</w:t>
            </w:r>
          </w:p>
        </w:tc>
        <w:tc>
          <w:tcPr>
            <w:tcW w:w="404" w:type="pct"/>
            <w:vAlign w:val="center"/>
          </w:tcPr>
          <w:p>
            <w:pPr>
              <w:jc w:val="center"/>
              <w:rPr>
                <w:bCs/>
                <w:szCs w:val="21"/>
              </w:rPr>
            </w:pPr>
            <w:r>
              <w:rPr>
                <w:rFonts w:hint="eastAsia"/>
                <w:bCs/>
                <w:szCs w:val="21"/>
              </w:rPr>
              <w:t>6</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4500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仪器台4</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4900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仪器台5</w:t>
            </w:r>
          </w:p>
        </w:tc>
        <w:tc>
          <w:tcPr>
            <w:tcW w:w="404" w:type="pct"/>
            <w:vAlign w:val="center"/>
          </w:tcPr>
          <w:p>
            <w:pPr>
              <w:jc w:val="center"/>
              <w:rPr>
                <w:bCs/>
                <w:szCs w:val="21"/>
              </w:rPr>
            </w:pPr>
            <w:r>
              <w:rPr>
                <w:rFonts w:hint="eastAsia"/>
                <w:bCs/>
                <w:szCs w:val="21"/>
              </w:rPr>
              <w:t>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 *900*850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1300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1</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2650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边台4</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3600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4000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边台6</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4050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4900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边台8</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5300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边台9</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0</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5800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6150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2</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6200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边台1</w:t>
            </w:r>
            <w:r>
              <w:rPr>
                <w:bCs/>
                <w:szCs w:val="21"/>
              </w:rPr>
              <w:t>3</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7800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p>
        </w:tc>
        <w:tc>
          <w:tcPr>
            <w:tcW w:w="404" w:type="pct"/>
            <w:vAlign w:val="center"/>
          </w:tcPr>
          <w:p>
            <w:pPr>
              <w:jc w:val="center"/>
              <w:rPr>
                <w:bCs/>
                <w:szCs w:val="21"/>
              </w:rPr>
            </w:pPr>
            <w:r>
              <w:rPr>
                <w:rFonts w:hint="eastAsia"/>
                <w:bCs/>
                <w:szCs w:val="21"/>
              </w:rPr>
              <w:t>3</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900 *750*850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1800*750*950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2800*750*850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水槽边台4</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3700*750*850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水槽边台6</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4000*750*850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水槽边台8</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4600*750*850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3</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水槽边台9</w:t>
            </w:r>
          </w:p>
        </w:tc>
        <w:tc>
          <w:tcPr>
            <w:tcW w:w="404" w:type="pct"/>
            <w:vAlign w:val="center"/>
          </w:tcPr>
          <w:p>
            <w:pPr>
              <w:jc w:val="center"/>
              <w:rPr>
                <w:bCs/>
                <w:szCs w:val="21"/>
              </w:rPr>
            </w:pPr>
            <w:r>
              <w:rPr>
                <w:rFonts w:hint="eastAsia"/>
                <w:bCs/>
                <w:szCs w:val="21"/>
              </w:rPr>
              <w:t>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5400*750*850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0</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5780*750*850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2</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6100*750*850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3</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6400*750*850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4</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5</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7500*750*850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6</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7800*750*850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水槽边台1</w:t>
            </w:r>
            <w:r>
              <w:rPr>
                <w:bCs/>
                <w:szCs w:val="21"/>
              </w:rPr>
              <w:t>7</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9000*750*850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移动边台（防静电）</w:t>
            </w:r>
          </w:p>
        </w:tc>
        <w:tc>
          <w:tcPr>
            <w:tcW w:w="404" w:type="pct"/>
            <w:vAlign w:val="center"/>
          </w:tcPr>
          <w:p>
            <w:pPr>
              <w:jc w:val="center"/>
              <w:rPr>
                <w:bCs/>
                <w:szCs w:val="21"/>
              </w:rPr>
            </w:pPr>
            <w:r>
              <w:rPr>
                <w:rFonts w:hint="eastAsia"/>
                <w:bCs/>
                <w:szCs w:val="21"/>
              </w:rPr>
              <w:t>24</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1500*750*950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4</w:t>
            </w:r>
            <w:r>
              <w:rPr>
                <w:bCs/>
                <w:szCs w:val="21"/>
              </w:rPr>
              <w:t>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高温台</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8600*750*600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不锈钢操作台1</w:t>
            </w:r>
          </w:p>
        </w:tc>
        <w:tc>
          <w:tcPr>
            <w:tcW w:w="404" w:type="pct"/>
            <w:vAlign w:val="center"/>
          </w:tcPr>
          <w:p>
            <w:pPr>
              <w:jc w:val="center"/>
              <w:rPr>
                <w:bCs/>
                <w:szCs w:val="21"/>
              </w:rPr>
            </w:pPr>
            <w:r>
              <w:rPr>
                <w:rFonts w:hint="eastAsia"/>
                <w:bCs/>
                <w:szCs w:val="21"/>
              </w:rPr>
              <w:t>3</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1200*750*850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不锈钢操作台2</w:t>
            </w:r>
          </w:p>
        </w:tc>
        <w:tc>
          <w:tcPr>
            <w:tcW w:w="404" w:type="pct"/>
            <w:vAlign w:val="center"/>
          </w:tcPr>
          <w:p>
            <w:pPr>
              <w:jc w:val="center"/>
              <w:rPr>
                <w:bCs/>
                <w:szCs w:val="21"/>
              </w:rPr>
            </w:pPr>
            <w:r>
              <w:rPr>
                <w:bCs/>
                <w:szCs w:val="21"/>
              </w:rPr>
              <w:t>50</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1500*750*850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不锈钢操作台</w:t>
            </w:r>
            <w:r>
              <w:rPr>
                <w:bCs/>
                <w:szCs w:val="21"/>
              </w:rPr>
              <w:t>3</w:t>
            </w:r>
          </w:p>
        </w:tc>
        <w:tc>
          <w:tcPr>
            <w:tcW w:w="404" w:type="pct"/>
            <w:vAlign w:val="center"/>
          </w:tcPr>
          <w:p>
            <w:pPr>
              <w:jc w:val="center"/>
              <w:rPr>
                <w:bCs/>
                <w:szCs w:val="21"/>
              </w:rPr>
            </w:pPr>
            <w:r>
              <w:rPr>
                <w:rFonts w:hint="eastAsia"/>
                <w:bCs/>
                <w:szCs w:val="21"/>
              </w:rPr>
              <w:t>23</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1829*750*850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53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1500*400*1600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全钢试剂架2</w:t>
            </w:r>
          </w:p>
        </w:tc>
        <w:tc>
          <w:tcPr>
            <w:tcW w:w="404" w:type="pct"/>
            <w:vAlign w:val="center"/>
          </w:tcPr>
          <w:p>
            <w:pPr>
              <w:jc w:val="center"/>
              <w:rPr>
                <w:bCs/>
                <w:szCs w:val="21"/>
              </w:rPr>
            </w:pPr>
            <w:r>
              <w:rPr>
                <w:rFonts w:hint="eastAsia"/>
                <w:bCs/>
                <w:szCs w:val="21"/>
              </w:rPr>
              <w:t>9</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3450*400*1600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全钢试剂架3</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4550*400*1600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全钢试剂架4</w:t>
            </w:r>
          </w:p>
        </w:tc>
        <w:tc>
          <w:tcPr>
            <w:tcW w:w="404" w:type="pct"/>
            <w:vAlign w:val="center"/>
          </w:tcPr>
          <w:p>
            <w:pPr>
              <w:jc w:val="center"/>
              <w:rPr>
                <w:bCs/>
                <w:szCs w:val="21"/>
              </w:rPr>
            </w:pPr>
            <w:r>
              <w:rPr>
                <w:rFonts w:hint="eastAsia"/>
                <w:bCs/>
                <w:szCs w:val="21"/>
              </w:rPr>
              <w:t>17</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4750*400*1600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5</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全钢试剂架5</w:t>
            </w:r>
          </w:p>
        </w:tc>
        <w:tc>
          <w:tcPr>
            <w:tcW w:w="404" w:type="pct"/>
            <w:vAlign w:val="center"/>
          </w:tcPr>
          <w:p>
            <w:pPr>
              <w:jc w:val="center"/>
              <w:rPr>
                <w:bCs/>
                <w:szCs w:val="21"/>
              </w:rPr>
            </w:pPr>
            <w:r>
              <w:rPr>
                <w:rFonts w:hint="eastAsia"/>
                <w:bCs/>
                <w:szCs w:val="21"/>
              </w:rPr>
              <w:t>44</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5050*400*1600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58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全钢试剂架6</w:t>
            </w:r>
          </w:p>
        </w:tc>
        <w:tc>
          <w:tcPr>
            <w:tcW w:w="404" w:type="pct"/>
            <w:vAlign w:val="center"/>
          </w:tcPr>
          <w:p>
            <w:pPr>
              <w:jc w:val="center"/>
              <w:rPr>
                <w:bCs/>
                <w:szCs w:val="21"/>
              </w:rPr>
            </w:pPr>
            <w:r>
              <w:rPr>
                <w:rFonts w:hint="eastAsia"/>
                <w:bCs/>
                <w:szCs w:val="21"/>
              </w:rPr>
              <w:t>7</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5700*400*600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59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功能柱1</w:t>
            </w:r>
          </w:p>
        </w:tc>
        <w:tc>
          <w:tcPr>
            <w:tcW w:w="404" w:type="pct"/>
            <w:vAlign w:val="center"/>
          </w:tcPr>
          <w:p>
            <w:pPr>
              <w:jc w:val="center"/>
              <w:rPr>
                <w:bCs/>
                <w:szCs w:val="21"/>
              </w:rPr>
            </w:pPr>
            <w:r>
              <w:rPr>
                <w:rFonts w:hint="eastAsia"/>
                <w:bCs/>
                <w:szCs w:val="21"/>
              </w:rPr>
              <w:t>97</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700 *150*2000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60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功能柱2</w:t>
            </w:r>
          </w:p>
        </w:tc>
        <w:tc>
          <w:tcPr>
            <w:tcW w:w="404" w:type="pct"/>
            <w:vAlign w:val="center"/>
          </w:tcPr>
          <w:p>
            <w:pPr>
              <w:jc w:val="center"/>
              <w:rPr>
                <w:bCs/>
                <w:szCs w:val="21"/>
              </w:rPr>
            </w:pPr>
            <w:r>
              <w:rPr>
                <w:rFonts w:hint="eastAsia"/>
                <w:bCs/>
                <w:szCs w:val="21"/>
              </w:rPr>
              <w:t>59</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300 *150*2000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桌上型洗眼器（双口）</w:t>
            </w:r>
          </w:p>
        </w:tc>
        <w:tc>
          <w:tcPr>
            <w:tcW w:w="404" w:type="pct"/>
            <w:vAlign w:val="center"/>
          </w:tcPr>
          <w:p>
            <w:pPr>
              <w:jc w:val="center"/>
              <w:rPr>
                <w:bCs/>
                <w:szCs w:val="21"/>
              </w:rPr>
            </w:pPr>
            <w:r>
              <w:rPr>
                <w:rFonts w:hint="eastAsia"/>
                <w:bCs/>
                <w:szCs w:val="21"/>
              </w:rPr>
              <w:t>40</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纯水龙头</w:t>
            </w:r>
          </w:p>
        </w:tc>
        <w:tc>
          <w:tcPr>
            <w:tcW w:w="404" w:type="pct"/>
            <w:vAlign w:val="center"/>
          </w:tcPr>
          <w:p>
            <w:pPr>
              <w:jc w:val="center"/>
              <w:rPr>
                <w:bCs/>
                <w:szCs w:val="21"/>
              </w:rPr>
            </w:pPr>
            <w:r>
              <w:rPr>
                <w:rFonts w:hint="eastAsia"/>
                <w:bCs/>
                <w:szCs w:val="21"/>
              </w:rPr>
              <w:t>108</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三口冷水龙头</w:t>
            </w:r>
          </w:p>
        </w:tc>
        <w:tc>
          <w:tcPr>
            <w:tcW w:w="404" w:type="pct"/>
            <w:vAlign w:val="center"/>
          </w:tcPr>
          <w:p>
            <w:pPr>
              <w:jc w:val="center"/>
              <w:rPr>
                <w:bCs/>
                <w:szCs w:val="21"/>
              </w:rPr>
            </w:pPr>
            <w:r>
              <w:rPr>
                <w:rFonts w:hint="eastAsia"/>
                <w:bCs/>
                <w:szCs w:val="21"/>
              </w:rPr>
              <w:t>109</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水槽</w:t>
            </w:r>
          </w:p>
        </w:tc>
        <w:tc>
          <w:tcPr>
            <w:tcW w:w="404" w:type="pct"/>
            <w:vAlign w:val="center"/>
          </w:tcPr>
          <w:p>
            <w:pPr>
              <w:jc w:val="center"/>
              <w:rPr>
                <w:bCs/>
                <w:szCs w:val="21"/>
              </w:rPr>
            </w:pPr>
            <w:r>
              <w:rPr>
                <w:rFonts w:hint="eastAsia"/>
                <w:bCs/>
                <w:szCs w:val="21"/>
              </w:rPr>
              <w:t>108</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800 *430*355</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不锈钢水槽</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500 *400*335</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不锈钢水槽台</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1200</w:t>
            </w:r>
            <w:r>
              <w:rPr>
                <w:rFonts w:ascii="宋体" w:hAnsi="宋体" w:cs="宋体" w:hint="eastAsia"/>
                <w:kern w:val="0"/>
                <w:sz w:val="22"/>
                <w:szCs w:val="22"/>
              </w:rPr>
              <w:t>*750*850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6</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滴水架</w:t>
            </w:r>
          </w:p>
        </w:tc>
        <w:tc>
          <w:tcPr>
            <w:tcW w:w="404" w:type="pct"/>
            <w:vAlign w:val="center"/>
          </w:tcPr>
          <w:p>
            <w:pPr>
              <w:jc w:val="center"/>
              <w:rPr>
                <w:bCs/>
                <w:szCs w:val="21"/>
              </w:rPr>
            </w:pPr>
            <w:r>
              <w:rPr>
                <w:rFonts w:hint="eastAsia"/>
                <w:bCs/>
                <w:szCs w:val="21"/>
              </w:rPr>
              <w:t>99</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550*400*120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68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壁挂式紧急冲淋洗眼器</w:t>
            </w:r>
          </w:p>
        </w:tc>
        <w:tc>
          <w:tcPr>
            <w:tcW w:w="404" w:type="pct"/>
            <w:vAlign w:val="center"/>
          </w:tcPr>
          <w:p>
            <w:pPr>
              <w:jc w:val="center"/>
              <w:rPr>
                <w:bCs/>
                <w:szCs w:val="21"/>
              </w:rPr>
            </w:pPr>
            <w:r>
              <w:rPr>
                <w:rFonts w:hint="eastAsia"/>
                <w:bCs/>
                <w:szCs w:val="21"/>
              </w:rPr>
              <w:t>8</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69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紧急冲淋洗眼器</w:t>
            </w:r>
          </w:p>
        </w:tc>
        <w:tc>
          <w:tcPr>
            <w:tcW w:w="404" w:type="pct"/>
            <w:vAlign w:val="center"/>
          </w:tcPr>
          <w:p>
            <w:pPr>
              <w:jc w:val="center"/>
              <w:rPr>
                <w:bCs/>
                <w:szCs w:val="21"/>
              </w:rPr>
            </w:pPr>
            <w:r>
              <w:rPr>
                <w:rFonts w:hint="eastAsia"/>
                <w:bCs/>
                <w:szCs w:val="21"/>
              </w:rPr>
              <w:t>15</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钢质吊柜+支撑架</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6200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钢质吊柜+支撑架1</w:t>
            </w:r>
          </w:p>
        </w:tc>
        <w:tc>
          <w:tcPr>
            <w:tcW w:w="404" w:type="pct"/>
            <w:vAlign w:val="center"/>
          </w:tcPr>
          <w:p>
            <w:pPr>
              <w:jc w:val="center"/>
              <w:rPr>
                <w:bCs/>
                <w:szCs w:val="21"/>
              </w:rPr>
            </w:pPr>
            <w:r>
              <w:rPr>
                <w:rFonts w:hint="eastAsia"/>
                <w:bCs/>
                <w:szCs w:val="21"/>
              </w:rPr>
              <w:t>1</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5780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2</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钢质吊柜+支撑架2</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7800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3</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钢质吊柜</w:t>
            </w:r>
          </w:p>
        </w:tc>
        <w:tc>
          <w:tcPr>
            <w:tcW w:w="404" w:type="pct"/>
            <w:vAlign w:val="center"/>
          </w:tcPr>
          <w:p>
            <w:pPr>
              <w:jc w:val="center"/>
              <w:rPr>
                <w:bCs/>
                <w:szCs w:val="21"/>
              </w:rPr>
            </w:pPr>
            <w:r>
              <w:rPr>
                <w:rFonts w:hint="eastAsia"/>
                <w:bCs/>
                <w:szCs w:val="21"/>
              </w:rPr>
              <w:t>2</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1500 *350*600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4</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单门单抽柜</w:t>
            </w:r>
          </w:p>
        </w:tc>
        <w:tc>
          <w:tcPr>
            <w:tcW w:w="404" w:type="pct"/>
            <w:vAlign w:val="center"/>
          </w:tcPr>
          <w:p>
            <w:pPr>
              <w:jc w:val="center"/>
              <w:rPr>
                <w:bCs/>
                <w:szCs w:val="21"/>
              </w:rPr>
            </w:pPr>
            <w:r>
              <w:rPr>
                <w:rFonts w:hint="eastAsia"/>
                <w:bCs/>
                <w:szCs w:val="21"/>
              </w:rPr>
              <w:t xml:space="preserve">78 </w:t>
            </w:r>
          </w:p>
        </w:tc>
        <w:tc>
          <w:tcPr>
            <w:tcW w:w="302" w:type="pct"/>
            <w:vAlign w:val="center"/>
          </w:tcPr>
          <w:p>
            <w:pPr>
              <w:jc w:val="center"/>
              <w:rPr>
                <w:bCs/>
                <w:szCs w:val="21"/>
              </w:rPr>
            </w:pPr>
            <w:r>
              <w:rPr>
                <w:rFonts w:hint="eastAsia"/>
                <w:bCs/>
                <w:szCs w:val="21"/>
              </w:rPr>
              <w:t>个</w:t>
            </w:r>
          </w:p>
        </w:tc>
        <w:tc>
          <w:tcPr>
            <w:tcW w:w="1216" w:type="pct"/>
          </w:tcPr>
          <w:p>
            <w:pPr>
              <w:jc w:val="center"/>
              <w:rPr>
                <w:b/>
                <w:bCs/>
                <w:szCs w:val="21"/>
              </w:rPr>
            </w:pPr>
            <w:r>
              <w:t>500 *500*600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5</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万向排气罩</w:t>
            </w:r>
          </w:p>
        </w:tc>
        <w:tc>
          <w:tcPr>
            <w:tcW w:w="404" w:type="pct"/>
            <w:vAlign w:val="center"/>
          </w:tcPr>
          <w:p>
            <w:pPr>
              <w:jc w:val="center"/>
              <w:rPr>
                <w:bCs/>
                <w:szCs w:val="21"/>
              </w:rPr>
            </w:pPr>
            <w:r>
              <w:rPr>
                <w:rFonts w:hint="eastAsia"/>
                <w:bCs/>
                <w:szCs w:val="21"/>
              </w:rPr>
              <w:t xml:space="preserve">89 </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6</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承载式天花1</w:t>
            </w:r>
          </w:p>
        </w:tc>
        <w:tc>
          <w:tcPr>
            <w:tcW w:w="404" w:type="pct"/>
            <w:vAlign w:val="center"/>
          </w:tcPr>
          <w:p>
            <w:pPr>
              <w:jc w:val="center"/>
              <w:rPr>
                <w:bCs/>
                <w:szCs w:val="21"/>
              </w:rPr>
            </w:pPr>
            <w:r>
              <w:rPr>
                <w:rFonts w:hint="eastAsia"/>
                <w:bCs/>
                <w:szCs w:val="21"/>
              </w:rPr>
              <w:t xml:space="preserve">72 </w:t>
            </w:r>
          </w:p>
        </w:tc>
        <w:tc>
          <w:tcPr>
            <w:tcW w:w="302" w:type="pct"/>
            <w:vAlign w:val="center"/>
          </w:tcPr>
          <w:p>
            <w:pPr>
              <w:jc w:val="center"/>
              <w:rPr>
                <w:bCs/>
                <w:szCs w:val="21"/>
              </w:rPr>
            </w:pPr>
            <w:r>
              <w:rPr>
                <w:rFonts w:hint="eastAsia"/>
                <w:bCs/>
                <w:szCs w:val="21"/>
              </w:rPr>
              <w:t>m2</w:t>
            </w:r>
          </w:p>
        </w:tc>
        <w:tc>
          <w:tcPr>
            <w:tcW w:w="1216" w:type="pct"/>
          </w:tcPr>
          <w:p>
            <w:pPr>
              <w:jc w:val="center"/>
              <w:rPr>
                <w:b/>
                <w:bCs/>
                <w:szCs w:val="21"/>
              </w:rPr>
            </w:pPr>
            <w:r>
              <w:t>18000*4000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7</w:t>
            </w:r>
            <w:r>
              <w:rPr>
                <w:bCs/>
                <w:szCs w:val="21"/>
              </w:rPr>
              <w:t>7</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承载式天花2</w:t>
            </w:r>
          </w:p>
        </w:tc>
        <w:tc>
          <w:tcPr>
            <w:tcW w:w="404" w:type="pct"/>
            <w:vAlign w:val="center"/>
          </w:tcPr>
          <w:p>
            <w:pPr>
              <w:jc w:val="center"/>
              <w:rPr>
                <w:bCs/>
                <w:szCs w:val="21"/>
              </w:rPr>
            </w:pPr>
            <w:r>
              <w:rPr>
                <w:rFonts w:hint="eastAsia"/>
                <w:bCs/>
                <w:szCs w:val="21"/>
              </w:rPr>
              <w:t xml:space="preserve">117 </w:t>
            </w:r>
          </w:p>
        </w:tc>
        <w:tc>
          <w:tcPr>
            <w:tcW w:w="302" w:type="pct"/>
            <w:vAlign w:val="center"/>
          </w:tcPr>
          <w:p>
            <w:pPr>
              <w:jc w:val="center"/>
              <w:rPr>
                <w:bCs/>
                <w:szCs w:val="21"/>
              </w:rPr>
            </w:pPr>
            <w:r>
              <w:rPr>
                <w:rFonts w:hint="eastAsia"/>
                <w:bCs/>
                <w:szCs w:val="21"/>
              </w:rPr>
              <w:t>m2</w:t>
            </w:r>
          </w:p>
        </w:tc>
        <w:tc>
          <w:tcPr>
            <w:tcW w:w="1216" w:type="pct"/>
          </w:tcPr>
          <w:p>
            <w:pPr>
              <w:jc w:val="center"/>
              <w:rPr>
                <w:b/>
                <w:bCs/>
                <w:szCs w:val="21"/>
              </w:rPr>
            </w:pPr>
            <w:r>
              <w:t>21300*5500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78</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自动伸缩卷线器</w:t>
            </w:r>
          </w:p>
        </w:tc>
        <w:tc>
          <w:tcPr>
            <w:tcW w:w="404" w:type="pct"/>
            <w:vAlign w:val="center"/>
          </w:tcPr>
          <w:p>
            <w:pPr>
              <w:jc w:val="center"/>
              <w:rPr>
                <w:bCs/>
                <w:szCs w:val="21"/>
              </w:rPr>
            </w:pPr>
            <w:r>
              <w:rPr>
                <w:rFonts w:hint="eastAsia"/>
                <w:bCs/>
                <w:szCs w:val="21"/>
              </w:rPr>
              <w:t xml:space="preserve">56 </w:t>
            </w:r>
          </w:p>
        </w:tc>
        <w:tc>
          <w:tcPr>
            <w:tcW w:w="302" w:type="pct"/>
            <w:vAlign w:val="center"/>
          </w:tcPr>
          <w:p>
            <w:pPr>
              <w:jc w:val="center"/>
              <w:rPr>
                <w:bCs/>
                <w:szCs w:val="21"/>
              </w:rPr>
            </w:pPr>
            <w:r>
              <w:rPr>
                <w:rFonts w:hint="eastAsia"/>
                <w:bCs/>
                <w:szCs w:val="21"/>
              </w:rPr>
              <w:t>台</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bCs/>
                <w:szCs w:val="21"/>
              </w:rPr>
              <w:t>79</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插座盒</w:t>
            </w:r>
          </w:p>
        </w:tc>
        <w:tc>
          <w:tcPr>
            <w:tcW w:w="404" w:type="pct"/>
            <w:vAlign w:val="center"/>
          </w:tcPr>
          <w:p>
            <w:pPr>
              <w:jc w:val="center"/>
              <w:rPr>
                <w:bCs/>
                <w:szCs w:val="21"/>
              </w:rPr>
            </w:pPr>
            <w:r>
              <w:rPr>
                <w:rFonts w:hint="eastAsia"/>
                <w:bCs/>
                <w:szCs w:val="21"/>
              </w:rPr>
              <w:t xml:space="preserve">504 </w:t>
            </w:r>
          </w:p>
        </w:tc>
        <w:tc>
          <w:tcPr>
            <w:tcW w:w="302" w:type="pct"/>
            <w:vAlign w:val="center"/>
          </w:tcPr>
          <w:p>
            <w:pPr>
              <w:jc w:val="center"/>
              <w:rPr>
                <w:bCs/>
                <w:szCs w:val="21"/>
              </w:rPr>
            </w:pPr>
            <w:r>
              <w:rPr>
                <w:rFonts w:hint="eastAsia"/>
                <w:bCs/>
                <w:szCs w:val="21"/>
              </w:rPr>
              <w:t>组</w:t>
            </w:r>
          </w:p>
        </w:tc>
        <w:tc>
          <w:tcPr>
            <w:tcW w:w="1216" w:type="pct"/>
          </w:tcPr>
          <w:p>
            <w:pPr>
              <w:jc w:val="center"/>
              <w:rPr>
                <w:b/>
                <w:bCs/>
                <w:szCs w:val="21"/>
              </w:rPr>
            </w:pPr>
            <w:r>
              <w:t>200 *90*75</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8</w:t>
            </w:r>
            <w:r>
              <w:rPr>
                <w:bCs/>
                <w:szCs w:val="21"/>
              </w:rPr>
              <w:t>0</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护墙板</w:t>
            </w:r>
          </w:p>
        </w:tc>
        <w:tc>
          <w:tcPr>
            <w:tcW w:w="404" w:type="pct"/>
            <w:vAlign w:val="center"/>
          </w:tcPr>
          <w:p>
            <w:pPr>
              <w:jc w:val="center"/>
              <w:rPr>
                <w:bCs/>
                <w:szCs w:val="21"/>
              </w:rPr>
            </w:pPr>
            <w:r>
              <w:rPr>
                <w:rFonts w:hint="eastAsia"/>
                <w:bCs/>
                <w:szCs w:val="21"/>
              </w:rPr>
              <w:t xml:space="preserve">1 </w:t>
            </w:r>
          </w:p>
        </w:tc>
        <w:tc>
          <w:tcPr>
            <w:tcW w:w="302" w:type="pct"/>
            <w:vAlign w:val="center"/>
          </w:tcPr>
          <w:p>
            <w:pPr>
              <w:jc w:val="center"/>
              <w:rPr>
                <w:bCs/>
                <w:szCs w:val="21"/>
              </w:rPr>
            </w:pPr>
            <w:r>
              <w:rPr>
                <w:rFonts w:hint="eastAsia"/>
                <w:bCs/>
                <w:szCs w:val="21"/>
              </w:rPr>
              <w:t>块</w:t>
            </w:r>
          </w:p>
        </w:tc>
        <w:tc>
          <w:tcPr>
            <w:tcW w:w="1216" w:type="pct"/>
          </w:tcPr>
          <w:p>
            <w:pPr>
              <w:jc w:val="center"/>
              <w:rPr>
                <w:b/>
                <w:bCs/>
                <w:szCs w:val="21"/>
              </w:rPr>
            </w:pPr>
            <w:r>
              <w:t>2000*500</w:t>
            </w:r>
          </w:p>
        </w:tc>
        <w:tc>
          <w:tcPr>
            <w:tcW w:w="856" w:type="pct"/>
            <w:vAlign w:val="center"/>
          </w:tcPr>
          <w:p>
            <w:pPr>
              <w:jc w:val="center"/>
              <w:rPr>
                <w:szCs w:val="21"/>
              </w:rPr>
            </w:pPr>
            <w:r>
              <w:rPr>
                <w:rFonts w:hint="eastAsia"/>
                <w:szCs w:val="21"/>
              </w:rPr>
              <w:t>拒绝进口</w:t>
            </w:r>
          </w:p>
        </w:tc>
      </w:tr>
      <w:tr>
        <w:tblPrEx>
          <w:tblW w:w="5000" w:type="pct"/>
          <w:tblCellMar>
            <w:top w:w="0" w:type="dxa"/>
            <w:left w:w="108" w:type="dxa"/>
            <w:bottom w:w="0" w:type="dxa"/>
            <w:right w:w="108" w:type="dxa"/>
          </w:tblCellMar>
          <w:tblLook w:val="0000"/>
        </w:tblPrEx>
        <w:trPr>
          <w:trHeight w:val="170"/>
        </w:trPr>
        <w:tc>
          <w:tcPr>
            <w:tcW w:w="301" w:type="pct"/>
            <w:vAlign w:val="center"/>
          </w:tcPr>
          <w:p>
            <w:pPr>
              <w:jc w:val="center"/>
              <w:rPr>
                <w:bCs/>
                <w:szCs w:val="21"/>
              </w:rPr>
            </w:pPr>
            <w:r>
              <w:rPr>
                <w:rFonts w:hint="eastAsia"/>
                <w:bCs/>
                <w:szCs w:val="21"/>
              </w:rPr>
              <w:t>8</w:t>
            </w:r>
            <w:r>
              <w:rPr>
                <w:bCs/>
                <w:szCs w:val="21"/>
              </w:rPr>
              <w:t>1</w:t>
            </w:r>
          </w:p>
        </w:tc>
        <w:tc>
          <w:tcPr>
            <w:tcW w:w="722" w:type="pct"/>
            <w:vMerge/>
            <w:vAlign w:val="center"/>
          </w:tcPr>
          <w:p>
            <w:pPr>
              <w:jc w:val="center"/>
              <w:rPr>
                <w:bCs/>
                <w:szCs w:val="21"/>
              </w:rPr>
            </w:pPr>
          </w:p>
        </w:tc>
        <w:tc>
          <w:tcPr>
            <w:tcW w:w="1199" w:type="pct"/>
            <w:vAlign w:val="center"/>
          </w:tcPr>
          <w:p>
            <w:pPr>
              <w:jc w:val="center"/>
              <w:rPr>
                <w:bCs/>
                <w:szCs w:val="21"/>
              </w:rPr>
            </w:pPr>
            <w:r>
              <w:rPr>
                <w:rFonts w:hint="eastAsia"/>
                <w:bCs/>
                <w:szCs w:val="21"/>
              </w:rPr>
              <w:t>实验凳</w:t>
            </w:r>
          </w:p>
        </w:tc>
        <w:tc>
          <w:tcPr>
            <w:tcW w:w="404" w:type="pct"/>
            <w:vAlign w:val="center"/>
          </w:tcPr>
          <w:p>
            <w:pPr>
              <w:jc w:val="center"/>
              <w:rPr>
                <w:bCs/>
                <w:szCs w:val="21"/>
              </w:rPr>
            </w:pPr>
            <w:r>
              <w:rPr>
                <w:rFonts w:hint="eastAsia"/>
                <w:bCs/>
                <w:szCs w:val="21"/>
              </w:rPr>
              <w:t xml:space="preserve">796 </w:t>
            </w:r>
          </w:p>
        </w:tc>
        <w:tc>
          <w:tcPr>
            <w:tcW w:w="302" w:type="pct"/>
            <w:vAlign w:val="center"/>
          </w:tcPr>
          <w:p>
            <w:pPr>
              <w:jc w:val="center"/>
              <w:rPr>
                <w:bCs/>
                <w:szCs w:val="21"/>
              </w:rPr>
            </w:pPr>
            <w:r>
              <w:rPr>
                <w:rFonts w:hint="eastAsia"/>
                <w:bCs/>
                <w:szCs w:val="21"/>
              </w:rPr>
              <w:t>把</w:t>
            </w:r>
          </w:p>
        </w:tc>
        <w:tc>
          <w:tcPr>
            <w:tcW w:w="1216" w:type="pct"/>
          </w:tcPr>
          <w:p>
            <w:pPr>
              <w:jc w:val="center"/>
              <w:rPr>
                <w:b/>
                <w:bCs/>
                <w:szCs w:val="21"/>
              </w:rPr>
            </w:pPr>
            <w:r>
              <w:t>/</w:t>
            </w:r>
          </w:p>
        </w:tc>
        <w:tc>
          <w:tcPr>
            <w:tcW w:w="856" w:type="pct"/>
            <w:vAlign w:val="center"/>
          </w:tcPr>
          <w:p>
            <w:pPr>
              <w:jc w:val="center"/>
              <w:rPr>
                <w:szCs w:val="21"/>
              </w:rPr>
            </w:pPr>
            <w:r>
              <w:rPr>
                <w:rFonts w:hint="eastAsia"/>
                <w:szCs w:val="21"/>
              </w:rPr>
              <w:t>拒绝进口</w:t>
            </w:r>
          </w:p>
        </w:tc>
      </w:tr>
    </w:tbl>
    <w:p>
      <w:pPr>
        <w:ind w:firstLine="42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pPr>
        <w:ind w:firstLine="420" w:firstLineChars="200"/>
        <w:rPr>
          <w:rFonts w:ascii="宋体" w:hAnsi="宋体"/>
          <w:b/>
          <w:color w:val="FF0000"/>
          <w:szCs w:val="21"/>
        </w:rPr>
      </w:pPr>
      <w:r>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pPr>
        <w:ind w:firstLine="420" w:firstLineChars="200"/>
        <w:rPr>
          <w:rFonts w:ascii="宋体" w:hAnsi="宋体"/>
          <w:b/>
          <w:color w:val="FF0000"/>
          <w:szCs w:val="21"/>
        </w:rPr>
      </w:pPr>
      <w:r>
        <w:rPr>
          <w:rFonts w:ascii="宋体" w:hAnsi="宋体" w:hint="eastAsia"/>
          <w:b/>
          <w:color w:val="FF0000"/>
          <w:szCs w:val="21"/>
        </w:rPr>
        <w:t>3、本项目核心产品为：</w:t>
      </w:r>
      <w:r>
        <w:rPr>
          <w:rFonts w:ascii="宋体" w:hAnsi="宋体" w:hint="eastAsia"/>
          <w:b/>
          <w:bCs w:val="0"/>
          <w:color w:val="FF0000"/>
          <w:szCs w:val="21"/>
          <w:u w:val="single"/>
        </w:rPr>
        <w:t>中央台1</w:t>
      </w:r>
      <w:r>
        <w:rPr>
          <w:rFonts w:ascii="宋体" w:hAnsi="宋体"/>
          <w:b/>
          <w:bCs w:val="0"/>
          <w:color w:val="FF0000"/>
          <w:szCs w:val="21"/>
          <w:u w:val="single"/>
        </w:rPr>
        <w:t>2</w:t>
      </w:r>
      <w:r>
        <w:rPr>
          <w:rFonts w:hint="eastAsia"/>
          <w:b/>
          <w:bCs w:val="0"/>
          <w:color w:val="FF0000"/>
          <w:szCs w:val="21"/>
          <w:u w:val="single"/>
        </w:rPr>
        <w:t>（序号</w:t>
      </w:r>
      <w:r>
        <w:rPr>
          <w:b/>
          <w:bCs w:val="0"/>
          <w:color w:val="FF0000"/>
          <w:szCs w:val="21"/>
          <w:u w:val="single"/>
        </w:rPr>
        <w:t>12</w:t>
      </w:r>
      <w:r>
        <w:rPr>
          <w:rFonts w:hint="eastAsia"/>
          <w:b/>
          <w:bCs w:val="0"/>
          <w:color w:val="FF0000"/>
          <w:szCs w:val="21"/>
          <w:u w:val="single"/>
        </w:rPr>
        <w:t>）</w:t>
      </w:r>
      <w:r>
        <w:rPr>
          <w:rFonts w:ascii="宋体" w:hAnsi="宋体" w:hint="eastAsia"/>
          <w:b/>
          <w:bCs w:val="0"/>
          <w:color w:val="FF0000"/>
          <w:szCs w:val="21"/>
        </w:rPr>
        <w:t>。</w:t>
      </w:r>
    </w:p>
    <w:p>
      <w:pPr>
        <w:rPr>
          <w:rFonts w:ascii="宋体" w:hAnsi="宋体"/>
          <w:b/>
          <w:color w:val="FF0000"/>
          <w:szCs w:val="21"/>
        </w:rPr>
      </w:pPr>
      <w:bookmarkEnd w:id="41"/>
    </w:p>
    <w:p>
      <w:pPr>
        <w:pStyle w:val="Heading2"/>
        <w:spacing w:before="120" w:beforeLines="50" w:after="120" w:afterLines="50"/>
        <w:rPr>
          <w:sz w:val="28"/>
          <w:szCs w:val="28"/>
        </w:rPr>
      </w:pPr>
      <w:bookmarkStart w:id="43" w:name="_Toc128884461"/>
      <w:r>
        <w:rPr>
          <w:rFonts w:hint="eastAsia"/>
          <w:sz w:val="28"/>
          <w:szCs w:val="28"/>
        </w:rPr>
        <w:t>三、实质性条款</w:t>
      </w:r>
    </w:p>
    <w:tbl>
      <w:tblPr>
        <w:tblStyle w:val="TableNormal"/>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14"/>
        </w:trPr>
        <w:tc>
          <w:tcPr>
            <w:tcW w:w="705"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CellMar>
            <w:top w:w="0" w:type="dxa"/>
            <w:left w:w="108" w:type="dxa"/>
            <w:bottom w:w="0" w:type="dxa"/>
            <w:right w:w="108" w:type="dxa"/>
          </w:tblCellMar>
          <w:tblLook w:val="0000"/>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pPr>
              <w:adjustRightInd w:val="0"/>
              <w:snapToGrid w:val="0"/>
              <w:spacing w:line="360" w:lineRule="auto"/>
              <w:rPr>
                <w:rFonts w:hAnsi="宋体"/>
                <w:kern w:val="0"/>
                <w:szCs w:val="21"/>
              </w:rPr>
            </w:pPr>
            <w:r>
              <w:rPr>
                <w:rFonts w:hAnsi="宋体" w:hint="eastAsia"/>
                <w:kern w:val="0"/>
                <w:szCs w:val="21"/>
              </w:rPr>
              <w:t>满足本项目标</w:t>
            </w:r>
            <w:bookmarkStart w:id="44" w:name="OLE_LINK6"/>
            <w:r>
              <w:rPr>
                <w:rFonts w:hAnsi="宋体" w:hint="eastAsia"/>
                <w:kern w:val="0"/>
                <w:szCs w:val="21"/>
              </w:rPr>
              <w:t>★</w:t>
            </w:r>
            <w:bookmarkEnd w:id="44"/>
            <w:r>
              <w:rPr>
                <w:rFonts w:hAnsi="宋体" w:hint="eastAsia"/>
                <w:kern w:val="0"/>
                <w:szCs w:val="21"/>
              </w:rPr>
              <w:t>的条款要求</w:t>
            </w:r>
          </w:p>
        </w:tc>
      </w:tr>
    </w:tbl>
    <w:p>
      <w:pPr>
        <w:rPr>
          <w:sz w:val="22"/>
        </w:rPr>
      </w:pPr>
      <w:bookmarkEnd w:id="43"/>
      <w:r>
        <w:rPr>
          <w:rFonts w:hint="eastAsia"/>
          <w:sz w:val="22"/>
        </w:rPr>
        <w:t>注：上表所列内容为不可负偏离条款，负偏离将视为未实质性满足招标文件要求和条件作投标无效处理。</w:t>
      </w:r>
    </w:p>
    <w:p>
      <w:pPr>
        <w:rPr>
          <w:b/>
          <w:szCs w:val="21"/>
        </w:rPr>
      </w:pPr>
    </w:p>
    <w:p>
      <w:pPr>
        <w:pStyle w:val="Heading2"/>
        <w:spacing w:before="120" w:beforeLines="50" w:after="120" w:afterLines="50"/>
        <w:rPr>
          <w:sz w:val="28"/>
          <w:szCs w:val="28"/>
        </w:rPr>
      </w:pPr>
      <w:r>
        <w:rPr>
          <w:rFonts w:hint="eastAsia"/>
          <w:sz w:val="28"/>
          <w:szCs w:val="28"/>
        </w:rPr>
        <w:t>四、技术要求</w:t>
      </w:r>
    </w:p>
    <w:p>
      <w:pPr>
        <w:ind w:firstLine="42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pPr>
        <w:ind w:firstLine="420" w:firstLineChars="200"/>
        <w:rPr>
          <w:b/>
          <w:szCs w:val="21"/>
        </w:rPr>
      </w:pPr>
      <w:r>
        <w:rPr>
          <w:b/>
          <w:szCs w:val="21"/>
        </w:rPr>
        <w:t>3</w:t>
      </w:r>
      <w:r>
        <w:rPr>
          <w:rFonts w:hint="eastAsia"/>
          <w:b/>
          <w:szCs w:val="21"/>
        </w:rPr>
        <w:t>、</w:t>
      </w:r>
      <w:bookmarkStart w:id="45"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pPr>
        <w:ind w:firstLine="420" w:firstLineChars="200"/>
        <w:rPr>
          <w:rFonts w:hint="eastAsia"/>
          <w:b/>
          <w:color w:val="FF0000"/>
        </w:rPr>
      </w:pPr>
      <w:r>
        <w:rPr>
          <w:rFonts w:hint="eastAsia"/>
          <w:b/>
          <w:color w:val="FF0000"/>
        </w:rPr>
        <w:t>4</w:t>
      </w:r>
      <w:r>
        <w:rPr>
          <w:b/>
          <w:color w:val="FF0000"/>
        </w:rPr>
        <w:t>、涉及区间的参数，除特别注明以外，</w:t>
      </w:r>
      <w:bookmarkStart w:id="46" w:name="_Hlk75447406"/>
      <w:r>
        <w:rPr>
          <w:b/>
          <w:color w:val="FF0000"/>
        </w:rPr>
        <w:t>产品参数区间与招标要求不一致的均视为负偏离。</w:t>
      </w:r>
      <w:bookmarkEnd w:id="46"/>
      <w:r>
        <w:rPr>
          <w:rFonts w:hint="eastAsia"/>
          <w:b/>
          <w:color w:val="FF0000"/>
        </w:rPr>
        <w:t>例：区间要求为0-20ML,只要响应的不是“0-20ML”，如投标文件响应为 0-15ML 、0-21ML 、1-12ML 、 9-20ML 、6-21ML 、9ML等情形均视为负偏离。</w:t>
      </w:r>
    </w:p>
    <w:p>
      <w:pPr>
        <w:pStyle w:val="BodyText"/>
        <w:spacing w:line="240" w:lineRule="auto"/>
        <w:ind w:firstLine="420" w:firstLineChars="200"/>
      </w:pPr>
      <w:r>
        <w:rPr>
          <w:rFonts w:ascii="宋体" w:hAnsi="宋体" w:cs="宋体" w:hint="eastAsia"/>
          <w:bCs w:val="0"/>
          <w:sz w:val="21"/>
          <w:szCs w:val="21"/>
        </w:rPr>
        <w:t>5、检验（检测）报告要求具有CMA、CNAS等标识的，若有材料证明相关检测事项不在实施该项检测的机构许可（认可）CMA、CNAS等资质范围内的，该检验（检测）报告视为不满足招标文件要求，作负偏离处理。</w:t>
      </w:r>
      <w:r>
        <w:rPr>
          <w:rFonts w:ascii="宋体" w:hAnsi="宋体" w:cs="宋体" w:hint="eastAsia"/>
          <w:bCs w:val="0"/>
          <w:sz w:val="21"/>
          <w:szCs w:val="21"/>
        </w:rPr>
        <w:br/>
      </w:r>
      <w:r>
        <w:rPr>
          <w:rFonts w:ascii="宋体" w:hAnsi="宋体" w:cs="宋体" w:hint="eastAsia"/>
          <w:bCs w:val="0"/>
          <w:sz w:val="21"/>
          <w:szCs w:val="21"/>
        </w:rPr>
        <w:t xml:space="preserve">    6、如要求提供原材料检验（检测）报告，检验（检测）报告送检单位（委托单位）须是投标人或所投产品制造商（须与分项报价表一致）或所投产品原材料供应商。若送检单位（委托单位）不是投标人或所投产品制造商的，须同时提供投标人或所投产品制造商（须与分项报价表一致）购买对应原材料的发票扫描件（一年内）。如要求提供成品检验（检测）报告，检验（检测）报告送检单位（委托单位）须是投标人或所投产品制造商（须与分项报价表一致）。</w:t>
      </w:r>
      <w:r>
        <w:rPr>
          <w:rFonts w:ascii="宋体" w:hAnsi="宋体" w:cs="宋体" w:hint="eastAsia"/>
          <w:bCs w:val="0"/>
          <w:sz w:val="21"/>
          <w:szCs w:val="21"/>
        </w:rPr>
        <w:br/>
      </w:r>
      <w:r>
        <w:rPr>
          <w:rFonts w:ascii="宋体" w:hAnsi="宋体" w:cs="宋体" w:hint="eastAsia"/>
          <w:bCs w:val="0"/>
          <w:sz w:val="21"/>
          <w:szCs w:val="21"/>
        </w:rPr>
        <w:t xml:space="preserve">    7、相关证明材料的产品名称与招标文件要求的名称不完全一致的，需提供为同种产品的说明；若名称不完全一致又未提供说明的，由评审委员会判定是否符合文件要求。</w:t>
      </w:r>
    </w:p>
    <w:p>
      <w:pPr>
        <w:pStyle w:val="BodyText2"/>
        <w:rPr>
          <w:rFonts w:hint="eastAsi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
        <w:gridCol w:w="1759"/>
        <w:gridCol w:w="63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70"/>
        </w:trPr>
        <w:tc>
          <w:tcPr>
            <w:tcW w:w="250" w:type="pct"/>
            <w:vAlign w:val="center"/>
          </w:tcPr>
          <w:p>
            <w:pPr>
              <w:jc w:val="center"/>
              <w:rPr>
                <w:color w:val="000000"/>
                <w:szCs w:val="21"/>
              </w:rPr>
            </w:pPr>
            <w:bookmarkStart w:id="47" w:name="_Hlk70236148"/>
            <w:bookmarkEnd w:id="45"/>
            <w:r>
              <w:rPr>
                <w:color w:val="000000"/>
                <w:szCs w:val="21"/>
              </w:rPr>
              <w:t>序号</w:t>
            </w:r>
          </w:p>
        </w:tc>
        <w:tc>
          <w:tcPr>
            <w:tcW w:w="1031" w:type="pct"/>
            <w:vAlign w:val="center"/>
          </w:tcPr>
          <w:p>
            <w:pPr>
              <w:widowControl/>
              <w:jc w:val="center"/>
              <w:rPr>
                <w:color w:val="000000"/>
                <w:szCs w:val="21"/>
              </w:rPr>
            </w:pPr>
            <w:r>
              <w:rPr>
                <w:color w:val="000000"/>
                <w:szCs w:val="21"/>
              </w:rPr>
              <w:t>货物名称</w:t>
            </w:r>
          </w:p>
        </w:tc>
        <w:tc>
          <w:tcPr>
            <w:tcW w:w="3719" w:type="pct"/>
            <w:vAlign w:val="center"/>
          </w:tcPr>
          <w:p>
            <w:pPr>
              <w:jc w:val="center"/>
              <w:rPr>
                <w:color w:val="000000"/>
                <w:szCs w:val="21"/>
              </w:rPr>
            </w:pPr>
            <w:r>
              <w:rPr>
                <w:rFonts w:hint="eastAsia"/>
                <w:color w:val="000000"/>
                <w:szCs w:val="21"/>
              </w:rPr>
              <w:t>招标</w:t>
            </w:r>
            <w:r>
              <w:rPr>
                <w:color w:val="000000"/>
                <w:szCs w:val="21"/>
              </w:rPr>
              <w:t>技术要求</w:t>
            </w:r>
          </w:p>
        </w:tc>
      </w:tr>
      <w:tr>
        <w:tblPrEx>
          <w:tblW w:w="5000" w:type="pct"/>
          <w:tblCellMar>
            <w:top w:w="0" w:type="dxa"/>
            <w:left w:w="108" w:type="dxa"/>
            <w:bottom w:w="0" w:type="dxa"/>
            <w:right w:w="108" w:type="dxa"/>
          </w:tblCellMar>
          <w:tblLook w:val="0000"/>
        </w:tblPrEx>
        <w:trPr>
          <w:trHeight w:val="170"/>
        </w:trPr>
        <w:tc>
          <w:tcPr>
            <w:tcW w:w="249" w:type="pct"/>
            <w:vMerge w:val="restart"/>
            <w:vAlign w:val="center"/>
          </w:tcPr>
          <w:p>
            <w:pPr>
              <w:jc w:val="center"/>
              <w:rPr>
                <w:color w:val="000000"/>
                <w:szCs w:val="21"/>
              </w:rPr>
            </w:pPr>
            <w:r>
              <w:rPr>
                <w:color w:val="000000"/>
                <w:szCs w:val="21"/>
              </w:rPr>
              <w:t>1</w:t>
            </w:r>
          </w:p>
        </w:tc>
        <w:tc>
          <w:tcPr>
            <w:tcW w:w="1031" w:type="pct"/>
            <w:vMerge w:val="restart"/>
            <w:vAlign w:val="center"/>
          </w:tcPr>
          <w:p>
            <w:pPr>
              <w:jc w:val="center"/>
              <w:rPr>
                <w:color w:val="000000"/>
                <w:szCs w:val="21"/>
              </w:rPr>
            </w:pPr>
            <w:r>
              <w:rPr>
                <w:rFonts w:hint="eastAsia"/>
                <w:color w:val="000000"/>
                <w:szCs w:val="21"/>
              </w:rPr>
              <w:t>中央台、仪器台、边台、</w:t>
            </w:r>
          </w:p>
          <w:p>
            <w:pPr>
              <w:jc w:val="center"/>
              <w:rPr>
                <w:color w:val="000000"/>
                <w:szCs w:val="21"/>
              </w:rPr>
            </w:pPr>
            <w:r>
              <w:rPr>
                <w:rFonts w:hint="eastAsia"/>
                <w:color w:val="000000"/>
                <w:szCs w:val="21"/>
              </w:rPr>
              <w:t>水槽边台</w:t>
            </w:r>
          </w:p>
        </w:tc>
        <w:tc>
          <w:tcPr>
            <w:tcW w:w="3718" w:type="pct"/>
          </w:tcPr>
          <w:p>
            <w:pPr>
              <w:rPr>
                <w:color w:val="000000"/>
                <w:szCs w:val="21"/>
              </w:rPr>
            </w:pPr>
            <w:r>
              <w:rPr>
                <w:rFonts w:hint="eastAsia"/>
                <w:b/>
                <w:bCs/>
                <w:color w:val="000000"/>
                <w:szCs w:val="21"/>
              </w:rPr>
              <w:t>1</w:t>
            </w:r>
            <w:r>
              <w:rPr>
                <w:b/>
                <w:bCs/>
                <w:color w:val="000000"/>
                <w:szCs w:val="21"/>
              </w:rPr>
              <w:t>.</w:t>
            </w:r>
            <w:r>
              <w:rPr>
                <w:rFonts w:hint="eastAsia"/>
                <w:b/>
                <w:bCs/>
                <w:color w:val="000000"/>
                <w:szCs w:val="21"/>
              </w:rPr>
              <w:t>1桌身结构规格说明</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color w:val="000000"/>
                <w:szCs w:val="21"/>
              </w:rPr>
              <w:t>1.</w:t>
            </w:r>
            <w:r>
              <w:rPr>
                <w:rFonts w:hint="eastAsia"/>
                <w:color w:val="000000"/>
                <w:szCs w:val="21"/>
              </w:rPr>
              <w:t>1.1</w:t>
            </w:r>
            <w:r>
              <w:rPr>
                <w:rFonts w:ascii="宋体" w:hAnsi="宋体" w:cs="宋体" w:hint="eastAsia"/>
                <w:szCs w:val="21"/>
              </w:rPr>
              <w:t>柜体：采用厚≥1.0mm轧钢板，经过磷化处理，再经乳白色EPOXY涂层厚度为≥90微米，最后经高温烘烤制作而成。</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1.1.2</w:t>
            </w:r>
            <w:r>
              <w:rPr>
                <w:rFonts w:ascii="宋体" w:hAnsi="宋体" w:cs="宋体" w:hint="eastAsia"/>
                <w:szCs w:val="21"/>
              </w:rPr>
              <w:t>每个底柜设活动层板一个，层板可上下调节（间隔20mm），层板宽度与底柜内宽度相当，与两侧的间隙不超过3mm；</w:t>
            </w:r>
          </w:p>
        </w:tc>
      </w:tr>
      <w:tr>
        <w:tblPrEx>
          <w:tblW w:w="5000" w:type="pct"/>
          <w:tblCellMar>
            <w:top w:w="0" w:type="dxa"/>
            <w:left w:w="108" w:type="dxa"/>
            <w:bottom w:w="0" w:type="dxa"/>
            <w:right w:w="108" w:type="dxa"/>
          </w:tblCellMar>
          <w:tblLook w:val="0000"/>
        </w:tblPrEx>
        <w:trPr>
          <w:trHeight w:val="249"/>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1.1.3</w:t>
            </w:r>
            <w:r>
              <w:rPr>
                <w:rFonts w:ascii="宋体" w:hAnsi="宋体" w:cs="宋体" w:hint="eastAsia"/>
                <w:szCs w:val="21"/>
              </w:rPr>
              <w:t>所有表面接缝均应满焊，焊接处均应打磨平整以保持为连续的平滑表面，无焊接点外露；</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1.1.4装饰封板：实验台侧面和柜体空位须使用钢制装饰封板遮盖，封板的材质、颜色及表面处理应与柜体相同，可用简单工具方便地拆卸下来，以方便管线安装维护，其组装螺丝应以孔塞遮蔽不可外露；</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1.1.5▲柜门≥19mm厚，两层结构为组装式，装配前各面喷涂完毕，柜门内有消声材料，柜门不得为单层结构或焊接式双层结构。</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1.1.6合页：高光泽的不锈钢材质。非焊接方式将合页和柜体及柜门固定。打开角度为180度，运动负重：≥90kg（≥100000次）；</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1.1.7</w:t>
            </w:r>
            <w:r>
              <w:rPr>
                <w:rFonts w:ascii="宋体" w:hAnsi="宋体" w:cs="宋体" w:hint="eastAsia"/>
                <w:szCs w:val="21"/>
              </w:rPr>
              <w:t>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color w:val="000000"/>
                <w:szCs w:val="21"/>
              </w:rPr>
              <w:t>1.1.8</w:t>
            </w:r>
            <w:r>
              <w:rPr>
                <w:rFonts w:ascii="宋体" w:hAnsi="宋体" w:cs="宋体" w:hint="eastAsia"/>
                <w:szCs w:val="21"/>
              </w:rPr>
              <w:t>柜门为标准化产品，可以互换，以方便产品维护；</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b/>
                <w:bCs/>
                <w:color w:val="FF0000"/>
                <w:szCs w:val="21"/>
              </w:rPr>
              <w:t>1.1.9</w:t>
            </w:r>
            <w:r>
              <w:rPr>
                <w:rFonts w:ascii="宋体" w:hAnsi="宋体" w:cs="宋体" w:hint="eastAsia"/>
                <w:b/>
                <w:bCs/>
                <w:color w:val="FF0000"/>
                <w:kern w:val="0"/>
                <w:szCs w:val="21"/>
              </w:rPr>
              <w:t>▲</w:t>
            </w:r>
            <w:r>
              <w:rPr>
                <w:rFonts w:ascii="宋体" w:hAnsi="宋体" w:cs="宋体" w:hint="eastAsia"/>
                <w:b/>
                <w:bCs/>
                <w:color w:val="FF0000"/>
                <w:szCs w:val="21"/>
              </w:rPr>
              <w:t>为保证产品质量，投标人提供201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年1月1日至本项目投标截止日第三方检验检测机构出具的符合</w:t>
            </w:r>
            <w:bookmarkStart w:id="48" w:name="OLE_LINK7"/>
            <w:r>
              <w:rPr>
                <w:rFonts w:ascii="宋体" w:hAnsi="宋体" w:cs="宋体" w:hint="eastAsia"/>
                <w:b/>
                <w:bCs/>
                <w:color w:val="FF0000"/>
                <w:szCs w:val="21"/>
              </w:rPr>
              <w:t>SEFA 8M-2016</w:t>
            </w:r>
            <w:bookmarkEnd w:id="48"/>
            <w:r>
              <w:rPr>
                <w:rFonts w:ascii="宋体" w:hAnsi="宋体" w:cs="宋体" w:hint="eastAsia"/>
                <w:b/>
                <w:bCs/>
                <w:color w:val="FF0000"/>
                <w:szCs w:val="21"/>
              </w:rPr>
              <w:t>要求或</w:t>
            </w:r>
            <w:r>
              <w:rPr>
                <w:rFonts w:ascii="宋体" w:hAnsi="宋体" w:cs="宋体"/>
                <w:b/>
                <w:bCs/>
                <w:color w:val="FF0000"/>
                <w:szCs w:val="21"/>
              </w:rPr>
              <w:t>T/SLEA 0021-2023</w:t>
            </w:r>
            <w:r>
              <w:rPr>
                <w:rFonts w:ascii="宋体" w:hAnsi="宋体" w:cs="宋体" w:hint="eastAsia"/>
                <w:b/>
                <w:bCs/>
                <w:color w:val="FF0000"/>
                <w:szCs w:val="21"/>
              </w:rPr>
              <w:t>要求的具有CMA标识的检验（检测）报告扫描件，原件备查。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hint="eastAsia"/>
                <w:b/>
                <w:bCs/>
                <w:color w:val="000000"/>
                <w:szCs w:val="21"/>
              </w:rPr>
              <w:t>1.2台面板技术要求</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1.2.1台面采用≥12.7mm厚实芯理化板。为保证台面材料质量以及从环保角度保障实验室人员健康，台面材料须符合以下技术参数及要求：</w:t>
            </w:r>
          </w:p>
        </w:tc>
      </w:tr>
      <w:tr>
        <w:tblPrEx>
          <w:tblW w:w="5000" w:type="pct"/>
          <w:tblCellMar>
            <w:top w:w="0" w:type="dxa"/>
            <w:left w:w="108" w:type="dxa"/>
            <w:bottom w:w="0" w:type="dxa"/>
            <w:right w:w="108" w:type="dxa"/>
          </w:tblCellMar>
          <w:tblLook w:val="0000"/>
        </w:tblPrEx>
        <w:trPr>
          <w:trHeight w:val="222"/>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1</w:t>
            </w:r>
            <w:bookmarkStart w:id="49" w:name="OLE_LINK9"/>
            <w:r>
              <w:rPr>
                <w:rFonts w:hAnsi="宋体" w:hint="eastAsia"/>
                <w:color w:val="FF0000"/>
                <w:kern w:val="0"/>
                <w:szCs w:val="21"/>
                <w:highlight w:val="yellow"/>
              </w:rPr>
              <w:t>★</w:t>
            </w:r>
            <w:bookmarkEnd w:id="49"/>
            <w:r>
              <w:rPr>
                <w:rFonts w:ascii="宋体" w:hAnsi="宋体" w:cs="宋体" w:hint="eastAsia"/>
                <w:b/>
                <w:bCs/>
                <w:color w:val="FF0000"/>
                <w:szCs w:val="21"/>
              </w:rPr>
              <w:t>物理性能符合</w:t>
            </w:r>
            <w:bookmarkStart w:id="50" w:name="OLE_LINK8"/>
            <w:r>
              <w:rPr>
                <w:rFonts w:ascii="宋体" w:hAnsi="宋体" w:cs="宋体" w:hint="eastAsia"/>
                <w:b/>
                <w:bCs/>
                <w:color w:val="FF0000"/>
                <w:szCs w:val="21"/>
              </w:rPr>
              <w:t>GB/T7911-2013</w:t>
            </w:r>
            <w:bookmarkEnd w:id="50"/>
            <w:r>
              <w:rPr>
                <w:rFonts w:ascii="宋体" w:hAnsi="宋体" w:cs="宋体" w:hint="eastAsia"/>
                <w:b/>
                <w:bCs/>
                <w:color w:val="FF0000"/>
                <w:szCs w:val="21"/>
              </w:rPr>
              <w:t>中技术要求，耐沸水、耐干热（180℃）、耐污染、耐香烟灼烧、抗拉强度、耐龟裂、抗大球冲击、耐湿热、耐水蒸气、耐划痕、弯曲强度、弯曲弹性模量等共计≥23种检测项目结果合格。其中弯曲弹性模量≥17000MPa；耐光色牢度达到5级；耐干热达到5级；防静电性能≤1.3x109Ω。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b/>
                <w:bCs/>
                <w:color w:val="FF0000"/>
                <w:szCs w:val="21"/>
              </w:rPr>
            </w:pPr>
            <w:r>
              <w:rPr>
                <w:rFonts w:ascii="宋体" w:hAnsi="宋体" w:cs="宋体" w:hint="eastAsia"/>
                <w:b/>
                <w:bCs/>
                <w:color w:val="FF0000"/>
                <w:szCs w:val="21"/>
              </w:rPr>
              <w:t>1.2.1.</w:t>
            </w:r>
            <w:r>
              <w:rPr>
                <w:rFonts w:ascii="宋体" w:hAnsi="宋体" w:cs="宋体"/>
                <w:b/>
                <w:bCs/>
                <w:color w:val="FF0000"/>
                <w:szCs w:val="21"/>
              </w:rPr>
              <w:t>2</w:t>
            </w:r>
            <w:r>
              <w:rPr>
                <w:rFonts w:ascii="宋体" w:hAnsi="宋体" w:cs="宋体" w:hint="eastAsia"/>
                <w:b/>
                <w:bCs/>
                <w:color w:val="FF0000"/>
                <w:kern w:val="0"/>
                <w:szCs w:val="21"/>
              </w:rPr>
              <w:t>▲</w:t>
            </w:r>
            <w:r>
              <w:rPr>
                <w:rFonts w:ascii="宋体" w:hAnsi="宋体" w:cs="宋体" w:hint="eastAsia"/>
                <w:b/>
                <w:bCs/>
                <w:color w:val="FF0000"/>
                <w:szCs w:val="21"/>
              </w:rPr>
              <w:t>甲醛释放量按</w:t>
            </w:r>
            <w:bookmarkStart w:id="51" w:name="OLE_LINK10"/>
            <w:r>
              <w:rPr>
                <w:rFonts w:ascii="宋体" w:hAnsi="宋体" w:cs="宋体" w:hint="eastAsia"/>
                <w:b/>
                <w:bCs/>
                <w:color w:val="FF0000"/>
                <w:szCs w:val="21"/>
              </w:rPr>
              <w:t>GB/T</w:t>
            </w:r>
            <w:r>
              <w:rPr>
                <w:rFonts w:ascii="宋体" w:hAnsi="宋体" w:cs="宋体"/>
                <w:b/>
                <w:bCs/>
                <w:color w:val="FF0000"/>
                <w:szCs w:val="21"/>
              </w:rPr>
              <w:t xml:space="preserve"> </w:t>
            </w:r>
            <w:r>
              <w:rPr>
                <w:rFonts w:ascii="宋体" w:hAnsi="宋体" w:cs="宋体" w:hint="eastAsia"/>
                <w:b/>
                <w:bCs/>
                <w:color w:val="FF0000"/>
                <w:szCs w:val="21"/>
              </w:rPr>
              <w:t>39600-2021</w:t>
            </w:r>
            <w:bookmarkEnd w:id="51"/>
            <w:r>
              <w:rPr>
                <w:rFonts w:ascii="宋体" w:hAnsi="宋体" w:cs="宋体" w:hint="eastAsia"/>
                <w:b/>
                <w:bCs/>
                <w:color w:val="FF0000"/>
                <w:szCs w:val="21"/>
              </w:rPr>
              <w:t>检测标准，甲醛释放量检验结果要求≤0.013mg/m3，提供</w:t>
            </w:r>
            <w:r>
              <w:rPr>
                <w:rFonts w:ascii="宋体" w:hAnsi="宋体" w:cs="宋体"/>
                <w:b/>
                <w:bCs/>
                <w:color w:val="FF0000"/>
                <w:szCs w:val="21"/>
              </w:rPr>
              <w:t>2017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eastAsia="宋体" w:hAnsi="宋体" w:cs="宋体" w:hint="eastAsia"/>
                <w:b/>
                <w:bCs/>
                <w:color w:val="FF0000"/>
                <w:szCs w:val="21"/>
              </w:rPr>
              <w:t>1.</w:t>
            </w:r>
            <w:r>
              <w:rPr>
                <w:rFonts w:ascii="宋体" w:hAnsi="宋体" w:cs="宋体" w:hint="eastAsia"/>
                <w:b/>
                <w:bCs/>
                <w:color w:val="FF0000"/>
                <w:szCs w:val="21"/>
              </w:rPr>
              <w:t>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3</w:t>
            </w:r>
            <w:r>
              <w:rPr>
                <w:rFonts w:hAnsi="宋体" w:hint="eastAsia"/>
                <w:color w:val="FF0000"/>
                <w:kern w:val="0"/>
                <w:szCs w:val="21"/>
                <w:highlight w:val="yellow"/>
              </w:rPr>
              <w:t>★</w:t>
            </w:r>
            <w:r>
              <w:rPr>
                <w:rFonts w:ascii="宋体" w:hAnsi="宋体" w:cs="宋体" w:hint="eastAsia"/>
                <w:b/>
                <w:bCs/>
                <w:color w:val="FF0000"/>
                <w:szCs w:val="21"/>
              </w:rPr>
              <w:t>燃烧性能符合</w:t>
            </w:r>
            <w:bookmarkStart w:id="52" w:name="OLE_LINK12"/>
            <w:r>
              <w:rPr>
                <w:rFonts w:ascii="宋体" w:hAnsi="宋体" w:cs="宋体" w:hint="eastAsia"/>
                <w:b/>
                <w:bCs/>
                <w:color w:val="FF0000"/>
                <w:szCs w:val="21"/>
              </w:rPr>
              <w:t>GB8624-2012</w:t>
            </w:r>
            <w:bookmarkEnd w:id="52"/>
            <w:r>
              <w:rPr>
                <w:rFonts w:ascii="宋体" w:hAnsi="宋体" w:cs="宋体" w:hint="eastAsia"/>
                <w:b/>
                <w:bCs/>
                <w:color w:val="FF0000"/>
                <w:szCs w:val="21"/>
              </w:rPr>
              <w:t>标准中B1（C-sl,d0,t1）级，检测结果需达到点燃时间60s内烟尖高度≤40mm；烟气毒性等级达到ZA3级。提供20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auto"/>
                <w:szCs w:val="21"/>
              </w:rPr>
            </w:pPr>
            <w:r>
              <w:rPr>
                <w:rFonts w:ascii="宋体" w:hAnsi="宋体" w:cs="宋体" w:hint="eastAsia"/>
                <w:b w:val="0"/>
                <w:bCs/>
                <w:color w:val="auto"/>
                <w:szCs w:val="21"/>
              </w:rPr>
              <w:t>1.2.</w:t>
            </w:r>
            <w:r>
              <w:rPr>
                <w:rFonts w:ascii="宋体" w:hAnsi="宋体" w:cs="宋体"/>
                <w:b w:val="0"/>
                <w:bCs/>
                <w:color w:val="auto"/>
                <w:szCs w:val="21"/>
              </w:rPr>
              <w:t>1</w:t>
            </w:r>
            <w:r>
              <w:rPr>
                <w:rFonts w:ascii="宋体" w:hAnsi="宋体" w:cs="宋体" w:hint="eastAsia"/>
                <w:b w:val="0"/>
                <w:bCs/>
                <w:color w:val="auto"/>
                <w:szCs w:val="21"/>
              </w:rPr>
              <w:t>.</w:t>
            </w:r>
            <w:r>
              <w:rPr>
                <w:rFonts w:ascii="宋体" w:hAnsi="宋体" w:cs="宋体"/>
                <w:b w:val="0"/>
                <w:bCs/>
                <w:color w:val="auto"/>
                <w:szCs w:val="21"/>
              </w:rPr>
              <w:t>4</w:t>
            </w:r>
            <w:r>
              <w:rPr>
                <w:rFonts w:ascii="宋体" w:hAnsi="宋体" w:cs="宋体" w:hint="eastAsia"/>
                <w:b w:val="0"/>
                <w:bCs/>
                <w:color w:val="auto"/>
                <w:szCs w:val="21"/>
              </w:rPr>
              <w:t>抗菌性能：依据</w:t>
            </w:r>
            <w:bookmarkStart w:id="53" w:name="OLE_LINK11"/>
            <w:r>
              <w:rPr>
                <w:rFonts w:ascii="宋体" w:hAnsi="宋体" w:cs="宋体" w:hint="eastAsia"/>
                <w:b w:val="0"/>
                <w:bCs/>
                <w:color w:val="auto"/>
                <w:szCs w:val="21"/>
              </w:rPr>
              <w:t xml:space="preserve">ISO </w:t>
            </w:r>
            <w:bookmarkStart w:id="54" w:name="OLE_LINK13"/>
            <w:r>
              <w:rPr>
                <w:rFonts w:ascii="宋体" w:hAnsi="宋体" w:cs="宋体" w:hint="eastAsia"/>
                <w:b w:val="0"/>
                <w:bCs/>
                <w:color w:val="auto"/>
                <w:szCs w:val="21"/>
              </w:rPr>
              <w:t>22196</w:t>
            </w:r>
            <w:bookmarkEnd w:id="53"/>
            <w:bookmarkEnd w:id="54"/>
            <w:r>
              <w:rPr>
                <w:rFonts w:ascii="宋体" w:hAnsi="宋体" w:cs="宋体" w:hint="eastAsia"/>
                <w:b w:val="0"/>
                <w:bCs/>
                <w:color w:val="auto"/>
                <w:szCs w:val="21"/>
              </w:rPr>
              <w:t>:2011检测标准检测，大肠杆菌测试结果抗菌活性值≥5.9，金黄色葡萄球菌测试结果抗菌活性值≥5.4，肺炎克雷伯氏菌测试结果抗菌活性值≥5.5，粪链球菌测试结果抗菌活性值≥2.5，肠沙门氏菌肠亚种测试结果抗菌活性值≥4.0。</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5</w:t>
            </w:r>
            <w:r>
              <w:rPr>
                <w:rFonts w:ascii="宋体" w:hAnsi="宋体" w:cs="宋体" w:hint="eastAsia"/>
                <w:b/>
                <w:bCs/>
                <w:color w:val="FF0000"/>
                <w:kern w:val="0"/>
                <w:szCs w:val="21"/>
              </w:rPr>
              <w:t>▲</w:t>
            </w:r>
            <w:r>
              <w:rPr>
                <w:rFonts w:ascii="宋体" w:hAnsi="宋体" w:cs="宋体" w:hint="eastAsia"/>
                <w:b/>
                <w:bCs/>
                <w:color w:val="FF0000"/>
                <w:szCs w:val="21"/>
              </w:rPr>
              <w:t>化学物排放按ISO</w:t>
            </w:r>
            <w:bookmarkStart w:id="55" w:name="OLE_LINK14"/>
            <w:r>
              <w:rPr>
                <w:rFonts w:ascii="宋体" w:hAnsi="宋体" w:cs="宋体" w:hint="eastAsia"/>
                <w:b/>
                <w:bCs/>
                <w:color w:val="FF0000"/>
                <w:szCs w:val="21"/>
              </w:rPr>
              <w:t>16000-9</w:t>
            </w:r>
            <w:bookmarkEnd w:id="55"/>
            <w:r>
              <w:rPr>
                <w:rFonts w:ascii="宋体" w:hAnsi="宋体" w:cs="宋体" w:hint="eastAsia"/>
                <w:b/>
                <w:bCs/>
                <w:color w:val="FF0000"/>
                <w:szCs w:val="21"/>
              </w:rPr>
              <w:t>-2006检测标准，TVOC舱内浓度≤0.167mg/m3，苯、甲苯、二甲苯均为未检出。提供201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 w:val="0"/>
                <w:bCs/>
                <w:color w:val="auto"/>
                <w:szCs w:val="21"/>
              </w:rPr>
            </w:pPr>
            <w:r>
              <w:rPr>
                <w:rFonts w:ascii="宋体" w:hAnsi="宋体" w:cs="宋体" w:hint="eastAsia"/>
                <w:b w:val="0"/>
                <w:bCs/>
                <w:color w:val="auto"/>
                <w:szCs w:val="21"/>
              </w:rPr>
              <w:t>1.2.</w:t>
            </w:r>
            <w:r>
              <w:rPr>
                <w:rFonts w:ascii="宋体" w:hAnsi="宋体" w:cs="宋体"/>
                <w:b w:val="0"/>
                <w:bCs/>
                <w:color w:val="auto"/>
                <w:szCs w:val="21"/>
              </w:rPr>
              <w:t>2</w:t>
            </w:r>
            <w:r>
              <w:rPr>
                <w:rFonts w:ascii="宋体" w:hAnsi="宋体" w:cs="宋体" w:hint="eastAsia"/>
                <w:b w:val="0"/>
                <w:bCs/>
                <w:color w:val="auto"/>
                <w:szCs w:val="21"/>
              </w:rPr>
              <w:t>按</w:t>
            </w:r>
            <w:bookmarkStart w:id="56" w:name="OLE_LINK15"/>
            <w:r>
              <w:rPr>
                <w:rFonts w:ascii="宋体" w:hAnsi="宋体" w:cs="宋体" w:hint="eastAsia"/>
                <w:b w:val="0"/>
                <w:bCs/>
                <w:color w:val="auto"/>
                <w:szCs w:val="21"/>
              </w:rPr>
              <w:t>GB6566-2010</w:t>
            </w:r>
            <w:bookmarkEnd w:id="56"/>
            <w:r>
              <w:rPr>
                <w:rFonts w:ascii="宋体" w:hAnsi="宋体" w:cs="宋体" w:hint="eastAsia"/>
                <w:b w:val="0"/>
                <w:bCs/>
                <w:color w:val="auto"/>
                <w:szCs w:val="21"/>
              </w:rPr>
              <w:t>检测标准，</w:t>
            </w:r>
            <w:r>
              <w:rPr>
                <w:rFonts w:ascii="宋体" w:hAnsi="宋体" w:cs="宋体" w:hint="eastAsia"/>
                <w:color w:val="auto"/>
                <w:szCs w:val="21"/>
              </w:rPr>
              <w:t>放射性核素限量内照射指数≤0.1</w:t>
            </w:r>
            <w:r>
              <w:rPr>
                <w:color w:val="auto"/>
              </w:rPr>
              <w:t xml:space="preserve"> </w:t>
            </w:r>
            <w:r>
              <w:rPr>
                <w:rFonts w:ascii="宋体" w:hAnsi="宋体" w:cs="宋体"/>
                <w:color w:val="auto"/>
                <w:szCs w:val="21"/>
              </w:rPr>
              <w:t>Ira</w:t>
            </w:r>
            <w:r>
              <w:rPr>
                <w:rFonts w:ascii="宋体" w:hAnsi="宋体" w:cs="宋体" w:hint="eastAsia"/>
                <w:color w:val="auto"/>
                <w:szCs w:val="21"/>
              </w:rPr>
              <w:t>，外照射指数≤0.1</w:t>
            </w:r>
            <w:r>
              <w:rPr>
                <w:rFonts w:ascii="宋体" w:hAnsi="宋体" w:cs="宋体"/>
                <w:color w:val="auto"/>
                <w:szCs w:val="21"/>
              </w:rPr>
              <w:t>Iγ</w:t>
            </w:r>
            <w:r>
              <w:rPr>
                <w:rFonts w:ascii="宋体" w:hAnsi="宋体" w:cs="宋体" w:hint="eastAsia"/>
                <w:b w:val="0"/>
                <w:bCs/>
                <w:color w:val="auto"/>
                <w:szCs w:val="21"/>
              </w:rPr>
              <w:t>。</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1.2.</w:t>
            </w:r>
            <w:r>
              <w:rPr>
                <w:rFonts w:ascii="宋体" w:hAnsi="宋体" w:cs="宋体"/>
                <w:szCs w:val="21"/>
              </w:rPr>
              <w:t>3</w:t>
            </w:r>
            <w:r>
              <w:rPr>
                <w:rFonts w:ascii="宋体" w:hAnsi="宋体" w:cs="宋体" w:hint="eastAsia"/>
                <w:szCs w:val="21"/>
              </w:rPr>
              <w:t>防静电台面，≥12.7mm厚抗静电物理板，为保证台面材料质量以及从环保角度保障实验室人员健康，台面材料须符合以下技术参数及要求：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
                <w:color w:val="FF0000"/>
                <w:szCs w:val="21"/>
              </w:rPr>
            </w:pPr>
            <w:r>
              <w:rPr>
                <w:rFonts w:ascii="宋体" w:hAnsi="宋体"/>
                <w:b/>
                <w:bCs/>
                <w:color w:val="FF0000"/>
                <w:szCs w:val="21"/>
              </w:rPr>
              <w:t>1</w:t>
            </w:r>
            <w:r>
              <w:rPr>
                <w:rFonts w:ascii="宋体" w:hAnsi="宋体" w:cs="宋体" w:hint="eastAsia"/>
                <w:b/>
                <w:color w:val="FF0000"/>
                <w:szCs w:val="21"/>
              </w:rPr>
              <w:t>.2.</w:t>
            </w:r>
            <w:r>
              <w:rPr>
                <w:rFonts w:ascii="宋体" w:hAnsi="宋体" w:cs="宋体"/>
                <w:b/>
                <w:color w:val="FF0000"/>
                <w:szCs w:val="21"/>
              </w:rPr>
              <w:t>3</w:t>
            </w:r>
            <w:r>
              <w:rPr>
                <w:rFonts w:ascii="宋体" w:hAnsi="宋体" w:cs="宋体" w:hint="eastAsia"/>
                <w:b/>
                <w:color w:val="FF0000"/>
                <w:szCs w:val="21"/>
              </w:rPr>
              <w:t>.</w:t>
            </w:r>
            <w:r>
              <w:rPr>
                <w:rFonts w:ascii="宋体" w:hAnsi="宋体" w:cs="宋体"/>
                <w:b/>
                <w:color w:val="FF0000"/>
                <w:szCs w:val="21"/>
              </w:rPr>
              <w:t>1</w:t>
            </w:r>
            <w:r>
              <w:rPr>
                <w:rFonts w:ascii="宋体" w:hAnsi="宋体" w:cs="宋体" w:hint="eastAsia"/>
                <w:b/>
                <w:color w:val="FF0000"/>
                <w:szCs w:val="21"/>
              </w:rPr>
              <w:t>▲按</w:t>
            </w:r>
            <w:bookmarkStart w:id="57" w:name="OLE_LINK16"/>
            <w:r>
              <w:rPr>
                <w:rFonts w:ascii="宋体" w:hAnsi="宋体" w:cs="宋体" w:hint="eastAsia"/>
                <w:b/>
                <w:color w:val="FF0000"/>
                <w:szCs w:val="21"/>
              </w:rPr>
              <w:t>SJ/T10694-2006</w:t>
            </w:r>
            <w:bookmarkEnd w:id="57"/>
            <w:r>
              <w:rPr>
                <w:rFonts w:ascii="宋体" w:hAnsi="宋体" w:cs="宋体" w:hint="eastAsia"/>
                <w:b/>
                <w:color w:val="FF0000"/>
                <w:szCs w:val="21"/>
              </w:rPr>
              <w:t>标准检测，测试项目包括点对点检测和系统电阻均为合格。其中点对点电阻检测结果平均值应≤4.9*</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，系统电阻测试平均值≤5.3*</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。提供20</w:t>
            </w:r>
            <w:r>
              <w:rPr>
                <w:rFonts w:ascii="宋体" w:hAnsi="宋体" w:cs="宋体"/>
                <w:b/>
                <w:color w:val="FF0000"/>
                <w:szCs w:val="21"/>
              </w:rPr>
              <w:t>17</w:t>
            </w:r>
            <w:r>
              <w:rPr>
                <w:rFonts w:ascii="宋体" w:hAnsi="宋体" w:cs="宋体" w:hint="eastAsia"/>
                <w:b/>
                <w:color w:val="FF0000"/>
                <w:szCs w:val="21"/>
              </w:rPr>
              <w:t>年1月1日至本项目投标截止日第三方检验检测机构出具的具有CMA标识的检验（检测）报告扫描件</w:t>
            </w:r>
            <w:r>
              <w:rPr>
                <w:rFonts w:ascii="宋体" w:hAnsi="宋体" w:cs="宋体" w:hint="eastAsia"/>
                <w:b/>
                <w:bCs/>
                <w:color w:val="FF0000"/>
                <w:szCs w:val="21"/>
              </w:rPr>
              <w:t xml:space="preserve">。为保证检测报告真实性，扫描件加盖制造商公章，原件备查。 </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 w:val="0"/>
                <w:color w:val="auto"/>
                <w:szCs w:val="21"/>
              </w:rPr>
            </w:pPr>
            <w:r>
              <w:rPr>
                <w:rFonts w:ascii="宋体" w:hAnsi="宋体" w:hint="eastAsia"/>
                <w:b w:val="0"/>
                <w:bCs/>
                <w:color w:val="auto"/>
                <w:szCs w:val="21"/>
              </w:rPr>
              <w:t>1</w:t>
            </w:r>
            <w:r>
              <w:rPr>
                <w:rFonts w:ascii="宋体" w:hAnsi="宋体" w:cs="宋体" w:hint="eastAsia"/>
                <w:b w:val="0"/>
                <w:color w:val="auto"/>
                <w:szCs w:val="21"/>
              </w:rPr>
              <w:t>.2.</w:t>
            </w:r>
            <w:r>
              <w:rPr>
                <w:rFonts w:ascii="宋体" w:hAnsi="宋体" w:cs="宋体"/>
                <w:b w:val="0"/>
                <w:color w:val="auto"/>
                <w:szCs w:val="21"/>
              </w:rPr>
              <w:t>3</w:t>
            </w:r>
            <w:r>
              <w:rPr>
                <w:rFonts w:ascii="宋体" w:hAnsi="宋体" w:cs="宋体" w:hint="eastAsia"/>
                <w:b w:val="0"/>
                <w:color w:val="auto"/>
                <w:szCs w:val="21"/>
              </w:rPr>
              <w:t>.</w:t>
            </w:r>
            <w:r>
              <w:rPr>
                <w:rFonts w:ascii="宋体" w:hAnsi="宋体" w:cs="宋体"/>
                <w:b w:val="0"/>
                <w:color w:val="auto"/>
                <w:szCs w:val="21"/>
              </w:rPr>
              <w:t>2</w:t>
            </w:r>
            <w:r>
              <w:rPr>
                <w:rFonts w:ascii="宋体" w:hAnsi="宋体" w:cs="宋体" w:hint="eastAsia"/>
                <w:b w:val="0"/>
                <w:color w:val="auto"/>
                <w:szCs w:val="21"/>
              </w:rPr>
              <w:t>▲按</w:t>
            </w:r>
            <w:bookmarkStart w:id="58" w:name="OLE_LINK17"/>
            <w:r>
              <w:rPr>
                <w:rFonts w:ascii="宋体" w:hAnsi="宋体" w:cs="宋体" w:hint="eastAsia"/>
                <w:b w:val="0"/>
                <w:color w:val="auto"/>
                <w:szCs w:val="21"/>
              </w:rPr>
              <w:t>ASTM</w:t>
            </w:r>
            <w:bookmarkEnd w:id="58"/>
            <w:r>
              <w:rPr>
                <w:rFonts w:ascii="宋体" w:hAnsi="宋体" w:cs="宋体" w:hint="eastAsia"/>
                <w:b w:val="0"/>
                <w:color w:val="auto"/>
                <w:szCs w:val="21"/>
              </w:rPr>
              <w:t>检测方法或NEMA检测方法，检测结果达到或优于以下结果：拉伸断裂强度横向89.3Mpa；断裂伸长率横向1%；弯曲强度横向142Mpa；压缩强度259Mpa；吸水率（23°c，24h）0.513%；弯曲弹性模量横向 14.2Gpa；线膨胀系数横向 1.2×10</w:t>
            </w:r>
            <w:r>
              <w:rPr>
                <w:rFonts w:ascii="宋体" w:hAnsi="宋体" w:cs="宋体" w:hint="eastAsia"/>
                <w:b w:val="0"/>
                <w:color w:val="auto"/>
                <w:szCs w:val="21"/>
                <w:vertAlign w:val="superscript"/>
              </w:rPr>
              <w:t>-5</w:t>
            </w:r>
            <w:r>
              <w:rPr>
                <w:rFonts w:ascii="宋体" w:hAnsi="宋体" w:cs="宋体" w:hint="eastAsia"/>
                <w:b w:val="0"/>
                <w:color w:val="auto"/>
                <w:szCs w:val="21"/>
              </w:rPr>
              <w:t>；悬臂梁无口冲击强度横向224J/m；洛氏硬度（M）107；耐高温性能表面状况无变化；耐沸水性表面无影响；表面耐磨性（500g）达到2475转；抗落球冲击性（224g）2.50m无破坏。</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bCs/>
                <w:szCs w:val="21"/>
              </w:rPr>
            </w:pPr>
            <w:r>
              <w:rPr>
                <w:rFonts w:ascii="宋体" w:hAnsi="宋体" w:cs="宋体" w:hint="eastAsia"/>
                <w:bCs/>
                <w:szCs w:val="21"/>
              </w:rPr>
              <w:t>1.2.</w:t>
            </w:r>
            <w:r>
              <w:rPr>
                <w:rFonts w:ascii="宋体" w:hAnsi="宋体" w:cs="宋体"/>
                <w:bCs/>
                <w:szCs w:val="21"/>
              </w:rPr>
              <w:t>4</w:t>
            </w:r>
            <w:r>
              <w:rPr>
                <w:rFonts w:ascii="宋体" w:hAnsi="宋体" w:cs="宋体" w:hint="eastAsia"/>
                <w:bCs/>
                <w:szCs w:val="21"/>
              </w:rPr>
              <w:t>中央台、仪器台、边台、和水槽边台中的水槽需包含水槽台台面，需采用25mm厚一体实芯烧制实验室专用碟型陶瓷台面。见截面采用同色低温上釉，平板台面为釉料与胚体经高温一体烧结而成，表面釉面颜色和胚体颜色一致的实验室专用同色透芯陶瓷台面，台面表面耐高温、耐腐蚀、耐磨、不脱色、不变色。台面材料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1</w:t>
            </w:r>
            <w:r>
              <w:rPr>
                <w:rFonts w:hAnsi="宋体" w:hint="eastAsia"/>
                <w:kern w:val="0"/>
                <w:szCs w:val="21"/>
              </w:rPr>
              <w:t>★</w:t>
            </w:r>
            <w:r>
              <w:rPr>
                <w:rFonts w:hAnsi="宋体" w:hint="eastAsia"/>
                <w:b/>
                <w:color w:val="FF0000"/>
                <w:kern w:val="0"/>
                <w:szCs w:val="21"/>
              </w:rPr>
              <w:t>要求</w:t>
            </w:r>
            <w:r>
              <w:rPr>
                <w:rFonts w:hAnsi="宋体" w:hint="eastAsia"/>
                <w:b/>
                <w:color w:val="FF0000"/>
                <w:kern w:val="0"/>
                <w:szCs w:val="21"/>
              </w:rPr>
              <w:t>陶瓷</w:t>
            </w:r>
            <w:r>
              <w:rPr>
                <w:rFonts w:hAnsi="宋体" w:hint="eastAsia"/>
                <w:b/>
                <w:color w:val="FF0000"/>
                <w:kern w:val="0"/>
                <w:szCs w:val="21"/>
              </w:rPr>
              <w:t>台面</w:t>
            </w:r>
            <w:r>
              <w:rPr>
                <w:rFonts w:ascii="宋体" w:hAnsi="宋体" w:cs="宋体" w:hint="eastAsia"/>
                <w:b/>
                <w:bCs/>
                <w:color w:val="FF0000"/>
                <w:szCs w:val="21"/>
              </w:rPr>
              <w:t>巴克尔硬度检测结果不低于90HBa，并提供2</w:t>
            </w:r>
            <w:r>
              <w:rPr>
                <w:rFonts w:ascii="宋体" w:hAnsi="宋体" w:cs="宋体"/>
                <w:b/>
                <w:bCs/>
                <w:color w:val="FF0000"/>
                <w:szCs w:val="21"/>
              </w:rPr>
              <w:t>017</w:t>
            </w:r>
            <w:r>
              <w:rPr>
                <w:rFonts w:ascii="宋体" w:hAnsi="宋体" w:cs="宋体" w:hint="eastAsia"/>
                <w:b/>
                <w:bCs/>
                <w:color w:val="FF0000"/>
                <w:szCs w:val="21"/>
              </w:rPr>
              <w:t>年1月1日至本项目投标截止日第三方</w:t>
            </w:r>
            <w:r>
              <w:rPr>
                <w:rFonts w:ascii="宋体" w:hAnsi="宋体" w:cs="宋体" w:hint="eastAsia"/>
                <w:b/>
                <w:color w:val="FF0000"/>
                <w:szCs w:val="21"/>
              </w:rPr>
              <w:t>检验检测机构出具的</w:t>
            </w:r>
            <w:r>
              <w:rPr>
                <w:rFonts w:ascii="宋体" w:hAnsi="宋体" w:cs="宋体" w:hint="eastAsia"/>
                <w:b/>
                <w:bCs/>
                <w:color w:val="FF0000"/>
                <w:szCs w:val="21"/>
              </w:rPr>
              <w:t>符合上述要求的检测报告，原件备查。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2</w:t>
            </w:r>
            <w:r>
              <w:rPr>
                <w:rFonts w:ascii="宋体" w:hAnsi="宋体" w:cs="宋体" w:hint="eastAsia"/>
                <w:b/>
                <w:color w:val="FF0000"/>
                <w:szCs w:val="21"/>
              </w:rPr>
              <w:t>▲</w:t>
            </w:r>
            <w:r>
              <w:rPr>
                <w:rFonts w:ascii="宋体" w:hAnsi="宋体" w:cs="宋体" w:hint="eastAsia"/>
                <w:b/>
                <w:bCs/>
                <w:color w:val="FF0000"/>
                <w:szCs w:val="21"/>
              </w:rPr>
              <w:t>线性热膨胀系数：参照GB/T3810.8-2016，线性热膨胀系数≤4.7×10-6/℃-1。提供20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年1月1日至本项目投标截止日第三方检验检测机构出具的具有CMA标识的检验（检测）报告扫描件，扫描件加盖制造商公章，原件备查。 </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 xml:space="preserve">3 </w:t>
            </w:r>
            <w:r>
              <w:rPr>
                <w:rFonts w:ascii="宋体" w:hAnsi="宋体" w:cs="宋体" w:hint="eastAsia"/>
                <w:b/>
                <w:color w:val="FF0000"/>
                <w:szCs w:val="21"/>
              </w:rPr>
              <w:t>▲</w:t>
            </w:r>
            <w:r>
              <w:rPr>
                <w:rFonts w:ascii="宋体" w:hAnsi="宋体" w:cs="宋体" w:hint="eastAsia"/>
                <w:b/>
                <w:bCs/>
                <w:color w:val="FF0000"/>
                <w:szCs w:val="21"/>
              </w:rPr>
              <w:t>SVHC高度关注物质：参照ECHA公布的</w:t>
            </w:r>
            <w:bookmarkStart w:id="59" w:name="OLE_LINK18"/>
            <w:r>
              <w:rPr>
                <w:rFonts w:ascii="宋体" w:hAnsi="宋体" w:cs="宋体" w:hint="eastAsia"/>
                <w:b/>
                <w:bCs/>
                <w:color w:val="FF0000"/>
                <w:szCs w:val="21"/>
              </w:rPr>
              <w:t>SVHC清单</w:t>
            </w:r>
            <w:bookmarkEnd w:id="59"/>
            <w:r>
              <w:rPr>
                <w:rFonts w:ascii="宋体" w:hAnsi="宋体" w:cs="宋体" w:hint="eastAsia"/>
                <w:b/>
                <w:bCs/>
                <w:color w:val="FF0000"/>
                <w:szCs w:val="21"/>
              </w:rPr>
              <w:t>或国内同类清单，对不少于200种高度关注物质（SVHC ）进行评估测试，检测结果为符合，并提供20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年1月1日至本项目投标截止日第三方检验检测机构出具的检验（检测）报告扫描件，扫描件加盖制造商公章，原件备查。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4</w:t>
            </w:r>
            <w:r>
              <w:rPr>
                <w:rFonts w:ascii="宋体" w:hAnsi="宋体" w:cs="宋体" w:hint="eastAsia"/>
                <w:szCs w:val="21"/>
              </w:rPr>
              <w:t>耐人工气候老化：按照GB/T</w:t>
            </w:r>
            <w:r>
              <w:rPr>
                <w:rFonts w:ascii="宋体" w:hAnsi="宋体" w:cs="宋体"/>
                <w:szCs w:val="21"/>
              </w:rPr>
              <w:t>16422.2-2014</w:t>
            </w:r>
            <w:r>
              <w:rPr>
                <w:rFonts w:ascii="宋体" w:hAnsi="宋体" w:cs="宋体" w:hint="eastAsia"/>
                <w:szCs w:val="21"/>
              </w:rPr>
              <w:t>要求，耐人工气候老化检测结果为表面外观无明显可视变化。</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▲承重安全性能：按照</w:t>
            </w:r>
            <w:r>
              <w:rPr>
                <w:rFonts w:ascii="宋体" w:hAnsi="宋体" w:cs="宋体"/>
                <w:szCs w:val="21"/>
              </w:rPr>
              <w:t>T/CIQA 10-2020</w:t>
            </w:r>
            <w:r>
              <w:rPr>
                <w:rFonts w:ascii="宋体" w:hAnsi="宋体" w:cs="宋体" w:hint="eastAsia"/>
                <w:szCs w:val="21"/>
              </w:rPr>
              <w:t>要求，产品表面加载≥780kg,样品无损坏。</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.2.4.6</w:t>
            </w:r>
            <w:r>
              <w:rPr>
                <w:rFonts w:ascii="宋体" w:hAnsi="宋体" w:cs="宋体" w:hint="eastAsia"/>
                <w:b w:val="0"/>
                <w:color w:val="auto"/>
                <w:szCs w:val="21"/>
              </w:rPr>
              <w:t>▲</w:t>
            </w:r>
            <w:r>
              <w:rPr>
                <w:rFonts w:ascii="宋体" w:hAnsi="宋体" w:cs="宋体" w:hint="eastAsia"/>
                <w:szCs w:val="21"/>
              </w:rPr>
              <w:t>台面检测标准，台面至少抗“47”种以上化学品且检测结果为 0 级（无可见变化） 的检测，需满足 SEFA3-2010 或T/CIQA</w:t>
            </w:r>
            <w:r>
              <w:rPr>
                <w:rFonts w:ascii="宋体" w:hAnsi="宋体" w:cs="宋体"/>
                <w:szCs w:val="21"/>
              </w:rPr>
              <w:t>10-2020</w:t>
            </w:r>
            <w:r>
              <w:rPr>
                <w:rFonts w:ascii="宋体" w:hAnsi="宋体" w:cs="宋体" w:hint="eastAsia"/>
                <w:szCs w:val="21"/>
              </w:rPr>
              <w:t>要求</w:t>
            </w:r>
            <w:r>
              <w:rPr>
                <w:rFonts w:ascii="宋体" w:hAnsi="宋体" w:cs="宋体" w:hint="eastAsia"/>
                <w:b w:val="0"/>
                <w:color w:val="auto"/>
                <w:szCs w:val="21"/>
              </w:rPr>
              <w:t>。</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color w:val="000000"/>
                <w:szCs w:val="21"/>
              </w:rPr>
            </w:pPr>
            <w:r>
              <w:rPr>
                <w:rFonts w:ascii="宋体" w:hAnsi="宋体" w:cs="宋体" w:hint="eastAsia"/>
                <w:szCs w:val="21"/>
              </w:rPr>
              <w:t>1.2.</w:t>
            </w:r>
            <w:r>
              <w:rPr>
                <w:rFonts w:ascii="宋体" w:hAnsi="宋体" w:cs="宋体"/>
                <w:szCs w:val="21"/>
              </w:rPr>
              <w:t>5</w:t>
            </w:r>
            <w:r>
              <w:rPr>
                <w:rFonts w:ascii="宋体" w:hAnsi="宋体" w:cs="宋体" w:hint="eastAsia"/>
                <w:szCs w:val="21"/>
              </w:rPr>
              <w:t>▲抗酸碱性能：陶瓷台面可抵御（除氢氟酸等同类型化学试剂）强酸强碱及有机溶剂腐蚀。至少对含有98%硫酸、65%硝酸、二氧乙酸、正丁醇、三氯甲烷、四氢呋喃等在内的多种化学试剂的测试表面无明显变化。</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szCs w:val="21"/>
              </w:rPr>
              <w:t>1.2.</w:t>
            </w:r>
            <w:r>
              <w:rPr>
                <w:rFonts w:ascii="宋体" w:hAnsi="宋体" w:cs="宋体"/>
                <w:szCs w:val="21"/>
              </w:rPr>
              <w:t>6</w:t>
            </w:r>
            <w:r>
              <w:rPr>
                <w:rFonts w:ascii="宋体" w:hAnsi="宋体" w:cs="宋体" w:hint="eastAsia"/>
                <w:szCs w:val="21"/>
              </w:rPr>
              <w:t>▲物理性能：面抗冲击性能良好，钢球在≥750mm的高度进行冲击后，板面无破损，且压痕直径不大于10mm；陶瓷台面的弯曲弹性模量值≥57000MPa；陶瓷台面的破坏强度≥13900N。</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szCs w:val="21"/>
              </w:rPr>
              <w:t>1.2.</w:t>
            </w:r>
            <w:r>
              <w:rPr>
                <w:rFonts w:ascii="宋体" w:hAnsi="宋体" w:cs="宋体"/>
                <w:szCs w:val="21"/>
              </w:rPr>
              <w:t>7</w:t>
            </w:r>
            <w:r>
              <w:rPr>
                <w:rFonts w:ascii="宋体" w:hAnsi="宋体" w:cs="宋体" w:hint="eastAsia"/>
                <w:szCs w:val="21"/>
              </w:rPr>
              <w:t>陶瓷台面表面加载不小于500kg重量, 高于80小时，检测结果表面无破损变形。</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szCs w:val="21"/>
              </w:rPr>
            </w:pPr>
            <w:r>
              <w:rPr>
                <w:rFonts w:ascii="宋体" w:hAnsi="宋体" w:cs="宋体" w:hint="eastAsia"/>
                <w:szCs w:val="21"/>
              </w:rPr>
              <w:t>1.2.</w:t>
            </w:r>
            <w:r>
              <w:rPr>
                <w:rFonts w:ascii="宋体" w:hAnsi="宋体" w:cs="宋体"/>
                <w:szCs w:val="21"/>
              </w:rPr>
              <w:t>8</w:t>
            </w:r>
            <w:r>
              <w:rPr>
                <w:rFonts w:ascii="宋体" w:hAnsi="宋体" w:cs="宋体" w:hint="eastAsia"/>
                <w:szCs w:val="21"/>
              </w:rPr>
              <w:t>光泽度：按照GB/T9754-2007标准,光泽度≤21；</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 xml:space="preserve">9 </w:t>
            </w:r>
            <w:r>
              <w:rPr>
                <w:rFonts w:ascii="宋体" w:hAnsi="宋体" w:cs="宋体" w:hint="eastAsia"/>
                <w:szCs w:val="21"/>
              </w:rPr>
              <w:t>实验台柜五金配件铰链：采用可开关角度135度，带液压缓冲铰链，非焊接方式将铰链和柜体及柜门固定，开合时须无噪音；</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10</w:t>
            </w:r>
            <w:r>
              <w:rPr>
                <w:rFonts w:ascii="宋体" w:hAnsi="宋体" w:cs="宋体" w:hint="eastAsia"/>
                <w:szCs w:val="21"/>
              </w:rPr>
              <w:t>实验台柜五金配件滑轨：采用三节式钢制滑轨，表面经烤漆处理，为双片组合式并有止滑装置，运动负重：≥25kg（≥100000次）；</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11</w:t>
            </w:r>
            <w:r>
              <w:rPr>
                <w:rFonts w:ascii="宋体" w:hAnsi="宋体" w:cs="宋体" w:hint="eastAsia"/>
                <w:szCs w:val="21"/>
              </w:rPr>
              <w:t>实验台柜五金配件拉手：采用304#160不锈钢C型拉手或一字型隐藏拉手；</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12</w:t>
            </w:r>
            <w:r>
              <w:rPr>
                <w:rFonts w:ascii="宋体" w:hAnsi="宋体" w:cs="宋体" w:hint="eastAsia"/>
                <w:szCs w:val="21"/>
              </w:rPr>
              <w:t>实验台柜五金配件地脚：采用抗氧化橡胶地脚，具有防水及调节水平的功能，可调节高度30-50mm；</w:t>
            </w:r>
          </w:p>
        </w:tc>
      </w:tr>
      <w:tr>
        <w:tblPrEx>
          <w:tblW w:w="5000" w:type="pct"/>
          <w:tblCellMar>
            <w:top w:w="0" w:type="dxa"/>
            <w:left w:w="108" w:type="dxa"/>
            <w:bottom w:w="0" w:type="dxa"/>
            <w:right w:w="108" w:type="dxa"/>
          </w:tblCellMar>
          <w:tblLook w:val="0000"/>
        </w:tblPrEx>
        <w:trPr>
          <w:trHeight w:val="170"/>
        </w:trPr>
        <w:tc>
          <w:tcPr>
            <w:tcW w:w="249" w:type="pct"/>
            <w:vMerge/>
            <w:vAlign w:val="center"/>
          </w:tcPr>
          <w:p>
            <w:pPr>
              <w:jc w:val="center"/>
              <w:rPr>
                <w:color w:val="000000"/>
                <w:szCs w:val="21"/>
              </w:rPr>
            </w:pPr>
          </w:p>
        </w:tc>
        <w:tc>
          <w:tcPr>
            <w:tcW w:w="1031" w:type="pct"/>
            <w:vMerge/>
            <w:vAlign w:val="center"/>
          </w:tcPr>
          <w:p>
            <w:pPr>
              <w:jc w:val="center"/>
              <w:rPr>
                <w:color w:val="000000"/>
                <w:szCs w:val="21"/>
              </w:rPr>
            </w:pPr>
          </w:p>
        </w:tc>
        <w:tc>
          <w:tcPr>
            <w:tcW w:w="3718" w:type="pct"/>
          </w:tcPr>
          <w:p>
            <w:pPr>
              <w:rPr>
                <w:rFonts w:ascii="宋体" w:hAnsi="宋体" w:cs="宋体" w:hint="eastAsia"/>
                <w:szCs w:val="21"/>
              </w:rPr>
            </w:pPr>
            <w:r>
              <w:rPr>
                <w:rFonts w:ascii="宋体" w:hAnsi="宋体" w:cs="宋体"/>
                <w:szCs w:val="21"/>
              </w:rPr>
              <w:t>1.2.13</w:t>
            </w:r>
            <w:r>
              <w:rPr>
                <w:rFonts w:ascii="宋体" w:hAnsi="宋体" w:cs="宋体" w:hint="eastAsia"/>
                <w:szCs w:val="21"/>
              </w:rPr>
              <w:t>实验台柜五金配件线槽：钢制材质、外形剖面为梯形。</w:t>
            </w:r>
          </w:p>
        </w:tc>
      </w:tr>
      <w:tr>
        <w:tblPrEx>
          <w:tblW w:w="5000" w:type="pct"/>
          <w:tblCellMar>
            <w:top w:w="0" w:type="dxa"/>
            <w:left w:w="108" w:type="dxa"/>
            <w:bottom w:w="0" w:type="dxa"/>
            <w:right w:w="108" w:type="dxa"/>
          </w:tblCellMar>
          <w:tblLook w:val="0000"/>
        </w:tblPrEx>
        <w:trPr>
          <w:trHeight w:val="170"/>
        </w:trPr>
        <w:tc>
          <w:tcPr>
            <w:tcW w:w="249" w:type="pct"/>
            <w:vMerge w:val="restart"/>
            <w:vAlign w:val="center"/>
          </w:tcPr>
          <w:p>
            <w:pPr>
              <w:jc w:val="center"/>
              <w:rPr>
                <w:color w:val="000000"/>
                <w:szCs w:val="21"/>
              </w:rPr>
            </w:pPr>
            <w:r>
              <w:rPr>
                <w:rFonts w:hint="eastAsia"/>
                <w:color w:val="000000"/>
                <w:szCs w:val="21"/>
              </w:rPr>
              <w:t>2</w:t>
            </w:r>
          </w:p>
        </w:tc>
        <w:tc>
          <w:tcPr>
            <w:tcW w:w="1031" w:type="pct"/>
            <w:vMerge w:val="restart"/>
            <w:vAlign w:val="center"/>
          </w:tcPr>
          <w:p>
            <w:pPr>
              <w:jc w:val="center"/>
              <w:rPr>
                <w:color w:val="000000"/>
                <w:szCs w:val="21"/>
              </w:rPr>
            </w:pPr>
            <w:r>
              <w:rPr>
                <w:rFonts w:hint="eastAsia"/>
                <w:color w:val="000000"/>
                <w:szCs w:val="21"/>
              </w:rPr>
              <w:t>高温台</w:t>
            </w:r>
          </w:p>
        </w:tc>
        <w:tc>
          <w:tcPr>
            <w:tcW w:w="3718" w:type="pct"/>
          </w:tcPr>
          <w:p>
            <w:pPr>
              <w:rPr>
                <w:color w:val="000000"/>
                <w:szCs w:val="21"/>
              </w:rPr>
            </w:pPr>
            <w:r>
              <w:rPr>
                <w:rFonts w:ascii="宋体" w:hAnsi="宋体" w:cs="宋体" w:hint="eastAsia"/>
                <w:szCs w:val="21"/>
              </w:rPr>
              <w:t>2.1全钢落地结构，30mm厚大理石台面，不带柜体，</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color w:val="000000"/>
                <w:szCs w:val="21"/>
              </w:rPr>
            </w:pPr>
            <w:r>
              <w:rPr>
                <w:rFonts w:ascii="宋体" w:hAnsi="宋体" w:cs="宋体" w:hint="eastAsia"/>
                <w:szCs w:val="21"/>
              </w:rPr>
              <w:t>2.2配实验室专用插座盒，每1.5米配置3个16A插座</w:t>
            </w:r>
          </w:p>
        </w:tc>
      </w:tr>
      <w:tr>
        <w:tblPrEx>
          <w:tblW w:w="5000" w:type="pct"/>
          <w:tblCellMar>
            <w:top w:w="0" w:type="dxa"/>
            <w:left w:w="108" w:type="dxa"/>
            <w:bottom w:w="0" w:type="dxa"/>
            <w:right w:w="108" w:type="dxa"/>
          </w:tblCellMar>
          <w:tblLook w:val="0000"/>
        </w:tblPrEx>
        <w:trPr>
          <w:trHeight w:val="222"/>
        </w:trPr>
        <w:tc>
          <w:tcPr>
            <w:tcW w:w="249" w:type="pct"/>
            <w:vMerge w:val="restart"/>
          </w:tcPr>
          <w:p>
            <w:pPr>
              <w:jc w:val="center"/>
              <w:rPr>
                <w:color w:val="000000"/>
                <w:szCs w:val="21"/>
              </w:rPr>
            </w:pPr>
            <w:r>
              <w:rPr>
                <w:rFonts w:hint="eastAsia"/>
                <w:color w:val="000000"/>
                <w:szCs w:val="21"/>
              </w:rPr>
              <w:t>3</w:t>
            </w:r>
          </w:p>
        </w:tc>
        <w:tc>
          <w:tcPr>
            <w:tcW w:w="1031" w:type="pct"/>
            <w:vMerge w:val="restart"/>
          </w:tcPr>
          <w:p>
            <w:pPr>
              <w:jc w:val="center"/>
              <w:rPr>
                <w:color w:val="000000"/>
                <w:szCs w:val="21"/>
              </w:rPr>
            </w:pPr>
            <w:r>
              <w:rPr>
                <w:rFonts w:hint="eastAsia"/>
                <w:color w:val="000000"/>
                <w:szCs w:val="21"/>
              </w:rPr>
              <w:t>不锈钢操作台</w:t>
            </w:r>
          </w:p>
        </w:tc>
        <w:tc>
          <w:tcPr>
            <w:tcW w:w="3718" w:type="pct"/>
          </w:tcPr>
          <w:p>
            <w:pPr>
              <w:rPr>
                <w:color w:val="000000"/>
                <w:szCs w:val="21"/>
              </w:rPr>
            </w:pPr>
            <w:r>
              <w:rPr>
                <w:rFonts w:ascii="宋体" w:hAnsi="宋体" w:cs="宋体" w:hint="eastAsia"/>
                <w:szCs w:val="21"/>
              </w:rPr>
              <w:t>3.1不锈钢工作台采用不锈钢材质，具有耐腐蚀，防酸，防碱，防尘，可以防止细菌滋生等性能。</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3.2▲ 台面：采用≥1.5mm厚的316不锈钢经剪切、冲压、折弯、焊接、装配而成。表面拉丝处理。</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3.3▲ 框架：40*60采用≥1.5mm厚的优质316不锈钢经剪切、冲压、折弯、焊接、装配而成。表面拉丝处理。耐酸、碱、防潮、防锈，承重性能好，使用寿命长，美观大方；</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3.4▲ 梁：40*60*1.5mm采用≥1.5mm厚的优质316不锈钢经剪切、冲压、折弯、焊接、装配而成。表面拉丝处理。耐酸碱腐蚀、防潮、防锈，承重性能好，使用寿命长。</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3.5台脚要求：为316#不锈钢管并带可调脚，承载性好，牢固边角打磨光滑无毛刺。</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4</w:t>
            </w:r>
          </w:p>
        </w:tc>
        <w:tc>
          <w:tcPr>
            <w:tcW w:w="1031" w:type="pct"/>
            <w:vMerge w:val="restart"/>
          </w:tcPr>
          <w:p>
            <w:pPr>
              <w:jc w:val="center"/>
              <w:rPr>
                <w:color w:val="000000"/>
                <w:szCs w:val="21"/>
              </w:rPr>
            </w:pPr>
            <w:r>
              <w:rPr>
                <w:rFonts w:hint="eastAsia"/>
                <w:color w:val="000000"/>
                <w:szCs w:val="21"/>
              </w:rPr>
              <w:t>全钢试剂架</w:t>
            </w:r>
          </w:p>
        </w:tc>
        <w:tc>
          <w:tcPr>
            <w:tcW w:w="3718" w:type="pct"/>
          </w:tcPr>
          <w:p>
            <w:pPr>
              <w:rPr>
                <w:rFonts w:ascii="宋体" w:hAnsi="宋体" w:cs="宋体"/>
                <w:szCs w:val="21"/>
              </w:rPr>
            </w:pPr>
            <w:r>
              <w:rPr>
                <w:rFonts w:ascii="宋体" w:hAnsi="宋体" w:cs="宋体" w:hint="eastAsia"/>
                <w:szCs w:val="21"/>
              </w:rPr>
              <w:t>4.1主体：主立柱采用≥1.0mm钢板经数控加工，焊接、酸洗磷化处理后喷涂环氧树脂粉末高温烘烤固化，表面需附着力高、硬度耐腐蚀性极强。</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4.2试剂架立柱之间间隔1.1米，插座安装在立柱上。</w:t>
            </w:r>
          </w:p>
        </w:tc>
      </w:tr>
      <w:tr>
        <w:tblPrEx>
          <w:tblW w:w="5000" w:type="pct"/>
          <w:tblCellMar>
            <w:top w:w="0" w:type="dxa"/>
            <w:left w:w="108" w:type="dxa"/>
            <w:bottom w:w="0" w:type="dxa"/>
            <w:right w:w="108" w:type="dxa"/>
          </w:tblCellMar>
          <w:tblLook w:val="0000"/>
        </w:tblPrEx>
        <w:trPr>
          <w:trHeight w:val="222"/>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4.3挂件托板：采用≥1.5mm冷轧钢板经剪裁、定位打孔折弯后成型，酸洗磷化处理后喷涂环氧树脂粉末高温烘烤固化。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4.4层板：层板采用≥1.0mm厚钢质层板。层高可以任意自由调节。层数3层（具体按照实际要求配置）。</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4.5防落架：采用≥1.0mm优质铝合金椭圆型材，经酸洗磷化处理后喷涂环氧树脂粉末高温烘烤固化而成，形成通体防落架，有效防止试剂跌落，保护实验室工作人员人身安全。</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5</w:t>
            </w:r>
          </w:p>
        </w:tc>
        <w:tc>
          <w:tcPr>
            <w:tcW w:w="1031" w:type="pct"/>
            <w:vMerge w:val="restart"/>
          </w:tcPr>
          <w:p>
            <w:pPr>
              <w:jc w:val="center"/>
              <w:rPr>
                <w:color w:val="000000"/>
                <w:szCs w:val="21"/>
              </w:rPr>
            </w:pPr>
            <w:r>
              <w:rPr>
                <w:rFonts w:hint="eastAsia"/>
                <w:color w:val="000000"/>
                <w:szCs w:val="21"/>
              </w:rPr>
              <w:t>功能柱</w:t>
            </w:r>
          </w:p>
        </w:tc>
        <w:tc>
          <w:tcPr>
            <w:tcW w:w="3718" w:type="pct"/>
          </w:tcPr>
          <w:p>
            <w:pPr>
              <w:rPr>
                <w:rFonts w:ascii="宋体" w:hAnsi="宋体" w:cs="宋体"/>
                <w:szCs w:val="21"/>
              </w:rPr>
            </w:pPr>
            <w:r>
              <w:rPr>
                <w:rFonts w:ascii="宋体" w:hAnsi="宋体" w:cs="宋体" w:hint="eastAsia"/>
                <w:szCs w:val="21"/>
              </w:rPr>
              <w:t>5.1材料规格要求：采用厚≥1.0mm轧钢板，经过磷化处理，再经乳白色EPOXY涂层厚度为90微米，最后经高温烘烤制作而成；</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5.2立柱上的面板为分段式活动面板，为后面安装水、电、气等管路提供方便；</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5.3▲按使用要求：功能柱上方需要根据实际需求配置安装电箱，部分功能柱根据实际需求可调整规格尺寸；</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5.4▲按使用要求：台柜等家具所需水、电按照现场预留需接通至台柜，安装到位。</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6</w:t>
            </w:r>
          </w:p>
        </w:tc>
        <w:tc>
          <w:tcPr>
            <w:tcW w:w="1031" w:type="pct"/>
            <w:vMerge w:val="restart"/>
          </w:tcPr>
          <w:p>
            <w:pPr>
              <w:jc w:val="center"/>
              <w:rPr>
                <w:color w:val="000000"/>
                <w:szCs w:val="21"/>
              </w:rPr>
            </w:pPr>
            <w:r>
              <w:rPr>
                <w:rFonts w:hint="eastAsia"/>
                <w:color w:val="000000"/>
                <w:szCs w:val="21"/>
              </w:rPr>
              <w:t>桌上型洗眼器</w:t>
            </w:r>
          </w:p>
        </w:tc>
        <w:tc>
          <w:tcPr>
            <w:tcW w:w="3718" w:type="pct"/>
          </w:tcPr>
          <w:p>
            <w:pPr>
              <w:rPr>
                <w:rFonts w:ascii="宋体" w:hAnsi="宋体" w:cs="宋体"/>
                <w:szCs w:val="21"/>
              </w:rPr>
            </w:pPr>
            <w:r>
              <w:rPr>
                <w:rFonts w:ascii="宋体" w:hAnsi="宋体" w:cs="宋体" w:hint="eastAsia"/>
                <w:szCs w:val="21"/>
              </w:rPr>
              <w:t>6.1主体材质：加厚铜质，耐腐蚀；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6.2喷头：内置不锈钢过滤网，可过滤水中杂质；采用高效雾状扩散式出水设计，防止冲伤眼睛；</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6.3防尘盖：配置于出水口，PP材质，使用时能自动被水冲开；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6.4供水软管：不锈钢波纹管，长度≥1500mm；</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6.5最大工作压力： 6 BAR；</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6.6流速：单口≥ 6L /分钟； 双口≥10L/分钟；</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color w:val="auto"/>
                <w:szCs w:val="21"/>
              </w:rPr>
            </w:pPr>
            <w:r>
              <w:rPr>
                <w:rFonts w:ascii="宋体" w:hAnsi="宋体" w:cs="宋体" w:hint="eastAsia"/>
                <w:b w:val="0"/>
                <w:color w:val="auto"/>
                <w:szCs w:val="21"/>
              </w:rPr>
              <w:t>6.7▲洗眼器一般要求(密封、尺寸、流量)符合GB/T 38144.1- 2019标准的要求。</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7</w:t>
            </w:r>
          </w:p>
        </w:tc>
        <w:tc>
          <w:tcPr>
            <w:tcW w:w="1031" w:type="pct"/>
            <w:vMerge w:val="restart"/>
          </w:tcPr>
          <w:p>
            <w:pPr>
              <w:jc w:val="center"/>
              <w:rPr>
                <w:color w:val="000000"/>
                <w:szCs w:val="21"/>
              </w:rPr>
            </w:pPr>
            <w:r>
              <w:rPr>
                <w:rFonts w:hint="eastAsia"/>
                <w:color w:val="000000"/>
                <w:szCs w:val="21"/>
              </w:rPr>
              <w:t>水龙头</w:t>
            </w:r>
          </w:p>
        </w:tc>
        <w:tc>
          <w:tcPr>
            <w:tcW w:w="3718" w:type="pct"/>
          </w:tcPr>
          <w:p>
            <w:pPr>
              <w:rPr>
                <w:rFonts w:ascii="宋体" w:hAnsi="宋体" w:cs="宋体"/>
                <w:b/>
                <w:color w:val="FF0000"/>
                <w:szCs w:val="21"/>
              </w:rPr>
            </w:pPr>
            <w:r>
              <w:rPr>
                <w:rFonts w:ascii="宋体" w:hAnsi="宋体" w:cs="宋体" w:hint="eastAsia"/>
                <w:b/>
                <w:color w:val="000000"/>
                <w:szCs w:val="21"/>
              </w:rPr>
              <w:t>7.1</w:t>
            </w:r>
            <w:r>
              <w:rPr>
                <w:rFonts w:ascii="宋体" w:hAnsi="宋体" w:cs="宋体" w:hint="eastAsia"/>
                <w:color w:val="000000"/>
                <w:szCs w:val="21"/>
              </w:rPr>
              <w:t>主体加厚铜质，涂层经环氧树脂粉末涂料热固处理，防紫外线辐射，耐酸碱、耐腐蚀。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color w:val="FF0000"/>
                <w:szCs w:val="21"/>
              </w:rPr>
            </w:pPr>
            <w:r>
              <w:rPr>
                <w:rFonts w:ascii="宋体" w:hAnsi="宋体" w:cs="宋体" w:hint="eastAsia"/>
                <w:b/>
                <w:color w:val="FF0000"/>
                <w:szCs w:val="21"/>
              </w:rPr>
              <w:t>7</w:t>
            </w:r>
            <w:r>
              <w:rPr>
                <w:rFonts w:ascii="宋体" w:hAnsi="宋体" w:cs="宋体"/>
                <w:b/>
                <w:color w:val="FF0000"/>
                <w:szCs w:val="21"/>
              </w:rPr>
              <w:t>.1.1</w:t>
            </w:r>
            <w:r>
              <w:rPr>
                <w:rFonts w:hAnsi="宋体" w:hint="eastAsia"/>
                <w:b/>
                <w:color w:val="FF0000"/>
                <w:kern w:val="0"/>
                <w:szCs w:val="21"/>
                <w:highlight w:val="yellow"/>
              </w:rPr>
              <w:t>★</w:t>
            </w:r>
            <w:r>
              <w:rPr>
                <w:rFonts w:ascii="宋体" w:hAnsi="宋体" w:cs="宋体" w:hint="eastAsia"/>
                <w:b/>
                <w:color w:val="FF0000"/>
                <w:szCs w:val="21"/>
              </w:rPr>
              <w:t>节水性能良好，需提供所投产品对应型号的处于有效期之内的中国节能产品认证证书扫描件或提供该产品型号在中国政府采购网（http://www.ccgp.gov.cn/）或全国认证认可信息公共服务平台（http://cx.cnca.cn//）上的节能产品查询截图。</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Cs/>
                <w:szCs w:val="21"/>
              </w:rPr>
            </w:pPr>
            <w:r>
              <w:rPr>
                <w:rFonts w:ascii="宋体" w:hAnsi="宋体" w:cs="宋体" w:hint="eastAsia"/>
                <w:bCs/>
                <w:szCs w:val="21"/>
              </w:rPr>
              <w:t>7.</w:t>
            </w:r>
            <w:r>
              <w:rPr>
                <w:rFonts w:ascii="宋体" w:hAnsi="宋体" w:cs="宋体"/>
                <w:bCs/>
                <w:szCs w:val="21"/>
              </w:rPr>
              <w:t xml:space="preserve">2 </w:t>
            </w:r>
            <w:r>
              <w:rPr>
                <w:rFonts w:ascii="宋体" w:hAnsi="宋体" w:cs="宋体" w:hint="eastAsia"/>
                <w:bCs/>
                <w:szCs w:val="21"/>
              </w:rPr>
              <w:t>水龙头材料须符合以下技术参数及要求：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1</w:t>
            </w:r>
            <w:r>
              <w:rPr>
                <w:rFonts w:hAnsi="宋体" w:hint="eastAsia"/>
                <w:b/>
                <w:bCs/>
                <w:color w:val="FF0000"/>
                <w:kern w:val="0"/>
                <w:szCs w:val="21"/>
                <w:highlight w:val="yellow"/>
              </w:rPr>
              <w:t>★</w:t>
            </w:r>
            <w:r>
              <w:rPr>
                <w:rFonts w:ascii="宋体" w:hAnsi="宋体" w:cs="宋体" w:hint="eastAsia"/>
                <w:b/>
                <w:bCs/>
                <w:color w:val="FF0000"/>
                <w:szCs w:val="21"/>
              </w:rPr>
              <w:t>水龙头配套软管：根据GB/T23448-2019 进行（1）抗弯曲性（2）耐压性（3）密封性检测，提供20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 w:val="0"/>
                <w:bCs/>
                <w:szCs w:val="21"/>
              </w:rPr>
            </w:pPr>
            <w:r>
              <w:rPr>
                <w:rFonts w:ascii="宋体" w:hAnsi="宋体" w:cs="宋体" w:hint="eastAsia"/>
                <w:b w:val="0"/>
                <w:bCs/>
                <w:szCs w:val="21"/>
              </w:rPr>
              <w:t>7.</w:t>
            </w:r>
            <w:r>
              <w:rPr>
                <w:rFonts w:ascii="宋体" w:hAnsi="宋体" w:cs="宋体"/>
                <w:b w:val="0"/>
                <w:bCs/>
                <w:szCs w:val="21"/>
              </w:rPr>
              <w:t>2</w:t>
            </w:r>
            <w:r>
              <w:rPr>
                <w:rFonts w:ascii="宋体" w:hAnsi="宋体" w:cs="宋体" w:hint="eastAsia"/>
                <w:b w:val="0"/>
                <w:bCs/>
                <w:szCs w:val="21"/>
              </w:rPr>
              <w:t>.</w:t>
            </w:r>
            <w:r>
              <w:rPr>
                <w:rFonts w:ascii="宋体" w:hAnsi="宋体" w:cs="宋体"/>
                <w:b w:val="0"/>
                <w:bCs/>
                <w:szCs w:val="21"/>
              </w:rPr>
              <w:t>2</w:t>
            </w:r>
            <w:r>
              <w:rPr>
                <w:rFonts w:ascii="宋体" w:hAnsi="宋体" w:cs="宋体" w:hint="eastAsia"/>
                <w:b w:val="0"/>
                <w:bCs/>
                <w:color w:val="auto"/>
                <w:szCs w:val="21"/>
              </w:rPr>
              <w:t>中性盐雾试验：依据GB/T 10125-2021检测标准，检测结果值要求试样涂层划道处无腐蚀。</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b/>
                <w:bCs/>
                <w:color w:val="000000"/>
                <w:szCs w:val="21"/>
              </w:rPr>
            </w:pPr>
          </w:p>
        </w:tc>
        <w:tc>
          <w:tcPr>
            <w:tcW w:w="3718"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附着力：依据GB/T 9286-2021检测标准，附着力检测结果值要求达到0级，提供20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hint="eastAsia"/>
                <w:szCs w:val="21"/>
              </w:rPr>
              <w:t>开关采用精密陶瓷阀芯可90度旋转、耐磨、耐腐蚀，开关使用寿命测试可达60万次，静态最大耐压2.5Mpa，鹅颈出水管可360度旋转，旋钮把手高密度PP（HDPP）；</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产品外接非密封管螺纹符合GB/T 7307的要求，其中外螺纹不低于GB/T 7307的B级精度；</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5</w:t>
            </w:r>
            <w:r>
              <w:rPr>
                <w:rFonts w:ascii="宋体" w:hAnsi="宋体" w:cs="宋体" w:hint="eastAsia"/>
                <w:szCs w:val="21"/>
              </w:rPr>
              <w:t>向金属管螺纹施加61N·m的扭力矩，保持（60±5）s，螺纹无裂纹、无损坏；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6</w:t>
            </w:r>
            <w:r>
              <w:rPr>
                <w:rFonts w:ascii="宋体" w:hAnsi="宋体" w:cs="宋体" w:hint="eastAsia"/>
                <w:szCs w:val="21"/>
              </w:rPr>
              <w:t>装配好的手柄应平稳，轻便、无卡阻。手柄与阀杆连接牢固，不得松动。水嘴手柄或手轮在开启或关闭方向上施加（6±0.2）N.m扭力矩后，无可见变形或损坏；水嘴手柄或手轮承受45N的轴向拉力，保持（60±5）s，无松动现象；</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7</w:t>
            </w:r>
            <w:r>
              <w:rPr>
                <w:rFonts w:ascii="宋体" w:hAnsi="宋体" w:cs="宋体" w:hint="eastAsia"/>
                <w:szCs w:val="21"/>
              </w:rPr>
              <w:t>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color w:val="000000"/>
                <w:szCs w:val="21"/>
              </w:rPr>
            </w:pPr>
            <w:r>
              <w:rPr>
                <w:rFonts w:hint="eastAsia"/>
                <w:color w:val="000000"/>
                <w:szCs w:val="21"/>
              </w:rPr>
              <w:t>7.</w:t>
            </w:r>
            <w:r>
              <w:rPr>
                <w:color w:val="000000"/>
                <w:szCs w:val="21"/>
              </w:rPr>
              <w:t>8</w:t>
            </w:r>
            <w:r>
              <w:rPr>
                <w:rFonts w:ascii="宋体" w:hAnsi="宋体" w:cs="宋体" w:hint="eastAsia"/>
                <w:szCs w:val="21"/>
              </w:rPr>
              <w:t>遥控水阀：公称压力：1.6MPa, 水压试验压力：1.76 MPa, 密度试验。</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9</w:t>
            </w:r>
            <w:r>
              <w:rPr>
                <w:rFonts w:ascii="宋体" w:hAnsi="宋体" w:cs="宋体" w:hint="eastAsia"/>
                <w:szCs w:val="21"/>
              </w:rPr>
              <w:t>水嘴开关寿命：符合GB 18145-2014标准中8.6.9的要求；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10</w:t>
            </w:r>
            <w:r>
              <w:rPr>
                <w:rFonts w:ascii="宋体" w:hAnsi="宋体" w:cs="宋体" w:hint="eastAsia"/>
                <w:szCs w:val="21"/>
              </w:rPr>
              <w:t>水嘴流量：符合GB 18145-2014标准中7.6.3.1的要求，0.05L/s≤流量≤0.15L/s；</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11</w:t>
            </w:r>
            <w:r>
              <w:rPr>
                <w:rFonts w:ascii="宋体" w:hAnsi="宋体" w:cs="宋体" w:hint="eastAsia"/>
                <w:szCs w:val="21"/>
              </w:rPr>
              <w:t>管螺纹精度：符合GB/T 7307的螺纹呈牙形角55°；</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12</w:t>
            </w:r>
            <w:r>
              <w:rPr>
                <w:rFonts w:ascii="宋体" w:hAnsi="宋体" w:cs="宋体" w:hint="eastAsia"/>
                <w:bCs/>
                <w:szCs w:val="21"/>
              </w:rPr>
              <w:t>水龙头金属污染物析出：依据</w:t>
            </w:r>
            <w:bookmarkStart w:id="60" w:name="OLE_LINK19"/>
            <w:r>
              <w:rPr>
                <w:rFonts w:ascii="宋体" w:hAnsi="宋体" w:cs="宋体" w:hint="eastAsia"/>
                <w:bCs/>
                <w:szCs w:val="21"/>
              </w:rPr>
              <w:t>GB 18145-2014</w:t>
            </w:r>
            <w:bookmarkEnd w:id="60"/>
            <w:r>
              <w:rPr>
                <w:rFonts w:ascii="宋体" w:hAnsi="宋体" w:cs="宋体" w:hint="eastAsia"/>
                <w:bCs/>
                <w:szCs w:val="21"/>
              </w:rPr>
              <w:t>标准检测，检测结果铅析出统计值Q＜5，锑析出量＜0.6，砷析出量＜1.0，钡析出量＜200，铍析出量＜0.4等不少于8种金属析出物的检测。</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13</w:t>
            </w:r>
            <w:r>
              <w:rPr>
                <w:rFonts w:ascii="宋体" w:hAnsi="宋体" w:cs="宋体" w:hint="eastAsia"/>
                <w:szCs w:val="21"/>
              </w:rPr>
              <w:t>耐高低温性能检测：通过将样品置于（150±2）°C试验箱内存储24h后，再置于室温恢复2h；接着将其置于（-40±3）°C试验箱内存储120h后，再置于室温恢复2h,经上述实验后样品应无变化。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14</w:t>
            </w:r>
            <w:r>
              <w:rPr>
                <w:rFonts w:ascii="宋体" w:hAnsi="宋体" w:cs="宋体" w:hint="eastAsia"/>
                <w:szCs w:val="21"/>
              </w:rPr>
              <w:t>耐湿热性能检测：通过将样品置于试验箱内，开启加热电源使温度达到（25±2）°C，1h后开始加湿，使相对温度达到（95±2）%，保持120h,再置于室温恢复2h，样品经测试应无变化。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15</w:t>
            </w:r>
            <w:r>
              <w:rPr>
                <w:rFonts w:ascii="宋体" w:hAnsi="宋体" w:cs="宋体" w:hint="eastAsia"/>
                <w:bCs/>
                <w:szCs w:val="21"/>
              </w:rPr>
              <w:t>抗细菌性能检测：依据GB/T 31402-2015标准，大肠杆菌抗菌R值≥5.0。</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16</w:t>
            </w:r>
            <w:r>
              <w:rPr>
                <w:rFonts w:ascii="宋体" w:hAnsi="宋体" w:cs="宋体" w:hint="eastAsia"/>
                <w:bCs/>
                <w:szCs w:val="21"/>
              </w:rPr>
              <w:t>按ISO 9227:2017进行24h中性盐雾试验后，达到GB/T 6461-2002标准中外观评级（Ra）10级的要求。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17</w:t>
            </w:r>
            <w:r>
              <w:rPr>
                <w:rFonts w:ascii="宋体" w:hAnsi="宋体" w:cs="宋体" w:hint="eastAsia"/>
                <w:bCs/>
                <w:szCs w:val="21"/>
              </w:rPr>
              <w:t>耐水性试验：依据GB/T 1733-1993标准，测试方法：将样品以45度角放置，用92℃至100℃的热水以每分钟≥300毫升的速率流到漆面5分钟，检测结果：漆面无热水导致的明显影响。</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7.</w:t>
            </w:r>
            <w:r>
              <w:rPr>
                <w:rFonts w:ascii="宋体" w:hAnsi="宋体" w:cs="宋体"/>
                <w:szCs w:val="21"/>
              </w:rPr>
              <w:t>18</w:t>
            </w:r>
            <w:r>
              <w:rPr>
                <w:rFonts w:ascii="宋体" w:hAnsi="宋体" w:cs="宋体" w:hint="eastAsia"/>
                <w:szCs w:val="21"/>
              </w:rPr>
              <w:t>铅笔硬度：硬度检测结果值要求≥2H</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7.</w:t>
            </w:r>
            <w:r>
              <w:rPr>
                <w:rFonts w:ascii="宋体" w:hAnsi="宋体" w:cs="宋体"/>
                <w:b w:val="0"/>
                <w:bCs/>
                <w:color w:val="auto"/>
                <w:szCs w:val="21"/>
              </w:rPr>
              <w:t>19</w:t>
            </w:r>
            <w:r>
              <w:rPr>
                <w:rFonts w:ascii="宋体" w:hAnsi="宋体" w:cs="宋体" w:hint="eastAsia"/>
                <w:b w:val="0"/>
                <w:bCs/>
                <w:color w:val="auto"/>
                <w:szCs w:val="21"/>
              </w:rPr>
              <w:t>耐冲击性：依据</w:t>
            </w:r>
            <w:bookmarkStart w:id="61" w:name="OLE_LINK20"/>
            <w:r>
              <w:rPr>
                <w:rFonts w:ascii="宋体" w:hAnsi="宋体" w:cs="宋体" w:hint="eastAsia"/>
                <w:b w:val="0"/>
                <w:bCs/>
                <w:color w:val="auto"/>
                <w:szCs w:val="21"/>
              </w:rPr>
              <w:t>GB/T 1732-2020</w:t>
            </w:r>
            <w:bookmarkEnd w:id="61"/>
            <w:r>
              <w:rPr>
                <w:rFonts w:ascii="宋体" w:hAnsi="宋体" w:cs="宋体" w:hint="eastAsia"/>
                <w:b w:val="0"/>
                <w:bCs/>
                <w:color w:val="auto"/>
                <w:szCs w:val="21"/>
              </w:rPr>
              <w:t>检测标准，检测结果值要求0-50cm，应无裂纹、皱纹及剥落现象。</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20</w:t>
            </w:r>
            <w:r>
              <w:rPr>
                <w:rFonts w:ascii="宋体" w:hAnsi="宋体" w:cs="宋体" w:hint="eastAsia"/>
                <w:bCs/>
                <w:szCs w:val="21"/>
              </w:rPr>
              <w:t xml:space="preserve">基本三项：根据GB18145-2014 和GB/T26712-2021标准进行基本三项检测，包含（1）寿命、（2）高温极限、（3）抗冻性能。 </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21</w:t>
            </w:r>
            <w:r>
              <w:rPr>
                <w:rFonts w:ascii="宋体" w:hAnsi="宋体" w:cs="宋体" w:hint="eastAsia"/>
                <w:bCs/>
                <w:szCs w:val="21"/>
              </w:rPr>
              <w:t>加速耐候性：根据GB/T 5237.4-2017标准，进行加速耐候性检测，检测合格。</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22</w:t>
            </w:r>
            <w:r>
              <w:rPr>
                <w:rFonts w:hAnsi="宋体" w:hint="eastAsia"/>
                <w:color w:val="FF0000"/>
                <w:kern w:val="0"/>
                <w:szCs w:val="21"/>
                <w:highlight w:val="yellow"/>
              </w:rPr>
              <w:t>★</w:t>
            </w:r>
            <w:r>
              <w:rPr>
                <w:rFonts w:ascii="宋体" w:hAnsi="宋体" w:cs="宋体" w:hint="eastAsia"/>
                <w:bCs/>
                <w:szCs w:val="21"/>
              </w:rPr>
              <w:t>流量：根据GB25501-2019标准：进行（1）流量均匀性 （2）水效等级（流量）进行这两项检测，检测合格。</w:t>
            </w:r>
          </w:p>
        </w:tc>
      </w:tr>
      <w:tr>
        <w:tblPrEx>
          <w:tblW w:w="5000" w:type="pct"/>
          <w:tblCellMar>
            <w:top w:w="0" w:type="dxa"/>
            <w:left w:w="108" w:type="dxa"/>
            <w:bottom w:w="0" w:type="dxa"/>
            <w:right w:w="108" w:type="dxa"/>
          </w:tblCellMar>
          <w:tblLook w:val="0000"/>
        </w:tblPrEx>
        <w:trPr>
          <w:trHeight w:val="1061"/>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Cs/>
                <w:szCs w:val="21"/>
              </w:rPr>
            </w:pPr>
            <w:r>
              <w:rPr>
                <w:rFonts w:ascii="宋体" w:hAnsi="宋体" w:cs="宋体" w:hint="eastAsia"/>
                <w:bCs/>
                <w:szCs w:val="21"/>
              </w:rPr>
              <w:t>7.</w:t>
            </w:r>
            <w:r>
              <w:rPr>
                <w:rFonts w:ascii="宋体" w:hAnsi="宋体" w:cs="宋体"/>
                <w:bCs/>
                <w:szCs w:val="21"/>
              </w:rPr>
              <w:t>23</w:t>
            </w:r>
            <w:r>
              <w:rPr>
                <w:rFonts w:ascii="宋体" w:hAnsi="宋体" w:cs="宋体" w:hint="eastAsia"/>
                <w:bCs/>
                <w:szCs w:val="21"/>
              </w:rPr>
              <w:t>光老化：根据 ISO 4892-3:2016，循环1，测试条件：灯管类型：UVA-340 光照： 8H（60±3）℃ BPT，0.7W/（m^2▪nm）@340nm  冷凝：4H，（50±3）℃ BPT 暴露时间： 48h  测试结果：表面无可视变化。</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8</w:t>
            </w:r>
          </w:p>
        </w:tc>
        <w:tc>
          <w:tcPr>
            <w:tcW w:w="1031" w:type="pct"/>
            <w:vMerge w:val="restart"/>
          </w:tcPr>
          <w:p>
            <w:pPr>
              <w:jc w:val="center"/>
              <w:rPr>
                <w:color w:val="000000"/>
                <w:szCs w:val="21"/>
              </w:rPr>
            </w:pPr>
            <w:r>
              <w:rPr>
                <w:rFonts w:hint="eastAsia"/>
                <w:color w:val="000000"/>
                <w:szCs w:val="21"/>
              </w:rPr>
              <w:t>水槽</w:t>
            </w:r>
          </w:p>
        </w:tc>
        <w:tc>
          <w:tcPr>
            <w:tcW w:w="3718" w:type="pct"/>
          </w:tcPr>
          <w:p>
            <w:pPr>
              <w:rPr>
                <w:rFonts w:ascii="宋体" w:hAnsi="宋体" w:cs="宋体"/>
                <w:szCs w:val="21"/>
              </w:rPr>
            </w:pPr>
            <w:r>
              <w:rPr>
                <w:rFonts w:ascii="宋体" w:hAnsi="宋体" w:cs="宋体" w:hint="eastAsia"/>
                <w:szCs w:val="21"/>
              </w:rPr>
              <w:t>8.1作为实验室重要的配件与水龙头搭配，用于实验室器具的盥洗。水槽边沿平整，契合台面。水槽可自带溢水功能，防止在实验过程中无人看管时水漫过台面的情况。水槽材质为防腐蚀材质。主要搭配 PP存水器，防止虹吸现象。</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Cs/>
                <w:szCs w:val="21"/>
              </w:rPr>
            </w:pPr>
            <w:r>
              <w:rPr>
                <w:rFonts w:ascii="宋体" w:hAnsi="宋体" w:cs="宋体" w:hint="eastAsia"/>
                <w:bCs/>
                <w:szCs w:val="21"/>
              </w:rPr>
              <w:t>8.</w:t>
            </w:r>
            <w:r>
              <w:rPr>
                <w:rFonts w:ascii="宋体" w:hAnsi="宋体" w:cs="宋体"/>
                <w:bCs/>
                <w:szCs w:val="21"/>
              </w:rPr>
              <w:t xml:space="preserve">2 </w:t>
            </w:r>
            <w:r>
              <w:rPr>
                <w:rFonts w:ascii="宋体" w:hAnsi="宋体" w:cs="宋体" w:hint="eastAsia"/>
                <w:bCs/>
                <w:szCs w:val="21"/>
              </w:rPr>
              <w:t>须符合以下技术参数及要求：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 xml:space="preserve">1 </w:t>
            </w:r>
            <w:r>
              <w:rPr>
                <w:rFonts w:ascii="宋体" w:hAnsi="宋体" w:cs="宋体" w:hint="eastAsia"/>
                <w:b w:val="0"/>
                <w:bCs/>
                <w:color w:val="auto"/>
                <w:szCs w:val="21"/>
              </w:rPr>
              <w:t>耐化学性能和耐污染性能：依据QB/T 2658-2017《卫生设备用台盆》标准，通过用热肥皂水清洗测试面，并用干棉布擦干后，选用不同的测试面分别滴10%体积分数乙酸、质量分数为5%的氢氧化钠、70%体积分数的乙醇、次氯酸钠5%的活性氯（C12）、质量分数1%的亚甲基兰、氯化钠（170g/L，稀释到50%）试剂，然后用表面皿面向下盖住液滴，放置（2.00±0.25）h,温度维持在（23±5）°C。试验后，表面不应出现不可消除的不良，如污点、损坏等，检测判定为符合。</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2</w:t>
            </w:r>
            <w:r>
              <w:rPr>
                <w:rFonts w:ascii="宋体" w:hAnsi="宋体" w:cs="宋体" w:hint="eastAsia"/>
                <w:b w:val="0"/>
                <w:bCs/>
                <w:color w:val="auto"/>
                <w:szCs w:val="21"/>
              </w:rPr>
              <w:t>水槽依据GB/T 9341-2008标准，检测弯曲模量，要求检验结果为≥1450MPa。检测弯曲强度，要求检验结果为≥42.0MPa。</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bCs/>
                <w:color w:val="FF0000"/>
                <w:szCs w:val="21"/>
              </w:rPr>
            </w:pPr>
            <w:r>
              <w:rPr>
                <w:rFonts w:ascii="宋体" w:hAnsi="宋体" w:cs="宋体" w:hint="eastAsia"/>
                <w:b/>
                <w:bCs/>
                <w:color w:val="FF0000"/>
                <w:szCs w:val="21"/>
              </w:rPr>
              <w:t>8.</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水槽依据GB/T 1634.1-2019标准，检测负荷变形温度，要求检验结果为≥50.0℃。依据GB/T 3398.2-2008标准，检测洛氏硬度，要求检验结果为≥90HRR。依据GB/T 1043.1-2008标准，检测简支梁无缺口冲击强度，要求检测结果为≥55KJ/M2。提供20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8" w:type="pct"/>
          </w:tcPr>
          <w:p>
            <w:pPr>
              <w:rPr>
                <w:rFonts w:ascii="宋体" w:hAnsi="宋体" w:cs="宋体" w:hint="eastAsia"/>
                <w:b/>
                <w:bCs/>
                <w:color w:val="FF0000"/>
                <w:szCs w:val="21"/>
              </w:rPr>
            </w:pPr>
            <w:r>
              <w:rPr>
                <w:rFonts w:ascii="宋体" w:hAnsi="宋体" w:cs="宋体" w:hint="eastAsia"/>
                <w:b/>
                <w:bCs/>
                <w:color w:val="FF0000"/>
                <w:szCs w:val="21"/>
              </w:rPr>
              <w:t xml:space="preserve">8.2.4 </w:t>
            </w:r>
            <w:r>
              <w:rPr>
                <w:rFonts w:hAnsi="宋体" w:hint="eastAsia"/>
                <w:color w:val="FF0000"/>
                <w:kern w:val="0"/>
                <w:szCs w:val="21"/>
                <w:highlight w:val="yellow"/>
              </w:rPr>
              <w:t>★</w:t>
            </w:r>
            <w:r>
              <w:rPr>
                <w:rFonts w:ascii="宋体" w:hAnsi="宋体" w:cs="宋体" w:hint="eastAsia"/>
                <w:b/>
                <w:bCs/>
                <w:color w:val="FF0000"/>
                <w:szCs w:val="21"/>
              </w:rPr>
              <w:t>甲醛释放量：依据JG/T 528-2017检测标准，在温度23℃，相对湿度RH50%的环境舱中平衡释放168h采气测试结果，甲醛释放量未检出。提供20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年1月1日至本项目投标截止日第三方检验检测机构出具的具有CMA标识的检验（检测）报告扫描件，原件备查。 </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3</w:t>
            </w:r>
            <w:r>
              <w:rPr>
                <w:rFonts w:ascii="宋体" w:hAnsi="宋体" w:cs="宋体" w:hint="eastAsia"/>
                <w:szCs w:val="21"/>
              </w:rPr>
              <w:t xml:space="preserve">材质：采用高密度PP新料注塑成型，耐腐蚀耐酸碱、耐热；稳定性强，并具弹性、韧性，不易老化耐划。 </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4</w:t>
            </w:r>
            <w:r>
              <w:rPr>
                <w:rFonts w:ascii="宋体" w:hAnsi="宋体" w:cs="宋体" w:hint="eastAsia"/>
                <w:szCs w:val="21"/>
              </w:rPr>
              <w:t>水槽壁厚度：根据强度要求设计厚度为3.5-5mm。</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5</w:t>
            </w:r>
            <w:r>
              <w:rPr>
                <w:rFonts w:ascii="宋体" w:hAnsi="宋体" w:cs="宋体" w:hint="eastAsia"/>
                <w:szCs w:val="21"/>
              </w:rPr>
              <w:t>附件：高密度PP去水；含阻水盖、PP提笼。</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8.6耐污染性：在常温下将样块浸泡40%硫酸、40%硝酸、40%盐酸、王水、40%氢氧化钠、甲醛（分析纯）等不少于24种化学试剂24小时后表面无变化。其中外观及其承载能力的检测符合要求。</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7</w:t>
            </w:r>
            <w:r>
              <w:rPr>
                <w:rFonts w:ascii="宋体" w:hAnsi="宋体" w:cs="宋体" w:hint="eastAsia"/>
                <w:szCs w:val="21"/>
              </w:rPr>
              <w:t>耐高温性：将150℃油温灌入水槽后无变形、损坏。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8.</w:t>
            </w:r>
            <w:r>
              <w:rPr>
                <w:rFonts w:ascii="宋体" w:hAnsi="宋体" w:cs="宋体"/>
                <w:szCs w:val="21"/>
              </w:rPr>
              <w:t>8</w:t>
            </w:r>
            <w:r>
              <w:rPr>
                <w:rFonts w:ascii="宋体" w:hAnsi="宋体" w:cs="宋体" w:hint="eastAsia"/>
                <w:szCs w:val="21"/>
              </w:rPr>
              <w:t>抗细菌性：依据ISO 22196:2011检测标准，检测结果须符合抗菌活性值：4≤金黄色葡萄球菌≤6，2≤大肠埃希氏菌≤4.</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9</w:t>
            </w:r>
          </w:p>
        </w:tc>
        <w:tc>
          <w:tcPr>
            <w:tcW w:w="1031" w:type="pct"/>
            <w:vMerge w:val="restart"/>
          </w:tcPr>
          <w:p>
            <w:pPr>
              <w:jc w:val="center"/>
              <w:rPr>
                <w:color w:val="000000"/>
                <w:szCs w:val="21"/>
              </w:rPr>
            </w:pPr>
            <w:r>
              <w:rPr>
                <w:rFonts w:hint="eastAsia"/>
                <w:color w:val="000000"/>
                <w:szCs w:val="21"/>
              </w:rPr>
              <w:t>不锈钢水槽、不锈钢水槽台</w:t>
            </w:r>
          </w:p>
        </w:tc>
        <w:tc>
          <w:tcPr>
            <w:tcW w:w="3718" w:type="pct"/>
          </w:tcPr>
          <w:p>
            <w:pPr>
              <w:rPr>
                <w:rFonts w:ascii="宋体" w:hAnsi="宋体" w:cs="宋体"/>
                <w:szCs w:val="21"/>
              </w:rPr>
            </w:pPr>
            <w:r>
              <w:rPr>
                <w:rFonts w:ascii="宋体" w:hAnsi="宋体" w:cs="宋体" w:hint="eastAsia"/>
                <w:szCs w:val="21"/>
              </w:rPr>
              <w:t>9.1不锈钢工作台采用不锈钢材质，具有耐腐蚀，防酸，防碱，防尘，可以防止细菌滋生等性能。</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9.2台面：采用≥1.5mm厚的优质316不锈钢经剪切、冲压、折弯、焊接、装配而成。表面拉丝处理。</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9.3框架：40mm*60mm采用≥1.5mm厚的优质316不锈钢经剪切、冲压、折弯、焊接、装配而成。表面拉丝处理。耐酸、碱、防潮、防锈，承重性能好，使用寿命长，美观大方；</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9.4梁：40*60*1.5mm采用≥1.5mm厚的优质316不锈钢经剪切、冲压、折弯、焊接、装配而成。表面拉丝处理。耐酸碱腐蚀、防潮、防锈，承重性能好，使用寿命长。</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9.5台脚要求：为316#不锈钢管并带可调脚，承载性好，牢固边角打磨光滑无毛刺。</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9.6水槽含落水头、存水弯等，使用功能完整。</w:t>
            </w:r>
          </w:p>
        </w:tc>
      </w:tr>
      <w:tr>
        <w:tblPrEx>
          <w:tblW w:w="5000" w:type="pct"/>
          <w:tblCellMar>
            <w:top w:w="0" w:type="dxa"/>
            <w:left w:w="108" w:type="dxa"/>
            <w:bottom w:w="0" w:type="dxa"/>
            <w:right w:w="108" w:type="dxa"/>
          </w:tblCellMar>
          <w:tblLook w:val="0000"/>
        </w:tblPrEx>
        <w:trPr>
          <w:trHeight w:val="170"/>
        </w:trPr>
        <w:tc>
          <w:tcPr>
            <w:tcW w:w="249" w:type="pct"/>
            <w:vMerge w:val="restart"/>
          </w:tcPr>
          <w:p>
            <w:pPr>
              <w:jc w:val="center"/>
              <w:rPr>
                <w:color w:val="000000"/>
                <w:szCs w:val="21"/>
              </w:rPr>
            </w:pPr>
            <w:r>
              <w:rPr>
                <w:rFonts w:hint="eastAsia"/>
                <w:color w:val="000000"/>
                <w:szCs w:val="21"/>
              </w:rPr>
              <w:t>10</w:t>
            </w:r>
          </w:p>
        </w:tc>
        <w:tc>
          <w:tcPr>
            <w:tcW w:w="1031" w:type="pct"/>
            <w:vMerge w:val="restart"/>
          </w:tcPr>
          <w:p>
            <w:pPr>
              <w:jc w:val="center"/>
              <w:rPr>
                <w:color w:val="000000"/>
                <w:szCs w:val="21"/>
              </w:rPr>
            </w:pPr>
            <w:r>
              <w:rPr>
                <w:rFonts w:hint="eastAsia"/>
                <w:color w:val="000000"/>
                <w:szCs w:val="21"/>
              </w:rPr>
              <w:t>滴水架</w:t>
            </w:r>
          </w:p>
        </w:tc>
        <w:tc>
          <w:tcPr>
            <w:tcW w:w="3718" w:type="pct"/>
          </w:tcPr>
          <w:p>
            <w:pPr>
              <w:rPr>
                <w:rFonts w:ascii="宋体" w:hAnsi="宋体" w:cs="宋体"/>
                <w:szCs w:val="21"/>
              </w:rPr>
            </w:pPr>
            <w:r>
              <w:rPr>
                <w:rFonts w:ascii="宋体" w:hAnsi="宋体" w:cs="宋体" w:hint="eastAsia"/>
                <w:szCs w:val="21"/>
              </w:rPr>
              <w:t>10.1依据图纸及相关说明所示，在水槽旁配置质轻，强度高，易于组装，耐酸碱、抗腐蚀滴水架。</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10.2材质：高密度PP，款式新颖，有现代感；</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10.3类型：单面；</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10.4底部托盘中间设有排水孔；</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10.5可拆卸式滴水棒，滴水棒27或者52根，有三种不同功能及长度的滴水棒，方便不同规格的器皿挂放；</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10.6安装方式：壁挂式/台式；</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szCs w:val="21"/>
              </w:rPr>
            </w:pPr>
            <w:r>
              <w:rPr>
                <w:rFonts w:ascii="宋体" w:hAnsi="宋体" w:cs="宋体" w:hint="eastAsia"/>
                <w:szCs w:val="21"/>
              </w:rPr>
              <w:t>10.7颜色：黑色、白色、灰色；</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10.8</w:t>
            </w:r>
            <w:r>
              <w:rPr>
                <w:rFonts w:ascii="宋体" w:hAnsi="宋体" w:cs="宋体" w:hint="eastAsia"/>
                <w:szCs w:val="21"/>
              </w:rPr>
              <w:t>▲</w:t>
            </w:r>
            <w:r>
              <w:rPr>
                <w:rFonts w:ascii="宋体" w:hAnsi="宋体" w:cs="宋体" w:hint="eastAsia"/>
                <w:b w:val="0"/>
                <w:bCs/>
                <w:color w:val="auto"/>
                <w:szCs w:val="21"/>
              </w:rPr>
              <w:t>性能参数：</w:t>
            </w:r>
          </w:p>
          <w:p>
            <w:pPr>
              <w:rPr>
                <w:rFonts w:ascii="宋体" w:hAnsi="宋体" w:cs="宋体"/>
                <w:b w:val="0"/>
                <w:bCs/>
                <w:color w:val="auto"/>
                <w:szCs w:val="21"/>
              </w:rPr>
            </w:pPr>
            <w:r>
              <w:rPr>
                <w:rFonts w:ascii="宋体" w:hAnsi="宋体" w:cs="宋体" w:hint="eastAsia"/>
                <w:b w:val="0"/>
                <w:bCs/>
                <w:color w:val="auto"/>
                <w:szCs w:val="21"/>
              </w:rPr>
              <w:t>1)本体的挂拉强度达到36 kgf及以上。</w:t>
            </w:r>
          </w:p>
          <w:p>
            <w:pPr>
              <w:rPr>
                <w:rFonts w:ascii="宋体" w:hAnsi="宋体" w:cs="宋体"/>
                <w:b w:val="0"/>
                <w:bCs/>
                <w:color w:val="auto"/>
                <w:szCs w:val="21"/>
              </w:rPr>
            </w:pPr>
            <w:r>
              <w:rPr>
                <w:rFonts w:ascii="宋体" w:hAnsi="宋体" w:cs="宋体" w:hint="eastAsia"/>
                <w:b w:val="0"/>
                <w:bCs/>
                <w:color w:val="auto"/>
                <w:szCs w:val="21"/>
              </w:rPr>
              <w:t>2)产品的抗拉强度达到 256kgf/cm2及以上。</w:t>
            </w:r>
          </w:p>
          <w:p>
            <w:pPr>
              <w:rPr>
                <w:rFonts w:ascii="宋体" w:hAnsi="宋体" w:cs="宋体"/>
                <w:b w:val="0"/>
                <w:bCs/>
                <w:color w:val="auto"/>
                <w:szCs w:val="21"/>
              </w:rPr>
            </w:pPr>
            <w:r>
              <w:rPr>
                <w:rFonts w:ascii="宋体" w:hAnsi="宋体" w:cs="宋体" w:hint="eastAsia"/>
                <w:b w:val="0"/>
                <w:bCs/>
                <w:color w:val="auto"/>
                <w:szCs w:val="21"/>
              </w:rPr>
              <w:t>3)产品的抗弯强度达到 557kgf/cm2及以上。</w:t>
            </w:r>
          </w:p>
          <w:p>
            <w:pPr>
              <w:rPr>
                <w:rFonts w:ascii="宋体" w:hAnsi="宋体" w:cs="宋体"/>
                <w:szCs w:val="21"/>
              </w:rPr>
            </w:pPr>
            <w:r>
              <w:rPr>
                <w:rFonts w:ascii="宋体" w:hAnsi="宋体" w:cs="宋体" w:hint="eastAsia"/>
                <w:b w:val="0"/>
                <w:bCs/>
                <w:color w:val="auto"/>
                <w:szCs w:val="21"/>
              </w:rPr>
              <w:t>4)滴水棒承重能力达到68N及以上。</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9</w:t>
            </w:r>
            <w:r>
              <w:rPr>
                <w:rFonts w:ascii="宋体" w:hAnsi="宋体" w:cs="宋体" w:hint="eastAsia"/>
                <w:b w:val="0"/>
                <w:bCs/>
                <w:color w:val="auto"/>
                <w:szCs w:val="21"/>
              </w:rPr>
              <w:t>耐候性试验：依据ISO4892-3:2016,将样品在荧光紫外灯暴露48小时后，表面无变化。</w:t>
            </w:r>
          </w:p>
        </w:tc>
      </w:tr>
      <w:tr>
        <w:tblPrEx>
          <w:tblW w:w="5000" w:type="pct"/>
          <w:tblCellMar>
            <w:top w:w="0" w:type="dxa"/>
            <w:left w:w="108" w:type="dxa"/>
            <w:bottom w:w="0" w:type="dxa"/>
            <w:right w:w="108" w:type="dxa"/>
          </w:tblCellMar>
          <w:tblLook w:val="0000"/>
        </w:tblPrEx>
        <w:trPr>
          <w:trHeight w:val="170"/>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10</w:t>
            </w:r>
            <w:r>
              <w:rPr>
                <w:rFonts w:ascii="宋体" w:hAnsi="宋体" w:cs="宋体" w:hint="eastAsia"/>
                <w:b w:val="0"/>
                <w:bCs/>
                <w:color w:val="auto"/>
                <w:szCs w:val="21"/>
              </w:rPr>
              <w:t>拉伸强度试验：要求依据GB/T1040.1-2018检测结果值≥20MPa。</w:t>
            </w:r>
          </w:p>
        </w:tc>
      </w:tr>
      <w:tr>
        <w:tblPrEx>
          <w:tblW w:w="5000" w:type="pct"/>
          <w:tblCellMar>
            <w:top w:w="0" w:type="dxa"/>
            <w:left w:w="108" w:type="dxa"/>
            <w:bottom w:w="0" w:type="dxa"/>
            <w:right w:w="108" w:type="dxa"/>
          </w:tblCellMar>
          <w:tblLook w:val="0000"/>
        </w:tblPrEx>
        <w:trPr>
          <w:trHeight w:val="634"/>
        </w:trPr>
        <w:tc>
          <w:tcPr>
            <w:tcW w:w="249" w:type="pct"/>
            <w:vMerge/>
          </w:tcPr>
          <w:p>
            <w:pPr>
              <w:jc w:val="center"/>
              <w:rPr>
                <w:color w:val="000000"/>
                <w:szCs w:val="21"/>
              </w:rPr>
            </w:pPr>
          </w:p>
        </w:tc>
        <w:tc>
          <w:tcPr>
            <w:tcW w:w="1031" w:type="pct"/>
            <w:vMerge/>
          </w:tcPr>
          <w:p>
            <w:pPr>
              <w:rPr>
                <w:color w:val="000000"/>
                <w:szCs w:val="21"/>
              </w:rPr>
            </w:pPr>
          </w:p>
        </w:tc>
        <w:tc>
          <w:tcPr>
            <w:tcW w:w="3718"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11</w:t>
            </w:r>
            <w:r>
              <w:rPr>
                <w:rFonts w:ascii="宋体" w:hAnsi="宋体" w:cs="宋体" w:hint="eastAsia"/>
                <w:b w:val="0"/>
                <w:bCs/>
                <w:color w:val="auto"/>
                <w:szCs w:val="21"/>
              </w:rPr>
              <w:t>弯曲强度试验：要求依据GB/T 9341-2008检测结果值≥30Mpa。</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11</w:t>
            </w:r>
          </w:p>
        </w:tc>
        <w:tc>
          <w:tcPr>
            <w:tcW w:w="1031" w:type="pct"/>
            <w:vMerge w:val="restart"/>
          </w:tcPr>
          <w:p>
            <w:pPr>
              <w:jc w:val="center"/>
              <w:rPr>
                <w:color w:val="000000"/>
                <w:szCs w:val="21"/>
              </w:rPr>
            </w:pPr>
            <w:r>
              <w:rPr>
                <w:rFonts w:hint="eastAsia"/>
                <w:color w:val="000000"/>
                <w:szCs w:val="21"/>
              </w:rPr>
              <w:t>紧急冲淋洗眼器、壁挂式紧急冲淋洗眼器</w:t>
            </w:r>
          </w:p>
        </w:tc>
        <w:tc>
          <w:tcPr>
            <w:tcW w:w="3719" w:type="pct"/>
          </w:tcPr>
          <w:p>
            <w:pPr>
              <w:rPr>
                <w:rFonts w:ascii="宋体" w:hAnsi="宋体" w:cs="宋体"/>
                <w:b w:val="0"/>
                <w:bCs/>
                <w:color w:val="auto"/>
                <w:szCs w:val="21"/>
              </w:rPr>
            </w:pPr>
            <w:r>
              <w:rPr>
                <w:rFonts w:ascii="宋体" w:hAnsi="宋体" w:cs="宋体" w:hint="eastAsia"/>
                <w:b w:val="0"/>
                <w:bCs/>
                <w:color w:val="auto"/>
                <w:szCs w:val="21"/>
              </w:rPr>
              <w:t>11.1</w:t>
            </w:r>
            <w:r>
              <w:rPr>
                <w:rFonts w:ascii="宋体" w:hAnsi="宋体" w:cs="宋体" w:hint="eastAsia"/>
                <w:szCs w:val="21"/>
              </w:rPr>
              <w:t>▲</w:t>
            </w:r>
            <w:r>
              <w:rPr>
                <w:rFonts w:ascii="宋体" w:hAnsi="宋体" w:cs="宋体" w:hint="eastAsia"/>
                <w:b w:val="0"/>
                <w:bCs/>
                <w:color w:val="auto"/>
                <w:szCs w:val="21"/>
              </w:rPr>
              <w:t>主体材料：食品级 304不锈钢，厚度：不低于3mm，Ni含量大于8%，可以抗弱酸、碱、盐和油类腐蚀的现场。</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11.3产品达到GB/T 38144.1-2019标准之规定，紧急冲淋的喷淋系统和洗眼系统易于操作，操作者一个人就可以完成，不需要其他人员协助；</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11.4紧急冲淋正常水压要求：0.3—0.6 MPa，管件密封部件满足承受 1 MPa 长时间没有泄漏；</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11.5工作压力：0.3—0.6Mpa</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11.6密封压力：0.8Mpa</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11.7喷淋流量：&gt;75.7L/min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11.8洗眼流量：&gt;11.4L/min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11.9洗眼器进水口尺寸：DN25</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11.10洗眼系统排水口尺寸：DN25</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11.11排水盘排水口尺寸：DN40</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11.12喷淋系统要求：在距离使用者站立平面1520mm的地方，喷淋范围直径最小应为510mm，冲洗液分散形式应始终保持一致并充分散开。喷淋范围的中心距离任何障碍物的最小距离应为410mm。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11.13洗眼系统要求：喷头应位于距离使用者站立的水平面至少838mm的高度上，但不得超过1143mm，且距离墙壁或最近的障碍物至少153mm。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11.14冲淋喷头高度：冲淋喷头距离安装平面高度在2080-2440mm。该距离从使用者站立的平面计算。</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11.15阀门驱动装置高度：到使用者站立平面的高度不应超过1730mm。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11.16冲淋喷头流量：在水流压力最低0.2MPa下，应以至少76L/min的流量提供冲洗液，保持连续冲洗至少15min。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11.17洗眼器喷头流量：测试压力0.20MPa，测试时间3min/次，样品提供冲洗液流量：22.6L/min，能保持洗眼时间15min。</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11.18开启时间：冲淋手拉阀开启时间≤1s，洗眼器阀门开启时间≤1s。</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11.19不锈钢手推柄配100mm*100mm绿底白色洗眼符号牌。</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11.20主体1500mm以上管子处、或者可以贴在墙体上配200mm*300mm绿底白色洗眼符号塑料标。</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 w:val="0"/>
                <w:bCs/>
                <w:color w:val="auto"/>
                <w:szCs w:val="21"/>
              </w:rPr>
            </w:pPr>
            <w:r>
              <w:rPr>
                <w:rFonts w:ascii="宋体" w:hAnsi="宋体" w:cs="宋体" w:hint="eastAsia"/>
                <w:b w:val="0"/>
                <w:bCs/>
                <w:color w:val="auto"/>
                <w:szCs w:val="21"/>
              </w:rPr>
              <w:t>11.21</w:t>
            </w:r>
            <w:r>
              <w:rPr>
                <w:rFonts w:ascii="宋体" w:hAnsi="宋体" w:hint="eastAsia"/>
                <w:b w:val="0"/>
                <w:bCs/>
                <w:color w:val="auto"/>
                <w:szCs w:val="21"/>
              </w:rPr>
              <w:t>按照GB/T</w:t>
            </w:r>
            <w:r>
              <w:rPr>
                <w:rFonts w:ascii="宋体" w:hAnsi="宋体"/>
                <w:b w:val="0"/>
                <w:bCs/>
                <w:color w:val="auto"/>
                <w:szCs w:val="21"/>
              </w:rPr>
              <w:t>38144.1-2019</w:t>
            </w:r>
            <w:r>
              <w:rPr>
                <w:rFonts w:ascii="宋体" w:hAnsi="宋体" w:hint="eastAsia"/>
                <w:b w:val="0"/>
                <w:bCs/>
                <w:color w:val="auto"/>
                <w:szCs w:val="21"/>
              </w:rPr>
              <w:t>要求，对</w:t>
            </w:r>
            <w:r>
              <w:rPr>
                <w:rFonts w:ascii="宋体" w:hAnsi="宋体" w:cs="宋体" w:hint="eastAsia"/>
                <w:b w:val="0"/>
                <w:bCs/>
                <w:color w:val="auto"/>
                <w:szCs w:val="21"/>
              </w:rPr>
              <w:t>应急喷淋器控制阀门(尺寸、 高度)、应急喷淋器 (密封、 尺寸、流量)、洗眼器 (密封、尺寸、流量)和洗眼/洗脸器（流量、开启时间、尺寸）的检测项目进行检测，检测结果判定均为符合。</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b w:val="0"/>
                <w:color w:val="auto"/>
                <w:szCs w:val="21"/>
              </w:rPr>
              <w:t>11.22</w:t>
            </w:r>
            <w:r>
              <w:rPr>
                <w:rFonts w:ascii="宋体" w:hAnsi="宋体" w:hint="eastAsia"/>
                <w:b w:val="0"/>
                <w:color w:val="auto"/>
                <w:szCs w:val="21"/>
              </w:rPr>
              <w:t>依据GB/T 16422.3-2014要求，对</w:t>
            </w:r>
            <w:r>
              <w:rPr>
                <w:rFonts w:ascii="宋体" w:hAnsi="宋体" w:cs="宋体" w:hint="eastAsia"/>
                <w:b w:val="0"/>
                <w:color w:val="auto"/>
                <w:szCs w:val="21"/>
              </w:rPr>
              <w:t>紧急冲淋洗眼器-塑料配件抗老化测试，测试结果为≤0.20,外观无明显变化</w:t>
            </w:r>
            <w:r>
              <w:rPr>
                <w:rFonts w:ascii="宋体" w:hAnsi="宋体" w:hint="eastAsia"/>
                <w:b w:val="0"/>
                <w:bCs/>
                <w:color w:val="auto"/>
                <w:szCs w:val="21"/>
              </w:rPr>
              <w:t>。</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11.23产品获得国家专利证书。</w:t>
            </w:r>
          </w:p>
        </w:tc>
      </w:tr>
      <w:tr>
        <w:tblPrEx>
          <w:tblW w:w="5000" w:type="pct"/>
          <w:tblCellMar>
            <w:top w:w="0" w:type="dxa"/>
            <w:left w:w="108" w:type="dxa"/>
            <w:bottom w:w="0" w:type="dxa"/>
            <w:right w:w="108" w:type="dxa"/>
          </w:tblCellMar>
          <w:tblLook w:val="0000"/>
        </w:tblPrEx>
        <w:trPr>
          <w:trHeight w:val="90"/>
        </w:trPr>
        <w:tc>
          <w:tcPr>
            <w:tcW w:w="250" w:type="pct"/>
            <w:vMerge w:val="restart"/>
          </w:tcPr>
          <w:p>
            <w:pPr>
              <w:jc w:val="center"/>
              <w:rPr>
                <w:rFonts w:ascii="宋体" w:hAnsi="宋体" w:cs="宋体"/>
                <w:szCs w:val="21"/>
              </w:rPr>
            </w:pPr>
            <w:r>
              <w:rPr>
                <w:rFonts w:ascii="宋体" w:hAnsi="宋体" w:cs="宋体" w:hint="eastAsia"/>
                <w:szCs w:val="21"/>
              </w:rPr>
              <w:t>12</w:t>
            </w:r>
          </w:p>
        </w:tc>
        <w:tc>
          <w:tcPr>
            <w:tcW w:w="1031" w:type="pct"/>
            <w:vMerge w:val="restart"/>
          </w:tcPr>
          <w:p>
            <w:pPr>
              <w:rPr>
                <w:rFonts w:ascii="宋体" w:hAnsi="宋体" w:cs="宋体"/>
                <w:szCs w:val="21"/>
              </w:rPr>
            </w:pPr>
            <w:r>
              <w:rPr>
                <w:rFonts w:ascii="宋体" w:hAnsi="宋体" w:cs="宋体" w:hint="eastAsia"/>
                <w:szCs w:val="21"/>
              </w:rPr>
              <w:t>钢质吊柜+支撑架、钢质吊柜</w:t>
            </w:r>
          </w:p>
        </w:tc>
        <w:tc>
          <w:tcPr>
            <w:tcW w:w="3719" w:type="pct"/>
          </w:tcPr>
          <w:p>
            <w:pPr>
              <w:rPr>
                <w:rFonts w:ascii="宋体" w:hAnsi="宋体" w:cs="宋体"/>
                <w:szCs w:val="21"/>
              </w:rPr>
            </w:pPr>
            <w:r>
              <w:rPr>
                <w:rFonts w:ascii="宋体" w:hAnsi="宋体" w:cs="宋体" w:hint="eastAsia"/>
                <w:szCs w:val="21"/>
              </w:rPr>
              <w:t>12.1主体：主立柱采用≥1.0mm钢板经数控加工，焊接、酸洗磷化处理后喷涂环氧树脂粉末高温烘烤固化，表面需附着力高、硬度耐腐蚀性极强，外形美观。</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12.2钢制双开门实门，柜门≥19mm厚，两层结构为组装式，装配前各面喷涂完毕，柜门内有消声材料，柜门不得为单层结构或焊接式双层结构；</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12.3合页：高光泽的不锈钢材质。非焊接方式将合页和柜体及柜门固定。打开角度为180度，运动负重：≥90kg（≥100000次）；</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12.4层板：环氧树脂喷涂（厚度≥75μm）镀锌钢，实验柜内置活动层板，颜色与柜体同色，实验柜内置活动层板，每20mm可自由上下调节高度；活动层板支撑扣采用≥1.2mm厚304#不锈钢制作；层板由四个钢制层板扣支撑，承重为大于50kg；</w:t>
            </w:r>
          </w:p>
        </w:tc>
      </w:tr>
      <w:tr>
        <w:tblPrEx>
          <w:tblW w:w="5000" w:type="pct"/>
          <w:tblCellMar>
            <w:top w:w="0" w:type="dxa"/>
            <w:left w:w="108" w:type="dxa"/>
            <w:bottom w:w="0" w:type="dxa"/>
            <w:right w:w="108" w:type="dxa"/>
          </w:tblCellMar>
          <w:tblLook w:val="0000"/>
        </w:tblPrEx>
        <w:trPr>
          <w:trHeight w:val="170"/>
        </w:trPr>
        <w:tc>
          <w:tcPr>
            <w:tcW w:w="250" w:type="pct"/>
            <w:vMerge/>
          </w:tcPr>
          <w:p>
            <w:pPr>
              <w:rPr>
                <w:rFonts w:ascii="宋体" w:hAnsi="宋体" w:cs="宋体"/>
                <w:szCs w:val="21"/>
              </w:rPr>
            </w:pPr>
          </w:p>
        </w:tc>
        <w:tc>
          <w:tcPr>
            <w:tcW w:w="1031" w:type="pct"/>
            <w:vMerge/>
          </w:tcPr>
          <w:p>
            <w:pPr>
              <w:rPr>
                <w:rFonts w:ascii="宋体" w:hAnsi="宋体" w:cs="宋体"/>
                <w:szCs w:val="21"/>
              </w:rPr>
            </w:pPr>
          </w:p>
        </w:tc>
        <w:tc>
          <w:tcPr>
            <w:tcW w:w="3719" w:type="pct"/>
          </w:tcPr>
          <w:p>
            <w:pPr>
              <w:rPr>
                <w:rFonts w:ascii="宋体" w:hAnsi="宋体" w:cs="宋体"/>
                <w:szCs w:val="21"/>
              </w:rPr>
            </w:pPr>
            <w:r>
              <w:rPr>
                <w:rFonts w:ascii="宋体" w:hAnsi="宋体" w:cs="宋体" w:hint="eastAsia"/>
                <w:szCs w:val="21"/>
              </w:rPr>
              <w:t>12.5柜门为标准化产品，可以互换，以方便产品维护；</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13</w:t>
            </w:r>
          </w:p>
        </w:tc>
        <w:tc>
          <w:tcPr>
            <w:tcW w:w="1031" w:type="pct"/>
            <w:vMerge w:val="restart"/>
          </w:tcPr>
          <w:p>
            <w:pPr>
              <w:jc w:val="center"/>
              <w:rPr>
                <w:color w:val="000000"/>
                <w:szCs w:val="21"/>
              </w:rPr>
            </w:pPr>
            <w:r>
              <w:rPr>
                <w:rFonts w:hint="eastAsia"/>
                <w:color w:val="000000"/>
                <w:szCs w:val="21"/>
              </w:rPr>
              <w:t>单门单抽柜</w:t>
            </w:r>
          </w:p>
        </w:tc>
        <w:tc>
          <w:tcPr>
            <w:tcW w:w="3719" w:type="pct"/>
          </w:tcPr>
          <w:p>
            <w:pPr>
              <w:rPr>
                <w:rFonts w:ascii="宋体" w:hAnsi="宋体" w:cs="宋体"/>
                <w:szCs w:val="21"/>
              </w:rPr>
            </w:pPr>
            <w:r>
              <w:rPr>
                <w:rFonts w:ascii="宋体" w:hAnsi="宋体" w:cs="宋体" w:hint="eastAsia"/>
                <w:szCs w:val="21"/>
              </w:rPr>
              <w:t>13.1柜体：拆装结构，采用≥1.0mm厚度优质冷轧钢板经数控剪板、冲压、折弯、焊接等一系列程序成型，再经酸洗磷化后喷环氧树脂粉末高温固化；</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13.2柜门≥19mm厚，两层结构为组装式，装配前各面喷涂完毕，柜门内有消声材料，柜门不得为单层结构或焊接式双层结构；</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13.3合页：高光泽的不锈钢材质。非焊接方式将合页和柜体及柜门固定。打开角度为180度，运动负重：≥90kg（≥100000次）；</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13.4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13.5柜门为标准化产品，可以互换，以方便产品维护；</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13.6抽屉滑轨：采用三节静音滑轨；</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13.7拉手：国标304#不锈钢C形孔距160mm拉手。</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13.8标配；4个万向轮。</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14</w:t>
            </w:r>
          </w:p>
        </w:tc>
        <w:tc>
          <w:tcPr>
            <w:tcW w:w="1031" w:type="pct"/>
            <w:vMerge w:val="restart"/>
          </w:tcPr>
          <w:p>
            <w:pPr>
              <w:jc w:val="center"/>
              <w:rPr>
                <w:color w:val="000000"/>
                <w:szCs w:val="21"/>
              </w:rPr>
            </w:pPr>
            <w:r>
              <w:rPr>
                <w:rFonts w:hint="eastAsia"/>
                <w:color w:val="000000"/>
                <w:szCs w:val="21"/>
              </w:rPr>
              <w:t>万向排气罩</w:t>
            </w:r>
          </w:p>
        </w:tc>
        <w:tc>
          <w:tcPr>
            <w:tcW w:w="3719" w:type="pct"/>
          </w:tcPr>
          <w:p>
            <w:pPr>
              <w:rPr>
                <w:rFonts w:ascii="宋体" w:hAnsi="宋体" w:cs="宋体"/>
                <w:szCs w:val="21"/>
              </w:rPr>
            </w:pPr>
            <w:r>
              <w:rPr>
                <w:rFonts w:ascii="宋体" w:hAnsi="宋体" w:cs="宋体" w:hint="eastAsia"/>
                <w:szCs w:val="21"/>
              </w:rPr>
              <w:t>14.1主体：铝合金材质；</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val="0"/>
                <w:bCs/>
                <w:color w:val="auto"/>
                <w:szCs w:val="21"/>
              </w:rPr>
            </w:pPr>
            <w:r>
              <w:rPr>
                <w:rFonts w:ascii="宋体" w:hAnsi="宋体" w:hint="eastAsia"/>
                <w:b w:val="0"/>
                <w:bCs/>
                <w:color w:val="auto"/>
                <w:szCs w:val="21"/>
              </w:rPr>
              <w:t>14.2</w:t>
            </w:r>
            <w:r>
              <w:rPr>
                <w:rFonts w:ascii="宋体" w:hAnsi="宋体" w:cs="宋体" w:hint="eastAsia"/>
                <w:b w:val="0"/>
                <w:bCs/>
                <w:color w:val="auto"/>
                <w:szCs w:val="21"/>
              </w:rPr>
              <w:t>须符合以下技术参数及要求：</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bCs/>
                <w:color w:val="FF0000"/>
                <w:szCs w:val="21"/>
              </w:rPr>
            </w:pPr>
            <w:r>
              <w:rPr>
                <w:rFonts w:ascii="宋体" w:hAnsi="宋体" w:cs="宋体" w:hint="eastAsia"/>
                <w:b/>
                <w:bCs/>
                <w:color w:val="FF0000"/>
                <w:szCs w:val="21"/>
              </w:rPr>
              <w:t>14.2.1</w:t>
            </w:r>
            <w:r>
              <w:rPr>
                <w:rFonts w:hAnsi="宋体" w:hint="eastAsia"/>
                <w:color w:val="FF0000"/>
                <w:kern w:val="0"/>
                <w:szCs w:val="21"/>
                <w:highlight w:val="yellow"/>
              </w:rPr>
              <w:t>★</w:t>
            </w:r>
            <w:r>
              <w:rPr>
                <w:rFonts w:ascii="宋体" w:hAnsi="宋体" w:cs="宋体" w:hint="eastAsia"/>
                <w:b/>
                <w:bCs/>
                <w:color w:val="FF0000"/>
                <w:szCs w:val="21"/>
              </w:rPr>
              <w:t>耐污染性：依据GB17657-2013标准，将铝合金管件浸泡在饱和氯化钠溶液、5%肥皂水、70%乙醇、30%氢氧化钠、30%氯化钠、99%甲苯、99.5%乙醚、10%乙酸中48小时，试验后样品表面无明显变化,检测结果达5级，提供20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val="0"/>
                <w:bCs/>
                <w:color w:val="auto"/>
                <w:szCs w:val="21"/>
              </w:rPr>
            </w:pPr>
            <w:r>
              <w:rPr>
                <w:rFonts w:ascii="宋体" w:hAnsi="宋体" w:cs="宋体" w:hint="eastAsia"/>
                <w:b w:val="0"/>
                <w:bCs/>
                <w:color w:val="auto"/>
                <w:szCs w:val="21"/>
              </w:rPr>
              <w:t>14.2.2耐高温性：温度110℃，持续时间24h,试验后试样形状完整，色泽均匀，外表面平整、光滑、无流淌、凹陷等变化。</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rFonts w:hint="eastAsia"/>
                <w:color w:val="000000"/>
                <w:szCs w:val="21"/>
              </w:rPr>
            </w:pPr>
          </w:p>
        </w:tc>
        <w:tc>
          <w:tcPr>
            <w:tcW w:w="1031" w:type="pct"/>
            <w:vMerge/>
          </w:tcPr>
          <w:p>
            <w:pPr>
              <w:jc w:val="center"/>
              <w:rPr>
                <w:rFonts w:hint="eastAsia"/>
                <w:color w:val="000000"/>
                <w:szCs w:val="21"/>
              </w:rPr>
            </w:pPr>
          </w:p>
        </w:tc>
        <w:tc>
          <w:tcPr>
            <w:tcW w:w="3719" w:type="pct"/>
          </w:tcPr>
          <w:p>
            <w:pPr>
              <w:rPr>
                <w:rFonts w:ascii="宋体" w:hAnsi="宋体" w:cs="宋体" w:hint="eastAsia"/>
                <w:b w:val="0"/>
                <w:bCs/>
                <w:color w:val="auto"/>
                <w:szCs w:val="21"/>
              </w:rPr>
            </w:pPr>
            <w:r>
              <w:rPr>
                <w:rFonts w:ascii="宋体" w:hAnsi="宋体" w:cs="宋体" w:hint="eastAsia"/>
                <w:b w:val="0"/>
                <w:bCs/>
                <w:color w:val="auto"/>
                <w:szCs w:val="21"/>
              </w:rPr>
              <w:t>14.2.</w:t>
            </w:r>
            <w:r>
              <w:rPr>
                <w:rFonts w:ascii="宋体" w:hAnsi="宋体" w:cs="宋体"/>
                <w:b w:val="0"/>
                <w:bCs/>
                <w:color w:val="auto"/>
                <w:szCs w:val="21"/>
              </w:rPr>
              <w:t>3</w:t>
            </w:r>
            <w:r>
              <w:rPr>
                <w:rFonts w:ascii="宋体" w:hAnsi="宋体" w:cs="宋体" w:hint="eastAsia"/>
                <w:b w:val="0"/>
                <w:bCs/>
                <w:color w:val="auto"/>
                <w:szCs w:val="21"/>
              </w:rPr>
              <w:t>提供第三方检测机构出具的RoHS环保测试报告；</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w:t>
            </w:r>
            <w:r>
              <w:rPr>
                <w:rFonts w:ascii="宋体" w:hAnsi="宋体" w:cs="宋体"/>
                <w:szCs w:val="21"/>
              </w:rPr>
              <w:t>3</w:t>
            </w:r>
            <w:r>
              <w:rPr>
                <w:rFonts w:ascii="宋体" w:hAnsi="宋体" w:cs="宋体" w:hint="eastAsia"/>
                <w:szCs w:val="21"/>
              </w:rPr>
              <w:t>关节：高密度PP材质，可360°旋转调节方向，易拆卸、重组及清洗；</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w:t>
            </w:r>
            <w:r>
              <w:rPr>
                <w:rFonts w:ascii="宋体" w:hAnsi="宋体" w:cs="宋体"/>
                <w:szCs w:val="21"/>
              </w:rPr>
              <w:t>4</w:t>
            </w:r>
            <w:r>
              <w:rPr>
                <w:rFonts w:ascii="宋体" w:hAnsi="宋体" w:cs="宋体" w:hint="eastAsia"/>
                <w:szCs w:val="21"/>
              </w:rPr>
              <w:t>关节密封圈：不易老化之高密度橡胶；</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w:t>
            </w:r>
            <w:r>
              <w:rPr>
                <w:rFonts w:ascii="宋体" w:hAnsi="宋体" w:cs="宋体"/>
                <w:szCs w:val="21"/>
              </w:rPr>
              <w:t>5</w:t>
            </w:r>
            <w:r>
              <w:rPr>
                <w:rFonts w:ascii="宋体" w:hAnsi="宋体" w:cs="宋体" w:hint="eastAsia"/>
                <w:szCs w:val="21"/>
              </w:rPr>
              <w:t>关节连接杆：304不锈钢；</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14.5关节松紧旋钮：全铜材质确保螺纹不滑丝，内嵌不锈钢轴承，与关节连接杆锁合；</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14.6气流调节阀：手动调节外部阀门旋钮，控制进入之气流量；</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14.7伸缩导管φ88mm铝合金管；</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14.8铝合金360°旋转装置：以固定架为中心最大活动半径≥2000mm；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14.9拱型/杯型集气罩：高密度PP/PC材质；</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14.10固定底座：铝合金材质由模具注塑一体成型，牢度强，不脱底。安装更方便，且安装后外观平整度高，光滑无凹凸，不易变形；</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szCs w:val="21"/>
              </w:rPr>
            </w:pPr>
          </w:p>
        </w:tc>
        <w:tc>
          <w:tcPr>
            <w:tcW w:w="3719" w:type="pct"/>
          </w:tcPr>
          <w:p>
            <w:pPr>
              <w:rPr>
                <w:rFonts w:ascii="宋体" w:hAnsi="宋体" w:cs="宋体"/>
                <w:bCs/>
                <w:szCs w:val="21"/>
              </w:rPr>
            </w:pPr>
            <w:r>
              <w:rPr>
                <w:rFonts w:ascii="宋体" w:hAnsi="宋体" w:cs="宋体" w:hint="eastAsia"/>
                <w:bCs/>
                <w:szCs w:val="21"/>
              </w:rPr>
              <w:t>14.11常温下，将试样浸泡在30%硫酸、30%硝酸、30%盐酸、30%氢氧化钠、甲苯及乙醚、10%乙酸、70%乙醇、15%次氯酸钠、饱和NaCl及5%肥皂水中48小时，试验后样品表面无明显变化；</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
                <w:color w:val="FF0000"/>
                <w:szCs w:val="21"/>
              </w:rPr>
            </w:pPr>
            <w:r>
              <w:rPr>
                <w:rFonts w:ascii="宋体" w:hAnsi="宋体" w:cs="宋体" w:hint="eastAsia"/>
                <w:b/>
                <w:color w:val="FF0000"/>
                <w:szCs w:val="21"/>
              </w:rPr>
              <w:t>14.1</w:t>
            </w:r>
            <w:r>
              <w:rPr>
                <w:rFonts w:ascii="宋体" w:hAnsi="宋体" w:cs="宋体"/>
                <w:b/>
                <w:color w:val="FF0000"/>
                <w:szCs w:val="21"/>
              </w:rPr>
              <w:t>2</w:t>
            </w:r>
            <w:r>
              <w:rPr>
                <w:rFonts w:ascii="宋体" w:hAnsi="宋体" w:cs="宋体" w:hint="eastAsia"/>
                <w:b/>
                <w:color w:val="FF0000"/>
                <w:szCs w:val="21"/>
              </w:rPr>
              <w:t>投标人提供国内保险公司产品（万向排气罩）承保合同扫描件加盖投标人公章；</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color w:val="auto"/>
                <w:szCs w:val="21"/>
              </w:rPr>
            </w:pPr>
            <w:r>
              <w:rPr>
                <w:rFonts w:ascii="宋体" w:hAnsi="宋体" w:cs="宋体" w:hint="eastAsia"/>
                <w:color w:val="auto"/>
                <w:szCs w:val="21"/>
              </w:rPr>
              <w:t>14.1</w:t>
            </w:r>
            <w:r>
              <w:rPr>
                <w:rFonts w:ascii="宋体" w:hAnsi="宋体" w:cs="宋体"/>
                <w:color w:val="auto"/>
                <w:szCs w:val="21"/>
              </w:rPr>
              <w:t>3</w:t>
            </w:r>
            <w:r>
              <w:rPr>
                <w:rFonts w:hAnsi="宋体" w:hint="eastAsia"/>
                <w:color w:val="FF0000"/>
                <w:kern w:val="0"/>
                <w:szCs w:val="21"/>
                <w:highlight w:val="yellow"/>
              </w:rPr>
              <w:t>★</w:t>
            </w:r>
            <w:r>
              <w:rPr>
                <w:rFonts w:ascii="宋体" w:hAnsi="宋体" w:cs="宋体" w:hint="eastAsia"/>
                <w:color w:val="auto"/>
                <w:szCs w:val="21"/>
              </w:rPr>
              <w:t>要求：完成万向排风罩接入实验室排风管，并完成调试。</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15</w:t>
            </w:r>
          </w:p>
        </w:tc>
        <w:tc>
          <w:tcPr>
            <w:tcW w:w="1031" w:type="pct"/>
            <w:vMerge w:val="restart"/>
          </w:tcPr>
          <w:p>
            <w:pPr>
              <w:jc w:val="center"/>
              <w:rPr>
                <w:color w:val="000000"/>
                <w:szCs w:val="21"/>
              </w:rPr>
            </w:pPr>
            <w:r>
              <w:rPr>
                <w:rFonts w:hint="eastAsia"/>
                <w:color w:val="000000"/>
                <w:szCs w:val="21"/>
              </w:rPr>
              <w:t>承载式天花、自动伸缩卷线器</w:t>
            </w:r>
          </w:p>
        </w:tc>
        <w:tc>
          <w:tcPr>
            <w:tcW w:w="3719" w:type="pct"/>
          </w:tcPr>
          <w:p>
            <w:pPr>
              <w:rPr>
                <w:rFonts w:ascii="宋体" w:hAnsi="宋体" w:cs="宋体"/>
                <w:szCs w:val="21"/>
              </w:rPr>
            </w:pPr>
            <w:r>
              <w:rPr>
                <w:rFonts w:ascii="宋体" w:hAnsi="宋体" w:cs="宋体" w:hint="eastAsia"/>
                <w:szCs w:val="21"/>
              </w:rPr>
              <w:t>15.1材质要求：铝合金型材、耐酸碱、耐腐蚀；</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15.2型材采用：50mm*50mm铝合金吊杠、横梁采用：50*50铝合金。</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15.3要求：吊架采用装配式工艺，在工厂里预制加工成半成品，在现场采用可拆装式工艺装配，不允许在现场焊接打磨施工。主龙骨与主龙骨链接工艺：采用哨子链接方式，外围四角加强力角件。部件尺寸同厂家同款铝型材配套。</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15.4主副龙骨链接工艺： 采用哨子链接方式，主龙骨悬挂楼顶： 膨胀螺栓连接∅10mm丝杆，固定铝脚板。</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15.5自动伸缩型卷管器（电鼓）：型号3*4平方/10米配排插，380V不配排插。外壳材料：工程ABS，线缆材质：全钱芯线+双层胶皮外层。</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15.6</w:t>
            </w:r>
            <w:r>
              <w:rPr>
                <w:rFonts w:hAnsi="宋体" w:hint="eastAsia"/>
                <w:color w:val="FF0000"/>
                <w:kern w:val="0"/>
                <w:szCs w:val="21"/>
                <w:highlight w:val="yellow"/>
              </w:rPr>
              <w:t>★</w:t>
            </w:r>
            <w:r>
              <w:rPr>
                <w:rFonts w:ascii="宋体" w:hAnsi="宋体" w:cs="宋体" w:hint="eastAsia"/>
                <w:szCs w:val="21"/>
              </w:rPr>
              <w:t>根据实验室预留电源情况，合理布置线缆完成台柜接线。</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16</w:t>
            </w:r>
          </w:p>
        </w:tc>
        <w:tc>
          <w:tcPr>
            <w:tcW w:w="1031" w:type="pct"/>
            <w:vMerge w:val="restart"/>
          </w:tcPr>
          <w:p>
            <w:pPr>
              <w:jc w:val="center"/>
              <w:rPr>
                <w:color w:val="000000"/>
                <w:szCs w:val="21"/>
              </w:rPr>
            </w:pPr>
            <w:r>
              <w:rPr>
                <w:rFonts w:hint="eastAsia"/>
                <w:color w:val="000000"/>
                <w:szCs w:val="21"/>
              </w:rPr>
              <w:t>插座盒</w:t>
            </w:r>
          </w:p>
        </w:tc>
        <w:tc>
          <w:tcPr>
            <w:tcW w:w="3719" w:type="pct"/>
          </w:tcPr>
          <w:p>
            <w:pPr>
              <w:rPr>
                <w:rFonts w:ascii="宋体" w:hAnsi="宋体" w:cs="宋体"/>
                <w:szCs w:val="21"/>
              </w:rPr>
            </w:pPr>
            <w:r>
              <w:rPr>
                <w:rFonts w:ascii="宋体" w:hAnsi="宋体" w:cs="宋体" w:hint="eastAsia"/>
                <w:szCs w:val="21"/>
              </w:rPr>
              <w:t>16.1材料采用厚1.0mm优质冷轧钢板，经过磷化处理，再经乳白色EPOXY涂层厚度为90微米，最后经高温烘烤制作而成，规格是120mm*85mm*85mm。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16.2插座面板：面板是PC材料、外观尺寸是86*86mm,插孔电流：10A\16A，单位孔数五孔或三孔。铜片材质：磷青铜。</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hint="eastAsia"/>
                <w:bCs/>
                <w:szCs w:val="21"/>
              </w:rPr>
            </w:pPr>
            <w:r>
              <w:rPr>
                <w:rFonts w:ascii="宋体" w:hAnsi="宋体" w:cs="宋体" w:hint="eastAsia"/>
                <w:bCs/>
                <w:szCs w:val="21"/>
              </w:rPr>
              <w:t>1</w:t>
            </w:r>
            <w:r>
              <w:rPr>
                <w:rFonts w:ascii="宋体" w:hAnsi="宋体" w:cs="宋体"/>
                <w:bCs/>
                <w:szCs w:val="21"/>
              </w:rPr>
              <w:t>6</w:t>
            </w:r>
            <w:r>
              <w:rPr>
                <w:rFonts w:ascii="宋体" w:hAnsi="宋体" w:cs="宋体" w:hint="eastAsia"/>
                <w:bCs/>
                <w:szCs w:val="21"/>
              </w:rPr>
              <w:t>.</w:t>
            </w:r>
            <w:r>
              <w:rPr>
                <w:rFonts w:ascii="宋体" w:hAnsi="宋体" w:cs="宋体"/>
                <w:bCs/>
                <w:szCs w:val="21"/>
              </w:rPr>
              <w:t>3</w:t>
            </w:r>
            <w:r>
              <w:rPr>
                <w:rFonts w:ascii="宋体" w:hAnsi="宋体" w:cs="宋体" w:hint="eastAsia"/>
                <w:bCs/>
                <w:szCs w:val="21"/>
              </w:rPr>
              <w:t>须符合以下技术参数要求：</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16.3.1中央台插座布置：每1.5米6个10A 5孔插座。</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16.</w:t>
            </w:r>
            <w:r>
              <w:rPr>
                <w:rFonts w:ascii="宋体" w:hAnsi="宋体" w:cs="宋体"/>
                <w:bCs/>
                <w:szCs w:val="21"/>
              </w:rPr>
              <w:t>3</w:t>
            </w:r>
            <w:r>
              <w:rPr>
                <w:rFonts w:ascii="宋体" w:hAnsi="宋体" w:cs="宋体" w:hint="eastAsia"/>
                <w:bCs/>
                <w:szCs w:val="21"/>
              </w:rPr>
              <w:t>．</w:t>
            </w:r>
            <w:r>
              <w:rPr>
                <w:rFonts w:ascii="宋体" w:hAnsi="宋体" w:cs="宋体"/>
                <w:bCs/>
                <w:szCs w:val="21"/>
              </w:rPr>
              <w:t>2</w:t>
            </w:r>
            <w:r>
              <w:rPr>
                <w:rFonts w:ascii="宋体" w:hAnsi="宋体" w:cs="宋体" w:hint="eastAsia"/>
                <w:bCs/>
                <w:szCs w:val="21"/>
              </w:rPr>
              <w:t>各类边台插座布置：每1.5米3个10A 5孔插座。</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16.3.</w:t>
            </w:r>
            <w:r>
              <w:rPr>
                <w:rFonts w:ascii="宋体" w:hAnsi="宋体" w:cs="宋体"/>
                <w:bCs/>
                <w:szCs w:val="21"/>
              </w:rPr>
              <w:t>3</w:t>
            </w:r>
            <w:r>
              <w:rPr>
                <w:rFonts w:ascii="宋体" w:hAnsi="宋体" w:cs="宋体" w:hint="eastAsia"/>
                <w:bCs/>
                <w:szCs w:val="21"/>
              </w:rPr>
              <w:t>仪器台插座布置：每1.5米6个10A 5孔插座。</w:t>
            </w:r>
          </w:p>
        </w:tc>
      </w:tr>
      <w:tr>
        <w:tblPrEx>
          <w:tblW w:w="5000" w:type="pct"/>
          <w:tblCellMar>
            <w:top w:w="0" w:type="dxa"/>
            <w:left w:w="108" w:type="dxa"/>
            <w:bottom w:w="0" w:type="dxa"/>
            <w:right w:w="108" w:type="dxa"/>
          </w:tblCellMar>
          <w:tblLook w:val="0000"/>
        </w:tblPrEx>
        <w:trPr>
          <w:trHeight w:val="170"/>
        </w:trPr>
        <w:tc>
          <w:tcPr>
            <w:tcW w:w="250" w:type="pct"/>
            <w:vMerge w:val="restart"/>
          </w:tcPr>
          <w:p>
            <w:pPr>
              <w:jc w:val="center"/>
              <w:rPr>
                <w:color w:val="000000"/>
                <w:szCs w:val="21"/>
              </w:rPr>
            </w:pPr>
            <w:r>
              <w:rPr>
                <w:rFonts w:hint="eastAsia"/>
                <w:color w:val="000000"/>
                <w:szCs w:val="21"/>
              </w:rPr>
              <w:t>17</w:t>
            </w:r>
          </w:p>
        </w:tc>
        <w:tc>
          <w:tcPr>
            <w:tcW w:w="1031" w:type="pct"/>
            <w:vMerge w:val="restart"/>
          </w:tcPr>
          <w:p>
            <w:pPr>
              <w:jc w:val="center"/>
              <w:rPr>
                <w:color w:val="000000"/>
                <w:szCs w:val="21"/>
              </w:rPr>
            </w:pPr>
            <w:r>
              <w:rPr>
                <w:rFonts w:hint="eastAsia"/>
                <w:color w:val="000000"/>
                <w:szCs w:val="21"/>
              </w:rPr>
              <w:t>护墙板</w:t>
            </w:r>
          </w:p>
        </w:tc>
        <w:tc>
          <w:tcPr>
            <w:tcW w:w="3719" w:type="pct"/>
          </w:tcPr>
          <w:p>
            <w:pPr>
              <w:rPr>
                <w:rFonts w:ascii="宋体" w:hAnsi="宋体" w:cs="宋体"/>
                <w:szCs w:val="21"/>
              </w:rPr>
            </w:pPr>
            <w:r>
              <w:rPr>
                <w:rFonts w:ascii="宋体" w:hAnsi="宋体" w:cs="宋体" w:hint="eastAsia"/>
                <w:szCs w:val="21"/>
              </w:rPr>
              <w:t>17.1采用SUS304不锈钢，钢板厚度≥1.mm。</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17.2内嵌10mm厚夹板。</w:t>
            </w:r>
          </w:p>
        </w:tc>
      </w:tr>
      <w:tr>
        <w:tblPrEx>
          <w:tblW w:w="5000" w:type="pct"/>
          <w:tblCellMar>
            <w:top w:w="0" w:type="dxa"/>
            <w:left w:w="108" w:type="dxa"/>
            <w:bottom w:w="0" w:type="dxa"/>
            <w:right w:w="108" w:type="dxa"/>
          </w:tblCellMar>
          <w:tblLook w:val="0000"/>
        </w:tblPrEx>
        <w:trPr>
          <w:trHeight w:val="253"/>
        </w:trPr>
        <w:tc>
          <w:tcPr>
            <w:tcW w:w="250" w:type="pct"/>
            <w:vMerge w:val="restart"/>
          </w:tcPr>
          <w:p>
            <w:pPr>
              <w:jc w:val="center"/>
              <w:rPr>
                <w:color w:val="000000"/>
                <w:szCs w:val="21"/>
              </w:rPr>
            </w:pPr>
            <w:r>
              <w:rPr>
                <w:rFonts w:hint="eastAsia"/>
                <w:color w:val="000000"/>
                <w:szCs w:val="21"/>
              </w:rPr>
              <w:t>18</w:t>
            </w:r>
          </w:p>
        </w:tc>
        <w:tc>
          <w:tcPr>
            <w:tcW w:w="1031" w:type="pct"/>
            <w:vMerge w:val="restart"/>
          </w:tcPr>
          <w:p>
            <w:pPr>
              <w:jc w:val="center"/>
              <w:rPr>
                <w:color w:val="000000"/>
                <w:szCs w:val="21"/>
              </w:rPr>
            </w:pPr>
            <w:r>
              <w:rPr>
                <w:rFonts w:hint="eastAsia"/>
                <w:color w:val="000000"/>
                <w:szCs w:val="21"/>
              </w:rPr>
              <w:t>实验凳</w:t>
            </w:r>
          </w:p>
        </w:tc>
        <w:tc>
          <w:tcPr>
            <w:tcW w:w="3719" w:type="pct"/>
          </w:tcPr>
          <w:p>
            <w:pPr>
              <w:rPr>
                <w:rFonts w:ascii="宋体" w:hAnsi="宋体" w:cs="宋体"/>
                <w:szCs w:val="21"/>
              </w:rPr>
            </w:pPr>
            <w:r>
              <w:rPr>
                <w:rFonts w:ascii="宋体" w:hAnsi="宋体" w:cs="宋体" w:hint="eastAsia"/>
                <w:szCs w:val="21"/>
              </w:rPr>
              <w:t>18.1主体SUS304不锈钢材质支撑及凳面，气动升降；</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bCs/>
                <w:szCs w:val="21"/>
              </w:rPr>
            </w:pPr>
            <w:r>
              <w:rPr>
                <w:rFonts w:ascii="宋体" w:hAnsi="宋体" w:cs="宋体" w:hint="eastAsia"/>
                <w:bCs/>
                <w:szCs w:val="21"/>
              </w:rPr>
              <w:t>18.2气杆：要求采用通过第三方检测机构质量认证的防爆气杆；</w:t>
            </w:r>
          </w:p>
        </w:tc>
      </w:tr>
      <w:tr>
        <w:tblPrEx>
          <w:tblW w:w="5000" w:type="pct"/>
          <w:tblCellMar>
            <w:top w:w="0" w:type="dxa"/>
            <w:left w:w="108" w:type="dxa"/>
            <w:bottom w:w="0" w:type="dxa"/>
            <w:right w:w="108" w:type="dxa"/>
          </w:tblCellMar>
          <w:tblLook w:val="0000"/>
        </w:tblPrEx>
        <w:trPr>
          <w:trHeight w:val="170"/>
        </w:trPr>
        <w:tc>
          <w:tcPr>
            <w:tcW w:w="250" w:type="pct"/>
            <w:vMerge/>
          </w:tcPr>
          <w:p>
            <w:pPr>
              <w:jc w:val="center"/>
              <w:rPr>
                <w:color w:val="000000"/>
                <w:szCs w:val="21"/>
              </w:rPr>
            </w:pPr>
          </w:p>
        </w:tc>
        <w:tc>
          <w:tcPr>
            <w:tcW w:w="1031" w:type="pct"/>
            <w:vMerge/>
          </w:tcPr>
          <w:p>
            <w:pPr>
              <w:rPr>
                <w:color w:val="000000"/>
                <w:szCs w:val="21"/>
              </w:rPr>
            </w:pPr>
          </w:p>
        </w:tc>
        <w:tc>
          <w:tcPr>
            <w:tcW w:w="3719" w:type="pct"/>
          </w:tcPr>
          <w:p>
            <w:pPr>
              <w:rPr>
                <w:rFonts w:ascii="宋体" w:hAnsi="宋体" w:cs="宋体"/>
                <w:szCs w:val="21"/>
              </w:rPr>
            </w:pPr>
            <w:r>
              <w:rPr>
                <w:rFonts w:ascii="宋体" w:hAnsi="宋体" w:cs="宋体" w:hint="eastAsia"/>
                <w:szCs w:val="21"/>
              </w:rPr>
              <w:t>18.3凳脚：采用脚垫非滑轮；</w:t>
            </w:r>
          </w:p>
        </w:tc>
      </w:tr>
    </w:tbl>
    <w:p>
      <w:pPr>
        <w:rPr>
          <w:b/>
          <w:szCs w:val="21"/>
        </w:rPr>
      </w:pPr>
      <w:bookmarkEnd w:id="47"/>
    </w:p>
    <w:p>
      <w:pPr>
        <w:pStyle w:val="BodyText2"/>
      </w:pPr>
    </w:p>
    <w:p>
      <w:pPr>
        <w:pStyle w:val="Heading2"/>
        <w:spacing w:before="120" w:beforeLines="50" w:after="120" w:afterLines="50"/>
        <w:rPr>
          <w:sz w:val="28"/>
          <w:szCs w:val="28"/>
        </w:rPr>
      </w:pPr>
      <w:r>
        <w:rPr>
          <w:rFonts w:hint="eastAsia"/>
          <w:sz w:val="28"/>
          <w:szCs w:val="28"/>
        </w:rPr>
        <w:t>五、商务要求</w:t>
      </w:r>
    </w:p>
    <w:p>
      <w:pPr>
        <w:ind w:firstLine="42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218"/>
        <w:gridCol w:w="1566"/>
        <w:gridCol w:w="5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97"/>
        </w:trPr>
        <w:tc>
          <w:tcPr>
            <w:tcW w:w="714" w:type="pct"/>
            <w:vAlign w:val="center"/>
          </w:tcPr>
          <w:p>
            <w:pPr>
              <w:jc w:val="center"/>
              <w:rPr>
                <w:b/>
              </w:rPr>
            </w:pPr>
            <w:r>
              <w:rPr>
                <w:rFonts w:hint="eastAsia"/>
                <w:b/>
              </w:rPr>
              <w:t>序号</w:t>
            </w:r>
          </w:p>
        </w:tc>
        <w:tc>
          <w:tcPr>
            <w:tcW w:w="918" w:type="pct"/>
            <w:vAlign w:val="center"/>
          </w:tcPr>
          <w:p>
            <w:pPr>
              <w:jc w:val="center"/>
              <w:rPr>
                <w:b/>
              </w:rPr>
            </w:pPr>
            <w:r>
              <w:rPr>
                <w:rFonts w:hint="eastAsia"/>
                <w:b/>
              </w:rPr>
              <w:t>商务需求项</w:t>
            </w:r>
          </w:p>
        </w:tc>
        <w:tc>
          <w:tcPr>
            <w:tcW w:w="3368" w:type="pct"/>
            <w:vAlign w:val="center"/>
          </w:tcPr>
          <w:p>
            <w:pPr>
              <w:jc w:val="center"/>
              <w:rPr>
                <w:b/>
              </w:rPr>
            </w:pPr>
            <w:r>
              <w:rPr>
                <w:rFonts w:hint="eastAsia"/>
                <w:b/>
              </w:rPr>
              <w:t>招标商务要求</w:t>
            </w:r>
          </w:p>
        </w:tc>
      </w:tr>
      <w:tr>
        <w:tblPrEx>
          <w:tblW w:w="5000" w:type="pct"/>
          <w:tblCellMar>
            <w:top w:w="0" w:type="dxa"/>
            <w:left w:w="108" w:type="dxa"/>
            <w:bottom w:w="0" w:type="dxa"/>
            <w:right w:w="108" w:type="dxa"/>
          </w:tblCellMar>
          <w:tblLook w:val="0000"/>
        </w:tblPrEx>
        <w:trPr>
          <w:trHeight w:val="280"/>
        </w:trPr>
        <w:tc>
          <w:tcPr>
            <w:tcW w:w="5000" w:type="pct"/>
            <w:gridSpan w:val="3"/>
          </w:tcPr>
          <w:p>
            <w:pPr>
              <w:rPr>
                <w:b/>
              </w:rPr>
            </w:pPr>
            <w:r>
              <w:rPr>
                <w:rFonts w:hint="eastAsia"/>
                <w:b/>
              </w:rPr>
              <w:t>（一）免费保修期内售后服务要求</w:t>
            </w:r>
          </w:p>
        </w:tc>
      </w:tr>
      <w:tr>
        <w:tblPrEx>
          <w:tblW w:w="5000" w:type="pct"/>
          <w:tblCellMar>
            <w:top w:w="0" w:type="dxa"/>
            <w:left w:w="108" w:type="dxa"/>
            <w:bottom w:w="0" w:type="dxa"/>
            <w:right w:w="108" w:type="dxa"/>
          </w:tblCellMar>
          <w:tblLook w:val="0000"/>
        </w:tblPrEx>
        <w:trPr>
          <w:trHeight w:val="523"/>
        </w:trPr>
        <w:tc>
          <w:tcPr>
            <w:tcW w:w="714" w:type="pct"/>
            <w:vAlign w:val="center"/>
          </w:tcPr>
          <w:p>
            <w:pPr>
              <w:jc w:val="center"/>
              <w:rPr>
                <w:b/>
              </w:rPr>
            </w:pPr>
            <w:r>
              <w:rPr>
                <w:rFonts w:hint="eastAsia"/>
                <w:b/>
              </w:rPr>
              <w:t>1</w:t>
            </w:r>
          </w:p>
        </w:tc>
        <w:tc>
          <w:tcPr>
            <w:tcW w:w="918" w:type="pct"/>
            <w:vAlign w:val="center"/>
          </w:tcPr>
          <w:p>
            <w:r>
              <w:rPr>
                <w:rFonts w:ascii="宋体" w:hAnsi="宋体" w:cs="宋体" w:hint="eastAsia"/>
                <w:b/>
                <w:szCs w:val="21"/>
              </w:rPr>
              <w:t>★</w:t>
            </w:r>
            <w:r>
              <w:rPr>
                <w:rFonts w:hint="eastAsia"/>
              </w:rPr>
              <w:t>售后服务</w:t>
            </w:r>
          </w:p>
        </w:tc>
        <w:tc>
          <w:tcPr>
            <w:tcW w:w="3368" w:type="pct"/>
            <w:vAlign w:val="center"/>
          </w:tcPr>
          <w:p>
            <w:pPr>
              <w:rPr>
                <w:bCs/>
                <w:szCs w:val="21"/>
              </w:rPr>
            </w:pPr>
            <w:r>
              <w:rPr>
                <w:bCs/>
                <w:szCs w:val="21"/>
              </w:rPr>
              <w:t>投标人</w:t>
            </w:r>
            <w:r>
              <w:rPr>
                <w:rFonts w:hint="eastAsia"/>
                <w:bCs/>
                <w:szCs w:val="21"/>
              </w:rPr>
              <w:t>或所投产品制造商</w:t>
            </w:r>
            <w:r>
              <w:rPr>
                <w:bCs/>
                <w:szCs w:val="21"/>
              </w:rPr>
              <w:t>应具有规范的实验室家具生产基地</w:t>
            </w:r>
            <w:r>
              <w:rPr>
                <w:rFonts w:hint="eastAsia"/>
                <w:bCs/>
                <w:szCs w:val="21"/>
              </w:rPr>
              <w:t>，</w:t>
            </w:r>
            <w:r>
              <w:rPr>
                <w:bCs/>
                <w:szCs w:val="21"/>
              </w:rPr>
              <w:t>并具有提供日常维护和技术支持的能力</w:t>
            </w:r>
            <w:r>
              <w:rPr>
                <w:rFonts w:hint="eastAsia"/>
                <w:bCs/>
                <w:szCs w:val="21"/>
              </w:rPr>
              <w:t>，并</w:t>
            </w:r>
            <w:r>
              <w:rPr>
                <w:rFonts w:hint="eastAsia"/>
                <w:b/>
                <w:bCs/>
                <w:color w:val="FF0000"/>
                <w:szCs w:val="21"/>
                <w:highlight w:val="none"/>
              </w:rPr>
              <w:t>提供</w:t>
            </w:r>
            <w:r>
              <w:rPr>
                <w:rFonts w:hint="eastAsia"/>
                <w:b/>
                <w:bCs/>
                <w:color w:val="FF0000"/>
                <w:szCs w:val="21"/>
                <w:highlight w:val="none"/>
                <w:lang w:val="en-US" w:eastAsia="zh-CN"/>
              </w:rPr>
              <w:t>投标人或所投</w:t>
            </w:r>
            <w:r>
              <w:rPr>
                <w:rFonts w:hint="eastAsia"/>
                <w:b/>
                <w:bCs/>
                <w:color w:val="FF0000"/>
                <w:szCs w:val="21"/>
                <w:highlight w:val="none"/>
              </w:rPr>
              <w:t>产品制造商厂房实景照片</w:t>
            </w:r>
            <w:r>
              <w:rPr>
                <w:bCs/>
                <w:szCs w:val="21"/>
              </w:rPr>
              <w:t>；投标人</w:t>
            </w:r>
            <w:r>
              <w:rPr>
                <w:rFonts w:hint="eastAsia"/>
                <w:bCs/>
                <w:szCs w:val="21"/>
              </w:rPr>
              <w:t>或所投产品制造商</w:t>
            </w:r>
            <w:r>
              <w:rPr>
                <w:bCs/>
                <w:szCs w:val="21"/>
              </w:rPr>
              <w:t>必须在广东省内设有常驻售后服务机构</w:t>
            </w:r>
            <w:r>
              <w:rPr>
                <w:rFonts w:hint="eastAsia"/>
                <w:bCs/>
                <w:szCs w:val="21"/>
              </w:rPr>
              <w:t>或中标后设立</w:t>
            </w:r>
            <w:r>
              <w:rPr>
                <w:bCs/>
                <w:szCs w:val="21"/>
              </w:rPr>
              <w:t>，能提供正常的技术、备品条件服务等。</w:t>
            </w:r>
          </w:p>
        </w:tc>
      </w:tr>
      <w:tr>
        <w:tblPrEx>
          <w:tblW w:w="5000" w:type="pct"/>
          <w:tblCellMar>
            <w:top w:w="0" w:type="dxa"/>
            <w:left w:w="108" w:type="dxa"/>
            <w:bottom w:w="0" w:type="dxa"/>
            <w:right w:w="108" w:type="dxa"/>
          </w:tblCellMar>
          <w:tblLook w:val="0000"/>
        </w:tblPrEx>
        <w:trPr>
          <w:trHeight w:val="523"/>
        </w:trPr>
        <w:tc>
          <w:tcPr>
            <w:tcW w:w="714" w:type="pct"/>
            <w:vAlign w:val="center"/>
          </w:tcPr>
          <w:p>
            <w:pPr>
              <w:jc w:val="center"/>
              <w:rPr>
                <w:b/>
              </w:rPr>
            </w:pPr>
            <w:r>
              <w:rPr>
                <w:rFonts w:hint="eastAsia"/>
                <w:b/>
              </w:rPr>
              <w:t>2</w:t>
            </w:r>
          </w:p>
        </w:tc>
        <w:tc>
          <w:tcPr>
            <w:tcW w:w="918" w:type="pct"/>
            <w:vAlign w:val="center"/>
          </w:tcPr>
          <w:p>
            <w:r>
              <w:rPr>
                <w:rFonts w:ascii="宋体" w:hAnsi="宋体" w:cs="宋体" w:hint="eastAsia"/>
                <w:b/>
                <w:szCs w:val="21"/>
              </w:rPr>
              <w:t>★</w:t>
            </w:r>
            <w:r>
              <w:rPr>
                <w:rFonts w:hint="eastAsia"/>
              </w:rPr>
              <w:t>免费保修期及服务</w:t>
            </w:r>
          </w:p>
        </w:tc>
        <w:tc>
          <w:tcPr>
            <w:tcW w:w="3368" w:type="pct"/>
            <w:vAlign w:val="center"/>
          </w:tcPr>
          <w:p>
            <w:pPr>
              <w:rPr>
                <w:bCs/>
                <w:snapToGrid w:val="0"/>
                <w:kern w:val="0"/>
                <w:szCs w:val="21"/>
              </w:rPr>
            </w:pPr>
            <w:r>
              <w:rPr>
                <w:rFonts w:hint="eastAsia"/>
                <w:bCs/>
                <w:snapToGrid w:val="0"/>
                <w:kern w:val="0"/>
                <w:szCs w:val="21"/>
              </w:rPr>
              <w:t>免费保修期叁</w:t>
            </w:r>
            <w:r>
              <w:rPr>
                <w:bCs/>
                <w:snapToGrid w:val="0"/>
                <w:kern w:val="0"/>
                <w:szCs w:val="21"/>
              </w:rPr>
              <w:t>年（在技术参数中特殊要求的除外）。</w:t>
            </w:r>
            <w:r>
              <w:rPr>
                <w:rFonts w:hint="eastAsia"/>
                <w:bCs/>
                <w:snapToGrid w:val="0"/>
                <w:kern w:val="0"/>
                <w:szCs w:val="21"/>
              </w:rPr>
              <w:t>在免费保修期</w:t>
            </w:r>
            <w:r>
              <w:rPr>
                <w:bCs/>
                <w:snapToGrid w:val="0"/>
                <w:kern w:val="0"/>
                <w:szCs w:val="21"/>
              </w:rPr>
              <w:t>内，如果有因质量问题而引起的损坏，</w:t>
            </w:r>
            <w:bookmarkStart w:id="62" w:name="OLE_LINK2"/>
            <w:bookmarkStart w:id="63" w:name="OLE_LINK1"/>
            <w:r>
              <w:rPr>
                <w:bCs/>
                <w:snapToGrid w:val="0"/>
                <w:kern w:val="0"/>
                <w:szCs w:val="21"/>
              </w:rPr>
              <w:t>成交供应商</w:t>
            </w:r>
            <w:bookmarkEnd w:id="62"/>
            <w:bookmarkEnd w:id="63"/>
            <w:r>
              <w:rPr>
                <w:bCs/>
                <w:snapToGrid w:val="0"/>
                <w:kern w:val="0"/>
                <w:szCs w:val="21"/>
              </w:rPr>
              <w:t>应在收到采购人通知后，在采购人要求的时间内（与采购人共同协商）对货物予以维修，</w:t>
            </w:r>
            <w:r>
              <w:rPr>
                <w:rFonts w:hint="eastAsia"/>
                <w:bCs/>
                <w:snapToGrid w:val="0"/>
                <w:kern w:val="0"/>
                <w:szCs w:val="21"/>
              </w:rPr>
              <w:t>免费保修期</w:t>
            </w:r>
            <w:r>
              <w:rPr>
                <w:bCs/>
                <w:snapToGrid w:val="0"/>
                <w:kern w:val="0"/>
                <w:szCs w:val="21"/>
              </w:rPr>
              <w:t>内全部服务费、维修费用和配件费由供应商承担。</w:t>
            </w:r>
          </w:p>
          <w:p>
            <w:pPr>
              <w:pStyle w:val="BodyText"/>
              <w:rPr>
                <w:rFonts w:hint="eastAsia"/>
                <w:szCs w:val="24"/>
              </w:rPr>
            </w:pPr>
            <w:r>
              <w:rPr>
                <w:rFonts w:hint="eastAsia"/>
                <w:b w:val="0"/>
                <w:snapToGrid w:val="0"/>
                <w:kern w:val="0"/>
                <w:sz w:val="21"/>
                <w:szCs w:val="21"/>
              </w:rPr>
              <w:t>中央台、仪器台、边台和水槽边台的台面免费保修期</w:t>
            </w:r>
            <w:r>
              <w:rPr>
                <w:b w:val="0"/>
                <w:snapToGrid w:val="0"/>
                <w:kern w:val="0"/>
                <w:sz w:val="21"/>
                <w:szCs w:val="21"/>
              </w:rPr>
              <w:t>10</w:t>
            </w:r>
            <w:r>
              <w:rPr>
                <w:rFonts w:hint="eastAsia"/>
                <w:b w:val="0"/>
                <w:snapToGrid w:val="0"/>
                <w:kern w:val="0"/>
                <w:sz w:val="21"/>
                <w:szCs w:val="21"/>
              </w:rPr>
              <w:t xml:space="preserve">  年，时间自最终验收合格并交付使用之日起计算，免费保修期内，所有服务及配件全部免费。</w:t>
            </w:r>
          </w:p>
        </w:tc>
      </w:tr>
      <w:tr>
        <w:tblPrEx>
          <w:tblW w:w="5000" w:type="pct"/>
          <w:tblCellMar>
            <w:top w:w="0" w:type="dxa"/>
            <w:left w:w="108" w:type="dxa"/>
            <w:bottom w:w="0" w:type="dxa"/>
            <w:right w:w="108" w:type="dxa"/>
          </w:tblCellMar>
          <w:tblLook w:val="0000"/>
        </w:tblPrEx>
        <w:trPr>
          <w:trHeight w:val="523"/>
        </w:trPr>
        <w:tc>
          <w:tcPr>
            <w:tcW w:w="714" w:type="pct"/>
            <w:vAlign w:val="center"/>
          </w:tcPr>
          <w:p>
            <w:pPr>
              <w:jc w:val="center"/>
              <w:rPr>
                <w:b/>
              </w:rPr>
            </w:pPr>
            <w:r>
              <w:rPr>
                <w:rFonts w:hint="eastAsia"/>
                <w:b/>
              </w:rPr>
              <w:t>3</w:t>
            </w:r>
          </w:p>
        </w:tc>
        <w:tc>
          <w:tcPr>
            <w:tcW w:w="918" w:type="pct"/>
            <w:vAlign w:val="center"/>
          </w:tcPr>
          <w:p>
            <w:r>
              <w:rPr>
                <w:rFonts w:hint="eastAsia"/>
              </w:rPr>
              <w:t>服务响应</w:t>
            </w:r>
          </w:p>
        </w:tc>
        <w:tc>
          <w:tcPr>
            <w:tcW w:w="3368" w:type="pct"/>
            <w:vAlign w:val="center"/>
          </w:tcPr>
          <w:p>
            <w:pPr>
              <w:rPr>
                <w:bCs/>
                <w:szCs w:val="21"/>
              </w:rPr>
            </w:pPr>
            <w:r>
              <w:rPr>
                <w:rFonts w:hint="eastAsia"/>
                <w:bCs/>
                <w:snapToGrid w:val="0"/>
                <w:kern w:val="0"/>
                <w:szCs w:val="21"/>
              </w:rPr>
              <w:t>免费保修期</w:t>
            </w:r>
            <w:r>
              <w:rPr>
                <w:bCs/>
                <w:snapToGrid w:val="0"/>
                <w:kern w:val="0"/>
                <w:szCs w:val="21"/>
              </w:rPr>
              <w:t>，一旦发生质量问题，</w:t>
            </w:r>
            <w:bookmarkStart w:id="64" w:name="OLE_LINK4"/>
            <w:bookmarkStart w:id="65" w:name="OLE_LINK3"/>
            <w:r>
              <w:rPr>
                <w:bCs/>
                <w:snapToGrid w:val="0"/>
                <w:kern w:val="0"/>
                <w:szCs w:val="21"/>
              </w:rPr>
              <w:t>成交供应商</w:t>
            </w:r>
            <w:r>
              <w:rPr>
                <w:bCs/>
                <w:szCs w:val="21"/>
              </w:rPr>
              <w:t>接到采购人设备故障通知后6小时内响应，12小时内到达现场处理故障</w:t>
            </w:r>
            <w:bookmarkEnd w:id="64"/>
            <w:bookmarkEnd w:id="65"/>
            <w:r>
              <w:rPr>
                <w:bCs/>
                <w:szCs w:val="21"/>
              </w:rPr>
              <w:t>。</w:t>
            </w:r>
          </w:p>
        </w:tc>
      </w:tr>
      <w:tr>
        <w:tblPrEx>
          <w:tblW w:w="5000" w:type="pct"/>
          <w:tblCellMar>
            <w:top w:w="0" w:type="dxa"/>
            <w:left w:w="108" w:type="dxa"/>
            <w:bottom w:w="0" w:type="dxa"/>
            <w:right w:w="108" w:type="dxa"/>
          </w:tblCellMar>
          <w:tblLook w:val="0000"/>
        </w:tblPrEx>
        <w:trPr>
          <w:trHeight w:val="280"/>
        </w:trPr>
        <w:tc>
          <w:tcPr>
            <w:tcW w:w="5000" w:type="pct"/>
            <w:gridSpan w:val="3"/>
          </w:tcPr>
          <w:p>
            <w:pPr>
              <w:rPr>
                <w:b/>
              </w:rPr>
            </w:pPr>
            <w:r>
              <w:rPr>
                <w:rFonts w:hint="eastAsia"/>
                <w:b/>
              </w:rPr>
              <w:t>（二）免费保修期外售后服务要求</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rPr>
                <w:b/>
              </w:rPr>
            </w:pPr>
            <w:r>
              <w:rPr>
                <w:rFonts w:hint="eastAsia"/>
                <w:b/>
              </w:rPr>
              <w:t>1</w:t>
            </w:r>
          </w:p>
        </w:tc>
        <w:tc>
          <w:tcPr>
            <w:tcW w:w="918" w:type="pct"/>
          </w:tcPr>
          <w:p>
            <w:pPr>
              <w:rPr>
                <w:b/>
              </w:rPr>
            </w:pPr>
            <w:r>
              <w:rPr>
                <w:rFonts w:hint="eastAsia"/>
              </w:rPr>
              <w:t>免费保修期外服务</w:t>
            </w:r>
          </w:p>
        </w:tc>
        <w:tc>
          <w:tcPr>
            <w:tcW w:w="3368" w:type="pct"/>
          </w:tcPr>
          <w:p>
            <w:pPr>
              <w:rPr>
                <w:b/>
              </w:rPr>
            </w:pPr>
            <w:r>
              <w:rPr>
                <w:rFonts w:hint="eastAsia"/>
                <w:bCs/>
                <w:snapToGrid w:val="0"/>
                <w:kern w:val="0"/>
                <w:szCs w:val="21"/>
              </w:rPr>
              <w:t>免费保修期满后，2年内，</w:t>
            </w:r>
            <w:r>
              <w:rPr>
                <w:bCs/>
                <w:snapToGrid w:val="0"/>
                <w:kern w:val="0"/>
                <w:szCs w:val="21"/>
              </w:rPr>
              <w:t>成交供应商提供免费上门更换配件服务，配件的费用以成本计，由使用方承担。响应时间为</w:t>
            </w:r>
            <w:r>
              <w:rPr>
                <w:bCs/>
                <w:szCs w:val="21"/>
              </w:rPr>
              <w:t>接到采购人设备故障通知后6小时内响应，24小时内到达现场处理故障。</w:t>
            </w:r>
          </w:p>
        </w:tc>
      </w:tr>
      <w:tr>
        <w:tblPrEx>
          <w:tblW w:w="5000" w:type="pct"/>
          <w:tblCellMar>
            <w:top w:w="0" w:type="dxa"/>
            <w:left w:w="108" w:type="dxa"/>
            <w:bottom w:w="0" w:type="dxa"/>
            <w:right w:w="108" w:type="dxa"/>
          </w:tblCellMar>
          <w:tblLook w:val="0000"/>
        </w:tblPrEx>
        <w:trPr>
          <w:trHeight w:val="350"/>
        </w:trPr>
        <w:tc>
          <w:tcPr>
            <w:tcW w:w="5000" w:type="pct"/>
            <w:gridSpan w:val="3"/>
          </w:tcPr>
          <w:p>
            <w:pPr>
              <w:rPr>
                <w:b/>
              </w:rPr>
            </w:pPr>
            <w:r>
              <w:rPr>
                <w:rFonts w:hint="eastAsia"/>
                <w:b/>
              </w:rPr>
              <w:t>（三）其他商务要求</w:t>
            </w:r>
          </w:p>
        </w:tc>
      </w:tr>
      <w:tr>
        <w:tblPrEx>
          <w:tblW w:w="5000" w:type="pct"/>
          <w:tblCellMar>
            <w:top w:w="0" w:type="dxa"/>
            <w:left w:w="108" w:type="dxa"/>
            <w:bottom w:w="0" w:type="dxa"/>
            <w:right w:w="108" w:type="dxa"/>
          </w:tblCellMar>
          <w:tblLook w:val="0000"/>
        </w:tblPrEx>
        <w:trPr>
          <w:trHeight w:val="375"/>
        </w:trPr>
        <w:tc>
          <w:tcPr>
            <w:tcW w:w="714" w:type="pct"/>
            <w:vMerge w:val="restart"/>
            <w:vAlign w:val="center"/>
          </w:tcPr>
          <w:p>
            <w:pPr>
              <w:jc w:val="center"/>
              <w:rPr>
                <w:b/>
              </w:rPr>
            </w:pPr>
            <w:r>
              <w:rPr>
                <w:rFonts w:hint="eastAsia"/>
                <w:b/>
              </w:rPr>
              <w:t>1</w:t>
            </w:r>
          </w:p>
        </w:tc>
        <w:tc>
          <w:tcPr>
            <w:tcW w:w="918" w:type="pct"/>
            <w:vMerge w:val="restart"/>
            <w:vAlign w:val="center"/>
          </w:tcPr>
          <w:p>
            <w:pPr>
              <w:jc w:val="center"/>
            </w:pPr>
            <w:r>
              <w:rPr>
                <w:rFonts w:hint="eastAsia"/>
              </w:rPr>
              <w:t>关于交货</w:t>
            </w:r>
          </w:p>
        </w:tc>
        <w:tc>
          <w:tcPr>
            <w:tcW w:w="3368" w:type="pct"/>
          </w:tcPr>
          <w:p>
            <w:pPr>
              <w:rPr>
                <w:bCs/>
                <w:szCs w:val="21"/>
              </w:rPr>
            </w:pPr>
            <w:r>
              <w:rPr>
                <w:rFonts w:hint="eastAsia"/>
                <w:bCs/>
                <w:szCs w:val="21"/>
              </w:rPr>
              <w:t>1.1交货地点：</w:t>
            </w:r>
            <w:r>
              <w:rPr>
                <w:rFonts w:hint="eastAsia"/>
              </w:rPr>
              <w:t>用户指定地点（清华大学深圳国际研究生院）</w:t>
            </w:r>
          </w:p>
        </w:tc>
      </w:tr>
      <w:tr>
        <w:tblPrEx>
          <w:tblW w:w="5000" w:type="pct"/>
          <w:tblCellMar>
            <w:top w:w="0" w:type="dxa"/>
            <w:left w:w="108" w:type="dxa"/>
            <w:bottom w:w="0" w:type="dxa"/>
            <w:right w:w="108" w:type="dxa"/>
          </w:tblCellMar>
          <w:tblLook w:val="0000"/>
        </w:tblPrEx>
        <w:trPr>
          <w:trHeight w:val="376"/>
        </w:trPr>
        <w:tc>
          <w:tcPr>
            <w:tcW w:w="714" w:type="pct"/>
            <w:vMerge/>
            <w:vAlign w:val="center"/>
          </w:tcPr>
          <w:p>
            <w:pPr>
              <w:jc w:val="center"/>
              <w:rPr>
                <w:b/>
              </w:rPr>
            </w:pPr>
          </w:p>
        </w:tc>
        <w:tc>
          <w:tcPr>
            <w:tcW w:w="918" w:type="pct"/>
            <w:vMerge/>
            <w:vAlign w:val="center"/>
          </w:tcPr>
          <w:p>
            <w:pPr>
              <w:jc w:val="center"/>
            </w:pPr>
          </w:p>
        </w:tc>
        <w:tc>
          <w:tcPr>
            <w:tcW w:w="3368" w:type="pct"/>
          </w:tcPr>
          <w:p>
            <w:pPr>
              <w:rPr>
                <w:bCs/>
                <w:szCs w:val="21"/>
              </w:rPr>
            </w:pPr>
            <w:r>
              <w:rPr>
                <w:rFonts w:hint="eastAsia"/>
                <w:bCs/>
                <w:szCs w:val="21"/>
              </w:rPr>
              <w:t>1.2投标人需承担的设备运输、安装调试、验收检测和提供设备操作说明书、图纸等其他类似的义务。</w:t>
            </w:r>
          </w:p>
        </w:tc>
      </w:tr>
      <w:tr>
        <w:tblPrEx>
          <w:tblW w:w="5000" w:type="pct"/>
          <w:tblCellMar>
            <w:top w:w="0" w:type="dxa"/>
            <w:left w:w="108" w:type="dxa"/>
            <w:bottom w:w="0" w:type="dxa"/>
            <w:right w:w="108" w:type="dxa"/>
          </w:tblCellMar>
          <w:tblLook w:val="0000"/>
        </w:tblPrEx>
        <w:trPr>
          <w:trHeight w:val="376"/>
        </w:trPr>
        <w:tc>
          <w:tcPr>
            <w:tcW w:w="714" w:type="pct"/>
            <w:vMerge/>
            <w:vAlign w:val="center"/>
          </w:tcPr>
          <w:p>
            <w:pPr>
              <w:jc w:val="center"/>
              <w:rPr>
                <w:b/>
              </w:rPr>
            </w:pPr>
          </w:p>
        </w:tc>
        <w:tc>
          <w:tcPr>
            <w:tcW w:w="918" w:type="pct"/>
            <w:vMerge/>
            <w:vAlign w:val="center"/>
          </w:tcPr>
          <w:p>
            <w:pPr>
              <w:jc w:val="center"/>
            </w:pPr>
          </w:p>
        </w:tc>
        <w:tc>
          <w:tcPr>
            <w:tcW w:w="3368" w:type="pct"/>
          </w:tcPr>
          <w:p>
            <w:pPr>
              <w:rPr>
                <w:bCs/>
                <w:szCs w:val="21"/>
              </w:rPr>
            </w:pPr>
            <w:r>
              <w:rPr>
                <w:rFonts w:ascii="宋体" w:hAnsi="宋体" w:cs="宋体" w:hint="eastAsia"/>
                <w:b/>
                <w:szCs w:val="21"/>
              </w:rPr>
              <w:t>★</w:t>
            </w:r>
            <w:r>
              <w:rPr>
                <w:rFonts w:hint="eastAsia"/>
                <w:bCs/>
                <w:szCs w:val="21"/>
              </w:rPr>
              <w:t>1.3签订合同后</w:t>
            </w:r>
            <w:r>
              <w:rPr>
                <w:rFonts w:hint="eastAsia"/>
                <w:bCs/>
                <w:szCs w:val="21"/>
                <w:u w:val="single"/>
              </w:rPr>
              <w:t>60</w:t>
            </w:r>
            <w:r>
              <w:rPr>
                <w:rFonts w:hint="eastAsia"/>
                <w:bCs/>
                <w:szCs w:val="21"/>
              </w:rPr>
              <w:t>天（日历日）内交货。</w:t>
            </w:r>
            <w:r>
              <w:rPr>
                <w:rFonts w:hint="eastAsia"/>
              </w:rPr>
              <w:t>指合同生效后，中标人将全部货物运抵、安装调试完成并验收合格，正式交付用户使用所需的时间。</w:t>
            </w:r>
          </w:p>
        </w:tc>
      </w:tr>
      <w:tr>
        <w:tblPrEx>
          <w:tblW w:w="5000" w:type="pct"/>
          <w:tblCellMar>
            <w:top w:w="0" w:type="dxa"/>
            <w:left w:w="108" w:type="dxa"/>
            <w:bottom w:w="0" w:type="dxa"/>
            <w:right w:w="108" w:type="dxa"/>
          </w:tblCellMar>
          <w:tblLook w:val="0000"/>
        </w:tblPrEx>
        <w:trPr>
          <w:trHeight w:val="350"/>
        </w:trPr>
        <w:tc>
          <w:tcPr>
            <w:tcW w:w="714" w:type="pct"/>
            <w:vMerge w:val="restart"/>
            <w:vAlign w:val="center"/>
          </w:tcPr>
          <w:p>
            <w:pPr>
              <w:jc w:val="center"/>
              <w:rPr>
                <w:b/>
              </w:rPr>
            </w:pPr>
            <w:r>
              <w:rPr>
                <w:rFonts w:hint="eastAsia"/>
                <w:b/>
              </w:rPr>
              <w:t>2</w:t>
            </w:r>
          </w:p>
        </w:tc>
        <w:tc>
          <w:tcPr>
            <w:tcW w:w="918" w:type="pct"/>
            <w:vMerge w:val="restart"/>
            <w:vAlign w:val="center"/>
          </w:tcPr>
          <w:p>
            <w:pPr>
              <w:jc w:val="center"/>
            </w:pPr>
            <w:r>
              <w:rPr>
                <w:rFonts w:hint="eastAsia"/>
              </w:rPr>
              <w:t>关于验收</w:t>
            </w:r>
          </w:p>
        </w:tc>
        <w:tc>
          <w:tcPr>
            <w:tcW w:w="3368" w:type="pct"/>
          </w:tcPr>
          <w:p>
            <w:pPr>
              <w:rPr>
                <w:bCs/>
                <w:szCs w:val="21"/>
              </w:rPr>
            </w:pPr>
            <w:r>
              <w:rPr>
                <w:rFonts w:ascii="宋体" w:hAnsi="宋体" w:cs="宋体" w:hint="eastAsia"/>
                <w:b/>
                <w:szCs w:val="21"/>
              </w:rPr>
              <w:t>★</w:t>
            </w:r>
            <w:r>
              <w:rPr>
                <w:rFonts w:hint="eastAsia"/>
                <w:bCs/>
                <w:szCs w:val="21"/>
              </w:rPr>
              <w:t>2.1由成交供应商负责免费安装、调试。全部货物安装调试完毕后，采购人随机抽取包括台面和部件等货物（所抽取的货物由采购人确定，总数不超过5件），交由CNAS认证或CMA认证的第三方专业检测机构按照招标要求标准进行现场检测或送样检测，如检测合格，检测费用由采购人负责。如检测不合格，采购人有权要求对全部货物进行现场检测，并要求成交供应商对不合格的产品进行限期整改，期间产生的检测费等所有费用及损失由成交供应商负责；如确实因为成交供应商产品自身质量问题无法整改或整改后仍不能通过现场检测的，采购人有权拒收相关产品并追究由此带来的损失赔偿。</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rPr>
                <w:b/>
              </w:rPr>
            </w:pPr>
          </w:p>
        </w:tc>
        <w:tc>
          <w:tcPr>
            <w:tcW w:w="3368" w:type="pct"/>
          </w:tcPr>
          <w:p>
            <w:pPr>
              <w:tabs>
                <w:tab w:val="left" w:pos="1260"/>
              </w:tabs>
              <w:rPr>
                <w:bCs/>
                <w:szCs w:val="21"/>
              </w:rPr>
            </w:pPr>
            <w:r>
              <w:rPr>
                <w:rFonts w:hint="eastAsia"/>
                <w:bCs/>
                <w:szCs w:val="21"/>
              </w:rPr>
              <w:t>2.2随机抽检合格后，由采购人组织验收小组进行验收工作，成交供应商无条件配合验收。</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rPr>
                <w:b/>
              </w:rPr>
            </w:pPr>
          </w:p>
        </w:tc>
        <w:tc>
          <w:tcPr>
            <w:tcW w:w="3368" w:type="pct"/>
          </w:tcPr>
          <w:p>
            <w:pPr>
              <w:rPr>
                <w:b/>
              </w:rPr>
            </w:pPr>
            <w:r>
              <w:rPr>
                <w:rFonts w:hint="eastAsia"/>
                <w:bCs/>
                <w:szCs w:val="21"/>
              </w:rPr>
              <w:t>2.3 货物运抵交货地点后，采购人与成交供应商双方需马上派出代表前往工作现场，双方进行箱外验收。箱内物品由双方在约定时间（到货后五天内）一次性共同开箱验收，如发现缺少、损坏部件，成交供应商须及时补交给采购人，如因此造成拖延，采购人有权按延期交货索赔。</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rPr>
                <w:b/>
              </w:rPr>
            </w:pPr>
          </w:p>
        </w:tc>
        <w:tc>
          <w:tcPr>
            <w:tcW w:w="3368" w:type="pct"/>
          </w:tcPr>
          <w:p>
            <w:pPr>
              <w:rPr>
                <w:bCs/>
                <w:szCs w:val="21"/>
              </w:rPr>
            </w:pPr>
            <w:r>
              <w:rPr>
                <w:rFonts w:hint="eastAsia"/>
                <w:bCs/>
                <w:szCs w:val="21"/>
              </w:rPr>
              <w:t>2.4当满足以下条件时，采购人才向中标人签发货物验收报告：</w:t>
            </w:r>
          </w:p>
          <w:p>
            <w:pPr>
              <w:rPr>
                <w:bCs/>
                <w:szCs w:val="21"/>
              </w:rPr>
            </w:pPr>
            <w:r>
              <w:rPr>
                <w:rFonts w:hint="eastAsia"/>
                <w:bCs/>
                <w:szCs w:val="21"/>
              </w:rPr>
              <w:t>a、中标人已按照合同规定提供了全部产品及完整的技术资料。</w:t>
            </w:r>
          </w:p>
          <w:p>
            <w:pPr>
              <w:rPr>
                <w:bCs/>
                <w:szCs w:val="21"/>
              </w:rPr>
            </w:pPr>
            <w:r>
              <w:rPr>
                <w:rFonts w:hint="eastAsia"/>
                <w:bCs/>
                <w:szCs w:val="21"/>
              </w:rPr>
              <w:t>b、采购人随机抽取现场安装的货物，交由CNAS认证或CMA认证的第三方专业检测机构按照招标要求标准进行现场检测或送样检测，检测合格。</w:t>
            </w:r>
          </w:p>
          <w:p>
            <w:pPr>
              <w:rPr>
                <w:bCs/>
                <w:szCs w:val="21"/>
              </w:rPr>
            </w:pPr>
            <w:r>
              <w:rPr>
                <w:rFonts w:hint="eastAsia"/>
                <w:bCs/>
                <w:szCs w:val="21"/>
              </w:rPr>
              <w:t>c、货物符合</w:t>
            </w:r>
            <w:bookmarkStart w:id="66" w:name="OLE_LINK22"/>
            <w:r>
              <w:rPr>
                <w:rFonts w:hint="eastAsia"/>
                <w:bCs/>
                <w:szCs w:val="21"/>
              </w:rPr>
              <w:t>招标文件技术要求和投标文件响应</w:t>
            </w:r>
            <w:bookmarkEnd w:id="66"/>
            <w:r>
              <w:rPr>
                <w:rFonts w:hint="eastAsia"/>
                <w:bCs/>
                <w:szCs w:val="21"/>
              </w:rPr>
              <w:t>，性能满足要求。</w:t>
            </w:r>
          </w:p>
          <w:p>
            <w:pPr>
              <w:rPr>
                <w:bCs/>
                <w:szCs w:val="21"/>
              </w:rPr>
            </w:pPr>
            <w:r>
              <w:rPr>
                <w:rFonts w:hint="eastAsia"/>
                <w:bCs/>
                <w:szCs w:val="21"/>
              </w:rPr>
              <w:t>d、货物具备产品合格证。</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rPr>
                <w:bCs/>
              </w:rPr>
            </w:pPr>
            <w:r>
              <w:rPr>
                <w:rFonts w:hint="eastAsia"/>
                <w:bCs/>
              </w:rPr>
              <w:t>3</w:t>
            </w:r>
          </w:p>
        </w:tc>
        <w:tc>
          <w:tcPr>
            <w:tcW w:w="918" w:type="pct"/>
            <w:vAlign w:val="center"/>
          </w:tcPr>
          <w:p>
            <w:pPr>
              <w:rPr>
                <w:bCs/>
              </w:rPr>
            </w:pPr>
            <w:r>
              <w:rPr>
                <w:rFonts w:hint="eastAsia"/>
                <w:bCs/>
              </w:rPr>
              <w:t>安装界面说明</w:t>
            </w:r>
            <w:r>
              <w:rPr>
                <w:rFonts w:hint="eastAsia"/>
                <w:bCs/>
                <w:color w:val="FF0000"/>
                <w:szCs w:val="21"/>
                <w:highlight w:val="yellow"/>
              </w:rPr>
              <w:t>★</w:t>
            </w:r>
          </w:p>
        </w:tc>
        <w:tc>
          <w:tcPr>
            <w:tcW w:w="3368" w:type="pct"/>
          </w:tcPr>
          <w:p>
            <w:pPr>
              <w:rPr>
                <w:rFonts w:hint="eastAsia"/>
                <w:bCs/>
                <w:szCs w:val="21"/>
              </w:rPr>
            </w:pPr>
            <w:r>
              <w:rPr>
                <w:rFonts w:hint="eastAsia"/>
                <w:bCs/>
                <w:szCs w:val="21"/>
              </w:rPr>
              <w:t xml:space="preserve">实验台柜供应商与其它专业供应商界面说明 </w:t>
            </w:r>
          </w:p>
          <w:p>
            <w:pPr>
              <w:rPr>
                <w:rFonts w:hint="eastAsia"/>
                <w:bCs/>
                <w:szCs w:val="21"/>
              </w:rPr>
            </w:pPr>
            <w:r>
              <w:rPr>
                <w:bCs/>
                <w:szCs w:val="21"/>
              </w:rPr>
              <w:t>3</w:t>
            </w:r>
            <w:r>
              <w:rPr>
                <w:rFonts w:hint="eastAsia"/>
                <w:bCs/>
                <w:szCs w:val="21"/>
              </w:rPr>
              <w:t>.1暖通专业</w:t>
            </w:r>
          </w:p>
          <w:p>
            <w:pPr>
              <w:rPr>
                <w:rFonts w:hint="eastAsia"/>
                <w:bCs/>
                <w:szCs w:val="21"/>
              </w:rPr>
            </w:pPr>
            <w:r>
              <w:rPr>
                <w:rFonts w:hint="eastAsia"/>
                <w:bCs/>
                <w:szCs w:val="21"/>
              </w:rPr>
              <w:t>本项目中暖通专业施工方预留风管至万向排气罩位置天花板上方。另有8台万向排气罩未预留排风管，现场具备接入排风主管的条件。这8台万向排气罩接到排风管时，需配置压力无关的定风量阀，每个风量100-200m3/h。本项目实验家具供应商需完成所有万向排气罩排风管道的接驳和完成排风调试工作。</w:t>
            </w:r>
          </w:p>
          <w:p>
            <w:pPr>
              <w:rPr>
                <w:rFonts w:hint="eastAsia"/>
                <w:bCs/>
                <w:szCs w:val="21"/>
              </w:rPr>
            </w:pPr>
            <w:r>
              <w:rPr>
                <w:bCs/>
                <w:szCs w:val="21"/>
              </w:rPr>
              <w:t>3</w:t>
            </w:r>
            <w:r>
              <w:rPr>
                <w:rFonts w:hint="eastAsia"/>
                <w:bCs/>
                <w:szCs w:val="21"/>
              </w:rPr>
              <w:t>.2给排水专业</w:t>
            </w:r>
          </w:p>
          <w:p>
            <w:pPr>
              <w:rPr>
                <w:rFonts w:hint="eastAsia"/>
                <w:bCs/>
                <w:szCs w:val="21"/>
              </w:rPr>
            </w:pPr>
            <w:r>
              <w:rPr>
                <w:rFonts w:hint="eastAsia"/>
                <w:bCs/>
                <w:szCs w:val="21"/>
              </w:rPr>
              <w:t>本项目中给排水专业施工方在中央台、设备台和边台等位置的天花板上方（无天花板的据地3米高）处预留给水阀门。待台柜供应商确定后，提供排水点位图纸，给排水专业施工方按图在相应点位铺设排水管道，排水管道出地面10公分。台柜供应商负责给水阀门到用水点的接通工作，以及水槽至排水管的接通，排水带S型存水弯，接口胶圈密封，防异味。排水管要求耐腐蚀和高温。台柜供应商负责紧急冲淋洗眼器上下水的接通。</w:t>
            </w:r>
          </w:p>
          <w:p>
            <w:pPr>
              <w:rPr>
                <w:rFonts w:hint="eastAsia"/>
                <w:bCs/>
                <w:szCs w:val="21"/>
              </w:rPr>
            </w:pPr>
            <w:r>
              <w:rPr>
                <w:bCs/>
                <w:szCs w:val="21"/>
              </w:rPr>
              <w:t>3</w:t>
            </w:r>
            <w:r>
              <w:rPr>
                <w:rFonts w:hint="eastAsia"/>
                <w:bCs/>
                <w:szCs w:val="21"/>
              </w:rPr>
              <w:t>.3电气专业</w:t>
            </w:r>
          </w:p>
          <w:p>
            <w:pPr>
              <w:rPr>
                <w:bCs/>
                <w:szCs w:val="21"/>
              </w:rPr>
            </w:pPr>
            <w:r>
              <w:rPr>
                <w:rFonts w:hint="eastAsia"/>
                <w:bCs/>
                <w:szCs w:val="21"/>
              </w:rPr>
              <w:t>电气专业施工方预留相应回路数的电缆线至中央台、设备台和边台等位置的天花板上方（无天花板的据地3米高），预留电缆线长5米。实验台柜供应商负责在台柜等上配置配电箱，为满足实验台柜用电安全和实验台柜用电需求，每两套实验台至少应配置一个电箱，并按照实际需求负责完成插座的强电接通。</w:t>
            </w:r>
          </w:p>
          <w:p>
            <w:pPr>
              <w:pStyle w:val="BodyText"/>
              <w:rPr>
                <w:rFonts w:hint="eastAsia"/>
                <w:bCs/>
                <w:szCs w:val="24"/>
              </w:rPr>
            </w:pPr>
            <w:r>
              <w:t>3.4 实验台柜的实际规格尺寸根据现场安装</w:t>
            </w:r>
            <w:r>
              <w:rPr>
                <w:rFonts w:hint="eastAsia"/>
              </w:rPr>
              <w:t>情况可能</w:t>
            </w:r>
            <w:r>
              <w:t>做微调（调整幅度在±</w:t>
            </w:r>
            <w:r>
              <w:rPr>
                <w:rFonts w:hint="eastAsia"/>
              </w:rPr>
              <w:t>2</w:t>
            </w:r>
            <w:r>
              <w:t>0%以内）。</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rPr>
                <w:bCs/>
              </w:rPr>
            </w:pPr>
            <w:r>
              <w:rPr>
                <w:rFonts w:hint="eastAsia"/>
                <w:bCs/>
              </w:rPr>
              <w:t>4</w:t>
            </w:r>
          </w:p>
        </w:tc>
        <w:tc>
          <w:tcPr>
            <w:tcW w:w="918" w:type="pct"/>
            <w:vAlign w:val="center"/>
          </w:tcPr>
          <w:p>
            <w:pPr>
              <w:rPr>
                <w:bCs/>
              </w:rPr>
            </w:pPr>
            <w:r>
              <w:rPr>
                <w:rFonts w:ascii="宋体" w:hAnsi="宋体" w:cs="宋体" w:hint="eastAsia"/>
                <w:bCs/>
                <w:szCs w:val="21"/>
              </w:rPr>
              <w:t>实验台柜制造过程中的抽查</w:t>
            </w:r>
          </w:p>
        </w:tc>
        <w:tc>
          <w:tcPr>
            <w:tcW w:w="3368" w:type="pct"/>
          </w:tcPr>
          <w:p>
            <w:pPr>
              <w:adjustRightInd w:val="0"/>
              <w:snapToGrid w:val="0"/>
              <w:rPr>
                <w:rFonts w:ascii="宋体" w:hAnsi="宋体" w:cs="宋体" w:hint="eastAsia"/>
                <w:szCs w:val="21"/>
              </w:rPr>
            </w:pPr>
            <w:r>
              <w:rPr>
                <w:rFonts w:hint="eastAsia"/>
                <w:bCs/>
                <w:szCs w:val="21"/>
              </w:rPr>
              <w:t>中标的供应商需提供加工生产厂家的详细位置信息以及工厂负责人联系方式，采购人有权在实验台柜生产期间随时到场对本项目货物生产情况进行抽查（不提前通知），包括并不限于了解生产进度、原材料进货检验记录检查、供应商与生产厂家之间的针对本项目的采购协议（可隐去敏感信息）等。</w:t>
            </w:r>
          </w:p>
        </w:tc>
      </w:tr>
      <w:tr>
        <w:tblPrEx>
          <w:tblW w:w="5000" w:type="pct"/>
          <w:tblCellMar>
            <w:top w:w="0" w:type="dxa"/>
            <w:left w:w="108" w:type="dxa"/>
            <w:bottom w:w="0" w:type="dxa"/>
            <w:right w:w="108" w:type="dxa"/>
          </w:tblCellMar>
          <w:tblLook w:val="0000"/>
        </w:tblPrEx>
        <w:trPr>
          <w:trHeight w:val="350"/>
        </w:trPr>
        <w:tc>
          <w:tcPr>
            <w:tcW w:w="714" w:type="pct"/>
            <w:vMerge w:val="restart"/>
            <w:vAlign w:val="center"/>
          </w:tcPr>
          <w:p>
            <w:pPr>
              <w:jc w:val="center"/>
            </w:pPr>
            <w:r>
              <w:rPr>
                <w:b/>
              </w:rPr>
              <w:t>5</w:t>
            </w:r>
          </w:p>
        </w:tc>
        <w:tc>
          <w:tcPr>
            <w:tcW w:w="918" w:type="pct"/>
            <w:vMerge w:val="restart"/>
            <w:vAlign w:val="center"/>
          </w:tcPr>
          <w:p>
            <w:pPr>
              <w:jc w:val="center"/>
            </w:pPr>
            <w:r>
              <w:rPr>
                <w:rFonts w:hint="eastAsia"/>
              </w:rPr>
              <w:t>关于违约</w:t>
            </w:r>
          </w:p>
        </w:tc>
        <w:tc>
          <w:tcPr>
            <w:tcW w:w="3368" w:type="pct"/>
          </w:tcPr>
          <w:p>
            <w:r>
              <w:t>5</w:t>
            </w:r>
            <w:r>
              <w:rPr>
                <w:rFonts w:hint="eastAsia"/>
              </w:rPr>
              <w:t>.1中标人不能交货的，需偿付不能交货部分货款的</w:t>
            </w:r>
            <w:r>
              <w:rPr>
                <w:rFonts w:hint="eastAsia"/>
                <w:u w:val="single"/>
              </w:rPr>
              <w:t xml:space="preserve">  </w:t>
            </w:r>
            <w:r>
              <w:rPr>
                <w:u w:val="single"/>
              </w:rPr>
              <w:t>5</w:t>
            </w:r>
            <w:r>
              <w:rPr>
                <w:rFonts w:hint="eastAsia"/>
                <w:u w:val="single"/>
              </w:rPr>
              <w:t xml:space="preserve">  </w:t>
            </w:r>
            <w:r>
              <w:rPr>
                <w:rFonts w:hint="eastAsia"/>
              </w:rPr>
              <w:t>%的违约金并按主管部门相关规定处理。</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jc w:val="center"/>
            </w:pPr>
          </w:p>
        </w:tc>
        <w:tc>
          <w:tcPr>
            <w:tcW w:w="3368" w:type="pct"/>
          </w:tcPr>
          <w:p>
            <w:r>
              <w:t>5</w:t>
            </w:r>
            <w:r>
              <w:rPr>
                <w:rFonts w:hint="eastAsia"/>
              </w:rPr>
              <w:t>.2中标人逾期交货的，将被没收履约保证金并按主管部门相关规定处理。</w:t>
            </w:r>
          </w:p>
        </w:tc>
      </w:tr>
      <w:tr>
        <w:tblPrEx>
          <w:tblW w:w="5000" w:type="pct"/>
          <w:tblCellMar>
            <w:top w:w="0" w:type="dxa"/>
            <w:left w:w="108" w:type="dxa"/>
            <w:bottom w:w="0" w:type="dxa"/>
            <w:right w:w="108" w:type="dxa"/>
          </w:tblCellMar>
          <w:tblLook w:val="0000"/>
        </w:tblPrEx>
        <w:trPr>
          <w:trHeight w:val="350"/>
        </w:trPr>
        <w:tc>
          <w:tcPr>
            <w:tcW w:w="714" w:type="pct"/>
            <w:vMerge/>
            <w:vAlign w:val="center"/>
          </w:tcPr>
          <w:p>
            <w:pPr>
              <w:jc w:val="center"/>
              <w:rPr>
                <w:b/>
              </w:rPr>
            </w:pPr>
          </w:p>
        </w:tc>
        <w:tc>
          <w:tcPr>
            <w:tcW w:w="918" w:type="pct"/>
            <w:vMerge/>
            <w:vAlign w:val="center"/>
          </w:tcPr>
          <w:p>
            <w:pPr>
              <w:jc w:val="center"/>
            </w:pPr>
          </w:p>
        </w:tc>
        <w:tc>
          <w:tcPr>
            <w:tcW w:w="3368" w:type="pct"/>
          </w:tcPr>
          <w:p>
            <w:r>
              <w:t>5</w:t>
            </w:r>
            <w:r>
              <w:rPr>
                <w:rFonts w:hint="eastAsia"/>
              </w:rPr>
              <w:t>.3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W w:w="5000" w:type="pct"/>
          <w:tblCellMar>
            <w:top w:w="0" w:type="dxa"/>
            <w:left w:w="108" w:type="dxa"/>
            <w:bottom w:w="0" w:type="dxa"/>
            <w:right w:w="108" w:type="dxa"/>
          </w:tblCellMar>
          <w:tblLook w:val="0000"/>
        </w:tblPrEx>
        <w:trPr>
          <w:trHeight w:val="350"/>
        </w:trPr>
        <w:tc>
          <w:tcPr>
            <w:tcW w:w="714" w:type="pct"/>
            <w:vAlign w:val="center"/>
          </w:tcPr>
          <w:p>
            <w:pPr>
              <w:jc w:val="center"/>
            </w:pPr>
            <w:r>
              <w:t>6</w:t>
            </w:r>
          </w:p>
        </w:tc>
        <w:tc>
          <w:tcPr>
            <w:tcW w:w="918" w:type="pct"/>
            <w:vAlign w:val="center"/>
          </w:tcPr>
          <w:p>
            <w:pPr>
              <w:jc w:val="center"/>
              <w:rPr>
                <w:b/>
              </w:rPr>
            </w:pPr>
            <w:r>
              <w:rPr>
                <w:rFonts w:hint="eastAsia"/>
                <w:bCs/>
              </w:rPr>
              <w:t>关于付款</w:t>
            </w:r>
          </w:p>
        </w:tc>
        <w:tc>
          <w:tcPr>
            <w:tcW w:w="3368" w:type="pct"/>
          </w:tcPr>
          <w:p>
            <w:pPr>
              <w:pStyle w:val="82"/>
              <w:ind w:firstLine="0" w:firstLineChars="0"/>
              <w:rPr>
                <w:b/>
              </w:rPr>
            </w:pPr>
            <w:r>
              <w:rPr>
                <w:rFonts w:hint="eastAsia"/>
                <w:bCs/>
                <w:szCs w:val="21"/>
              </w:rPr>
              <w:t>签订合同后，采购人向中标人支付合同价款的30%作为预付款；货物安装完毕且验收合格，采购人支付合同价款的70%。</w:t>
            </w:r>
          </w:p>
        </w:tc>
      </w:tr>
    </w:tbl>
    <w:p>
      <w:pPr>
        <w:pStyle w:val="NormalIndent"/>
        <w:spacing w:before="60" w:beforeLines="25" w:after="60" w:afterLines="25"/>
        <w:ind w:firstLine="393" w:firstLineChars="187"/>
        <w:rPr>
          <w:rFonts w:ascii="宋体" w:hAnsi="宋体"/>
          <w:szCs w:val="21"/>
        </w:rPr>
      </w:pPr>
    </w:p>
    <w:p>
      <w:pPr>
        <w:pStyle w:val="Heading2"/>
        <w:spacing w:before="120" w:beforeLines="50" w:after="120" w:afterLines="50"/>
        <w:rPr>
          <w:sz w:val="28"/>
          <w:szCs w:val="28"/>
        </w:rPr>
      </w:pPr>
      <w:r>
        <w:rPr>
          <w:rFonts w:hint="eastAsia"/>
          <w:sz w:val="28"/>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ind w:firstLine="420" w:firstLineChars="200"/>
        <w:rPr>
          <w:bCs/>
          <w:szCs w:val="21"/>
        </w:rPr>
      </w:pPr>
    </w:p>
    <w:p>
      <w:pPr>
        <w:pStyle w:val="Heading2"/>
        <w:spacing w:before="120" w:beforeLines="50" w:after="120" w:afterLines="50"/>
        <w:ind w:left="420" w:firstLine="420"/>
        <w:rPr>
          <w:sz w:val="28"/>
          <w:szCs w:val="28"/>
        </w:rPr>
      </w:pPr>
      <w:r>
        <w:rPr>
          <w:rFonts w:hint="eastAsia"/>
          <w:sz w:val="28"/>
          <w:szCs w:val="28"/>
        </w:rPr>
        <w:t>七、样品要求</w:t>
      </w:r>
    </w:p>
    <w:p>
      <w:pPr>
        <w:ind w:firstLine="420" w:firstLineChars="200"/>
        <w:rPr>
          <w:rFonts w:ascii="宋体" w:hAnsi="宋体" w:cs="宋体"/>
          <w:kern w:val="0"/>
          <w:szCs w:val="18"/>
        </w:rPr>
      </w:pPr>
      <w:r>
        <w:rPr>
          <w:rFonts w:ascii="宋体" w:hAnsi="宋体" w:cs="宋体" w:hint="eastAsia"/>
          <w:kern w:val="0"/>
          <w:szCs w:val="18"/>
        </w:rPr>
        <w:t>（一）一般性规定和要求</w:t>
      </w:r>
    </w:p>
    <w:p>
      <w:pPr>
        <w:ind w:firstLine="420" w:firstLineChars="200"/>
        <w:rPr>
          <w:rFonts w:ascii="宋体" w:hAnsi="宋体" w:cs="宋体"/>
          <w:kern w:val="0"/>
          <w:szCs w:val="18"/>
        </w:rPr>
      </w:pPr>
      <w:r>
        <w:rPr>
          <w:rFonts w:ascii="宋体" w:hAnsi="宋体" w:cs="宋体" w:hint="eastAsia"/>
          <w:kern w:val="0"/>
          <w:szCs w:val="18"/>
        </w:rPr>
        <w:t>1、投标样品上需标注“项目名称及项目编号、样品编号、样品名称”等信息，但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。需要安装的投标样品需为安装完整的成品，由投标供应商自行组织安装。</w:t>
      </w:r>
    </w:p>
    <w:p>
      <w:pPr>
        <w:ind w:firstLine="420" w:firstLineChars="200"/>
        <w:rPr>
          <w:rFonts w:ascii="宋体" w:hAnsi="宋体" w:cs="宋体"/>
          <w:kern w:val="0"/>
          <w:szCs w:val="18"/>
        </w:rPr>
      </w:pPr>
      <w:r>
        <w:rPr>
          <w:rFonts w:ascii="宋体" w:hAnsi="宋体" w:cs="宋体" w:hint="eastAsia"/>
          <w:kern w:val="0"/>
          <w:szCs w:val="18"/>
        </w:rPr>
        <w:t>2、样品递交签到：</w:t>
      </w:r>
    </w:p>
    <w:p>
      <w:pPr>
        <w:ind w:firstLine="420" w:firstLineChars="200"/>
        <w:rPr>
          <w:b/>
          <w:bCs/>
          <w:color w:val="FF0000"/>
        </w:rPr>
      </w:pPr>
      <w:r>
        <w:rPr>
          <w:rFonts w:hint="eastAsia"/>
          <w:bCs/>
          <w:szCs w:val="21"/>
        </w:rPr>
        <w:t>投标供应商授权人需在</w:t>
      </w:r>
      <w:r>
        <w:rPr>
          <w:rFonts w:ascii="宋体" w:hAnsi="宋体" w:cs="宋体"/>
          <w:b/>
          <w:bCs/>
          <w:color w:val="FF0000"/>
          <w:szCs w:val="21"/>
        </w:rPr>
        <w:t>本项目开标当日9:00-9:30（投标截止时间为上午时适用）,14:00-14:30（投标截止时间为下午时适用）到签到地点（</w:t>
      </w:r>
      <w:r>
        <w:rPr>
          <w:rFonts w:ascii="宋体" w:hAnsi="宋体" w:cs="宋体" w:hint="eastAsia"/>
          <w:b/>
          <w:bCs/>
          <w:color w:val="FF0000"/>
          <w:szCs w:val="21"/>
        </w:rPr>
        <w:t>深圳市南山区西丽街道沙河西路3185号智谷产业园A座深圳交易集团总部大楼3楼</w:t>
      </w:r>
      <w:r>
        <w:rPr>
          <w:rFonts w:ascii="宋体" w:hAnsi="宋体" w:cs="宋体"/>
          <w:b/>
          <w:bCs/>
          <w:color w:val="FF0000"/>
          <w:szCs w:val="21"/>
        </w:rPr>
        <w:t>）</w:t>
      </w:r>
      <w:r>
        <w:rPr>
          <w:rFonts w:hint="eastAsia"/>
          <w:bCs/>
          <w:szCs w:val="21"/>
        </w:rPr>
        <w:t>，提供</w:t>
      </w:r>
      <w:r>
        <w:rPr>
          <w:rFonts w:ascii="宋体" w:hAnsi="宋体" w:cs="仿宋_GB2312" w:hint="eastAsia"/>
          <w:szCs w:val="21"/>
        </w:rPr>
        <w:t>样品放置授权委托书</w:t>
      </w:r>
      <w:r>
        <w:rPr>
          <w:rFonts w:hint="eastAsia"/>
          <w:bCs/>
          <w:szCs w:val="21"/>
        </w:rPr>
        <w:t>（盖公章）</w:t>
      </w:r>
      <w:r>
        <w:rPr>
          <w:rFonts w:hint="eastAsia"/>
        </w:rPr>
        <w:t>（授权委托书模板详见附件：</w:t>
      </w:r>
      <w:r>
        <w:rPr>
          <w:rFonts w:ascii="宋体" w:hAnsi="宋体" w:cs="仿宋_GB2312" w:hint="eastAsia"/>
          <w:szCs w:val="21"/>
        </w:rPr>
        <w:t>样品放置授权委托书</w:t>
      </w:r>
      <w:r>
        <w:rPr>
          <w:rFonts w:hint="eastAsia"/>
        </w:rPr>
        <w:t>）</w:t>
      </w:r>
      <w:r>
        <w:rPr>
          <w:rFonts w:hint="eastAsia"/>
          <w:bCs/>
          <w:szCs w:val="21"/>
        </w:rPr>
        <w:t>、授权委托人身份证原件和复印件、样品清单（加盖公章），按深圳公共资源交易中心（深圳交易集团有限公司政府采购业务分公司）工作人员指引进行样品递交签到。</w:t>
      </w:r>
    </w:p>
    <w:p>
      <w:pPr>
        <w:ind w:firstLine="420" w:firstLineChars="200"/>
        <w:rPr>
          <w:rFonts w:ascii="宋体" w:hAnsi="宋体" w:cs="宋体"/>
          <w:kern w:val="0"/>
          <w:szCs w:val="18"/>
        </w:rPr>
      </w:pPr>
      <w:r>
        <w:rPr>
          <w:rFonts w:hint="eastAsia"/>
          <w:bCs/>
          <w:szCs w:val="21"/>
        </w:rPr>
        <w:t>特别注意事项：（1）上述资料提供不齐全，不予签到；（2）签到时间截止后，不再受理签到；（3）未进行签到的，样品不予接收。</w:t>
      </w:r>
    </w:p>
    <w:p>
      <w:pPr>
        <w:ind w:firstLine="420" w:firstLineChars="200"/>
        <w:rPr>
          <w:rFonts w:ascii="宋体" w:hAnsi="宋体" w:cs="宋体"/>
          <w:kern w:val="0"/>
          <w:szCs w:val="18"/>
        </w:rPr>
      </w:pPr>
      <w:r>
        <w:rPr>
          <w:rFonts w:ascii="宋体" w:hAnsi="宋体" w:cs="宋体" w:hint="eastAsia"/>
          <w:kern w:val="0"/>
          <w:szCs w:val="18"/>
        </w:rPr>
        <w:t xml:space="preserve">3、本项目投标截止时间后进行投标样品接收。投标样品接收需进行身份核对、样品核对、登记确认、顺序编号。 </w:t>
      </w:r>
    </w:p>
    <w:p>
      <w:pPr>
        <w:ind w:firstLine="420" w:firstLineChars="200"/>
        <w:rPr>
          <w:rFonts w:ascii="宋体" w:hAnsi="宋体" w:cs="宋体"/>
          <w:kern w:val="0"/>
          <w:szCs w:val="18"/>
        </w:rPr>
      </w:pPr>
      <w:r>
        <w:rPr>
          <w:rFonts w:ascii="宋体" w:hAnsi="宋体" w:cs="宋体" w:hint="eastAsia"/>
          <w:kern w:val="0"/>
          <w:szCs w:val="18"/>
        </w:rPr>
        <w:t>（1）身份核对。深圳公共资源交易中心（深圳交易集团有限公司政府采购业务分公司）工作人员核对投标供应商授权委托人提供的“</w:t>
      </w:r>
      <w:r>
        <w:rPr>
          <w:rFonts w:ascii="宋体" w:hAnsi="宋体" w:cs="仿宋_GB2312" w:hint="eastAsia"/>
          <w:szCs w:val="21"/>
        </w:rPr>
        <w:t>样品放置授权委托书</w:t>
      </w:r>
      <w:r>
        <w:rPr>
          <w:rFonts w:ascii="宋体" w:hAnsi="宋体" w:cs="宋体" w:hint="eastAsia"/>
          <w:kern w:val="0"/>
          <w:szCs w:val="18"/>
        </w:rPr>
        <w:t>（盖公章）、授权委托人身份证原件和复印件”。资料不齐全的，不得接收投标样品。</w:t>
      </w:r>
    </w:p>
    <w:p>
      <w:pPr>
        <w:ind w:firstLine="420" w:firstLineChars="200"/>
        <w:rPr>
          <w:rFonts w:ascii="宋体" w:hAnsi="宋体" w:cs="宋体"/>
          <w:kern w:val="0"/>
          <w:szCs w:val="18"/>
        </w:rPr>
      </w:pPr>
      <w:r>
        <w:rPr>
          <w:rFonts w:ascii="宋体" w:hAnsi="宋体" w:cs="宋体" w:hint="eastAsia"/>
          <w:kern w:val="0"/>
          <w:szCs w:val="18"/>
        </w:rPr>
        <w:t>（2）样品核对。深圳公共资源交易中心（深圳交易集团有限公司政府采购业务分公司）工作人员将投标样品与投标供应商提供的《样品清单》（盖公章）进行一一核对。有不一致的或损坏情况的，将要求供应商授权委托人在《样品清单》上注明。</w:t>
      </w:r>
    </w:p>
    <w:p>
      <w:pPr>
        <w:ind w:firstLine="420" w:firstLineChars="200"/>
        <w:rPr>
          <w:rFonts w:ascii="宋体" w:hAnsi="宋体" w:cs="宋体"/>
          <w:kern w:val="0"/>
          <w:szCs w:val="18"/>
        </w:rPr>
      </w:pPr>
      <w:r>
        <w:rPr>
          <w:rFonts w:ascii="宋体" w:hAnsi="宋体" w:cs="宋体" w:hint="eastAsia"/>
          <w:kern w:val="0"/>
          <w:szCs w:val="18"/>
        </w:rPr>
        <w:t>（3）登记确认。在完成身份核对及样品核对后，投标供应商授权委托人需在《样品接收登记表》上登记确认。</w:t>
      </w:r>
    </w:p>
    <w:p>
      <w:pPr>
        <w:ind w:firstLine="420" w:firstLineChars="200"/>
        <w:rPr>
          <w:rFonts w:ascii="宋体" w:hAnsi="宋体" w:cs="宋体"/>
          <w:kern w:val="0"/>
          <w:szCs w:val="18"/>
        </w:rPr>
      </w:pPr>
      <w:r>
        <w:rPr>
          <w:rFonts w:ascii="宋体" w:hAnsi="宋体" w:cs="宋体" w:hint="eastAsia"/>
          <w:kern w:val="0"/>
          <w:szCs w:val="18"/>
        </w:rPr>
        <w:t>（4）顺序编号。深圳公共资源交易中心（深圳交易集团有限公司政府采购业务分公司）工作人员按投标样品接收的先后顺序进行编号。</w:t>
      </w:r>
    </w:p>
    <w:p>
      <w:pPr>
        <w:ind w:firstLine="420" w:firstLineChars="200"/>
        <w:rPr>
          <w:rFonts w:ascii="宋体" w:hAnsi="宋体" w:cs="宋体"/>
          <w:kern w:val="0"/>
          <w:szCs w:val="18"/>
        </w:rPr>
      </w:pPr>
      <w:r>
        <w:rPr>
          <w:rFonts w:ascii="宋体" w:hAnsi="宋体" w:cs="宋体" w:hint="eastAsia"/>
          <w:kern w:val="0"/>
          <w:szCs w:val="18"/>
        </w:rPr>
        <w:t>4、深圳公共资源交易中心（深圳交易集团有限公司政府采购业务分公司）工作人员负责组织投标样品摆样，指引供应商授权委托人将投标样品搬运到指定地点摆放、拆除包装，按要求摆放整齐。完成样品摆样后，供应商授权委托人应及时立场，不得在摆样现场滞留。</w:t>
      </w:r>
    </w:p>
    <w:p>
      <w:pPr>
        <w:ind w:firstLine="420" w:firstLineChars="200"/>
        <w:rPr>
          <w:rFonts w:ascii="宋体" w:hAnsi="宋体" w:cs="宋体"/>
          <w:kern w:val="0"/>
          <w:szCs w:val="18"/>
        </w:rPr>
      </w:pPr>
      <w:r>
        <w:rPr>
          <w:rFonts w:ascii="宋体" w:hAnsi="宋体" w:cs="宋体" w:hint="eastAsia"/>
          <w:kern w:val="0"/>
          <w:szCs w:val="18"/>
        </w:rPr>
        <w:t>5、样品的退回：（1）未中标的供应商投标样品，</w:t>
      </w:r>
      <w:r>
        <w:rPr>
          <w:rFonts w:hint="eastAsia"/>
        </w:rPr>
        <w:t>由</w:t>
      </w:r>
      <w:r>
        <w:rPr>
          <w:rFonts w:ascii="宋体" w:hAnsi="宋体" w:cs="宋体" w:hint="eastAsia"/>
          <w:kern w:val="0"/>
          <w:szCs w:val="18"/>
        </w:rPr>
        <w:t>供应商出具授权委托书及被授权人身份证在项目结果公告发布后的三个工作日内办理退回手续。（2）中标的供应商投标样品，要求采购人代表凭中标通知书复印件及身份证在中标通知书发放后三个工作日内办理领取手续。</w:t>
      </w:r>
    </w:p>
    <w:p>
      <w:pPr>
        <w:ind w:firstLine="420" w:firstLineChars="200"/>
        <w:rPr>
          <w:rFonts w:ascii="宋体" w:hAnsi="宋体" w:cs="宋体"/>
          <w:kern w:val="0"/>
          <w:szCs w:val="18"/>
        </w:rPr>
      </w:pPr>
      <w:r>
        <w:rPr>
          <w:rFonts w:ascii="宋体" w:hAnsi="宋体" w:cs="宋体" w:hint="eastAsia"/>
          <w:kern w:val="0"/>
          <w:szCs w:val="18"/>
        </w:rPr>
        <w:t>投标样品移交时，深圳公共资源交易中心（深圳交易集团有限公司政府采购业务分公司）工作人员将再次核对供应商授权委托人或采购人代表身份、核对《样品清单》，签字确认后并取走样品。</w:t>
      </w:r>
    </w:p>
    <w:p>
      <w:pPr>
        <w:ind w:firstLine="420" w:firstLineChars="200"/>
        <w:rPr>
          <w:rFonts w:ascii="宋体" w:hAnsi="宋体" w:cs="宋体"/>
          <w:kern w:val="0"/>
          <w:szCs w:val="18"/>
        </w:rPr>
      </w:pPr>
      <w:r>
        <w:rPr>
          <w:rFonts w:ascii="宋体" w:hAnsi="宋体" w:cs="宋体" w:hint="eastAsia"/>
          <w:kern w:val="0"/>
          <w:szCs w:val="18"/>
        </w:rPr>
        <w:t>6、未能及时退回的样品的处理：</w:t>
      </w:r>
    </w:p>
    <w:p>
      <w:pPr>
        <w:ind w:firstLine="420" w:firstLineChars="200"/>
        <w:rPr>
          <w:rFonts w:ascii="宋体" w:hAnsi="宋体" w:cs="宋体"/>
          <w:kern w:val="0"/>
          <w:szCs w:val="18"/>
        </w:rPr>
      </w:pPr>
      <w:r>
        <w:rPr>
          <w:rFonts w:ascii="宋体" w:hAnsi="宋体" w:cs="宋体" w:hint="eastAsia"/>
          <w:kern w:val="0"/>
          <w:szCs w:val="18"/>
        </w:rPr>
        <w:t>（1）未中标供应商未在规定时间内（项目结果公告发布后的三个工作日内）内取回投标样品的，视为放弃取回，深圳公共资源交易中心（深圳交易集团有限公司政府采购业务分公司）将定期清理。</w:t>
      </w:r>
    </w:p>
    <w:p>
      <w:pPr>
        <w:ind w:firstLine="420" w:firstLineChars="200"/>
        <w:rPr>
          <w:rFonts w:ascii="宋体" w:hAnsi="宋体" w:cs="宋体"/>
          <w:kern w:val="0"/>
          <w:szCs w:val="18"/>
        </w:rPr>
      </w:pPr>
      <w:r>
        <w:rPr>
          <w:rFonts w:ascii="宋体" w:hAnsi="宋体" w:cs="宋体" w:hint="eastAsia"/>
          <w:kern w:val="0"/>
          <w:szCs w:val="18"/>
        </w:rPr>
        <w:t>（2）采购人未在规定时间内（中标通知书发放后三个工作日内）内领取中标供应商投标样品的，视同采购人主动放弃取回，深圳公共资源交易中心（深圳交易集团有限公司政府采购业务分公司）将定期清理。</w:t>
      </w:r>
    </w:p>
    <w:p>
      <w:pPr>
        <w:ind w:firstLine="420" w:firstLineChars="200"/>
        <w:rPr>
          <w:rFonts w:ascii="宋体" w:hAnsi="宋体" w:cs="宋体"/>
          <w:kern w:val="0"/>
          <w:szCs w:val="18"/>
        </w:rPr>
      </w:pPr>
      <w:r>
        <w:rPr>
          <w:rFonts w:ascii="宋体" w:hAnsi="宋体" w:cs="宋体" w:hint="eastAsia"/>
          <w:kern w:val="0"/>
          <w:szCs w:val="18"/>
        </w:rPr>
        <w:t>（二）样品清单：</w:t>
      </w:r>
    </w:p>
    <w:tbl>
      <w:tblPr>
        <w:tblStyle w:val="TableNormal"/>
        <w:tblW w:w="3053" w:type="pct"/>
        <w:jc w:val="center"/>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697"/>
        <w:gridCol w:w="1300"/>
        <w:gridCol w:w="623"/>
        <w:gridCol w:w="745"/>
        <w:gridCol w:w="1843"/>
      </w:tblGrid>
      <w:tr>
        <w:tblPrEx>
          <w:tblW w:w="3053" w:type="pct"/>
          <w:jc w:val="center"/>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jc w:val="center"/>
        </w:trPr>
        <w:tc>
          <w:tcPr>
            <w:tcW w:w="669"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序号</w:t>
            </w:r>
          </w:p>
        </w:tc>
        <w:tc>
          <w:tcPr>
            <w:tcW w:w="1248"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名称</w:t>
            </w:r>
          </w:p>
        </w:tc>
        <w:tc>
          <w:tcPr>
            <w:tcW w:w="598"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数量</w:t>
            </w:r>
          </w:p>
        </w:tc>
        <w:tc>
          <w:tcPr>
            <w:tcW w:w="715" w:type="pct"/>
          </w:tcPr>
          <w:p>
            <w:pPr>
              <w:jc w:val="center"/>
              <w:rPr>
                <w:rFonts w:ascii="宋体" w:hAnsi="宋体"/>
                <w:bCs/>
                <w:snapToGrid w:val="0"/>
                <w:color w:val="000000"/>
                <w:kern w:val="0"/>
                <w:szCs w:val="21"/>
              </w:rPr>
            </w:pPr>
            <w:r>
              <w:rPr>
                <w:rFonts w:ascii="宋体" w:hAnsi="宋体" w:hint="eastAsia"/>
                <w:bCs/>
                <w:snapToGrid w:val="0"/>
                <w:color w:val="000000"/>
                <w:kern w:val="0"/>
                <w:szCs w:val="21"/>
              </w:rPr>
              <w:t>单位</w:t>
            </w:r>
          </w:p>
        </w:tc>
        <w:tc>
          <w:tcPr>
            <w:tcW w:w="1768" w:type="pct"/>
          </w:tcPr>
          <w:p>
            <w:pPr>
              <w:jc w:val="center"/>
              <w:rPr>
                <w:rFonts w:ascii="宋体" w:hAnsi="宋体"/>
                <w:bCs/>
                <w:snapToGrid w:val="0"/>
                <w:color w:val="000000"/>
                <w:kern w:val="0"/>
                <w:szCs w:val="21"/>
              </w:rPr>
            </w:pPr>
            <w:r>
              <w:rPr>
                <w:rFonts w:ascii="宋体" w:hAnsi="宋体" w:hint="eastAsia"/>
                <w:bCs/>
                <w:snapToGrid w:val="0"/>
                <w:color w:val="000000"/>
                <w:kern w:val="0"/>
                <w:szCs w:val="21"/>
              </w:rPr>
              <w:t>规格（mm）</w:t>
            </w:r>
          </w:p>
        </w:tc>
      </w:tr>
      <w:tr>
        <w:tblPrEx>
          <w:tblW w:w="3053" w:type="pct"/>
          <w:jc w:val="center"/>
          <w:tblInd w:w="1660" w:type="dxa"/>
          <w:tblCellMar>
            <w:top w:w="0" w:type="dxa"/>
            <w:left w:w="108" w:type="dxa"/>
            <w:bottom w:w="0" w:type="dxa"/>
            <w:right w:w="108" w:type="dxa"/>
          </w:tblCellMar>
          <w:tblLook w:val="0000"/>
        </w:tblPrEx>
        <w:trPr>
          <w:trHeight w:val="310"/>
          <w:jc w:val="center"/>
        </w:trPr>
        <w:tc>
          <w:tcPr>
            <w:tcW w:w="669" w:type="pct"/>
            <w:vAlign w:val="center"/>
          </w:tcPr>
          <w:p>
            <w:pPr>
              <w:jc w:val="center"/>
              <w:rPr>
                <w:rFonts w:ascii="宋体" w:hAnsi="宋体"/>
                <w:bCs/>
                <w:snapToGrid w:val="0"/>
                <w:color w:val="000000"/>
                <w:kern w:val="0"/>
                <w:szCs w:val="21"/>
              </w:rPr>
            </w:pPr>
            <w:r>
              <w:rPr>
                <w:rFonts w:ascii="宋体" w:hAnsi="宋体" w:hint="eastAsia"/>
                <w:bCs/>
                <w:snapToGrid w:val="0"/>
                <w:color w:val="000000"/>
                <w:kern w:val="0"/>
                <w:szCs w:val="21"/>
              </w:rPr>
              <w:t>1</w:t>
            </w:r>
          </w:p>
        </w:tc>
        <w:tc>
          <w:tcPr>
            <w:tcW w:w="124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理化板台面</w:t>
            </w:r>
          </w:p>
        </w:tc>
        <w:tc>
          <w:tcPr>
            <w:tcW w:w="59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1</w:t>
            </w:r>
          </w:p>
        </w:tc>
        <w:tc>
          <w:tcPr>
            <w:tcW w:w="715" w:type="pct"/>
          </w:tcPr>
          <w:p>
            <w:pPr>
              <w:spacing w:line="240" w:lineRule="auto"/>
              <w:jc w:val="center"/>
              <w:rPr>
                <w:rFonts w:ascii="宋体" w:hAnsi="宋体"/>
                <w:bCs/>
                <w:snapToGrid w:val="0"/>
                <w:color w:val="000000"/>
                <w:kern w:val="0"/>
                <w:szCs w:val="21"/>
              </w:rPr>
            </w:pPr>
            <w:r>
              <w:rPr>
                <w:rFonts w:ascii="宋体" w:hAnsi="宋体" w:hint="eastAsia"/>
                <w:bCs/>
                <w:snapToGrid w:val="0"/>
                <w:color w:val="000000"/>
                <w:kern w:val="0"/>
                <w:szCs w:val="21"/>
              </w:rPr>
              <w:t>份</w:t>
            </w:r>
          </w:p>
        </w:tc>
        <w:tc>
          <w:tcPr>
            <w:tcW w:w="1768" w:type="pct"/>
          </w:tcPr>
          <w:p>
            <w:pPr>
              <w:jc w:val="left"/>
              <w:rPr>
                <w:rFonts w:ascii="宋体" w:hAnsi="宋体"/>
                <w:bCs/>
                <w:snapToGrid w:val="0"/>
                <w:color w:val="000000"/>
                <w:kern w:val="0"/>
                <w:szCs w:val="21"/>
              </w:rPr>
            </w:pPr>
            <w:r>
              <w:rPr>
                <w:rFonts w:ascii="宋体" w:hAnsi="宋体" w:hint="eastAsia"/>
                <w:bCs/>
                <w:snapToGrid w:val="0"/>
                <w:color w:val="000000"/>
                <w:kern w:val="0"/>
                <w:szCs w:val="21"/>
              </w:rPr>
              <w:t>长宽厚2</w:t>
            </w:r>
            <w:r>
              <w:rPr>
                <w:rFonts w:ascii="宋体" w:hAnsi="宋体"/>
                <w:bCs/>
                <w:snapToGrid w:val="0"/>
                <w:color w:val="000000"/>
                <w:kern w:val="0"/>
                <w:szCs w:val="21"/>
              </w:rPr>
              <w:t>00</w:t>
            </w:r>
            <w:r>
              <w:rPr>
                <w:rFonts w:ascii="宋体" w:hAnsi="宋体" w:hint="eastAsia"/>
                <w:bCs/>
                <w:snapToGrid w:val="0"/>
                <w:color w:val="000000"/>
                <w:kern w:val="0"/>
                <w:szCs w:val="21"/>
              </w:rPr>
              <w:t>*</w:t>
            </w:r>
            <w:r>
              <w:rPr>
                <w:rFonts w:ascii="宋体" w:hAnsi="宋体"/>
                <w:bCs/>
                <w:snapToGrid w:val="0"/>
                <w:color w:val="000000"/>
                <w:kern w:val="0"/>
                <w:szCs w:val="21"/>
              </w:rPr>
              <w:t>200</w:t>
            </w:r>
            <w:r>
              <w:rPr>
                <w:rFonts w:ascii="宋体" w:hAnsi="宋体" w:hint="eastAsia"/>
                <w:bCs/>
                <w:snapToGrid w:val="0"/>
                <w:color w:val="000000"/>
                <w:kern w:val="0"/>
                <w:szCs w:val="21"/>
              </w:rPr>
              <w:t>*</w:t>
            </w:r>
            <w:r>
              <w:rPr>
                <w:rFonts w:ascii="宋体" w:hAnsi="宋体"/>
                <w:bCs/>
                <w:snapToGrid w:val="0"/>
                <w:color w:val="000000"/>
                <w:kern w:val="0"/>
                <w:szCs w:val="21"/>
              </w:rPr>
              <w:t>12</w:t>
            </w:r>
            <w:r>
              <w:rPr>
                <w:rFonts w:ascii="宋体" w:hAnsi="宋体" w:hint="eastAsia"/>
                <w:bCs/>
                <w:snapToGrid w:val="0"/>
                <w:color w:val="000000"/>
                <w:kern w:val="0"/>
                <w:szCs w:val="21"/>
              </w:rPr>
              <w:t>.</w:t>
            </w:r>
            <w:r>
              <w:rPr>
                <w:rFonts w:ascii="宋体" w:hAnsi="宋体"/>
                <w:bCs/>
                <w:snapToGrid w:val="0"/>
                <w:color w:val="000000"/>
                <w:kern w:val="0"/>
                <w:szCs w:val="21"/>
              </w:rPr>
              <w:t>7</w:t>
            </w:r>
          </w:p>
        </w:tc>
      </w:tr>
      <w:tr>
        <w:tblPrEx>
          <w:tblW w:w="3053" w:type="pct"/>
          <w:jc w:val="center"/>
          <w:tblInd w:w="1660" w:type="dxa"/>
          <w:tblCellMar>
            <w:top w:w="0" w:type="dxa"/>
            <w:left w:w="108" w:type="dxa"/>
            <w:bottom w:w="0" w:type="dxa"/>
            <w:right w:w="108" w:type="dxa"/>
          </w:tblCellMar>
          <w:tblLook w:val="0000"/>
        </w:tblPrEx>
        <w:trPr>
          <w:trHeight w:val="365"/>
          <w:jc w:val="center"/>
        </w:trPr>
        <w:tc>
          <w:tcPr>
            <w:tcW w:w="669" w:type="pct"/>
            <w:vAlign w:val="center"/>
          </w:tcPr>
          <w:p>
            <w:pPr>
              <w:ind w:firstLine="210" w:firstLineChars="100"/>
              <w:rPr>
                <w:rFonts w:ascii="宋体" w:hAnsi="宋体"/>
                <w:bCs/>
                <w:snapToGrid w:val="0"/>
                <w:color w:val="000000"/>
                <w:kern w:val="0"/>
                <w:szCs w:val="21"/>
              </w:rPr>
            </w:pPr>
            <w:r>
              <w:rPr>
                <w:rFonts w:ascii="宋体" w:hAnsi="宋体" w:hint="eastAsia"/>
                <w:bCs/>
                <w:snapToGrid w:val="0"/>
                <w:color w:val="000000"/>
                <w:kern w:val="0"/>
                <w:szCs w:val="21"/>
              </w:rPr>
              <w:t>2</w:t>
            </w:r>
          </w:p>
        </w:tc>
        <w:tc>
          <w:tcPr>
            <w:tcW w:w="124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防静电台面</w:t>
            </w:r>
          </w:p>
        </w:tc>
        <w:tc>
          <w:tcPr>
            <w:tcW w:w="598" w:type="pct"/>
            <w:vAlign w:val="center"/>
          </w:tcPr>
          <w:p>
            <w:pPr>
              <w:jc w:val="left"/>
              <w:rPr>
                <w:rFonts w:ascii="宋体" w:hAnsi="宋体"/>
                <w:bCs/>
                <w:snapToGrid w:val="0"/>
                <w:color w:val="000000"/>
                <w:kern w:val="0"/>
                <w:szCs w:val="21"/>
              </w:rPr>
            </w:pPr>
            <w:r>
              <w:rPr>
                <w:rFonts w:ascii="宋体" w:hAnsi="宋体" w:hint="eastAsia"/>
                <w:bCs/>
                <w:snapToGrid w:val="0"/>
                <w:color w:val="000000"/>
                <w:kern w:val="0"/>
                <w:szCs w:val="21"/>
              </w:rPr>
              <w:t>1</w:t>
            </w:r>
          </w:p>
        </w:tc>
        <w:tc>
          <w:tcPr>
            <w:tcW w:w="715" w:type="pct"/>
          </w:tcPr>
          <w:p>
            <w:pPr>
              <w:spacing w:line="240" w:lineRule="auto"/>
              <w:jc w:val="center"/>
              <w:rPr>
                <w:rFonts w:ascii="宋体" w:hAnsi="宋体"/>
                <w:bCs/>
                <w:snapToGrid w:val="0"/>
                <w:color w:val="000000"/>
                <w:kern w:val="0"/>
                <w:szCs w:val="21"/>
              </w:rPr>
            </w:pPr>
            <w:r>
              <w:rPr>
                <w:rFonts w:ascii="宋体" w:hAnsi="宋体" w:hint="eastAsia"/>
                <w:bCs/>
                <w:snapToGrid w:val="0"/>
                <w:color w:val="000000"/>
                <w:kern w:val="0"/>
                <w:szCs w:val="21"/>
              </w:rPr>
              <w:t>份</w:t>
            </w:r>
          </w:p>
        </w:tc>
        <w:tc>
          <w:tcPr>
            <w:tcW w:w="1768" w:type="pct"/>
          </w:tcPr>
          <w:p>
            <w:pPr>
              <w:jc w:val="left"/>
              <w:rPr>
                <w:rFonts w:ascii="宋体" w:hAnsi="宋体"/>
                <w:bCs/>
                <w:snapToGrid w:val="0"/>
                <w:color w:val="000000"/>
                <w:kern w:val="0"/>
                <w:szCs w:val="21"/>
              </w:rPr>
            </w:pPr>
            <w:r>
              <w:rPr>
                <w:rFonts w:ascii="宋体" w:hAnsi="宋体" w:hint="eastAsia"/>
                <w:bCs/>
                <w:snapToGrid w:val="0"/>
                <w:color w:val="000000"/>
                <w:kern w:val="0"/>
                <w:szCs w:val="21"/>
              </w:rPr>
              <w:t>长宽厚2</w:t>
            </w:r>
            <w:r>
              <w:rPr>
                <w:rFonts w:ascii="宋体" w:hAnsi="宋体"/>
                <w:bCs/>
                <w:snapToGrid w:val="0"/>
                <w:color w:val="000000"/>
                <w:kern w:val="0"/>
                <w:szCs w:val="21"/>
              </w:rPr>
              <w:t>00</w:t>
            </w:r>
            <w:r>
              <w:rPr>
                <w:rFonts w:ascii="宋体" w:hAnsi="宋体" w:hint="eastAsia"/>
                <w:bCs/>
                <w:snapToGrid w:val="0"/>
                <w:color w:val="000000"/>
                <w:kern w:val="0"/>
                <w:szCs w:val="21"/>
              </w:rPr>
              <w:t>*</w:t>
            </w:r>
            <w:r>
              <w:rPr>
                <w:rFonts w:ascii="宋体" w:hAnsi="宋体"/>
                <w:bCs/>
                <w:snapToGrid w:val="0"/>
                <w:color w:val="000000"/>
                <w:kern w:val="0"/>
                <w:szCs w:val="21"/>
              </w:rPr>
              <w:t>200</w:t>
            </w:r>
            <w:r>
              <w:rPr>
                <w:rFonts w:ascii="宋体" w:hAnsi="宋体" w:hint="eastAsia"/>
                <w:bCs/>
                <w:snapToGrid w:val="0"/>
                <w:color w:val="000000"/>
                <w:kern w:val="0"/>
                <w:szCs w:val="21"/>
              </w:rPr>
              <w:t>*</w:t>
            </w:r>
            <w:r>
              <w:rPr>
                <w:rFonts w:ascii="宋体" w:hAnsi="宋体"/>
                <w:bCs/>
                <w:snapToGrid w:val="0"/>
                <w:color w:val="000000"/>
                <w:kern w:val="0"/>
                <w:szCs w:val="21"/>
              </w:rPr>
              <w:t>12</w:t>
            </w:r>
            <w:r>
              <w:rPr>
                <w:rFonts w:ascii="宋体" w:hAnsi="宋体" w:hint="eastAsia"/>
                <w:bCs/>
                <w:snapToGrid w:val="0"/>
                <w:color w:val="000000"/>
                <w:kern w:val="0"/>
                <w:szCs w:val="21"/>
              </w:rPr>
              <w:t>.</w:t>
            </w:r>
            <w:r>
              <w:rPr>
                <w:rFonts w:ascii="宋体" w:hAnsi="宋体"/>
                <w:bCs/>
                <w:snapToGrid w:val="0"/>
                <w:color w:val="000000"/>
                <w:kern w:val="0"/>
                <w:szCs w:val="21"/>
              </w:rPr>
              <w:t>7</w:t>
            </w:r>
          </w:p>
        </w:tc>
      </w:tr>
      <w:tr>
        <w:tblPrEx>
          <w:tblW w:w="3053" w:type="pct"/>
          <w:jc w:val="center"/>
          <w:tblInd w:w="1660" w:type="dxa"/>
          <w:tblCellMar>
            <w:top w:w="0" w:type="dxa"/>
            <w:left w:w="108" w:type="dxa"/>
            <w:bottom w:w="0" w:type="dxa"/>
            <w:right w:w="108" w:type="dxa"/>
          </w:tblCellMar>
          <w:tblLook w:val="0000"/>
        </w:tblPrEx>
        <w:trPr>
          <w:trHeight w:val="355"/>
          <w:jc w:val="center"/>
        </w:trPr>
        <w:tc>
          <w:tcPr>
            <w:tcW w:w="669" w:type="pct"/>
            <w:vAlign w:val="center"/>
          </w:tcPr>
          <w:p>
            <w:pPr>
              <w:ind w:firstLine="210" w:firstLineChars="100"/>
              <w:rPr>
                <w:rFonts w:ascii="宋体" w:hAnsi="宋体"/>
                <w:bCs/>
                <w:snapToGrid w:val="0"/>
                <w:kern w:val="0"/>
                <w:szCs w:val="21"/>
              </w:rPr>
            </w:pPr>
            <w:r>
              <w:rPr>
                <w:rFonts w:ascii="宋体" w:hAnsi="宋体" w:hint="eastAsia"/>
                <w:bCs/>
                <w:snapToGrid w:val="0"/>
                <w:kern w:val="0"/>
                <w:szCs w:val="21"/>
              </w:rPr>
              <w:t>3</w:t>
            </w:r>
          </w:p>
        </w:tc>
        <w:tc>
          <w:tcPr>
            <w:tcW w:w="1248" w:type="pct"/>
            <w:vAlign w:val="center"/>
          </w:tcPr>
          <w:p>
            <w:pPr>
              <w:jc w:val="left"/>
              <w:rPr>
                <w:rFonts w:ascii="宋体" w:hAnsi="宋体"/>
                <w:bCs/>
                <w:snapToGrid w:val="0"/>
                <w:kern w:val="0"/>
                <w:szCs w:val="21"/>
              </w:rPr>
            </w:pPr>
            <w:r>
              <w:rPr>
                <w:rFonts w:ascii="宋体" w:hAnsi="宋体" w:hint="eastAsia"/>
                <w:bCs/>
                <w:snapToGrid w:val="0"/>
                <w:kern w:val="0"/>
                <w:szCs w:val="21"/>
              </w:rPr>
              <w:t>水槽台的陶瓷板台面</w:t>
            </w:r>
          </w:p>
        </w:tc>
        <w:tc>
          <w:tcPr>
            <w:tcW w:w="598" w:type="pct"/>
            <w:vAlign w:val="center"/>
          </w:tcPr>
          <w:p>
            <w:pPr>
              <w:jc w:val="left"/>
              <w:rPr>
                <w:rFonts w:ascii="宋体" w:hAnsi="宋体"/>
                <w:bCs/>
                <w:snapToGrid w:val="0"/>
                <w:kern w:val="0"/>
                <w:szCs w:val="21"/>
              </w:rPr>
            </w:pPr>
            <w:r>
              <w:rPr>
                <w:rFonts w:ascii="宋体" w:hAnsi="宋体" w:hint="eastAsia"/>
                <w:bCs/>
                <w:snapToGrid w:val="0"/>
                <w:kern w:val="0"/>
                <w:szCs w:val="21"/>
              </w:rPr>
              <w:t>1</w:t>
            </w:r>
          </w:p>
        </w:tc>
        <w:tc>
          <w:tcPr>
            <w:tcW w:w="715" w:type="pct"/>
          </w:tcPr>
          <w:p>
            <w:pPr>
              <w:spacing w:line="240" w:lineRule="auto"/>
              <w:jc w:val="center"/>
              <w:rPr>
                <w:rFonts w:ascii="宋体" w:hAnsi="宋体"/>
                <w:bCs/>
                <w:snapToGrid w:val="0"/>
                <w:kern w:val="0"/>
                <w:szCs w:val="21"/>
              </w:rPr>
            </w:pPr>
            <w:r>
              <w:rPr>
                <w:rFonts w:ascii="宋体" w:hAnsi="宋体" w:hint="eastAsia"/>
                <w:bCs/>
                <w:snapToGrid w:val="0"/>
                <w:kern w:val="0"/>
                <w:szCs w:val="21"/>
              </w:rPr>
              <w:t>份</w:t>
            </w:r>
          </w:p>
        </w:tc>
        <w:tc>
          <w:tcPr>
            <w:tcW w:w="1768" w:type="pct"/>
          </w:tcPr>
          <w:p>
            <w:pPr>
              <w:jc w:val="left"/>
              <w:rPr>
                <w:rFonts w:ascii="宋体" w:hAnsi="宋体"/>
                <w:bCs/>
                <w:snapToGrid w:val="0"/>
                <w:kern w:val="0"/>
                <w:szCs w:val="21"/>
              </w:rPr>
            </w:pPr>
            <w:r>
              <w:rPr>
                <w:rFonts w:ascii="宋体" w:hAnsi="宋体" w:hint="eastAsia"/>
                <w:bCs/>
                <w:snapToGrid w:val="0"/>
                <w:color w:val="000000"/>
                <w:kern w:val="0"/>
                <w:szCs w:val="21"/>
              </w:rPr>
              <w:t>长宽厚</w:t>
            </w:r>
            <w:r>
              <w:rPr>
                <w:rFonts w:ascii="宋体" w:hAnsi="宋体" w:hint="eastAsia"/>
                <w:bCs/>
                <w:snapToGrid w:val="0"/>
                <w:kern w:val="0"/>
                <w:szCs w:val="21"/>
              </w:rPr>
              <w:t>2</w:t>
            </w:r>
            <w:r>
              <w:rPr>
                <w:rFonts w:ascii="宋体" w:hAnsi="宋体"/>
                <w:bCs/>
                <w:snapToGrid w:val="0"/>
                <w:kern w:val="0"/>
                <w:szCs w:val="21"/>
              </w:rPr>
              <w:t>00</w:t>
            </w:r>
            <w:r>
              <w:rPr>
                <w:rFonts w:ascii="宋体" w:hAnsi="宋体" w:hint="eastAsia"/>
                <w:bCs/>
                <w:snapToGrid w:val="0"/>
                <w:kern w:val="0"/>
                <w:szCs w:val="21"/>
              </w:rPr>
              <w:t>*</w:t>
            </w:r>
            <w:r>
              <w:rPr>
                <w:rFonts w:ascii="宋体" w:hAnsi="宋体"/>
                <w:bCs/>
                <w:snapToGrid w:val="0"/>
                <w:kern w:val="0"/>
                <w:szCs w:val="21"/>
              </w:rPr>
              <w:t>200</w:t>
            </w:r>
            <w:r>
              <w:rPr>
                <w:rFonts w:ascii="宋体" w:hAnsi="宋体" w:hint="eastAsia"/>
                <w:bCs/>
                <w:snapToGrid w:val="0"/>
                <w:kern w:val="0"/>
                <w:szCs w:val="21"/>
              </w:rPr>
              <w:t>*</w:t>
            </w:r>
            <w:r>
              <w:rPr>
                <w:rFonts w:ascii="宋体" w:hAnsi="宋体"/>
                <w:bCs/>
                <w:snapToGrid w:val="0"/>
                <w:kern w:val="0"/>
                <w:szCs w:val="21"/>
              </w:rPr>
              <w:t>25（</w:t>
            </w:r>
            <w:r>
              <w:rPr>
                <w:rFonts w:ascii="宋体" w:hAnsi="宋体" w:hint="eastAsia"/>
                <w:bCs/>
                <w:snapToGrid w:val="0"/>
                <w:kern w:val="0"/>
                <w:szCs w:val="21"/>
              </w:rPr>
              <w:t>台面最厚处达2</w:t>
            </w:r>
            <w:r>
              <w:rPr>
                <w:rFonts w:ascii="宋体" w:hAnsi="宋体"/>
                <w:bCs/>
                <w:snapToGrid w:val="0"/>
                <w:kern w:val="0"/>
                <w:szCs w:val="21"/>
              </w:rPr>
              <w:t>5</w:t>
            </w:r>
            <w:r>
              <w:rPr>
                <w:rFonts w:ascii="宋体" w:hAnsi="宋体" w:hint="eastAsia"/>
                <w:bCs/>
                <w:snapToGrid w:val="0"/>
                <w:kern w:val="0"/>
                <w:szCs w:val="21"/>
              </w:rPr>
              <w:t>mm</w:t>
            </w:r>
            <w:r>
              <w:rPr>
                <w:rFonts w:ascii="宋体" w:hAnsi="宋体"/>
                <w:bCs/>
                <w:snapToGrid w:val="0"/>
                <w:kern w:val="0"/>
                <w:szCs w:val="21"/>
              </w:rPr>
              <w:t>）</w:t>
            </w:r>
          </w:p>
        </w:tc>
      </w:tr>
    </w:tbl>
    <w:p>
      <w:pPr>
        <w:rPr>
          <w:color w:val="FF0000"/>
          <w:szCs w:val="21"/>
        </w:rPr>
      </w:pPr>
      <w:r>
        <w:rPr>
          <w:rFonts w:hint="eastAsia"/>
          <w:color w:val="FF0000"/>
          <w:szCs w:val="21"/>
        </w:rPr>
        <w:t>备注：投标样品将作为履约验收的参考。</w:t>
      </w:r>
    </w:p>
    <w:p>
      <w:pPr>
        <w:rPr>
          <w:rFonts w:ascii="宋体" w:hAnsi="宋体" w:cs="仿宋_GB2312"/>
          <w:szCs w:val="21"/>
        </w:rPr>
      </w:pPr>
      <w:bookmarkStart w:id="67" w:name="_Hlk72167863"/>
      <w:bookmarkStart w:id="68" w:name="_Hlk106183334"/>
    </w:p>
    <w:p>
      <w:pPr>
        <w:pStyle w:val="BodyText2"/>
      </w:pPr>
    </w:p>
    <w:p>
      <w:pPr>
        <w:ind w:firstLine="420" w:firstLineChars="200"/>
        <w:rPr>
          <w:rFonts w:ascii="微软雅黑" w:eastAsia="微软雅黑" w:hAnsi="微软雅黑" w:cs="微软雅黑"/>
          <w:b/>
          <w:bCs/>
        </w:rPr>
      </w:pPr>
      <w:r>
        <w:rPr>
          <w:rFonts w:ascii="宋体" w:hAnsi="宋体" w:cs="仿宋_GB2312" w:hint="eastAsia"/>
          <w:szCs w:val="21"/>
        </w:rPr>
        <w:t>（三）</w:t>
      </w:r>
      <w:bookmarkEnd w:id="67"/>
      <w:r>
        <w:rPr>
          <w:rFonts w:ascii="宋体" w:hAnsi="宋体" w:cs="仿宋_GB2312" w:hint="eastAsia"/>
          <w:szCs w:val="21"/>
        </w:rPr>
        <w:t>附件：样品放置授权委托书</w:t>
      </w:r>
    </w:p>
    <w:p>
      <w:pPr>
        <w:jc w:val="center"/>
        <w:rPr>
          <w:rFonts w:ascii="宋体" w:hAnsi="宋体" w:cs="微软雅黑"/>
          <w:sz w:val="32"/>
          <w:szCs w:val="40"/>
        </w:rPr>
      </w:pPr>
      <w:bookmarkStart w:id="69" w:name="_Hlk106183283"/>
      <w:bookmarkStart w:id="70" w:name="_Hlk106278670"/>
      <w:r>
        <w:rPr>
          <w:rFonts w:ascii="宋体" w:hAnsi="宋体" w:cs="微软雅黑" w:hint="eastAsia"/>
          <w:sz w:val="32"/>
          <w:szCs w:val="40"/>
        </w:rPr>
        <w:t>样品放置授权委托书</w:t>
      </w:r>
    </w:p>
    <w:p>
      <w:pPr>
        <w:spacing w:line="360" w:lineRule="auto"/>
        <w:ind w:firstLine="420" w:firstLineChars="200"/>
        <w:rPr>
          <w:sz w:val="22"/>
          <w:szCs w:val="22"/>
        </w:rPr>
      </w:pPr>
      <w:bookmarkEnd w:id="69"/>
      <w:r>
        <w:rPr>
          <w:rFonts w:hint="eastAsia"/>
          <w:sz w:val="22"/>
          <w:szCs w:val="22"/>
        </w:rPr>
        <w:t>本授权委托书声明：我</w:t>
      </w:r>
      <w:r>
        <w:rPr>
          <w:rFonts w:hint="eastAsia"/>
          <w:sz w:val="22"/>
          <w:szCs w:val="22"/>
          <w:u w:val="single"/>
        </w:rPr>
        <w:t xml:space="preserve">           </w:t>
      </w:r>
      <w:r>
        <w:rPr>
          <w:rFonts w:hint="eastAsia"/>
          <w:sz w:val="22"/>
          <w:szCs w:val="22"/>
        </w:rPr>
        <w:t>（姓名）系</w:t>
      </w:r>
      <w:r>
        <w:rPr>
          <w:rFonts w:hint="eastAsia"/>
          <w:sz w:val="22"/>
          <w:szCs w:val="22"/>
          <w:u w:val="single"/>
        </w:rPr>
        <w:t xml:space="preserve">             </w:t>
      </w:r>
      <w:r>
        <w:rPr>
          <w:rFonts w:hint="eastAsia"/>
          <w:sz w:val="22"/>
          <w:szCs w:val="22"/>
        </w:rPr>
        <w:t>（投标人名称）的法定代表人（负责人），现授权委托</w:t>
      </w:r>
      <w:r>
        <w:rPr>
          <w:rFonts w:hint="eastAsia"/>
          <w:sz w:val="22"/>
          <w:szCs w:val="22"/>
          <w:u w:val="single"/>
        </w:rPr>
        <w:t xml:space="preserve">            </w:t>
      </w:r>
      <w:r>
        <w:rPr>
          <w:rFonts w:hint="eastAsia"/>
          <w:sz w:val="22"/>
          <w:szCs w:val="22"/>
        </w:rPr>
        <w:t>（姓名）为我单位参与</w:t>
      </w:r>
      <w:r>
        <w:rPr>
          <w:rFonts w:hint="eastAsia"/>
          <w:sz w:val="22"/>
          <w:szCs w:val="22"/>
          <w:u w:val="single"/>
        </w:rPr>
        <w:t>（此处填写项目名称）</w:t>
      </w:r>
      <w:r>
        <w:rPr>
          <w:rFonts w:hint="eastAsia"/>
          <w:sz w:val="22"/>
          <w:szCs w:val="22"/>
        </w:rPr>
        <w:t>项目，项目编号：</w:t>
      </w:r>
      <w:r>
        <w:rPr>
          <w:sz w:val="22"/>
          <w:szCs w:val="22"/>
          <w:u w:val="single"/>
        </w:rPr>
        <w:t xml:space="preserve">   </w:t>
      </w:r>
      <w:r>
        <w:rPr>
          <w:rFonts w:hint="eastAsia"/>
          <w:sz w:val="22"/>
          <w:szCs w:val="22"/>
          <w:u w:val="single"/>
        </w:rPr>
        <w:t xml:space="preserve">      （此处填写项目编号）</w:t>
      </w:r>
      <w:r>
        <w:rPr>
          <w:rFonts w:hint="eastAsia"/>
          <w:sz w:val="22"/>
          <w:szCs w:val="22"/>
        </w:rPr>
        <w:t>样品放置工作的授权委托代理人，代理人全权代表我参与项目样品放置，样品放置的内容我均承认。</w:t>
      </w:r>
    </w:p>
    <w:p>
      <w:pPr>
        <w:spacing w:line="360" w:lineRule="auto"/>
        <w:ind w:firstLine="420"/>
        <w:rPr>
          <w:sz w:val="22"/>
          <w:szCs w:val="22"/>
        </w:rPr>
      </w:pPr>
      <w:r>
        <w:rPr>
          <w:rFonts w:hint="eastAsia"/>
          <w:sz w:val="22"/>
          <w:szCs w:val="22"/>
        </w:rPr>
        <w:t>代理人无转委托权，特此委托。</w:t>
      </w:r>
    </w:p>
    <w:p>
      <w:pPr>
        <w:spacing w:line="360" w:lineRule="auto"/>
        <w:ind w:firstLine="420"/>
        <w:rPr>
          <w:sz w:val="22"/>
          <w:szCs w:val="22"/>
        </w:rPr>
      </w:pPr>
    </w:p>
    <w:p>
      <w:pPr>
        <w:spacing w:line="360" w:lineRule="auto"/>
        <w:ind w:left="540" w:leftChars="257"/>
        <w:rPr>
          <w:sz w:val="22"/>
          <w:szCs w:val="22"/>
          <w:u w:val="single"/>
        </w:rPr>
      </w:pPr>
      <w:r>
        <w:rPr>
          <w:rFonts w:hint="eastAsia"/>
          <w:sz w:val="22"/>
          <w:szCs w:val="22"/>
        </w:rPr>
        <w:t>代理人：</w:t>
      </w:r>
      <w:r>
        <w:rPr>
          <w:rFonts w:hint="eastAsia"/>
          <w:sz w:val="22"/>
          <w:szCs w:val="22"/>
          <w:u w:val="single"/>
        </w:rPr>
        <w:t xml:space="preserve">             </w:t>
      </w:r>
    </w:p>
    <w:p>
      <w:pPr>
        <w:spacing w:line="360" w:lineRule="auto"/>
        <w:ind w:left="540" w:leftChars="257"/>
        <w:rPr>
          <w:sz w:val="22"/>
          <w:szCs w:val="22"/>
        </w:rPr>
      </w:pPr>
      <w:r>
        <w:rPr>
          <w:rFonts w:hint="eastAsia"/>
          <w:sz w:val="22"/>
          <w:szCs w:val="22"/>
        </w:rPr>
        <w:t>联系电话：</w:t>
      </w:r>
      <w:r>
        <w:rPr>
          <w:rFonts w:hint="eastAsia"/>
          <w:sz w:val="22"/>
          <w:szCs w:val="22"/>
          <w:u w:val="single"/>
        </w:rPr>
        <w:t xml:space="preserve">            </w:t>
      </w:r>
      <w:r>
        <w:rPr>
          <w:rFonts w:hint="eastAsia"/>
          <w:sz w:val="22"/>
          <w:szCs w:val="22"/>
        </w:rPr>
        <w:t xml:space="preserve">  手机：</w:t>
      </w:r>
      <w:r>
        <w:rPr>
          <w:rFonts w:hint="eastAsia"/>
          <w:sz w:val="22"/>
          <w:szCs w:val="22"/>
          <w:u w:val="single"/>
        </w:rPr>
        <w:t xml:space="preserve">                   </w:t>
      </w:r>
    </w:p>
    <w:p>
      <w:pPr>
        <w:spacing w:line="360" w:lineRule="auto"/>
        <w:ind w:left="540" w:leftChars="257"/>
        <w:rPr>
          <w:sz w:val="22"/>
          <w:szCs w:val="22"/>
          <w:u w:val="single"/>
        </w:rPr>
      </w:pPr>
      <w:r>
        <w:rPr>
          <w:rFonts w:hint="eastAsia"/>
          <w:sz w:val="22"/>
          <w:szCs w:val="22"/>
        </w:rPr>
        <w:t>身份证号码：</w:t>
      </w:r>
      <w:r>
        <w:rPr>
          <w:rFonts w:hint="eastAsia"/>
          <w:sz w:val="22"/>
          <w:szCs w:val="22"/>
          <w:u w:val="single"/>
        </w:rPr>
        <w:t xml:space="preserve">                        </w:t>
      </w:r>
      <w:r>
        <w:rPr>
          <w:rFonts w:hint="eastAsia"/>
          <w:sz w:val="22"/>
          <w:szCs w:val="22"/>
        </w:rPr>
        <w:t>职务：</w:t>
      </w:r>
      <w:r>
        <w:rPr>
          <w:rFonts w:hint="eastAsia"/>
          <w:sz w:val="22"/>
          <w:szCs w:val="22"/>
          <w:u w:val="single"/>
        </w:rPr>
        <w:t xml:space="preserve">       </w:t>
      </w:r>
    </w:p>
    <w:p>
      <w:pPr>
        <w:spacing w:line="360" w:lineRule="auto"/>
        <w:ind w:left="540" w:leftChars="257"/>
        <w:rPr>
          <w:sz w:val="22"/>
          <w:szCs w:val="22"/>
        </w:rPr>
      </w:pPr>
      <w:r>
        <w:rPr>
          <w:rFonts w:hint="eastAsia"/>
          <w:sz w:val="22"/>
          <w:szCs w:val="22"/>
        </w:rPr>
        <w:t>授权委托日期：</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 xml:space="preserve">月 </w:t>
      </w:r>
      <w:r>
        <w:rPr>
          <w:rFonts w:hint="eastAsia"/>
          <w:sz w:val="22"/>
          <w:szCs w:val="22"/>
          <w:u w:val="single"/>
        </w:rPr>
        <w:t xml:space="preserve">      </w:t>
      </w:r>
      <w:r>
        <w:rPr>
          <w:rFonts w:hint="eastAsia"/>
          <w:sz w:val="22"/>
          <w:szCs w:val="22"/>
        </w:rPr>
        <w:t>日</w:t>
      </w:r>
    </w:p>
    <w:p>
      <w:pPr>
        <w:rPr>
          <w:sz w:val="22"/>
          <w:szCs w:val="28"/>
        </w:rPr>
      </w:pPr>
    </w:p>
    <w:p>
      <w:pPr>
        <w:spacing w:line="360" w:lineRule="auto"/>
        <w:ind w:firstLine="420" w:firstLineChars="200"/>
        <w:rPr>
          <w:b/>
          <w:color w:val="FF0000"/>
          <w:sz w:val="22"/>
          <w:szCs w:val="22"/>
        </w:rPr>
      </w:pPr>
      <w:r>
        <w:rPr>
          <w:rFonts w:hint="eastAsia"/>
          <w:b/>
          <w:color w:val="FF0000"/>
          <w:sz w:val="22"/>
          <w:szCs w:val="22"/>
        </w:rPr>
        <w:t>附： 请提供授权委托代理人身份证扫描件（正反两面）（非中国国籍管辖范围人员，可提供公安部门认可的身份证明材料）扫描件。</w:t>
      </w:r>
    </w:p>
    <w:p>
      <w:pPr>
        <w:spacing w:line="360" w:lineRule="auto"/>
        <w:ind w:firstLine="420"/>
        <w:jc w:val="right"/>
        <w:rPr>
          <w:sz w:val="22"/>
          <w:szCs w:val="22"/>
        </w:rPr>
      </w:pPr>
    </w:p>
    <w:p>
      <w:pPr>
        <w:spacing w:line="360" w:lineRule="auto"/>
        <w:ind w:firstLine="420"/>
        <w:jc w:val="right"/>
        <w:rPr>
          <w:sz w:val="22"/>
          <w:szCs w:val="22"/>
        </w:rPr>
      </w:pPr>
      <w:r>
        <w:rPr>
          <w:rFonts w:hint="eastAsia"/>
          <w:sz w:val="22"/>
          <w:szCs w:val="22"/>
        </w:rPr>
        <w:t>（此处填写投标人名称）公司（加盖投标人公章）</w:t>
      </w:r>
    </w:p>
    <w:p>
      <w:pPr>
        <w:spacing w:line="360" w:lineRule="auto"/>
        <w:ind w:firstLine="420"/>
        <w:jc w:val="right"/>
        <w:rPr>
          <w:sz w:val="22"/>
          <w:szCs w:val="22"/>
        </w:rPr>
      </w:pPr>
      <w:r>
        <w:rPr>
          <w:rFonts w:hint="eastAsia"/>
          <w:sz w:val="22"/>
          <w:szCs w:val="22"/>
        </w:rPr>
        <w:t>XX年XX月XX日</w:t>
      </w:r>
      <w:bookmarkEnd w:id="68"/>
      <w:bookmarkEnd w:id="70"/>
    </w:p>
    <w:p>
      <w:pPr>
        <w:rPr>
          <w:rFonts w:ascii="宋体" w:hAnsi="宋体"/>
          <w:bCs/>
          <w:color w:val="000000"/>
          <w:szCs w:val="21"/>
        </w:rPr>
      </w:pPr>
    </w:p>
    <w:p>
      <w:pPr>
        <w:widowControl/>
        <w:jc w:val="left"/>
        <w:rPr>
          <w:szCs w:val="20"/>
        </w:rPr>
      </w:pPr>
    </w:p>
    <w:p>
      <w:pPr>
        <w:pStyle w:val="Heading2"/>
        <w:rPr>
          <w:kern w:val="2"/>
        </w:rPr>
      </w:pPr>
      <w:bookmarkStart w:id="71" w:name="_Hlk86246764"/>
      <w:r>
        <w:rPr>
          <w:rFonts w:hint="eastAsia"/>
          <w:kern w:val="2"/>
        </w:rPr>
        <w:t>第四章 投标文件组成要求及格式</w:t>
      </w:r>
    </w:p>
    <w:p>
      <w:pPr>
        <w:rPr>
          <w:rStyle w:val="3Char"/>
          <w:sz w:val="24"/>
        </w:rPr>
      </w:pPr>
      <w:r>
        <w:rPr>
          <w:rStyle w:val="3Char"/>
          <w:rFonts w:hint="eastAsia"/>
          <w:sz w:val="24"/>
        </w:rPr>
        <w:t>特别提醒：</w:t>
      </w:r>
    </w:p>
    <w:p>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仿宋_GB2312" w:eastAsia="仿宋_GB2312"/>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图形用户界面, 应用程序&#10;&#10;描述已自动生成" style="height:324.74pt;mso-position-horizontal-relative:page;mso-position-vertical-relative:page;mso-wrap-style:square;width:415.81pt" filled="f" stroked="f">
            <v:stroke linestyle="single"/>
            <v:imagedata r:id="rId6" o:title="图形用户界面, 应用程序&#10;&#10;描述已自动生成"/>
            <v:path o:extrusionok="f"/>
            <o:lock v:ext="edit" aspectratio="t"/>
          </v:shape>
        </w:pict>
      </w:r>
    </w:p>
    <w:p>
      <w:pPr>
        <w:rPr>
          <w:rFonts w:ascii="仿宋_GB2312" w:eastAsia="仿宋_GB2312"/>
          <w:sz w:val="24"/>
        </w:rPr>
      </w:pPr>
    </w:p>
    <w:p>
      <w:pPr>
        <w:jc w:val="center"/>
        <w:rPr>
          <w:rFonts w:ascii="仿宋_GB2312" w:eastAsia="仿宋_GB2312"/>
          <w:sz w:val="24"/>
        </w:rPr>
      </w:pPr>
    </w:p>
    <w:p>
      <w:pPr>
        <w:ind w:firstLine="420" w:firstLineChars="200"/>
        <w:rPr>
          <w:rFonts w:ascii="仿宋_GB2312" w:eastAsia="仿宋_GB2312"/>
          <w:sz w:val="24"/>
        </w:rPr>
      </w:pPr>
      <w:bookmarkStart w:id="72"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pPr>
        <w:widowControl/>
        <w:jc w:val="left"/>
        <w:rPr>
          <w:rFonts w:ascii="仿宋_GB2312" w:eastAsia="仿宋_GB2312"/>
          <w:sz w:val="24"/>
        </w:rPr>
      </w:pPr>
      <w:bookmarkEnd w:id="71"/>
      <w:bookmarkEnd w:id="72"/>
      <w:r>
        <w:rPr>
          <w:rFonts w:ascii="仿宋_GB2312" w:eastAsia="仿宋_GB2312"/>
          <w:sz w:val="24"/>
        </w:rPr>
        <w:br w:type="page"/>
      </w:r>
    </w:p>
    <w:p>
      <w:pPr>
        <w:outlineLvl w:val="0"/>
        <w:rPr>
          <w:rStyle w:val="3Char"/>
          <w:sz w:val="28"/>
          <w:szCs w:val="28"/>
        </w:rPr>
      </w:pPr>
      <w:r>
        <w:rPr>
          <w:rStyle w:val="3Char"/>
          <w:rFonts w:hint="eastAsia"/>
          <w:sz w:val="28"/>
          <w:szCs w:val="28"/>
        </w:rPr>
        <w:t>投标文件组成：</w:t>
      </w:r>
    </w:p>
    <w:p>
      <w:pPr>
        <w:ind w:firstLine="1050" w:firstLineChars="500"/>
        <w:outlineLvl w:val="0"/>
        <w:rPr>
          <w:rFonts w:ascii="宋体" w:hAnsi="宋体"/>
          <w:sz w:val="24"/>
        </w:rPr>
      </w:pPr>
      <w:bookmarkStart w:id="73"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pPr>
        <w:ind w:left="718" w:firstLine="1418" w:leftChars="342" w:firstLineChars="675"/>
        <w:rPr>
          <w:szCs w:val="21"/>
        </w:rPr>
      </w:pPr>
      <w:r>
        <w:rPr>
          <w:rFonts w:hint="eastAsia"/>
          <w:szCs w:val="21"/>
        </w:rPr>
        <w:t>（1）</w:t>
      </w:r>
      <w:bookmarkStart w:id="74" w:name="_Hlk72070784"/>
      <w:r>
        <w:rPr>
          <w:rFonts w:hint="eastAsia"/>
          <w:szCs w:val="21"/>
        </w:rPr>
        <w:t>投标函</w:t>
      </w:r>
      <w:bookmarkEnd w:id="74"/>
    </w:p>
    <w:p>
      <w:pPr>
        <w:ind w:left="718" w:firstLine="1418" w:leftChars="342" w:firstLineChars="675"/>
        <w:rPr>
          <w:szCs w:val="21"/>
        </w:rPr>
      </w:pPr>
      <w:r>
        <w:rPr>
          <w:rFonts w:hint="eastAsia"/>
          <w:szCs w:val="21"/>
        </w:rPr>
        <w:t>（2）</w:t>
      </w:r>
      <w:bookmarkStart w:id="75" w:name="_Hlk72062521"/>
      <w:r>
        <w:rPr>
          <w:rFonts w:hint="eastAsia"/>
          <w:szCs w:val="21"/>
        </w:rPr>
        <w:t>政府采购投标及履约承诺函</w:t>
      </w:r>
      <w:bookmarkEnd w:id="75"/>
    </w:p>
    <w:p>
      <w:pPr>
        <w:ind w:left="718" w:firstLine="1418" w:leftChars="342" w:firstLineChars="675"/>
        <w:rPr>
          <w:szCs w:val="21"/>
        </w:rPr>
      </w:pPr>
      <w:r>
        <w:rPr>
          <w:rFonts w:hint="eastAsia"/>
          <w:szCs w:val="21"/>
        </w:rPr>
        <w:t>（</w:t>
      </w:r>
      <w:r>
        <w:rPr>
          <w:szCs w:val="21"/>
        </w:rPr>
        <w:t>3</w:t>
      </w:r>
      <w:r>
        <w:rPr>
          <w:rFonts w:hint="eastAsia"/>
          <w:szCs w:val="21"/>
        </w:rPr>
        <w:t>）投标人情况及资格证明文件</w:t>
      </w:r>
    </w:p>
    <w:p>
      <w:pPr>
        <w:ind w:left="718" w:firstLine="1418" w:leftChars="342" w:firstLineChars="675"/>
        <w:rPr>
          <w:szCs w:val="21"/>
        </w:rPr>
      </w:pPr>
      <w:bookmarkStart w:id="76" w:name="_Hlk72257201"/>
      <w:r>
        <w:rPr>
          <w:rFonts w:hint="eastAsia"/>
          <w:szCs w:val="21"/>
        </w:rPr>
        <w:t>（</w:t>
      </w:r>
      <w:r>
        <w:rPr>
          <w:szCs w:val="21"/>
        </w:rPr>
        <w:t>4</w:t>
      </w:r>
      <w:r>
        <w:rPr>
          <w:rFonts w:hint="eastAsia"/>
          <w:szCs w:val="21"/>
        </w:rPr>
        <w:t>）项目详细报价</w:t>
      </w:r>
    </w:p>
    <w:p>
      <w:pPr>
        <w:ind w:left="718" w:firstLine="1418" w:leftChars="342" w:firstLineChars="675"/>
        <w:rPr>
          <w:szCs w:val="21"/>
        </w:rPr>
      </w:pPr>
    </w:p>
    <w:p>
      <w:pPr>
        <w:ind w:firstLine="1050" w:firstLineChars="500"/>
        <w:outlineLvl w:val="0"/>
        <w:rPr>
          <w:rFonts w:ascii="宋体" w:hAnsi="宋体"/>
          <w:sz w:val="24"/>
        </w:rPr>
      </w:pPr>
      <w:bookmarkEnd w:id="76"/>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pPr>
        <w:ind w:firstLine="2100" w:firstLineChars="1000"/>
        <w:rPr>
          <w:szCs w:val="21"/>
        </w:rPr>
      </w:pPr>
      <w:r>
        <w:rPr>
          <w:rFonts w:hint="eastAsia"/>
          <w:szCs w:val="21"/>
        </w:rPr>
        <w:t>（1）法定代表人（负责人）证明书</w:t>
      </w:r>
    </w:p>
    <w:p>
      <w:pPr>
        <w:ind w:left="718" w:firstLine="1418" w:leftChars="342" w:firstLineChars="675"/>
        <w:rPr>
          <w:szCs w:val="21"/>
        </w:rPr>
      </w:pPr>
      <w:r>
        <w:rPr>
          <w:rFonts w:hint="eastAsia"/>
          <w:szCs w:val="21"/>
        </w:rPr>
        <w:t>（2）投标文件签署授权委托书</w:t>
      </w:r>
    </w:p>
    <w:p>
      <w:pPr>
        <w:ind w:left="718" w:firstLine="1418" w:leftChars="342" w:firstLineChars="675"/>
        <w:rPr>
          <w:szCs w:val="21"/>
        </w:rPr>
      </w:pPr>
      <w:r>
        <w:rPr>
          <w:rFonts w:hint="eastAsia"/>
          <w:szCs w:val="21"/>
        </w:rPr>
        <w:t>（3）实质性条款响应情况表</w:t>
      </w:r>
    </w:p>
    <w:p>
      <w:pPr>
        <w:ind w:left="718" w:firstLine="1418" w:leftChars="342" w:firstLineChars="675"/>
        <w:rPr>
          <w:szCs w:val="21"/>
        </w:rPr>
      </w:pPr>
      <w:r>
        <w:rPr>
          <w:rFonts w:hint="eastAsia"/>
          <w:szCs w:val="21"/>
        </w:rPr>
        <w:t>（</w:t>
      </w:r>
      <w:r>
        <w:rPr>
          <w:szCs w:val="21"/>
        </w:rPr>
        <w:t>4</w:t>
      </w:r>
      <w:r>
        <w:rPr>
          <w:rFonts w:hint="eastAsia"/>
          <w:szCs w:val="21"/>
        </w:rPr>
        <w:t>）技术要求偏离表</w:t>
      </w:r>
    </w:p>
    <w:p>
      <w:pPr>
        <w:ind w:left="718" w:firstLine="1418" w:leftChars="342" w:firstLineChars="675"/>
        <w:rPr>
          <w:szCs w:val="21"/>
        </w:rPr>
      </w:pPr>
      <w:r>
        <w:rPr>
          <w:rFonts w:hint="eastAsia"/>
          <w:szCs w:val="21"/>
        </w:rPr>
        <w:t>（</w:t>
      </w:r>
      <w:r>
        <w:rPr>
          <w:szCs w:val="21"/>
        </w:rPr>
        <w:t>5</w:t>
      </w:r>
      <w:r>
        <w:rPr>
          <w:rFonts w:hint="eastAsia"/>
          <w:szCs w:val="21"/>
        </w:rPr>
        <w:t>）商务要求偏离表</w:t>
      </w:r>
    </w:p>
    <w:p>
      <w:pPr>
        <w:ind w:left="718" w:firstLine="1418" w:leftChars="342" w:firstLineChars="675"/>
        <w:rPr>
          <w:rFonts w:ascii="Times New Roman" w:eastAsia="宋体" w:hAnsi="Times New Roman" w:cs="Times New Roman" w:hint="eastAsia"/>
          <w:szCs w:val="21"/>
        </w:rPr>
      </w:pPr>
      <w:r>
        <w:rPr>
          <w:rFonts w:ascii="Times New Roman" w:eastAsia="宋体" w:hAnsi="Times New Roman" w:cs="Times New Roman" w:hint="eastAsia"/>
          <w:szCs w:val="21"/>
        </w:rPr>
        <w:t>（6）</w:t>
      </w:r>
      <w:bookmarkEnd w:id="73"/>
      <w:r>
        <w:rPr>
          <w:rFonts w:ascii="Times New Roman" w:eastAsia="宋体" w:hAnsi="Times New Roman" w:cs="Times New Roman" w:hint="eastAsia"/>
          <w:szCs w:val="21"/>
        </w:rPr>
        <w:t>配套安装方案</w:t>
      </w:r>
    </w:p>
    <w:p>
      <w:pPr>
        <w:ind w:left="718" w:firstLine="1418" w:leftChars="342" w:firstLineChars="675"/>
        <w:rPr>
          <w:rFonts w:ascii="Times New Roman" w:eastAsia="宋体" w:hAnsi="Times New Roman" w:cs="Times New Roman" w:hint="eastAsia"/>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lang w:val="en-US" w:eastAsia="zh-CN"/>
        </w:rPr>
        <w:t>7</w:t>
      </w:r>
      <w:r>
        <w:rPr>
          <w:rFonts w:ascii="Times New Roman" w:eastAsia="宋体" w:hAnsi="Times New Roman" w:cs="Times New Roman" w:hint="eastAsia"/>
          <w:szCs w:val="21"/>
        </w:rPr>
        <w:t>）投标人认为需要加以说明的其他内容（格式自定）</w:t>
      </w:r>
    </w:p>
    <w:p>
      <w:pPr>
        <w:ind w:firstLine="424" w:firstLineChars="202"/>
        <w:rPr>
          <w:rFonts w:ascii="宋体" w:hAnsi="宋体"/>
          <w:b/>
          <w:szCs w:val="21"/>
        </w:rPr>
      </w:pPr>
      <w:bookmarkStart w:id="77" w:name="_Hlk72257771"/>
      <w:r>
        <w:rPr>
          <w:rFonts w:ascii="宋体" w:hAnsi="宋体" w:hint="eastAsia"/>
          <w:b/>
          <w:szCs w:val="21"/>
        </w:rPr>
        <w:t>备注：</w:t>
      </w:r>
    </w:p>
    <w:p>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20" w:firstLineChars="200"/>
        <w:rPr>
          <w:rFonts w:ascii="宋体" w:hAnsi="宋体"/>
          <w:color w:val="FF0000"/>
          <w:sz w:val="24"/>
        </w:rPr>
      </w:pPr>
      <w:bookmarkStart w:id="78" w:name="_Hlk72263559"/>
      <w:r>
        <w:rPr>
          <w:rFonts w:ascii="宋体" w:hAnsi="宋体" w:hint="eastAsia"/>
          <w:b/>
          <w:szCs w:val="21"/>
        </w:rPr>
        <w:t>2.关于填写“开标一览表”的说明：“开标一览表”中除“投标总价”外，其他信息不作评审依据。</w:t>
      </w:r>
      <w:bookmarkEnd w:id="77"/>
      <w:bookmarkEnd w:id="78"/>
    </w:p>
    <w:p>
      <w:pPr>
        <w:rPr>
          <w:rFonts w:ascii="宋体" w:hAnsi="宋体"/>
          <w:color w:val="FF0000"/>
          <w:sz w:val="24"/>
        </w:rPr>
      </w:pPr>
    </w:p>
    <w:p>
      <w:pPr>
        <w:widowControl/>
        <w:jc w:val="left"/>
        <w:rPr>
          <w:rFonts w:ascii="宋体" w:hAnsi="宋体"/>
          <w:color w:val="FF0000"/>
          <w:sz w:val="24"/>
        </w:rPr>
      </w:pPr>
      <w:r>
        <w:rPr>
          <w:rFonts w:ascii="宋体" w:hAnsi="宋体"/>
          <w:color w:val="FF0000"/>
          <w:sz w:val="24"/>
        </w:rPr>
        <w:br w:type="page"/>
      </w:r>
    </w:p>
    <w:p>
      <w:pPr>
        <w:rPr>
          <w:rFonts w:ascii="宋体" w:hAnsi="宋体"/>
          <w:color w:val="FF0000"/>
          <w:sz w:val="24"/>
        </w:rPr>
      </w:pP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3"/>
        <w:jc w:val="center"/>
        <w:rPr>
          <w:rFonts w:ascii="黑体" w:eastAsia="黑体"/>
          <w:b w:val="0"/>
          <w:sz w:val="24"/>
        </w:rPr>
      </w:pPr>
      <w:r>
        <w:rPr>
          <w:rFonts w:ascii="黑体" w:eastAsia="黑体" w:hint="eastAsia"/>
          <w:b w:val="0"/>
          <w:sz w:val="24"/>
        </w:rPr>
        <w:t>一、投标函</w:t>
      </w:r>
    </w:p>
    <w:p>
      <w:pPr>
        <w:spacing w:line="360" w:lineRule="auto"/>
        <w:rPr>
          <w:rFonts w:ascii="宋体" w:hAnsi="宋体"/>
          <w:szCs w:val="21"/>
        </w:rPr>
      </w:pPr>
      <w:bookmarkStart w:id="79" w:name="_Hlk72257506"/>
      <w:r>
        <w:rPr>
          <w:rFonts w:ascii="宋体" w:hAnsi="宋体" w:hint="eastAsia"/>
          <w:szCs w:val="21"/>
        </w:rPr>
        <w:t>致：</w:t>
      </w:r>
      <w:r>
        <w:rPr>
          <w:rFonts w:ascii="宋体" w:hAnsi="宋体" w:hint="eastAsia"/>
          <w:color w:val="FF0000"/>
          <w:szCs w:val="21"/>
          <w:u w:val="single"/>
        </w:rPr>
        <w:t>深圳公共资源交易中心</w:t>
      </w:r>
    </w:p>
    <w:p>
      <w:pPr>
        <w:ind w:firstLine="420" w:firstLineChars="200"/>
        <w:rPr>
          <w:rFonts w:ascii="宋体" w:hAnsi="宋体"/>
          <w:szCs w:val="21"/>
        </w:rPr>
      </w:pPr>
      <w:bookmarkStart w:id="80" w:name="_Hlk73818812"/>
      <w:r>
        <w:rPr>
          <w:rFonts w:hint="eastAsia"/>
          <w:szCs w:val="21"/>
        </w:rPr>
        <w:t>1、根据已收到贵单位的项目编号为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81" w:name="_Hlk72263588"/>
      <w:r>
        <w:rPr>
          <w:rFonts w:hint="eastAsia"/>
          <w:szCs w:val="21"/>
        </w:rPr>
        <w:t>愿意按照招标文件要求承包上述项目并修补其任何缺陷。</w:t>
      </w:r>
      <w:bookmarkEnd w:id="81"/>
    </w:p>
    <w:p>
      <w:pPr>
        <w:ind w:firstLine="420" w:firstLineChars="200"/>
        <w:rPr>
          <w:rFonts w:ascii="宋体" w:hAnsi="宋体"/>
          <w:szCs w:val="21"/>
        </w:rPr>
      </w:pPr>
      <w:r>
        <w:rPr>
          <w:rFonts w:ascii="宋体" w:hAnsi="宋体"/>
          <w:szCs w:val="21"/>
        </w:rPr>
        <w:t>2</w:t>
      </w:r>
      <w:r>
        <w:rPr>
          <w:rFonts w:ascii="宋体" w:hAnsi="宋体" w:hint="eastAsia"/>
          <w:szCs w:val="21"/>
        </w:rPr>
        <w:t>、</w:t>
      </w:r>
      <w:bookmarkStart w:id="82" w:name="_Hlk73819847"/>
      <w:r>
        <w:rPr>
          <w:rFonts w:ascii="宋体" w:hAnsi="宋体" w:hint="eastAsia"/>
          <w:szCs w:val="21"/>
        </w:rPr>
        <w:t>投标价格见投标书编制软件中《开标一览表》中填写的投标报价</w:t>
      </w:r>
      <w:r>
        <w:rPr>
          <w:rFonts w:hint="eastAsia"/>
          <w:szCs w:val="21"/>
        </w:rPr>
        <w:t>。</w:t>
      </w:r>
      <w:bookmarkEnd w:id="82"/>
    </w:p>
    <w:p>
      <w:pPr>
        <w:ind w:firstLine="420" w:firstLineChars="200"/>
        <w:rPr>
          <w:rFonts w:ascii="宋体" w:hAnsi="宋体"/>
          <w:szCs w:val="21"/>
        </w:rPr>
      </w:pPr>
      <w:r>
        <w:rPr>
          <w:rFonts w:ascii="宋体" w:hAnsi="宋体" w:hint="eastAsia"/>
          <w:szCs w:val="21"/>
        </w:rPr>
        <w:t>3、如果我单位中标，我单位将按照招标文件的要求提交履约担保。</w:t>
      </w:r>
    </w:p>
    <w:p>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firstLine="42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80"/>
    </w:p>
    <w:p>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u w:val="single"/>
        </w:rPr>
      </w:pP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40"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pPr>
        <w:rPr>
          <w:rFonts w:ascii="黑体" w:eastAsia="黑体" w:hAnsi="宋体"/>
        </w:rPr>
      </w:pPr>
    </w:p>
    <w:p>
      <w:pPr>
        <w:pStyle w:val="Heading3"/>
        <w:jc w:val="center"/>
        <w:rPr>
          <w:rFonts w:ascii="黑体" w:eastAsia="黑体"/>
          <w:b w:val="0"/>
          <w:sz w:val="24"/>
        </w:rPr>
      </w:pPr>
      <w:bookmarkEnd w:id="79"/>
      <w:r>
        <w:rPr>
          <w:rFonts w:ascii="黑体" w:eastAsia="黑体" w:hint="eastAsia"/>
          <w:b w:val="0"/>
          <w:sz w:val="24"/>
        </w:rPr>
        <w:t>二、政府采购投标及履约承诺函</w:t>
      </w:r>
    </w:p>
    <w:p>
      <w:pPr>
        <w:rPr>
          <w:rFonts w:ascii="宋体" w:hAnsi="宋体"/>
          <w:color w:val="FF0000"/>
          <w:szCs w:val="21"/>
        </w:rPr>
      </w:pPr>
      <w:bookmarkStart w:id="83" w:name="_Hlk72257530"/>
      <w:r>
        <w:rPr>
          <w:rFonts w:ascii="宋体" w:hAnsi="宋体" w:hint="eastAsia"/>
          <w:color w:val="FF0000"/>
          <w:szCs w:val="21"/>
        </w:rPr>
        <w:t>致：</w:t>
      </w:r>
      <w:r>
        <w:rPr>
          <w:rFonts w:ascii="宋体" w:hAnsi="宋体" w:hint="eastAsia"/>
          <w:color w:val="FF0000"/>
          <w:szCs w:val="21"/>
          <w:u w:val="single"/>
        </w:rPr>
        <w:t>深圳公共资源交易中心</w:t>
      </w:r>
    </w:p>
    <w:p>
      <w:pPr>
        <w:ind w:right="-815" w:firstLine="420" w:firstLineChars="200"/>
        <w:rPr>
          <w:rFonts w:ascii="宋体" w:hAnsi="宋体"/>
          <w:szCs w:val="21"/>
        </w:rPr>
      </w:pPr>
      <w:r>
        <w:rPr>
          <w:rFonts w:ascii="宋体" w:hAnsi="宋体" w:hint="eastAsia"/>
          <w:szCs w:val="21"/>
        </w:rPr>
        <w:t>我单位承诺：</w:t>
      </w:r>
    </w:p>
    <w:p>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ascii="宋体" w:hAnsi="宋体" w:hint="eastAsia"/>
          <w:szCs w:val="21"/>
        </w:rPr>
        <w:t>4.我单位具备《中华人民共和国政府采购法》第二十二条的条件。</w:t>
      </w:r>
    </w:p>
    <w:p>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ascii="宋体" w:hAnsi="宋体" w:hint="eastAsia"/>
          <w:szCs w:val="21"/>
        </w:rPr>
        <w:t>6.</w:t>
      </w:r>
      <w:bookmarkStart w:id="84" w:name="_Hlk72587269"/>
      <w:bookmarkStart w:id="85"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84"/>
      <w:r>
        <w:rPr>
          <w:rFonts w:ascii="宋体" w:hAnsi="宋体" w:hint="eastAsia"/>
          <w:szCs w:val="21"/>
        </w:rPr>
        <w:t>。</w:t>
      </w:r>
    </w:p>
    <w:p>
      <w:pPr>
        <w:ind w:firstLine="420" w:firstLineChars="200"/>
        <w:rPr>
          <w:rFonts w:ascii="宋体" w:hAnsi="宋体"/>
          <w:szCs w:val="21"/>
        </w:rPr>
      </w:pPr>
      <w:bookmarkEnd w:id="85"/>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2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pPr>
        <w:rPr>
          <w:rFonts w:ascii="宋体"/>
          <w:b/>
          <w:szCs w:val="21"/>
        </w:rPr>
      </w:pPr>
      <w:bookmarkEnd w:id="83"/>
    </w:p>
    <w:p>
      <w:pPr>
        <w:ind w:firstLine="420" w:firstLineChars="200"/>
        <w:jc w:val="center"/>
        <w:rPr>
          <w:rFonts w:hAnsi="宋体"/>
          <w:b/>
          <w:bCs/>
          <w:sz w:val="24"/>
        </w:rPr>
      </w:pPr>
    </w:p>
    <w:p>
      <w:pPr>
        <w:pStyle w:val="Heading3"/>
        <w:jc w:val="center"/>
        <w:rPr>
          <w:rFonts w:ascii="黑体" w:eastAsia="黑体"/>
          <w:b w:val="0"/>
          <w:sz w:val="24"/>
          <w:szCs w:val="24"/>
        </w:rPr>
      </w:pPr>
      <w:r>
        <w:rPr>
          <w:rFonts w:ascii="黑体" w:eastAsia="黑体" w:hint="eastAsia"/>
          <w:b w:val="0"/>
          <w:sz w:val="24"/>
          <w:szCs w:val="24"/>
        </w:rPr>
        <w:t>三、投标人情况及资格证明文件</w:t>
      </w:r>
    </w:p>
    <w:p>
      <w:pPr>
        <w:jc w:val="left"/>
        <w:outlineLvl w:val="3"/>
        <w:rPr>
          <w:rFonts w:ascii="黑体" w:eastAsia="黑体" w:hAnsi="宋体"/>
          <w:bCs/>
          <w:kern w:val="0"/>
          <w:sz w:val="24"/>
          <w:szCs w:val="32"/>
        </w:rPr>
      </w:pPr>
      <w:bookmarkStart w:id="86" w:name="_Hlk72257590"/>
      <w:r>
        <w:rPr>
          <w:rFonts w:ascii="黑体" w:eastAsia="黑体" w:hAnsi="宋体" w:hint="eastAsia"/>
          <w:bCs/>
          <w:kern w:val="0"/>
          <w:sz w:val="24"/>
          <w:szCs w:val="32"/>
        </w:rPr>
        <w:t>（一）投标人资格证明文件</w:t>
      </w:r>
    </w:p>
    <w:p>
      <w:pPr>
        <w:spacing w:before="120" w:beforeLines="50"/>
        <w:ind w:firstLine="42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rPr>
          <w:b/>
          <w:sz w:val="22"/>
        </w:rPr>
      </w:pPr>
    </w:p>
    <w:p>
      <w:pPr>
        <w:outlineLvl w:val="3"/>
        <w:rPr>
          <w:rFonts w:ascii="黑体" w:eastAsia="黑体" w:hAnsi="宋体"/>
          <w:bCs/>
          <w:kern w:val="0"/>
          <w:sz w:val="24"/>
          <w:szCs w:val="32"/>
        </w:rPr>
      </w:pPr>
      <w:r>
        <w:rPr>
          <w:rFonts w:ascii="黑体" w:eastAsia="黑体" w:hAnsi="宋体" w:hint="eastAsia"/>
          <w:bCs/>
          <w:kern w:val="0"/>
          <w:sz w:val="24"/>
          <w:szCs w:val="32"/>
        </w:rPr>
        <w:t>（二）</w:t>
      </w:r>
      <w:bookmarkStart w:id="87" w:name="_Hlk72257908"/>
      <w:r>
        <w:rPr>
          <w:rFonts w:ascii="黑体" w:eastAsia="黑体" w:hAnsi="宋体" w:hint="eastAsia"/>
          <w:bCs/>
          <w:kern w:val="0"/>
          <w:sz w:val="24"/>
          <w:szCs w:val="32"/>
        </w:rPr>
        <w:t>中小企业声明函、残疾人福利性单位声明函及监狱企业声明函</w:t>
      </w:r>
    </w:p>
    <w:p>
      <w:pPr>
        <w:rPr>
          <w:b/>
          <w:bCs/>
          <w:color w:val="FF0000"/>
        </w:rPr>
      </w:pPr>
      <w:bookmarkEnd w:id="86"/>
      <w:r>
        <w:rPr>
          <w:rFonts w:hint="eastAsia"/>
          <w:b/>
          <w:bCs/>
          <w:color w:val="FF0000"/>
        </w:rPr>
        <w:t>填写指引：</w:t>
      </w:r>
    </w:p>
    <w:p>
      <w:pPr>
        <w:rPr>
          <w:b/>
          <w:bCs/>
          <w:color w:val="FF0000"/>
        </w:rPr>
      </w:pPr>
      <w:r>
        <w:rPr>
          <w:rFonts w:hint="eastAsia"/>
          <w:b/>
          <w:bCs/>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rPr>
          <w:b/>
          <w:bCs/>
          <w:color w:val="FF0000"/>
        </w:rPr>
      </w:pPr>
      <w:r>
        <w:rPr>
          <w:rFonts w:hint="eastAsia"/>
          <w:b/>
          <w:bCs/>
          <w:color w:val="FF0000"/>
        </w:rPr>
        <w:t>2、该部分内容填写需要参考的相关文件：(</w:t>
      </w:r>
      <w:r>
        <w:rPr>
          <w:b/>
          <w:bCs/>
          <w:color w:val="FF0000"/>
        </w:rPr>
        <w:t>1</w:t>
      </w:r>
      <w:r>
        <w:rPr>
          <w:rFonts w:hint="eastAsia"/>
          <w:b/>
          <w:bCs/>
          <w:color w:val="FF0000"/>
        </w:rPr>
        <w:t>)财政部《政府采购促进中小企业发展管理办法》（财库〔2020〕46号）；(</w:t>
      </w:r>
      <w:r>
        <w:rPr>
          <w:b/>
          <w:bCs/>
          <w:color w:val="FF0000"/>
        </w:rPr>
        <w:t>2</w:t>
      </w:r>
      <w:r>
        <w:rPr>
          <w:rFonts w:hint="eastAsia"/>
          <w:b/>
          <w:bCs/>
          <w:color w:val="FF0000"/>
        </w:rPr>
        <w:t>)《工业和信息化部、国家统计局、国家发展和改革委员会、财政部关于印发中小企业划型标准规定的通知》（工信部联企业〔2011〕300 号，以下简称3</w:t>
      </w:r>
      <w:r>
        <w:rPr>
          <w:b/>
          <w:bCs/>
          <w:color w:val="FF0000"/>
        </w:rPr>
        <w:t>00</w:t>
      </w:r>
      <w:r>
        <w:rPr>
          <w:rFonts w:hint="eastAsia"/>
          <w:b/>
          <w:bCs/>
          <w:color w:val="FF0000"/>
        </w:rPr>
        <w:t>号文）。</w:t>
      </w:r>
    </w:p>
    <w:p>
      <w:pPr>
        <w:rPr>
          <w:b/>
          <w:bCs/>
          <w:color w:val="FF0000"/>
        </w:rPr>
      </w:pPr>
      <w:r>
        <w:rPr>
          <w:rFonts w:hint="eastAsia"/>
          <w:b/>
          <w:bCs/>
          <w:color w:val="FF0000"/>
        </w:rPr>
        <w:t>3、请依照提供的格式和内容填写声明函，不要随意变更格式；声明函不需要盖章或签字；满足多项优惠政策的投标人，不重复享受多项价格扣除政策。</w:t>
      </w:r>
    </w:p>
    <w:p>
      <w:pPr>
        <w:rPr>
          <w:b/>
          <w:bCs/>
          <w:color w:val="FF0000"/>
        </w:rPr>
      </w:pPr>
      <w:r>
        <w:rPr>
          <w:rFonts w:hint="eastAsia"/>
          <w:b/>
          <w:bCs/>
          <w:color w:val="FF0000"/>
        </w:rPr>
        <w:t>4、声明函具体填写要求：</w:t>
      </w:r>
    </w:p>
    <w:p>
      <w:pPr>
        <w:rPr>
          <w:b/>
          <w:bCs/>
          <w:color w:val="FF0000"/>
        </w:rPr>
      </w:pPr>
      <w:r>
        <w:rPr>
          <w:rFonts w:hint="eastAsia"/>
          <w:b/>
          <w:bCs/>
          <w:color w:val="FF0000"/>
        </w:rPr>
        <w:t>（1）声明是中小企业须填写《中小企业声明函》（货物）的以下内容：</w:t>
      </w:r>
    </w:p>
    <w:p>
      <w:pPr>
        <w:rPr>
          <w:b/>
          <w:bCs/>
          <w:color w:val="FF0000"/>
        </w:rPr>
      </w:pPr>
      <w:r>
        <w:rPr>
          <w:rFonts w:hint="eastAsia"/>
          <w:b/>
          <w:bCs/>
          <w:color w:val="FF0000"/>
        </w:rPr>
        <w:t>第一处，在“单位名称”下划线处如实填写采购人名称（深圳公共资源交易中心不是本项目的采购人，而是组织实施机构）；</w:t>
      </w:r>
    </w:p>
    <w:p>
      <w:pPr>
        <w:rPr>
          <w:b/>
          <w:bCs/>
          <w:color w:val="FF0000"/>
        </w:rPr>
      </w:pPr>
      <w:r>
        <w:rPr>
          <w:rFonts w:hint="eastAsia"/>
          <w:b/>
          <w:bCs/>
          <w:color w:val="FF0000"/>
        </w:rPr>
        <w:t>第二处，在“项目名称”下划线处如实填写采购项目名称；</w:t>
      </w:r>
    </w:p>
    <w:p>
      <w:pPr>
        <w:rPr>
          <w:b/>
          <w:bCs/>
          <w:color w:val="FF0000"/>
        </w:rPr>
      </w:pPr>
      <w:r>
        <w:rPr>
          <w:rFonts w:hint="eastAsia"/>
          <w:b/>
          <w:bCs/>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pPr>
        <w:rPr>
          <w:b/>
          <w:bCs/>
          <w:color w:val="FF0000"/>
        </w:rPr>
      </w:pPr>
      <w:r>
        <w:rPr>
          <w:rFonts w:hint="eastAsia"/>
          <w:b/>
          <w:bCs/>
          <w:color w:val="FF0000"/>
        </w:rPr>
        <w:t>第四处，在“采购文件中明确的所属行业”下划线处填写采购标的对应的中小企业划分标准所属行业（所属行业可在招标文件第一册第二章“对通用条款的补充内容及其他关键信息”章节查看）；</w:t>
      </w:r>
    </w:p>
    <w:p>
      <w:pPr>
        <w:rPr>
          <w:b/>
          <w:bCs/>
          <w:color w:val="FF0000"/>
        </w:rPr>
      </w:pPr>
      <w:r>
        <w:rPr>
          <w:rFonts w:hint="eastAsia"/>
          <w:b/>
          <w:bCs/>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rPr>
          <w:b/>
          <w:bCs/>
          <w:color w:val="FF0000"/>
        </w:rPr>
      </w:pPr>
      <w:r>
        <w:rPr>
          <w:rFonts w:hint="eastAsia"/>
          <w:b/>
          <w:bCs/>
          <w:color w:val="FF0000"/>
        </w:rPr>
        <w:t>（2）声明是残疾人福利性单位须填写《残疾人福利性单位声明函》（货物类）的相关内容，具体参照上述针对《中小企业声明函》的填写要求进行填写。</w:t>
      </w:r>
    </w:p>
    <w:p>
      <w:pPr>
        <w:rPr>
          <w:b/>
          <w:bCs/>
          <w:color w:val="FF0000"/>
        </w:rPr>
      </w:pPr>
      <w:r>
        <w:rPr>
          <w:rFonts w:hint="eastAsia"/>
          <w:b/>
          <w:bCs/>
          <w:color w:val="FF0000"/>
        </w:rPr>
        <w:t>（3）声明是监狱企业须填写《监狱企业声明函》的三项内容（填写位置的字体已加粗），具体参照上述针对《中小企业声明函》的填写要求进行填写。</w:t>
      </w:r>
    </w:p>
    <w:p>
      <w:pPr>
        <w:rPr>
          <w:b/>
          <w:bCs/>
        </w:rPr>
      </w:pPr>
      <w:r>
        <w:rPr>
          <w:rFonts w:hint="eastAsia"/>
          <w:b/>
          <w:bCs/>
          <w:color w:val="FF0000"/>
        </w:rPr>
        <w:t>5、声明函的有效性最终由评审委员会判定；如评审委员会判定声明函无效，相关供应商不享受价格扣除（但不作投标无效处理）。</w:t>
      </w:r>
    </w:p>
    <w:p>
      <w:pPr>
        <w:rPr>
          <w:rFonts w:ascii="Calibri" w:hAnsi="Calibri"/>
        </w:rPr>
      </w:pPr>
    </w:p>
    <w:p>
      <w:pPr>
        <w:jc w:val="center"/>
        <w:rPr>
          <w:b/>
          <w:sz w:val="24"/>
        </w:rPr>
      </w:pPr>
      <w:r>
        <w:rPr>
          <w:rFonts w:hint="eastAsia"/>
          <w:b/>
          <w:sz w:val="24"/>
        </w:rPr>
        <w:t>1、</w:t>
      </w:r>
      <w:r>
        <w:rPr>
          <w:b/>
          <w:sz w:val="24"/>
        </w:rPr>
        <w:t xml:space="preserve">中小企业声明函（货物） </w:t>
      </w:r>
    </w:p>
    <w:p>
      <w:pPr>
        <w:ind w:firstLine="420" w:firstLineChars="200"/>
        <w:rPr>
          <w:rFonts w:ascii="宋体" w:hAnsi="宋体"/>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46号）的规定，本</w:t>
      </w:r>
      <w:r>
        <w:rPr>
          <w:rFonts w:ascii="宋体" w:hAnsi="宋体" w:hint="eastAsia"/>
          <w:szCs w:val="21"/>
        </w:rPr>
        <w:t>公司（联合体）</w:t>
      </w:r>
      <w:r>
        <w:rPr>
          <w:rFonts w:ascii="宋体" w:hAnsi="宋体"/>
          <w:szCs w:val="21"/>
        </w:rPr>
        <w:t>参加</w:t>
      </w:r>
      <w:r>
        <w:rPr>
          <w:rFonts w:ascii="宋体" w:hAnsi="宋体"/>
          <w:b/>
          <w:bCs/>
          <w:szCs w:val="21"/>
          <w:u w:val="single"/>
        </w:rPr>
        <w:t>（</w:t>
      </w:r>
      <w:r>
        <w:rPr>
          <w:rFonts w:ascii="宋体" w:hAnsi="宋体" w:hint="eastAsia"/>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w:t>
      </w:r>
      <w:r>
        <w:rPr>
          <w:rFonts w:ascii="宋体" w:hAnsi="宋体" w:hint="eastAsia"/>
          <w:szCs w:val="21"/>
        </w:rPr>
        <w:t>（含联合体中的中小企业、签订分包意向协议的中小企业）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，属于</w:t>
      </w:r>
      <w:r>
        <w:rPr>
          <w:rFonts w:ascii="宋体" w:hAnsi="宋体"/>
          <w:b/>
          <w:bCs/>
          <w:szCs w:val="21"/>
          <w:u w:val="single"/>
        </w:rPr>
        <w:t>（</w:t>
      </w:r>
      <w:r>
        <w:rPr>
          <w:rFonts w:ascii="宋体" w:hAnsi="宋体" w:hint="eastAsia"/>
          <w:b/>
          <w:bCs/>
          <w:szCs w:val="21"/>
          <w:u w:val="single"/>
        </w:rPr>
        <w:t>采购</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rPr>
        <w:t>人，营业收入为</w:t>
      </w:r>
      <w:r>
        <w:rPr>
          <w:rFonts w:ascii="宋体" w:hAnsi="宋体" w:hint="eastAsia"/>
          <w:szCs w:val="21"/>
        </w:rPr>
        <w:t xml:space="preserve">  </w:t>
      </w:r>
      <w:r>
        <w:rPr>
          <w:rFonts w:ascii="宋体" w:hAnsi="宋体"/>
          <w:szCs w:val="21"/>
        </w:rPr>
        <w:t>万元，资产总额为</w:t>
      </w:r>
      <w:r>
        <w:rPr>
          <w:rFonts w:ascii="宋体" w:hAnsi="宋体" w:hint="eastAsia"/>
          <w:szCs w:val="21"/>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采购</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rPr>
        <w:t>人，营业收入为</w:t>
      </w:r>
      <w:r>
        <w:rPr>
          <w:rFonts w:ascii="宋体" w:hAnsi="宋体" w:hint="eastAsia"/>
          <w:szCs w:val="21"/>
        </w:rPr>
        <w:t xml:space="preserve">  </w:t>
      </w:r>
      <w:r>
        <w:rPr>
          <w:rFonts w:ascii="宋体" w:hAnsi="宋体"/>
          <w:szCs w:val="21"/>
        </w:rPr>
        <w:t>万元，资产总额为</w:t>
      </w:r>
      <w:r>
        <w:rPr>
          <w:rFonts w:ascii="宋体" w:hAnsi="宋体" w:hint="eastAsia"/>
          <w:szCs w:val="21"/>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hint="eastAsia"/>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r>
        <w:rPr>
          <w:rFonts w:hint="eastAsia"/>
        </w:rPr>
        <w:t>本企业对上述声明内容的真实性负责。如有虚假，将依法承担相应责任。</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jc w:val="center"/>
        <w:rPr>
          <w:b/>
          <w:sz w:val="24"/>
        </w:rPr>
      </w:pPr>
    </w:p>
    <w:p>
      <w:pPr>
        <w:jc w:val="center"/>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hint="eastAsia"/>
          <w:szCs w:val="21"/>
          <w:u w:val="single"/>
        </w:rPr>
        <w:t>单位</w:t>
      </w:r>
      <w:r>
        <w:rPr>
          <w:rFonts w:ascii="宋体" w:hAnsi="宋体"/>
          <w:szCs w:val="21"/>
        </w:rPr>
        <w:t>的</w:t>
      </w:r>
      <w:r>
        <w:rPr>
          <w:rFonts w:ascii="宋体" w:hAnsi="宋体"/>
          <w:b/>
          <w:bCs/>
          <w:szCs w:val="21"/>
          <w:u w:val="single"/>
        </w:rPr>
        <w:t>（项目名称）</w:t>
      </w:r>
      <w:r>
        <w:rPr>
          <w:rFonts w:ascii="宋体" w:hAnsi="宋体" w:hint="eastAsia"/>
          <w:szCs w:val="21"/>
          <w:u w:val="single"/>
        </w:rPr>
        <w:t>项目</w:t>
      </w:r>
      <w:r>
        <w:rPr>
          <w:rFonts w:ascii="宋体" w:hAnsi="宋体"/>
          <w:szCs w:val="21"/>
        </w:rPr>
        <w:t>采购活动</w:t>
      </w:r>
      <w:r>
        <w:rPr>
          <w:rFonts w:ascii="宋体" w:hAnsi="宋体" w:hint="eastAsia"/>
          <w:szCs w:val="21"/>
        </w:rPr>
        <w:t>提供本单位服务。</w:t>
      </w:r>
    </w:p>
    <w:p>
      <w:pPr>
        <w:ind w:firstLine="420" w:firstLineChars="200"/>
        <w:rPr>
          <w:rFonts w:ascii="宋体" w:hAnsi="宋体"/>
          <w:szCs w:val="21"/>
        </w:rPr>
      </w:pPr>
      <w:r>
        <w:rPr>
          <w:rFonts w:ascii="宋体" w:hAnsi="宋体" w:hint="eastAsia"/>
          <w:szCs w:val="21"/>
        </w:rPr>
        <w:t>本单位对上述声明的真实性负责。如有虚假，将依法承担相应责任。</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rPr>
          <w:rFonts w:ascii="Calibri" w:hAnsi="Calibri"/>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对上述声明内容的真实性负责。如有虚假，将依法承担相应责任。</w:t>
      </w:r>
    </w:p>
    <w:p>
      <w:pPr>
        <w:ind w:firstLine="420" w:firstLineChars="200"/>
        <w:rPr>
          <w:b/>
          <w:sz w:val="24"/>
        </w:rPr>
      </w:pPr>
      <w:r>
        <w:rPr>
          <w:rFonts w:ascii="宋体" w:hAnsi="宋体" w:hint="eastAsia"/>
          <w:szCs w:val="21"/>
        </w:rPr>
        <w:t>附：省级以上监狱管理局、戒毒管理局（含新疆生产建设兵团）出具的监狱企业证明文件。</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pStyle w:val="Heading3"/>
        <w:jc w:val="center"/>
        <w:rPr>
          <w:rFonts w:ascii="黑体" w:eastAsia="黑体"/>
          <w:b w:val="0"/>
          <w:sz w:val="24"/>
          <w:szCs w:val="24"/>
        </w:rPr>
      </w:pPr>
      <w:bookmarkStart w:id="88" w:name="_Hlk72259976"/>
      <w:bookmarkEnd w:id="87"/>
      <w:r>
        <w:rPr>
          <w:rFonts w:ascii="黑体" w:eastAsia="黑体" w:hint="eastAsia"/>
          <w:b w:val="0"/>
          <w:sz w:val="24"/>
          <w:szCs w:val="24"/>
        </w:rPr>
        <w:t>四、项目详细报价</w:t>
      </w:r>
    </w:p>
    <w:p>
      <w:pPr>
        <w:tabs>
          <w:tab w:val="left" w:pos="720"/>
        </w:tabs>
        <w:ind w:firstLine="2730" w:firstLineChars="1300"/>
        <w:rPr>
          <w:b/>
          <w:sz w:val="24"/>
        </w:rPr>
      </w:pPr>
      <w:r>
        <w:rPr>
          <w:rFonts w:hint="eastAsia"/>
          <w:b/>
          <w:sz w:val="24"/>
        </w:rPr>
        <w:t>（一）分项报价表</w:t>
      </w:r>
    </w:p>
    <w:tbl>
      <w:tblPr>
        <w:tblStyle w:val="TableNormal"/>
        <w:tblpPr w:leftFromText="180" w:rightFromText="180" w:vertAnchor="text" w:horzAnchor="margin" w:tblpY="173"/>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
        <w:gridCol w:w="354"/>
        <w:gridCol w:w="205"/>
        <w:gridCol w:w="1509"/>
        <w:gridCol w:w="2219"/>
        <w:gridCol w:w="618"/>
        <w:gridCol w:w="482"/>
        <w:gridCol w:w="527"/>
        <w:gridCol w:w="373"/>
        <w:gridCol w:w="481"/>
        <w:gridCol w:w="555"/>
        <w:gridCol w:w="582"/>
        <w:gridCol w:w="627"/>
      </w:tblGrid>
      <w:tr>
        <w:tblPrEx>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序号</w:t>
            </w:r>
          </w:p>
        </w:tc>
        <w:tc>
          <w:tcPr>
            <w:tcW w:w="559" w:type="dxa"/>
            <w:gridSpan w:val="2"/>
            <w:vAlign w:val="center"/>
          </w:tcPr>
          <w:p>
            <w:pPr>
              <w:jc w:val="center"/>
              <w:rPr>
                <w:bCs/>
                <w:szCs w:val="21"/>
              </w:rPr>
            </w:pPr>
            <w:r>
              <w:rPr>
                <w:rFonts w:hint="eastAsia"/>
                <w:szCs w:val="21"/>
              </w:rPr>
              <w:t>采购计划编号</w:t>
            </w:r>
          </w:p>
        </w:tc>
        <w:tc>
          <w:tcPr>
            <w:tcW w:w="1509" w:type="dxa"/>
            <w:vAlign w:val="center"/>
          </w:tcPr>
          <w:p>
            <w:pPr>
              <w:jc w:val="center"/>
              <w:rPr>
                <w:bCs/>
                <w:szCs w:val="21"/>
              </w:rPr>
            </w:pPr>
            <w:r>
              <w:rPr>
                <w:rFonts w:hint="eastAsia"/>
                <w:bCs/>
                <w:szCs w:val="21"/>
              </w:rPr>
              <w:t>货物名称</w:t>
            </w:r>
          </w:p>
        </w:tc>
        <w:tc>
          <w:tcPr>
            <w:tcW w:w="2219" w:type="dxa"/>
            <w:vAlign w:val="center"/>
          </w:tcPr>
          <w:p>
            <w:pPr>
              <w:jc w:val="center"/>
              <w:rPr>
                <w:rFonts w:eastAsia="宋体" w:hint="eastAsia"/>
                <w:szCs w:val="21"/>
                <w:lang w:val="en-US" w:eastAsia="zh-CN"/>
              </w:rPr>
            </w:pPr>
            <w:r>
              <w:rPr>
                <w:rFonts w:hAnsi="宋体" w:hint="eastAsia"/>
                <w:color w:val="FF0000"/>
                <w:szCs w:val="21"/>
                <w:highlight w:val="yellow"/>
              </w:rPr>
              <w:t>★</w:t>
            </w:r>
            <w:r>
              <w:rPr>
                <w:rFonts w:hint="eastAsia"/>
                <w:szCs w:val="21"/>
                <w:lang w:val="en-US" w:eastAsia="zh-CN"/>
              </w:rPr>
              <w:t>规格</w:t>
            </w:r>
            <w:r>
              <w:rPr>
                <w:rFonts w:ascii="Times New Roman" w:eastAsia="宋体" w:hAnsi="Times New Roman" w:cs="Times New Roman" w:hint="eastAsia"/>
                <w:szCs w:val="21"/>
                <w:lang w:val="en-US" w:eastAsia="zh-CN"/>
              </w:rPr>
              <w:t>（长*宽*高mm)</w:t>
            </w:r>
          </w:p>
        </w:tc>
        <w:tc>
          <w:tcPr>
            <w:tcW w:w="618" w:type="dxa"/>
            <w:vAlign w:val="center"/>
          </w:tcPr>
          <w:p>
            <w:pPr>
              <w:jc w:val="center"/>
              <w:rPr>
                <w:bCs/>
                <w:szCs w:val="21"/>
              </w:rPr>
            </w:pPr>
            <w:r>
              <w:rPr>
                <w:rFonts w:hint="eastAsia"/>
                <w:szCs w:val="21"/>
              </w:rPr>
              <w:t>品牌/型号</w:t>
            </w:r>
          </w:p>
        </w:tc>
        <w:tc>
          <w:tcPr>
            <w:tcW w:w="482" w:type="dxa"/>
            <w:vAlign w:val="center"/>
          </w:tcPr>
          <w:p>
            <w:pPr>
              <w:jc w:val="center"/>
              <w:rPr>
                <w:bCs/>
                <w:szCs w:val="21"/>
              </w:rPr>
            </w:pPr>
            <w:r>
              <w:rPr>
                <w:rFonts w:hint="eastAsia"/>
                <w:b/>
                <w:color w:val="FF0000"/>
                <w:szCs w:val="21"/>
              </w:rPr>
              <w:t>原产地</w:t>
            </w:r>
          </w:p>
        </w:tc>
        <w:tc>
          <w:tcPr>
            <w:tcW w:w="527" w:type="dxa"/>
            <w:vAlign w:val="center"/>
          </w:tcPr>
          <w:p>
            <w:pPr>
              <w:jc w:val="center"/>
              <w:rPr>
                <w:bCs/>
                <w:szCs w:val="21"/>
              </w:rPr>
            </w:pPr>
            <w:r>
              <w:rPr>
                <w:rFonts w:hint="eastAsia"/>
                <w:szCs w:val="21"/>
              </w:rPr>
              <w:t>制造商名称</w:t>
            </w:r>
          </w:p>
        </w:tc>
        <w:tc>
          <w:tcPr>
            <w:tcW w:w="373" w:type="dxa"/>
            <w:vAlign w:val="center"/>
          </w:tcPr>
          <w:p>
            <w:pPr>
              <w:jc w:val="center"/>
              <w:rPr>
                <w:bCs/>
                <w:szCs w:val="21"/>
              </w:rPr>
            </w:pPr>
            <w:r>
              <w:rPr>
                <w:rFonts w:hint="eastAsia"/>
                <w:bCs/>
                <w:szCs w:val="21"/>
              </w:rPr>
              <w:t>数量</w:t>
            </w:r>
          </w:p>
        </w:tc>
        <w:tc>
          <w:tcPr>
            <w:tcW w:w="481" w:type="dxa"/>
            <w:vAlign w:val="center"/>
          </w:tcPr>
          <w:p>
            <w:pPr>
              <w:jc w:val="center"/>
              <w:rPr>
                <w:bCs/>
                <w:szCs w:val="21"/>
              </w:rPr>
            </w:pPr>
            <w:r>
              <w:rPr>
                <w:rFonts w:hint="eastAsia"/>
                <w:bCs/>
                <w:szCs w:val="21"/>
              </w:rPr>
              <w:t>单位</w:t>
            </w:r>
          </w:p>
        </w:tc>
        <w:tc>
          <w:tcPr>
            <w:tcW w:w="555" w:type="dxa"/>
            <w:vAlign w:val="center"/>
          </w:tcPr>
          <w:p>
            <w:pPr>
              <w:jc w:val="center"/>
              <w:rPr>
                <w:bCs/>
                <w:szCs w:val="21"/>
              </w:rPr>
            </w:pPr>
            <w:r>
              <w:rPr>
                <w:rFonts w:hint="eastAsia"/>
                <w:szCs w:val="21"/>
              </w:rPr>
              <w:t>单价(元)</w:t>
            </w:r>
          </w:p>
        </w:tc>
        <w:tc>
          <w:tcPr>
            <w:tcW w:w="582" w:type="dxa"/>
            <w:vAlign w:val="center"/>
          </w:tcPr>
          <w:p>
            <w:pPr>
              <w:jc w:val="center"/>
              <w:rPr>
                <w:bCs/>
                <w:szCs w:val="21"/>
              </w:rPr>
            </w:pPr>
            <w:r>
              <w:rPr>
                <w:rFonts w:hint="eastAsia"/>
                <w:szCs w:val="21"/>
              </w:rPr>
              <w:t>合价(元)</w:t>
            </w:r>
          </w:p>
        </w:tc>
        <w:tc>
          <w:tcPr>
            <w:tcW w:w="627" w:type="dxa"/>
            <w:vAlign w:val="center"/>
          </w:tcPr>
          <w:p>
            <w:pPr>
              <w:jc w:val="center"/>
              <w:rPr>
                <w:szCs w:val="21"/>
              </w:rPr>
            </w:pPr>
            <w:r>
              <w:rPr>
                <w:rFonts w:hint="eastAsia"/>
                <w:szCs w:val="21"/>
              </w:rPr>
              <w:t>预算金额（元）</w:t>
            </w: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1</w:t>
            </w:r>
          </w:p>
        </w:tc>
        <w:tc>
          <w:tcPr>
            <w:tcW w:w="559" w:type="dxa"/>
            <w:gridSpan w:val="2"/>
            <w:vMerge w:val="restart"/>
            <w:vAlign w:val="center"/>
          </w:tcPr>
          <w:p>
            <w:pPr>
              <w:jc w:val="center"/>
              <w:rPr>
                <w:bCs/>
                <w:szCs w:val="21"/>
              </w:rPr>
            </w:pPr>
            <w:r>
              <w:rPr>
                <w:rFonts w:hint="eastAsia"/>
                <w:bCs/>
                <w:color w:val="000000"/>
                <w:szCs w:val="21"/>
              </w:rPr>
              <w:t>PLAN-2023-440300000-103609-09771</w:t>
            </w:r>
          </w:p>
        </w:tc>
        <w:tc>
          <w:tcPr>
            <w:tcW w:w="1509" w:type="dxa"/>
            <w:vAlign w:val="center"/>
          </w:tcPr>
          <w:p>
            <w:pPr>
              <w:jc w:val="center"/>
              <w:rPr>
                <w:bCs/>
                <w:szCs w:val="21"/>
              </w:rPr>
            </w:pPr>
            <w:r>
              <w:rPr>
                <w:rFonts w:hint="eastAsia"/>
                <w:bCs/>
                <w:szCs w:val="21"/>
              </w:rPr>
              <w:t>中央台1</w:t>
            </w:r>
          </w:p>
        </w:tc>
        <w:tc>
          <w:tcPr>
            <w:tcW w:w="2219" w:type="dxa"/>
          </w:tcPr>
          <w:p>
            <w:pPr>
              <w:widowControl/>
              <w:ind w:right="210" w:rightChars="0"/>
              <w:jc w:val="center"/>
              <w:rPr>
                <w:bCs/>
                <w:szCs w:val="21"/>
              </w:rPr>
            </w:pPr>
            <w:r>
              <w:rPr>
                <w:rFonts w:hint="eastAsia"/>
                <w:lang w:val="en-US" w:eastAsia="zh-CN"/>
              </w:rPr>
              <w:t xml:space="preserve">       </w:t>
            </w:r>
            <w:r>
              <w:t>1500*1500*9</w:t>
            </w:r>
            <w:r>
              <w:rPr>
                <w:rFonts w:hint="eastAsia"/>
                <w:lang w:val="en-US" w:eastAsia="zh-CN"/>
              </w:rPr>
              <w:t>5</w:t>
            </w:r>
            <w:r>
              <w:t>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1</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restart"/>
            <w:vAlign w:val="center"/>
          </w:tcPr>
          <w:p>
            <w:pPr>
              <w:jc w:val="center"/>
              <w:rPr>
                <w:b/>
                <w:bCs/>
                <w:szCs w:val="21"/>
              </w:rPr>
            </w:pPr>
            <w:r>
              <w:rPr>
                <w:rFonts w:hint="eastAsia"/>
                <w:bCs/>
                <w:color w:val="FF0000"/>
                <w:szCs w:val="21"/>
              </w:rPr>
              <w:t>4900000.00</w:t>
            </w:r>
          </w:p>
        </w:tc>
      </w:tr>
      <w:tr>
        <w:tblPrEx>
          <w:tblW w:w="8958" w:type="dxa"/>
          <w:tblLayout w:type="fixed"/>
          <w:tblCellMar>
            <w:top w:w="0" w:type="dxa"/>
            <w:left w:w="108" w:type="dxa"/>
            <w:bottom w:w="0" w:type="dxa"/>
            <w:right w:w="108" w:type="dxa"/>
          </w:tblCellMar>
          <w:tblLook w:val="0000"/>
        </w:tblPrEx>
        <w:trPr>
          <w:trHeight w:val="259"/>
        </w:trPr>
        <w:tc>
          <w:tcPr>
            <w:tcW w:w="426" w:type="dxa"/>
            <w:vAlign w:val="center"/>
          </w:tcPr>
          <w:p>
            <w:pPr>
              <w:jc w:val="center"/>
              <w:rPr>
                <w:bCs/>
                <w:szCs w:val="21"/>
              </w:rPr>
            </w:pPr>
            <w:r>
              <w:rPr>
                <w:rFonts w:hint="eastAsia"/>
                <w:bCs/>
                <w:szCs w:val="21"/>
              </w:rPr>
              <w:t>2</w:t>
            </w:r>
          </w:p>
        </w:tc>
        <w:tc>
          <w:tcPr>
            <w:tcW w:w="559" w:type="dxa"/>
            <w:gridSpan w:val="2"/>
            <w:vMerge/>
          </w:tcPr>
          <w:p>
            <w:pPr>
              <w:jc w:val="center"/>
              <w:rPr>
                <w:bCs/>
                <w:szCs w:val="21"/>
              </w:rPr>
            </w:pPr>
          </w:p>
        </w:tc>
        <w:tc>
          <w:tcPr>
            <w:tcW w:w="1509" w:type="dxa"/>
            <w:vAlign w:val="center"/>
          </w:tcPr>
          <w:p>
            <w:pPr>
              <w:jc w:val="center"/>
              <w:rPr>
                <w:bCs/>
                <w:szCs w:val="21"/>
              </w:rPr>
            </w:pPr>
            <w:r>
              <w:rPr>
                <w:rFonts w:hint="eastAsia"/>
                <w:bCs/>
                <w:szCs w:val="21"/>
              </w:rPr>
              <w:t>中央台（防静电）2</w:t>
            </w:r>
          </w:p>
        </w:tc>
        <w:tc>
          <w:tcPr>
            <w:tcW w:w="2219" w:type="dxa"/>
          </w:tcPr>
          <w:p>
            <w:pPr>
              <w:widowControl/>
              <w:ind w:left="420" w:right="210" w:hanging="420" w:leftChars="0" w:rightChars="0" w:hangingChars="200"/>
              <w:jc w:val="right"/>
              <w:rPr>
                <w:bCs/>
                <w:szCs w:val="21"/>
              </w:rPr>
            </w:pPr>
            <w:r>
              <w:t>4000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2</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color w:val="FF0000"/>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3</w:t>
            </w:r>
          </w:p>
        </w:tc>
        <w:tc>
          <w:tcPr>
            <w:tcW w:w="559" w:type="dxa"/>
            <w:gridSpan w:val="2"/>
            <w:vMerge/>
          </w:tcPr>
          <w:p>
            <w:pPr>
              <w:jc w:val="center"/>
              <w:rPr>
                <w:bCs/>
                <w:szCs w:val="21"/>
              </w:rPr>
            </w:pPr>
          </w:p>
        </w:tc>
        <w:tc>
          <w:tcPr>
            <w:tcW w:w="1509" w:type="dxa"/>
            <w:vAlign w:val="center"/>
          </w:tcPr>
          <w:p>
            <w:pPr>
              <w:jc w:val="center"/>
              <w:rPr>
                <w:bCs/>
                <w:szCs w:val="21"/>
              </w:rPr>
            </w:pPr>
            <w:r>
              <w:rPr>
                <w:rFonts w:hint="eastAsia"/>
                <w:bCs/>
                <w:szCs w:val="21"/>
              </w:rPr>
              <w:t>中央台3</w:t>
            </w:r>
          </w:p>
        </w:tc>
        <w:tc>
          <w:tcPr>
            <w:tcW w:w="2219" w:type="dxa"/>
          </w:tcPr>
          <w:p>
            <w:pPr>
              <w:jc w:val="center"/>
              <w:rPr>
                <w:bCs/>
                <w:szCs w:val="21"/>
              </w:rPr>
            </w:pPr>
            <w:r>
              <w:t>4200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1</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bCs/>
                <w:szCs w:val="21"/>
              </w:rPr>
            </w:pPr>
            <w:r>
              <w:rPr>
                <w:rFonts w:hint="eastAsia"/>
                <w:bCs/>
                <w:szCs w:val="21"/>
              </w:rPr>
              <w:t>4</w:t>
            </w:r>
          </w:p>
        </w:tc>
        <w:tc>
          <w:tcPr>
            <w:tcW w:w="559" w:type="dxa"/>
            <w:gridSpan w:val="2"/>
            <w:vMerge/>
          </w:tcPr>
          <w:p>
            <w:pPr>
              <w:jc w:val="center"/>
              <w:rPr>
                <w:bCs/>
                <w:szCs w:val="21"/>
              </w:rPr>
            </w:pPr>
          </w:p>
        </w:tc>
        <w:tc>
          <w:tcPr>
            <w:tcW w:w="1509" w:type="dxa"/>
            <w:vAlign w:val="center"/>
          </w:tcPr>
          <w:p>
            <w:pPr>
              <w:jc w:val="center"/>
              <w:rPr>
                <w:bCs/>
                <w:szCs w:val="21"/>
              </w:rPr>
            </w:pPr>
            <w:r>
              <w:rPr>
                <w:rFonts w:hint="eastAsia"/>
                <w:bCs/>
                <w:szCs w:val="21"/>
              </w:rPr>
              <w:t>中央台4</w:t>
            </w:r>
          </w:p>
        </w:tc>
        <w:tc>
          <w:tcPr>
            <w:tcW w:w="2219" w:type="dxa"/>
          </w:tcPr>
          <w:p>
            <w:pPr>
              <w:jc w:val="center"/>
              <w:rPr>
                <w:bCs/>
                <w:szCs w:val="21"/>
              </w:rPr>
            </w:pPr>
            <w:r>
              <w:t>4200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bCs/>
                <w:szCs w:val="21"/>
              </w:rPr>
            </w:pPr>
            <w:r>
              <w:rPr>
                <w:rFonts w:hint="eastAsia"/>
                <w:bCs/>
                <w:szCs w:val="21"/>
              </w:rPr>
              <w:t>9</w:t>
            </w:r>
          </w:p>
        </w:tc>
        <w:tc>
          <w:tcPr>
            <w:tcW w:w="481" w:type="dxa"/>
            <w:vAlign w:val="center"/>
          </w:tcPr>
          <w:p>
            <w:pPr>
              <w:jc w:val="center"/>
              <w:rPr>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中央台5</w:t>
            </w:r>
          </w:p>
        </w:tc>
        <w:tc>
          <w:tcPr>
            <w:tcW w:w="2219" w:type="dxa"/>
          </w:tcPr>
          <w:p>
            <w:pPr>
              <w:jc w:val="center"/>
              <w:rPr>
                <w:bCs/>
                <w:szCs w:val="21"/>
              </w:rPr>
            </w:pPr>
            <w:r>
              <w:t>4260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中央台6</w:t>
            </w:r>
          </w:p>
        </w:tc>
        <w:tc>
          <w:tcPr>
            <w:tcW w:w="2219" w:type="dxa"/>
          </w:tcPr>
          <w:p>
            <w:pPr>
              <w:jc w:val="center"/>
              <w:rPr>
                <w:bCs/>
                <w:szCs w:val="21"/>
              </w:rPr>
            </w:pPr>
            <w:r>
              <w:t>4600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中央台7</w:t>
            </w:r>
          </w:p>
        </w:tc>
        <w:tc>
          <w:tcPr>
            <w:tcW w:w="2219" w:type="dxa"/>
          </w:tcPr>
          <w:p>
            <w:pPr>
              <w:jc w:val="center"/>
              <w:rPr>
                <w:bCs/>
                <w:szCs w:val="21"/>
              </w:rPr>
            </w:pPr>
            <w:r>
              <w:t>4900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中央台8</w:t>
            </w:r>
          </w:p>
        </w:tc>
        <w:tc>
          <w:tcPr>
            <w:tcW w:w="2219" w:type="dxa"/>
          </w:tcPr>
          <w:p>
            <w:pPr>
              <w:jc w:val="center"/>
              <w:rPr>
                <w:bCs/>
                <w:szCs w:val="21"/>
              </w:rPr>
            </w:pPr>
            <w:r>
              <w:t>5300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中央台9</w:t>
            </w:r>
          </w:p>
        </w:tc>
        <w:tc>
          <w:tcPr>
            <w:tcW w:w="2219" w:type="dxa"/>
          </w:tcPr>
          <w:p>
            <w:pPr>
              <w:jc w:val="center"/>
              <w:rPr>
                <w:bCs/>
                <w:szCs w:val="21"/>
              </w:rPr>
            </w:pPr>
            <w:r>
              <w:t>5500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中央台10</w:t>
            </w:r>
          </w:p>
        </w:tc>
        <w:tc>
          <w:tcPr>
            <w:tcW w:w="2219" w:type="dxa"/>
          </w:tcPr>
          <w:p>
            <w:pPr>
              <w:jc w:val="center"/>
              <w:rPr>
                <w:bCs/>
                <w:szCs w:val="21"/>
              </w:rPr>
            </w:pPr>
            <w:r>
              <w:t>5500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6</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中央台（防静电）11</w:t>
            </w:r>
          </w:p>
        </w:tc>
        <w:tc>
          <w:tcPr>
            <w:tcW w:w="2219" w:type="dxa"/>
          </w:tcPr>
          <w:p>
            <w:pPr>
              <w:jc w:val="center"/>
              <w:rPr>
                <w:bCs/>
                <w:szCs w:val="21"/>
              </w:rPr>
            </w:pPr>
            <w:r>
              <w:t>5700 *1500*850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中央台12</w:t>
            </w:r>
          </w:p>
        </w:tc>
        <w:tc>
          <w:tcPr>
            <w:tcW w:w="2219" w:type="dxa"/>
          </w:tcPr>
          <w:p>
            <w:pPr>
              <w:jc w:val="center"/>
              <w:rPr>
                <w:bCs/>
                <w:szCs w:val="21"/>
              </w:rPr>
            </w:pPr>
            <w:r>
              <w:t>5800 *1500*950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54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仪器台1</w:t>
            </w:r>
          </w:p>
        </w:tc>
        <w:tc>
          <w:tcPr>
            <w:tcW w:w="2219" w:type="dxa"/>
          </w:tcPr>
          <w:p>
            <w:pPr>
              <w:jc w:val="center"/>
              <w:rPr>
                <w:bCs/>
                <w:szCs w:val="21"/>
              </w:rPr>
            </w:pPr>
            <w:r>
              <w:t>3000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仪器台2</w:t>
            </w:r>
          </w:p>
        </w:tc>
        <w:tc>
          <w:tcPr>
            <w:tcW w:w="2219" w:type="dxa"/>
          </w:tcPr>
          <w:p>
            <w:pPr>
              <w:jc w:val="center"/>
              <w:rPr>
                <w:bCs/>
                <w:szCs w:val="21"/>
              </w:rPr>
            </w:pPr>
            <w:r>
              <w:t>4300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仪器台3</w:t>
            </w:r>
          </w:p>
        </w:tc>
        <w:tc>
          <w:tcPr>
            <w:tcW w:w="2219" w:type="dxa"/>
          </w:tcPr>
          <w:p>
            <w:pPr>
              <w:jc w:val="center"/>
              <w:rPr>
                <w:bCs/>
                <w:szCs w:val="21"/>
              </w:rPr>
            </w:pPr>
            <w:r>
              <w:t>4500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6</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仪器台4</w:t>
            </w:r>
          </w:p>
        </w:tc>
        <w:tc>
          <w:tcPr>
            <w:tcW w:w="2219" w:type="dxa"/>
          </w:tcPr>
          <w:p>
            <w:pPr>
              <w:jc w:val="center"/>
              <w:rPr>
                <w:bCs/>
                <w:szCs w:val="21"/>
              </w:rPr>
            </w:pPr>
            <w:r>
              <w:t>4900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仪器台5</w:t>
            </w:r>
          </w:p>
        </w:tc>
        <w:tc>
          <w:tcPr>
            <w:tcW w:w="2219" w:type="dxa"/>
          </w:tcPr>
          <w:p>
            <w:pPr>
              <w:jc w:val="center"/>
              <w:rPr>
                <w:bCs/>
                <w:szCs w:val="21"/>
              </w:rPr>
            </w:pPr>
            <w:r>
              <w:t>5500 *900*850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p>
        </w:tc>
        <w:tc>
          <w:tcPr>
            <w:tcW w:w="2219" w:type="dxa"/>
          </w:tcPr>
          <w:p>
            <w:pPr>
              <w:jc w:val="center"/>
              <w:rPr>
                <w:bCs/>
                <w:szCs w:val="21"/>
              </w:rPr>
            </w:pPr>
            <w:r>
              <w:t>1300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1</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边台2</w:t>
            </w:r>
          </w:p>
        </w:tc>
        <w:tc>
          <w:tcPr>
            <w:tcW w:w="2219" w:type="dxa"/>
          </w:tcPr>
          <w:p>
            <w:pPr>
              <w:jc w:val="center"/>
              <w:rPr>
                <w:bCs/>
                <w:szCs w:val="21"/>
              </w:rPr>
            </w:pPr>
            <w:r>
              <w:t>2650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边台3</w:t>
            </w:r>
          </w:p>
        </w:tc>
        <w:tc>
          <w:tcPr>
            <w:tcW w:w="2219" w:type="dxa"/>
          </w:tcPr>
          <w:p>
            <w:pPr>
              <w:jc w:val="center"/>
              <w:rPr>
                <w:bCs/>
                <w:szCs w:val="21"/>
              </w:rPr>
            </w:pPr>
            <w:r>
              <w:t>3050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边台4</w:t>
            </w:r>
          </w:p>
        </w:tc>
        <w:tc>
          <w:tcPr>
            <w:tcW w:w="2219" w:type="dxa"/>
          </w:tcPr>
          <w:p>
            <w:pPr>
              <w:jc w:val="center"/>
              <w:rPr>
                <w:bCs/>
                <w:szCs w:val="21"/>
              </w:rPr>
            </w:pPr>
            <w:r>
              <w:t>3600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边台5</w:t>
            </w:r>
          </w:p>
        </w:tc>
        <w:tc>
          <w:tcPr>
            <w:tcW w:w="2219" w:type="dxa"/>
          </w:tcPr>
          <w:p>
            <w:pPr>
              <w:jc w:val="center"/>
              <w:rPr>
                <w:bCs/>
                <w:szCs w:val="21"/>
              </w:rPr>
            </w:pPr>
            <w:r>
              <w:t>4000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边台6</w:t>
            </w:r>
          </w:p>
        </w:tc>
        <w:tc>
          <w:tcPr>
            <w:tcW w:w="2219" w:type="dxa"/>
          </w:tcPr>
          <w:p>
            <w:pPr>
              <w:jc w:val="center"/>
              <w:rPr>
                <w:bCs/>
                <w:szCs w:val="21"/>
              </w:rPr>
            </w:pPr>
            <w:r>
              <w:t>4050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边台7</w:t>
            </w:r>
          </w:p>
        </w:tc>
        <w:tc>
          <w:tcPr>
            <w:tcW w:w="2219" w:type="dxa"/>
          </w:tcPr>
          <w:p>
            <w:pPr>
              <w:jc w:val="center"/>
              <w:rPr>
                <w:bCs/>
                <w:szCs w:val="21"/>
              </w:rPr>
            </w:pPr>
            <w:r>
              <w:t>4900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边台8</w:t>
            </w:r>
          </w:p>
        </w:tc>
        <w:tc>
          <w:tcPr>
            <w:tcW w:w="2219" w:type="dxa"/>
          </w:tcPr>
          <w:p>
            <w:pPr>
              <w:jc w:val="center"/>
              <w:rPr>
                <w:bCs/>
                <w:szCs w:val="21"/>
              </w:rPr>
            </w:pPr>
            <w:r>
              <w:t>5300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边台9</w:t>
            </w:r>
          </w:p>
        </w:tc>
        <w:tc>
          <w:tcPr>
            <w:tcW w:w="2219" w:type="dxa"/>
          </w:tcPr>
          <w:p>
            <w:pPr>
              <w:jc w:val="center"/>
              <w:rPr>
                <w:bCs/>
                <w:szCs w:val="21"/>
              </w:rPr>
            </w:pPr>
            <w:r>
              <w:t>5700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0</w:t>
            </w:r>
          </w:p>
        </w:tc>
        <w:tc>
          <w:tcPr>
            <w:tcW w:w="2219" w:type="dxa"/>
          </w:tcPr>
          <w:p>
            <w:pPr>
              <w:jc w:val="center"/>
              <w:rPr>
                <w:bCs/>
                <w:szCs w:val="21"/>
              </w:rPr>
            </w:pPr>
            <w:r>
              <w:t>5800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1</w:t>
            </w:r>
          </w:p>
        </w:tc>
        <w:tc>
          <w:tcPr>
            <w:tcW w:w="2219" w:type="dxa"/>
          </w:tcPr>
          <w:p>
            <w:pPr>
              <w:jc w:val="center"/>
              <w:rPr>
                <w:bCs/>
                <w:szCs w:val="21"/>
              </w:rPr>
            </w:pPr>
            <w:r>
              <w:t>6150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2</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2</w:t>
            </w:r>
          </w:p>
        </w:tc>
        <w:tc>
          <w:tcPr>
            <w:tcW w:w="2219" w:type="dxa"/>
          </w:tcPr>
          <w:p>
            <w:pPr>
              <w:jc w:val="center"/>
              <w:rPr>
                <w:bCs/>
                <w:szCs w:val="21"/>
              </w:rPr>
            </w:pPr>
            <w:r>
              <w:t>6200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边台1</w:t>
            </w:r>
            <w:r>
              <w:rPr>
                <w:bCs/>
                <w:szCs w:val="21"/>
              </w:rPr>
              <w:t>3</w:t>
            </w:r>
          </w:p>
        </w:tc>
        <w:tc>
          <w:tcPr>
            <w:tcW w:w="2219" w:type="dxa"/>
          </w:tcPr>
          <w:p>
            <w:pPr>
              <w:jc w:val="center"/>
              <w:rPr>
                <w:bCs/>
                <w:szCs w:val="21"/>
              </w:rPr>
            </w:pPr>
            <w:r>
              <w:t>7800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p>
        </w:tc>
        <w:tc>
          <w:tcPr>
            <w:tcW w:w="2219" w:type="dxa"/>
          </w:tcPr>
          <w:p>
            <w:pPr>
              <w:jc w:val="center"/>
              <w:rPr>
                <w:bCs/>
                <w:szCs w:val="21"/>
              </w:rPr>
            </w:pPr>
            <w:r>
              <w:t>900 *750*850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3</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水槽边台2</w:t>
            </w:r>
          </w:p>
        </w:tc>
        <w:tc>
          <w:tcPr>
            <w:tcW w:w="2219" w:type="dxa"/>
          </w:tcPr>
          <w:p>
            <w:pPr>
              <w:jc w:val="center"/>
              <w:rPr>
                <w:bCs/>
                <w:szCs w:val="21"/>
              </w:rPr>
            </w:pPr>
            <w:r>
              <w:t>1800*750*950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水槽边台3</w:t>
            </w:r>
          </w:p>
        </w:tc>
        <w:tc>
          <w:tcPr>
            <w:tcW w:w="2219" w:type="dxa"/>
          </w:tcPr>
          <w:p>
            <w:pPr>
              <w:jc w:val="center"/>
              <w:rPr>
                <w:bCs/>
                <w:szCs w:val="21"/>
              </w:rPr>
            </w:pPr>
            <w:r>
              <w:t>2800*750*850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水槽边台4</w:t>
            </w:r>
          </w:p>
        </w:tc>
        <w:tc>
          <w:tcPr>
            <w:tcW w:w="2219" w:type="dxa"/>
          </w:tcPr>
          <w:p>
            <w:pPr>
              <w:jc w:val="center"/>
              <w:rPr>
                <w:bCs/>
                <w:szCs w:val="21"/>
              </w:rPr>
            </w:pPr>
            <w:r>
              <w:t>3000*750*850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水槽边台5</w:t>
            </w:r>
          </w:p>
        </w:tc>
        <w:tc>
          <w:tcPr>
            <w:tcW w:w="2219" w:type="dxa"/>
          </w:tcPr>
          <w:p>
            <w:pPr>
              <w:jc w:val="center"/>
              <w:rPr>
                <w:bCs/>
                <w:szCs w:val="21"/>
              </w:rPr>
            </w:pPr>
            <w:r>
              <w:t>3700*750*850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水槽边台6</w:t>
            </w:r>
          </w:p>
        </w:tc>
        <w:tc>
          <w:tcPr>
            <w:tcW w:w="2219" w:type="dxa"/>
          </w:tcPr>
          <w:p>
            <w:pPr>
              <w:jc w:val="center"/>
              <w:rPr>
                <w:bCs/>
                <w:szCs w:val="21"/>
              </w:rPr>
            </w:pPr>
            <w:r>
              <w:t>3800*750*850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水槽边台7</w:t>
            </w:r>
          </w:p>
        </w:tc>
        <w:tc>
          <w:tcPr>
            <w:tcW w:w="2219" w:type="dxa"/>
          </w:tcPr>
          <w:p>
            <w:pPr>
              <w:jc w:val="center"/>
              <w:rPr>
                <w:bCs/>
                <w:szCs w:val="21"/>
              </w:rPr>
            </w:pPr>
            <w:r>
              <w:t>4000*750*850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水槽边台8</w:t>
            </w:r>
          </w:p>
        </w:tc>
        <w:tc>
          <w:tcPr>
            <w:tcW w:w="2219" w:type="dxa"/>
          </w:tcPr>
          <w:p>
            <w:pPr>
              <w:jc w:val="center"/>
              <w:rPr>
                <w:bCs/>
                <w:szCs w:val="21"/>
              </w:rPr>
            </w:pPr>
            <w:r>
              <w:t>4600*750*850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3</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水槽边台9</w:t>
            </w:r>
          </w:p>
        </w:tc>
        <w:tc>
          <w:tcPr>
            <w:tcW w:w="2219" w:type="dxa"/>
          </w:tcPr>
          <w:p>
            <w:pPr>
              <w:jc w:val="center"/>
              <w:rPr>
                <w:bCs/>
                <w:szCs w:val="21"/>
              </w:rPr>
            </w:pPr>
            <w:r>
              <w:t>5400*750*850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0</w:t>
            </w:r>
          </w:p>
        </w:tc>
        <w:tc>
          <w:tcPr>
            <w:tcW w:w="2219" w:type="dxa"/>
          </w:tcPr>
          <w:p>
            <w:pPr>
              <w:jc w:val="center"/>
              <w:rPr>
                <w:bCs/>
                <w:szCs w:val="21"/>
              </w:rPr>
            </w:pPr>
            <w:r>
              <w:t>5500*750*850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1</w:t>
            </w:r>
          </w:p>
        </w:tc>
        <w:tc>
          <w:tcPr>
            <w:tcW w:w="2219" w:type="dxa"/>
          </w:tcPr>
          <w:p>
            <w:pPr>
              <w:jc w:val="center"/>
              <w:rPr>
                <w:bCs/>
                <w:szCs w:val="21"/>
              </w:rPr>
            </w:pPr>
            <w:r>
              <w:t>5780*750*850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2</w:t>
            </w:r>
          </w:p>
        </w:tc>
        <w:tc>
          <w:tcPr>
            <w:tcW w:w="2219" w:type="dxa"/>
          </w:tcPr>
          <w:p>
            <w:pPr>
              <w:jc w:val="center"/>
              <w:rPr>
                <w:bCs/>
                <w:szCs w:val="21"/>
              </w:rPr>
            </w:pPr>
            <w:r>
              <w:t>6100*750*850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3</w:t>
            </w:r>
          </w:p>
        </w:tc>
        <w:tc>
          <w:tcPr>
            <w:tcW w:w="2219" w:type="dxa"/>
          </w:tcPr>
          <w:p>
            <w:pPr>
              <w:jc w:val="center"/>
              <w:rPr>
                <w:bCs/>
                <w:szCs w:val="21"/>
              </w:rPr>
            </w:pPr>
            <w:r>
              <w:t>6400*750*850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4</w:t>
            </w:r>
          </w:p>
        </w:tc>
        <w:tc>
          <w:tcPr>
            <w:tcW w:w="2219" w:type="dxa"/>
          </w:tcPr>
          <w:p>
            <w:pPr>
              <w:jc w:val="center"/>
              <w:rPr>
                <w:bCs/>
                <w:szCs w:val="21"/>
              </w:rPr>
            </w:pPr>
            <w:r>
              <w:t>6800*750*850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5</w:t>
            </w:r>
          </w:p>
        </w:tc>
        <w:tc>
          <w:tcPr>
            <w:tcW w:w="2219" w:type="dxa"/>
          </w:tcPr>
          <w:p>
            <w:pPr>
              <w:jc w:val="center"/>
              <w:rPr>
                <w:bCs/>
                <w:szCs w:val="21"/>
              </w:rPr>
            </w:pPr>
            <w:r>
              <w:t>7500*750*850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6</w:t>
            </w:r>
          </w:p>
        </w:tc>
        <w:tc>
          <w:tcPr>
            <w:tcW w:w="2219" w:type="dxa"/>
          </w:tcPr>
          <w:p>
            <w:pPr>
              <w:jc w:val="center"/>
              <w:rPr>
                <w:bCs/>
                <w:szCs w:val="21"/>
              </w:rPr>
            </w:pPr>
            <w:r>
              <w:t>7800*750*850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水槽边台1</w:t>
            </w:r>
            <w:r>
              <w:rPr>
                <w:bCs/>
                <w:szCs w:val="21"/>
              </w:rPr>
              <w:t>7</w:t>
            </w:r>
          </w:p>
        </w:tc>
        <w:tc>
          <w:tcPr>
            <w:tcW w:w="2219" w:type="dxa"/>
          </w:tcPr>
          <w:p>
            <w:pPr>
              <w:jc w:val="center"/>
              <w:rPr>
                <w:bCs/>
                <w:szCs w:val="21"/>
              </w:rPr>
            </w:pPr>
            <w:r>
              <w:t>9000*750*850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移动边台（防静电）</w:t>
            </w:r>
          </w:p>
        </w:tc>
        <w:tc>
          <w:tcPr>
            <w:tcW w:w="2219" w:type="dxa"/>
          </w:tcPr>
          <w:p>
            <w:pPr>
              <w:jc w:val="center"/>
              <w:rPr>
                <w:bCs/>
                <w:szCs w:val="21"/>
              </w:rPr>
            </w:pPr>
            <w:r>
              <w:t>1500*750*950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24</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4</w:t>
            </w:r>
            <w:r>
              <w:rPr>
                <w:bCs/>
                <w:szCs w:val="21"/>
              </w:rPr>
              <w:t>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高温台</w:t>
            </w:r>
          </w:p>
        </w:tc>
        <w:tc>
          <w:tcPr>
            <w:tcW w:w="2219" w:type="dxa"/>
          </w:tcPr>
          <w:p>
            <w:pPr>
              <w:jc w:val="center"/>
              <w:rPr>
                <w:bCs/>
                <w:szCs w:val="21"/>
              </w:rPr>
            </w:pPr>
            <w:r>
              <w:t>8600*750*600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不锈钢操作台1</w:t>
            </w:r>
          </w:p>
        </w:tc>
        <w:tc>
          <w:tcPr>
            <w:tcW w:w="2219" w:type="dxa"/>
          </w:tcPr>
          <w:p>
            <w:pPr>
              <w:jc w:val="center"/>
              <w:rPr>
                <w:bCs/>
                <w:szCs w:val="21"/>
              </w:rPr>
            </w:pPr>
            <w:r>
              <w:t>1200*750*850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3</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不锈钢操作台2</w:t>
            </w:r>
          </w:p>
        </w:tc>
        <w:tc>
          <w:tcPr>
            <w:tcW w:w="2219" w:type="dxa"/>
          </w:tcPr>
          <w:p>
            <w:pPr>
              <w:jc w:val="center"/>
              <w:rPr>
                <w:bCs/>
                <w:szCs w:val="21"/>
              </w:rPr>
            </w:pPr>
            <w:r>
              <w:t>1500*750*850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bCs/>
                <w:szCs w:val="21"/>
              </w:rPr>
              <w:t>50</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不锈钢操作台</w:t>
            </w:r>
            <w:r>
              <w:rPr>
                <w:bCs/>
                <w:szCs w:val="21"/>
              </w:rPr>
              <w:t>3</w:t>
            </w:r>
          </w:p>
        </w:tc>
        <w:tc>
          <w:tcPr>
            <w:tcW w:w="2219" w:type="dxa"/>
          </w:tcPr>
          <w:p>
            <w:pPr>
              <w:jc w:val="center"/>
              <w:rPr>
                <w:bCs/>
                <w:szCs w:val="21"/>
              </w:rPr>
            </w:pPr>
            <w:r>
              <w:t>1829*750*850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23</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53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全钢试剂架1</w:t>
            </w:r>
          </w:p>
        </w:tc>
        <w:tc>
          <w:tcPr>
            <w:tcW w:w="2219" w:type="dxa"/>
          </w:tcPr>
          <w:p>
            <w:pPr>
              <w:jc w:val="center"/>
              <w:rPr>
                <w:bCs/>
                <w:szCs w:val="21"/>
              </w:rPr>
            </w:pPr>
            <w:r>
              <w:t>1500*400*1600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全钢试剂架2</w:t>
            </w:r>
          </w:p>
        </w:tc>
        <w:tc>
          <w:tcPr>
            <w:tcW w:w="2219" w:type="dxa"/>
          </w:tcPr>
          <w:p>
            <w:pPr>
              <w:jc w:val="center"/>
              <w:rPr>
                <w:bCs/>
                <w:szCs w:val="21"/>
              </w:rPr>
            </w:pPr>
            <w:r>
              <w:t>3450*400*1600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9</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全钢试剂架3</w:t>
            </w:r>
          </w:p>
        </w:tc>
        <w:tc>
          <w:tcPr>
            <w:tcW w:w="2219" w:type="dxa"/>
          </w:tcPr>
          <w:p>
            <w:pPr>
              <w:jc w:val="center"/>
              <w:rPr>
                <w:bCs/>
                <w:szCs w:val="21"/>
              </w:rPr>
            </w:pPr>
            <w:r>
              <w:t>4550*400*1600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全钢试剂架4</w:t>
            </w:r>
          </w:p>
        </w:tc>
        <w:tc>
          <w:tcPr>
            <w:tcW w:w="2219" w:type="dxa"/>
          </w:tcPr>
          <w:p>
            <w:pPr>
              <w:jc w:val="center"/>
              <w:rPr>
                <w:bCs/>
                <w:szCs w:val="21"/>
              </w:rPr>
            </w:pPr>
            <w:r>
              <w:t>4750*400*1600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17</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5</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全钢试剂架5</w:t>
            </w:r>
          </w:p>
        </w:tc>
        <w:tc>
          <w:tcPr>
            <w:tcW w:w="2219" w:type="dxa"/>
          </w:tcPr>
          <w:p>
            <w:pPr>
              <w:jc w:val="center"/>
              <w:rPr>
                <w:bCs/>
                <w:szCs w:val="21"/>
              </w:rPr>
            </w:pPr>
            <w:r>
              <w:t>5050*400*1600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44</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58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全钢试剂架6</w:t>
            </w:r>
          </w:p>
        </w:tc>
        <w:tc>
          <w:tcPr>
            <w:tcW w:w="2219" w:type="dxa"/>
          </w:tcPr>
          <w:p>
            <w:pPr>
              <w:jc w:val="center"/>
              <w:rPr>
                <w:bCs/>
                <w:szCs w:val="21"/>
              </w:rPr>
            </w:pPr>
            <w:r>
              <w:t>5700*400*600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7</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59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功能柱1</w:t>
            </w:r>
          </w:p>
        </w:tc>
        <w:tc>
          <w:tcPr>
            <w:tcW w:w="2219" w:type="dxa"/>
          </w:tcPr>
          <w:p>
            <w:pPr>
              <w:jc w:val="center"/>
              <w:rPr>
                <w:bCs/>
                <w:szCs w:val="21"/>
              </w:rPr>
            </w:pPr>
            <w:r>
              <w:t>700 *150*2000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97</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60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功能柱2</w:t>
            </w:r>
          </w:p>
        </w:tc>
        <w:tc>
          <w:tcPr>
            <w:tcW w:w="2219" w:type="dxa"/>
          </w:tcPr>
          <w:p>
            <w:pPr>
              <w:jc w:val="center"/>
              <w:rPr>
                <w:bCs/>
                <w:szCs w:val="21"/>
              </w:rPr>
            </w:pPr>
            <w:r>
              <w:t>300 *150*2000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59</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桌上型洗眼器（双口）</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40</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纯水龙头</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108</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三口冷水龙头</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109</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水槽</w:t>
            </w:r>
          </w:p>
        </w:tc>
        <w:tc>
          <w:tcPr>
            <w:tcW w:w="2219" w:type="dxa"/>
          </w:tcPr>
          <w:p>
            <w:pPr>
              <w:jc w:val="center"/>
              <w:rPr>
                <w:bCs/>
                <w:szCs w:val="21"/>
              </w:rPr>
            </w:pPr>
            <w:r>
              <w:t>800 *430*355</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108</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不锈钢水槽</w:t>
            </w:r>
          </w:p>
        </w:tc>
        <w:tc>
          <w:tcPr>
            <w:tcW w:w="2219" w:type="dxa"/>
          </w:tcPr>
          <w:p>
            <w:pPr>
              <w:jc w:val="center"/>
              <w:rPr>
                <w:bCs/>
                <w:szCs w:val="21"/>
              </w:rPr>
            </w:pPr>
            <w:r>
              <w:t>500 *400*335</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不锈钢水槽台</w:t>
            </w:r>
          </w:p>
        </w:tc>
        <w:tc>
          <w:tcPr>
            <w:tcW w:w="2219" w:type="dxa"/>
          </w:tcPr>
          <w:p>
            <w:pPr>
              <w:jc w:val="center"/>
              <w:rPr>
                <w:bCs/>
                <w:szCs w:val="21"/>
              </w:rPr>
            </w:pPr>
            <w:r>
              <w:t>1200</w:t>
            </w:r>
            <w:r>
              <w:rPr>
                <w:rFonts w:ascii="宋体" w:hAnsi="宋体" w:cs="宋体" w:hint="eastAsia"/>
                <w:kern w:val="0"/>
                <w:sz w:val="22"/>
                <w:szCs w:val="22"/>
              </w:rPr>
              <w:t>*750*850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6</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滴水架</w:t>
            </w:r>
          </w:p>
        </w:tc>
        <w:tc>
          <w:tcPr>
            <w:tcW w:w="2219" w:type="dxa"/>
          </w:tcPr>
          <w:p>
            <w:pPr>
              <w:jc w:val="center"/>
              <w:rPr>
                <w:bCs/>
                <w:szCs w:val="21"/>
              </w:rPr>
            </w:pPr>
            <w:r>
              <w:t>550*400*120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99</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68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壁挂式紧急冲淋洗眼器</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8</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69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紧急冲淋洗眼器</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15</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钢质吊柜+支撑架</w:t>
            </w:r>
          </w:p>
        </w:tc>
        <w:tc>
          <w:tcPr>
            <w:tcW w:w="2219" w:type="dxa"/>
          </w:tcPr>
          <w:p>
            <w:pPr>
              <w:jc w:val="center"/>
              <w:rPr>
                <w:bCs/>
                <w:szCs w:val="21"/>
              </w:rPr>
            </w:pPr>
            <w:r>
              <w:t>6200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钢质吊柜+支撑架1</w:t>
            </w:r>
          </w:p>
        </w:tc>
        <w:tc>
          <w:tcPr>
            <w:tcW w:w="2219" w:type="dxa"/>
          </w:tcPr>
          <w:p>
            <w:pPr>
              <w:jc w:val="center"/>
              <w:rPr>
                <w:bCs/>
                <w:szCs w:val="21"/>
              </w:rPr>
            </w:pPr>
            <w:r>
              <w:t>5780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1</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2</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钢质吊柜+支撑架2</w:t>
            </w:r>
          </w:p>
        </w:tc>
        <w:tc>
          <w:tcPr>
            <w:tcW w:w="2219" w:type="dxa"/>
          </w:tcPr>
          <w:p>
            <w:pPr>
              <w:jc w:val="center"/>
              <w:rPr>
                <w:bCs/>
                <w:szCs w:val="21"/>
              </w:rPr>
            </w:pPr>
            <w:r>
              <w:t>7800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3</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钢质吊柜</w:t>
            </w:r>
          </w:p>
        </w:tc>
        <w:tc>
          <w:tcPr>
            <w:tcW w:w="2219" w:type="dxa"/>
          </w:tcPr>
          <w:p>
            <w:pPr>
              <w:jc w:val="center"/>
              <w:rPr>
                <w:bCs/>
                <w:szCs w:val="21"/>
              </w:rPr>
            </w:pPr>
            <w:r>
              <w:t>1500 *350*600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2</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4</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单门单抽柜</w:t>
            </w:r>
          </w:p>
        </w:tc>
        <w:tc>
          <w:tcPr>
            <w:tcW w:w="2219" w:type="dxa"/>
          </w:tcPr>
          <w:p>
            <w:pPr>
              <w:jc w:val="center"/>
              <w:rPr>
                <w:bCs/>
                <w:szCs w:val="21"/>
              </w:rPr>
            </w:pPr>
            <w:r>
              <w:t>500 *500*600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78 </w:t>
            </w:r>
          </w:p>
        </w:tc>
        <w:tc>
          <w:tcPr>
            <w:tcW w:w="481" w:type="dxa"/>
            <w:vAlign w:val="center"/>
          </w:tcPr>
          <w:p>
            <w:pPr>
              <w:jc w:val="center"/>
              <w:rPr>
                <w:rFonts w:hint="eastAsia"/>
                <w:bCs/>
                <w:szCs w:val="21"/>
              </w:rPr>
            </w:pPr>
            <w:r>
              <w:rPr>
                <w:rFonts w:hint="eastAsia"/>
                <w:bCs/>
                <w:szCs w:val="21"/>
              </w:rPr>
              <w:t>个</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5</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万向排气罩</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89 </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6</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承载式天花1</w:t>
            </w:r>
          </w:p>
        </w:tc>
        <w:tc>
          <w:tcPr>
            <w:tcW w:w="2219" w:type="dxa"/>
          </w:tcPr>
          <w:p>
            <w:pPr>
              <w:jc w:val="center"/>
              <w:rPr>
                <w:bCs/>
                <w:szCs w:val="21"/>
              </w:rPr>
            </w:pPr>
            <w:r>
              <w:t>18000*4000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72 </w:t>
            </w:r>
          </w:p>
        </w:tc>
        <w:tc>
          <w:tcPr>
            <w:tcW w:w="481" w:type="dxa"/>
            <w:vAlign w:val="center"/>
          </w:tcPr>
          <w:p>
            <w:pPr>
              <w:jc w:val="center"/>
              <w:rPr>
                <w:rFonts w:hint="eastAsia"/>
                <w:bCs/>
                <w:szCs w:val="21"/>
              </w:rPr>
            </w:pPr>
            <w:r>
              <w:rPr>
                <w:rFonts w:hint="eastAsia"/>
                <w:bCs/>
                <w:szCs w:val="21"/>
              </w:rPr>
              <w:t>m2</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7</w:t>
            </w:r>
            <w:r>
              <w:rPr>
                <w:bCs/>
                <w:szCs w:val="21"/>
              </w:rPr>
              <w:t>7</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承载式天花2</w:t>
            </w:r>
          </w:p>
        </w:tc>
        <w:tc>
          <w:tcPr>
            <w:tcW w:w="2219" w:type="dxa"/>
          </w:tcPr>
          <w:p>
            <w:pPr>
              <w:jc w:val="center"/>
              <w:rPr>
                <w:bCs/>
                <w:szCs w:val="21"/>
              </w:rPr>
            </w:pPr>
            <w:r>
              <w:t>21300*5500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117 </w:t>
            </w:r>
          </w:p>
        </w:tc>
        <w:tc>
          <w:tcPr>
            <w:tcW w:w="481" w:type="dxa"/>
            <w:vAlign w:val="center"/>
          </w:tcPr>
          <w:p>
            <w:pPr>
              <w:jc w:val="center"/>
              <w:rPr>
                <w:rFonts w:hint="eastAsia"/>
                <w:bCs/>
                <w:szCs w:val="21"/>
              </w:rPr>
            </w:pPr>
            <w:r>
              <w:rPr>
                <w:rFonts w:hint="eastAsia"/>
                <w:bCs/>
                <w:szCs w:val="21"/>
              </w:rPr>
              <w:t>m2</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78</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自动伸缩卷线器</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56 </w:t>
            </w:r>
          </w:p>
        </w:tc>
        <w:tc>
          <w:tcPr>
            <w:tcW w:w="481" w:type="dxa"/>
            <w:vAlign w:val="center"/>
          </w:tcPr>
          <w:p>
            <w:pPr>
              <w:jc w:val="center"/>
              <w:rPr>
                <w:rFonts w:hint="eastAsia"/>
                <w:bCs/>
                <w:szCs w:val="21"/>
              </w:rPr>
            </w:pPr>
            <w:r>
              <w:rPr>
                <w:rFonts w:hint="eastAsia"/>
                <w:bCs/>
                <w:szCs w:val="21"/>
              </w:rPr>
              <w:t>台</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bCs/>
                <w:szCs w:val="21"/>
              </w:rPr>
              <w:t>79</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插座盒</w:t>
            </w:r>
          </w:p>
        </w:tc>
        <w:tc>
          <w:tcPr>
            <w:tcW w:w="2219" w:type="dxa"/>
          </w:tcPr>
          <w:p>
            <w:pPr>
              <w:jc w:val="center"/>
              <w:rPr>
                <w:bCs/>
                <w:szCs w:val="21"/>
              </w:rPr>
            </w:pPr>
            <w:r>
              <w:t>200 *90*75</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504 </w:t>
            </w:r>
          </w:p>
        </w:tc>
        <w:tc>
          <w:tcPr>
            <w:tcW w:w="481" w:type="dxa"/>
            <w:vAlign w:val="center"/>
          </w:tcPr>
          <w:p>
            <w:pPr>
              <w:jc w:val="center"/>
              <w:rPr>
                <w:rFonts w:hint="eastAsia"/>
                <w:bCs/>
                <w:szCs w:val="21"/>
              </w:rPr>
            </w:pPr>
            <w:r>
              <w:rPr>
                <w:rFonts w:hint="eastAsia"/>
                <w:bCs/>
                <w:szCs w:val="21"/>
              </w:rPr>
              <w:t>组</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8</w:t>
            </w:r>
            <w:r>
              <w:rPr>
                <w:bCs/>
                <w:szCs w:val="21"/>
              </w:rPr>
              <w:t>0</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护墙板</w:t>
            </w:r>
          </w:p>
        </w:tc>
        <w:tc>
          <w:tcPr>
            <w:tcW w:w="2219" w:type="dxa"/>
          </w:tcPr>
          <w:p>
            <w:pPr>
              <w:jc w:val="center"/>
              <w:rPr>
                <w:bCs/>
                <w:szCs w:val="21"/>
              </w:rPr>
            </w:pPr>
            <w:r>
              <w:t>2000*500</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1 </w:t>
            </w:r>
          </w:p>
        </w:tc>
        <w:tc>
          <w:tcPr>
            <w:tcW w:w="481" w:type="dxa"/>
            <w:vAlign w:val="center"/>
          </w:tcPr>
          <w:p>
            <w:pPr>
              <w:jc w:val="center"/>
              <w:rPr>
                <w:rFonts w:hint="eastAsia"/>
                <w:bCs/>
                <w:szCs w:val="21"/>
              </w:rPr>
            </w:pPr>
            <w:r>
              <w:rPr>
                <w:rFonts w:hint="eastAsia"/>
                <w:bCs/>
                <w:szCs w:val="21"/>
              </w:rPr>
              <w:t>块</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426" w:type="dxa"/>
            <w:vAlign w:val="center"/>
          </w:tcPr>
          <w:p>
            <w:pPr>
              <w:jc w:val="center"/>
              <w:rPr>
                <w:rFonts w:hint="eastAsia"/>
                <w:bCs/>
                <w:szCs w:val="21"/>
              </w:rPr>
            </w:pPr>
            <w:r>
              <w:rPr>
                <w:rFonts w:hint="eastAsia"/>
                <w:bCs/>
                <w:szCs w:val="21"/>
              </w:rPr>
              <w:t>8</w:t>
            </w:r>
            <w:r>
              <w:rPr>
                <w:bCs/>
                <w:szCs w:val="21"/>
              </w:rPr>
              <w:t>1</w:t>
            </w:r>
          </w:p>
        </w:tc>
        <w:tc>
          <w:tcPr>
            <w:tcW w:w="559" w:type="dxa"/>
            <w:gridSpan w:val="2"/>
            <w:vMerge/>
          </w:tcPr>
          <w:p>
            <w:pPr>
              <w:jc w:val="center"/>
              <w:rPr>
                <w:bCs/>
                <w:szCs w:val="21"/>
              </w:rPr>
            </w:pPr>
          </w:p>
        </w:tc>
        <w:tc>
          <w:tcPr>
            <w:tcW w:w="1509" w:type="dxa"/>
            <w:vAlign w:val="center"/>
          </w:tcPr>
          <w:p>
            <w:pPr>
              <w:jc w:val="center"/>
              <w:rPr>
                <w:rFonts w:hint="eastAsia"/>
                <w:bCs/>
                <w:szCs w:val="21"/>
              </w:rPr>
            </w:pPr>
            <w:r>
              <w:rPr>
                <w:rFonts w:hint="eastAsia"/>
                <w:bCs/>
                <w:szCs w:val="21"/>
              </w:rPr>
              <w:t>实验凳</w:t>
            </w:r>
          </w:p>
        </w:tc>
        <w:tc>
          <w:tcPr>
            <w:tcW w:w="2219" w:type="dxa"/>
          </w:tcPr>
          <w:p>
            <w:pPr>
              <w:jc w:val="center"/>
              <w:rPr>
                <w:bCs/>
                <w:szCs w:val="21"/>
              </w:rPr>
            </w:pPr>
            <w:r>
              <w:t>/</w:t>
            </w:r>
          </w:p>
        </w:tc>
        <w:tc>
          <w:tcPr>
            <w:tcW w:w="618" w:type="dxa"/>
            <w:vAlign w:val="center"/>
          </w:tcPr>
          <w:p>
            <w:pPr>
              <w:jc w:val="center"/>
              <w:rPr>
                <w:bCs/>
                <w:szCs w:val="21"/>
              </w:rPr>
            </w:pPr>
          </w:p>
        </w:tc>
        <w:tc>
          <w:tcPr>
            <w:tcW w:w="482" w:type="dxa"/>
            <w:vAlign w:val="center"/>
          </w:tcPr>
          <w:p>
            <w:pPr>
              <w:jc w:val="center"/>
              <w:rPr>
                <w:bCs/>
                <w:szCs w:val="21"/>
              </w:rPr>
            </w:pPr>
          </w:p>
        </w:tc>
        <w:tc>
          <w:tcPr>
            <w:tcW w:w="527" w:type="dxa"/>
            <w:vAlign w:val="center"/>
          </w:tcPr>
          <w:p>
            <w:pPr>
              <w:jc w:val="center"/>
              <w:rPr>
                <w:bCs/>
                <w:szCs w:val="21"/>
              </w:rPr>
            </w:pPr>
          </w:p>
        </w:tc>
        <w:tc>
          <w:tcPr>
            <w:tcW w:w="373" w:type="dxa"/>
            <w:vAlign w:val="center"/>
          </w:tcPr>
          <w:p>
            <w:pPr>
              <w:jc w:val="center"/>
              <w:rPr>
                <w:rFonts w:hint="eastAsia"/>
                <w:bCs/>
                <w:szCs w:val="21"/>
              </w:rPr>
            </w:pPr>
            <w:r>
              <w:rPr>
                <w:rFonts w:hint="eastAsia"/>
                <w:bCs/>
                <w:szCs w:val="21"/>
              </w:rPr>
              <w:t xml:space="preserve">796 </w:t>
            </w:r>
          </w:p>
        </w:tc>
        <w:tc>
          <w:tcPr>
            <w:tcW w:w="481" w:type="dxa"/>
            <w:vAlign w:val="center"/>
          </w:tcPr>
          <w:p>
            <w:pPr>
              <w:jc w:val="center"/>
              <w:rPr>
                <w:rFonts w:hint="eastAsia"/>
                <w:bCs/>
                <w:szCs w:val="21"/>
              </w:rPr>
            </w:pPr>
            <w:r>
              <w:rPr>
                <w:rFonts w:hint="eastAsia"/>
                <w:bCs/>
                <w:szCs w:val="21"/>
              </w:rPr>
              <w:t>把</w:t>
            </w:r>
          </w:p>
        </w:tc>
        <w:tc>
          <w:tcPr>
            <w:tcW w:w="555" w:type="dxa"/>
            <w:vAlign w:val="center"/>
          </w:tcPr>
          <w:p>
            <w:pPr>
              <w:jc w:val="center"/>
              <w:rPr>
                <w:bCs/>
                <w:szCs w:val="21"/>
              </w:rPr>
            </w:pPr>
          </w:p>
        </w:tc>
        <w:tc>
          <w:tcPr>
            <w:tcW w:w="582" w:type="dxa"/>
            <w:vAlign w:val="center"/>
          </w:tcPr>
          <w:p>
            <w:pPr>
              <w:jc w:val="center"/>
              <w:rPr>
                <w:bCs/>
                <w:szCs w:val="21"/>
              </w:rPr>
            </w:pPr>
          </w:p>
        </w:tc>
        <w:tc>
          <w:tcPr>
            <w:tcW w:w="627" w:type="dxa"/>
            <w:vMerge/>
            <w:vAlign w:val="center"/>
          </w:tcPr>
          <w:p>
            <w:pPr>
              <w:jc w:val="center"/>
              <w:rPr>
                <w:b/>
                <w:bCs/>
                <w:szCs w:val="21"/>
              </w:rPr>
            </w:pPr>
          </w:p>
        </w:tc>
      </w:tr>
      <w:tr>
        <w:tblPrEx>
          <w:tblW w:w="8958" w:type="dxa"/>
          <w:tblLayout w:type="fixed"/>
          <w:tblCellMar>
            <w:top w:w="0" w:type="dxa"/>
            <w:left w:w="108" w:type="dxa"/>
            <w:bottom w:w="0" w:type="dxa"/>
            <w:right w:w="108" w:type="dxa"/>
          </w:tblCellMar>
          <w:tblLook w:val="0000"/>
        </w:tblPrEx>
        <w:trPr>
          <w:trHeight w:val="170"/>
        </w:trPr>
        <w:tc>
          <w:tcPr>
            <w:tcW w:w="780" w:type="dxa"/>
            <w:gridSpan w:val="2"/>
          </w:tcPr>
          <w:p>
            <w:pPr>
              <w:rPr>
                <w:rFonts w:hint="eastAsia"/>
                <w:bCs/>
                <w:szCs w:val="21"/>
              </w:rPr>
            </w:pPr>
          </w:p>
        </w:tc>
        <w:tc>
          <w:tcPr>
            <w:tcW w:w="8178" w:type="dxa"/>
            <w:gridSpan w:val="11"/>
          </w:tcPr>
          <w:p>
            <w:pPr>
              <w:rPr>
                <w:bCs/>
                <w:szCs w:val="21"/>
              </w:rPr>
            </w:pPr>
            <w:r>
              <w:rPr>
                <w:rFonts w:hint="eastAsia"/>
                <w:bCs/>
                <w:szCs w:val="21"/>
              </w:rPr>
              <w:t>合计（即投标总价；币种：人民币；单位：元） 小写：            大写：</w:t>
            </w:r>
          </w:p>
        </w:tc>
      </w:tr>
    </w:tbl>
    <w:p>
      <w:pPr>
        <w:ind w:firstLine="420" w:firstLineChars="200"/>
        <w:rPr>
          <w:rFonts w:ascii="宋体" w:hAnsi="宋体"/>
          <w:b/>
          <w:sz w:val="24"/>
        </w:rPr>
      </w:pPr>
      <w:r>
        <w:rPr>
          <w:rFonts w:ascii="宋体" w:hAnsi="宋体" w:hint="eastAsia"/>
          <w:b/>
          <w:sz w:val="24"/>
        </w:rPr>
        <w:t>注：1.本表可按同样格式扩展。</w:t>
      </w:r>
    </w:p>
    <w:p>
      <w:pPr>
        <w:ind w:firstLine="412"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“品牌/型号”一栏填写全部或任一信息即可，若为定制类，应填写为“定制”。未填写或填写错误的，在技术要求偏离情况按一般参数负偏离一项扣分处理。</w:t>
      </w:r>
    </w:p>
    <w:p>
      <w:pPr>
        <w:ind w:firstLine="412" w:firstLineChars="196"/>
        <w:rPr>
          <w:rFonts w:ascii="宋体" w:hAnsi="宋体"/>
          <w:b/>
          <w:sz w:val="24"/>
        </w:rPr>
      </w:pPr>
      <w:r>
        <w:rPr>
          <w:rFonts w:ascii="宋体" w:hAnsi="宋体"/>
          <w:b/>
          <w:sz w:val="24"/>
        </w:rPr>
        <w:t>3</w:t>
      </w:r>
      <w:r>
        <w:rPr>
          <w:rFonts w:ascii="宋体" w:hAnsi="宋体" w:hint="eastAsia"/>
          <w:b/>
          <w:sz w:val="24"/>
        </w:rPr>
        <w:t>.</w:t>
      </w:r>
      <w:bookmarkStart w:id="89" w:name="_Hlk72074795"/>
      <w:r>
        <w:rPr>
          <w:rFonts w:ascii="宋体" w:hAnsi="宋体" w:hint="eastAsia"/>
          <w:b/>
          <w:sz w:val="24"/>
        </w:rPr>
        <w:t>“原产地”是指该货物的实际生产加工地，而非品牌总公司所在地</w:t>
      </w:r>
      <w:bookmarkEnd w:id="89"/>
      <w:r>
        <w:rPr>
          <w:rFonts w:ascii="宋体" w:hAnsi="宋体" w:hint="eastAsia"/>
          <w:b/>
          <w:sz w:val="24"/>
        </w:rPr>
        <w:t>。</w:t>
      </w:r>
    </w:p>
    <w:p>
      <w:pPr>
        <w:ind w:firstLine="412"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pPr>
        <w:ind w:firstLine="42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pPr>
        <w:ind w:firstLine="42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之前以及技术和售后服务等其他各项有关费用。（若招标文件商务要求中对于报价有要求的以商务要求中的条款为准）</w:t>
      </w:r>
    </w:p>
    <w:p>
      <w:pPr>
        <w:ind w:firstLine="42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pPr>
        <w:ind w:firstLine="420"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20" w:firstLineChars="200"/>
        <w:rPr>
          <w:rFonts w:ascii="宋体" w:hAnsi="宋体"/>
          <w:b/>
          <w:color w:val="FF0000"/>
          <w:sz w:val="24"/>
        </w:rPr>
      </w:pPr>
    </w:p>
    <w:p>
      <w:pPr>
        <w:ind w:firstLine="42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pPr>
        <w:ind w:firstLine="420" w:firstLineChars="200"/>
        <w:rPr>
          <w:rFonts w:ascii="宋体" w:hAnsi="宋体"/>
          <w:b/>
          <w:color w:val="FF0000"/>
          <w:sz w:val="24"/>
        </w:rPr>
      </w:pPr>
    </w:p>
    <w:p>
      <w:pPr>
        <w:ind w:firstLine="420" w:firstLineChars="200"/>
        <w:rPr>
          <w:rFonts w:ascii="宋体" w:hAnsi="宋体"/>
          <w:sz w:val="24"/>
        </w:rPr>
      </w:pPr>
      <w:r>
        <w:rPr>
          <w:rFonts w:ascii="宋体" w:hAnsi="宋体" w:hint="eastAsia"/>
          <w:sz w:val="24"/>
        </w:rPr>
        <w:t>备注：招标文件未列明核心产品的，无需填写该项。</w:t>
      </w:r>
    </w:p>
    <w:p>
      <w:pPr>
        <w:ind w:firstLine="1050" w:firstLineChars="500"/>
        <w:rPr>
          <w:rFonts w:ascii="宋体" w:hAnsi="宋体"/>
          <w:b/>
          <w:bCs/>
          <w:sz w:val="24"/>
        </w:rPr>
      </w:pPr>
      <w:r>
        <w:rPr>
          <w:rFonts w:ascii="宋体" w:hAnsi="宋体" w:hint="eastAsia"/>
          <w:b/>
          <w:bCs/>
          <w:sz w:val="24"/>
        </w:rPr>
        <w:t>本项目核心产品为：</w:t>
      </w:r>
      <w:r>
        <w:rPr>
          <w:rFonts w:ascii="宋体" w:eastAsia="宋体" w:hAnsi="宋体" w:cs="Times New Roman" w:hint="eastAsia"/>
          <w:b/>
          <w:bCs/>
          <w:sz w:val="24"/>
          <w:u w:val="single"/>
        </w:rPr>
        <w:t>中央台12（序号12）</w:t>
      </w:r>
    </w:p>
    <w:p>
      <w:pPr>
        <w:rPr>
          <w:b/>
          <w:sz w:val="24"/>
        </w:rPr>
      </w:pPr>
    </w:p>
    <w:p>
      <w:pPr>
        <w:tabs>
          <w:tab w:val="left" w:pos="720"/>
        </w:tabs>
        <w:ind w:firstLine="1680" w:firstLineChars="800"/>
        <w:rPr>
          <w:b/>
          <w:sz w:val="24"/>
        </w:rPr>
      </w:pPr>
      <w:r>
        <w:rPr>
          <w:rFonts w:hint="eastAsia"/>
          <w:b/>
          <w:sz w:val="24"/>
        </w:rPr>
        <w:t>（三）可选配件报价清单（不包括在总报价内）</w:t>
      </w:r>
    </w:p>
    <w:p>
      <w:pPr>
        <w:ind w:firstLine="420" w:firstLineChars="200"/>
        <w:rPr>
          <w:rFonts w:hAnsi="宋体"/>
          <w:b/>
          <w:bCs/>
          <w:szCs w:val="21"/>
        </w:rPr>
      </w:pPr>
      <w:r>
        <w:rPr>
          <w:rFonts w:hAnsi="宋体" w:hint="eastAsia"/>
          <w:b/>
          <w:bCs/>
          <w:szCs w:val="21"/>
        </w:rPr>
        <w:t>注：格式可以参照《（一）分项报价表》表格，并提供相应的品牌/规格/型号、原产地、制造商信息（没有品牌、型号的，用“定制”描述即可）、单价等详细信息</w:t>
      </w:r>
    </w:p>
    <w:p>
      <w:pPr>
        <w:ind w:firstLine="420" w:firstLineChars="200"/>
        <w:rPr>
          <w:rFonts w:hAnsi="宋体"/>
          <w:b/>
          <w:bCs/>
          <w:sz w:val="24"/>
        </w:rPr>
      </w:pPr>
    </w:p>
    <w:p>
      <w:pPr>
        <w:tabs>
          <w:tab w:val="left" w:pos="720"/>
        </w:tabs>
        <w:jc w:val="center"/>
        <w:rPr>
          <w:b/>
          <w:sz w:val="24"/>
        </w:rPr>
      </w:pPr>
      <w:r>
        <w:rPr>
          <w:rFonts w:hint="eastAsia"/>
          <w:b/>
          <w:sz w:val="24"/>
        </w:rPr>
        <w:t>（四）</w:t>
      </w:r>
      <w:bookmarkStart w:id="90" w:name="_Hlk72073235"/>
      <w:r>
        <w:rPr>
          <w:rFonts w:hint="eastAsia"/>
          <w:b/>
          <w:sz w:val="24"/>
        </w:rPr>
        <w:t>投标人认为需要涉及的其他内容报价清单</w:t>
      </w:r>
      <w:bookmarkEnd w:id="90"/>
    </w:p>
    <w:p>
      <w:pPr>
        <w:rPr>
          <w:b/>
          <w:bCs/>
        </w:rPr>
      </w:pPr>
    </w:p>
    <w:p>
      <w:pPr>
        <w:pStyle w:val="BodyText"/>
      </w:pPr>
    </w:p>
    <w:p>
      <w:pPr>
        <w:ind w:firstLine="630" w:firstLineChars="300"/>
        <w:rPr>
          <w:b/>
          <w:color w:val="FF0000"/>
          <w:sz w:val="24"/>
        </w:rPr>
      </w:pPr>
      <w:r>
        <w:rPr>
          <w:rFonts w:hint="eastAsia"/>
          <w:b/>
          <w:color w:val="FF0000"/>
          <w:sz w:val="24"/>
        </w:rPr>
        <w:t>（信息公开部分的内容到此为止！以下为信息不公开部分。）</w:t>
      </w:r>
    </w:p>
    <w:p>
      <w:bookmarkEnd w:id="88"/>
      <w:r>
        <w:br w:type="page"/>
      </w:r>
    </w:p>
    <w:p>
      <w:pPr>
        <w:outlineLvl w:val="1"/>
        <w:rPr>
          <w:rFonts w:ascii="宋体" w:hAnsi="宋体"/>
          <w:b/>
          <w:color w:val="FF0000"/>
          <w:sz w:val="28"/>
          <w:szCs w:val="28"/>
        </w:rPr>
      </w:pPr>
      <w:bookmarkStart w:id="91" w:name="_Hlk72260530"/>
      <w:r>
        <w:rPr>
          <w:rFonts w:ascii="宋体" w:hAnsi="宋体" w:hint="eastAsia"/>
          <w:b/>
          <w:color w:val="FF0000"/>
          <w:sz w:val="28"/>
          <w:szCs w:val="28"/>
        </w:rPr>
        <w:t>投标文件附件（信息不公开部分）</w:t>
      </w:r>
    </w:p>
    <w:p>
      <w:pPr>
        <w:pStyle w:val="Heading3"/>
        <w:jc w:val="center"/>
        <w:rPr>
          <w:rFonts w:ascii="黑体" w:eastAsia="黑体"/>
          <w:b w:val="0"/>
          <w:sz w:val="24"/>
        </w:rPr>
      </w:pPr>
      <w:r>
        <w:rPr>
          <w:rFonts w:ascii="黑体" w:eastAsia="黑体" w:hint="eastAsia"/>
          <w:b w:val="0"/>
          <w:sz w:val="24"/>
        </w:rPr>
        <w:t>一、</w:t>
      </w:r>
      <w:bookmarkStart w:id="92" w:name="_Hlk72092499"/>
      <w:r>
        <w:rPr>
          <w:rFonts w:ascii="黑体" w:eastAsia="黑体" w:hint="eastAsia"/>
          <w:b w:val="0"/>
          <w:sz w:val="24"/>
        </w:rPr>
        <w:t>法定代表人（负责人）证明书</w:t>
      </w:r>
      <w:bookmarkEnd w:id="92"/>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spacing w:line="360" w:lineRule="auto"/>
        <w:ind w:firstLine="420" w:firstLineChars="200"/>
        <w:rPr>
          <w:b/>
          <w:bCs/>
          <w:sz w:val="24"/>
        </w:rPr>
      </w:pPr>
    </w:p>
    <w:p>
      <w:pPr>
        <w:pStyle w:val="Heading3"/>
        <w:spacing w:before="120" w:after="120"/>
        <w:jc w:val="center"/>
        <w:rPr>
          <w:rFonts w:ascii="黑体" w:eastAsia="黑体"/>
          <w:b w:val="0"/>
          <w:sz w:val="24"/>
        </w:rPr>
      </w:pPr>
      <w:r>
        <w:rPr>
          <w:rFonts w:ascii="黑体" w:eastAsia="黑体" w:hint="eastAsia"/>
          <w:b w:val="0"/>
          <w:sz w:val="24"/>
        </w:rPr>
        <w:t>二、投标文件签署授权委托书</w:t>
      </w:r>
    </w:p>
    <w:p>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系（投标人名称）</w:t>
      </w:r>
      <w:r>
        <w:rPr>
          <w:rFonts w:hint="eastAsia"/>
          <w:szCs w:val="21"/>
          <w:u w:val="single"/>
        </w:rPr>
        <w:t xml:space="preserve">                                    </w:t>
      </w:r>
      <w:r>
        <w:rPr>
          <w:rFonts w:hint="eastAsia"/>
          <w:szCs w:val="21"/>
        </w:rPr>
        <w:t xml:space="preserve">  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pStyle w:val="NormalIndent"/>
        <w:spacing w:line="360" w:lineRule="auto"/>
        <w:ind w:left="540" w:firstLine="0" w:leftChars="257"/>
        <w:rPr>
          <w:szCs w:val="21"/>
        </w:rPr>
      </w:pPr>
      <w:r>
        <w:rPr>
          <w:rFonts w:hint="eastAsia"/>
          <w:szCs w:val="21"/>
        </w:rPr>
        <w:t>代理人：</w:t>
      </w:r>
      <w:r>
        <w:rPr>
          <w:rFonts w:hint="eastAsia"/>
          <w:szCs w:val="21"/>
          <w:u w:val="single"/>
        </w:rPr>
        <w:t xml:space="preserve">                                    </w:t>
      </w:r>
      <w:r>
        <w:rPr>
          <w:rFonts w:hint="eastAsia"/>
          <w:szCs w:val="21"/>
          <w:u w:val="single"/>
        </w:rPr>
        <w:tab/>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邮箱：</w:t>
      </w:r>
      <w:r>
        <w:rPr>
          <w:rFonts w:hint="eastAsia"/>
          <w:szCs w:val="21"/>
          <w:u w:val="single"/>
        </w:rPr>
        <w:t xml:space="preserve">                                    </w:t>
      </w:r>
      <w:r>
        <w:rPr>
          <w:rFonts w:hint="eastAsia"/>
          <w:szCs w:val="21"/>
          <w:u w:val="single"/>
        </w:rPr>
        <w:tab/>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职务：</w:t>
      </w:r>
      <w:r>
        <w:rPr>
          <w:rFonts w:hint="eastAsia"/>
          <w:szCs w:val="21"/>
          <w:u w:val="single"/>
        </w:rPr>
        <w:t xml:space="preserve">                                    </w:t>
      </w:r>
      <w:r>
        <w:rPr>
          <w:rFonts w:hint="eastAsia"/>
          <w:szCs w:val="21"/>
          <w:u w:val="single"/>
        </w:rPr>
        <w:tab/>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u w:val="single"/>
        </w:rPr>
        <w:tab/>
      </w:r>
      <w:r>
        <w:rPr>
          <w:rFonts w:hint="eastAsia"/>
          <w:szCs w:val="21"/>
        </w:rPr>
        <w:t xml:space="preserve">月  </w:t>
      </w:r>
      <w:r>
        <w:rPr>
          <w:rFonts w:hint="eastAsia"/>
          <w:szCs w:val="21"/>
          <w:u w:val="single"/>
        </w:rPr>
        <w:t xml:space="preserve">             </w:t>
      </w:r>
      <w:r>
        <w:rPr>
          <w:rFonts w:hint="eastAsia"/>
          <w:szCs w:val="21"/>
          <w:u w:val="single"/>
        </w:rPr>
        <w:tab/>
      </w:r>
      <w:r>
        <w:rPr>
          <w:rFonts w:hint="eastAsia"/>
          <w:szCs w:val="21"/>
        </w:rPr>
        <w:t xml:space="preserve"> 日</w:t>
      </w:r>
    </w:p>
    <w:p/>
    <w:p>
      <w:pPr>
        <w:spacing w:line="360" w:lineRule="auto"/>
        <w:ind w:firstLine="420"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pStyle w:val="Heading3"/>
        <w:jc w:val="center"/>
        <w:rPr>
          <w:rFonts w:ascii="黑体" w:eastAsia="黑体"/>
          <w:b w:val="0"/>
          <w:kern w:val="0"/>
          <w:sz w:val="24"/>
          <w:szCs w:val="24"/>
        </w:rPr>
      </w:pPr>
      <w:r>
        <w:rPr>
          <w:rFonts w:ascii="黑体" w:eastAsia="黑体" w:hint="eastAsia"/>
          <w:b w:val="0"/>
          <w:kern w:val="0"/>
          <w:sz w:val="24"/>
          <w:szCs w:val="24"/>
        </w:rPr>
        <w:t>三、</w:t>
      </w:r>
      <w:bookmarkStart w:id="93" w:name="_Hlk72092634"/>
      <w:r>
        <w:rPr>
          <w:rFonts w:ascii="黑体" w:eastAsia="黑体" w:hint="eastAsia"/>
          <w:b w:val="0"/>
          <w:kern w:val="0"/>
          <w:sz w:val="24"/>
          <w:szCs w:val="24"/>
        </w:rPr>
        <w:t>实质性条款响应情况表</w:t>
      </w:r>
      <w:bookmarkEnd w:id="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97"/>
        <w:gridCol w:w="5314"/>
        <w:gridCol w:w="1276"/>
        <w:gridCol w:w="812"/>
        <w:gridCol w:w="6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1"/>
        </w:trPr>
        <w:tc>
          <w:tcPr>
            <w:tcW w:w="291" w:type="pct"/>
            <w:vAlign w:val="center"/>
          </w:tcPr>
          <w:p>
            <w:pPr>
              <w:adjustRightInd w:val="0"/>
              <w:snapToGrid w:val="0"/>
              <w:spacing w:line="360" w:lineRule="auto"/>
              <w:jc w:val="center"/>
              <w:rPr>
                <w:rFonts w:ascii="宋体" w:hAnsi="宋体"/>
                <w:kern w:val="0"/>
                <w:szCs w:val="21"/>
              </w:rPr>
            </w:pPr>
            <w:bookmarkStart w:id="94" w:name="_Hlk72092651"/>
            <w:r>
              <w:rPr>
                <w:rFonts w:ascii="宋体" w:hAnsi="宋体" w:hint="eastAsia"/>
                <w:kern w:val="0"/>
                <w:szCs w:val="21"/>
              </w:rPr>
              <w:t>序号</w:t>
            </w:r>
          </w:p>
        </w:tc>
        <w:tc>
          <w:tcPr>
            <w:tcW w:w="3114" w:type="pct"/>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pPr>
              <w:adjustRightInd w:val="0"/>
              <w:snapToGrid w:val="0"/>
              <w:spacing w:line="360" w:lineRule="auto"/>
              <w:jc w:val="center"/>
              <w:rPr>
                <w:rFonts w:ascii="宋体" w:hAnsi="宋体"/>
                <w:kern w:val="0"/>
                <w:szCs w:val="21"/>
              </w:rPr>
            </w:pPr>
            <w:r>
              <w:rPr>
                <w:rFonts w:hint="eastAsia"/>
              </w:rPr>
              <w:t>偏离情况</w:t>
            </w:r>
          </w:p>
        </w:tc>
        <w:tc>
          <w:tcPr>
            <w:tcW w:w="369" w:type="pct"/>
            <w:vAlign w:val="center"/>
          </w:tcPr>
          <w:p>
            <w:pPr>
              <w:adjustRightInd w:val="0"/>
              <w:snapToGrid w:val="0"/>
              <w:spacing w:line="360" w:lineRule="auto"/>
              <w:jc w:val="center"/>
              <w:rPr>
                <w:rFonts w:ascii="宋体" w:hAnsi="宋体"/>
                <w:kern w:val="0"/>
                <w:szCs w:val="21"/>
              </w:rPr>
            </w:pPr>
            <w:r>
              <w:rPr>
                <w:rFonts w:hint="eastAsia"/>
              </w:rPr>
              <w:t>说明</w:t>
            </w:r>
          </w:p>
        </w:tc>
      </w:tr>
      <w:tr>
        <w:tblPrEx>
          <w:tblW w:w="5000" w:type="pct"/>
          <w:tblCellMar>
            <w:top w:w="0" w:type="dxa"/>
            <w:left w:w="108" w:type="dxa"/>
            <w:bottom w:w="0" w:type="dxa"/>
            <w:right w:w="108" w:type="dxa"/>
          </w:tblCellMar>
          <w:tblLook w:val="0000"/>
        </w:tblPrEx>
        <w:tc>
          <w:tcPr>
            <w:tcW w:w="291" w:type="pct"/>
          </w:tcPr>
          <w:p>
            <w:pPr>
              <w:adjustRightInd w:val="0"/>
              <w:snapToGrid w:val="0"/>
              <w:spacing w:line="360" w:lineRule="auto"/>
              <w:rPr>
                <w:rFonts w:ascii="宋体" w:hAnsi="宋体"/>
                <w:kern w:val="0"/>
                <w:szCs w:val="21"/>
              </w:rPr>
            </w:pPr>
            <w:bookmarkEnd w:id="94"/>
            <w:r>
              <w:rPr>
                <w:rFonts w:ascii="宋体" w:hAnsi="宋体" w:hint="eastAsia"/>
                <w:kern w:val="0"/>
                <w:szCs w:val="21"/>
              </w:rPr>
              <w:t>1</w:t>
            </w:r>
          </w:p>
        </w:tc>
        <w:tc>
          <w:tcPr>
            <w:tcW w:w="3114" w:type="pct"/>
            <w:vAlign w:val="center"/>
          </w:tcPr>
          <w:p>
            <w:pPr>
              <w:adjustRightInd w:val="0"/>
              <w:snapToGrid w:val="0"/>
              <w:spacing w:line="360" w:lineRule="auto"/>
              <w:jc w:val="left"/>
              <w:rPr>
                <w:rFonts w:hAnsi="宋体"/>
                <w:kern w:val="0"/>
                <w:szCs w:val="21"/>
              </w:rPr>
            </w:pPr>
            <w:r>
              <w:rPr>
                <w:rFonts w:hint="eastAsia"/>
              </w:rPr>
              <w:t>满足本项目标★的条款要求</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69" w:type="pct"/>
          </w:tcPr>
          <w:p>
            <w:pPr>
              <w:adjustRightInd w:val="0"/>
              <w:snapToGrid w:val="0"/>
              <w:spacing w:line="360" w:lineRule="auto"/>
              <w:rPr>
                <w:rFonts w:ascii="宋体" w:hAnsi="宋体"/>
                <w:kern w:val="0"/>
                <w:szCs w:val="21"/>
              </w:rPr>
            </w:pPr>
          </w:p>
        </w:tc>
      </w:tr>
    </w:tbl>
    <w:p>
      <w:pPr>
        <w:ind w:firstLine="420" w:firstLineChars="200"/>
        <w:rPr>
          <w:b/>
          <w:sz w:val="24"/>
          <w:szCs w:val="22"/>
        </w:rPr>
      </w:pPr>
    </w:p>
    <w:p>
      <w:pPr>
        <w:ind w:firstLine="420" w:firstLineChars="200"/>
        <w:rPr>
          <w:b/>
          <w:sz w:val="24"/>
          <w:szCs w:val="22"/>
        </w:rPr>
      </w:pPr>
      <w:r>
        <w:rPr>
          <w:rFonts w:hint="eastAsia"/>
          <w:b/>
          <w:sz w:val="24"/>
          <w:szCs w:val="22"/>
        </w:rPr>
        <w:t>注：1. 上表所列各项均为不可负偏离条款。</w:t>
      </w:r>
    </w:p>
    <w:p>
      <w:pPr>
        <w:ind w:firstLine="420"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20" w:firstLineChars="200"/>
        <w:rPr>
          <w:sz w:val="24"/>
        </w:rPr>
      </w:pPr>
      <w:r>
        <w:rPr>
          <w:b/>
          <w:sz w:val="24"/>
        </w:rPr>
        <w:t>4.</w:t>
      </w:r>
      <w:r>
        <w:rPr>
          <w:rFonts w:hint="eastAsia"/>
          <w:b/>
          <w:sz w:val="24"/>
        </w:rPr>
        <w:t>评审委员会有权根据实质性条款响应情况作出评判。</w:t>
      </w:r>
      <w:bookmarkEnd w:id="91"/>
    </w:p>
    <w:p>
      <w:pPr>
        <w:pStyle w:val="Heading3"/>
        <w:jc w:val="center"/>
        <w:rPr>
          <w:sz w:val="24"/>
        </w:rPr>
      </w:pPr>
      <w:r>
        <w:rPr>
          <w:rFonts w:ascii="黑体" w:eastAsia="黑体" w:hint="eastAsia"/>
          <w:b w:val="0"/>
          <w:sz w:val="24"/>
          <w:szCs w:val="24"/>
        </w:rPr>
        <w:t>四、技术要求偏离表</w:t>
      </w:r>
    </w:p>
    <w:tbl>
      <w:tblPr>
        <w:tblStyle w:val="TableNormal"/>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
        <w:gridCol w:w="1628"/>
        <w:gridCol w:w="3129"/>
        <w:gridCol w:w="1113"/>
        <w:gridCol w:w="1114"/>
        <w:gridCol w:w="1114"/>
      </w:tblGrid>
      <w:tr>
        <w:tblPrEx>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70"/>
        </w:trPr>
        <w:tc>
          <w:tcPr>
            <w:tcW w:w="243" w:type="pct"/>
            <w:vAlign w:val="center"/>
          </w:tcPr>
          <w:p>
            <w:pPr>
              <w:jc w:val="center"/>
              <w:rPr>
                <w:color w:val="000000"/>
                <w:szCs w:val="21"/>
              </w:rPr>
            </w:pPr>
            <w:r>
              <w:rPr>
                <w:color w:val="000000"/>
                <w:szCs w:val="21"/>
              </w:rPr>
              <w:t>序号</w:t>
            </w:r>
          </w:p>
        </w:tc>
        <w:tc>
          <w:tcPr>
            <w:tcW w:w="956" w:type="pct"/>
            <w:vAlign w:val="center"/>
          </w:tcPr>
          <w:p>
            <w:pPr>
              <w:widowControl/>
              <w:jc w:val="center"/>
              <w:rPr>
                <w:color w:val="000000"/>
                <w:szCs w:val="21"/>
              </w:rPr>
            </w:pPr>
            <w:r>
              <w:rPr>
                <w:color w:val="000000"/>
                <w:szCs w:val="21"/>
              </w:rPr>
              <w:t>货物名称</w:t>
            </w:r>
          </w:p>
        </w:tc>
        <w:tc>
          <w:tcPr>
            <w:tcW w:w="1836" w:type="pct"/>
            <w:vAlign w:val="center"/>
          </w:tcPr>
          <w:p>
            <w:pPr>
              <w:jc w:val="center"/>
              <w:rPr>
                <w:color w:val="000000"/>
                <w:szCs w:val="21"/>
              </w:rPr>
            </w:pPr>
            <w:r>
              <w:rPr>
                <w:rFonts w:hint="eastAsia"/>
                <w:color w:val="000000"/>
                <w:szCs w:val="21"/>
              </w:rPr>
              <w:t>招标</w:t>
            </w:r>
            <w:r>
              <w:rPr>
                <w:color w:val="000000"/>
                <w:szCs w:val="21"/>
              </w:rPr>
              <w:t>技术要求</w:t>
            </w:r>
          </w:p>
        </w:tc>
        <w:tc>
          <w:tcPr>
            <w:tcW w:w="654" w:type="pct"/>
            <w:vAlign w:val="center"/>
          </w:tcPr>
          <w:p>
            <w:pPr>
              <w:jc w:val="center"/>
              <w:rPr>
                <w:rFonts w:hint="eastAsia"/>
                <w:color w:val="000000"/>
                <w:szCs w:val="21"/>
              </w:rPr>
            </w:pPr>
            <w:r>
              <w:rPr>
                <w:rFonts w:hint="eastAsia"/>
                <w:color w:val="000000"/>
                <w:szCs w:val="21"/>
              </w:rPr>
              <w:t>投标技术响应</w:t>
            </w:r>
          </w:p>
        </w:tc>
        <w:tc>
          <w:tcPr>
            <w:tcW w:w="654" w:type="pct"/>
            <w:vAlign w:val="center"/>
          </w:tcPr>
          <w:p>
            <w:pPr>
              <w:jc w:val="center"/>
              <w:rPr>
                <w:rFonts w:hint="eastAsia"/>
                <w:color w:val="000000"/>
                <w:szCs w:val="21"/>
              </w:rPr>
            </w:pPr>
            <w:r>
              <w:rPr>
                <w:rFonts w:hint="eastAsia"/>
                <w:color w:val="000000"/>
                <w:szCs w:val="21"/>
              </w:rPr>
              <w:t>偏离情况</w:t>
            </w:r>
          </w:p>
        </w:tc>
        <w:tc>
          <w:tcPr>
            <w:tcW w:w="654" w:type="pct"/>
            <w:vAlign w:val="center"/>
          </w:tcPr>
          <w:p>
            <w:pPr>
              <w:jc w:val="center"/>
              <w:rPr>
                <w:rFonts w:hint="eastAsia"/>
                <w:color w:val="000000"/>
                <w:szCs w:val="21"/>
              </w:rPr>
            </w:pPr>
            <w:r>
              <w:rPr>
                <w:rFonts w:hint="eastAsia"/>
                <w:color w:val="000000"/>
                <w:szCs w:val="21"/>
              </w:rPr>
              <w:t>说明</w:t>
            </w:r>
          </w:p>
        </w:tc>
      </w:tr>
      <w:tr>
        <w:tblPrEx>
          <w:tblW w:w="4997" w:type="pct"/>
          <w:tblCellMar>
            <w:top w:w="0" w:type="dxa"/>
            <w:left w:w="108" w:type="dxa"/>
            <w:bottom w:w="0" w:type="dxa"/>
            <w:right w:w="108" w:type="dxa"/>
          </w:tblCellMar>
          <w:tblLook w:val="0000"/>
        </w:tblPrEx>
        <w:trPr>
          <w:trHeight w:val="170"/>
        </w:trPr>
        <w:tc>
          <w:tcPr>
            <w:tcW w:w="243" w:type="pct"/>
            <w:vMerge w:val="restart"/>
            <w:vAlign w:val="center"/>
          </w:tcPr>
          <w:p>
            <w:pPr>
              <w:jc w:val="center"/>
              <w:rPr>
                <w:color w:val="000000"/>
                <w:szCs w:val="21"/>
              </w:rPr>
            </w:pPr>
            <w:r>
              <w:rPr>
                <w:color w:val="000000"/>
                <w:szCs w:val="21"/>
              </w:rPr>
              <w:t>1</w:t>
            </w:r>
          </w:p>
        </w:tc>
        <w:tc>
          <w:tcPr>
            <w:tcW w:w="956" w:type="pct"/>
            <w:vMerge w:val="restart"/>
            <w:vAlign w:val="center"/>
          </w:tcPr>
          <w:p>
            <w:pPr>
              <w:jc w:val="center"/>
              <w:rPr>
                <w:color w:val="000000"/>
                <w:szCs w:val="21"/>
              </w:rPr>
            </w:pPr>
            <w:r>
              <w:rPr>
                <w:rFonts w:hint="eastAsia"/>
                <w:color w:val="000000"/>
                <w:szCs w:val="21"/>
              </w:rPr>
              <w:t>中央台、仪器台、边台、</w:t>
            </w:r>
          </w:p>
          <w:p>
            <w:pPr>
              <w:jc w:val="center"/>
              <w:rPr>
                <w:color w:val="000000"/>
                <w:szCs w:val="21"/>
              </w:rPr>
            </w:pPr>
            <w:r>
              <w:rPr>
                <w:rFonts w:hint="eastAsia"/>
                <w:color w:val="000000"/>
                <w:szCs w:val="21"/>
              </w:rPr>
              <w:t>水槽边台</w:t>
            </w:r>
          </w:p>
        </w:tc>
        <w:tc>
          <w:tcPr>
            <w:tcW w:w="1836" w:type="pct"/>
          </w:tcPr>
          <w:p>
            <w:pPr>
              <w:rPr>
                <w:color w:val="000000"/>
                <w:szCs w:val="21"/>
              </w:rPr>
            </w:pPr>
            <w:r>
              <w:rPr>
                <w:rFonts w:hint="eastAsia"/>
                <w:b/>
                <w:bCs/>
                <w:color w:val="000000"/>
                <w:szCs w:val="21"/>
              </w:rPr>
              <w:t>1</w:t>
            </w:r>
            <w:r>
              <w:rPr>
                <w:b/>
                <w:bCs/>
                <w:color w:val="000000"/>
                <w:szCs w:val="21"/>
              </w:rPr>
              <w:t>.</w:t>
            </w:r>
            <w:r>
              <w:rPr>
                <w:rFonts w:hint="eastAsia"/>
                <w:b/>
                <w:bCs/>
                <w:color w:val="000000"/>
                <w:szCs w:val="21"/>
              </w:rPr>
              <w:t>1桌身结构规格说明</w:t>
            </w:r>
          </w:p>
        </w:tc>
        <w:tc>
          <w:tcPr>
            <w:tcW w:w="654" w:type="pct"/>
          </w:tcPr>
          <w:p>
            <w:pPr>
              <w:rPr>
                <w:rFonts w:hint="eastAsia"/>
                <w:b/>
                <w:bCs/>
                <w:color w:val="000000"/>
                <w:szCs w:val="21"/>
              </w:rPr>
            </w:pPr>
          </w:p>
        </w:tc>
        <w:tc>
          <w:tcPr>
            <w:tcW w:w="654" w:type="pct"/>
          </w:tcPr>
          <w:p>
            <w:pPr>
              <w:rPr>
                <w:rFonts w:hint="eastAsia"/>
                <w:b/>
                <w:bCs/>
                <w:color w:val="000000"/>
                <w:szCs w:val="21"/>
              </w:rPr>
            </w:pPr>
          </w:p>
        </w:tc>
        <w:tc>
          <w:tcPr>
            <w:tcW w:w="654" w:type="pct"/>
          </w:tcPr>
          <w:p>
            <w:pPr>
              <w:rPr>
                <w:rFonts w:hint="eastAsia"/>
                <w:b/>
                <w:bCs/>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color w:val="000000"/>
                <w:szCs w:val="21"/>
              </w:rPr>
              <w:t>1.</w:t>
            </w:r>
            <w:r>
              <w:rPr>
                <w:rFonts w:hint="eastAsia"/>
                <w:color w:val="000000"/>
                <w:szCs w:val="21"/>
              </w:rPr>
              <w:t>1.1</w:t>
            </w:r>
            <w:r>
              <w:rPr>
                <w:rFonts w:ascii="宋体" w:hAnsi="宋体" w:cs="宋体" w:hint="eastAsia"/>
                <w:szCs w:val="21"/>
              </w:rPr>
              <w:t>柜体：采用厚≥1.0mm轧钢板，经过磷化处理，再经乳白色EPOXY涂层厚度为≥90微米，最后经高温烘烤制作而成。</w:t>
            </w:r>
          </w:p>
        </w:tc>
        <w:tc>
          <w:tcPr>
            <w:tcW w:w="654" w:type="pct"/>
          </w:tcPr>
          <w:p>
            <w:pPr>
              <w:rPr>
                <w:color w:val="000000"/>
                <w:szCs w:val="21"/>
              </w:rPr>
            </w:pPr>
          </w:p>
        </w:tc>
        <w:tc>
          <w:tcPr>
            <w:tcW w:w="654" w:type="pct"/>
          </w:tcPr>
          <w:p>
            <w:pPr>
              <w:rPr>
                <w:color w:val="000000"/>
                <w:szCs w:val="21"/>
              </w:rPr>
            </w:pPr>
          </w:p>
        </w:tc>
        <w:tc>
          <w:tcPr>
            <w:tcW w:w="654" w:type="pct"/>
          </w:tcPr>
          <w:p>
            <w:pPr>
              <w:rPr>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1.1.2</w:t>
            </w:r>
            <w:r>
              <w:rPr>
                <w:rFonts w:ascii="宋体" w:hAnsi="宋体" w:cs="宋体" w:hint="eastAsia"/>
                <w:szCs w:val="21"/>
              </w:rPr>
              <w:t>每个底柜设活动层板一个，层板可上下调节（间隔20mm），层板宽度与底柜内宽度相当，与两侧的间隙不超过3mm；</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249"/>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1.1.3</w:t>
            </w:r>
            <w:r>
              <w:rPr>
                <w:rFonts w:ascii="宋体" w:hAnsi="宋体" w:cs="宋体" w:hint="eastAsia"/>
                <w:szCs w:val="21"/>
              </w:rPr>
              <w:t>所有表面接缝均应满焊，焊接处均应打磨平整以保持为连续的平滑表面，无焊接点外露；</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1.1.4装饰封板：实验台侧面和柜体空位须使用钢制装饰封板遮盖，封板的材质、颜色及表面处理应与柜体相同，可用简单工具方便地拆卸下来，以方便管线安装维护，其组装螺丝应以孔塞遮蔽不可外露；</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1.1.5▲柜门≥19mm厚，两层结构为组装式，装配前各面喷涂完毕，柜门内有消声材料，柜门不得为单层结构或焊接式双层结构。</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1.1.6合页：高光泽的不锈钢材质。非焊接方式将合页和柜体及柜门固定。打开角度为180度，运动负重：≥90kg（≥100000次）；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1.1.7</w:t>
            </w:r>
            <w:r>
              <w:rPr>
                <w:rFonts w:ascii="宋体" w:hAnsi="宋体" w:cs="宋体" w:hint="eastAsia"/>
                <w:szCs w:val="21"/>
              </w:rPr>
              <w:t>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color w:val="000000"/>
                <w:szCs w:val="21"/>
              </w:rPr>
              <w:t>1.1.8</w:t>
            </w:r>
            <w:r>
              <w:rPr>
                <w:rFonts w:ascii="宋体" w:hAnsi="宋体" w:cs="宋体" w:hint="eastAsia"/>
                <w:szCs w:val="21"/>
              </w:rPr>
              <w:t>柜门为标准化产品，可以互换，以方便产品维护；</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b/>
                <w:bCs/>
                <w:color w:val="FF0000"/>
                <w:szCs w:val="21"/>
              </w:rPr>
              <w:t>1.1.9</w:t>
            </w:r>
            <w:r>
              <w:rPr>
                <w:rFonts w:ascii="宋体" w:hAnsi="宋体" w:cs="宋体" w:hint="eastAsia"/>
                <w:b/>
                <w:bCs/>
                <w:color w:val="FF0000"/>
                <w:kern w:val="0"/>
                <w:szCs w:val="21"/>
              </w:rPr>
              <w:t>▲</w:t>
            </w:r>
            <w:r>
              <w:rPr>
                <w:rFonts w:ascii="宋体" w:hAnsi="宋体" w:cs="宋体" w:hint="eastAsia"/>
                <w:b/>
                <w:bCs/>
                <w:color w:val="FF0000"/>
                <w:szCs w:val="21"/>
              </w:rPr>
              <w:t>为保证产品质量，投标人提供201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年1月1日至本项目投标截止日第三方检验检测机构出具的符合SEFA 8M-2016要求或</w:t>
            </w:r>
            <w:r>
              <w:rPr>
                <w:rFonts w:ascii="宋体" w:hAnsi="宋体" w:cs="宋体"/>
                <w:b/>
                <w:bCs/>
                <w:color w:val="FF0000"/>
                <w:szCs w:val="21"/>
              </w:rPr>
              <w:t>T/SLEA 0021-2023</w:t>
            </w:r>
            <w:r>
              <w:rPr>
                <w:rFonts w:ascii="宋体" w:hAnsi="宋体" w:cs="宋体" w:hint="eastAsia"/>
                <w:b/>
                <w:bCs/>
                <w:color w:val="FF0000"/>
                <w:szCs w:val="21"/>
              </w:rPr>
              <w:t>要求的具有CMA标识的检验（检测）报告扫描件，原件备查。</w:t>
            </w:r>
          </w:p>
        </w:tc>
        <w:tc>
          <w:tcPr>
            <w:tcW w:w="654" w:type="pct"/>
          </w:tcPr>
          <w:p>
            <w:pPr>
              <w:rPr>
                <w:rFonts w:hint="eastAsia"/>
                <w:b/>
                <w:bCs/>
                <w:color w:val="FF0000"/>
                <w:szCs w:val="21"/>
              </w:rPr>
            </w:pPr>
          </w:p>
        </w:tc>
        <w:tc>
          <w:tcPr>
            <w:tcW w:w="654" w:type="pct"/>
          </w:tcPr>
          <w:p>
            <w:pPr>
              <w:rPr>
                <w:rFonts w:hint="eastAsia"/>
                <w:b/>
                <w:bCs/>
                <w:color w:val="FF0000"/>
                <w:szCs w:val="21"/>
              </w:rPr>
            </w:pPr>
          </w:p>
        </w:tc>
        <w:tc>
          <w:tcPr>
            <w:tcW w:w="654" w:type="pct"/>
          </w:tcPr>
          <w:p>
            <w:pPr>
              <w:rPr>
                <w:rFonts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hint="eastAsia"/>
                <w:b/>
                <w:bCs/>
                <w:color w:val="000000"/>
                <w:szCs w:val="21"/>
              </w:rPr>
              <w:t>1.2台面板技术要求</w:t>
            </w:r>
          </w:p>
        </w:tc>
        <w:tc>
          <w:tcPr>
            <w:tcW w:w="654" w:type="pct"/>
          </w:tcPr>
          <w:p>
            <w:pPr>
              <w:rPr>
                <w:rFonts w:hint="eastAsia"/>
                <w:b/>
                <w:bCs/>
                <w:color w:val="000000"/>
                <w:szCs w:val="21"/>
              </w:rPr>
            </w:pPr>
          </w:p>
        </w:tc>
        <w:tc>
          <w:tcPr>
            <w:tcW w:w="654" w:type="pct"/>
          </w:tcPr>
          <w:p>
            <w:pPr>
              <w:rPr>
                <w:rFonts w:hint="eastAsia"/>
                <w:b/>
                <w:bCs/>
                <w:color w:val="000000"/>
                <w:szCs w:val="21"/>
              </w:rPr>
            </w:pPr>
          </w:p>
        </w:tc>
        <w:tc>
          <w:tcPr>
            <w:tcW w:w="654" w:type="pct"/>
          </w:tcPr>
          <w:p>
            <w:pPr>
              <w:rPr>
                <w:rFonts w:hint="eastAsia"/>
                <w:b/>
                <w:bCs/>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1.2.1台面采用≥12.7mm厚实芯理化板。为保证台面材料质量以及从环保角度保障实验室人员健康，台面材料须符合以下技术参数及要求：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22"/>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1</w:t>
            </w:r>
            <w:r>
              <w:rPr>
                <w:rFonts w:hAnsi="宋体" w:hint="eastAsia"/>
                <w:color w:val="FF0000"/>
                <w:kern w:val="0"/>
                <w:szCs w:val="21"/>
                <w:highlight w:val="yellow"/>
              </w:rPr>
              <w:t>★</w:t>
            </w:r>
            <w:r>
              <w:rPr>
                <w:rFonts w:ascii="宋体" w:hAnsi="宋体" w:cs="宋体" w:hint="eastAsia"/>
                <w:b/>
                <w:bCs/>
                <w:color w:val="FF0000"/>
                <w:szCs w:val="21"/>
              </w:rPr>
              <w:t>物理性能符合GB/T7911-2013中技术要求，耐沸水、耐干热（180℃）、耐污染、耐香烟灼烧、抗拉强度、耐龟裂、抗大球冲击、耐湿热、耐水蒸气、耐划痕、弯曲强度、弯曲弹性模量等共计≥23种检测项目结果合格。其中弯曲弹性模量≥17000MPa；耐光色牢度达到5级；耐干热达到5级；防静电性能≤1.3x109Ω。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b/>
                <w:bCs/>
                <w:color w:val="FF0000"/>
                <w:szCs w:val="21"/>
              </w:rPr>
            </w:pPr>
            <w:r>
              <w:rPr>
                <w:rFonts w:ascii="宋体" w:hAnsi="宋体" w:cs="宋体" w:hint="eastAsia"/>
                <w:b/>
                <w:bCs/>
                <w:color w:val="FF0000"/>
                <w:szCs w:val="21"/>
              </w:rPr>
              <w:t>1.2.1.</w:t>
            </w:r>
            <w:r>
              <w:rPr>
                <w:rFonts w:ascii="宋体" w:hAnsi="宋体" w:cs="宋体"/>
                <w:b/>
                <w:bCs/>
                <w:color w:val="FF0000"/>
                <w:szCs w:val="21"/>
              </w:rPr>
              <w:t>2</w:t>
            </w:r>
            <w:r>
              <w:rPr>
                <w:rFonts w:ascii="宋体" w:hAnsi="宋体" w:cs="宋体" w:hint="eastAsia"/>
                <w:b/>
                <w:bCs/>
                <w:color w:val="FF0000"/>
                <w:kern w:val="0"/>
                <w:szCs w:val="21"/>
              </w:rPr>
              <w:t>▲</w:t>
            </w:r>
            <w:r>
              <w:rPr>
                <w:rFonts w:ascii="宋体" w:hAnsi="宋体" w:cs="宋体" w:hint="eastAsia"/>
                <w:b/>
                <w:bCs/>
                <w:color w:val="FF0000"/>
                <w:szCs w:val="21"/>
              </w:rPr>
              <w:t>甲醛释放量按GB/T</w:t>
            </w:r>
            <w:r>
              <w:rPr>
                <w:rFonts w:ascii="宋体" w:hAnsi="宋体" w:cs="宋体"/>
                <w:b/>
                <w:bCs/>
                <w:color w:val="FF0000"/>
                <w:szCs w:val="21"/>
              </w:rPr>
              <w:t xml:space="preserve"> </w:t>
            </w:r>
            <w:r>
              <w:rPr>
                <w:rFonts w:ascii="宋体" w:hAnsi="宋体" w:cs="宋体" w:hint="eastAsia"/>
                <w:b/>
                <w:bCs/>
                <w:color w:val="FF0000"/>
                <w:szCs w:val="21"/>
              </w:rPr>
              <w:t>39600-2021检测标准，甲醛释放量检验结果要求≤0.013mg/m3，提供</w:t>
            </w:r>
            <w:r>
              <w:rPr>
                <w:rFonts w:ascii="宋体" w:hAnsi="宋体" w:cs="宋体"/>
                <w:b/>
                <w:bCs/>
                <w:color w:val="FF0000"/>
                <w:szCs w:val="21"/>
              </w:rPr>
              <w:t>2017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eastAsia="宋体" w:hAnsi="宋体" w:cs="宋体" w:hint="eastAsia"/>
                <w:b/>
                <w:bCs/>
                <w:color w:val="FF0000"/>
                <w:szCs w:val="21"/>
              </w:rPr>
              <w:t>1.</w:t>
            </w:r>
            <w:r>
              <w:rPr>
                <w:rFonts w:ascii="宋体" w:hAnsi="宋体" w:cs="宋体" w:hint="eastAsia"/>
                <w:b/>
                <w:bCs/>
                <w:color w:val="FF0000"/>
                <w:szCs w:val="21"/>
              </w:rPr>
              <w:t>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3</w:t>
            </w:r>
            <w:r>
              <w:rPr>
                <w:rFonts w:hAnsi="宋体" w:hint="eastAsia"/>
                <w:color w:val="FF0000"/>
                <w:kern w:val="0"/>
                <w:szCs w:val="21"/>
                <w:highlight w:val="yellow"/>
              </w:rPr>
              <w:t>★</w:t>
            </w:r>
            <w:r>
              <w:rPr>
                <w:rFonts w:ascii="宋体" w:hAnsi="宋体" w:cs="宋体" w:hint="eastAsia"/>
                <w:b/>
                <w:bCs/>
                <w:color w:val="FF0000"/>
                <w:szCs w:val="21"/>
              </w:rPr>
              <w:t>燃烧性能符合GB8624-2012标准中B1（C-sl,d0,t1）级，检测结果需达到点燃时间60s内烟尖高度≤40mm；烟气毒性等级达到ZA3级。提供20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eastAsia="宋体" w:hAnsi="宋体" w:cs="宋体" w:hint="eastAsia"/>
                <w:b/>
                <w:bCs/>
                <w:color w:val="FF0000"/>
                <w:szCs w:val="21"/>
              </w:rPr>
            </w:pPr>
          </w:p>
        </w:tc>
        <w:tc>
          <w:tcPr>
            <w:tcW w:w="654" w:type="pct"/>
          </w:tcPr>
          <w:p>
            <w:pPr>
              <w:rPr>
                <w:rFonts w:ascii="宋体" w:eastAsia="宋体" w:hAnsi="宋体" w:cs="宋体" w:hint="eastAsia"/>
                <w:b/>
                <w:bCs/>
                <w:color w:val="FF0000"/>
                <w:szCs w:val="21"/>
              </w:rPr>
            </w:pPr>
          </w:p>
        </w:tc>
        <w:tc>
          <w:tcPr>
            <w:tcW w:w="654" w:type="pct"/>
          </w:tcPr>
          <w:p>
            <w:pPr>
              <w:rPr>
                <w:rFonts w:ascii="宋体" w:eastAsia="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auto"/>
                <w:szCs w:val="21"/>
              </w:rPr>
            </w:pPr>
            <w:r>
              <w:rPr>
                <w:rFonts w:ascii="宋体" w:hAnsi="宋体" w:cs="宋体" w:hint="eastAsia"/>
                <w:b w:val="0"/>
                <w:bCs/>
                <w:color w:val="auto"/>
                <w:szCs w:val="21"/>
              </w:rPr>
              <w:t>1.2.</w:t>
            </w:r>
            <w:r>
              <w:rPr>
                <w:rFonts w:ascii="宋体" w:hAnsi="宋体" w:cs="宋体"/>
                <w:b w:val="0"/>
                <w:bCs/>
                <w:color w:val="auto"/>
                <w:szCs w:val="21"/>
              </w:rPr>
              <w:t>1</w:t>
            </w:r>
            <w:r>
              <w:rPr>
                <w:rFonts w:ascii="宋体" w:hAnsi="宋体" w:cs="宋体" w:hint="eastAsia"/>
                <w:b w:val="0"/>
                <w:bCs/>
                <w:color w:val="auto"/>
                <w:szCs w:val="21"/>
              </w:rPr>
              <w:t>.</w:t>
            </w:r>
            <w:r>
              <w:rPr>
                <w:rFonts w:ascii="宋体" w:hAnsi="宋体" w:cs="宋体"/>
                <w:b w:val="0"/>
                <w:bCs/>
                <w:color w:val="auto"/>
                <w:szCs w:val="21"/>
              </w:rPr>
              <w:t>4</w:t>
            </w:r>
            <w:r>
              <w:rPr>
                <w:rFonts w:ascii="宋体" w:hAnsi="宋体" w:cs="宋体" w:hint="eastAsia"/>
                <w:b w:val="0"/>
                <w:bCs/>
                <w:color w:val="auto"/>
                <w:szCs w:val="21"/>
              </w:rPr>
              <w:t>抗菌性能：依据ISO 22196:2011检测标准检测，大肠杆菌测试结果抗菌活性值≥5.9，金黄色葡萄球菌测试结果抗菌活性值≥5.4，肺炎克雷伯氏菌测试结果抗菌活性值≥5.5，粪链球菌测试结果抗菌活性值≥2.5，肠沙门氏菌肠亚种测试结果抗菌活性值≥4.0。</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b/>
                <w:bCs/>
                <w:color w:val="FF0000"/>
                <w:szCs w:val="21"/>
              </w:rPr>
              <w:t>1.2.</w:t>
            </w:r>
            <w:r>
              <w:rPr>
                <w:rFonts w:ascii="宋体" w:hAnsi="宋体" w:cs="宋体"/>
                <w:b/>
                <w:bCs/>
                <w:color w:val="FF0000"/>
                <w:szCs w:val="21"/>
              </w:rPr>
              <w:t>1</w:t>
            </w:r>
            <w:r>
              <w:rPr>
                <w:rFonts w:ascii="宋体" w:hAnsi="宋体" w:cs="宋体" w:hint="eastAsia"/>
                <w:b/>
                <w:bCs/>
                <w:color w:val="FF0000"/>
                <w:szCs w:val="21"/>
              </w:rPr>
              <w:t>.</w:t>
            </w:r>
            <w:r>
              <w:rPr>
                <w:rFonts w:ascii="宋体" w:hAnsi="宋体" w:cs="宋体"/>
                <w:b/>
                <w:bCs/>
                <w:color w:val="FF0000"/>
                <w:szCs w:val="21"/>
              </w:rPr>
              <w:t>5</w:t>
            </w:r>
            <w:r>
              <w:rPr>
                <w:rFonts w:ascii="宋体" w:hAnsi="宋体" w:cs="宋体" w:hint="eastAsia"/>
                <w:b/>
                <w:bCs/>
                <w:color w:val="FF0000"/>
                <w:kern w:val="0"/>
                <w:szCs w:val="21"/>
              </w:rPr>
              <w:t>▲</w:t>
            </w:r>
            <w:r>
              <w:rPr>
                <w:rFonts w:ascii="宋体" w:hAnsi="宋体" w:cs="宋体" w:hint="eastAsia"/>
                <w:b/>
                <w:bCs/>
                <w:color w:val="FF0000"/>
                <w:szCs w:val="21"/>
              </w:rPr>
              <w:t>化学物排放按ISO16000-9-2006检测标准，TVOC舱内浓度≤0.167mg/m3，苯、甲苯、二甲苯均为未检出。提供201</w:t>
            </w:r>
            <w:r>
              <w:rPr>
                <w:rFonts w:ascii="宋体" w:hAnsi="宋体" w:cs="宋体"/>
                <w:b/>
                <w:bCs/>
                <w:color w:val="FF0000"/>
                <w:szCs w:val="21"/>
              </w:rPr>
              <w:t>7</w:t>
            </w:r>
            <w:r>
              <w:rPr>
                <w:rFonts w:ascii="宋体" w:hAnsi="宋体" w:cs="宋体" w:hint="eastAsia"/>
                <w:b/>
                <w:bCs/>
                <w:color w:val="FF0000"/>
                <w:szCs w:val="21"/>
              </w:rPr>
              <w:t>年1月1日至本项目投标截止日第三方检验检测机构出具的具有CMA标识的检验（检测）报告扫描件，为保证检测报告真实性，扫描件加盖制造商公章，原件备查。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 w:val="0"/>
                <w:bCs/>
                <w:color w:val="auto"/>
                <w:szCs w:val="21"/>
              </w:rPr>
            </w:pPr>
            <w:r>
              <w:rPr>
                <w:rFonts w:ascii="宋体" w:hAnsi="宋体" w:cs="宋体" w:hint="eastAsia"/>
                <w:b w:val="0"/>
                <w:bCs/>
                <w:color w:val="auto"/>
                <w:szCs w:val="21"/>
              </w:rPr>
              <w:t>1.2.</w:t>
            </w:r>
            <w:r>
              <w:rPr>
                <w:rFonts w:ascii="宋体" w:hAnsi="宋体" w:cs="宋体"/>
                <w:b w:val="0"/>
                <w:bCs/>
                <w:color w:val="auto"/>
                <w:szCs w:val="21"/>
              </w:rPr>
              <w:t>2</w:t>
            </w:r>
            <w:r>
              <w:rPr>
                <w:rFonts w:ascii="宋体" w:hAnsi="宋体" w:cs="宋体" w:hint="eastAsia"/>
                <w:b w:val="0"/>
                <w:bCs/>
                <w:color w:val="auto"/>
                <w:szCs w:val="21"/>
              </w:rPr>
              <w:t>按GB6566-2010检测标准，</w:t>
            </w:r>
            <w:r>
              <w:rPr>
                <w:rFonts w:ascii="宋体" w:hAnsi="宋体" w:cs="宋体" w:hint="eastAsia"/>
                <w:color w:val="auto"/>
                <w:szCs w:val="21"/>
              </w:rPr>
              <w:t>放射性核素限量内照射指数≤0.1</w:t>
            </w:r>
            <w:r>
              <w:rPr>
                <w:color w:val="auto"/>
              </w:rPr>
              <w:t xml:space="preserve"> </w:t>
            </w:r>
            <w:r>
              <w:rPr>
                <w:rFonts w:ascii="宋体" w:hAnsi="宋体" w:cs="宋体"/>
                <w:color w:val="auto"/>
                <w:szCs w:val="21"/>
              </w:rPr>
              <w:t>Ira</w:t>
            </w:r>
            <w:r>
              <w:rPr>
                <w:rFonts w:ascii="宋体" w:hAnsi="宋体" w:cs="宋体" w:hint="eastAsia"/>
                <w:color w:val="auto"/>
                <w:szCs w:val="21"/>
              </w:rPr>
              <w:t>，外照射指数≤0.1</w:t>
            </w:r>
            <w:r>
              <w:rPr>
                <w:rFonts w:ascii="宋体" w:hAnsi="宋体" w:cs="宋体"/>
                <w:color w:val="auto"/>
                <w:szCs w:val="21"/>
              </w:rPr>
              <w:t>Iγ</w:t>
            </w:r>
            <w:r>
              <w:rPr>
                <w:rFonts w:ascii="宋体" w:hAnsi="宋体" w:cs="宋体" w:hint="eastAsia"/>
                <w:b w:val="0"/>
                <w:bCs/>
                <w:color w:val="auto"/>
                <w:szCs w:val="21"/>
              </w:rPr>
              <w:t>。</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1.2.</w:t>
            </w:r>
            <w:r>
              <w:rPr>
                <w:rFonts w:ascii="宋体" w:hAnsi="宋体" w:cs="宋体"/>
                <w:szCs w:val="21"/>
              </w:rPr>
              <w:t>3</w:t>
            </w:r>
            <w:r>
              <w:rPr>
                <w:rFonts w:ascii="宋体" w:hAnsi="宋体" w:cs="宋体" w:hint="eastAsia"/>
                <w:szCs w:val="21"/>
              </w:rPr>
              <w:t>防静电台面，≥12.7mm厚抗静电物理板，为保证台面材料质量以及从环保角度保障实验室人员健康，台面材料须符合以下技术参数及要求：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
                <w:color w:val="FF0000"/>
                <w:szCs w:val="21"/>
              </w:rPr>
            </w:pPr>
            <w:r>
              <w:rPr>
                <w:rFonts w:ascii="宋体" w:hAnsi="宋体"/>
                <w:b/>
                <w:bCs/>
                <w:color w:val="FF0000"/>
                <w:szCs w:val="21"/>
              </w:rPr>
              <w:t>1</w:t>
            </w:r>
            <w:r>
              <w:rPr>
                <w:rFonts w:ascii="宋体" w:hAnsi="宋体" w:cs="宋体" w:hint="eastAsia"/>
                <w:b/>
                <w:color w:val="FF0000"/>
                <w:szCs w:val="21"/>
              </w:rPr>
              <w:t>.2.</w:t>
            </w:r>
            <w:r>
              <w:rPr>
                <w:rFonts w:ascii="宋体" w:hAnsi="宋体" w:cs="宋体"/>
                <w:b/>
                <w:color w:val="FF0000"/>
                <w:szCs w:val="21"/>
              </w:rPr>
              <w:t>3</w:t>
            </w:r>
            <w:r>
              <w:rPr>
                <w:rFonts w:ascii="宋体" w:hAnsi="宋体" w:cs="宋体" w:hint="eastAsia"/>
                <w:b/>
                <w:color w:val="FF0000"/>
                <w:szCs w:val="21"/>
              </w:rPr>
              <w:t>.</w:t>
            </w:r>
            <w:r>
              <w:rPr>
                <w:rFonts w:ascii="宋体" w:hAnsi="宋体" w:cs="宋体"/>
                <w:b/>
                <w:color w:val="FF0000"/>
                <w:szCs w:val="21"/>
              </w:rPr>
              <w:t>1</w:t>
            </w:r>
            <w:r>
              <w:rPr>
                <w:rFonts w:ascii="宋体" w:hAnsi="宋体" w:cs="宋体" w:hint="eastAsia"/>
                <w:b/>
                <w:color w:val="FF0000"/>
                <w:szCs w:val="21"/>
              </w:rPr>
              <w:t>▲按SJ/T10694-2006标准检测，测试项目包括点对点检测和系统电阻均为合格。其中点对点电阻检测结果平均值应≤4.9*</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，系统电阻测试平均值≤5.3*</w:t>
            </w:r>
            <w:r>
              <w:rPr>
                <w:rFonts w:ascii="宋体" w:hAnsi="宋体" w:cs="宋体" w:hint="eastAsia"/>
                <w:b/>
                <w:color w:val="FF0000"/>
                <w:kern w:val="0"/>
                <w:szCs w:val="21"/>
                <w:shd w:val="clear" w:color="auto" w:fill="FFFFFF"/>
              </w:rPr>
              <w:t>10</w:t>
            </w:r>
            <w:r>
              <w:rPr>
                <w:rFonts w:ascii="宋体" w:hAnsi="宋体" w:cs="宋体" w:hint="eastAsia"/>
                <w:b/>
                <w:color w:val="FF0000"/>
                <w:kern w:val="0"/>
                <w:szCs w:val="21"/>
                <w:shd w:val="clear" w:color="auto" w:fill="FFFFFF"/>
                <w:vertAlign w:val="superscript"/>
              </w:rPr>
              <w:t>6</w:t>
            </w:r>
            <w:r>
              <w:rPr>
                <w:rFonts w:ascii="宋体" w:hAnsi="宋体" w:cs="宋体" w:hint="eastAsia"/>
                <w:b/>
                <w:color w:val="FF0000"/>
                <w:kern w:val="0"/>
                <w:szCs w:val="21"/>
                <w:shd w:val="clear" w:color="auto" w:fill="FFFFFF"/>
              </w:rPr>
              <w:t>Ω</w:t>
            </w:r>
            <w:r>
              <w:rPr>
                <w:rFonts w:ascii="宋体" w:hAnsi="宋体" w:cs="宋体" w:hint="eastAsia"/>
                <w:b/>
                <w:color w:val="FF0000"/>
                <w:szCs w:val="21"/>
              </w:rPr>
              <w:t>。提供20</w:t>
            </w:r>
            <w:r>
              <w:rPr>
                <w:rFonts w:ascii="宋体" w:hAnsi="宋体" w:cs="宋体"/>
                <w:b/>
                <w:color w:val="FF0000"/>
                <w:szCs w:val="21"/>
              </w:rPr>
              <w:t>17</w:t>
            </w:r>
            <w:r>
              <w:rPr>
                <w:rFonts w:ascii="宋体" w:hAnsi="宋体" w:cs="宋体" w:hint="eastAsia"/>
                <w:b/>
                <w:color w:val="FF0000"/>
                <w:szCs w:val="21"/>
              </w:rPr>
              <w:t>年1月1日至本项目投标截止日第三方检验检测机构出具的具有CMA标识的检验（检测）报告扫描件</w:t>
            </w:r>
            <w:r>
              <w:rPr>
                <w:rFonts w:ascii="宋体" w:hAnsi="宋体" w:cs="宋体" w:hint="eastAsia"/>
                <w:b/>
                <w:bCs/>
                <w:color w:val="FF0000"/>
                <w:szCs w:val="21"/>
              </w:rPr>
              <w:t xml:space="preserve">。为保证检测报告真实性，扫描件加盖制造商公章，原件备查。 </w:t>
            </w:r>
          </w:p>
        </w:tc>
        <w:tc>
          <w:tcPr>
            <w:tcW w:w="654" w:type="pct"/>
          </w:tcPr>
          <w:p>
            <w:pPr>
              <w:rPr>
                <w:rFonts w:ascii="宋体" w:hAnsi="宋体"/>
                <w:b/>
                <w:bCs/>
                <w:color w:val="FF0000"/>
                <w:szCs w:val="21"/>
              </w:rPr>
            </w:pPr>
          </w:p>
        </w:tc>
        <w:tc>
          <w:tcPr>
            <w:tcW w:w="654" w:type="pct"/>
          </w:tcPr>
          <w:p>
            <w:pPr>
              <w:rPr>
                <w:rFonts w:ascii="宋体" w:hAnsi="宋体"/>
                <w:b/>
                <w:bCs/>
                <w:color w:val="FF0000"/>
                <w:szCs w:val="21"/>
              </w:rPr>
            </w:pPr>
          </w:p>
        </w:tc>
        <w:tc>
          <w:tcPr>
            <w:tcW w:w="654" w:type="pct"/>
          </w:tcPr>
          <w:p>
            <w:pPr>
              <w:rPr>
                <w:rFonts w:ascii="宋体" w:hAnsi="宋体"/>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 w:val="0"/>
                <w:color w:val="auto"/>
                <w:szCs w:val="21"/>
              </w:rPr>
            </w:pPr>
            <w:r>
              <w:rPr>
                <w:rFonts w:ascii="宋体" w:hAnsi="宋体" w:hint="eastAsia"/>
                <w:b w:val="0"/>
                <w:bCs/>
                <w:color w:val="auto"/>
                <w:szCs w:val="21"/>
              </w:rPr>
              <w:t>1</w:t>
            </w:r>
            <w:r>
              <w:rPr>
                <w:rFonts w:ascii="宋体" w:hAnsi="宋体" w:cs="宋体" w:hint="eastAsia"/>
                <w:b w:val="0"/>
                <w:color w:val="auto"/>
                <w:szCs w:val="21"/>
              </w:rPr>
              <w:t>.2.</w:t>
            </w:r>
            <w:r>
              <w:rPr>
                <w:rFonts w:ascii="宋体" w:hAnsi="宋体" w:cs="宋体"/>
                <w:b w:val="0"/>
                <w:color w:val="auto"/>
                <w:szCs w:val="21"/>
              </w:rPr>
              <w:t>3</w:t>
            </w:r>
            <w:r>
              <w:rPr>
                <w:rFonts w:ascii="宋体" w:hAnsi="宋体" w:cs="宋体" w:hint="eastAsia"/>
                <w:b w:val="0"/>
                <w:color w:val="auto"/>
                <w:szCs w:val="21"/>
              </w:rPr>
              <w:t>.</w:t>
            </w:r>
            <w:r>
              <w:rPr>
                <w:rFonts w:ascii="宋体" w:hAnsi="宋体" w:cs="宋体"/>
                <w:b w:val="0"/>
                <w:color w:val="auto"/>
                <w:szCs w:val="21"/>
              </w:rPr>
              <w:t>2</w:t>
            </w:r>
            <w:r>
              <w:rPr>
                <w:rFonts w:ascii="宋体" w:hAnsi="宋体" w:cs="宋体" w:hint="eastAsia"/>
                <w:b w:val="0"/>
                <w:color w:val="auto"/>
                <w:szCs w:val="21"/>
              </w:rPr>
              <w:t>▲按ASTM检测方法或NEMA检测方法，检测结果达到或优于以下结果：拉伸断裂强度横向89.3Mpa；断裂伸长率横向1%；弯曲强度横向142Mpa；压缩强度259Mpa；吸水率（23°c，24h）0.513%；弯曲弹性模量横向 14.2Gpa；线膨胀系数横向 1.2×10</w:t>
            </w:r>
            <w:r>
              <w:rPr>
                <w:rFonts w:ascii="宋体" w:hAnsi="宋体" w:cs="宋体" w:hint="eastAsia"/>
                <w:b w:val="0"/>
                <w:color w:val="auto"/>
                <w:szCs w:val="21"/>
                <w:vertAlign w:val="superscript"/>
              </w:rPr>
              <w:t>-5</w:t>
            </w:r>
            <w:r>
              <w:rPr>
                <w:rFonts w:ascii="宋体" w:hAnsi="宋体" w:cs="宋体" w:hint="eastAsia"/>
                <w:b w:val="0"/>
                <w:color w:val="auto"/>
                <w:szCs w:val="21"/>
              </w:rPr>
              <w:t>；悬臂梁无口冲击强度横向224J/m；洛氏硬度（M）107；耐高温性能表面状况无变化；耐沸水性表面无影响；表面耐磨性（500g）达到2475转；抗落球冲击性（224g）2.50m无破坏。</w:t>
            </w: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bCs/>
                <w:szCs w:val="21"/>
              </w:rPr>
            </w:pPr>
            <w:r>
              <w:rPr>
                <w:rFonts w:ascii="宋体" w:hAnsi="宋体" w:cs="宋体" w:hint="eastAsia"/>
                <w:bCs/>
                <w:szCs w:val="21"/>
              </w:rPr>
              <w:t>1.2.</w:t>
            </w:r>
            <w:r>
              <w:rPr>
                <w:rFonts w:ascii="宋体" w:hAnsi="宋体" w:cs="宋体"/>
                <w:bCs/>
                <w:szCs w:val="21"/>
              </w:rPr>
              <w:t>4</w:t>
            </w:r>
            <w:r>
              <w:rPr>
                <w:rFonts w:ascii="宋体" w:hAnsi="宋体" w:cs="宋体" w:hint="eastAsia"/>
                <w:bCs/>
                <w:szCs w:val="21"/>
              </w:rPr>
              <w:t>中央台、仪器台、边台、和水槽边台中的水槽需包含水槽台台面，需采用25mm厚一体实芯烧制实验室专用碟型陶瓷台面。见截面采用同色低温上釉，平板台面为釉料与胚体经高温一体烧结而成，表面釉面颜色和胚体颜色一致的实验室专用同色透芯陶瓷台面，台面表面耐高温、耐腐蚀、耐磨、不脱色、不变色。台面材料须符合以下技术参数及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1</w:t>
            </w:r>
            <w:r>
              <w:rPr>
                <w:rFonts w:hAnsi="宋体" w:hint="eastAsia"/>
                <w:kern w:val="0"/>
                <w:szCs w:val="21"/>
              </w:rPr>
              <w:t>★</w:t>
            </w:r>
            <w:r>
              <w:rPr>
                <w:rFonts w:hAnsi="宋体" w:hint="eastAsia"/>
                <w:b/>
                <w:color w:val="FF0000"/>
                <w:kern w:val="0"/>
                <w:szCs w:val="21"/>
              </w:rPr>
              <w:t>要求陶瓷台面</w:t>
            </w:r>
            <w:r>
              <w:rPr>
                <w:rFonts w:ascii="宋体" w:hAnsi="宋体" w:cs="宋体" w:hint="eastAsia"/>
                <w:b/>
                <w:bCs/>
                <w:color w:val="FF0000"/>
                <w:szCs w:val="21"/>
              </w:rPr>
              <w:t>巴克尔硬度检测结果不低于90HBa，并提供2</w:t>
            </w:r>
            <w:r>
              <w:rPr>
                <w:rFonts w:ascii="宋体" w:hAnsi="宋体" w:cs="宋体"/>
                <w:b/>
                <w:bCs/>
                <w:color w:val="FF0000"/>
                <w:szCs w:val="21"/>
              </w:rPr>
              <w:t>017</w:t>
            </w:r>
            <w:r>
              <w:rPr>
                <w:rFonts w:ascii="宋体" w:hAnsi="宋体" w:cs="宋体" w:hint="eastAsia"/>
                <w:b/>
                <w:bCs/>
                <w:color w:val="FF0000"/>
                <w:szCs w:val="21"/>
              </w:rPr>
              <w:t>年1月1日至本项目投标截止日第三方</w:t>
            </w:r>
            <w:r>
              <w:rPr>
                <w:rFonts w:ascii="宋体" w:hAnsi="宋体" w:cs="宋体" w:hint="eastAsia"/>
                <w:b/>
                <w:color w:val="FF0000"/>
                <w:szCs w:val="21"/>
              </w:rPr>
              <w:t>检验检测机构出具的</w:t>
            </w:r>
            <w:r>
              <w:rPr>
                <w:rFonts w:ascii="宋体" w:hAnsi="宋体" w:cs="宋体" w:hint="eastAsia"/>
                <w:b/>
                <w:bCs/>
                <w:color w:val="FF0000"/>
                <w:szCs w:val="21"/>
              </w:rPr>
              <w:t>符合上述要求的检测报告，原件备查。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2</w:t>
            </w:r>
            <w:r>
              <w:rPr>
                <w:rFonts w:ascii="宋体" w:hAnsi="宋体" w:cs="宋体" w:hint="eastAsia"/>
                <w:b/>
                <w:color w:val="FF0000"/>
                <w:szCs w:val="21"/>
              </w:rPr>
              <w:t>▲</w:t>
            </w:r>
            <w:r>
              <w:rPr>
                <w:rFonts w:ascii="宋体" w:hAnsi="宋体" w:cs="宋体" w:hint="eastAsia"/>
                <w:b/>
                <w:bCs/>
                <w:color w:val="FF0000"/>
                <w:szCs w:val="21"/>
              </w:rPr>
              <w:t>线性热膨胀系数：参照GB/T3810.8-2016，线性热膨胀系数≤4.7×10-6/℃-1。提供20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年1月1日至本项目投标截止日第三方检验检测机构出具的具有CMA标识的检验（检测）报告扫描件，扫描件加盖制造商公章，原件备查。 </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b/>
                <w:bCs/>
                <w:color w:val="FF0000"/>
                <w:szCs w:val="21"/>
              </w:rPr>
              <w:t>1.</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4</w:t>
            </w:r>
            <w:r>
              <w:rPr>
                <w:rFonts w:ascii="宋体" w:hAnsi="宋体" w:cs="宋体" w:hint="eastAsia"/>
                <w:b/>
                <w:bCs/>
                <w:color w:val="FF0000"/>
                <w:szCs w:val="21"/>
              </w:rPr>
              <w:t>.</w:t>
            </w:r>
            <w:r>
              <w:rPr>
                <w:rFonts w:ascii="宋体" w:hAnsi="宋体" w:cs="宋体"/>
                <w:b/>
                <w:bCs/>
                <w:color w:val="FF0000"/>
                <w:szCs w:val="21"/>
              </w:rPr>
              <w:t xml:space="preserve">3 </w:t>
            </w:r>
            <w:r>
              <w:rPr>
                <w:rFonts w:ascii="宋体" w:hAnsi="宋体" w:cs="宋体" w:hint="eastAsia"/>
                <w:b/>
                <w:color w:val="FF0000"/>
                <w:szCs w:val="21"/>
              </w:rPr>
              <w:t>▲</w:t>
            </w:r>
            <w:r>
              <w:rPr>
                <w:rFonts w:ascii="宋体" w:hAnsi="宋体" w:cs="宋体" w:hint="eastAsia"/>
                <w:b/>
                <w:bCs/>
                <w:color w:val="FF0000"/>
                <w:szCs w:val="21"/>
              </w:rPr>
              <w:t>SVHC高度关注物质：参照ECHA公布的SVHC清单或国内同类清单，对不少于200种高度关注物质（SVHC ）进行评估测试，检测结果为符合，并提供20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年1月1日至本项目投标截止日第三方检验检测机构出具的检验（检测）报告扫描件，扫描件加盖制造商公章，原件备查。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4</w:t>
            </w:r>
            <w:r>
              <w:rPr>
                <w:rFonts w:ascii="宋体" w:hAnsi="宋体" w:cs="宋体" w:hint="eastAsia"/>
                <w:szCs w:val="21"/>
              </w:rPr>
              <w:t>耐人工气候老化：按照GB/T</w:t>
            </w:r>
            <w:r>
              <w:rPr>
                <w:rFonts w:ascii="宋体" w:hAnsi="宋体" w:cs="宋体"/>
                <w:szCs w:val="21"/>
              </w:rPr>
              <w:t>16422.2-2014</w:t>
            </w:r>
            <w:r>
              <w:rPr>
                <w:rFonts w:ascii="宋体" w:hAnsi="宋体" w:cs="宋体" w:hint="eastAsia"/>
                <w:szCs w:val="21"/>
              </w:rPr>
              <w:t>要求，耐人工气候老化检测结果为表面外观无明显可视变化。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5</w:t>
            </w:r>
            <w:r>
              <w:rPr>
                <w:rFonts w:ascii="宋体" w:hAnsi="宋体" w:cs="宋体" w:hint="eastAsia"/>
                <w:szCs w:val="21"/>
              </w:rPr>
              <w:t>▲承重安全性能：按照</w:t>
            </w:r>
            <w:r>
              <w:rPr>
                <w:rFonts w:ascii="宋体" w:hAnsi="宋体" w:cs="宋体"/>
                <w:szCs w:val="21"/>
              </w:rPr>
              <w:t>T/CIQA 10-2020</w:t>
            </w:r>
            <w:r>
              <w:rPr>
                <w:rFonts w:ascii="宋体" w:hAnsi="宋体" w:cs="宋体" w:hint="eastAsia"/>
                <w:szCs w:val="21"/>
              </w:rPr>
              <w:t>要求，产品表面加载≥780kg,样品无损坏。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.2.4.6</w:t>
            </w:r>
            <w:r>
              <w:rPr>
                <w:rFonts w:ascii="宋体" w:hAnsi="宋体" w:cs="宋体" w:hint="eastAsia"/>
                <w:b w:val="0"/>
                <w:color w:val="auto"/>
                <w:szCs w:val="21"/>
              </w:rPr>
              <w:t>▲</w:t>
            </w:r>
            <w:r>
              <w:rPr>
                <w:rFonts w:ascii="宋体" w:hAnsi="宋体" w:cs="宋体" w:hint="eastAsia"/>
                <w:szCs w:val="21"/>
              </w:rPr>
              <w:t>台面检测标准，台面至少抗“47”种以上化学品且检测结果为 0 级（无可见变化） 的检测，需满足 SEFA3-2010 或T/CIQA</w:t>
            </w:r>
            <w:r>
              <w:rPr>
                <w:rFonts w:ascii="宋体" w:hAnsi="宋体" w:cs="宋体"/>
                <w:szCs w:val="21"/>
              </w:rPr>
              <w:t>10-2020</w:t>
            </w:r>
            <w:r>
              <w:rPr>
                <w:rFonts w:ascii="宋体" w:hAnsi="宋体" w:cs="宋体" w:hint="eastAsia"/>
                <w:szCs w:val="21"/>
              </w:rPr>
              <w:t>要求</w:t>
            </w:r>
            <w:r>
              <w:rPr>
                <w:rFonts w:ascii="宋体" w:hAnsi="宋体" w:cs="宋体" w:hint="eastAsia"/>
                <w:b w:val="0"/>
                <w:color w:val="auto"/>
                <w:szCs w:val="21"/>
              </w:rPr>
              <w:t>。</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color w:val="000000"/>
                <w:szCs w:val="21"/>
              </w:rPr>
            </w:pPr>
            <w:r>
              <w:rPr>
                <w:rFonts w:ascii="宋体" w:hAnsi="宋体" w:cs="宋体" w:hint="eastAsia"/>
                <w:szCs w:val="21"/>
              </w:rPr>
              <w:t>1.2.</w:t>
            </w:r>
            <w:r>
              <w:rPr>
                <w:rFonts w:ascii="宋体" w:hAnsi="宋体" w:cs="宋体"/>
                <w:szCs w:val="21"/>
              </w:rPr>
              <w:t>5</w:t>
            </w:r>
            <w:r>
              <w:rPr>
                <w:rFonts w:ascii="宋体" w:hAnsi="宋体" w:cs="宋体" w:hint="eastAsia"/>
                <w:szCs w:val="21"/>
              </w:rPr>
              <w:t>▲抗酸碱性能：陶瓷台面可抵御（除氢氟酸等同类型化学试剂）强酸强碱及有机溶剂腐蚀。至少对含有98%硫酸、65%硝酸、二氧乙酸、正丁醇、三氯甲烷、四氢呋喃等在内的多种化学试剂的测试表面无明显变化。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szCs w:val="21"/>
              </w:rPr>
              <w:t>1.2.</w:t>
            </w:r>
            <w:r>
              <w:rPr>
                <w:rFonts w:ascii="宋体" w:hAnsi="宋体" w:cs="宋体"/>
                <w:szCs w:val="21"/>
              </w:rPr>
              <w:t>6</w:t>
            </w:r>
            <w:r>
              <w:rPr>
                <w:rFonts w:ascii="宋体" w:hAnsi="宋体" w:cs="宋体" w:hint="eastAsia"/>
                <w:szCs w:val="21"/>
              </w:rPr>
              <w:t>▲物理性能：面抗冲击性能良好，钢球在≥750mm的高度进行冲击后，板面无破损，且压痕直径不大于10mm；陶瓷台面的弯曲弹性模量值≥57000MPa；陶瓷台面的破坏强度≥13900N。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szCs w:val="21"/>
              </w:rPr>
              <w:t>1.2.</w:t>
            </w:r>
            <w:r>
              <w:rPr>
                <w:rFonts w:ascii="宋体" w:hAnsi="宋体" w:cs="宋体"/>
                <w:szCs w:val="21"/>
              </w:rPr>
              <w:t>7</w:t>
            </w:r>
            <w:r>
              <w:rPr>
                <w:rFonts w:ascii="宋体" w:hAnsi="宋体" w:cs="宋体" w:hint="eastAsia"/>
                <w:szCs w:val="21"/>
              </w:rPr>
              <w:t>陶瓷台面表面加载不小于500kg重量, 高于80小时，检测结果表面无破损变形。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szCs w:val="21"/>
              </w:rPr>
            </w:pPr>
            <w:r>
              <w:rPr>
                <w:rFonts w:ascii="宋体" w:hAnsi="宋体" w:cs="宋体" w:hint="eastAsia"/>
                <w:szCs w:val="21"/>
              </w:rPr>
              <w:t>1.2.</w:t>
            </w:r>
            <w:r>
              <w:rPr>
                <w:rFonts w:ascii="宋体" w:hAnsi="宋体" w:cs="宋体"/>
                <w:szCs w:val="21"/>
              </w:rPr>
              <w:t>8</w:t>
            </w:r>
            <w:r>
              <w:rPr>
                <w:rFonts w:ascii="宋体" w:hAnsi="宋体" w:cs="宋体" w:hint="eastAsia"/>
                <w:szCs w:val="21"/>
              </w:rPr>
              <w:t>光泽度：按照GB/T9754-2007标准,光泽度≤21；</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 xml:space="preserve">9 </w:t>
            </w:r>
            <w:r>
              <w:rPr>
                <w:rFonts w:ascii="宋体" w:hAnsi="宋体" w:cs="宋体" w:hint="eastAsia"/>
                <w:szCs w:val="21"/>
              </w:rPr>
              <w:t>实验台柜五金配件铰链：采用可开关角度135度，带液压缓冲铰链，非焊接方式将铰链和柜体及柜门固定，开合时须无噪音；</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10</w:t>
            </w:r>
            <w:r>
              <w:rPr>
                <w:rFonts w:ascii="宋体" w:hAnsi="宋体" w:cs="宋体" w:hint="eastAsia"/>
                <w:szCs w:val="21"/>
              </w:rPr>
              <w:t>实验台柜五金配件滑轨：采用三节式钢制滑轨，表面经烤漆处理，为双片组合式并有止滑装置，运动负重：≥25kg（≥100000次）；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11</w:t>
            </w:r>
            <w:r>
              <w:rPr>
                <w:rFonts w:ascii="宋体" w:hAnsi="宋体" w:cs="宋体" w:hint="eastAsia"/>
                <w:szCs w:val="21"/>
              </w:rPr>
              <w:t>实验台柜五金配件拉手：采用304#160不锈钢C型拉手或一字型隐藏拉手；</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w:t>
            </w:r>
            <w:r>
              <w:rPr>
                <w:rFonts w:ascii="宋体" w:hAnsi="宋体" w:cs="宋体"/>
                <w:szCs w:val="21"/>
              </w:rPr>
              <w:t>12</w:t>
            </w:r>
            <w:r>
              <w:rPr>
                <w:rFonts w:ascii="宋体" w:hAnsi="宋体" w:cs="宋体" w:hint="eastAsia"/>
                <w:szCs w:val="21"/>
              </w:rPr>
              <w:t>实验台柜五金配件地脚：采用抗氧化橡胶地脚，具有防水及调节水平的功能，可调节高度30-50mm；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ign w:val="center"/>
          </w:tcPr>
          <w:p>
            <w:pPr>
              <w:jc w:val="center"/>
              <w:rPr>
                <w:color w:val="000000"/>
                <w:szCs w:val="21"/>
              </w:rPr>
            </w:pPr>
          </w:p>
        </w:tc>
        <w:tc>
          <w:tcPr>
            <w:tcW w:w="956" w:type="pct"/>
            <w:vMerge/>
            <w:vAlign w:val="center"/>
          </w:tcPr>
          <w:p>
            <w:pPr>
              <w:jc w:val="center"/>
              <w:rPr>
                <w:color w:val="000000"/>
                <w:szCs w:val="21"/>
              </w:rPr>
            </w:pPr>
          </w:p>
        </w:tc>
        <w:tc>
          <w:tcPr>
            <w:tcW w:w="1836" w:type="pct"/>
          </w:tcPr>
          <w:p>
            <w:pPr>
              <w:rPr>
                <w:rFonts w:ascii="宋体" w:hAnsi="宋体" w:cs="宋体" w:hint="eastAsia"/>
                <w:szCs w:val="21"/>
              </w:rPr>
            </w:pPr>
            <w:r>
              <w:rPr>
                <w:rFonts w:ascii="宋体" w:hAnsi="宋体" w:cs="宋体"/>
                <w:szCs w:val="21"/>
              </w:rPr>
              <w:t>1.2.13</w:t>
            </w:r>
            <w:r>
              <w:rPr>
                <w:rFonts w:ascii="宋体" w:hAnsi="宋体" w:cs="宋体" w:hint="eastAsia"/>
                <w:szCs w:val="21"/>
              </w:rPr>
              <w:t>实验台柜五金配件线槽：钢制材质、外形剖面为梯形。</w:t>
            </w:r>
          </w:p>
        </w:tc>
        <w:tc>
          <w:tcPr>
            <w:tcW w:w="654" w:type="pct"/>
          </w:tcPr>
          <w:p>
            <w:pPr>
              <w:rPr>
                <w:rFonts w:ascii="宋体" w:hAnsi="宋体" w:cs="宋体"/>
                <w:szCs w:val="21"/>
              </w:rPr>
            </w:pPr>
          </w:p>
        </w:tc>
        <w:tc>
          <w:tcPr>
            <w:tcW w:w="654" w:type="pct"/>
          </w:tcPr>
          <w:p>
            <w:pPr>
              <w:rPr>
                <w:rFonts w:ascii="宋体" w:hAnsi="宋体" w:cs="宋体"/>
                <w:szCs w:val="21"/>
              </w:rPr>
            </w:pPr>
          </w:p>
        </w:tc>
        <w:tc>
          <w:tcPr>
            <w:tcW w:w="654" w:type="pct"/>
          </w:tcPr>
          <w:p>
            <w:pPr>
              <w:rPr>
                <w:rFonts w:ascii="宋体" w:hAnsi="宋体" w:cs="宋体"/>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vAlign w:val="center"/>
          </w:tcPr>
          <w:p>
            <w:pPr>
              <w:jc w:val="center"/>
              <w:rPr>
                <w:color w:val="000000"/>
                <w:szCs w:val="21"/>
              </w:rPr>
            </w:pPr>
            <w:r>
              <w:rPr>
                <w:rFonts w:hint="eastAsia"/>
                <w:color w:val="000000"/>
                <w:szCs w:val="21"/>
              </w:rPr>
              <w:t>2</w:t>
            </w:r>
          </w:p>
        </w:tc>
        <w:tc>
          <w:tcPr>
            <w:tcW w:w="956" w:type="pct"/>
            <w:vMerge w:val="restart"/>
            <w:vAlign w:val="center"/>
          </w:tcPr>
          <w:p>
            <w:pPr>
              <w:jc w:val="center"/>
              <w:rPr>
                <w:color w:val="000000"/>
                <w:szCs w:val="21"/>
              </w:rPr>
            </w:pPr>
            <w:r>
              <w:rPr>
                <w:rFonts w:hint="eastAsia"/>
                <w:color w:val="000000"/>
                <w:szCs w:val="21"/>
              </w:rPr>
              <w:t>高温台</w:t>
            </w:r>
          </w:p>
        </w:tc>
        <w:tc>
          <w:tcPr>
            <w:tcW w:w="1836" w:type="pct"/>
          </w:tcPr>
          <w:p>
            <w:pPr>
              <w:rPr>
                <w:color w:val="000000"/>
                <w:szCs w:val="21"/>
              </w:rPr>
            </w:pPr>
            <w:r>
              <w:rPr>
                <w:rFonts w:ascii="宋体" w:hAnsi="宋体" w:cs="宋体" w:hint="eastAsia"/>
                <w:szCs w:val="21"/>
              </w:rPr>
              <w:t>2.1全钢落地结构，30mm厚大理石台面，不带柜体，</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color w:val="000000"/>
                <w:szCs w:val="21"/>
              </w:rPr>
            </w:pPr>
            <w:r>
              <w:rPr>
                <w:rFonts w:ascii="宋体" w:hAnsi="宋体" w:cs="宋体" w:hint="eastAsia"/>
                <w:szCs w:val="21"/>
              </w:rPr>
              <w:t>2.2配实验室专用插座盒，每1.5米配置3个16A插座</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22"/>
        </w:trPr>
        <w:tc>
          <w:tcPr>
            <w:tcW w:w="243" w:type="pct"/>
            <w:vMerge w:val="restart"/>
          </w:tcPr>
          <w:p>
            <w:pPr>
              <w:jc w:val="center"/>
              <w:rPr>
                <w:color w:val="000000"/>
                <w:szCs w:val="21"/>
              </w:rPr>
            </w:pPr>
            <w:r>
              <w:rPr>
                <w:rFonts w:hint="eastAsia"/>
                <w:color w:val="000000"/>
                <w:szCs w:val="21"/>
              </w:rPr>
              <w:t>3</w:t>
            </w:r>
          </w:p>
        </w:tc>
        <w:tc>
          <w:tcPr>
            <w:tcW w:w="956" w:type="pct"/>
            <w:vMerge w:val="restart"/>
          </w:tcPr>
          <w:p>
            <w:pPr>
              <w:jc w:val="center"/>
              <w:rPr>
                <w:color w:val="000000"/>
                <w:szCs w:val="21"/>
              </w:rPr>
            </w:pPr>
            <w:r>
              <w:rPr>
                <w:rFonts w:hint="eastAsia"/>
                <w:color w:val="000000"/>
                <w:szCs w:val="21"/>
              </w:rPr>
              <w:t>不锈钢操作台</w:t>
            </w:r>
          </w:p>
        </w:tc>
        <w:tc>
          <w:tcPr>
            <w:tcW w:w="1836" w:type="pct"/>
          </w:tcPr>
          <w:p>
            <w:pPr>
              <w:rPr>
                <w:color w:val="000000"/>
                <w:szCs w:val="21"/>
              </w:rPr>
            </w:pPr>
            <w:r>
              <w:rPr>
                <w:rFonts w:ascii="宋体" w:hAnsi="宋体" w:cs="宋体" w:hint="eastAsia"/>
                <w:szCs w:val="21"/>
              </w:rPr>
              <w:t>3.1不锈钢工作台采用不锈钢材质，具有耐腐蚀，防酸，防碱，防尘，可以防止细菌滋生等性能。</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3.2▲ 台面：采用≥1.5mm厚的316不锈钢经剪切、冲压、折弯、焊接、装配而成。表面拉丝处理。</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3.3▲ 框架：40*60采用≥1.5mm厚的优质316不锈钢经剪切、冲压、折弯、焊接、装配而成。表面拉丝处理。耐酸、碱、防潮、防锈，承重性能好，使用寿命长，美观大方；</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3.4▲ 梁：40*60*1.5mm采用≥1.5mm厚的优质316不锈钢经剪切、冲压、折弯、焊接、装配而成。表面拉丝处理。耐酸碱腐蚀、防潮、防锈，承重性能好，使用寿命长。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3.5台脚要求：为316#不锈钢管并带可调脚，承载性好，牢固边角打磨光滑无毛刺。</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4</w:t>
            </w:r>
          </w:p>
        </w:tc>
        <w:tc>
          <w:tcPr>
            <w:tcW w:w="956" w:type="pct"/>
            <w:vMerge w:val="restart"/>
          </w:tcPr>
          <w:p>
            <w:pPr>
              <w:jc w:val="center"/>
              <w:rPr>
                <w:color w:val="000000"/>
                <w:szCs w:val="21"/>
              </w:rPr>
            </w:pPr>
            <w:r>
              <w:rPr>
                <w:rFonts w:hint="eastAsia"/>
                <w:color w:val="000000"/>
                <w:szCs w:val="21"/>
              </w:rPr>
              <w:t>全钢试剂架</w:t>
            </w:r>
          </w:p>
        </w:tc>
        <w:tc>
          <w:tcPr>
            <w:tcW w:w="1836" w:type="pct"/>
          </w:tcPr>
          <w:p>
            <w:pPr>
              <w:rPr>
                <w:rFonts w:ascii="宋体" w:hAnsi="宋体" w:cs="宋体"/>
                <w:szCs w:val="21"/>
              </w:rPr>
            </w:pPr>
            <w:r>
              <w:rPr>
                <w:rFonts w:ascii="宋体" w:hAnsi="宋体" w:cs="宋体" w:hint="eastAsia"/>
                <w:szCs w:val="21"/>
              </w:rPr>
              <w:t>4.1主体：主立柱采用≥1.0mm钢板经数控加工，焊接、酸洗磷化处理后喷涂环氧树脂粉末高温烘烤固化，表面需附着力高、硬度耐腐蚀性极强。</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4.2试剂架立柱之间间隔1.1米，插座安装在立柱上。</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22"/>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4.3挂件托板：采用≥1.5mm冷轧钢板经剪裁、定位打孔折弯后成型，酸洗磷化处理后喷涂环氧树脂粉末高温烘烤固化。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4.4层板：层板采用≥1.0mm厚钢质层板。层高可以任意自由调节。层数3层（具体按照实际要求配置）。</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4.5防落架：采用≥1.0mm优质铝合金椭圆型材，经酸洗磷化处理后喷涂环氧树脂粉末高温烘烤固化而成，形成通体防落架，有效防止试剂跌落，保护实验室工作人员人身安全。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5</w:t>
            </w:r>
          </w:p>
        </w:tc>
        <w:tc>
          <w:tcPr>
            <w:tcW w:w="956" w:type="pct"/>
            <w:vMerge w:val="restart"/>
          </w:tcPr>
          <w:p>
            <w:pPr>
              <w:jc w:val="center"/>
              <w:rPr>
                <w:color w:val="000000"/>
                <w:szCs w:val="21"/>
              </w:rPr>
            </w:pPr>
            <w:r>
              <w:rPr>
                <w:rFonts w:hint="eastAsia"/>
                <w:color w:val="000000"/>
                <w:szCs w:val="21"/>
              </w:rPr>
              <w:t>功能柱</w:t>
            </w:r>
          </w:p>
        </w:tc>
        <w:tc>
          <w:tcPr>
            <w:tcW w:w="1836" w:type="pct"/>
          </w:tcPr>
          <w:p>
            <w:pPr>
              <w:rPr>
                <w:rFonts w:ascii="宋体" w:hAnsi="宋体" w:cs="宋体"/>
                <w:szCs w:val="21"/>
              </w:rPr>
            </w:pPr>
            <w:r>
              <w:rPr>
                <w:rFonts w:ascii="宋体" w:hAnsi="宋体" w:cs="宋体" w:hint="eastAsia"/>
                <w:szCs w:val="21"/>
              </w:rPr>
              <w:t>5.1材料规格要求：采用厚≥1.0mm轧钢板，经过磷化处理，再经乳白色EPOXY涂层厚度为90微米，最后经高温烘烤制作而成；</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5.2立柱上的面板为分段式活动面板，为后面安装水、电、气等管路提供方便；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5.3▲按使用要求：功能柱上方需要根据实际需求配置安装电箱，部分功能柱根据实际需求可调整规格尺寸；</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5.4▲按使用要求：台柜等家具所需水、电按照现场预留需接通至台柜，安装到位。</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6</w:t>
            </w:r>
          </w:p>
        </w:tc>
        <w:tc>
          <w:tcPr>
            <w:tcW w:w="956" w:type="pct"/>
            <w:vMerge w:val="restart"/>
          </w:tcPr>
          <w:p>
            <w:pPr>
              <w:jc w:val="center"/>
              <w:rPr>
                <w:color w:val="000000"/>
                <w:szCs w:val="21"/>
              </w:rPr>
            </w:pPr>
            <w:r>
              <w:rPr>
                <w:rFonts w:hint="eastAsia"/>
                <w:color w:val="000000"/>
                <w:szCs w:val="21"/>
              </w:rPr>
              <w:t>桌上型洗眼器</w:t>
            </w:r>
          </w:p>
        </w:tc>
        <w:tc>
          <w:tcPr>
            <w:tcW w:w="1836" w:type="pct"/>
          </w:tcPr>
          <w:p>
            <w:pPr>
              <w:rPr>
                <w:rFonts w:ascii="宋体" w:hAnsi="宋体" w:cs="宋体"/>
                <w:szCs w:val="21"/>
              </w:rPr>
            </w:pPr>
            <w:r>
              <w:rPr>
                <w:rFonts w:ascii="宋体" w:hAnsi="宋体" w:cs="宋体" w:hint="eastAsia"/>
                <w:szCs w:val="21"/>
              </w:rPr>
              <w:t>6.1主体材质：加厚铜质，耐腐蚀；</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6.2喷头：内置不锈钢过滤网，可过滤水中杂质；采用高效雾状扩散式出水设计，防止冲伤眼睛；</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6.3防尘盖：配置于出水口，PP材质，使用时能自动被水冲开；</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6.4供水软管：不锈钢波纹管，长度≥1500mm；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6.5最大工作压力： 6 BAR；</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6.6流速：单口≥ 6L /分钟； 双口≥10L/分钟；</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color w:val="auto"/>
                <w:szCs w:val="21"/>
              </w:rPr>
            </w:pPr>
            <w:r>
              <w:rPr>
                <w:rFonts w:ascii="宋体" w:hAnsi="宋体" w:cs="宋体" w:hint="eastAsia"/>
                <w:b w:val="0"/>
                <w:color w:val="auto"/>
                <w:szCs w:val="21"/>
              </w:rPr>
              <w:t>6.7▲洗眼器一般要求(密封、尺寸、流量)符合GB/T 38144.1- 2019标准的要求。</w:t>
            </w: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7</w:t>
            </w:r>
          </w:p>
        </w:tc>
        <w:tc>
          <w:tcPr>
            <w:tcW w:w="956" w:type="pct"/>
            <w:vMerge w:val="restart"/>
          </w:tcPr>
          <w:p>
            <w:pPr>
              <w:jc w:val="center"/>
              <w:rPr>
                <w:color w:val="000000"/>
                <w:szCs w:val="21"/>
              </w:rPr>
            </w:pPr>
            <w:r>
              <w:rPr>
                <w:rFonts w:hint="eastAsia"/>
                <w:color w:val="000000"/>
                <w:szCs w:val="21"/>
              </w:rPr>
              <w:t>水龙头</w:t>
            </w:r>
          </w:p>
        </w:tc>
        <w:tc>
          <w:tcPr>
            <w:tcW w:w="1836" w:type="pct"/>
          </w:tcPr>
          <w:p>
            <w:pPr>
              <w:rPr>
                <w:rFonts w:ascii="宋体" w:hAnsi="宋体" w:cs="宋体"/>
                <w:b/>
                <w:color w:val="FF0000"/>
                <w:szCs w:val="21"/>
              </w:rPr>
            </w:pPr>
            <w:r>
              <w:rPr>
                <w:rFonts w:ascii="宋体" w:hAnsi="宋体" w:cs="宋体" w:hint="eastAsia"/>
                <w:b/>
                <w:color w:val="000000"/>
                <w:szCs w:val="21"/>
              </w:rPr>
              <w:t>7.1</w:t>
            </w:r>
            <w:r>
              <w:rPr>
                <w:rFonts w:ascii="宋体" w:hAnsi="宋体" w:cs="宋体" w:hint="eastAsia"/>
                <w:color w:val="000000"/>
                <w:szCs w:val="21"/>
              </w:rPr>
              <w:t>主体加厚铜质，涂层经环氧树脂粉末涂料热固处理，防紫外线辐射，耐酸碱、耐腐蚀。</w:t>
            </w:r>
          </w:p>
        </w:tc>
        <w:tc>
          <w:tcPr>
            <w:tcW w:w="654" w:type="pct"/>
          </w:tcPr>
          <w:p>
            <w:pPr>
              <w:rPr>
                <w:rFonts w:ascii="宋体" w:hAnsi="宋体" w:cs="宋体" w:hint="eastAsia"/>
                <w:b/>
                <w:color w:val="000000"/>
                <w:szCs w:val="21"/>
              </w:rPr>
            </w:pPr>
          </w:p>
        </w:tc>
        <w:tc>
          <w:tcPr>
            <w:tcW w:w="654" w:type="pct"/>
          </w:tcPr>
          <w:p>
            <w:pPr>
              <w:rPr>
                <w:rFonts w:ascii="宋体" w:hAnsi="宋体" w:cs="宋体" w:hint="eastAsia"/>
                <w:b/>
                <w:color w:val="000000"/>
                <w:szCs w:val="21"/>
              </w:rPr>
            </w:pPr>
          </w:p>
        </w:tc>
        <w:tc>
          <w:tcPr>
            <w:tcW w:w="654" w:type="pct"/>
          </w:tcPr>
          <w:p>
            <w:pPr>
              <w:rPr>
                <w:rFonts w:ascii="宋体" w:hAnsi="宋体" w:cs="宋体" w:hint="eastAsia"/>
                <w:b/>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color w:val="FF0000"/>
                <w:szCs w:val="21"/>
              </w:rPr>
            </w:pPr>
            <w:r>
              <w:rPr>
                <w:rFonts w:ascii="宋体" w:hAnsi="宋体" w:cs="宋体" w:hint="eastAsia"/>
                <w:b/>
                <w:color w:val="FF0000"/>
                <w:szCs w:val="21"/>
              </w:rPr>
              <w:t>7</w:t>
            </w:r>
            <w:r>
              <w:rPr>
                <w:rFonts w:ascii="宋体" w:hAnsi="宋体" w:cs="宋体"/>
                <w:b/>
                <w:color w:val="FF0000"/>
                <w:szCs w:val="21"/>
              </w:rPr>
              <w:t>.1.1</w:t>
            </w:r>
            <w:r>
              <w:rPr>
                <w:rFonts w:hAnsi="宋体" w:hint="eastAsia"/>
                <w:b/>
                <w:color w:val="FF0000"/>
                <w:kern w:val="0"/>
                <w:szCs w:val="21"/>
                <w:highlight w:val="yellow"/>
              </w:rPr>
              <w:t>★</w:t>
            </w:r>
            <w:r>
              <w:rPr>
                <w:rFonts w:ascii="宋体" w:hAnsi="宋体" w:cs="宋体" w:hint="eastAsia"/>
                <w:b/>
                <w:color w:val="FF0000"/>
                <w:szCs w:val="21"/>
              </w:rPr>
              <w:t>节水性能良好，需提供所投产品对应型号的处于有效期之内的中国节能产品认证证书扫描件或提供该产品型号在中国政府采购网（http://www.ccgp.gov.cn/）或全国认证认可信息公共服务平台（http://cx.cnca.cn//）上的节能产品查询截图。</w:t>
            </w: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Cs/>
                <w:szCs w:val="21"/>
              </w:rPr>
            </w:pPr>
            <w:r>
              <w:rPr>
                <w:rFonts w:ascii="宋体" w:hAnsi="宋体" w:cs="宋体" w:hint="eastAsia"/>
                <w:bCs/>
                <w:szCs w:val="21"/>
              </w:rPr>
              <w:t>7.</w:t>
            </w:r>
            <w:r>
              <w:rPr>
                <w:rFonts w:ascii="宋体" w:hAnsi="宋体" w:cs="宋体"/>
                <w:bCs/>
                <w:szCs w:val="21"/>
              </w:rPr>
              <w:t xml:space="preserve">2 </w:t>
            </w:r>
            <w:r>
              <w:rPr>
                <w:rFonts w:ascii="宋体" w:hAnsi="宋体" w:cs="宋体" w:hint="eastAsia"/>
                <w:bCs/>
                <w:szCs w:val="21"/>
              </w:rPr>
              <w:t>水龙头材料须符合以下技术参数及要求：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1</w:t>
            </w:r>
            <w:r>
              <w:rPr>
                <w:rFonts w:hAnsi="宋体" w:hint="eastAsia"/>
                <w:b/>
                <w:bCs/>
                <w:color w:val="FF0000"/>
                <w:kern w:val="0"/>
                <w:szCs w:val="21"/>
                <w:highlight w:val="yellow"/>
              </w:rPr>
              <w:t>★</w:t>
            </w:r>
            <w:r>
              <w:rPr>
                <w:rFonts w:ascii="宋体" w:hAnsi="宋体" w:cs="宋体" w:hint="eastAsia"/>
                <w:b/>
                <w:bCs/>
                <w:color w:val="FF0000"/>
                <w:szCs w:val="21"/>
              </w:rPr>
              <w:t>水龙头配套软管：根据GB/T23448-2019 进行（1）抗弯曲性（2）耐压性（3）密封性检测，提供20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 w:val="0"/>
                <w:bCs/>
                <w:szCs w:val="21"/>
              </w:rPr>
            </w:pPr>
            <w:r>
              <w:rPr>
                <w:rFonts w:ascii="宋体" w:hAnsi="宋体" w:cs="宋体" w:hint="eastAsia"/>
                <w:b w:val="0"/>
                <w:bCs/>
                <w:szCs w:val="21"/>
              </w:rPr>
              <w:t>7.</w:t>
            </w:r>
            <w:r>
              <w:rPr>
                <w:rFonts w:ascii="宋体" w:hAnsi="宋体" w:cs="宋体"/>
                <w:b w:val="0"/>
                <w:bCs/>
                <w:szCs w:val="21"/>
              </w:rPr>
              <w:t>2</w:t>
            </w:r>
            <w:r>
              <w:rPr>
                <w:rFonts w:ascii="宋体" w:hAnsi="宋体" w:cs="宋体" w:hint="eastAsia"/>
                <w:b w:val="0"/>
                <w:bCs/>
                <w:szCs w:val="21"/>
              </w:rPr>
              <w:t>.</w:t>
            </w:r>
            <w:r>
              <w:rPr>
                <w:rFonts w:ascii="宋体" w:hAnsi="宋体" w:cs="宋体"/>
                <w:b w:val="0"/>
                <w:bCs/>
                <w:szCs w:val="21"/>
              </w:rPr>
              <w:t>2</w:t>
            </w:r>
            <w:r>
              <w:rPr>
                <w:rFonts w:ascii="宋体" w:hAnsi="宋体" w:cs="宋体" w:hint="eastAsia"/>
                <w:b w:val="0"/>
                <w:bCs/>
                <w:color w:val="auto"/>
                <w:szCs w:val="21"/>
              </w:rPr>
              <w:t>中性盐雾试验：依据GB/T 10125-2021检测标准，检测结果值要求试样涂层划道处无腐蚀。</w:t>
            </w:r>
          </w:p>
        </w:tc>
        <w:tc>
          <w:tcPr>
            <w:tcW w:w="654" w:type="pct"/>
          </w:tcPr>
          <w:p>
            <w:pPr>
              <w:rPr>
                <w:rFonts w:ascii="宋体" w:hAnsi="宋体" w:cs="宋体" w:hint="eastAsia"/>
                <w:b w:val="0"/>
                <w:bCs/>
                <w:szCs w:val="21"/>
              </w:rPr>
            </w:pPr>
          </w:p>
        </w:tc>
        <w:tc>
          <w:tcPr>
            <w:tcW w:w="654" w:type="pct"/>
          </w:tcPr>
          <w:p>
            <w:pPr>
              <w:rPr>
                <w:rFonts w:ascii="宋体" w:hAnsi="宋体" w:cs="宋体" w:hint="eastAsia"/>
                <w:b w:val="0"/>
                <w:bCs/>
                <w:szCs w:val="21"/>
              </w:rPr>
            </w:pPr>
          </w:p>
        </w:tc>
        <w:tc>
          <w:tcPr>
            <w:tcW w:w="654" w:type="pct"/>
          </w:tcPr>
          <w:p>
            <w:pPr>
              <w:rPr>
                <w:rFonts w:ascii="宋体" w:hAnsi="宋体" w:cs="宋体" w:hint="eastAsia"/>
                <w:b w:val="0"/>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b/>
                <w:bCs/>
                <w:color w:val="000000"/>
                <w:szCs w:val="21"/>
              </w:rPr>
            </w:pPr>
          </w:p>
        </w:tc>
        <w:tc>
          <w:tcPr>
            <w:tcW w:w="1836" w:type="pct"/>
          </w:tcPr>
          <w:p>
            <w:pPr>
              <w:rPr>
                <w:rFonts w:ascii="宋体" w:hAnsi="宋体" w:cs="宋体" w:hint="eastAsia"/>
                <w:b/>
                <w:bCs/>
                <w:szCs w:val="21"/>
              </w:rPr>
            </w:pPr>
            <w:r>
              <w:rPr>
                <w:rFonts w:ascii="宋体" w:hAnsi="宋体" w:cs="宋体" w:hint="eastAsia"/>
                <w:b/>
                <w:bCs/>
                <w:color w:val="FF0000"/>
                <w:szCs w:val="21"/>
              </w:rPr>
              <w:t>7.</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附着力：依据GB/T 9286-2021检测标准，附着力检测结果值要求达到0级，提供20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hint="eastAsia"/>
                <w:szCs w:val="21"/>
              </w:rPr>
              <w:t>开关采用精密陶瓷阀芯可90度旋转、耐磨、耐腐蚀，开关使用寿命测试可达60万次，静态最大耐压2.5Mpa，鹅颈出水管可360度旋转，旋钮把手高密度PP（HDPP）；</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产品外接非密封管螺纹符合GB/T 7307的要求，其中外螺纹不低于GB/T 7307的B级精度；</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5</w:t>
            </w:r>
            <w:r>
              <w:rPr>
                <w:rFonts w:ascii="宋体" w:hAnsi="宋体" w:cs="宋体" w:hint="eastAsia"/>
                <w:szCs w:val="21"/>
              </w:rPr>
              <w:t>向金属管螺纹施加61N·m的扭力矩，保持（60±5）s，螺纹无裂纹、无损坏；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6</w:t>
            </w:r>
            <w:r>
              <w:rPr>
                <w:rFonts w:ascii="宋体" w:hAnsi="宋体" w:cs="宋体" w:hint="eastAsia"/>
                <w:szCs w:val="21"/>
              </w:rPr>
              <w:t>装配好的手柄应平稳，轻便、无卡阻。手柄与阀杆连接牢固，不得松动。水嘴手柄或手轮在开启或关闭方向上施加（6±0.2）N.m扭力矩后，无可见变形或损坏；水嘴手柄或手轮承受45N的轴向拉力，保持（60±5）s，无松动现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7</w:t>
            </w:r>
            <w:r>
              <w:rPr>
                <w:rFonts w:ascii="宋体" w:hAnsi="宋体" w:cs="宋体" w:hint="eastAsia"/>
                <w:szCs w:val="21"/>
              </w:rPr>
              <w:t>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color w:val="000000"/>
                <w:szCs w:val="21"/>
              </w:rPr>
            </w:pPr>
            <w:r>
              <w:rPr>
                <w:rFonts w:hint="eastAsia"/>
                <w:color w:val="000000"/>
                <w:szCs w:val="21"/>
              </w:rPr>
              <w:t>7.</w:t>
            </w:r>
            <w:r>
              <w:rPr>
                <w:color w:val="000000"/>
                <w:szCs w:val="21"/>
              </w:rPr>
              <w:t>8</w:t>
            </w:r>
            <w:r>
              <w:rPr>
                <w:rFonts w:ascii="宋体" w:hAnsi="宋体" w:cs="宋体" w:hint="eastAsia"/>
                <w:szCs w:val="21"/>
              </w:rPr>
              <w:t>遥控水阀：公称压力：1.6MPa, 水压试验压力：1.76 MPa, 密度试验。</w:t>
            </w:r>
          </w:p>
        </w:tc>
        <w:tc>
          <w:tcPr>
            <w:tcW w:w="654" w:type="pct"/>
          </w:tcPr>
          <w:p>
            <w:pPr>
              <w:rPr>
                <w:rFonts w:hint="eastAsia"/>
                <w:color w:val="000000"/>
                <w:szCs w:val="21"/>
              </w:rPr>
            </w:pPr>
          </w:p>
        </w:tc>
        <w:tc>
          <w:tcPr>
            <w:tcW w:w="654" w:type="pct"/>
          </w:tcPr>
          <w:p>
            <w:pPr>
              <w:rPr>
                <w:rFonts w:hint="eastAsia"/>
                <w:color w:val="000000"/>
                <w:szCs w:val="21"/>
              </w:rPr>
            </w:pPr>
          </w:p>
        </w:tc>
        <w:tc>
          <w:tcPr>
            <w:tcW w:w="654" w:type="pct"/>
          </w:tcPr>
          <w:p>
            <w:pPr>
              <w:rPr>
                <w:rFonts w:hint="eastAsia"/>
                <w:color w:val="00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9</w:t>
            </w:r>
            <w:r>
              <w:rPr>
                <w:rFonts w:ascii="宋体" w:hAnsi="宋体" w:cs="宋体" w:hint="eastAsia"/>
                <w:szCs w:val="21"/>
              </w:rPr>
              <w:t>水嘴开关寿命：符合GB 18145-2014标准中8.6.9的要求；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10</w:t>
            </w:r>
            <w:r>
              <w:rPr>
                <w:rFonts w:ascii="宋体" w:hAnsi="宋体" w:cs="宋体" w:hint="eastAsia"/>
                <w:szCs w:val="21"/>
              </w:rPr>
              <w:t>水嘴流量：符合GB 18145-2014标准中7.6.3.1的要求，0.05L/s≤流量≤0.15L/s；</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11</w:t>
            </w:r>
            <w:r>
              <w:rPr>
                <w:rFonts w:ascii="宋体" w:hAnsi="宋体" w:cs="宋体" w:hint="eastAsia"/>
                <w:szCs w:val="21"/>
              </w:rPr>
              <w:t>管螺纹精度：符合GB/T 7307的螺纹呈牙形角55°；</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12</w:t>
            </w:r>
            <w:r>
              <w:rPr>
                <w:rFonts w:ascii="宋体" w:hAnsi="宋体" w:cs="宋体" w:hint="eastAsia"/>
                <w:bCs/>
                <w:szCs w:val="21"/>
              </w:rPr>
              <w:t>水龙头金属污染物析出：依据GB 18145-2014标准检测，检测结果铅析出统计值Q＜5，锑析出量＜0.6，砷析出量＜1.0，钡析出量＜200，铍析出量＜0.4等不少于8种金属析出物的检测。</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13</w:t>
            </w:r>
            <w:r>
              <w:rPr>
                <w:rFonts w:ascii="宋体" w:hAnsi="宋体" w:cs="宋体" w:hint="eastAsia"/>
                <w:szCs w:val="21"/>
              </w:rPr>
              <w:t>耐高低温性能检测：通过将样品置于（150±2）°C试验箱内存储24h后，再置于室温恢复2h；接着将其置于（-40±3）°C试验箱内存储120h后，再置于室温恢复2h,经上述实验后样品应无变化。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14</w:t>
            </w:r>
            <w:r>
              <w:rPr>
                <w:rFonts w:ascii="宋体" w:hAnsi="宋体" w:cs="宋体" w:hint="eastAsia"/>
                <w:szCs w:val="21"/>
              </w:rPr>
              <w:t>耐湿热性能检测：通过将样品置于试验箱内，开启加热电源使温度达到（25±2）°C，1h后开始加湿，使相对温度达到（95±2）%，保持120h,再置于室温恢复2h，样品经测试应无变化。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15</w:t>
            </w:r>
            <w:r>
              <w:rPr>
                <w:rFonts w:ascii="宋体" w:hAnsi="宋体" w:cs="宋体" w:hint="eastAsia"/>
                <w:bCs/>
                <w:szCs w:val="21"/>
              </w:rPr>
              <w:t>抗细菌性能检测：依据GB/T 31402-2015标准，大肠杆菌抗菌R值≥5.0。</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16</w:t>
            </w:r>
            <w:r>
              <w:rPr>
                <w:rFonts w:ascii="宋体" w:hAnsi="宋体" w:cs="宋体" w:hint="eastAsia"/>
                <w:bCs/>
                <w:szCs w:val="21"/>
              </w:rPr>
              <w:t>按ISO 9227:2017进行24h中性盐雾试验后，达到GB/T 6461-2002标准中外观评级（Ra）10级的要求。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17</w:t>
            </w:r>
            <w:r>
              <w:rPr>
                <w:rFonts w:ascii="宋体" w:hAnsi="宋体" w:cs="宋体" w:hint="eastAsia"/>
                <w:bCs/>
                <w:szCs w:val="21"/>
              </w:rPr>
              <w:t>耐水性试验：依据GB/T 1733-1993标准，测试方法：将样品以45度角放置，用92℃至100℃的热水以每分钟≥300毫升的速率流到漆面5分钟，检测结果：漆面无热水导致的明显影响。</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7.</w:t>
            </w:r>
            <w:r>
              <w:rPr>
                <w:rFonts w:ascii="宋体" w:hAnsi="宋体" w:cs="宋体"/>
                <w:szCs w:val="21"/>
              </w:rPr>
              <w:t>18</w:t>
            </w:r>
            <w:r>
              <w:rPr>
                <w:rFonts w:ascii="宋体" w:hAnsi="宋体" w:cs="宋体" w:hint="eastAsia"/>
                <w:szCs w:val="21"/>
              </w:rPr>
              <w:t>铅笔硬度：硬度检测结果值要求≥2H</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7.</w:t>
            </w:r>
            <w:r>
              <w:rPr>
                <w:rFonts w:ascii="宋体" w:hAnsi="宋体" w:cs="宋体"/>
                <w:b w:val="0"/>
                <w:bCs/>
                <w:color w:val="auto"/>
                <w:szCs w:val="21"/>
              </w:rPr>
              <w:t>19</w:t>
            </w:r>
            <w:r>
              <w:rPr>
                <w:rFonts w:ascii="宋体" w:hAnsi="宋体" w:cs="宋体" w:hint="eastAsia"/>
                <w:b w:val="0"/>
                <w:bCs/>
                <w:color w:val="auto"/>
                <w:szCs w:val="21"/>
              </w:rPr>
              <w:t>耐冲击性：依据GB/T 1732-2020检测标准，检测结果值要求0-50cm，应无裂纹、皱纹及剥落现象。</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20</w:t>
            </w:r>
            <w:r>
              <w:rPr>
                <w:rFonts w:ascii="宋体" w:hAnsi="宋体" w:cs="宋体" w:hint="eastAsia"/>
                <w:bCs/>
                <w:szCs w:val="21"/>
              </w:rPr>
              <w:t xml:space="preserve">基本三项：根据GB18145-2014 和GB/T26712-2021标准进行基本三项检测，包含（1）寿命、（2）高温极限、（3）抗冻性能。 </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21</w:t>
            </w:r>
            <w:r>
              <w:rPr>
                <w:rFonts w:ascii="宋体" w:hAnsi="宋体" w:cs="宋体" w:hint="eastAsia"/>
                <w:bCs/>
                <w:szCs w:val="21"/>
              </w:rPr>
              <w:t>加速耐候性：根据GB/T 5237.4-2017标准，进行加速耐候性检测，检测合格。</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22</w:t>
            </w:r>
            <w:r>
              <w:rPr>
                <w:rFonts w:hAnsi="宋体" w:hint="eastAsia"/>
                <w:color w:val="FF0000"/>
                <w:kern w:val="0"/>
                <w:szCs w:val="21"/>
                <w:highlight w:val="yellow"/>
              </w:rPr>
              <w:t>★</w:t>
            </w:r>
            <w:r>
              <w:rPr>
                <w:rFonts w:ascii="宋体" w:hAnsi="宋体" w:cs="宋体" w:hint="eastAsia"/>
                <w:bCs/>
                <w:szCs w:val="21"/>
              </w:rPr>
              <w:t>流量：根据GB25501-2019标准：进行（1）流量均匀性 （2）水效等级（流量）进行这两项检测，检测合格。</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061"/>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7.</w:t>
            </w:r>
            <w:r>
              <w:rPr>
                <w:rFonts w:ascii="宋体" w:hAnsi="宋体" w:cs="宋体"/>
                <w:bCs/>
                <w:szCs w:val="21"/>
              </w:rPr>
              <w:t>23</w:t>
            </w:r>
            <w:r>
              <w:rPr>
                <w:rFonts w:ascii="宋体" w:hAnsi="宋体" w:cs="宋体" w:hint="eastAsia"/>
                <w:bCs/>
                <w:szCs w:val="21"/>
              </w:rPr>
              <w:t>光老化：根据 ISO 4892-3:2016，循环1，测试条件：灯管类型：UVA-340 光照： 8H（60±3）℃ BPT，0.7W/（m^2▪nm）@340nm  冷凝：4H，（50±3）℃ BPT 暴露时间： 48h  测试结果：表面无可视变化。</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8</w:t>
            </w:r>
          </w:p>
        </w:tc>
        <w:tc>
          <w:tcPr>
            <w:tcW w:w="956" w:type="pct"/>
            <w:vMerge w:val="restart"/>
          </w:tcPr>
          <w:p>
            <w:pPr>
              <w:jc w:val="center"/>
              <w:rPr>
                <w:color w:val="000000"/>
                <w:szCs w:val="21"/>
              </w:rPr>
            </w:pPr>
            <w:r>
              <w:rPr>
                <w:rFonts w:hint="eastAsia"/>
                <w:color w:val="000000"/>
                <w:szCs w:val="21"/>
              </w:rPr>
              <w:t>水槽</w:t>
            </w:r>
          </w:p>
        </w:tc>
        <w:tc>
          <w:tcPr>
            <w:tcW w:w="1836" w:type="pct"/>
          </w:tcPr>
          <w:p>
            <w:pPr>
              <w:rPr>
                <w:rFonts w:ascii="宋体" w:hAnsi="宋体" w:cs="宋体"/>
                <w:szCs w:val="21"/>
              </w:rPr>
            </w:pPr>
            <w:r>
              <w:rPr>
                <w:rFonts w:ascii="宋体" w:hAnsi="宋体" w:cs="宋体" w:hint="eastAsia"/>
                <w:szCs w:val="21"/>
              </w:rPr>
              <w:t>8.1作为实验室重要的配件与水龙头搭配，用于实验室器具的盥洗。水槽边沿平整，契合台面。水槽可自带溢水功能，防止在实验过程中无人看管时水漫过台面的情况。水槽材质为防腐蚀材质。主要搭配 PP存水器，防止虹吸现象。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Cs/>
                <w:szCs w:val="21"/>
              </w:rPr>
            </w:pPr>
            <w:r>
              <w:rPr>
                <w:rFonts w:ascii="宋体" w:hAnsi="宋体" w:cs="宋体" w:hint="eastAsia"/>
                <w:bCs/>
                <w:szCs w:val="21"/>
              </w:rPr>
              <w:t>8.</w:t>
            </w:r>
            <w:r>
              <w:rPr>
                <w:rFonts w:ascii="宋体" w:hAnsi="宋体" w:cs="宋体"/>
                <w:bCs/>
                <w:szCs w:val="21"/>
              </w:rPr>
              <w:t xml:space="preserve">2 </w:t>
            </w:r>
            <w:r>
              <w:rPr>
                <w:rFonts w:ascii="宋体" w:hAnsi="宋体" w:cs="宋体" w:hint="eastAsia"/>
                <w:bCs/>
                <w:szCs w:val="21"/>
              </w:rPr>
              <w:t>须符合以下技术参数及要求：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 xml:space="preserve">1 </w:t>
            </w:r>
            <w:r>
              <w:rPr>
                <w:rFonts w:ascii="宋体" w:hAnsi="宋体" w:cs="宋体" w:hint="eastAsia"/>
                <w:b w:val="0"/>
                <w:bCs/>
                <w:color w:val="auto"/>
                <w:szCs w:val="21"/>
              </w:rPr>
              <w:t>耐化学性能和耐污染性能：依据QB/T 2658-2017《卫生设备用台盆》标准，通过用热肥皂水清洗测试面，并用干棉布擦干后，选用不同的测试面分别滴10%体积分数乙酸、质量分数为5%的氢氧化钠、70%体积分数的乙醇、次氯酸钠5%的活性氯（C12）、质量分数1%的亚甲基兰、氯化钠（170g/L，稀释到50%）试剂，然后用表面皿面向下盖住液滴，放置（2.00±0.25）h,温度维持在（23±5）°C。试验后，表面不应出现不可消除的不良，如污点、损坏等，检测判定为符合。</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8.</w:t>
            </w:r>
            <w:r>
              <w:rPr>
                <w:rFonts w:ascii="宋体" w:hAnsi="宋体" w:cs="宋体"/>
                <w:b w:val="0"/>
                <w:bCs/>
                <w:color w:val="auto"/>
                <w:szCs w:val="21"/>
              </w:rPr>
              <w:t>2</w:t>
            </w:r>
            <w:r>
              <w:rPr>
                <w:rFonts w:ascii="宋体" w:hAnsi="宋体" w:cs="宋体" w:hint="eastAsia"/>
                <w:b w:val="0"/>
                <w:bCs/>
                <w:color w:val="auto"/>
                <w:szCs w:val="21"/>
              </w:rPr>
              <w:t>.</w:t>
            </w:r>
            <w:r>
              <w:rPr>
                <w:rFonts w:ascii="宋体" w:hAnsi="宋体" w:cs="宋体"/>
                <w:b w:val="0"/>
                <w:bCs/>
                <w:color w:val="auto"/>
                <w:szCs w:val="21"/>
              </w:rPr>
              <w:t>2</w:t>
            </w:r>
            <w:r>
              <w:rPr>
                <w:rFonts w:ascii="宋体" w:hAnsi="宋体" w:cs="宋体" w:hint="eastAsia"/>
                <w:b w:val="0"/>
                <w:bCs/>
                <w:color w:val="auto"/>
                <w:szCs w:val="21"/>
              </w:rPr>
              <w:t>水槽依据GB/T 9341-2008标准，检测弯曲模量，要求检验结果为≥1450MPa。检测弯曲强度，要求检验结果为≥42.0MPa。</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bCs/>
                <w:color w:val="FF0000"/>
                <w:szCs w:val="21"/>
              </w:rPr>
            </w:pPr>
            <w:r>
              <w:rPr>
                <w:rFonts w:ascii="宋体" w:hAnsi="宋体" w:cs="宋体" w:hint="eastAsia"/>
                <w:b/>
                <w:bCs/>
                <w:color w:val="FF0000"/>
                <w:szCs w:val="21"/>
              </w:rPr>
              <w:t>8.</w:t>
            </w:r>
            <w:r>
              <w:rPr>
                <w:rFonts w:ascii="宋体" w:hAnsi="宋体" w:cs="宋体"/>
                <w:b/>
                <w:bCs/>
                <w:color w:val="FF0000"/>
                <w:szCs w:val="21"/>
              </w:rPr>
              <w:t>2</w:t>
            </w:r>
            <w:r>
              <w:rPr>
                <w:rFonts w:ascii="宋体" w:hAnsi="宋体" w:cs="宋体" w:hint="eastAsia"/>
                <w:b/>
                <w:bCs/>
                <w:color w:val="FF0000"/>
                <w:szCs w:val="21"/>
              </w:rPr>
              <w:t>.</w:t>
            </w:r>
            <w:r>
              <w:rPr>
                <w:rFonts w:ascii="宋体" w:hAnsi="宋体" w:cs="宋体"/>
                <w:b/>
                <w:bCs/>
                <w:color w:val="FF0000"/>
                <w:szCs w:val="21"/>
              </w:rPr>
              <w:t>3</w:t>
            </w:r>
            <w:r>
              <w:rPr>
                <w:rFonts w:ascii="宋体" w:hAnsi="宋体" w:cs="宋体" w:hint="eastAsia"/>
                <w:b/>
                <w:color w:val="FF0000"/>
                <w:szCs w:val="21"/>
              </w:rPr>
              <w:t>▲</w:t>
            </w:r>
            <w:r>
              <w:rPr>
                <w:rFonts w:ascii="宋体" w:hAnsi="宋体" w:cs="宋体" w:hint="eastAsia"/>
                <w:b/>
                <w:bCs/>
                <w:color w:val="FF0000"/>
                <w:szCs w:val="21"/>
              </w:rPr>
              <w:t>水槽依据GB/T 1634.1-2019标准，检测负荷变形温度，要求检验结果为≥50.0℃。依据GB/T 3398.2-2008标准，检测洛氏硬度，要求检验结果为≥90HRR。依据GB/T 1043.1-2008标准，检测简支梁无缺口冲击强度，要求检测结果为≥55KJ/M2。提供20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年1月1日至本项目投标截止日第三方检验检测机构出具的具有CMA标识的检验（检测）报告扫描件，扫描件加盖制造商公章，原件备查。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bCs/>
                <w:color w:val="FF0000"/>
                <w:szCs w:val="21"/>
              </w:rPr>
            </w:pPr>
            <w:r>
              <w:rPr>
                <w:rFonts w:ascii="宋体" w:hAnsi="宋体" w:cs="宋体" w:hint="eastAsia"/>
                <w:b/>
                <w:bCs/>
                <w:color w:val="FF0000"/>
                <w:szCs w:val="21"/>
              </w:rPr>
              <w:t xml:space="preserve">8.2.4 </w:t>
            </w:r>
            <w:r>
              <w:rPr>
                <w:rFonts w:hAnsi="宋体" w:hint="eastAsia"/>
                <w:color w:val="FF0000"/>
                <w:kern w:val="0"/>
                <w:szCs w:val="21"/>
                <w:highlight w:val="yellow"/>
              </w:rPr>
              <w:t>★</w:t>
            </w:r>
            <w:r>
              <w:rPr>
                <w:rFonts w:ascii="宋体" w:hAnsi="宋体" w:cs="宋体" w:hint="eastAsia"/>
                <w:b/>
                <w:bCs/>
                <w:color w:val="FF0000"/>
                <w:szCs w:val="21"/>
              </w:rPr>
              <w:t>甲醛释放量：依据JG/T 528-2017检测标准，在温度23℃，相对湿度RH50%的环境舱中平衡释放168h采气测试结果，甲醛释放量未检出。提供20</w:t>
            </w:r>
            <w:r>
              <w:rPr>
                <w:rFonts w:ascii="宋体" w:hAnsi="宋体" w:cs="宋体"/>
                <w:b/>
                <w:bCs/>
                <w:color w:val="FF0000"/>
                <w:szCs w:val="21"/>
              </w:rPr>
              <w:t>17</w:t>
            </w:r>
            <w:r>
              <w:rPr>
                <w:rFonts w:ascii="宋体" w:hAnsi="宋体" w:cs="宋体" w:hint="eastAsia"/>
                <w:b/>
                <w:bCs/>
                <w:color w:val="FF0000"/>
                <w:szCs w:val="21"/>
              </w:rPr>
              <w:t xml:space="preserve">年1月1日至本项目投标截止日第三方检验检测机构出具的具有CMA标识的检验（检测）报告扫描件，原件备查。 </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3</w:t>
            </w:r>
            <w:r>
              <w:rPr>
                <w:rFonts w:ascii="宋体" w:hAnsi="宋体" w:cs="宋体" w:hint="eastAsia"/>
                <w:szCs w:val="21"/>
              </w:rPr>
              <w:t xml:space="preserve">材质：采用高密度PP新料注塑成型，耐腐蚀耐酸碱、耐热；稳定性强，并具弹性、韧性，不易老化耐划。 </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4</w:t>
            </w:r>
            <w:r>
              <w:rPr>
                <w:rFonts w:ascii="宋体" w:hAnsi="宋体" w:cs="宋体" w:hint="eastAsia"/>
                <w:szCs w:val="21"/>
              </w:rPr>
              <w:t>水槽壁厚度：根据强度要求设计厚度为3.5-5mm。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5</w:t>
            </w:r>
            <w:r>
              <w:rPr>
                <w:rFonts w:ascii="宋体" w:hAnsi="宋体" w:cs="宋体" w:hint="eastAsia"/>
                <w:szCs w:val="21"/>
              </w:rPr>
              <w:t>附件：高密度PP去水；含阻水盖、PP提笼。</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8.6耐污染性：在常温下将样块浸泡40%硫酸、40%硝酸、40%盐酸、王水、40%氢氧化钠、甲醛（分析纯）等不少于24种化学试剂24小时后表面无变化。其中外观及其承载能力的检测符合要求。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7</w:t>
            </w:r>
            <w:r>
              <w:rPr>
                <w:rFonts w:ascii="宋体" w:hAnsi="宋体" w:cs="宋体" w:hint="eastAsia"/>
                <w:szCs w:val="21"/>
              </w:rPr>
              <w:t>耐高温性：将150℃油温灌入水槽后无变形、损坏。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8.</w:t>
            </w:r>
            <w:r>
              <w:rPr>
                <w:rFonts w:ascii="宋体" w:hAnsi="宋体" w:cs="宋体"/>
                <w:szCs w:val="21"/>
              </w:rPr>
              <w:t>8</w:t>
            </w:r>
            <w:r>
              <w:rPr>
                <w:rFonts w:ascii="宋体" w:hAnsi="宋体" w:cs="宋体" w:hint="eastAsia"/>
                <w:szCs w:val="21"/>
              </w:rPr>
              <w:t>抗细菌性：依据ISO 22196:2011检测标准，检测结果须符合抗菌活性值：4≤金黄色葡萄球菌≤6，2≤大肠埃希氏菌≤4.</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9</w:t>
            </w:r>
          </w:p>
        </w:tc>
        <w:tc>
          <w:tcPr>
            <w:tcW w:w="956" w:type="pct"/>
            <w:vMerge w:val="restart"/>
          </w:tcPr>
          <w:p>
            <w:pPr>
              <w:jc w:val="center"/>
              <w:rPr>
                <w:color w:val="000000"/>
                <w:szCs w:val="21"/>
              </w:rPr>
            </w:pPr>
            <w:r>
              <w:rPr>
                <w:rFonts w:hint="eastAsia"/>
                <w:color w:val="000000"/>
                <w:szCs w:val="21"/>
              </w:rPr>
              <w:t>不锈钢水槽、不锈钢水槽台</w:t>
            </w:r>
          </w:p>
        </w:tc>
        <w:tc>
          <w:tcPr>
            <w:tcW w:w="1836" w:type="pct"/>
          </w:tcPr>
          <w:p>
            <w:pPr>
              <w:rPr>
                <w:rFonts w:ascii="宋体" w:hAnsi="宋体" w:cs="宋体"/>
                <w:szCs w:val="21"/>
              </w:rPr>
            </w:pPr>
            <w:r>
              <w:rPr>
                <w:rFonts w:ascii="宋体" w:hAnsi="宋体" w:cs="宋体" w:hint="eastAsia"/>
                <w:szCs w:val="21"/>
              </w:rPr>
              <w:t>9.1不锈钢工作台采用不锈钢材质，具有耐腐蚀，防酸，防碱，防尘，可以防止细菌滋生等性能。</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9.2台面：采用≥1.5mm厚的优质316不锈钢经剪切、冲压、折弯、焊接、装配而成。表面拉丝处理。</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9.3框架：40mm*60mm采用≥1.5mm厚的优质316不锈钢经剪切、冲压、折弯、焊接、装配而成。表面拉丝处理。耐酸、碱、防潮、防锈，承重性能好，使用寿命长，美观大方；</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9.4梁：40*60*1.5mm采用≥1.5mm厚的优质316不锈钢经剪切、冲压、折弯、焊接、装配而成。表面拉丝处理。耐酸碱腐蚀、防潮、防锈，承重性能好，使用寿命长。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9.5台脚要求：为316#不锈钢管并带可调脚，承载性好，牢固边角打磨光滑无毛刺。</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9.6水槽含落水头、存水弯等，使用功能完整。</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10</w:t>
            </w:r>
          </w:p>
        </w:tc>
        <w:tc>
          <w:tcPr>
            <w:tcW w:w="956" w:type="pct"/>
            <w:vMerge w:val="restart"/>
          </w:tcPr>
          <w:p>
            <w:pPr>
              <w:jc w:val="center"/>
              <w:rPr>
                <w:color w:val="000000"/>
                <w:szCs w:val="21"/>
              </w:rPr>
            </w:pPr>
            <w:r>
              <w:rPr>
                <w:rFonts w:hint="eastAsia"/>
                <w:color w:val="000000"/>
                <w:szCs w:val="21"/>
              </w:rPr>
              <w:t>滴水架</w:t>
            </w:r>
          </w:p>
        </w:tc>
        <w:tc>
          <w:tcPr>
            <w:tcW w:w="1836" w:type="pct"/>
          </w:tcPr>
          <w:p>
            <w:pPr>
              <w:rPr>
                <w:rFonts w:ascii="宋体" w:hAnsi="宋体" w:cs="宋体"/>
                <w:szCs w:val="21"/>
              </w:rPr>
            </w:pPr>
            <w:r>
              <w:rPr>
                <w:rFonts w:ascii="宋体" w:hAnsi="宋体" w:cs="宋体" w:hint="eastAsia"/>
                <w:szCs w:val="21"/>
              </w:rPr>
              <w:t>10.1依据图纸及相关说明所示，在水槽旁配置质轻，强度高，易于组装，耐酸碱、抗腐蚀滴水架。</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10.2材质：高密度PP，款式新颖，有现代感；</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10.3类型：单面；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10.4底部托盘中间设有排水孔；</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10.5可拆卸式滴水棒，滴水棒27或者52根，有三种不同功能及长度的滴水棒，方便不同规格的器皿挂放；</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10.6安装方式：壁挂式/台式；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10.7颜色：黑色、白色、灰色；</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10.8</w:t>
            </w:r>
            <w:r>
              <w:rPr>
                <w:rFonts w:ascii="宋体" w:hAnsi="宋体" w:cs="宋体" w:hint="eastAsia"/>
                <w:szCs w:val="21"/>
              </w:rPr>
              <w:t>▲</w:t>
            </w:r>
            <w:r>
              <w:rPr>
                <w:rFonts w:ascii="宋体" w:hAnsi="宋体" w:cs="宋体" w:hint="eastAsia"/>
                <w:b w:val="0"/>
                <w:bCs/>
                <w:color w:val="auto"/>
                <w:szCs w:val="21"/>
              </w:rPr>
              <w:t>性能参数：</w:t>
            </w:r>
          </w:p>
          <w:p>
            <w:pPr>
              <w:rPr>
                <w:rFonts w:ascii="宋体" w:hAnsi="宋体" w:cs="宋体"/>
                <w:b w:val="0"/>
                <w:bCs/>
                <w:color w:val="auto"/>
                <w:szCs w:val="21"/>
              </w:rPr>
            </w:pPr>
            <w:r>
              <w:rPr>
                <w:rFonts w:ascii="宋体" w:hAnsi="宋体" w:cs="宋体" w:hint="eastAsia"/>
                <w:b w:val="0"/>
                <w:bCs/>
                <w:color w:val="auto"/>
                <w:szCs w:val="21"/>
              </w:rPr>
              <w:t>1)本体的挂拉强度达到36 kgf及以上。</w:t>
            </w:r>
          </w:p>
          <w:p>
            <w:pPr>
              <w:rPr>
                <w:rFonts w:ascii="宋体" w:hAnsi="宋体" w:cs="宋体"/>
                <w:b w:val="0"/>
                <w:bCs/>
                <w:color w:val="auto"/>
                <w:szCs w:val="21"/>
              </w:rPr>
            </w:pPr>
            <w:r>
              <w:rPr>
                <w:rFonts w:ascii="宋体" w:hAnsi="宋体" w:cs="宋体" w:hint="eastAsia"/>
                <w:b w:val="0"/>
                <w:bCs/>
                <w:color w:val="auto"/>
                <w:szCs w:val="21"/>
              </w:rPr>
              <w:t>2)产品的抗拉强度达到 256kgf/cm2及以上。</w:t>
            </w:r>
          </w:p>
          <w:p>
            <w:pPr>
              <w:rPr>
                <w:rFonts w:ascii="宋体" w:hAnsi="宋体" w:cs="宋体"/>
                <w:b w:val="0"/>
                <w:bCs/>
                <w:color w:val="auto"/>
                <w:szCs w:val="21"/>
              </w:rPr>
            </w:pPr>
            <w:r>
              <w:rPr>
                <w:rFonts w:ascii="宋体" w:hAnsi="宋体" w:cs="宋体" w:hint="eastAsia"/>
                <w:b w:val="0"/>
                <w:bCs/>
                <w:color w:val="auto"/>
                <w:szCs w:val="21"/>
              </w:rPr>
              <w:t>3)产品的抗弯强度达到 557kgf/cm2及以上。</w:t>
            </w:r>
          </w:p>
          <w:p>
            <w:pPr>
              <w:rPr>
                <w:rFonts w:ascii="宋体" w:hAnsi="宋体" w:cs="宋体"/>
                <w:szCs w:val="21"/>
              </w:rPr>
            </w:pPr>
            <w:r>
              <w:rPr>
                <w:rFonts w:ascii="宋体" w:hAnsi="宋体" w:cs="宋体" w:hint="eastAsia"/>
                <w:b w:val="0"/>
                <w:bCs/>
                <w:color w:val="auto"/>
                <w:szCs w:val="21"/>
              </w:rPr>
              <w:t>4)滴水棒承重能力达到68N及以上。</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9</w:t>
            </w:r>
            <w:r>
              <w:rPr>
                <w:rFonts w:ascii="宋体" w:hAnsi="宋体" w:cs="宋体" w:hint="eastAsia"/>
                <w:b w:val="0"/>
                <w:bCs/>
                <w:color w:val="auto"/>
                <w:szCs w:val="21"/>
              </w:rPr>
              <w:t>耐候性试验：依据ISO4892-3:2016,将样品在荧光紫外灯暴露48小时后，表面无变化。</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10</w:t>
            </w:r>
            <w:r>
              <w:rPr>
                <w:rFonts w:ascii="宋体" w:hAnsi="宋体" w:cs="宋体" w:hint="eastAsia"/>
                <w:b w:val="0"/>
                <w:bCs/>
                <w:color w:val="auto"/>
                <w:szCs w:val="21"/>
              </w:rPr>
              <w:t>拉伸强度试验：要求依据GB/T1040.1-2018检测结果值≥20MPa。</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634"/>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10.</w:t>
            </w:r>
            <w:r>
              <w:rPr>
                <w:rFonts w:ascii="宋体" w:hAnsi="宋体" w:cs="宋体"/>
                <w:b w:val="0"/>
                <w:bCs/>
                <w:color w:val="auto"/>
                <w:szCs w:val="21"/>
              </w:rPr>
              <w:t>11</w:t>
            </w:r>
            <w:r>
              <w:rPr>
                <w:rFonts w:ascii="宋体" w:hAnsi="宋体" w:cs="宋体" w:hint="eastAsia"/>
                <w:b w:val="0"/>
                <w:bCs/>
                <w:color w:val="auto"/>
                <w:szCs w:val="21"/>
              </w:rPr>
              <w:t>弯曲强度试验：要求依据GB/T 9341-2008检测结果值≥30Mpa。</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11</w:t>
            </w:r>
          </w:p>
        </w:tc>
        <w:tc>
          <w:tcPr>
            <w:tcW w:w="956" w:type="pct"/>
            <w:vMerge w:val="restart"/>
          </w:tcPr>
          <w:p>
            <w:pPr>
              <w:jc w:val="center"/>
              <w:rPr>
                <w:color w:val="000000"/>
                <w:szCs w:val="21"/>
              </w:rPr>
            </w:pPr>
            <w:r>
              <w:rPr>
                <w:rFonts w:hint="eastAsia"/>
                <w:color w:val="000000"/>
                <w:szCs w:val="21"/>
              </w:rPr>
              <w:t>紧急冲淋洗眼器、壁挂式紧急冲淋洗眼器</w:t>
            </w:r>
          </w:p>
        </w:tc>
        <w:tc>
          <w:tcPr>
            <w:tcW w:w="1836" w:type="pct"/>
          </w:tcPr>
          <w:p>
            <w:pPr>
              <w:rPr>
                <w:rFonts w:ascii="宋体" w:hAnsi="宋体" w:cs="宋体"/>
                <w:b w:val="0"/>
                <w:bCs/>
                <w:color w:val="auto"/>
                <w:szCs w:val="21"/>
              </w:rPr>
            </w:pPr>
            <w:r>
              <w:rPr>
                <w:rFonts w:ascii="宋体" w:hAnsi="宋体" w:cs="宋体" w:hint="eastAsia"/>
                <w:b w:val="0"/>
                <w:bCs/>
                <w:color w:val="auto"/>
                <w:szCs w:val="21"/>
              </w:rPr>
              <w:t>11.1</w:t>
            </w:r>
            <w:r>
              <w:rPr>
                <w:rFonts w:ascii="宋体" w:hAnsi="宋体" w:cs="宋体" w:hint="eastAsia"/>
                <w:szCs w:val="21"/>
              </w:rPr>
              <w:t>▲</w:t>
            </w:r>
            <w:r>
              <w:rPr>
                <w:rFonts w:ascii="宋体" w:hAnsi="宋体" w:cs="宋体" w:hint="eastAsia"/>
                <w:b w:val="0"/>
                <w:bCs/>
                <w:color w:val="auto"/>
                <w:szCs w:val="21"/>
              </w:rPr>
              <w:t>主体材料：食品级 304不锈钢，厚度：不低于3mm，Ni含量大于8%，可以抗弱酸、碱、盐和油类腐蚀的现场。</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11.3产品达到GB/T 38144.1-2019标准之规定，紧急冲淋的喷淋系统和洗眼系统易于操作，操作者一个人就可以完成，不需要其他人员协助；</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11.4紧急冲淋正常水压要求：0.3—0.6 MPa，管件密封部件满足承受 1 MPa 长时间没有泄漏；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11.5工作压力：0.3—0.6Mpa</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11.6密封压力：0.8Mpa</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11.7喷淋流量：&gt;75.7L/min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11.8洗眼流量：&gt;11.4L/min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11.9洗眼器进水口尺寸：DN25</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11.10洗眼系统排水口尺寸：DN25</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11.11排水盘排水口尺寸：DN40</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11.12喷淋系统要求：在距离使用者站立平面1520mm的地方，喷淋范围直径最小应为510mm，冲洗液分散形式应始终保持一致并充分散开。喷淋范围的中心距离任何障碍物的最小距离应为410mm。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11.13洗眼系统要求：喷头应位于距离使用者站立的水平面至少838mm的高度上，但不得超过1143mm，且距离墙壁或最近的障碍物至少153mm。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11.14冲淋喷头高度：冲淋喷头距离安装平面高度在2080-2440mm。该距离从使用者站立的平面计算。</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11.15阀门驱动装置高度：到使用者站立平面的高度不应超过1730mm。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11.16冲淋喷头流量：在水流压力最低0.2MPa下，应以至少76L/min的流量提供冲洗液，保持连续冲洗至少15min。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11.17洗眼器喷头流量：测试压力0.20MPa，测试时间3min/次，样品提供冲洗液流量：22.6L/min，能保持洗眼时间15min。</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11.18开启时间：冲淋手拉阀开启时间≤1s，洗眼器阀门开启时间≤1s。</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11.19不锈钢手推柄配100mm*100mm绿底白色洗眼符号牌。</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11.20主体1500mm以上管子处、或者可以贴在墙体上配200mm*300mm绿底白色洗眼符号塑料标。</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val="0"/>
                <w:bCs/>
                <w:color w:val="auto"/>
                <w:szCs w:val="21"/>
              </w:rPr>
            </w:pPr>
            <w:r>
              <w:rPr>
                <w:rFonts w:ascii="宋体" w:hAnsi="宋体" w:cs="宋体" w:hint="eastAsia"/>
                <w:b w:val="0"/>
                <w:bCs/>
                <w:color w:val="auto"/>
                <w:szCs w:val="21"/>
              </w:rPr>
              <w:t>11.21</w:t>
            </w:r>
            <w:r>
              <w:rPr>
                <w:rFonts w:ascii="宋体" w:hAnsi="宋体" w:hint="eastAsia"/>
                <w:b w:val="0"/>
                <w:bCs/>
                <w:color w:val="auto"/>
                <w:szCs w:val="21"/>
              </w:rPr>
              <w:t>按照GB/T</w:t>
            </w:r>
            <w:r>
              <w:rPr>
                <w:rFonts w:ascii="宋体" w:hAnsi="宋体"/>
                <w:b w:val="0"/>
                <w:bCs/>
                <w:color w:val="auto"/>
                <w:szCs w:val="21"/>
              </w:rPr>
              <w:t>38144.1-2019</w:t>
            </w:r>
            <w:r>
              <w:rPr>
                <w:rFonts w:ascii="宋体" w:hAnsi="宋体" w:hint="eastAsia"/>
                <w:b w:val="0"/>
                <w:bCs/>
                <w:color w:val="auto"/>
                <w:szCs w:val="21"/>
              </w:rPr>
              <w:t>要求，对</w:t>
            </w:r>
            <w:r>
              <w:rPr>
                <w:rFonts w:ascii="宋体" w:hAnsi="宋体" w:cs="宋体" w:hint="eastAsia"/>
                <w:b w:val="0"/>
                <w:bCs/>
                <w:color w:val="auto"/>
                <w:szCs w:val="21"/>
              </w:rPr>
              <w:t>应急喷淋器控制阀门(尺寸、 高度)、应急喷淋器 (密封、 尺寸、流量)、洗眼器 (密封、尺寸、流量)和洗眼/洗脸器（流量、开启时间、尺寸）的检测项目进行检测，检测结果判定均为符合。</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b w:val="0"/>
                <w:color w:val="auto"/>
                <w:szCs w:val="21"/>
              </w:rPr>
              <w:t>11.22</w:t>
            </w:r>
            <w:r>
              <w:rPr>
                <w:rFonts w:ascii="宋体" w:hAnsi="宋体" w:hint="eastAsia"/>
                <w:b w:val="0"/>
                <w:color w:val="auto"/>
                <w:szCs w:val="21"/>
              </w:rPr>
              <w:t>依据GB/T 16422.3-2014要求，对</w:t>
            </w:r>
            <w:r>
              <w:rPr>
                <w:rFonts w:ascii="宋体" w:hAnsi="宋体" w:cs="宋体" w:hint="eastAsia"/>
                <w:b w:val="0"/>
                <w:color w:val="auto"/>
                <w:szCs w:val="21"/>
              </w:rPr>
              <w:t>紧急冲淋洗眼器-塑料配件抗老化测试，测试结果为≤0.20,外观无明显变化</w:t>
            </w:r>
            <w:r>
              <w:rPr>
                <w:rFonts w:ascii="宋体" w:hAnsi="宋体" w:hint="eastAsia"/>
                <w:b w:val="0"/>
                <w:bCs/>
                <w:color w:val="auto"/>
                <w:szCs w:val="21"/>
              </w:rPr>
              <w:t>。</w:t>
            </w: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c>
          <w:tcPr>
            <w:tcW w:w="654" w:type="pct"/>
          </w:tcPr>
          <w:p>
            <w:pPr>
              <w:rPr>
                <w:rFonts w:ascii="宋体" w:hAnsi="宋体" w:cs="宋体" w:hint="eastAsia"/>
                <w:b w:val="0"/>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11.23产品获得国家专利证书。</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90"/>
        </w:trPr>
        <w:tc>
          <w:tcPr>
            <w:tcW w:w="243" w:type="pct"/>
            <w:vMerge w:val="restart"/>
          </w:tcPr>
          <w:p>
            <w:pPr>
              <w:jc w:val="center"/>
              <w:rPr>
                <w:rFonts w:ascii="宋体" w:hAnsi="宋体" w:cs="宋体"/>
                <w:szCs w:val="21"/>
              </w:rPr>
            </w:pPr>
            <w:r>
              <w:rPr>
                <w:rFonts w:ascii="宋体" w:hAnsi="宋体" w:cs="宋体" w:hint="eastAsia"/>
                <w:szCs w:val="21"/>
              </w:rPr>
              <w:t>12</w:t>
            </w:r>
          </w:p>
        </w:tc>
        <w:tc>
          <w:tcPr>
            <w:tcW w:w="956" w:type="pct"/>
            <w:vMerge w:val="restart"/>
          </w:tcPr>
          <w:p>
            <w:pPr>
              <w:rPr>
                <w:rFonts w:ascii="宋体" w:hAnsi="宋体" w:cs="宋体"/>
                <w:szCs w:val="21"/>
              </w:rPr>
            </w:pPr>
            <w:r>
              <w:rPr>
                <w:rFonts w:ascii="宋体" w:hAnsi="宋体" w:cs="宋体" w:hint="eastAsia"/>
                <w:szCs w:val="21"/>
              </w:rPr>
              <w:t>钢质吊柜+支撑架、钢质吊柜</w:t>
            </w:r>
          </w:p>
        </w:tc>
        <w:tc>
          <w:tcPr>
            <w:tcW w:w="1836" w:type="pct"/>
          </w:tcPr>
          <w:p>
            <w:pPr>
              <w:rPr>
                <w:rFonts w:ascii="宋体" w:hAnsi="宋体" w:cs="宋体"/>
                <w:szCs w:val="21"/>
              </w:rPr>
            </w:pPr>
            <w:r>
              <w:rPr>
                <w:rFonts w:ascii="宋体" w:hAnsi="宋体" w:cs="宋体" w:hint="eastAsia"/>
                <w:szCs w:val="21"/>
              </w:rPr>
              <w:t>12.1主体：主立柱采用≥1.0mm钢板经数控加工，焊接、酸洗磷化处理后喷涂环氧树脂粉末高温烘烤固化，表面需附着力高、硬度耐腐蚀性极强，外形美观。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12.2钢制双开门实门，柜门≥19mm厚，两层结构为组装式，装配前各面喷涂完毕，柜门内有消声材料，柜门不得为单层结构或焊接式双层结构；</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12.3合页：高光泽的不锈钢材质。非焊接方式将合页和柜体及柜门固定。打开角度为180度，运动负重：≥90kg（≥100000次）；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12.4层板：环氧树脂喷涂（厚度≥75μm）镀锌钢，实验柜内置活动层板，颜色与柜体同色，实验柜内置活动层板，每20mm可自由上下调节高度；活动层板支撑扣采用≥1.2mm厚304#不锈钢制作；层板由四个钢制层板扣支撑，承重为大于50kg；</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rPr>
                <w:rFonts w:ascii="宋体" w:hAnsi="宋体" w:cs="宋体"/>
                <w:szCs w:val="21"/>
              </w:rPr>
            </w:pPr>
          </w:p>
        </w:tc>
        <w:tc>
          <w:tcPr>
            <w:tcW w:w="956" w:type="pct"/>
            <w:vMerge/>
          </w:tcPr>
          <w:p>
            <w:pPr>
              <w:rPr>
                <w:rFonts w:ascii="宋体" w:hAnsi="宋体" w:cs="宋体"/>
                <w:szCs w:val="21"/>
              </w:rPr>
            </w:pPr>
          </w:p>
        </w:tc>
        <w:tc>
          <w:tcPr>
            <w:tcW w:w="1836" w:type="pct"/>
          </w:tcPr>
          <w:p>
            <w:pPr>
              <w:rPr>
                <w:rFonts w:ascii="宋体" w:hAnsi="宋体" w:cs="宋体"/>
                <w:szCs w:val="21"/>
              </w:rPr>
            </w:pPr>
            <w:r>
              <w:rPr>
                <w:rFonts w:ascii="宋体" w:hAnsi="宋体" w:cs="宋体" w:hint="eastAsia"/>
                <w:szCs w:val="21"/>
              </w:rPr>
              <w:t>12.5柜门为标准化产品，可以互换，以方便产品维护；</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13</w:t>
            </w:r>
          </w:p>
        </w:tc>
        <w:tc>
          <w:tcPr>
            <w:tcW w:w="956" w:type="pct"/>
            <w:vMerge w:val="restart"/>
          </w:tcPr>
          <w:p>
            <w:pPr>
              <w:jc w:val="center"/>
              <w:rPr>
                <w:color w:val="000000"/>
                <w:szCs w:val="21"/>
              </w:rPr>
            </w:pPr>
            <w:r>
              <w:rPr>
                <w:rFonts w:hint="eastAsia"/>
                <w:color w:val="000000"/>
                <w:szCs w:val="21"/>
              </w:rPr>
              <w:t>单门单抽柜</w:t>
            </w:r>
          </w:p>
        </w:tc>
        <w:tc>
          <w:tcPr>
            <w:tcW w:w="1836" w:type="pct"/>
          </w:tcPr>
          <w:p>
            <w:pPr>
              <w:rPr>
                <w:rFonts w:ascii="宋体" w:hAnsi="宋体" w:cs="宋体"/>
                <w:szCs w:val="21"/>
              </w:rPr>
            </w:pPr>
            <w:r>
              <w:rPr>
                <w:rFonts w:ascii="宋体" w:hAnsi="宋体" w:cs="宋体" w:hint="eastAsia"/>
                <w:szCs w:val="21"/>
              </w:rPr>
              <w:t>13.1柜体：拆装结构，采用≥1.0mm厚度优质冷轧钢板经数控剪板、冲压、折弯、焊接等一系列程序成型，再经酸洗磷化后喷环氧树脂粉末高温固化；</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13.2柜门≥19mm厚，两层结构为组装式，装配前各面喷涂完毕，柜门内有消声材料，柜门不得为单层结构或焊接式双层结构；</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13.3合页：高光泽的不锈钢材质。非焊接方式将合页和柜体及柜门固定。打开角度为180度，运动负重：≥90kg（≥100000次）；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13.4层板：环氧树脂喷涂（厚度≥75μm）镀锌钢，实验柜内置活动层板，颜色与柜体同色，实验柜内置活动层板，每20mm可自由上下调节高度；活动层板支撑扣采用1.2mm厚304#不锈钢制作；层板由四个钢制层板扣支撑，承重为大于等于50kg；</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13.5柜门为标准化产品，可以互换，以方便产品维护；</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13.6抽屉滑轨：采用三节静音滑轨；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13.7拉手：国标304#不锈钢C形孔距160mm拉手。</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13.8标配；4个万向轮。</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14</w:t>
            </w:r>
          </w:p>
        </w:tc>
        <w:tc>
          <w:tcPr>
            <w:tcW w:w="956" w:type="pct"/>
            <w:vMerge w:val="restart"/>
          </w:tcPr>
          <w:p>
            <w:pPr>
              <w:jc w:val="center"/>
              <w:rPr>
                <w:color w:val="000000"/>
                <w:szCs w:val="21"/>
              </w:rPr>
            </w:pPr>
            <w:r>
              <w:rPr>
                <w:rFonts w:hint="eastAsia"/>
                <w:color w:val="000000"/>
                <w:szCs w:val="21"/>
              </w:rPr>
              <w:t>万向排气罩</w:t>
            </w:r>
          </w:p>
        </w:tc>
        <w:tc>
          <w:tcPr>
            <w:tcW w:w="1836" w:type="pct"/>
          </w:tcPr>
          <w:p>
            <w:pPr>
              <w:rPr>
                <w:rFonts w:ascii="宋体" w:hAnsi="宋体" w:cs="宋体"/>
                <w:szCs w:val="21"/>
              </w:rPr>
            </w:pPr>
            <w:r>
              <w:rPr>
                <w:rFonts w:ascii="宋体" w:hAnsi="宋体" w:cs="宋体" w:hint="eastAsia"/>
                <w:szCs w:val="21"/>
              </w:rPr>
              <w:t>14.1主体：铝合金材质；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hint="eastAsia"/>
                <w:b w:val="0"/>
                <w:bCs/>
                <w:color w:val="auto"/>
                <w:szCs w:val="21"/>
              </w:rPr>
              <w:t>14.2</w:t>
            </w:r>
            <w:r>
              <w:rPr>
                <w:rFonts w:ascii="宋体" w:hAnsi="宋体" w:cs="宋体" w:hint="eastAsia"/>
                <w:b w:val="0"/>
                <w:bCs/>
                <w:color w:val="auto"/>
                <w:szCs w:val="21"/>
              </w:rPr>
              <w:t>须符合以下技术参数及要求：</w:t>
            </w: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c>
          <w:tcPr>
            <w:tcW w:w="654" w:type="pct"/>
          </w:tcPr>
          <w:p>
            <w:pPr>
              <w:rPr>
                <w:rFonts w:ascii="宋体" w:hAnsi="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bCs/>
                <w:color w:val="FF0000"/>
                <w:szCs w:val="21"/>
              </w:rPr>
            </w:pPr>
            <w:r>
              <w:rPr>
                <w:rFonts w:ascii="宋体" w:hAnsi="宋体" w:cs="宋体" w:hint="eastAsia"/>
                <w:b/>
                <w:bCs/>
                <w:color w:val="FF0000"/>
                <w:szCs w:val="21"/>
              </w:rPr>
              <w:t>14.2.1</w:t>
            </w:r>
            <w:r>
              <w:rPr>
                <w:rFonts w:hAnsi="宋体" w:hint="eastAsia"/>
                <w:color w:val="FF0000"/>
                <w:kern w:val="0"/>
                <w:szCs w:val="21"/>
                <w:highlight w:val="yellow"/>
              </w:rPr>
              <w:t>★</w:t>
            </w:r>
            <w:r>
              <w:rPr>
                <w:rFonts w:ascii="宋体" w:hAnsi="宋体" w:cs="宋体" w:hint="eastAsia"/>
                <w:b/>
                <w:bCs/>
                <w:color w:val="FF0000"/>
                <w:szCs w:val="21"/>
              </w:rPr>
              <w:t>耐污染性：依据GB17657-2013标准，将铝合金管件浸泡在饱和氯化钠溶液、5%肥皂水、70%乙醇、30%氢氧化钠、30%氯化钠、99%甲苯、99.5%乙醚、10%乙酸中48小时，试验后样品表面无明显变化,检测结果达5级，提供20</w:t>
            </w:r>
            <w:r>
              <w:rPr>
                <w:rFonts w:ascii="宋体" w:hAnsi="宋体" w:cs="宋体"/>
                <w:b/>
                <w:bCs/>
                <w:color w:val="FF0000"/>
                <w:szCs w:val="21"/>
              </w:rPr>
              <w:t>17</w:t>
            </w:r>
            <w:r>
              <w:rPr>
                <w:rFonts w:ascii="宋体" w:hAnsi="宋体" w:cs="宋体" w:hint="eastAsia"/>
                <w:b/>
                <w:bCs/>
                <w:color w:val="FF0000"/>
                <w:szCs w:val="21"/>
              </w:rPr>
              <w:t>年1月1日至本项目投标截止日第三方检验检测机构出具的具有CMA标识的检验（检测）报告扫描件，原件备查。</w:t>
            </w: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c>
          <w:tcPr>
            <w:tcW w:w="654" w:type="pct"/>
          </w:tcPr>
          <w:p>
            <w:pPr>
              <w:rPr>
                <w:rFonts w:ascii="宋体" w:hAnsi="宋体" w:cs="宋体" w:hint="eastAsia"/>
                <w:b/>
                <w:bCs/>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14.2.2耐高温性：温度110℃，持续时间24h,试验后试样形状完整，色泽均匀，外表面平整、光滑、无流淌、凹陷等变化。</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rFonts w:hint="eastAsia"/>
                <w:color w:val="000000"/>
                <w:szCs w:val="21"/>
              </w:rPr>
            </w:pPr>
          </w:p>
        </w:tc>
        <w:tc>
          <w:tcPr>
            <w:tcW w:w="956" w:type="pct"/>
            <w:vMerge/>
          </w:tcPr>
          <w:p>
            <w:pPr>
              <w:jc w:val="center"/>
              <w:rPr>
                <w:rFonts w:hint="eastAsia"/>
                <w:color w:val="000000"/>
                <w:szCs w:val="21"/>
              </w:rPr>
            </w:pPr>
          </w:p>
        </w:tc>
        <w:tc>
          <w:tcPr>
            <w:tcW w:w="1836" w:type="pct"/>
          </w:tcPr>
          <w:p>
            <w:pPr>
              <w:rPr>
                <w:rFonts w:ascii="宋体" w:hAnsi="宋体" w:cs="宋体" w:hint="eastAsia"/>
                <w:b w:val="0"/>
                <w:bCs/>
                <w:color w:val="auto"/>
                <w:szCs w:val="21"/>
              </w:rPr>
            </w:pPr>
            <w:r>
              <w:rPr>
                <w:rFonts w:ascii="宋体" w:hAnsi="宋体" w:cs="宋体" w:hint="eastAsia"/>
                <w:b w:val="0"/>
                <w:bCs/>
                <w:color w:val="auto"/>
                <w:szCs w:val="21"/>
              </w:rPr>
              <w:t>14.2.</w:t>
            </w:r>
            <w:r>
              <w:rPr>
                <w:rFonts w:ascii="宋体" w:hAnsi="宋体" w:cs="宋体"/>
                <w:b w:val="0"/>
                <w:bCs/>
                <w:color w:val="auto"/>
                <w:szCs w:val="21"/>
              </w:rPr>
              <w:t>3</w:t>
            </w:r>
            <w:r>
              <w:rPr>
                <w:rFonts w:ascii="宋体" w:hAnsi="宋体" w:cs="宋体" w:hint="eastAsia"/>
                <w:b w:val="0"/>
                <w:bCs/>
                <w:color w:val="auto"/>
                <w:szCs w:val="21"/>
              </w:rPr>
              <w:t>提供第三方检测机构出具的RoHS环保测试报告；</w:t>
            </w: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c>
          <w:tcPr>
            <w:tcW w:w="654" w:type="pct"/>
          </w:tcPr>
          <w:p>
            <w:pPr>
              <w:rPr>
                <w:rFonts w:ascii="宋体" w:hAnsi="宋体" w:cs="宋体" w:hint="eastAsia"/>
                <w:b w:val="0"/>
                <w:bCs/>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w:t>
            </w:r>
            <w:r>
              <w:rPr>
                <w:rFonts w:ascii="宋体" w:hAnsi="宋体" w:cs="宋体"/>
                <w:szCs w:val="21"/>
              </w:rPr>
              <w:t>3</w:t>
            </w:r>
            <w:r>
              <w:rPr>
                <w:rFonts w:ascii="宋体" w:hAnsi="宋体" w:cs="宋体" w:hint="eastAsia"/>
                <w:szCs w:val="21"/>
              </w:rPr>
              <w:t>关节：高密度PP材质，可360°旋转调节方向，易拆卸、重组及清洗；</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w:t>
            </w:r>
            <w:r>
              <w:rPr>
                <w:rFonts w:ascii="宋体" w:hAnsi="宋体" w:cs="宋体"/>
                <w:szCs w:val="21"/>
              </w:rPr>
              <w:t>4</w:t>
            </w:r>
            <w:r>
              <w:rPr>
                <w:rFonts w:ascii="宋体" w:hAnsi="宋体" w:cs="宋体" w:hint="eastAsia"/>
                <w:szCs w:val="21"/>
              </w:rPr>
              <w:t>关节密封圈：不易老化之高密度橡胶；</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w:t>
            </w:r>
            <w:r>
              <w:rPr>
                <w:rFonts w:ascii="宋体" w:hAnsi="宋体" w:cs="宋体"/>
                <w:szCs w:val="21"/>
              </w:rPr>
              <w:t>5</w:t>
            </w:r>
            <w:r>
              <w:rPr>
                <w:rFonts w:ascii="宋体" w:hAnsi="宋体" w:cs="宋体" w:hint="eastAsia"/>
                <w:szCs w:val="21"/>
              </w:rPr>
              <w:t>关节连接杆：304不锈钢；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14.5关节松紧旋钮：全铜材质确保螺纹不滑丝，内嵌不锈钢轴承，与关节连接杆锁合；</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14.6气流调节阀：手动调节外部阀门旋钮，控制进入之气流量；</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14.7伸缩导管φ88mm铝合金管；</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14.8铝合金360°旋转装置：以固定架为中心最大活动半径≥2000mm；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14.9拱型/杯型集气罩：高密度PP/PC材质；</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14.10固定底座：铝合金材质由模具注塑一体成型，牢度强，不脱底。安装更方便，且安装后外观平整度高，光滑无凹凸，不易变形；</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szCs w:val="21"/>
              </w:rPr>
            </w:pPr>
          </w:p>
        </w:tc>
        <w:tc>
          <w:tcPr>
            <w:tcW w:w="1836" w:type="pct"/>
          </w:tcPr>
          <w:p>
            <w:pPr>
              <w:rPr>
                <w:rFonts w:ascii="宋体" w:hAnsi="宋体" w:cs="宋体"/>
                <w:bCs/>
                <w:szCs w:val="21"/>
              </w:rPr>
            </w:pPr>
            <w:r>
              <w:rPr>
                <w:rFonts w:ascii="宋体" w:hAnsi="宋体" w:cs="宋体" w:hint="eastAsia"/>
                <w:bCs/>
                <w:szCs w:val="21"/>
              </w:rPr>
              <w:t>14.11常温下，将试样浸泡在30%硫酸、30%硝酸、30%盐酸、30%氢氧化钠、甲苯及乙醚、10%乙酸、70%乙醇、15%次氯酸钠、饱和NaCl及5%肥皂水中48小时，试验后样品表面无明显变化；</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
                <w:color w:val="FF0000"/>
                <w:szCs w:val="21"/>
              </w:rPr>
            </w:pPr>
            <w:r>
              <w:rPr>
                <w:rFonts w:ascii="宋体" w:hAnsi="宋体" w:cs="宋体" w:hint="eastAsia"/>
                <w:b/>
                <w:color w:val="FF0000"/>
                <w:szCs w:val="21"/>
              </w:rPr>
              <w:t>14.1</w:t>
            </w:r>
            <w:r>
              <w:rPr>
                <w:rFonts w:ascii="宋体" w:hAnsi="宋体" w:cs="宋体"/>
                <w:b/>
                <w:color w:val="FF0000"/>
                <w:szCs w:val="21"/>
              </w:rPr>
              <w:t>2</w:t>
            </w:r>
            <w:r>
              <w:rPr>
                <w:rFonts w:ascii="宋体" w:hAnsi="宋体" w:cs="宋体" w:hint="eastAsia"/>
                <w:b/>
                <w:color w:val="FF0000"/>
                <w:szCs w:val="21"/>
              </w:rPr>
              <w:t>投标人提供国内保险公司产品（万向排气罩）承保合同扫描件加盖投标人公章；</w:t>
            </w: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c>
          <w:tcPr>
            <w:tcW w:w="654" w:type="pct"/>
          </w:tcPr>
          <w:p>
            <w:pPr>
              <w:rPr>
                <w:rFonts w:ascii="宋体" w:hAnsi="宋体" w:cs="宋体" w:hint="eastAsia"/>
                <w:b/>
                <w:color w:val="FF0000"/>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color w:val="auto"/>
                <w:szCs w:val="21"/>
              </w:rPr>
            </w:pPr>
            <w:r>
              <w:rPr>
                <w:rFonts w:ascii="宋体" w:hAnsi="宋体" w:cs="宋体" w:hint="eastAsia"/>
                <w:color w:val="auto"/>
                <w:szCs w:val="21"/>
              </w:rPr>
              <w:t>14.1</w:t>
            </w:r>
            <w:r>
              <w:rPr>
                <w:rFonts w:ascii="宋体" w:hAnsi="宋体" w:cs="宋体"/>
                <w:color w:val="auto"/>
                <w:szCs w:val="21"/>
              </w:rPr>
              <w:t>3</w:t>
            </w:r>
            <w:r>
              <w:rPr>
                <w:rFonts w:hAnsi="宋体" w:hint="eastAsia"/>
                <w:color w:val="FF0000"/>
                <w:kern w:val="0"/>
                <w:szCs w:val="21"/>
                <w:highlight w:val="yellow"/>
              </w:rPr>
              <w:t>★</w:t>
            </w:r>
            <w:r>
              <w:rPr>
                <w:rFonts w:ascii="宋体" w:hAnsi="宋体" w:cs="宋体" w:hint="eastAsia"/>
                <w:color w:val="auto"/>
                <w:szCs w:val="21"/>
              </w:rPr>
              <w:t>要求：完成万向排风罩接入实验室排风管，并完成调试。</w:t>
            </w:r>
          </w:p>
        </w:tc>
        <w:tc>
          <w:tcPr>
            <w:tcW w:w="654" w:type="pct"/>
          </w:tcPr>
          <w:p>
            <w:pPr>
              <w:rPr>
                <w:rFonts w:ascii="宋体" w:hAnsi="宋体" w:cs="宋体" w:hint="eastAsia"/>
                <w:color w:val="auto"/>
                <w:szCs w:val="21"/>
              </w:rPr>
            </w:pPr>
          </w:p>
        </w:tc>
        <w:tc>
          <w:tcPr>
            <w:tcW w:w="654" w:type="pct"/>
          </w:tcPr>
          <w:p>
            <w:pPr>
              <w:rPr>
                <w:rFonts w:ascii="宋体" w:hAnsi="宋体" w:cs="宋体" w:hint="eastAsia"/>
                <w:color w:val="auto"/>
                <w:szCs w:val="21"/>
              </w:rPr>
            </w:pPr>
          </w:p>
        </w:tc>
        <w:tc>
          <w:tcPr>
            <w:tcW w:w="654" w:type="pct"/>
          </w:tcPr>
          <w:p>
            <w:pPr>
              <w:rPr>
                <w:rFonts w:ascii="宋体" w:hAnsi="宋体" w:cs="宋体" w:hint="eastAsia"/>
                <w:color w:val="auto"/>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15</w:t>
            </w:r>
          </w:p>
        </w:tc>
        <w:tc>
          <w:tcPr>
            <w:tcW w:w="956" w:type="pct"/>
            <w:vMerge w:val="restart"/>
          </w:tcPr>
          <w:p>
            <w:pPr>
              <w:jc w:val="center"/>
              <w:rPr>
                <w:color w:val="000000"/>
                <w:szCs w:val="21"/>
              </w:rPr>
            </w:pPr>
            <w:r>
              <w:rPr>
                <w:rFonts w:hint="eastAsia"/>
                <w:color w:val="000000"/>
                <w:szCs w:val="21"/>
              </w:rPr>
              <w:t>承载式天花、自动伸缩卷线器</w:t>
            </w:r>
          </w:p>
        </w:tc>
        <w:tc>
          <w:tcPr>
            <w:tcW w:w="1836" w:type="pct"/>
          </w:tcPr>
          <w:p>
            <w:pPr>
              <w:rPr>
                <w:rFonts w:ascii="宋体" w:hAnsi="宋体" w:cs="宋体"/>
                <w:szCs w:val="21"/>
              </w:rPr>
            </w:pPr>
            <w:r>
              <w:rPr>
                <w:rFonts w:ascii="宋体" w:hAnsi="宋体" w:cs="宋体" w:hint="eastAsia"/>
                <w:szCs w:val="21"/>
              </w:rPr>
              <w:t>15.1材质要求：铝合金型材、耐酸碱、耐腐蚀；</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15.2型材采用：50mm*50mm铝合金吊杠、横梁采用：50*50铝合金。</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15.3要求：吊架采用装配式工艺，在工厂里预制加工成半成品，在现场采用可拆装式工艺装配，不允许在现场焊接打磨施工。主龙骨与主龙骨链接工艺：采用哨子链接方式，外围四角加强力角件。部件尺寸同厂家同款铝型材配套。</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15.4主副龙骨链接工艺： 采用哨子链接方式，主龙骨悬挂楼顶： 膨胀螺栓连接∅10mm丝杆，固定铝脚板。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15.5自动伸缩型卷管器（电鼓）：型号3*4平方/10米配排插，380V不配排插。外壳材料：工程ABS，线缆材质：全钱芯线+双层胶皮外层。</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15.6</w:t>
            </w:r>
            <w:r>
              <w:rPr>
                <w:rFonts w:hAnsi="宋体" w:hint="eastAsia"/>
                <w:color w:val="FF0000"/>
                <w:kern w:val="0"/>
                <w:szCs w:val="21"/>
                <w:highlight w:val="yellow"/>
              </w:rPr>
              <w:t>★</w:t>
            </w:r>
            <w:r>
              <w:rPr>
                <w:rFonts w:ascii="宋体" w:hAnsi="宋体" w:cs="宋体" w:hint="eastAsia"/>
                <w:szCs w:val="21"/>
              </w:rPr>
              <w:t>根据实验室预留电源情况，合理布置线缆完成台柜接线。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16</w:t>
            </w:r>
          </w:p>
        </w:tc>
        <w:tc>
          <w:tcPr>
            <w:tcW w:w="956" w:type="pct"/>
            <w:vMerge w:val="restart"/>
          </w:tcPr>
          <w:p>
            <w:pPr>
              <w:jc w:val="center"/>
              <w:rPr>
                <w:color w:val="000000"/>
                <w:szCs w:val="21"/>
              </w:rPr>
            </w:pPr>
            <w:r>
              <w:rPr>
                <w:rFonts w:hint="eastAsia"/>
                <w:color w:val="000000"/>
                <w:szCs w:val="21"/>
              </w:rPr>
              <w:t>插座盒</w:t>
            </w:r>
          </w:p>
        </w:tc>
        <w:tc>
          <w:tcPr>
            <w:tcW w:w="1836" w:type="pct"/>
          </w:tcPr>
          <w:p>
            <w:pPr>
              <w:rPr>
                <w:rFonts w:ascii="宋体" w:hAnsi="宋体" w:cs="宋体"/>
                <w:szCs w:val="21"/>
              </w:rPr>
            </w:pPr>
            <w:r>
              <w:rPr>
                <w:rFonts w:ascii="宋体" w:hAnsi="宋体" w:cs="宋体" w:hint="eastAsia"/>
                <w:szCs w:val="21"/>
              </w:rPr>
              <w:t>16.1材料采用厚1.0mm优质冷轧钢板，经过磷化处理，再经乳白色EPOXY涂层厚度为90微米，最后经高温烘烤制作而成，规格是120mm*85mm*85mm。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16.2插座面板：面板是PC材料、外观尺寸是86*86mm,插孔电流：10A\16A，单位孔数五孔或三孔。铜片材质：磷青铜。</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hint="eastAsia"/>
                <w:bCs/>
                <w:szCs w:val="21"/>
              </w:rPr>
            </w:pPr>
            <w:r>
              <w:rPr>
                <w:rFonts w:ascii="宋体" w:hAnsi="宋体" w:cs="宋体" w:hint="eastAsia"/>
                <w:bCs/>
                <w:szCs w:val="21"/>
              </w:rPr>
              <w:t>1</w:t>
            </w:r>
            <w:r>
              <w:rPr>
                <w:rFonts w:ascii="宋体" w:hAnsi="宋体" w:cs="宋体"/>
                <w:bCs/>
                <w:szCs w:val="21"/>
              </w:rPr>
              <w:t>6</w:t>
            </w:r>
            <w:r>
              <w:rPr>
                <w:rFonts w:ascii="宋体" w:hAnsi="宋体" w:cs="宋体" w:hint="eastAsia"/>
                <w:bCs/>
                <w:szCs w:val="21"/>
              </w:rPr>
              <w:t>.</w:t>
            </w:r>
            <w:r>
              <w:rPr>
                <w:rFonts w:ascii="宋体" w:hAnsi="宋体" w:cs="宋体"/>
                <w:bCs/>
                <w:szCs w:val="21"/>
              </w:rPr>
              <w:t>3</w:t>
            </w:r>
            <w:r>
              <w:rPr>
                <w:rFonts w:ascii="宋体" w:hAnsi="宋体" w:cs="宋体" w:hint="eastAsia"/>
                <w:bCs/>
                <w:szCs w:val="21"/>
              </w:rPr>
              <w:t>须符合以下技术参数要求：</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16.3.1中央台插座布置：每1.5米6个10A 5孔插座。</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16.</w:t>
            </w:r>
            <w:r>
              <w:rPr>
                <w:rFonts w:ascii="宋体" w:hAnsi="宋体" w:cs="宋体"/>
                <w:bCs/>
                <w:szCs w:val="21"/>
              </w:rPr>
              <w:t>3</w:t>
            </w:r>
            <w:r>
              <w:rPr>
                <w:rFonts w:ascii="宋体" w:hAnsi="宋体" w:cs="宋体" w:hint="eastAsia"/>
                <w:bCs/>
                <w:szCs w:val="21"/>
              </w:rPr>
              <w:t>．</w:t>
            </w:r>
            <w:r>
              <w:rPr>
                <w:rFonts w:ascii="宋体" w:hAnsi="宋体" w:cs="宋体"/>
                <w:bCs/>
                <w:szCs w:val="21"/>
              </w:rPr>
              <w:t>2</w:t>
            </w:r>
            <w:r>
              <w:rPr>
                <w:rFonts w:ascii="宋体" w:hAnsi="宋体" w:cs="宋体" w:hint="eastAsia"/>
                <w:bCs/>
                <w:szCs w:val="21"/>
              </w:rPr>
              <w:t>各类边台插座布置：每1.5米3个10A 5孔插座。</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16.3.</w:t>
            </w:r>
            <w:r>
              <w:rPr>
                <w:rFonts w:ascii="宋体" w:hAnsi="宋体" w:cs="宋体"/>
                <w:bCs/>
                <w:szCs w:val="21"/>
              </w:rPr>
              <w:t>3</w:t>
            </w:r>
            <w:r>
              <w:rPr>
                <w:rFonts w:ascii="宋体" w:hAnsi="宋体" w:cs="宋体" w:hint="eastAsia"/>
                <w:bCs/>
                <w:szCs w:val="21"/>
              </w:rPr>
              <w:t>仪器台插座布置：每1.5米6个10A 5孔插座。</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val="restart"/>
          </w:tcPr>
          <w:p>
            <w:pPr>
              <w:jc w:val="center"/>
              <w:rPr>
                <w:color w:val="000000"/>
                <w:szCs w:val="21"/>
              </w:rPr>
            </w:pPr>
            <w:r>
              <w:rPr>
                <w:rFonts w:hint="eastAsia"/>
                <w:color w:val="000000"/>
                <w:szCs w:val="21"/>
              </w:rPr>
              <w:t>17</w:t>
            </w:r>
          </w:p>
        </w:tc>
        <w:tc>
          <w:tcPr>
            <w:tcW w:w="956" w:type="pct"/>
            <w:vMerge w:val="restart"/>
          </w:tcPr>
          <w:p>
            <w:pPr>
              <w:jc w:val="center"/>
              <w:rPr>
                <w:color w:val="000000"/>
                <w:szCs w:val="21"/>
              </w:rPr>
            </w:pPr>
            <w:r>
              <w:rPr>
                <w:rFonts w:hint="eastAsia"/>
                <w:color w:val="000000"/>
                <w:szCs w:val="21"/>
              </w:rPr>
              <w:t>护墙板</w:t>
            </w:r>
          </w:p>
        </w:tc>
        <w:tc>
          <w:tcPr>
            <w:tcW w:w="1836" w:type="pct"/>
          </w:tcPr>
          <w:p>
            <w:pPr>
              <w:rPr>
                <w:rFonts w:ascii="宋体" w:hAnsi="宋体" w:cs="宋体"/>
                <w:szCs w:val="21"/>
              </w:rPr>
            </w:pPr>
            <w:r>
              <w:rPr>
                <w:rFonts w:ascii="宋体" w:hAnsi="宋体" w:cs="宋体" w:hint="eastAsia"/>
                <w:szCs w:val="21"/>
              </w:rPr>
              <w:t>17.1采用SUS304不锈钢，钢板厚度≥1.mm。</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17.2内嵌10mm厚夹板。</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253"/>
        </w:trPr>
        <w:tc>
          <w:tcPr>
            <w:tcW w:w="243" w:type="pct"/>
            <w:vMerge w:val="restart"/>
          </w:tcPr>
          <w:p>
            <w:pPr>
              <w:jc w:val="center"/>
              <w:rPr>
                <w:color w:val="000000"/>
                <w:szCs w:val="21"/>
              </w:rPr>
            </w:pPr>
            <w:r>
              <w:rPr>
                <w:rFonts w:hint="eastAsia"/>
                <w:color w:val="000000"/>
                <w:szCs w:val="21"/>
              </w:rPr>
              <w:t>18</w:t>
            </w:r>
          </w:p>
        </w:tc>
        <w:tc>
          <w:tcPr>
            <w:tcW w:w="956" w:type="pct"/>
            <w:vMerge w:val="restart"/>
          </w:tcPr>
          <w:p>
            <w:pPr>
              <w:jc w:val="center"/>
              <w:rPr>
                <w:color w:val="000000"/>
                <w:szCs w:val="21"/>
              </w:rPr>
            </w:pPr>
            <w:r>
              <w:rPr>
                <w:rFonts w:hint="eastAsia"/>
                <w:color w:val="000000"/>
                <w:szCs w:val="21"/>
              </w:rPr>
              <w:t>实验凳</w:t>
            </w:r>
          </w:p>
        </w:tc>
        <w:tc>
          <w:tcPr>
            <w:tcW w:w="1836" w:type="pct"/>
          </w:tcPr>
          <w:p>
            <w:pPr>
              <w:rPr>
                <w:rFonts w:ascii="宋体" w:hAnsi="宋体" w:cs="宋体"/>
                <w:szCs w:val="21"/>
              </w:rPr>
            </w:pPr>
            <w:r>
              <w:rPr>
                <w:rFonts w:ascii="宋体" w:hAnsi="宋体" w:cs="宋体" w:hint="eastAsia"/>
                <w:szCs w:val="21"/>
              </w:rPr>
              <w:t>18.1主体SUS304不锈钢材质支撑及凳面，气动升降；</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bCs/>
                <w:szCs w:val="21"/>
              </w:rPr>
            </w:pPr>
            <w:r>
              <w:rPr>
                <w:rFonts w:ascii="宋体" w:hAnsi="宋体" w:cs="宋体" w:hint="eastAsia"/>
                <w:bCs/>
                <w:szCs w:val="21"/>
              </w:rPr>
              <w:t>18.2气杆：要求采用通过第三方检测机构质量认证的防爆气杆；</w:t>
            </w: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c>
          <w:tcPr>
            <w:tcW w:w="654" w:type="pct"/>
          </w:tcPr>
          <w:p>
            <w:pPr>
              <w:rPr>
                <w:rFonts w:ascii="宋体" w:hAnsi="宋体" w:cs="宋体" w:hint="eastAsia"/>
                <w:bCs/>
                <w:szCs w:val="21"/>
              </w:rPr>
            </w:pPr>
          </w:p>
        </w:tc>
      </w:tr>
      <w:tr>
        <w:tblPrEx>
          <w:tblW w:w="4997" w:type="pct"/>
          <w:tblCellMar>
            <w:top w:w="0" w:type="dxa"/>
            <w:left w:w="108" w:type="dxa"/>
            <w:bottom w:w="0" w:type="dxa"/>
            <w:right w:w="108" w:type="dxa"/>
          </w:tblCellMar>
          <w:tblLook w:val="0000"/>
        </w:tblPrEx>
        <w:trPr>
          <w:trHeight w:val="170"/>
        </w:trPr>
        <w:tc>
          <w:tcPr>
            <w:tcW w:w="243" w:type="pct"/>
            <w:vMerge/>
          </w:tcPr>
          <w:p>
            <w:pPr>
              <w:jc w:val="center"/>
              <w:rPr>
                <w:color w:val="000000"/>
                <w:szCs w:val="21"/>
              </w:rPr>
            </w:pPr>
          </w:p>
        </w:tc>
        <w:tc>
          <w:tcPr>
            <w:tcW w:w="956" w:type="pct"/>
            <w:vMerge/>
          </w:tcPr>
          <w:p>
            <w:pPr>
              <w:rPr>
                <w:color w:val="000000"/>
                <w:szCs w:val="21"/>
              </w:rPr>
            </w:pPr>
          </w:p>
        </w:tc>
        <w:tc>
          <w:tcPr>
            <w:tcW w:w="1836" w:type="pct"/>
          </w:tcPr>
          <w:p>
            <w:pPr>
              <w:rPr>
                <w:rFonts w:ascii="宋体" w:hAnsi="宋体" w:cs="宋体"/>
                <w:szCs w:val="21"/>
              </w:rPr>
            </w:pPr>
            <w:r>
              <w:rPr>
                <w:rFonts w:ascii="宋体" w:hAnsi="宋体" w:cs="宋体" w:hint="eastAsia"/>
                <w:szCs w:val="21"/>
              </w:rPr>
              <w:t>18.3凳脚：采用脚垫非滑轮；</w:t>
            </w: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c>
          <w:tcPr>
            <w:tcW w:w="654" w:type="pct"/>
          </w:tcPr>
          <w:p>
            <w:pPr>
              <w:rPr>
                <w:rFonts w:ascii="宋体" w:hAnsi="宋体" w:cs="宋体" w:hint="eastAsia"/>
                <w:szCs w:val="21"/>
              </w:rPr>
            </w:pPr>
          </w:p>
        </w:tc>
      </w:tr>
    </w:tbl>
    <w:p>
      <w:pPr>
        <w:rPr>
          <w:sz w:val="24"/>
        </w:rPr>
      </w:pPr>
    </w:p>
    <w:p>
      <w:pPr>
        <w:rPr>
          <w:b/>
          <w:sz w:val="24"/>
        </w:rPr>
      </w:pPr>
      <w:bookmarkStart w:id="95" w:name="_Hlk72095977"/>
      <w:r>
        <w:rPr>
          <w:rFonts w:hint="eastAsia"/>
          <w:sz w:val="24"/>
        </w:rPr>
        <w:t>证明资料【如有的话，供应商提供的证明资料应统一编号（排序），格式自定】</w:t>
      </w:r>
      <w:bookmarkEnd w:id="95"/>
      <w:r>
        <w:rPr>
          <w:rFonts w:hint="eastAsia"/>
          <w:sz w:val="24"/>
        </w:rPr>
        <w:t>：</w:t>
      </w:r>
    </w:p>
    <w:p>
      <w:pPr>
        <w:ind w:firstLine="420" w:firstLineChars="200"/>
        <w:rPr>
          <w:b/>
          <w:sz w:val="24"/>
        </w:rPr>
      </w:pPr>
      <w:r>
        <w:rPr>
          <w:rFonts w:hint="eastAsia"/>
          <w:b/>
          <w:sz w:val="24"/>
        </w:rPr>
        <w:t>《技术要求偏离表》编制指引：</w:t>
      </w:r>
    </w:p>
    <w:p>
      <w:pPr>
        <w:ind w:firstLine="420" w:firstLineChars="200"/>
        <w:rPr>
          <w:b/>
          <w:sz w:val="24"/>
        </w:rPr>
      </w:pPr>
      <w:r>
        <w:rPr>
          <w:rFonts w:hint="eastAsia"/>
          <w:b/>
          <w:sz w:val="24"/>
        </w:rPr>
        <w:t>1、技术要求偏离表的序号、货物名称、招标技术要求等栏目</w:t>
      </w:r>
      <w:bookmarkStart w:id="96" w:name="_Hlk72094407"/>
      <w:r>
        <w:rPr>
          <w:rFonts w:hint="eastAsia"/>
          <w:b/>
          <w:sz w:val="24"/>
        </w:rPr>
        <w:t>对应“用户需求书”中的“技术要求”章节</w:t>
      </w:r>
      <w:bookmarkEnd w:id="96"/>
      <w:r>
        <w:rPr>
          <w:rFonts w:hint="eastAsia"/>
          <w:b/>
          <w:sz w:val="24"/>
        </w:rPr>
        <w:t>相关内容。</w:t>
      </w:r>
    </w:p>
    <w:p>
      <w:pPr>
        <w:ind w:firstLine="420" w:firstLineChars="200"/>
        <w:rPr>
          <w:b/>
          <w:sz w:val="24"/>
        </w:rPr>
      </w:pPr>
      <w:r>
        <w:rPr>
          <w:b/>
          <w:sz w:val="24"/>
        </w:rPr>
        <w:t>2</w:t>
      </w:r>
      <w:r>
        <w:rPr>
          <w:rFonts w:hint="eastAsia"/>
          <w:b/>
          <w:sz w:val="24"/>
        </w:rPr>
        <w:t>、“投标技术响应”一栏必须一一对照“招标技术要求”，详细填写投标人自身投标货物的具体参数，以体现具体响应情况。</w:t>
      </w:r>
    </w:p>
    <w:p>
      <w:pPr>
        <w:ind w:firstLine="420" w:firstLineChars="200"/>
        <w:rPr>
          <w:b/>
          <w:sz w:val="24"/>
        </w:rPr>
      </w:pPr>
      <w:r>
        <w:rPr>
          <w:b/>
          <w:sz w:val="24"/>
        </w:rPr>
        <w:t>3</w:t>
      </w:r>
      <w:r>
        <w:rPr>
          <w:rFonts w:hint="eastAsia"/>
          <w:b/>
          <w:sz w:val="24"/>
        </w:rPr>
        <w:t>、</w:t>
      </w:r>
      <w:bookmarkStart w:id="97" w:name="_Hlk72158270"/>
      <w:r>
        <w:rPr>
          <w:rFonts w:hint="eastAsia"/>
          <w:b/>
          <w:sz w:val="24"/>
        </w:rPr>
        <w:t>“偏离情况”</w:t>
      </w:r>
      <w:bookmarkEnd w:id="97"/>
      <w:r>
        <w:rPr>
          <w:rFonts w:hint="eastAsia"/>
          <w:b/>
          <w:sz w:val="24"/>
        </w:rPr>
        <w:t>一栏填写如实填写“正偏离”、“负偏离”或“无偏离”，其中：</w:t>
      </w:r>
      <w:bookmarkStart w:id="98" w:name="_Hlk72093866"/>
      <w:r>
        <w:rPr>
          <w:rFonts w:hint="eastAsia"/>
          <w:b/>
          <w:sz w:val="24"/>
        </w:rPr>
        <w:t>“正偏离”表示“投标响应优于招标技术要求”，“负偏离”表示“投标响应不满足招标技术要求”，“无偏离”表示“投标响应与招标技术要求一致”</w:t>
      </w:r>
      <w:bookmarkEnd w:id="98"/>
      <w:r>
        <w:rPr>
          <w:rFonts w:hint="eastAsia"/>
          <w:b/>
          <w:sz w:val="24"/>
        </w:rPr>
        <w:t>。“投标技术响应”对比“招标技术要求”存在响应不全（包括未响应整项招标技术要求或者未响应一项招标技术要求的部分内容），均视为“负偏离”。</w:t>
      </w:r>
    </w:p>
    <w:p>
      <w:pPr>
        <w:ind w:firstLine="420" w:firstLineChars="200"/>
        <w:rPr>
          <w:b/>
          <w:sz w:val="24"/>
        </w:rPr>
      </w:pPr>
      <w:r>
        <w:rPr>
          <w:b/>
          <w:sz w:val="24"/>
        </w:rPr>
        <w:t>4</w:t>
      </w:r>
      <w:r>
        <w:rPr>
          <w:rFonts w:hint="eastAsia"/>
          <w:b/>
          <w:sz w:val="24"/>
        </w:rPr>
        <w:t>、未要求提供证明资料的招标技术要求，可以不提供证明资料（如实响应即可）。</w:t>
      </w:r>
    </w:p>
    <w:p>
      <w:pPr>
        <w:ind w:firstLine="420" w:firstLineChars="200"/>
        <w:rPr>
          <w:b/>
          <w:sz w:val="24"/>
        </w:rPr>
      </w:pPr>
      <w:r>
        <w:rPr>
          <w:rFonts w:hint="eastAsia"/>
          <w:b/>
          <w:sz w:val="24"/>
        </w:rPr>
        <w:t>5、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ind w:firstLine="420" w:firstLineChars="200"/>
        <w:rPr>
          <w:b/>
          <w:sz w:val="24"/>
        </w:rPr>
      </w:pPr>
      <w:r>
        <w:rPr>
          <w:rFonts w:hint="eastAsia"/>
          <w:b/>
          <w:sz w:val="24"/>
        </w:rPr>
        <w:t>6、</w:t>
      </w:r>
      <w:bookmarkStart w:id="99" w:name="_Hlk72096176"/>
      <w:r>
        <w:rPr>
          <w:rFonts w:hint="eastAsia"/>
          <w:b/>
          <w:sz w:val="24"/>
        </w:rPr>
        <w:t>证明资料的形式及其它具体要求</w:t>
      </w:r>
      <w:bookmarkEnd w:id="99"/>
      <w:r>
        <w:rPr>
          <w:rFonts w:hint="eastAsia"/>
          <w:b/>
          <w:sz w:val="24"/>
        </w:rPr>
        <w:t>：</w:t>
      </w:r>
    </w:p>
    <w:p>
      <w:pPr>
        <w:ind w:firstLine="420" w:firstLineChars="200"/>
        <w:rPr>
          <w:b/>
          <w:sz w:val="24"/>
        </w:rPr>
      </w:pPr>
      <w:r>
        <w:rPr>
          <w:rFonts w:hint="eastAsia"/>
          <w:b/>
          <w:sz w:val="24"/>
        </w:rPr>
        <w:t>（1）除照片、图片（截图）及不需加盖公章的文字说明（技术说明）外，其它证明资料均要求为原件扫描件；</w:t>
      </w:r>
    </w:p>
    <w:p>
      <w:pPr>
        <w:ind w:firstLine="420"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
          <w:sz w:val="24"/>
        </w:rPr>
      </w:pPr>
      <w:r>
        <w:rPr>
          <w:rFonts w:hint="eastAsia"/>
          <w:b/>
          <w:sz w:val="24"/>
        </w:rPr>
        <w:t>其它证明资料的形式要求参照以上要求执行；</w:t>
      </w:r>
    </w:p>
    <w:p>
      <w:pPr>
        <w:ind w:firstLine="420" w:firstLineChars="200"/>
        <w:rPr>
          <w:b/>
          <w:sz w:val="24"/>
        </w:rPr>
      </w:pPr>
      <w:r>
        <w:rPr>
          <w:rFonts w:hint="eastAsia"/>
          <w:b/>
          <w:sz w:val="24"/>
        </w:rPr>
        <w:t>（4）证明资料均要求原件备查。</w:t>
      </w:r>
    </w:p>
    <w:p>
      <w:pPr>
        <w:ind w:firstLine="420" w:firstLineChars="200"/>
        <w:rPr>
          <w:b/>
          <w:sz w:val="24"/>
        </w:rPr>
      </w:pPr>
      <w:r>
        <w:rPr>
          <w:rFonts w:hint="eastAsia"/>
          <w:b/>
          <w:sz w:val="24"/>
        </w:rPr>
        <w:t>7、其它注意事项：评审委员会有权对投标人的响应情况作出判断（评审结论）；</w:t>
      </w:r>
    </w:p>
    <w:p>
      <w:pPr>
        <w:rPr>
          <w:sz w:val="24"/>
        </w:rPr>
      </w:pPr>
    </w:p>
    <w:p>
      <w:pPr>
        <w:pStyle w:val="Heading3"/>
        <w:jc w:val="center"/>
        <w:rPr>
          <w:sz w:val="24"/>
        </w:rPr>
      </w:pPr>
      <w:r>
        <w:rPr>
          <w:rFonts w:ascii="黑体" w:eastAsia="黑体" w:hint="eastAsia"/>
          <w:b w:val="0"/>
          <w:bCs w:val="0"/>
          <w:sz w:val="24"/>
          <w:szCs w:val="20"/>
        </w:rPr>
        <w:t>五、商务要求偏离表</w:t>
      </w:r>
    </w:p>
    <w:tbl>
      <w:tblPr>
        <w:tblStyle w:val="TableNormal"/>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134"/>
        <w:gridCol w:w="1458"/>
        <w:gridCol w:w="2823"/>
        <w:gridCol w:w="1259"/>
        <w:gridCol w:w="1136"/>
        <w:gridCol w:w="716"/>
      </w:tblGrid>
      <w:tr>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97"/>
        </w:trPr>
        <w:tc>
          <w:tcPr>
            <w:tcW w:w="665" w:type="pct"/>
            <w:vAlign w:val="center"/>
          </w:tcPr>
          <w:p>
            <w:pPr>
              <w:jc w:val="center"/>
              <w:rPr>
                <w:b/>
              </w:rPr>
            </w:pPr>
            <w:r>
              <w:rPr>
                <w:rFonts w:hint="eastAsia"/>
                <w:b/>
              </w:rPr>
              <w:t>序号</w:t>
            </w:r>
          </w:p>
        </w:tc>
        <w:tc>
          <w:tcPr>
            <w:tcW w:w="855" w:type="pct"/>
            <w:vAlign w:val="center"/>
          </w:tcPr>
          <w:p>
            <w:pPr>
              <w:jc w:val="center"/>
              <w:rPr>
                <w:b/>
              </w:rPr>
            </w:pPr>
            <w:r>
              <w:rPr>
                <w:rFonts w:hint="eastAsia"/>
                <w:b/>
              </w:rPr>
              <w:t>商务需求项</w:t>
            </w:r>
          </w:p>
        </w:tc>
        <w:tc>
          <w:tcPr>
            <w:tcW w:w="1655" w:type="pct"/>
            <w:vAlign w:val="center"/>
          </w:tcPr>
          <w:p>
            <w:pPr>
              <w:jc w:val="center"/>
              <w:rPr>
                <w:b/>
              </w:rPr>
            </w:pPr>
            <w:r>
              <w:rPr>
                <w:rFonts w:hint="eastAsia"/>
                <w:b/>
              </w:rPr>
              <w:t>招标商务要求</w:t>
            </w:r>
          </w:p>
        </w:tc>
        <w:tc>
          <w:tcPr>
            <w:tcW w:w="738" w:type="pct"/>
            <w:vAlign w:val="center"/>
          </w:tcPr>
          <w:p>
            <w:pPr>
              <w:jc w:val="center"/>
              <w:rPr>
                <w:rFonts w:hint="eastAsia"/>
                <w:b/>
              </w:rPr>
            </w:pPr>
            <w:r>
              <w:rPr>
                <w:rFonts w:hint="eastAsia"/>
                <w:b/>
              </w:rPr>
              <w:t>投标商务响应</w:t>
            </w:r>
          </w:p>
        </w:tc>
        <w:tc>
          <w:tcPr>
            <w:tcW w:w="666" w:type="pct"/>
            <w:vAlign w:val="center"/>
          </w:tcPr>
          <w:p>
            <w:pPr>
              <w:jc w:val="center"/>
              <w:rPr>
                <w:rFonts w:hint="eastAsia"/>
                <w:b/>
              </w:rPr>
            </w:pPr>
            <w:r>
              <w:rPr>
                <w:rFonts w:hint="eastAsia"/>
                <w:b/>
              </w:rPr>
              <w:t>偏离情况</w:t>
            </w:r>
          </w:p>
        </w:tc>
        <w:tc>
          <w:tcPr>
            <w:tcW w:w="419" w:type="pct"/>
            <w:vAlign w:val="center"/>
          </w:tcPr>
          <w:p>
            <w:pPr>
              <w:jc w:val="center"/>
              <w:rPr>
                <w:rFonts w:hint="eastAsia"/>
                <w:b/>
              </w:rPr>
            </w:pPr>
            <w:r>
              <w:rPr>
                <w:rFonts w:hint="eastAsia"/>
                <w:b/>
              </w:rPr>
              <w:t>说明</w:t>
            </w:r>
          </w:p>
        </w:tc>
      </w:tr>
      <w:tr>
        <w:tblPrEx>
          <w:tblW w:w="4998" w:type="pct"/>
          <w:tblCellMar>
            <w:top w:w="0" w:type="dxa"/>
            <w:left w:w="108" w:type="dxa"/>
            <w:bottom w:w="0" w:type="dxa"/>
            <w:right w:w="108" w:type="dxa"/>
          </w:tblCellMar>
          <w:tblLook w:val="0000"/>
        </w:tblPrEx>
        <w:trPr>
          <w:trHeight w:val="280"/>
        </w:trPr>
        <w:tc>
          <w:tcPr>
            <w:tcW w:w="3175" w:type="pct"/>
            <w:gridSpan w:val="3"/>
          </w:tcPr>
          <w:p>
            <w:pPr>
              <w:rPr>
                <w:b/>
              </w:rPr>
            </w:pPr>
            <w:r>
              <w:rPr>
                <w:rFonts w:hint="eastAsia"/>
                <w:b/>
              </w:rPr>
              <w:t>（一）免费保修期内售后服务要求</w:t>
            </w:r>
          </w:p>
        </w:tc>
        <w:tc>
          <w:tcPr>
            <w:tcW w:w="738" w:type="pct"/>
          </w:tcPr>
          <w:p>
            <w:pPr>
              <w:rPr>
                <w:rFonts w:hint="eastAsia"/>
                <w:b/>
              </w:rPr>
            </w:pPr>
          </w:p>
        </w:tc>
        <w:tc>
          <w:tcPr>
            <w:tcW w:w="666" w:type="pct"/>
          </w:tcPr>
          <w:p>
            <w:pPr>
              <w:rPr>
                <w:rFonts w:hint="eastAsia"/>
                <w:b/>
              </w:rPr>
            </w:pPr>
          </w:p>
        </w:tc>
        <w:tc>
          <w:tcPr>
            <w:tcW w:w="419" w:type="pct"/>
          </w:tcPr>
          <w:p>
            <w:pPr>
              <w:rPr>
                <w:rFonts w:hint="eastAsia"/>
                <w:b/>
              </w:rPr>
            </w:pPr>
          </w:p>
        </w:tc>
      </w:tr>
      <w:tr>
        <w:tblPrEx>
          <w:tblW w:w="4998" w:type="pct"/>
          <w:tblCellMar>
            <w:top w:w="0" w:type="dxa"/>
            <w:left w:w="108" w:type="dxa"/>
            <w:bottom w:w="0" w:type="dxa"/>
            <w:right w:w="108" w:type="dxa"/>
          </w:tblCellMar>
          <w:tblLook w:val="0000"/>
        </w:tblPrEx>
        <w:trPr>
          <w:trHeight w:val="523"/>
        </w:trPr>
        <w:tc>
          <w:tcPr>
            <w:tcW w:w="665" w:type="pct"/>
            <w:vAlign w:val="center"/>
          </w:tcPr>
          <w:p>
            <w:pPr>
              <w:jc w:val="center"/>
              <w:rPr>
                <w:b/>
              </w:rPr>
            </w:pPr>
            <w:r>
              <w:rPr>
                <w:rFonts w:hint="eastAsia"/>
                <w:b/>
              </w:rPr>
              <w:t>1</w:t>
            </w:r>
          </w:p>
        </w:tc>
        <w:tc>
          <w:tcPr>
            <w:tcW w:w="855" w:type="pct"/>
            <w:vAlign w:val="center"/>
          </w:tcPr>
          <w:p>
            <w:r>
              <w:rPr>
                <w:rFonts w:ascii="宋体" w:hAnsi="宋体" w:cs="宋体" w:hint="eastAsia"/>
                <w:b/>
                <w:szCs w:val="21"/>
              </w:rPr>
              <w:t>★</w:t>
            </w:r>
            <w:r>
              <w:rPr>
                <w:rFonts w:hint="eastAsia"/>
              </w:rPr>
              <w:t>售后服务</w:t>
            </w:r>
          </w:p>
        </w:tc>
        <w:tc>
          <w:tcPr>
            <w:tcW w:w="1655" w:type="pct"/>
            <w:vAlign w:val="center"/>
          </w:tcPr>
          <w:p>
            <w:pPr>
              <w:rPr>
                <w:bCs/>
                <w:szCs w:val="21"/>
              </w:rPr>
            </w:pPr>
            <w:r>
              <w:rPr>
                <w:bCs/>
                <w:szCs w:val="21"/>
              </w:rPr>
              <w:t>投标人</w:t>
            </w:r>
            <w:r>
              <w:rPr>
                <w:rFonts w:hint="eastAsia"/>
                <w:bCs/>
                <w:szCs w:val="21"/>
              </w:rPr>
              <w:t>或所投产品制造商</w:t>
            </w:r>
            <w:r>
              <w:rPr>
                <w:bCs/>
                <w:szCs w:val="21"/>
              </w:rPr>
              <w:t>应具有规范的实验室家具生产基地</w:t>
            </w:r>
            <w:r>
              <w:rPr>
                <w:rFonts w:hint="eastAsia"/>
                <w:bCs/>
                <w:szCs w:val="21"/>
              </w:rPr>
              <w:t>，</w:t>
            </w:r>
            <w:r>
              <w:rPr>
                <w:bCs/>
                <w:szCs w:val="21"/>
              </w:rPr>
              <w:t>并具有提供日常维护和技术支持的能力</w:t>
            </w:r>
            <w:r>
              <w:rPr>
                <w:rFonts w:hint="eastAsia"/>
                <w:bCs/>
                <w:szCs w:val="21"/>
              </w:rPr>
              <w:t>，</w:t>
            </w:r>
            <w:r>
              <w:rPr>
                <w:rFonts w:hint="eastAsia"/>
                <w:b/>
                <w:bCs w:val="0"/>
                <w:color w:val="FF0000"/>
                <w:szCs w:val="21"/>
              </w:rPr>
              <w:t>并提供</w:t>
            </w:r>
            <w:r>
              <w:rPr>
                <w:b/>
                <w:bCs w:val="0"/>
                <w:color w:val="FF0000"/>
                <w:szCs w:val="21"/>
              </w:rPr>
              <w:t>投标人</w:t>
            </w:r>
            <w:r>
              <w:rPr>
                <w:rFonts w:hint="eastAsia"/>
                <w:b/>
                <w:bCs w:val="0"/>
                <w:color w:val="FF0000"/>
                <w:szCs w:val="21"/>
              </w:rPr>
              <w:t>或所投产品制造商厂房实景照片</w:t>
            </w:r>
            <w:r>
              <w:rPr>
                <w:bCs/>
                <w:szCs w:val="21"/>
              </w:rPr>
              <w:t>；投标人</w:t>
            </w:r>
            <w:r>
              <w:rPr>
                <w:rFonts w:hint="eastAsia"/>
                <w:bCs/>
                <w:szCs w:val="21"/>
              </w:rPr>
              <w:t>或所投产品制造商</w:t>
            </w:r>
            <w:r>
              <w:rPr>
                <w:bCs/>
                <w:szCs w:val="21"/>
              </w:rPr>
              <w:t>必须在广东省内设有常驻售后服务机构</w:t>
            </w:r>
            <w:r>
              <w:rPr>
                <w:rFonts w:hint="eastAsia"/>
                <w:bCs/>
                <w:szCs w:val="21"/>
              </w:rPr>
              <w:t>或中标后设立</w:t>
            </w:r>
            <w:r>
              <w:rPr>
                <w:bCs/>
                <w:szCs w:val="21"/>
              </w:rPr>
              <w:t>，能提供正常的技术、备品条件服务等。</w:t>
            </w:r>
          </w:p>
        </w:tc>
        <w:tc>
          <w:tcPr>
            <w:tcW w:w="738" w:type="pct"/>
            <w:vAlign w:val="center"/>
          </w:tcPr>
          <w:p>
            <w:pPr>
              <w:rPr>
                <w:bCs/>
                <w:szCs w:val="21"/>
              </w:rPr>
            </w:pPr>
          </w:p>
        </w:tc>
        <w:tc>
          <w:tcPr>
            <w:tcW w:w="666" w:type="pct"/>
            <w:vAlign w:val="center"/>
          </w:tcPr>
          <w:p>
            <w:pPr>
              <w:rPr>
                <w:bCs/>
                <w:szCs w:val="21"/>
              </w:rPr>
            </w:pPr>
          </w:p>
        </w:tc>
        <w:tc>
          <w:tcPr>
            <w:tcW w:w="419" w:type="pct"/>
            <w:vAlign w:val="center"/>
          </w:tcPr>
          <w:p>
            <w:pPr>
              <w:rPr>
                <w:bCs/>
                <w:szCs w:val="21"/>
              </w:rPr>
            </w:pPr>
          </w:p>
        </w:tc>
      </w:tr>
      <w:tr>
        <w:tblPrEx>
          <w:tblW w:w="4998" w:type="pct"/>
          <w:tblCellMar>
            <w:top w:w="0" w:type="dxa"/>
            <w:left w:w="108" w:type="dxa"/>
            <w:bottom w:w="0" w:type="dxa"/>
            <w:right w:w="108" w:type="dxa"/>
          </w:tblCellMar>
          <w:tblLook w:val="0000"/>
        </w:tblPrEx>
        <w:trPr>
          <w:trHeight w:val="523"/>
        </w:trPr>
        <w:tc>
          <w:tcPr>
            <w:tcW w:w="665" w:type="pct"/>
            <w:vAlign w:val="center"/>
          </w:tcPr>
          <w:p>
            <w:pPr>
              <w:jc w:val="center"/>
              <w:rPr>
                <w:b/>
              </w:rPr>
            </w:pPr>
            <w:r>
              <w:rPr>
                <w:rFonts w:hint="eastAsia"/>
                <w:b/>
              </w:rPr>
              <w:t>2</w:t>
            </w:r>
          </w:p>
        </w:tc>
        <w:tc>
          <w:tcPr>
            <w:tcW w:w="855" w:type="pct"/>
            <w:vAlign w:val="center"/>
          </w:tcPr>
          <w:p>
            <w:r>
              <w:rPr>
                <w:rFonts w:ascii="宋体" w:hAnsi="宋体" w:cs="宋体" w:hint="eastAsia"/>
                <w:b/>
                <w:szCs w:val="21"/>
              </w:rPr>
              <w:t>★</w:t>
            </w:r>
            <w:r>
              <w:rPr>
                <w:rFonts w:hint="eastAsia"/>
              </w:rPr>
              <w:t>免费保修期及服务</w:t>
            </w:r>
          </w:p>
        </w:tc>
        <w:tc>
          <w:tcPr>
            <w:tcW w:w="1655" w:type="pct"/>
            <w:vAlign w:val="center"/>
          </w:tcPr>
          <w:p>
            <w:pPr>
              <w:rPr>
                <w:bCs/>
                <w:snapToGrid w:val="0"/>
                <w:kern w:val="0"/>
                <w:szCs w:val="21"/>
              </w:rPr>
            </w:pPr>
            <w:r>
              <w:rPr>
                <w:rFonts w:hint="eastAsia"/>
                <w:bCs/>
                <w:snapToGrid w:val="0"/>
                <w:kern w:val="0"/>
                <w:szCs w:val="21"/>
              </w:rPr>
              <w:t>免费保修期叁</w:t>
            </w:r>
            <w:r>
              <w:rPr>
                <w:bCs/>
                <w:snapToGrid w:val="0"/>
                <w:kern w:val="0"/>
                <w:szCs w:val="21"/>
              </w:rPr>
              <w:t>年（在技术参数中特殊要求的除外）。</w:t>
            </w:r>
            <w:r>
              <w:rPr>
                <w:rFonts w:hint="eastAsia"/>
                <w:bCs/>
                <w:snapToGrid w:val="0"/>
                <w:kern w:val="0"/>
                <w:szCs w:val="21"/>
              </w:rPr>
              <w:t>在免费保修期</w:t>
            </w:r>
            <w:r>
              <w:rPr>
                <w:bCs/>
                <w:snapToGrid w:val="0"/>
                <w:kern w:val="0"/>
                <w:szCs w:val="21"/>
              </w:rPr>
              <w:t>内，如果有因质量问题而引起的损坏，成交供应商应在收到采购人通知后，在采购人要求的时间内（与采购人共同协商）对货物予以维修，</w:t>
            </w:r>
            <w:r>
              <w:rPr>
                <w:rFonts w:hint="eastAsia"/>
                <w:bCs/>
                <w:snapToGrid w:val="0"/>
                <w:kern w:val="0"/>
                <w:szCs w:val="21"/>
              </w:rPr>
              <w:t>免费保修期</w:t>
            </w:r>
            <w:r>
              <w:rPr>
                <w:bCs/>
                <w:snapToGrid w:val="0"/>
                <w:kern w:val="0"/>
                <w:szCs w:val="21"/>
              </w:rPr>
              <w:t>内全部服务费、维修费用和配件费由供应商承担。</w:t>
            </w:r>
          </w:p>
          <w:p>
            <w:pPr>
              <w:pStyle w:val="BodyText"/>
              <w:rPr>
                <w:rFonts w:hint="eastAsia"/>
                <w:szCs w:val="24"/>
              </w:rPr>
            </w:pPr>
            <w:r>
              <w:rPr>
                <w:rFonts w:hint="eastAsia"/>
                <w:b w:val="0"/>
                <w:snapToGrid w:val="0"/>
                <w:kern w:val="0"/>
                <w:sz w:val="21"/>
                <w:szCs w:val="21"/>
              </w:rPr>
              <w:t>中央台、仪器台、边台和水槽边台的台面免费保修期</w:t>
            </w:r>
            <w:r>
              <w:rPr>
                <w:b w:val="0"/>
                <w:snapToGrid w:val="0"/>
                <w:kern w:val="0"/>
                <w:sz w:val="21"/>
                <w:szCs w:val="21"/>
              </w:rPr>
              <w:t>10</w:t>
            </w:r>
            <w:r>
              <w:rPr>
                <w:rFonts w:hint="eastAsia"/>
                <w:b w:val="0"/>
                <w:snapToGrid w:val="0"/>
                <w:kern w:val="0"/>
                <w:sz w:val="21"/>
                <w:szCs w:val="21"/>
              </w:rPr>
              <w:t xml:space="preserve">  年，时间自最终验收合格并交付使用之日起计算，免费保修期内，所有服务及配件全部免费。</w:t>
            </w:r>
          </w:p>
        </w:tc>
        <w:tc>
          <w:tcPr>
            <w:tcW w:w="738" w:type="pct"/>
            <w:vAlign w:val="center"/>
          </w:tcPr>
          <w:p>
            <w:pPr>
              <w:pStyle w:val="BodyText"/>
              <w:rPr>
                <w:rFonts w:hint="eastAsia"/>
                <w:b w:val="0"/>
                <w:snapToGrid w:val="0"/>
                <w:kern w:val="0"/>
                <w:sz w:val="21"/>
                <w:szCs w:val="21"/>
              </w:rPr>
            </w:pPr>
          </w:p>
        </w:tc>
        <w:tc>
          <w:tcPr>
            <w:tcW w:w="666" w:type="pct"/>
            <w:vAlign w:val="center"/>
          </w:tcPr>
          <w:p>
            <w:pPr>
              <w:pStyle w:val="BodyText"/>
              <w:rPr>
                <w:rFonts w:hint="eastAsia"/>
                <w:b w:val="0"/>
                <w:snapToGrid w:val="0"/>
                <w:kern w:val="0"/>
                <w:sz w:val="21"/>
                <w:szCs w:val="21"/>
              </w:rPr>
            </w:pPr>
          </w:p>
        </w:tc>
        <w:tc>
          <w:tcPr>
            <w:tcW w:w="419" w:type="pct"/>
            <w:vAlign w:val="center"/>
          </w:tcPr>
          <w:p>
            <w:pPr>
              <w:pStyle w:val="BodyText"/>
              <w:rPr>
                <w:rFonts w:hint="eastAsia"/>
                <w:b w:val="0"/>
                <w:snapToGrid w:val="0"/>
                <w:kern w:val="0"/>
                <w:sz w:val="21"/>
                <w:szCs w:val="21"/>
              </w:rPr>
            </w:pPr>
          </w:p>
        </w:tc>
      </w:tr>
      <w:tr>
        <w:tblPrEx>
          <w:tblW w:w="4998" w:type="pct"/>
          <w:tblCellMar>
            <w:top w:w="0" w:type="dxa"/>
            <w:left w:w="108" w:type="dxa"/>
            <w:bottom w:w="0" w:type="dxa"/>
            <w:right w:w="108" w:type="dxa"/>
          </w:tblCellMar>
          <w:tblLook w:val="0000"/>
        </w:tblPrEx>
        <w:trPr>
          <w:trHeight w:val="523"/>
        </w:trPr>
        <w:tc>
          <w:tcPr>
            <w:tcW w:w="665" w:type="pct"/>
            <w:vAlign w:val="center"/>
          </w:tcPr>
          <w:p>
            <w:pPr>
              <w:jc w:val="center"/>
              <w:rPr>
                <w:b/>
              </w:rPr>
            </w:pPr>
            <w:r>
              <w:rPr>
                <w:rFonts w:hint="eastAsia"/>
                <w:b/>
              </w:rPr>
              <w:t>3</w:t>
            </w:r>
          </w:p>
        </w:tc>
        <w:tc>
          <w:tcPr>
            <w:tcW w:w="855" w:type="pct"/>
            <w:vAlign w:val="center"/>
          </w:tcPr>
          <w:p>
            <w:r>
              <w:rPr>
                <w:rFonts w:hint="eastAsia"/>
              </w:rPr>
              <w:t>服务响应</w:t>
            </w:r>
          </w:p>
        </w:tc>
        <w:tc>
          <w:tcPr>
            <w:tcW w:w="1655" w:type="pct"/>
            <w:vAlign w:val="center"/>
          </w:tcPr>
          <w:p>
            <w:pPr>
              <w:rPr>
                <w:bCs/>
                <w:szCs w:val="21"/>
              </w:rPr>
            </w:pPr>
            <w:r>
              <w:rPr>
                <w:rFonts w:hint="eastAsia"/>
                <w:bCs/>
                <w:snapToGrid w:val="0"/>
                <w:kern w:val="0"/>
                <w:szCs w:val="21"/>
              </w:rPr>
              <w:t>免费保修期</w:t>
            </w:r>
            <w:r>
              <w:rPr>
                <w:bCs/>
                <w:snapToGrid w:val="0"/>
                <w:kern w:val="0"/>
                <w:szCs w:val="21"/>
              </w:rPr>
              <w:t>，一旦发生质量问题，成交供应商</w:t>
            </w:r>
            <w:r>
              <w:rPr>
                <w:bCs/>
                <w:szCs w:val="21"/>
              </w:rPr>
              <w:t>接到采购人设备故障通知后6小时内响应，12小时内到达现场处理故障。</w:t>
            </w:r>
          </w:p>
        </w:tc>
        <w:tc>
          <w:tcPr>
            <w:tcW w:w="738" w:type="pct"/>
            <w:vAlign w:val="center"/>
          </w:tcPr>
          <w:p>
            <w:pPr>
              <w:rPr>
                <w:rFonts w:hint="eastAsia"/>
                <w:bCs/>
                <w:snapToGrid w:val="0"/>
                <w:kern w:val="0"/>
                <w:szCs w:val="21"/>
              </w:rPr>
            </w:pPr>
          </w:p>
        </w:tc>
        <w:tc>
          <w:tcPr>
            <w:tcW w:w="666" w:type="pct"/>
            <w:vAlign w:val="center"/>
          </w:tcPr>
          <w:p>
            <w:pPr>
              <w:rPr>
                <w:rFonts w:hint="eastAsia"/>
                <w:bCs/>
                <w:snapToGrid w:val="0"/>
                <w:kern w:val="0"/>
                <w:szCs w:val="21"/>
              </w:rPr>
            </w:pPr>
          </w:p>
        </w:tc>
        <w:tc>
          <w:tcPr>
            <w:tcW w:w="419" w:type="pct"/>
            <w:vAlign w:val="center"/>
          </w:tcPr>
          <w:p>
            <w:pPr>
              <w:rPr>
                <w:rFonts w:hint="eastAsia"/>
                <w:bCs/>
                <w:snapToGrid w:val="0"/>
                <w:kern w:val="0"/>
                <w:szCs w:val="21"/>
              </w:rPr>
            </w:pPr>
          </w:p>
        </w:tc>
      </w:tr>
      <w:tr>
        <w:tblPrEx>
          <w:tblW w:w="4998" w:type="pct"/>
          <w:tblCellMar>
            <w:top w:w="0" w:type="dxa"/>
            <w:left w:w="108" w:type="dxa"/>
            <w:bottom w:w="0" w:type="dxa"/>
            <w:right w:w="108" w:type="dxa"/>
          </w:tblCellMar>
          <w:tblLook w:val="0000"/>
        </w:tblPrEx>
        <w:trPr>
          <w:trHeight w:val="280"/>
        </w:trPr>
        <w:tc>
          <w:tcPr>
            <w:tcW w:w="3175" w:type="pct"/>
            <w:gridSpan w:val="3"/>
          </w:tcPr>
          <w:p>
            <w:pPr>
              <w:rPr>
                <w:b/>
              </w:rPr>
            </w:pPr>
            <w:r>
              <w:rPr>
                <w:rFonts w:hint="eastAsia"/>
                <w:b/>
              </w:rPr>
              <w:t>（二）免费保修期外售后服务要求</w:t>
            </w:r>
          </w:p>
        </w:tc>
        <w:tc>
          <w:tcPr>
            <w:tcW w:w="738" w:type="pct"/>
          </w:tcPr>
          <w:p>
            <w:pPr>
              <w:rPr>
                <w:rFonts w:hint="eastAsia"/>
                <w:b/>
              </w:rPr>
            </w:pPr>
          </w:p>
        </w:tc>
        <w:tc>
          <w:tcPr>
            <w:tcW w:w="666" w:type="pct"/>
          </w:tcPr>
          <w:p>
            <w:pPr>
              <w:rPr>
                <w:rFonts w:hint="eastAsia"/>
                <w:b/>
              </w:rPr>
            </w:pPr>
          </w:p>
        </w:tc>
        <w:tc>
          <w:tcPr>
            <w:tcW w:w="419" w:type="pct"/>
          </w:tcPr>
          <w:p>
            <w:pPr>
              <w:rPr>
                <w:rFonts w:hint="eastAsia"/>
                <w:b/>
              </w:rPr>
            </w:p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rPr>
                <w:b/>
              </w:rPr>
            </w:pPr>
            <w:r>
              <w:rPr>
                <w:rFonts w:hint="eastAsia"/>
                <w:b/>
              </w:rPr>
              <w:t>1</w:t>
            </w:r>
          </w:p>
        </w:tc>
        <w:tc>
          <w:tcPr>
            <w:tcW w:w="855" w:type="pct"/>
          </w:tcPr>
          <w:p>
            <w:pPr>
              <w:rPr>
                <w:b/>
              </w:rPr>
            </w:pPr>
            <w:r>
              <w:rPr>
                <w:rFonts w:hint="eastAsia"/>
              </w:rPr>
              <w:t>免费保修期外服务</w:t>
            </w:r>
          </w:p>
        </w:tc>
        <w:tc>
          <w:tcPr>
            <w:tcW w:w="1655" w:type="pct"/>
          </w:tcPr>
          <w:p>
            <w:pPr>
              <w:rPr>
                <w:b/>
              </w:rPr>
            </w:pPr>
            <w:r>
              <w:rPr>
                <w:rFonts w:hint="eastAsia"/>
                <w:bCs/>
                <w:snapToGrid w:val="0"/>
                <w:kern w:val="0"/>
                <w:szCs w:val="21"/>
              </w:rPr>
              <w:t>免费保修期满后，2年内，</w:t>
            </w:r>
            <w:r>
              <w:rPr>
                <w:bCs/>
                <w:snapToGrid w:val="0"/>
                <w:kern w:val="0"/>
                <w:szCs w:val="21"/>
              </w:rPr>
              <w:t>成交供应商提供免费上门更换配件服务，配件的费用以成本计，由使用方承担。响应时间为</w:t>
            </w:r>
            <w:r>
              <w:rPr>
                <w:bCs/>
                <w:szCs w:val="21"/>
              </w:rPr>
              <w:t>接到采购人设备故障通知后6小时内响应，24小时内到达现场处理故障。</w:t>
            </w:r>
          </w:p>
        </w:tc>
        <w:tc>
          <w:tcPr>
            <w:tcW w:w="738" w:type="pct"/>
          </w:tcPr>
          <w:p>
            <w:pPr>
              <w:rPr>
                <w:rFonts w:hint="eastAsia"/>
                <w:bCs/>
                <w:snapToGrid w:val="0"/>
                <w:kern w:val="0"/>
                <w:szCs w:val="21"/>
              </w:rPr>
            </w:pPr>
          </w:p>
        </w:tc>
        <w:tc>
          <w:tcPr>
            <w:tcW w:w="666" w:type="pct"/>
          </w:tcPr>
          <w:p>
            <w:pPr>
              <w:rPr>
                <w:rFonts w:hint="eastAsia"/>
                <w:bCs/>
                <w:snapToGrid w:val="0"/>
                <w:kern w:val="0"/>
                <w:szCs w:val="21"/>
              </w:rPr>
            </w:pPr>
          </w:p>
        </w:tc>
        <w:tc>
          <w:tcPr>
            <w:tcW w:w="419" w:type="pct"/>
          </w:tcPr>
          <w:p>
            <w:pPr>
              <w:rPr>
                <w:rFonts w:hint="eastAsia"/>
                <w:bCs/>
                <w:snapToGrid w:val="0"/>
                <w:kern w:val="0"/>
                <w:szCs w:val="21"/>
              </w:rPr>
            </w:pPr>
          </w:p>
        </w:tc>
      </w:tr>
      <w:tr>
        <w:tblPrEx>
          <w:tblW w:w="4998" w:type="pct"/>
          <w:tblCellMar>
            <w:top w:w="0" w:type="dxa"/>
            <w:left w:w="108" w:type="dxa"/>
            <w:bottom w:w="0" w:type="dxa"/>
            <w:right w:w="108" w:type="dxa"/>
          </w:tblCellMar>
          <w:tblLook w:val="0000"/>
        </w:tblPrEx>
        <w:trPr>
          <w:trHeight w:val="350"/>
        </w:trPr>
        <w:tc>
          <w:tcPr>
            <w:tcW w:w="3175" w:type="pct"/>
            <w:gridSpan w:val="3"/>
          </w:tcPr>
          <w:p>
            <w:pPr>
              <w:rPr>
                <w:b/>
              </w:rPr>
            </w:pPr>
            <w:r>
              <w:rPr>
                <w:rFonts w:hint="eastAsia"/>
                <w:b/>
              </w:rPr>
              <w:t>（三）其他商务要求</w:t>
            </w:r>
          </w:p>
        </w:tc>
        <w:tc>
          <w:tcPr>
            <w:tcW w:w="738" w:type="pct"/>
          </w:tcPr>
          <w:p>
            <w:pPr>
              <w:rPr>
                <w:rFonts w:hint="eastAsia"/>
                <w:b/>
              </w:rPr>
            </w:pPr>
          </w:p>
        </w:tc>
        <w:tc>
          <w:tcPr>
            <w:tcW w:w="666" w:type="pct"/>
          </w:tcPr>
          <w:p>
            <w:pPr>
              <w:rPr>
                <w:rFonts w:hint="eastAsia"/>
                <w:b/>
              </w:rPr>
            </w:pPr>
          </w:p>
        </w:tc>
        <w:tc>
          <w:tcPr>
            <w:tcW w:w="419" w:type="pct"/>
          </w:tcPr>
          <w:p>
            <w:pPr>
              <w:rPr>
                <w:rFonts w:hint="eastAsia"/>
                <w:b/>
              </w:rPr>
            </w:pPr>
          </w:p>
        </w:tc>
      </w:tr>
      <w:tr>
        <w:tblPrEx>
          <w:tblW w:w="4998" w:type="pct"/>
          <w:tblCellMar>
            <w:top w:w="0" w:type="dxa"/>
            <w:left w:w="108" w:type="dxa"/>
            <w:bottom w:w="0" w:type="dxa"/>
            <w:right w:w="108" w:type="dxa"/>
          </w:tblCellMar>
          <w:tblLook w:val="0000"/>
        </w:tblPrEx>
        <w:trPr>
          <w:trHeight w:val="375"/>
        </w:trPr>
        <w:tc>
          <w:tcPr>
            <w:tcW w:w="665" w:type="pct"/>
            <w:vMerge w:val="restart"/>
            <w:vAlign w:val="center"/>
          </w:tcPr>
          <w:p>
            <w:pPr>
              <w:jc w:val="center"/>
              <w:rPr>
                <w:b/>
              </w:rPr>
            </w:pPr>
            <w:r>
              <w:rPr>
                <w:rFonts w:hint="eastAsia"/>
                <w:b/>
              </w:rPr>
              <w:t>1</w:t>
            </w:r>
          </w:p>
        </w:tc>
        <w:tc>
          <w:tcPr>
            <w:tcW w:w="855" w:type="pct"/>
            <w:vMerge w:val="restart"/>
            <w:vAlign w:val="center"/>
          </w:tcPr>
          <w:p>
            <w:pPr>
              <w:jc w:val="center"/>
            </w:pPr>
            <w:r>
              <w:rPr>
                <w:rFonts w:hint="eastAsia"/>
              </w:rPr>
              <w:t>关于交货</w:t>
            </w:r>
          </w:p>
        </w:tc>
        <w:tc>
          <w:tcPr>
            <w:tcW w:w="1655" w:type="pct"/>
          </w:tcPr>
          <w:p>
            <w:pPr>
              <w:rPr>
                <w:bCs/>
                <w:szCs w:val="21"/>
              </w:rPr>
            </w:pPr>
            <w:r>
              <w:rPr>
                <w:rFonts w:hint="eastAsia"/>
                <w:bCs/>
                <w:szCs w:val="21"/>
              </w:rPr>
              <w:t>1.1交货地点：</w:t>
            </w:r>
            <w:r>
              <w:rPr>
                <w:rFonts w:hint="eastAsia"/>
              </w:rPr>
              <w:t>用户指定地点（清华大学深圳国际研究生院）</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76"/>
        </w:trPr>
        <w:tc>
          <w:tcPr>
            <w:tcW w:w="665" w:type="pct"/>
            <w:vMerge/>
            <w:vAlign w:val="center"/>
          </w:tcPr>
          <w:p>
            <w:pPr>
              <w:jc w:val="center"/>
              <w:rPr>
                <w:b/>
              </w:rPr>
            </w:pPr>
          </w:p>
        </w:tc>
        <w:tc>
          <w:tcPr>
            <w:tcW w:w="855" w:type="pct"/>
            <w:vMerge/>
            <w:vAlign w:val="center"/>
          </w:tcPr>
          <w:p>
            <w:pPr>
              <w:jc w:val="center"/>
            </w:pPr>
          </w:p>
        </w:tc>
        <w:tc>
          <w:tcPr>
            <w:tcW w:w="1655" w:type="pct"/>
          </w:tcPr>
          <w:p>
            <w:pPr>
              <w:rPr>
                <w:bCs/>
                <w:szCs w:val="21"/>
              </w:rPr>
            </w:pPr>
            <w:r>
              <w:rPr>
                <w:rFonts w:hint="eastAsia"/>
                <w:bCs/>
                <w:szCs w:val="21"/>
              </w:rPr>
              <w:t>1.2投标人需承担的设备运输、安装调试、验收检测和提供设备操作说明书、图纸等其他类似的义务。</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76"/>
        </w:trPr>
        <w:tc>
          <w:tcPr>
            <w:tcW w:w="665" w:type="pct"/>
            <w:vMerge/>
            <w:vAlign w:val="center"/>
          </w:tcPr>
          <w:p>
            <w:pPr>
              <w:jc w:val="center"/>
              <w:rPr>
                <w:b/>
              </w:rPr>
            </w:pPr>
          </w:p>
        </w:tc>
        <w:tc>
          <w:tcPr>
            <w:tcW w:w="855" w:type="pct"/>
            <w:vMerge/>
            <w:vAlign w:val="center"/>
          </w:tcPr>
          <w:p>
            <w:pPr>
              <w:jc w:val="center"/>
            </w:pPr>
          </w:p>
        </w:tc>
        <w:tc>
          <w:tcPr>
            <w:tcW w:w="1655" w:type="pct"/>
          </w:tcPr>
          <w:p>
            <w:pPr>
              <w:rPr>
                <w:bCs/>
                <w:szCs w:val="21"/>
              </w:rPr>
            </w:pPr>
            <w:r>
              <w:rPr>
                <w:rFonts w:ascii="宋体" w:hAnsi="宋体" w:cs="宋体" w:hint="eastAsia"/>
                <w:b/>
                <w:szCs w:val="21"/>
              </w:rPr>
              <w:t>★</w:t>
            </w:r>
            <w:r>
              <w:rPr>
                <w:rFonts w:hint="eastAsia"/>
                <w:bCs/>
                <w:szCs w:val="21"/>
              </w:rPr>
              <w:t>1.3签订合同后</w:t>
            </w:r>
            <w:r>
              <w:rPr>
                <w:rFonts w:hint="eastAsia"/>
                <w:bCs/>
                <w:szCs w:val="21"/>
                <w:u w:val="single"/>
              </w:rPr>
              <w:t>60</w:t>
            </w:r>
            <w:r>
              <w:rPr>
                <w:rFonts w:hint="eastAsia"/>
                <w:bCs/>
                <w:szCs w:val="21"/>
              </w:rPr>
              <w:t>天（日历日）内交货。</w:t>
            </w:r>
            <w:r>
              <w:rPr>
                <w:rFonts w:hint="eastAsia"/>
              </w:rPr>
              <w:t>指合同生效后，中标人将全部货物运抵、安装调试完成并验收合格，正式交付用户使用所需的时间。</w:t>
            </w:r>
          </w:p>
        </w:tc>
        <w:tc>
          <w:tcPr>
            <w:tcW w:w="738" w:type="pct"/>
          </w:tcPr>
          <w:p>
            <w:pPr>
              <w:rPr>
                <w:rFonts w:ascii="宋体" w:hAnsi="宋体" w:cs="宋体" w:hint="eastAsia"/>
                <w:b/>
                <w:szCs w:val="21"/>
              </w:rPr>
            </w:pPr>
          </w:p>
        </w:tc>
        <w:tc>
          <w:tcPr>
            <w:tcW w:w="666" w:type="pct"/>
          </w:tcPr>
          <w:p>
            <w:pPr>
              <w:rPr>
                <w:rFonts w:ascii="宋体" w:hAnsi="宋体" w:cs="宋体" w:hint="eastAsia"/>
                <w:b/>
                <w:szCs w:val="21"/>
              </w:rPr>
            </w:pPr>
          </w:p>
        </w:tc>
        <w:tc>
          <w:tcPr>
            <w:tcW w:w="419" w:type="pct"/>
          </w:tcPr>
          <w:p>
            <w:pPr>
              <w:rPr>
                <w:rFonts w:ascii="宋体" w:hAnsi="宋体" w:cs="宋体" w:hint="eastAsia"/>
                <w:b/>
                <w:szCs w:val="21"/>
              </w:rPr>
            </w:pPr>
          </w:p>
        </w:tc>
      </w:tr>
      <w:tr>
        <w:tblPrEx>
          <w:tblW w:w="4998" w:type="pct"/>
          <w:tblCellMar>
            <w:top w:w="0" w:type="dxa"/>
            <w:left w:w="108" w:type="dxa"/>
            <w:bottom w:w="0" w:type="dxa"/>
            <w:right w:w="108" w:type="dxa"/>
          </w:tblCellMar>
          <w:tblLook w:val="0000"/>
        </w:tblPrEx>
        <w:trPr>
          <w:trHeight w:val="350"/>
        </w:trPr>
        <w:tc>
          <w:tcPr>
            <w:tcW w:w="665" w:type="pct"/>
            <w:vMerge w:val="restart"/>
            <w:vAlign w:val="center"/>
          </w:tcPr>
          <w:p>
            <w:pPr>
              <w:jc w:val="center"/>
              <w:rPr>
                <w:b/>
              </w:rPr>
            </w:pPr>
            <w:r>
              <w:rPr>
                <w:rFonts w:hint="eastAsia"/>
                <w:b/>
              </w:rPr>
              <w:t>2</w:t>
            </w:r>
          </w:p>
        </w:tc>
        <w:tc>
          <w:tcPr>
            <w:tcW w:w="855" w:type="pct"/>
            <w:vMerge w:val="restart"/>
            <w:vAlign w:val="center"/>
          </w:tcPr>
          <w:p>
            <w:pPr>
              <w:jc w:val="center"/>
            </w:pPr>
            <w:r>
              <w:rPr>
                <w:rFonts w:hint="eastAsia"/>
              </w:rPr>
              <w:t>关于验收</w:t>
            </w:r>
          </w:p>
        </w:tc>
        <w:tc>
          <w:tcPr>
            <w:tcW w:w="1655" w:type="pct"/>
          </w:tcPr>
          <w:p>
            <w:pPr>
              <w:rPr>
                <w:bCs/>
                <w:szCs w:val="21"/>
              </w:rPr>
            </w:pPr>
            <w:r>
              <w:rPr>
                <w:rFonts w:ascii="宋体" w:hAnsi="宋体" w:cs="宋体" w:hint="eastAsia"/>
                <w:b/>
                <w:szCs w:val="21"/>
              </w:rPr>
              <w:t>★</w:t>
            </w:r>
            <w:r>
              <w:rPr>
                <w:rFonts w:hint="eastAsia"/>
                <w:bCs/>
                <w:szCs w:val="21"/>
              </w:rPr>
              <w:t>2.1由成交供应商负责免费安装、调试。全部货物安装调试完毕后，采购人随机抽取包括台面和部件等货物（所抽取的货物由采购人确定，总数不超过5件），交由CNAS认证或CMA认证的第三方专业检测机构按照招标要求标准进行现场检测或送样检测，如检测合格，检测费用由采购人负责。如检测不合格，采购人有权要求对全部货物进行现场检测，并要求成交供应商对不合格的产品进行限期整改，期间产生的检测费等所有费用及损失由成交供应商负责；如确实因为成交供应商产品自身质量问题无法整改或整改后仍不能通过现场检测的，采购人有权拒收相关产品并追究由此带来的损失赔偿。</w:t>
            </w:r>
          </w:p>
        </w:tc>
        <w:tc>
          <w:tcPr>
            <w:tcW w:w="738" w:type="pct"/>
          </w:tcPr>
          <w:p>
            <w:pPr>
              <w:rPr>
                <w:rFonts w:ascii="宋体" w:hAnsi="宋体" w:cs="宋体" w:hint="eastAsia"/>
                <w:b/>
                <w:szCs w:val="21"/>
              </w:rPr>
            </w:pPr>
          </w:p>
        </w:tc>
        <w:tc>
          <w:tcPr>
            <w:tcW w:w="666" w:type="pct"/>
          </w:tcPr>
          <w:p>
            <w:pPr>
              <w:rPr>
                <w:rFonts w:ascii="宋体" w:hAnsi="宋体" w:cs="宋体" w:hint="eastAsia"/>
                <w:b/>
                <w:szCs w:val="21"/>
              </w:rPr>
            </w:pPr>
          </w:p>
        </w:tc>
        <w:tc>
          <w:tcPr>
            <w:tcW w:w="419" w:type="pct"/>
          </w:tcPr>
          <w:p>
            <w:pPr>
              <w:rPr>
                <w:rFonts w:ascii="宋体" w:hAnsi="宋体" w:cs="宋体" w:hint="eastAsia"/>
                <w:b/>
                <w:szCs w:val="21"/>
              </w:rPr>
            </w:p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rPr>
                <w:b/>
              </w:rPr>
            </w:pPr>
          </w:p>
        </w:tc>
        <w:tc>
          <w:tcPr>
            <w:tcW w:w="1655" w:type="pct"/>
          </w:tcPr>
          <w:p>
            <w:pPr>
              <w:tabs>
                <w:tab w:val="left" w:pos="1260"/>
              </w:tabs>
              <w:rPr>
                <w:bCs/>
                <w:szCs w:val="21"/>
              </w:rPr>
            </w:pPr>
            <w:r>
              <w:rPr>
                <w:rFonts w:hint="eastAsia"/>
                <w:bCs/>
                <w:szCs w:val="21"/>
              </w:rPr>
              <w:t>2.2随机抽检合格后，由采购人组织验收小组进行验收工作，成交供应商无条件配合验收。</w:t>
            </w:r>
          </w:p>
        </w:tc>
        <w:tc>
          <w:tcPr>
            <w:tcW w:w="738" w:type="pct"/>
          </w:tcPr>
          <w:p>
            <w:pPr>
              <w:tabs>
                <w:tab w:val="left" w:pos="1260"/>
              </w:tabs>
              <w:rPr>
                <w:rFonts w:hint="eastAsia"/>
                <w:bCs/>
                <w:szCs w:val="21"/>
              </w:rPr>
            </w:pPr>
          </w:p>
        </w:tc>
        <w:tc>
          <w:tcPr>
            <w:tcW w:w="666" w:type="pct"/>
          </w:tcPr>
          <w:p>
            <w:pPr>
              <w:tabs>
                <w:tab w:val="left" w:pos="1260"/>
              </w:tabs>
              <w:rPr>
                <w:rFonts w:hint="eastAsia"/>
                <w:bCs/>
                <w:szCs w:val="21"/>
              </w:rPr>
            </w:pPr>
          </w:p>
        </w:tc>
        <w:tc>
          <w:tcPr>
            <w:tcW w:w="419" w:type="pct"/>
          </w:tcPr>
          <w:p>
            <w:pPr>
              <w:tabs>
                <w:tab w:val="left" w:pos="1260"/>
              </w:tabs>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rPr>
                <w:b/>
              </w:rPr>
            </w:pPr>
          </w:p>
        </w:tc>
        <w:tc>
          <w:tcPr>
            <w:tcW w:w="1655" w:type="pct"/>
          </w:tcPr>
          <w:p>
            <w:pPr>
              <w:rPr>
                <w:b/>
              </w:rPr>
            </w:pPr>
            <w:r>
              <w:rPr>
                <w:rFonts w:hint="eastAsia"/>
                <w:bCs/>
                <w:szCs w:val="21"/>
              </w:rPr>
              <w:t>2.3 货物运抵交货地点后，采购人与成交供应商双方需马上派出代表前往工作现场，双方进行箱外验收。箱内物品由双方在约定时间（到货后五天内）一次性共同开箱验收，如发现缺少、损坏部件，成交供应商须及时补交给采购人，如因此造成拖延，采购人有权按延期交货索赔。</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rPr>
                <w:b/>
              </w:rPr>
            </w:pPr>
          </w:p>
        </w:tc>
        <w:tc>
          <w:tcPr>
            <w:tcW w:w="1655" w:type="pct"/>
          </w:tcPr>
          <w:p>
            <w:pPr>
              <w:rPr>
                <w:bCs/>
                <w:szCs w:val="21"/>
              </w:rPr>
            </w:pPr>
            <w:r>
              <w:rPr>
                <w:rFonts w:hint="eastAsia"/>
                <w:bCs/>
                <w:szCs w:val="21"/>
              </w:rPr>
              <w:t>2.4当满足以下条件时，采购人才向中标人签发货物验收报告：</w:t>
            </w:r>
          </w:p>
          <w:p>
            <w:pPr>
              <w:rPr>
                <w:bCs/>
                <w:szCs w:val="21"/>
              </w:rPr>
            </w:pPr>
            <w:r>
              <w:rPr>
                <w:rFonts w:hint="eastAsia"/>
                <w:bCs/>
                <w:szCs w:val="21"/>
              </w:rPr>
              <w:t>a、中标人已按照合同规定提供了全部产品及完整的技术资料。</w:t>
            </w:r>
          </w:p>
          <w:p>
            <w:pPr>
              <w:rPr>
                <w:bCs/>
                <w:szCs w:val="21"/>
              </w:rPr>
            </w:pPr>
            <w:r>
              <w:rPr>
                <w:rFonts w:hint="eastAsia"/>
                <w:bCs/>
                <w:szCs w:val="21"/>
              </w:rPr>
              <w:t>b、采购人随机抽取现场安装的货物，交由CNAS认证或CMA认证的第三方专业检测机构按照招标要求标准进行现场检测或送样检测，检测合格。</w:t>
            </w:r>
          </w:p>
          <w:p>
            <w:pPr>
              <w:rPr>
                <w:bCs/>
                <w:szCs w:val="21"/>
              </w:rPr>
            </w:pPr>
            <w:r>
              <w:rPr>
                <w:rFonts w:hint="eastAsia"/>
                <w:bCs/>
                <w:szCs w:val="21"/>
              </w:rPr>
              <w:t>c、货物符合招标文件技术要求和投标文件响应，性能满足要求。</w:t>
            </w:r>
          </w:p>
          <w:p>
            <w:pPr>
              <w:rPr>
                <w:bCs/>
                <w:szCs w:val="21"/>
              </w:rPr>
            </w:pPr>
            <w:r>
              <w:rPr>
                <w:rFonts w:hint="eastAsia"/>
                <w:bCs/>
                <w:szCs w:val="21"/>
              </w:rPr>
              <w:t>d、货物具备产品合格证。</w:t>
            </w:r>
          </w:p>
        </w:tc>
        <w:tc>
          <w:tcPr>
            <w:tcW w:w="738" w:type="pct"/>
          </w:tcPr>
          <w:p>
            <w:pPr>
              <w:rPr>
                <w:rFonts w:hint="eastAsia"/>
                <w:bCs/>
                <w:szCs w:val="21"/>
              </w:rPr>
            </w:pPr>
          </w:p>
        </w:tc>
        <w:tc>
          <w:tcPr>
            <w:tcW w:w="666" w:type="pct"/>
          </w:tcPr>
          <w:p>
            <w:pPr>
              <w:rPr>
                <w:rFonts w:hint="eastAsia"/>
                <w:bCs/>
                <w:szCs w:val="21"/>
              </w:rPr>
            </w:pPr>
          </w:p>
        </w:tc>
        <w:tc>
          <w:tcPr>
            <w:tcW w:w="419" w:type="pct"/>
          </w:tcPr>
          <w:p>
            <w:pPr>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rPr>
                <w:bCs/>
              </w:rPr>
            </w:pPr>
            <w:r>
              <w:rPr>
                <w:rFonts w:hint="eastAsia"/>
                <w:bCs/>
              </w:rPr>
              <w:t>3</w:t>
            </w:r>
          </w:p>
        </w:tc>
        <w:tc>
          <w:tcPr>
            <w:tcW w:w="855" w:type="pct"/>
            <w:vAlign w:val="center"/>
          </w:tcPr>
          <w:p>
            <w:pPr>
              <w:rPr>
                <w:bCs/>
              </w:rPr>
            </w:pPr>
            <w:r>
              <w:rPr>
                <w:rFonts w:hint="eastAsia"/>
                <w:bCs/>
              </w:rPr>
              <w:t>安装界面说明</w:t>
            </w:r>
            <w:r>
              <w:rPr>
                <w:rFonts w:hint="eastAsia"/>
                <w:bCs/>
                <w:color w:val="FF0000"/>
                <w:szCs w:val="21"/>
                <w:highlight w:val="yellow"/>
              </w:rPr>
              <w:t>★</w:t>
            </w:r>
          </w:p>
        </w:tc>
        <w:tc>
          <w:tcPr>
            <w:tcW w:w="1655" w:type="pct"/>
          </w:tcPr>
          <w:p>
            <w:pPr>
              <w:rPr>
                <w:rFonts w:hint="eastAsia"/>
                <w:bCs/>
                <w:szCs w:val="21"/>
              </w:rPr>
            </w:pPr>
            <w:r>
              <w:rPr>
                <w:rFonts w:hint="eastAsia"/>
                <w:bCs/>
                <w:szCs w:val="21"/>
              </w:rPr>
              <w:t xml:space="preserve">实验台柜供应商与其它专业供应商界面说明 </w:t>
            </w:r>
          </w:p>
          <w:p>
            <w:pPr>
              <w:rPr>
                <w:rFonts w:hint="eastAsia"/>
                <w:bCs/>
                <w:szCs w:val="21"/>
              </w:rPr>
            </w:pPr>
            <w:r>
              <w:rPr>
                <w:bCs/>
                <w:szCs w:val="21"/>
              </w:rPr>
              <w:t>3</w:t>
            </w:r>
            <w:r>
              <w:rPr>
                <w:rFonts w:hint="eastAsia"/>
                <w:bCs/>
                <w:szCs w:val="21"/>
              </w:rPr>
              <w:t>.1暖通专业</w:t>
            </w:r>
          </w:p>
          <w:p>
            <w:pPr>
              <w:rPr>
                <w:rFonts w:hint="eastAsia"/>
                <w:bCs/>
                <w:szCs w:val="21"/>
              </w:rPr>
            </w:pPr>
            <w:r>
              <w:rPr>
                <w:rFonts w:hint="eastAsia"/>
                <w:bCs/>
                <w:szCs w:val="21"/>
              </w:rPr>
              <w:t>本项目中暖通专业施工方预留风管至万向排气罩位置天花板上方。另有8台万向排气罩未预留排风管，现场具备接入排风主管的条件。这8台万向排气罩接到排风管时，需配置压力无关的定风量阀，每个风量100-200m3/h。本项目实验家具供应商需完成所有万向排气罩排风管道的接驳和完成排风调试工作。</w:t>
            </w:r>
          </w:p>
          <w:p>
            <w:pPr>
              <w:rPr>
                <w:rFonts w:hint="eastAsia"/>
                <w:bCs/>
                <w:szCs w:val="21"/>
              </w:rPr>
            </w:pPr>
            <w:r>
              <w:rPr>
                <w:bCs/>
                <w:szCs w:val="21"/>
              </w:rPr>
              <w:t>3</w:t>
            </w:r>
            <w:r>
              <w:rPr>
                <w:rFonts w:hint="eastAsia"/>
                <w:bCs/>
                <w:szCs w:val="21"/>
              </w:rPr>
              <w:t>.2给排水专业</w:t>
            </w:r>
          </w:p>
          <w:p>
            <w:pPr>
              <w:rPr>
                <w:rFonts w:hint="eastAsia"/>
                <w:bCs/>
                <w:szCs w:val="21"/>
              </w:rPr>
            </w:pPr>
            <w:r>
              <w:rPr>
                <w:rFonts w:hint="eastAsia"/>
                <w:bCs/>
                <w:szCs w:val="21"/>
              </w:rPr>
              <w:t>本项目中给排水专业施工方在中央台、设备台和边台等位置的天花板上方（无天花板的据地3米高）处预留给水阀门。待台柜供应商确定后，提供排水点位图纸，给排水专业施工方按图在相应点位铺设排水管道，排水管道出地面10公分。台柜供应商负责给水阀门到用水点的接通工作，以及水槽至排水管的接通，排水带S型存水弯，接口胶圈密封，防异味。排水管要求耐腐蚀和高温。台柜供应商负责紧急冲淋洗眼器上下水的接通。</w:t>
            </w:r>
          </w:p>
          <w:p>
            <w:pPr>
              <w:rPr>
                <w:rFonts w:hint="eastAsia"/>
                <w:bCs/>
                <w:szCs w:val="21"/>
              </w:rPr>
            </w:pPr>
            <w:r>
              <w:rPr>
                <w:bCs/>
                <w:szCs w:val="21"/>
              </w:rPr>
              <w:t>3</w:t>
            </w:r>
            <w:r>
              <w:rPr>
                <w:rFonts w:hint="eastAsia"/>
                <w:bCs/>
                <w:szCs w:val="21"/>
              </w:rPr>
              <w:t>.3电气专业</w:t>
            </w:r>
          </w:p>
          <w:p>
            <w:pPr>
              <w:rPr>
                <w:bCs/>
                <w:szCs w:val="21"/>
              </w:rPr>
            </w:pPr>
            <w:r>
              <w:rPr>
                <w:rFonts w:hint="eastAsia"/>
                <w:bCs/>
                <w:szCs w:val="21"/>
              </w:rPr>
              <w:t>电气专业施工方预留相应回路数的电缆线至中央台、设备台和边台等位置的天花板上方（无天花板的据地3米高），预留电缆线长5米。实验台柜供应商负责在台柜等上配置配电箱，为满足实验台柜用电安全和实验台柜用电需求，每两套实验台至少应配置一个电箱，并按照实际需求负责完成插座的强电接通。</w:t>
            </w:r>
          </w:p>
          <w:p>
            <w:pPr>
              <w:pStyle w:val="BodyText"/>
              <w:rPr>
                <w:rFonts w:hint="eastAsia"/>
                <w:bCs/>
                <w:szCs w:val="24"/>
              </w:rPr>
            </w:pPr>
            <w:r>
              <w:t>3.4 实验台柜的实际规格尺寸根据现场安装</w:t>
            </w:r>
            <w:r>
              <w:rPr>
                <w:rFonts w:hint="eastAsia"/>
              </w:rPr>
              <w:t>情况可能</w:t>
            </w:r>
            <w:r>
              <w:t>做微调（调整幅度在±</w:t>
            </w:r>
            <w:r>
              <w:rPr>
                <w:rFonts w:hint="eastAsia"/>
              </w:rPr>
              <w:t>2</w:t>
            </w:r>
            <w:r>
              <w:t>0%以内）。</w:t>
            </w:r>
          </w:p>
        </w:tc>
        <w:tc>
          <w:tcPr>
            <w:tcW w:w="738" w:type="pct"/>
          </w:tcPr>
          <w:p>
            <w:pPr>
              <w:pStyle w:val="BodyText"/>
            </w:pPr>
          </w:p>
        </w:tc>
        <w:tc>
          <w:tcPr>
            <w:tcW w:w="666" w:type="pct"/>
          </w:tcPr>
          <w:p>
            <w:pPr>
              <w:pStyle w:val="BodyText"/>
            </w:pPr>
          </w:p>
        </w:tc>
        <w:tc>
          <w:tcPr>
            <w:tcW w:w="419" w:type="pct"/>
          </w:tcPr>
          <w:p>
            <w:pPr>
              <w:pStyle w:val="BodyText"/>
            </w:p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rPr>
                <w:bCs/>
              </w:rPr>
            </w:pPr>
            <w:r>
              <w:rPr>
                <w:rFonts w:hint="eastAsia"/>
                <w:bCs/>
              </w:rPr>
              <w:t>4</w:t>
            </w:r>
          </w:p>
        </w:tc>
        <w:tc>
          <w:tcPr>
            <w:tcW w:w="855" w:type="pct"/>
            <w:vAlign w:val="center"/>
          </w:tcPr>
          <w:p>
            <w:pPr>
              <w:rPr>
                <w:bCs/>
              </w:rPr>
            </w:pPr>
            <w:r>
              <w:rPr>
                <w:rFonts w:ascii="宋体" w:hAnsi="宋体" w:cs="宋体" w:hint="eastAsia"/>
                <w:bCs/>
                <w:szCs w:val="21"/>
              </w:rPr>
              <w:t>实验台柜制造过程中的抽查</w:t>
            </w:r>
          </w:p>
        </w:tc>
        <w:tc>
          <w:tcPr>
            <w:tcW w:w="1655" w:type="pct"/>
          </w:tcPr>
          <w:p>
            <w:pPr>
              <w:adjustRightInd w:val="0"/>
              <w:snapToGrid w:val="0"/>
              <w:rPr>
                <w:rFonts w:ascii="宋体" w:hAnsi="宋体" w:cs="宋体" w:hint="eastAsia"/>
                <w:szCs w:val="21"/>
              </w:rPr>
            </w:pPr>
            <w:r>
              <w:rPr>
                <w:rFonts w:hint="eastAsia"/>
                <w:bCs/>
                <w:szCs w:val="21"/>
              </w:rPr>
              <w:t>中标的供应商需提供加工生产厂家的详细位置信息以及工厂负责人联系方式，采购人有权在实验台柜生产期间随时到场对本项目货物生产情况进行抽查（不提前通知），包括并不限于了解生产进度、原材料进货检验记录检查、供应商与生产厂家之间的针对本项目的采购协议（可隐去敏感信息）等。</w:t>
            </w:r>
          </w:p>
        </w:tc>
        <w:tc>
          <w:tcPr>
            <w:tcW w:w="738" w:type="pct"/>
          </w:tcPr>
          <w:p>
            <w:pPr>
              <w:adjustRightInd w:val="0"/>
              <w:snapToGrid w:val="0"/>
              <w:rPr>
                <w:rFonts w:hint="eastAsia"/>
                <w:bCs/>
                <w:szCs w:val="21"/>
              </w:rPr>
            </w:pPr>
          </w:p>
        </w:tc>
        <w:tc>
          <w:tcPr>
            <w:tcW w:w="666" w:type="pct"/>
          </w:tcPr>
          <w:p>
            <w:pPr>
              <w:adjustRightInd w:val="0"/>
              <w:snapToGrid w:val="0"/>
              <w:rPr>
                <w:rFonts w:hint="eastAsia"/>
                <w:bCs/>
                <w:szCs w:val="21"/>
              </w:rPr>
            </w:pPr>
          </w:p>
        </w:tc>
        <w:tc>
          <w:tcPr>
            <w:tcW w:w="419" w:type="pct"/>
          </w:tcPr>
          <w:p>
            <w:pPr>
              <w:adjustRightInd w:val="0"/>
              <w:snapToGrid w:val="0"/>
              <w:rPr>
                <w:rFonts w:hint="eastAsia"/>
                <w:bCs/>
                <w:szCs w:val="21"/>
              </w:rPr>
            </w:pPr>
          </w:p>
        </w:tc>
      </w:tr>
      <w:tr>
        <w:tblPrEx>
          <w:tblW w:w="4998" w:type="pct"/>
          <w:tblCellMar>
            <w:top w:w="0" w:type="dxa"/>
            <w:left w:w="108" w:type="dxa"/>
            <w:bottom w:w="0" w:type="dxa"/>
            <w:right w:w="108" w:type="dxa"/>
          </w:tblCellMar>
          <w:tblLook w:val="0000"/>
        </w:tblPrEx>
        <w:trPr>
          <w:trHeight w:val="350"/>
        </w:trPr>
        <w:tc>
          <w:tcPr>
            <w:tcW w:w="665" w:type="pct"/>
            <w:vMerge w:val="restart"/>
            <w:vAlign w:val="center"/>
          </w:tcPr>
          <w:p>
            <w:pPr>
              <w:jc w:val="center"/>
            </w:pPr>
            <w:r>
              <w:rPr>
                <w:b/>
              </w:rPr>
              <w:t>5</w:t>
            </w:r>
          </w:p>
        </w:tc>
        <w:tc>
          <w:tcPr>
            <w:tcW w:w="855" w:type="pct"/>
            <w:vMerge w:val="restart"/>
            <w:vAlign w:val="center"/>
          </w:tcPr>
          <w:p>
            <w:pPr>
              <w:jc w:val="center"/>
            </w:pPr>
            <w:r>
              <w:rPr>
                <w:rFonts w:hint="eastAsia"/>
              </w:rPr>
              <w:t>关于违约</w:t>
            </w:r>
          </w:p>
        </w:tc>
        <w:tc>
          <w:tcPr>
            <w:tcW w:w="1655" w:type="pct"/>
          </w:tcPr>
          <w:p>
            <w:r>
              <w:t>5</w:t>
            </w:r>
            <w:r>
              <w:rPr>
                <w:rFonts w:hint="eastAsia"/>
              </w:rPr>
              <w:t>.1中标人不能交货的，需偿付不能交货部分货款的</w:t>
            </w:r>
            <w:r>
              <w:rPr>
                <w:rFonts w:hint="eastAsia"/>
                <w:u w:val="single"/>
              </w:rPr>
              <w:t xml:space="preserve">  </w:t>
            </w:r>
            <w:r>
              <w:rPr>
                <w:u w:val="single"/>
              </w:rPr>
              <w:t>5</w:t>
            </w:r>
            <w:r>
              <w:rPr>
                <w:rFonts w:hint="eastAsia"/>
                <w:u w:val="single"/>
              </w:rPr>
              <w:t xml:space="preserve">  </w:t>
            </w:r>
            <w:r>
              <w:rPr>
                <w:rFonts w:hint="eastAsia"/>
              </w:rPr>
              <w:t>%的违约金并按主管部门相关规定处理。</w:t>
            </w:r>
          </w:p>
        </w:tc>
        <w:tc>
          <w:tcPr>
            <w:tcW w:w="738" w:type="pct"/>
          </w:tcPr>
          <w:p/>
        </w:tc>
        <w:tc>
          <w:tcPr>
            <w:tcW w:w="666" w:type="pct"/>
          </w:tcPr>
          <w:p/>
        </w:tc>
        <w:tc>
          <w:tcPr>
            <w:tcW w:w="419" w:type="pct"/>
          </w:tc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jc w:val="center"/>
            </w:pPr>
          </w:p>
        </w:tc>
        <w:tc>
          <w:tcPr>
            <w:tcW w:w="1655" w:type="pct"/>
          </w:tcPr>
          <w:p>
            <w:r>
              <w:t>5</w:t>
            </w:r>
            <w:r>
              <w:rPr>
                <w:rFonts w:hint="eastAsia"/>
              </w:rPr>
              <w:t>.2中标人逾期交货的，将被没收履约保证金并按主管部门相关规定处理。</w:t>
            </w:r>
          </w:p>
        </w:tc>
        <w:tc>
          <w:tcPr>
            <w:tcW w:w="738" w:type="pct"/>
          </w:tcPr>
          <w:p/>
        </w:tc>
        <w:tc>
          <w:tcPr>
            <w:tcW w:w="666" w:type="pct"/>
          </w:tcPr>
          <w:p/>
        </w:tc>
        <w:tc>
          <w:tcPr>
            <w:tcW w:w="419" w:type="pct"/>
          </w:tcPr>
          <w:p/>
        </w:tc>
      </w:tr>
      <w:tr>
        <w:tblPrEx>
          <w:tblW w:w="4998" w:type="pct"/>
          <w:tblCellMar>
            <w:top w:w="0" w:type="dxa"/>
            <w:left w:w="108" w:type="dxa"/>
            <w:bottom w:w="0" w:type="dxa"/>
            <w:right w:w="108" w:type="dxa"/>
          </w:tblCellMar>
          <w:tblLook w:val="0000"/>
        </w:tblPrEx>
        <w:trPr>
          <w:trHeight w:val="350"/>
        </w:trPr>
        <w:tc>
          <w:tcPr>
            <w:tcW w:w="665" w:type="pct"/>
            <w:vMerge/>
            <w:vAlign w:val="center"/>
          </w:tcPr>
          <w:p>
            <w:pPr>
              <w:jc w:val="center"/>
              <w:rPr>
                <w:b/>
              </w:rPr>
            </w:pPr>
          </w:p>
        </w:tc>
        <w:tc>
          <w:tcPr>
            <w:tcW w:w="855" w:type="pct"/>
            <w:vMerge/>
            <w:vAlign w:val="center"/>
          </w:tcPr>
          <w:p>
            <w:pPr>
              <w:jc w:val="center"/>
            </w:pPr>
          </w:p>
        </w:tc>
        <w:tc>
          <w:tcPr>
            <w:tcW w:w="1655" w:type="pct"/>
          </w:tcPr>
          <w:p>
            <w:r>
              <w:t>5</w:t>
            </w:r>
            <w:r>
              <w:rPr>
                <w:rFonts w:hint="eastAsia"/>
              </w:rPr>
              <w:t>.3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738" w:type="pct"/>
          </w:tcPr>
          <w:p/>
        </w:tc>
        <w:tc>
          <w:tcPr>
            <w:tcW w:w="666" w:type="pct"/>
          </w:tcPr>
          <w:p/>
        </w:tc>
        <w:tc>
          <w:tcPr>
            <w:tcW w:w="419" w:type="pct"/>
          </w:tcPr>
          <w:p/>
        </w:tc>
      </w:tr>
      <w:tr>
        <w:tblPrEx>
          <w:tblW w:w="4998" w:type="pct"/>
          <w:tblCellMar>
            <w:top w:w="0" w:type="dxa"/>
            <w:left w:w="108" w:type="dxa"/>
            <w:bottom w:w="0" w:type="dxa"/>
            <w:right w:w="108" w:type="dxa"/>
          </w:tblCellMar>
          <w:tblLook w:val="0000"/>
        </w:tblPrEx>
        <w:trPr>
          <w:trHeight w:val="350"/>
        </w:trPr>
        <w:tc>
          <w:tcPr>
            <w:tcW w:w="665" w:type="pct"/>
            <w:vAlign w:val="center"/>
          </w:tcPr>
          <w:p>
            <w:pPr>
              <w:jc w:val="center"/>
            </w:pPr>
            <w:r>
              <w:t>6</w:t>
            </w:r>
          </w:p>
        </w:tc>
        <w:tc>
          <w:tcPr>
            <w:tcW w:w="855" w:type="pct"/>
            <w:vAlign w:val="center"/>
          </w:tcPr>
          <w:p>
            <w:pPr>
              <w:jc w:val="center"/>
              <w:rPr>
                <w:b/>
              </w:rPr>
            </w:pPr>
            <w:r>
              <w:rPr>
                <w:rFonts w:hint="eastAsia"/>
                <w:bCs/>
              </w:rPr>
              <w:t>关于付款</w:t>
            </w:r>
          </w:p>
        </w:tc>
        <w:tc>
          <w:tcPr>
            <w:tcW w:w="1655" w:type="pct"/>
          </w:tcPr>
          <w:p>
            <w:pPr>
              <w:pStyle w:val="82"/>
              <w:ind w:firstLine="0" w:firstLineChars="0"/>
              <w:rPr>
                <w:b/>
              </w:rPr>
            </w:pPr>
            <w:r>
              <w:rPr>
                <w:rFonts w:hint="eastAsia"/>
                <w:bCs/>
                <w:szCs w:val="21"/>
              </w:rPr>
              <w:t>签订合同后，采购人向中标人支付合同价款的30%作为预付款；货物安装完毕且验收合格，采购人支付合同价款的70%。</w:t>
            </w:r>
          </w:p>
        </w:tc>
        <w:tc>
          <w:tcPr>
            <w:tcW w:w="738" w:type="pct"/>
          </w:tcPr>
          <w:p>
            <w:pPr>
              <w:pStyle w:val="82"/>
              <w:ind w:firstLine="0" w:firstLineChars="0"/>
              <w:rPr>
                <w:rFonts w:hint="eastAsia"/>
                <w:bCs/>
                <w:szCs w:val="21"/>
              </w:rPr>
            </w:pPr>
          </w:p>
        </w:tc>
        <w:tc>
          <w:tcPr>
            <w:tcW w:w="666" w:type="pct"/>
          </w:tcPr>
          <w:p>
            <w:pPr>
              <w:pStyle w:val="82"/>
              <w:ind w:firstLine="0" w:firstLineChars="0"/>
              <w:rPr>
                <w:rFonts w:hint="eastAsia"/>
                <w:bCs/>
                <w:szCs w:val="21"/>
              </w:rPr>
            </w:pPr>
          </w:p>
        </w:tc>
        <w:tc>
          <w:tcPr>
            <w:tcW w:w="419" w:type="pct"/>
          </w:tcPr>
          <w:p>
            <w:pPr>
              <w:pStyle w:val="82"/>
              <w:ind w:firstLine="0" w:firstLineChars="0"/>
              <w:rPr>
                <w:rFonts w:hint="eastAsia"/>
                <w:bCs/>
                <w:szCs w:val="21"/>
              </w:rPr>
            </w:pPr>
          </w:p>
        </w:tc>
      </w:tr>
    </w:tbl>
    <w:p>
      <w:pPr>
        <w:ind w:firstLine="420" w:firstLineChars="200"/>
        <w:rPr>
          <w:rFonts w:hint="eastAsia"/>
          <w:b/>
          <w:sz w:val="24"/>
        </w:rPr>
      </w:pPr>
    </w:p>
    <w:p>
      <w:pPr>
        <w:ind w:firstLine="420" w:firstLineChars="200"/>
        <w:rPr>
          <w:b/>
          <w:sz w:val="24"/>
        </w:rPr>
      </w:pPr>
      <w:r>
        <w:rPr>
          <w:rFonts w:hint="eastAsia"/>
          <w:b/>
          <w:sz w:val="24"/>
        </w:rPr>
        <w:t>《商务要求偏离表》编制指引：</w:t>
      </w:r>
    </w:p>
    <w:p>
      <w:pPr>
        <w:ind w:firstLine="420" w:firstLineChars="200"/>
        <w:rPr>
          <w:b/>
          <w:sz w:val="24"/>
        </w:rPr>
      </w:pPr>
      <w:r>
        <w:rPr>
          <w:rFonts w:hint="eastAsia"/>
          <w:b/>
          <w:sz w:val="24"/>
        </w:rPr>
        <w:t>1、商务要求偏离表的序号、商务需求项、招标商务要求等栏目对应“用户需求书”中的“商务要求”章节相关内容。</w:t>
      </w:r>
    </w:p>
    <w:p>
      <w:pPr>
        <w:ind w:firstLine="420" w:firstLineChars="200"/>
        <w:rPr>
          <w:b/>
          <w:sz w:val="24"/>
        </w:rPr>
      </w:pPr>
      <w:r>
        <w:rPr>
          <w:b/>
          <w:sz w:val="24"/>
        </w:rPr>
        <w:t>2</w:t>
      </w:r>
      <w:r>
        <w:rPr>
          <w:rFonts w:hint="eastAsia"/>
          <w:b/>
          <w:sz w:val="24"/>
        </w:rPr>
        <w:t>、“投标商务响应”一栏必须一一对照“招标商务要求”，详细填写自身响应情况，以体现具体响应情况。</w:t>
      </w:r>
    </w:p>
    <w:p>
      <w:pPr>
        <w:ind w:firstLine="42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b/>
          <w:bCs/>
          <w:sz w:val="24"/>
        </w:rPr>
      </w:pPr>
    </w:p>
    <w:p>
      <w:pPr>
        <w:outlineLvl w:val="3"/>
        <w:rPr>
          <w:rFonts w:ascii="黑体" w:eastAsia="黑体" w:hAnsi="宋体"/>
          <w:bCs/>
          <w:kern w:val="0"/>
          <w:sz w:val="24"/>
          <w:szCs w:val="32"/>
        </w:rPr>
      </w:pPr>
      <w:r>
        <w:rPr>
          <w:rFonts w:ascii="黑体" w:eastAsia="黑体" w:hint="eastAsia"/>
          <w:sz w:val="24"/>
          <w:szCs w:val="20"/>
        </w:rPr>
        <w:t>六、</w:t>
      </w:r>
      <w:r>
        <w:rPr>
          <w:rFonts w:ascii="黑体" w:eastAsia="黑体" w:hAnsi="宋体" w:hint="eastAsia"/>
          <w:bCs/>
          <w:kern w:val="0"/>
          <w:sz w:val="24"/>
          <w:szCs w:val="32"/>
        </w:rPr>
        <w:t>配套安装方案</w:t>
      </w:r>
    </w:p>
    <w:p>
      <w:pPr>
        <w:outlineLvl w:val="3"/>
        <w:rPr>
          <w:b/>
          <w:color w:val="FF0000"/>
          <w:sz w:val="22"/>
        </w:rPr>
      </w:pPr>
      <w:r>
        <w:rPr>
          <w:rFonts w:hint="eastAsia"/>
          <w:b/>
          <w:color w:val="FF0000"/>
          <w:sz w:val="22"/>
        </w:rPr>
        <w:t>（特别提示：投标人须按本招标文件评标信息中“配套安装方案”这一评审因素要求，提供证明资料）</w:t>
      </w:r>
    </w:p>
    <w:p>
      <w:pPr>
        <w:pStyle w:val="BodyText"/>
      </w:pPr>
    </w:p>
    <w:p>
      <w:pPr>
        <w:outlineLvl w:val="3"/>
        <w:rPr>
          <w:rFonts w:ascii="黑体" w:eastAsia="黑体" w:hAnsi="宋体"/>
          <w:bCs/>
          <w:kern w:val="0"/>
          <w:sz w:val="24"/>
          <w:szCs w:val="32"/>
        </w:rPr>
      </w:pPr>
      <w:r>
        <w:rPr>
          <w:rFonts w:ascii="黑体" w:eastAsia="黑体" w:hAnsi="宋体" w:hint="eastAsia"/>
          <w:bCs/>
          <w:kern w:val="0"/>
          <w:sz w:val="24"/>
          <w:szCs w:val="32"/>
          <w:lang w:val="en-US" w:eastAsia="zh-CN"/>
        </w:rPr>
        <w:t>七</w:t>
      </w:r>
      <w:r>
        <w:rPr>
          <w:rFonts w:ascii="黑体" w:eastAsia="黑体" w:hAnsi="宋体" w:hint="eastAsia"/>
          <w:bCs/>
          <w:kern w:val="0"/>
          <w:sz w:val="24"/>
          <w:szCs w:val="32"/>
        </w:rPr>
        <w:t>、投标人认为需要加以说明的其他内容（格式自定）</w:t>
      </w:r>
    </w:p>
    <w:p>
      <w:pPr>
        <w:rPr>
          <w:rFonts w:ascii="黑体" w:eastAsia="黑体" w:hAnsi="宋体"/>
          <w:sz w:val="24"/>
          <w:szCs w:val="20"/>
        </w:rPr>
      </w:pPr>
    </w:p>
    <w:p>
      <w:pPr>
        <w:rPr>
          <w:rFonts w:ascii="黑体" w:eastAsia="黑体" w:hAnsi="宋体"/>
          <w:sz w:val="24"/>
          <w:szCs w:val="20"/>
        </w:rPr>
      </w:pPr>
      <w:r>
        <w:rPr>
          <w:rFonts w:ascii="黑体" w:eastAsia="黑体" w:hAnsi="宋体" w:hint="eastAsia"/>
          <w:sz w:val="24"/>
          <w:szCs w:val="20"/>
        </w:rPr>
        <w:t>（1）政府采购违法行为风险知悉确认书</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（一）通过转让或者租借等方式从其他单位获取资格或者资质证书投标的。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（二）由其他单位或者其他单位负责人在投标供应商编制的投标文件上加盖印章或者签字的。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（三）项目负责人或者主要技术人员不是本单位人员的。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（四）投标保证金不是从投标供应商基本账户转出的。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（五）其他隐瞒真实情况、提供虚假资料的行为。</w:t>
      </w:r>
    </w:p>
    <w:p>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（一）投标供应商之间相互约定给予未中标的供应商利益补偿。</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（三）不同投标供应商的投标文件由同一单位或者同一人编制，或者由同一人分阶段参与编制的。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（四）不同投标供应商的投标文件或部分投标文件相互混装。</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（五）不同投标供应商的投标文件内容存在非正常一致。</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（六）由同一单位工作人员为两家以上（含两家）供应商进行同一项投标活动的。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（七）不同投标人的投标报价呈规律性差异。</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（八）不同投标人的投标保证金从同一单位或者个人的账户转出。</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（九）主管部门依照法律、法规认定的其他情形。</w:t>
      </w:r>
    </w:p>
    <w:p>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（三）对于涉及安全生产、特种作业、抢险救灾、防疫等政府采购项目，供应商实施提供虚假资料、串通投标等违法行为的，主管部门将依法从严处理。</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NormalWeb"/>
        <w:autoSpaceDE w:val="0"/>
        <w:autoSpaceDN w:val="0"/>
        <w:spacing w:beforeAutospacing="0" w:afterAutospacing="0"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pPr>
        <w:pStyle w:val="NormalWeb"/>
        <w:autoSpaceDE w:val="0"/>
        <w:autoSpaceDN w:val="0"/>
        <w:spacing w:beforeAutospacing="0" w:afterAutospacing="0" w:line="400" w:lineRule="exact"/>
        <w:ind w:firstLine="420" w:firstLineChars="200"/>
        <w:rPr>
          <w:rFonts w:ascii="宋体" w:hAnsi="宋体"/>
          <w:b/>
          <w:bCs/>
          <w:spacing w:val="-4"/>
          <w:sz w:val="21"/>
          <w:szCs w:val="21"/>
        </w:rPr>
      </w:pPr>
      <w:r>
        <w:rPr>
          <w:rFonts w:ascii="宋体" w:hAnsi="宋体" w:hint="eastAsia"/>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Normal"/>
        <w:tblW w:w="0" w:type="auto"/>
        <w:tblBorders>
          <w:top w:val="nil"/>
          <w:left w:val="nil"/>
          <w:bottom w:val="single" w:sz="4" w:space="0" w:color="auto"/>
          <w:right w:val="nil"/>
          <w:insideH w:val="nil"/>
          <w:insideV w:val="nil"/>
        </w:tblBorders>
        <w:tblCellMar>
          <w:top w:w="0" w:type="dxa"/>
          <w:left w:w="108" w:type="dxa"/>
          <w:bottom w:w="0" w:type="dxa"/>
          <w:right w:w="108" w:type="dxa"/>
        </w:tblCellMar>
        <w:tblLook w:val="0000"/>
      </w:tblPr>
      <w:tblGrid>
        <w:gridCol w:w="8529"/>
      </w:tblGrid>
      <w:tr>
        <w:tblPrEx>
          <w:tblW w:w="0" w:type="auto"/>
          <w:tblBorders>
            <w:top w:val="nil"/>
            <w:left w:val="nil"/>
            <w:bottom w:val="single" w:sz="4" w:space="0" w:color="auto"/>
            <w:right w:val="nil"/>
            <w:insideH w:val="nil"/>
            <w:insideV w:val="nil"/>
          </w:tblBorders>
          <w:tblCellMar>
            <w:top w:w="0" w:type="dxa"/>
            <w:left w:w="108" w:type="dxa"/>
            <w:bottom w:w="0" w:type="dxa"/>
            <w:right w:w="108" w:type="dxa"/>
          </w:tblCellMar>
          <w:tblLook w:val="0000"/>
        </w:tblPrEx>
        <w:trPr>
          <w:trHeight w:val="304"/>
        </w:trPr>
        <w:tc>
          <w:tcPr>
            <w:tcW w:w="8529" w:type="dxa"/>
            <w:tcBorders>
              <w:top w:val="nil"/>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0" w:type="auto"/>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0" w:type="auto"/>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0" w:type="auto"/>
          <w:tblCellMar>
            <w:top w:w="0" w:type="dxa"/>
            <w:left w:w="108" w:type="dxa"/>
            <w:bottom w:w="0" w:type="dxa"/>
            <w:right w:w="108" w:type="dxa"/>
          </w:tblCellMar>
          <w:tblLook w:val="0000"/>
        </w:tblPrEx>
        <w:tc>
          <w:tcPr>
            <w:tcW w:w="8529" w:type="dxa"/>
            <w:tcBorders>
              <w:top w:val="single" w:sz="8" w:space="0" w:color="000000"/>
              <w:left w:val="nil"/>
              <w:bottom w:val="single" w:sz="8" w:space="0" w:color="auto"/>
              <w:right w:val="nil"/>
            </w:tcBorders>
          </w:tcPr>
          <w:p>
            <w:pPr>
              <w:pStyle w:val="NormalWeb"/>
              <w:autoSpaceDE w:val="0"/>
              <w:autoSpaceDN w:val="0"/>
              <w:spacing w:beforeAutospacing="0" w:afterAutospacing="0" w:line="400" w:lineRule="exact"/>
              <w:rPr>
                <w:rFonts w:ascii="宋体" w:hAnsi="宋体"/>
                <w:spacing w:val="-4"/>
                <w:sz w:val="21"/>
                <w:szCs w:val="21"/>
              </w:rPr>
            </w:pPr>
          </w:p>
        </w:tc>
      </w:tr>
    </w:tbl>
    <w:p>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Pr>
          <w:rFonts w:ascii="宋体" w:hAnsi="宋体" w:hint="eastAsia"/>
          <w:b/>
          <w:bCs/>
          <w:color w:val="FF0000"/>
          <w:spacing w:val="-4"/>
          <w:sz w:val="21"/>
          <w:szCs w:val="21"/>
        </w:rPr>
        <w:t>注：1.政府采购违法行为风险知悉确认书不作为资格性审查及符合性审查条件。</w:t>
      </w:r>
    </w:p>
    <w:p>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Pr>
          <w:rFonts w:ascii="宋体" w:hAnsi="宋体" w:hint="eastAsia"/>
          <w:b/>
          <w:bCs/>
          <w:color w:val="FF0000"/>
          <w:spacing w:val="-4"/>
          <w:sz w:val="21"/>
          <w:szCs w:val="21"/>
        </w:rPr>
        <w:t>2.投标供应商负责人或投标授权代表签字并加盖单位公章后，扫描上传至投标文件一并提交。</w:t>
      </w:r>
    </w:p>
    <w:p>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负责人/投标授权代表签名：     </w:t>
      </w:r>
    </w:p>
    <w:p>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知悉人（公章）：     </w:t>
      </w:r>
    </w:p>
    <w:p>
      <w:pPr>
        <w:pStyle w:val="NormalWeb"/>
        <w:wordWrap w:val="0"/>
        <w:autoSpaceDE w:val="0"/>
        <w:autoSpaceDN w:val="0"/>
        <w:spacing w:beforeAutospacing="0" w:afterAutospacing="0" w:line="400" w:lineRule="exact"/>
        <w:ind w:firstLine="420" w:firstLineChars="200"/>
        <w:jc w:val="right"/>
      </w:pPr>
      <w:r>
        <w:rPr>
          <w:rFonts w:ascii="宋体" w:hAnsi="宋体" w:hint="eastAsia"/>
          <w:spacing w:val="-4"/>
          <w:sz w:val="21"/>
          <w:szCs w:val="21"/>
        </w:rPr>
        <w:t xml:space="preserve">日期：     </w:t>
      </w:r>
    </w:p>
    <w:p>
      <w:pPr>
        <w:pStyle w:val="BodyText"/>
      </w:pPr>
    </w:p>
    <w:p>
      <w:pPr>
        <w:rPr>
          <w:rFonts w:ascii="黑体" w:eastAsia="黑体" w:hAnsi="宋体"/>
          <w:sz w:val="24"/>
          <w:szCs w:val="20"/>
        </w:rPr>
      </w:pPr>
      <w:r>
        <w:rPr>
          <w:rFonts w:ascii="黑体" w:eastAsia="黑体" w:hAnsi="宋体" w:hint="eastAsia"/>
          <w:sz w:val="24"/>
          <w:szCs w:val="20"/>
        </w:rPr>
        <w:t>（2）投标人认为需要加以说明的其他内容</w:t>
      </w:r>
    </w:p>
    <w:p>
      <w:pPr>
        <w:rPr>
          <w:b/>
          <w:sz w:val="22"/>
        </w:rPr>
      </w:pPr>
    </w:p>
    <w:p>
      <w:pPr>
        <w:rPr>
          <w:b/>
          <w:sz w:val="22"/>
        </w:rPr>
      </w:pPr>
      <w:r>
        <w:rPr>
          <w:rFonts w:hint="eastAsia"/>
          <w:b/>
          <w:sz w:val="22"/>
        </w:rPr>
        <w:br w:type="page"/>
      </w:r>
    </w:p>
    <w:p>
      <w:pPr>
        <w:pStyle w:val="Heading2"/>
      </w:pPr>
      <w:r>
        <w:rPr>
          <w:rFonts w:hint="eastAsia"/>
        </w:rPr>
        <w:t>第五章  合同条款及格式</w:t>
      </w:r>
    </w:p>
    <w:p>
      <w:pPr>
        <w:ind w:firstLine="412" w:firstLineChars="196"/>
      </w:pPr>
    </w:p>
    <w:p>
      <w:pPr>
        <w:jc w:val="center"/>
      </w:pPr>
      <w:bookmarkStart w:id="100" w:name="_Hlk72574405"/>
      <w:bookmarkStart w:id="101" w:name="_Hlk72260917"/>
      <w:r>
        <w:rPr>
          <w:rFonts w:hint="eastAsia"/>
          <w:b/>
          <w:sz w:val="24"/>
        </w:rPr>
        <w:t>（仅供参考，具体以项目需求及采购结果为准）</w:t>
      </w:r>
      <w:bookmarkEnd w:id="100"/>
    </w:p>
    <w:p>
      <w:pPr>
        <w:rPr>
          <w:rFonts w:ascii="宋体" w:hAnsi="宋体"/>
          <w:b/>
          <w:bCs/>
          <w:szCs w:val="21"/>
        </w:rPr>
      </w:pPr>
      <w:r>
        <w:rPr>
          <w:rFonts w:ascii="宋体" w:hAnsi="宋体" w:hint="eastAsia"/>
          <w:b/>
          <w:bCs/>
          <w:szCs w:val="21"/>
        </w:rPr>
        <w:t>甲方：</w:t>
      </w:r>
    </w:p>
    <w:p>
      <w:pPr>
        <w:rPr>
          <w:rFonts w:ascii="宋体" w:hAnsi="宋体"/>
          <w:szCs w:val="21"/>
        </w:rPr>
      </w:pPr>
      <w:bookmarkStart w:id="102" w:name="_Hlk75014453"/>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b/>
          <w:bCs/>
          <w:szCs w:val="21"/>
        </w:rPr>
      </w:pPr>
      <w:r>
        <w:rPr>
          <w:rFonts w:ascii="宋体" w:hAnsi="宋体" w:hint="eastAsia"/>
          <w:szCs w:val="21"/>
        </w:rPr>
        <w:t>联系电话：</w:t>
      </w:r>
      <w:bookmarkEnd w:id="102"/>
    </w:p>
    <w:p>
      <w:pPr>
        <w:rPr>
          <w:rFonts w:ascii="宋体" w:hAnsi="宋体"/>
          <w:b/>
          <w:bCs/>
          <w:szCs w:val="21"/>
        </w:rPr>
      </w:pPr>
    </w:p>
    <w:p>
      <w:pPr>
        <w:rPr>
          <w:rFonts w:ascii="宋体" w:hAnsi="宋体"/>
          <w:b/>
          <w:bCs/>
          <w:szCs w:val="21"/>
        </w:rPr>
      </w:pPr>
      <w:r>
        <w:rPr>
          <w:rFonts w:ascii="宋体" w:hAnsi="宋体" w:hint="eastAsia"/>
          <w:b/>
          <w:bCs/>
          <w:szCs w:val="21"/>
        </w:rPr>
        <w:t>乙方：</w:t>
      </w:r>
      <w:bookmarkEnd w:id="101"/>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szCs w:val="21"/>
        </w:rPr>
      </w:pPr>
      <w:r>
        <w:rPr>
          <w:rFonts w:ascii="宋体" w:hAnsi="宋体" w:hint="eastAsia"/>
          <w:szCs w:val="21"/>
        </w:rPr>
        <w:t>联系电话：</w:t>
      </w:r>
    </w:p>
    <w:p>
      <w:pPr>
        <w:rPr>
          <w:rFonts w:ascii="宋体" w:hAnsi="宋体"/>
          <w:szCs w:val="21"/>
        </w:rPr>
      </w:pPr>
    </w:p>
    <w:p>
      <w:pPr>
        <w:spacing w:line="360" w:lineRule="auto"/>
        <w:ind w:firstLine="560"/>
        <w:jc w:val="left"/>
        <w:rPr>
          <w:szCs w:val="21"/>
        </w:rPr>
      </w:pPr>
      <w:bookmarkStart w:id="103"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10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7"/>
        </w:numPr>
        <w:spacing w:line="360" w:lineRule="auto"/>
        <w:ind w:firstLine="560"/>
        <w:jc w:val="left"/>
        <w:outlineLvl w:val="0"/>
        <w:rPr>
          <w:b/>
          <w:szCs w:val="21"/>
        </w:rPr>
      </w:pPr>
      <w:r>
        <w:rPr>
          <w:rFonts w:hint="eastAsia"/>
          <w:b/>
          <w:szCs w:val="21"/>
        </w:rPr>
        <w:t>履行期限</w:t>
      </w:r>
    </w:p>
    <w:p>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7"/>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pPr>
        <w:spacing w:line="360" w:lineRule="auto"/>
        <w:ind w:firstLine="420" w:firstLineChars="200"/>
        <w:jc w:val="left"/>
        <w:outlineLvl w:val="0"/>
        <w:rPr>
          <w:b/>
          <w:szCs w:val="21"/>
        </w:rPr>
      </w:pPr>
      <w:r>
        <w:rPr>
          <w:rFonts w:hint="eastAsia"/>
          <w:b/>
          <w:szCs w:val="21"/>
        </w:rPr>
        <w:t>第十条  货款支付</w:t>
      </w:r>
    </w:p>
    <w:p>
      <w:pPr>
        <w:spacing w:line="360" w:lineRule="auto"/>
        <w:jc w:val="left"/>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0"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ascii="宋体" w:hAnsi="宋体" w:hint="eastAsia"/>
          <w:szCs w:val="21"/>
        </w:rPr>
        <w:t>6.</w:t>
      </w:r>
      <w:bookmarkStart w:id="104"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104"/>
    </w:p>
    <w:p>
      <w:pPr>
        <w:spacing w:line="360" w:lineRule="auto"/>
        <w:ind w:firstLine="560"/>
        <w:jc w:val="left"/>
        <w:rPr>
          <w:rFonts w:ascii="宋体" w:hAnsi="宋体"/>
          <w:szCs w:val="21"/>
        </w:rPr>
      </w:pPr>
      <w:r>
        <w:rPr>
          <w:rFonts w:ascii="宋体" w:hAnsi="宋体" w:hint="eastAsia"/>
          <w:szCs w:val="21"/>
        </w:rPr>
        <w:t>7、</w:t>
      </w:r>
      <w:bookmarkStart w:id="105"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105"/>
    </w:p>
    <w:p>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ascii="宋体" w:hAnsi="宋体" w:hint="eastAsia"/>
          <w:szCs w:val="21"/>
        </w:rPr>
        <w:t>除</w:t>
      </w:r>
      <w:bookmarkStart w:id="106" w:name="_Hlk75015119"/>
      <w:r>
        <w:rPr>
          <w:rFonts w:ascii="宋体" w:hAnsi="宋体" w:hint="eastAsia"/>
          <w:szCs w:val="21"/>
        </w:rPr>
        <w:t>《深圳经济特区政府采购条例》第40条、</w:t>
      </w:r>
      <w:bookmarkEnd w:id="106"/>
      <w:r>
        <w:rPr>
          <w:rFonts w:ascii="宋体" w:hAnsi="宋体" w:hint="eastAsia"/>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ascii="宋体" w:hAnsi="宋体" w:hint="eastAsia"/>
          <w:szCs w:val="21"/>
        </w:rPr>
        <w:t>1、下列文件均为本合同的组成部分：</w:t>
      </w:r>
    </w:p>
    <w:p>
      <w:pPr>
        <w:spacing w:line="360" w:lineRule="auto"/>
        <w:ind w:firstLine="560"/>
        <w:jc w:val="left"/>
        <w:rPr>
          <w:rFonts w:ascii="宋体" w:hAnsi="宋体"/>
          <w:szCs w:val="21"/>
        </w:rPr>
      </w:pPr>
      <w:r>
        <w:rPr>
          <w:rFonts w:ascii="宋体" w:hAnsi="宋体" w:hint="eastAsia"/>
          <w:szCs w:val="21"/>
        </w:rPr>
        <w:t>（1）号招标文件、答疑及补充通知；</w:t>
      </w:r>
    </w:p>
    <w:p>
      <w:pPr>
        <w:spacing w:line="360" w:lineRule="auto"/>
        <w:ind w:firstLine="560"/>
        <w:jc w:val="left"/>
        <w:rPr>
          <w:rFonts w:ascii="宋体" w:hAnsi="宋体"/>
          <w:szCs w:val="21"/>
        </w:rPr>
      </w:pPr>
      <w:r>
        <w:rPr>
          <w:rFonts w:ascii="宋体" w:hAnsi="宋体" w:hint="eastAsia"/>
          <w:szCs w:val="21"/>
        </w:rPr>
        <w:t>（2）乙方的投标文件；</w:t>
      </w:r>
    </w:p>
    <w:p>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ascii="宋体" w:hAnsi="宋体" w:hint="eastAsia"/>
          <w:szCs w:val="21"/>
        </w:rPr>
        <w:t>甲方（采购人）：   （盖章）       乙方（供应商）：    （盖章）</w:t>
      </w:r>
    </w:p>
    <w:p>
      <w:pPr>
        <w:spacing w:line="360" w:lineRule="auto"/>
        <w:ind w:firstLine="560"/>
        <w:jc w:val="left"/>
        <w:rPr>
          <w:rFonts w:ascii="宋体" w:hAnsi="宋体"/>
          <w:szCs w:val="21"/>
        </w:rPr>
      </w:pPr>
      <w:r>
        <w:rPr>
          <w:rFonts w:ascii="宋体" w:hAnsi="宋体" w:hint="eastAsia"/>
          <w:szCs w:val="21"/>
        </w:rPr>
        <w:t xml:space="preserve">法定代表人：                     法定代表人： </w:t>
      </w:r>
    </w:p>
    <w:p>
      <w:pPr>
        <w:spacing w:line="360" w:lineRule="auto"/>
        <w:ind w:firstLine="560"/>
        <w:jc w:val="left"/>
        <w:rPr>
          <w:rFonts w:ascii="宋体" w:hAnsi="宋体"/>
          <w:szCs w:val="21"/>
        </w:rPr>
      </w:pPr>
      <w:r>
        <w:rPr>
          <w:rFonts w:ascii="宋体" w:hAnsi="宋体" w:hint="eastAsia"/>
          <w:szCs w:val="21"/>
        </w:rPr>
        <w:t>委托代理人：                     委托代理人：</w:t>
      </w:r>
    </w:p>
    <w:p>
      <w:pPr>
        <w:ind w:firstLine="525" w:firstLineChars="250"/>
        <w:rPr>
          <w:rFonts w:ascii="宋体" w:hAnsi="宋体"/>
          <w:b/>
          <w:szCs w:val="21"/>
        </w:rPr>
      </w:pPr>
      <w:r>
        <w:rPr>
          <w:rFonts w:ascii="宋体" w:hAnsi="宋体" w:hint="eastAsia"/>
          <w:szCs w:val="21"/>
        </w:rPr>
        <w:t>日期：   年     月    日         日期：   年     月    日</w:t>
      </w:r>
    </w:p>
    <w:p/>
    <w:p>
      <w:pPr>
        <w:widowControl/>
        <w:jc w:val="left"/>
        <w:rPr>
          <w:rFonts w:ascii="宋体" w:hAnsi="宋体"/>
          <w:szCs w:val="21"/>
        </w:rPr>
      </w:pPr>
      <w:r>
        <w:rPr>
          <w:rFonts w:ascii="宋体" w:hAnsi="宋体"/>
          <w:szCs w:val="21"/>
        </w:rPr>
        <w:br w:type="page"/>
      </w:r>
    </w:p>
    <w:p>
      <w:pPr>
        <w:pStyle w:val="Heading2"/>
        <w:spacing w:before="120" w:beforeLines="50" w:after="120" w:afterLines="50"/>
        <w:ind w:left="562"/>
        <w:rPr>
          <w:sz w:val="28"/>
          <w:szCs w:val="28"/>
        </w:rPr>
      </w:pPr>
      <w:r>
        <w:rPr>
          <w:rFonts w:hint="eastAsia"/>
          <w:sz w:val="28"/>
          <w:szCs w:val="28"/>
        </w:rPr>
        <w:t>第二册  通用条款（公开招标）</w:t>
      </w:r>
    </w:p>
    <w:p>
      <w:pPr>
        <w:pStyle w:val="Heading2"/>
        <w:numPr>
          <w:ilvl w:val="0"/>
          <w:numId w:val="8"/>
        </w:numPr>
        <w:tabs>
          <w:tab w:val="left" w:pos="720"/>
        </w:tabs>
        <w:spacing w:before="120" w:beforeLines="50" w:after="120" w:afterLines="50"/>
        <w:ind w:left="562" w:hanging="562"/>
        <w:rPr>
          <w:sz w:val="28"/>
          <w:szCs w:val="28"/>
        </w:rPr>
      </w:pPr>
      <w:bookmarkStart w:id="107" w:name="_Hlk72399513"/>
      <w:r>
        <w:rPr>
          <w:rFonts w:hint="eastAsia"/>
          <w:sz w:val="28"/>
          <w:szCs w:val="28"/>
        </w:rPr>
        <w:t>总则</w:t>
      </w:r>
    </w:p>
    <w:p>
      <w:pPr>
        <w:outlineLvl w:val="1"/>
        <w:rPr>
          <w:rFonts w:ascii="黑体" w:eastAsia="黑体" w:hAnsi="宋体"/>
          <w:sz w:val="24"/>
        </w:rPr>
      </w:pPr>
      <w:bookmarkEnd w:id="107"/>
      <w:r>
        <w:rPr>
          <w:rFonts w:ascii="黑体" w:eastAsia="黑体" w:hAnsi="宋体" w:hint="eastAsia"/>
          <w:sz w:val="24"/>
        </w:rPr>
        <w:t>1. 通用条款说明</w:t>
      </w:r>
    </w:p>
    <w:p>
      <w:pPr>
        <w:ind w:firstLine="412"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108" w:name="_Hlk72399729"/>
      <w:r>
        <w:rPr>
          <w:rFonts w:ascii="宋体" w:hAnsi="宋体" w:hint="eastAsia"/>
          <w:szCs w:val="21"/>
        </w:rPr>
        <w:t>如有需要，政府集中采购机构可以对通用条款的内容进行补充。</w:t>
      </w:r>
      <w:bookmarkEnd w:id="108"/>
    </w:p>
    <w:p>
      <w:pPr>
        <w:ind w:firstLine="412" w:firstLineChars="196"/>
        <w:rPr>
          <w:rFonts w:ascii="宋体" w:hAnsi="宋体"/>
          <w:szCs w:val="21"/>
        </w:rPr>
      </w:pPr>
      <w:r>
        <w:rPr>
          <w:rFonts w:ascii="宋体" w:hAnsi="宋体" w:hint="eastAsia"/>
          <w:szCs w:val="21"/>
        </w:rPr>
        <w:t>1.2招标文件分为第一册“专用条款”和第二册“通用条款”。</w:t>
      </w:r>
    </w:p>
    <w:p>
      <w:pPr>
        <w:ind w:firstLine="412"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12"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12" w:firstLineChars="196"/>
        <w:rPr>
          <w:rFonts w:ascii="宋体" w:hAnsi="宋体"/>
          <w:szCs w:val="21"/>
        </w:rPr>
      </w:pPr>
      <w:r>
        <w:rPr>
          <w:rFonts w:ascii="宋体" w:hAnsi="宋体" w:hint="eastAsia"/>
          <w:szCs w:val="21"/>
        </w:rPr>
        <w:t>1.5 “专用条款”和“通用条款”表述不一致或有冲突时，以“专用条款”为准。</w:t>
      </w:r>
    </w:p>
    <w:p>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pPr>
        <w:ind w:firstLine="412"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outlineLvl w:val="1"/>
        <w:rPr>
          <w:rFonts w:ascii="黑体" w:eastAsia="黑体" w:hAnsi="宋体"/>
          <w:sz w:val="24"/>
        </w:rPr>
      </w:pPr>
      <w:r>
        <w:rPr>
          <w:rFonts w:ascii="黑体" w:eastAsia="黑体" w:hAnsi="宋体" w:hint="eastAsia"/>
          <w:sz w:val="24"/>
        </w:rPr>
        <w:t>3．定义</w:t>
      </w:r>
    </w:p>
    <w:p>
      <w:pPr>
        <w:ind w:firstLine="420" w:firstLineChars="200"/>
        <w:rPr>
          <w:rFonts w:ascii="宋体" w:hAnsi="宋体"/>
          <w:szCs w:val="21"/>
        </w:rPr>
      </w:pPr>
      <w:r>
        <w:rPr>
          <w:rFonts w:ascii="宋体" w:hAnsi="宋体"/>
          <w:szCs w:val="21"/>
        </w:rPr>
        <w:t>招标文件中下列术语应解释为：</w:t>
      </w:r>
    </w:p>
    <w:p>
      <w:pPr>
        <w:ind w:firstLine="412"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pPr>
        <w:ind w:firstLine="412"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12"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12" w:firstLineChars="196"/>
        <w:rPr>
          <w:rFonts w:ascii="宋体" w:hAnsi="宋体"/>
          <w:szCs w:val="21"/>
        </w:rPr>
      </w:pPr>
      <w:r>
        <w:rPr>
          <w:rFonts w:ascii="宋体" w:hAnsi="宋体" w:hint="eastAsia"/>
          <w:szCs w:val="21"/>
        </w:rPr>
        <w:t>3.4“中标候选人”即“候选中标供应商”</w:t>
      </w:r>
    </w:p>
    <w:p>
      <w:pPr>
        <w:ind w:firstLine="412" w:firstLineChars="196"/>
        <w:rPr>
          <w:rFonts w:ascii="宋体" w:hAnsi="宋体"/>
          <w:szCs w:val="21"/>
        </w:rPr>
      </w:pPr>
      <w:r>
        <w:rPr>
          <w:rFonts w:ascii="宋体" w:hAnsi="宋体" w:hint="eastAsia"/>
          <w:szCs w:val="21"/>
        </w:rPr>
        <w:t>3.5“评审委员会”是依据《深圳经济特区政府采购条例》、《深圳经济特区政府采购条例实施细则》等有关规定组建的专门负责本次招标其评审工作的临时性机构；</w:t>
      </w:r>
    </w:p>
    <w:p>
      <w:pPr>
        <w:ind w:firstLine="412" w:firstLineChars="196"/>
        <w:rPr>
          <w:rFonts w:ascii="宋体" w:hAnsi="宋体"/>
          <w:szCs w:val="21"/>
        </w:rPr>
      </w:pPr>
      <w:r>
        <w:rPr>
          <w:rFonts w:ascii="宋体" w:hAnsi="宋体" w:hint="eastAsia"/>
          <w:szCs w:val="21"/>
        </w:rPr>
        <w:t>3.6“日期”</w:t>
      </w:r>
      <w:r>
        <w:rPr>
          <w:rFonts w:ascii="宋体" w:hAnsi="宋体"/>
          <w:szCs w:val="21"/>
        </w:rPr>
        <w:t>指</w:t>
      </w:r>
      <w:r>
        <w:rPr>
          <w:rFonts w:ascii="宋体" w:hAnsi="宋体" w:hint="eastAsia"/>
          <w:szCs w:val="21"/>
        </w:rPr>
        <w:t>公历日；</w:t>
      </w:r>
    </w:p>
    <w:p>
      <w:pPr>
        <w:ind w:firstLine="412" w:firstLineChars="196"/>
        <w:rPr>
          <w:rFonts w:ascii="宋体" w:hAnsi="宋体"/>
          <w:szCs w:val="21"/>
        </w:rPr>
      </w:pPr>
      <w:r>
        <w:rPr>
          <w:rFonts w:ascii="宋体" w:hAnsi="宋体" w:hint="eastAsia"/>
          <w:szCs w:val="21"/>
        </w:rPr>
        <w:t>3.7“合同”指由本次招标所产生的合同或合约文件；</w:t>
      </w:r>
    </w:p>
    <w:p>
      <w:pPr>
        <w:suppressAutoHyphens/>
        <w:wordWrap w:val="0"/>
        <w:ind w:firstLine="412" w:firstLineChars="196"/>
        <w:rPr>
          <w:rFonts w:ascii="宋体" w:hAnsi="宋体"/>
          <w:szCs w:val="21"/>
        </w:rPr>
      </w:pPr>
      <w:r>
        <w:rPr>
          <w:rFonts w:ascii="宋体" w:hAnsi="宋体" w:hint="eastAsia"/>
          <w:szCs w:val="21"/>
        </w:rPr>
        <w:t>3.8“电子投标文件”指利用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rPr>
          <w:rFonts w:hint="eastAsia"/>
        </w:rPr>
        <w:t>http://zfcg.szggzy.com:8081/cgxy/013002/20210923/173e0b2c-7a4c-4246-a0c7-e0ea75d84dd6.html”</w:t>
      </w:r>
      <w:r>
        <w:rPr>
          <w:rFonts w:ascii="宋体" w:hAnsi="宋体" w:hint="eastAsia"/>
          <w:szCs w:val="21"/>
        </w:rPr>
        <w:t>下载）；</w:t>
      </w:r>
    </w:p>
    <w:p>
      <w:pPr>
        <w:ind w:firstLine="412" w:firstLineChars="196"/>
        <w:rPr>
          <w:rFonts w:ascii="宋体" w:hAnsi="宋体"/>
          <w:szCs w:val="21"/>
        </w:rPr>
      </w:pPr>
      <w:r>
        <w:rPr>
          <w:rFonts w:ascii="宋体" w:hAnsi="宋体" w:hint="eastAsia"/>
          <w:szCs w:val="21"/>
        </w:rPr>
        <w:t>3.9“网上投标”指通过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pPr>
        <w:ind w:firstLine="412" w:firstLineChars="196"/>
        <w:rPr>
          <w:rFonts w:ascii="宋体" w:hAnsi="宋体"/>
          <w:szCs w:val="21"/>
        </w:rPr>
      </w:pPr>
      <w:r>
        <w:rPr>
          <w:rFonts w:ascii="宋体" w:hAnsi="宋体" w:hint="eastAsia"/>
          <w:szCs w:val="21"/>
        </w:rPr>
        <w:t>3.10招标文件中的标题或题名仅起引导作用，而不应视为对招标文件内容的理解和解释。</w:t>
      </w:r>
    </w:p>
    <w:p>
      <w:pPr>
        <w:outlineLvl w:val="1"/>
        <w:rPr>
          <w:rFonts w:ascii="黑体" w:eastAsia="黑体" w:hAnsi="宋体"/>
          <w:sz w:val="24"/>
        </w:rPr>
      </w:pPr>
      <w:r>
        <w:rPr>
          <w:rFonts w:ascii="黑体" w:eastAsia="黑体" w:hAnsi="宋体" w:hint="eastAsia"/>
          <w:sz w:val="24"/>
        </w:rPr>
        <w:t xml:space="preserve">4. </w:t>
      </w:r>
      <w:bookmarkStart w:id="109" w:name="_Hlk72398643"/>
      <w:r>
        <w:rPr>
          <w:rFonts w:ascii="黑体" w:eastAsia="黑体" w:hAnsi="宋体" w:hint="eastAsia"/>
          <w:sz w:val="24"/>
        </w:rPr>
        <w:t>政府采购供应商责任</w:t>
      </w:r>
    </w:p>
    <w:p>
      <w:pPr>
        <w:ind w:firstLine="412" w:firstLineChars="196"/>
        <w:rPr>
          <w:rFonts w:ascii="宋体" w:hAnsi="宋体"/>
          <w:szCs w:val="21"/>
        </w:rPr>
      </w:pPr>
      <w:r>
        <w:rPr>
          <w:rFonts w:ascii="宋体" w:hAnsi="宋体" w:hint="eastAsia"/>
          <w:szCs w:val="21"/>
        </w:rPr>
        <w:t>4.1欢迎诚信、有实力和有社会责任心的供应商参与政府采购事业。</w:t>
      </w:r>
    </w:p>
    <w:p>
      <w:pPr>
        <w:ind w:firstLine="412"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eastAsia="黑体" w:hAnsi="宋体"/>
          <w:sz w:val="24"/>
        </w:rPr>
      </w:pPr>
      <w:r>
        <w:rPr>
          <w:rFonts w:ascii="黑体" w:eastAsia="黑体" w:hAnsi="宋体" w:hint="eastAsia"/>
          <w:sz w:val="24"/>
        </w:rPr>
        <w:t>5．投标人参加政府采购的条件</w:t>
      </w:r>
    </w:p>
    <w:p>
      <w:pPr>
        <w:ind w:firstLine="412"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HYPERLINK "../../xiuziwong/Desktop/模板/供应商注册及信息变更指引"</w:instrText>
      </w:r>
      <w:r>
        <w:fldChar w:fldCharType="separate"/>
      </w:r>
      <w:r>
        <w:rPr>
          <w:rStyle w:val="Hyperlink"/>
          <w:rFonts w:ascii="宋体" w:hAnsi="宋体"/>
          <w:szCs w:val="21"/>
        </w:rPr>
        <w:t>供应商注册及信息变更指引</w:t>
      </w:r>
      <w:r>
        <w:rPr>
          <w:rStyle w:val="Hyperlink"/>
          <w:rFonts w:ascii="宋体" w:hAnsi="宋体"/>
          <w:szCs w:val="21"/>
        </w:rPr>
        <w:fldChar w:fldCharType="end"/>
      </w:r>
      <w:r>
        <w:rPr>
          <w:rFonts w:ascii="宋体" w:hAnsi="宋体" w:hint="eastAsia"/>
          <w:szCs w:val="21"/>
        </w:rPr>
        <w:t>》详见</w:t>
      </w:r>
      <w:r>
        <w:rPr>
          <w:rFonts w:hint="eastAsia"/>
        </w:rPr>
        <w:t>http://zfcg.szggzy.com:8081/</w:t>
      </w:r>
      <w:r>
        <w:rPr>
          <w:rFonts w:ascii="宋体" w:hAnsi="宋体" w:hint="eastAsia"/>
          <w:szCs w:val="21"/>
        </w:rPr>
        <w:t>。</w:t>
      </w:r>
    </w:p>
    <w:p>
      <w:pPr>
        <w:ind w:firstLine="412" w:firstLineChars="196"/>
        <w:rPr>
          <w:rFonts w:ascii="宋体" w:hAnsi="宋体"/>
          <w:szCs w:val="21"/>
        </w:rPr>
      </w:pPr>
      <w:r>
        <w:rPr>
          <w:rFonts w:ascii="宋体" w:hAnsi="宋体" w:hint="eastAsia"/>
          <w:szCs w:val="21"/>
        </w:rPr>
        <w:t>5.2投标人资格要求</w:t>
      </w:r>
    </w:p>
    <w:p>
      <w:pPr>
        <w:ind w:firstLine="412"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12" w:firstLineChars="196"/>
        <w:rPr>
          <w:rFonts w:ascii="宋体" w:hAnsi="宋体"/>
          <w:szCs w:val="21"/>
        </w:rPr>
      </w:pPr>
      <w:r>
        <w:rPr>
          <w:rFonts w:ascii="宋体" w:hAnsi="宋体" w:hint="eastAsia"/>
          <w:szCs w:val="21"/>
        </w:rPr>
        <w:t>5.3联合体投标</w:t>
      </w:r>
    </w:p>
    <w:p>
      <w:pPr>
        <w:ind w:firstLine="412"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12"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12" w:firstLineChars="196"/>
        <w:rPr>
          <w:rFonts w:ascii="宋体" w:hAnsi="宋体"/>
        </w:rPr>
      </w:pPr>
      <w:r>
        <w:rPr>
          <w:rFonts w:ascii="宋体" w:hAnsi="宋体" w:hint="eastAsia"/>
        </w:rPr>
        <w:t>（1）投标联合体各方参加政府采购活动应当具备下列条件：</w:t>
      </w:r>
    </w:p>
    <w:p>
      <w:pPr>
        <w:ind w:left="420" w:firstLine="412" w:leftChars="200" w:firstLineChars="196"/>
        <w:rPr>
          <w:rFonts w:ascii="宋体" w:hAnsi="宋体"/>
        </w:rPr>
      </w:pPr>
      <w:r>
        <w:rPr>
          <w:rFonts w:ascii="宋体" w:hAnsi="宋体" w:hint="eastAsia"/>
        </w:rPr>
        <w:t>1、具有独立承担民事责任的能力；</w:t>
      </w:r>
    </w:p>
    <w:p>
      <w:pPr>
        <w:ind w:left="420" w:firstLine="412" w:firstLineChars="196"/>
        <w:rPr>
          <w:rFonts w:ascii="宋体" w:hAnsi="宋体"/>
        </w:rPr>
      </w:pPr>
      <w:r>
        <w:rPr>
          <w:rFonts w:ascii="宋体" w:hAnsi="宋体" w:hint="eastAsia"/>
        </w:rPr>
        <w:t>2、有良好的商业信誉和健全的财务会计制度；</w:t>
      </w:r>
    </w:p>
    <w:p>
      <w:pPr>
        <w:ind w:left="420" w:firstLine="412" w:leftChars="200" w:firstLineChars="196"/>
        <w:rPr>
          <w:rFonts w:ascii="宋体" w:hAnsi="宋体"/>
        </w:rPr>
      </w:pPr>
      <w:r>
        <w:rPr>
          <w:rFonts w:ascii="宋体" w:hAnsi="宋体" w:hint="eastAsia"/>
        </w:rPr>
        <w:t>3、具有履行合同所必需的设备和专业技术能力；</w:t>
      </w:r>
    </w:p>
    <w:p>
      <w:pPr>
        <w:ind w:left="420" w:firstLine="412" w:leftChars="200" w:firstLineChars="196"/>
        <w:rPr>
          <w:rFonts w:ascii="宋体" w:hAnsi="宋体"/>
        </w:rPr>
      </w:pPr>
      <w:r>
        <w:rPr>
          <w:rFonts w:ascii="宋体" w:hAnsi="宋体" w:hint="eastAsia"/>
        </w:rPr>
        <w:t>4、有依法缴纳税收和社会保障资金的良好记录；</w:t>
      </w:r>
    </w:p>
    <w:p>
      <w:pPr>
        <w:ind w:left="420" w:firstLine="412" w:leftChars="200" w:firstLineChars="196"/>
        <w:rPr>
          <w:rFonts w:ascii="宋体" w:hAnsi="宋体"/>
        </w:rPr>
      </w:pPr>
      <w:r>
        <w:rPr>
          <w:rFonts w:ascii="宋体" w:hAnsi="宋体" w:hint="eastAsia"/>
        </w:rPr>
        <w:t>5、参加政府采购活动前三年内，在经营活动中没有重大违法记录；</w:t>
      </w:r>
    </w:p>
    <w:p>
      <w:pPr>
        <w:ind w:left="420" w:firstLine="412" w:leftChars="200" w:firstLineChars="196"/>
        <w:rPr>
          <w:rFonts w:ascii="宋体" w:hAnsi="宋体"/>
        </w:rPr>
      </w:pPr>
      <w:r>
        <w:rPr>
          <w:rFonts w:ascii="宋体" w:hAnsi="宋体" w:hint="eastAsia"/>
        </w:rPr>
        <w:t>6、法律、行政法规规定的其他条件。</w:t>
      </w:r>
    </w:p>
    <w:p>
      <w:pPr>
        <w:ind w:firstLine="412" w:firstLineChars="196"/>
        <w:rPr>
          <w:rFonts w:ascii="宋体" w:hAnsi="宋体"/>
        </w:rPr>
      </w:pPr>
      <w:r>
        <w:rPr>
          <w:rFonts w:ascii="宋体" w:hAnsi="宋体" w:hint="eastAsia"/>
        </w:rPr>
        <w:t>（2）在投标截止前，投标联合体各方均应注册成政府集中采购机构供应商；</w:t>
      </w:r>
    </w:p>
    <w:p>
      <w:pPr>
        <w:ind w:firstLine="412"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12"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2" w:firstLineChars="196"/>
        <w:rPr>
          <w:rFonts w:ascii="宋体" w:hAnsi="宋体"/>
        </w:rPr>
      </w:pPr>
      <w:r>
        <w:rPr>
          <w:rFonts w:ascii="宋体" w:hAnsi="宋体" w:hint="eastAsia"/>
        </w:rPr>
        <w:t>（5）投标人的投标文件及中标后签署的合同协议对联合体各方均具法律约束力；</w:t>
      </w:r>
    </w:p>
    <w:p>
      <w:pPr>
        <w:ind w:firstLine="412"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12"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12"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2" w:firstLineChars="196"/>
        <w:rPr>
          <w:rFonts w:ascii="宋体" w:hAnsi="宋体"/>
          <w:szCs w:val="21"/>
        </w:rPr>
      </w:pPr>
      <w:r>
        <w:rPr>
          <w:rFonts w:ascii="宋体" w:hAnsi="宋体" w:hint="eastAsia"/>
        </w:rPr>
        <w:t>（9）本通用条款中“投标人”一词亦指联合体各方，专用条款另有规定或说明的除外。</w:t>
      </w:r>
    </w:p>
    <w:p>
      <w:pPr>
        <w:outlineLvl w:val="1"/>
        <w:rPr>
          <w:rFonts w:ascii="黑体" w:eastAsia="黑体" w:hAnsi="宋体"/>
          <w:sz w:val="24"/>
        </w:rPr>
      </w:pPr>
      <w:r>
        <w:rPr>
          <w:rFonts w:ascii="黑体" w:eastAsia="黑体" w:hAnsi="宋体" w:hint="eastAsia"/>
          <w:sz w:val="24"/>
        </w:rPr>
        <w:t>6．政策导向</w:t>
      </w:r>
    </w:p>
    <w:p>
      <w:pPr>
        <w:ind w:firstLine="412" w:firstLineChars="196"/>
        <w:rPr>
          <w:rFonts w:ascii="宋体" w:hAnsi="宋体"/>
        </w:rPr>
      </w:pPr>
      <w:r>
        <w:rPr>
          <w:rFonts w:ascii="宋体" w:hAnsi="宋体" w:hint="eastAsia"/>
        </w:rPr>
        <w:t>6.1政府采购扶持贫困地区、中小企业、监狱企业和残疾人福利性单位发展，支持节能减排、环境保护。</w:t>
      </w:r>
    </w:p>
    <w:p>
      <w:pPr>
        <w:ind w:firstLine="405"/>
        <w:rPr>
          <w:shd w:val="clear" w:color="auto" w:fill="FFFFFF"/>
        </w:rPr>
      </w:pPr>
      <w:r>
        <w:rPr>
          <w:rFonts w:ascii="宋体" w:hAnsi="宋体" w:hint="eastAsia"/>
        </w:rPr>
        <w:t>6.2本项目落实深圳市政府采购供应商诚信管理政策要求。</w:t>
      </w:r>
    </w:p>
    <w:p>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pPr>
        <w:ind w:firstLine="412"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12"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11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10"/>
    </w:p>
    <w:p>
      <w:pPr>
        <w:ind w:firstLine="412"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2"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12"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outlineLvl w:val="1"/>
        <w:rPr>
          <w:rFonts w:ascii="黑体" w:eastAsia="黑体" w:hAnsi="宋体"/>
          <w:sz w:val="24"/>
        </w:rPr>
      </w:pPr>
      <w:r>
        <w:rPr>
          <w:rFonts w:ascii="黑体" w:eastAsia="黑体" w:hAnsi="宋体" w:hint="eastAsia"/>
          <w:sz w:val="24"/>
        </w:rPr>
        <w:t>8．投标费用</w:t>
      </w:r>
    </w:p>
    <w:p>
      <w:pPr>
        <w:ind w:firstLine="412"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outlineLvl w:val="1"/>
        <w:rPr>
          <w:rFonts w:ascii="黑体" w:eastAsia="黑体" w:hAnsi="宋体"/>
          <w:sz w:val="24"/>
        </w:rPr>
      </w:pPr>
      <w:r>
        <w:rPr>
          <w:rFonts w:ascii="黑体" w:eastAsia="黑体" w:hAnsi="宋体" w:hint="eastAsia"/>
          <w:sz w:val="24"/>
        </w:rPr>
        <w:t>9．踏勘现场</w:t>
      </w:r>
    </w:p>
    <w:p>
      <w:pPr>
        <w:ind w:firstLine="412"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2"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12" w:firstLineChars="196"/>
        <w:rPr>
          <w:rFonts w:ascii="宋体" w:hAnsi="宋体"/>
        </w:rPr>
      </w:pPr>
      <w:r>
        <w:rPr>
          <w:rFonts w:ascii="宋体" w:hAnsi="宋体" w:hint="eastAsia"/>
        </w:rPr>
        <w:t>9.3采购人应当通过政府集中采购机构向投标人提供有关现场的书面资料和数据。</w:t>
      </w:r>
    </w:p>
    <w:p>
      <w:pPr>
        <w:ind w:firstLine="412"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12"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2"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pStyle w:val="Heading2"/>
        <w:numPr>
          <w:ilvl w:val="0"/>
          <w:numId w:val="8"/>
        </w:numPr>
        <w:tabs>
          <w:tab w:val="left" w:pos="720"/>
        </w:tabs>
        <w:spacing w:before="120" w:beforeLines="50" w:after="120" w:afterLines="50"/>
        <w:ind w:left="562" w:hanging="562"/>
        <w:rPr>
          <w:sz w:val="28"/>
          <w:szCs w:val="28"/>
        </w:rPr>
      </w:pPr>
      <w:bookmarkEnd w:id="109"/>
      <w:r>
        <w:rPr>
          <w:rFonts w:hint="eastAsia"/>
          <w:sz w:val="28"/>
          <w:szCs w:val="28"/>
        </w:rPr>
        <w:t>招标文件</w:t>
      </w:r>
    </w:p>
    <w:p>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111" w:name="_Hlk72399819"/>
      <w:r>
        <w:rPr>
          <w:rFonts w:ascii="黑体" w:eastAsia="黑体" w:hAnsi="宋体" w:hint="eastAsia"/>
          <w:sz w:val="24"/>
        </w:rPr>
        <w:t>招标文件的编制与组成</w:t>
      </w:r>
    </w:p>
    <w:p>
      <w:pPr>
        <w:snapToGrid w:val="0"/>
        <w:ind w:firstLine="42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12" w:firstLineChars="196"/>
        <w:rPr>
          <w:rFonts w:ascii="宋体" w:hAnsi="宋体"/>
          <w:szCs w:val="21"/>
        </w:rPr>
      </w:pPr>
      <w:r>
        <w:rPr>
          <w:rFonts w:ascii="宋体" w:hAnsi="宋体" w:hint="eastAsia"/>
          <w:szCs w:val="21"/>
        </w:rPr>
        <w:t>招标文件包括下列内容：</w:t>
      </w:r>
    </w:p>
    <w:p>
      <w:pPr>
        <w:ind w:left="420" w:firstLine="412" w:leftChars="200" w:firstLineChars="196"/>
        <w:rPr>
          <w:rFonts w:ascii="宋体" w:hAnsi="宋体"/>
          <w:b/>
          <w:szCs w:val="21"/>
        </w:rPr>
      </w:pPr>
      <w:r>
        <w:rPr>
          <w:rFonts w:ascii="宋体" w:hAnsi="宋体" w:hint="eastAsia"/>
          <w:b/>
          <w:szCs w:val="21"/>
        </w:rPr>
        <w:t>第一册  专用条款</w:t>
      </w:r>
    </w:p>
    <w:p>
      <w:pPr>
        <w:ind w:left="1079" w:leftChars="514"/>
        <w:rPr>
          <w:rFonts w:ascii="宋体" w:hAnsi="宋体"/>
          <w:b/>
          <w:szCs w:val="21"/>
        </w:rPr>
      </w:pPr>
      <w:r>
        <w:rPr>
          <w:rFonts w:ascii="宋体" w:hAnsi="宋体" w:hint="eastAsia"/>
          <w:b/>
          <w:szCs w:val="21"/>
        </w:rPr>
        <w:t>关键信息</w:t>
      </w:r>
    </w:p>
    <w:p>
      <w:pPr>
        <w:ind w:left="630" w:firstLine="412" w:leftChars="300" w:firstLineChars="196"/>
        <w:outlineLvl w:val="0"/>
        <w:rPr>
          <w:rFonts w:ascii="宋体" w:hAnsi="宋体"/>
          <w:szCs w:val="21"/>
        </w:rPr>
      </w:pPr>
      <w:r>
        <w:rPr>
          <w:rFonts w:ascii="宋体" w:hAnsi="宋体" w:hint="eastAsia"/>
          <w:szCs w:val="21"/>
        </w:rPr>
        <w:t>第一章  招标公告</w:t>
      </w:r>
    </w:p>
    <w:p>
      <w:pPr>
        <w:ind w:left="630" w:firstLine="412" w:leftChars="300" w:firstLineChars="196"/>
        <w:outlineLvl w:val="0"/>
        <w:rPr>
          <w:rFonts w:ascii="宋体" w:hAnsi="宋体"/>
          <w:szCs w:val="21"/>
        </w:rPr>
      </w:pPr>
      <w:r>
        <w:rPr>
          <w:rFonts w:ascii="宋体" w:hAnsi="宋体" w:hint="eastAsia"/>
          <w:szCs w:val="21"/>
        </w:rPr>
        <w:t>第二章  对通用条款的补充内容及其他关键信息</w:t>
      </w:r>
    </w:p>
    <w:p>
      <w:pPr>
        <w:ind w:left="630" w:firstLine="412" w:leftChars="300" w:firstLineChars="196"/>
        <w:outlineLvl w:val="0"/>
        <w:rPr>
          <w:rFonts w:ascii="宋体" w:hAnsi="宋体"/>
          <w:szCs w:val="21"/>
        </w:rPr>
      </w:pPr>
      <w:r>
        <w:rPr>
          <w:rFonts w:ascii="宋体" w:hAnsi="宋体" w:hint="eastAsia"/>
          <w:szCs w:val="21"/>
        </w:rPr>
        <w:t>第三章  用户需求书</w:t>
      </w:r>
    </w:p>
    <w:p>
      <w:pPr>
        <w:ind w:left="630" w:firstLine="412" w:leftChars="300" w:firstLineChars="196"/>
        <w:outlineLvl w:val="0"/>
        <w:rPr>
          <w:rFonts w:ascii="宋体" w:hAnsi="宋体"/>
          <w:szCs w:val="21"/>
        </w:rPr>
      </w:pPr>
      <w:r>
        <w:rPr>
          <w:rFonts w:hint="eastAsia"/>
        </w:rPr>
        <w:t>第四章 投标文件格式及附件</w:t>
      </w:r>
    </w:p>
    <w:p>
      <w:pPr>
        <w:ind w:left="630" w:firstLine="412" w:leftChars="300" w:firstLineChars="196"/>
        <w:outlineLvl w:val="0"/>
        <w:rPr>
          <w:rFonts w:ascii="宋体" w:hAnsi="宋体"/>
          <w:szCs w:val="21"/>
        </w:rPr>
      </w:pPr>
      <w:r>
        <w:rPr>
          <w:rFonts w:ascii="宋体" w:hAnsi="宋体" w:hint="eastAsia"/>
          <w:szCs w:val="21"/>
        </w:rPr>
        <w:t>第五章  合同条款及格式</w:t>
      </w:r>
    </w:p>
    <w:p>
      <w:pPr>
        <w:ind w:left="420" w:firstLine="412" w:leftChars="200" w:firstLineChars="196"/>
        <w:outlineLvl w:val="0"/>
        <w:rPr>
          <w:rFonts w:ascii="宋体" w:hAnsi="宋体"/>
          <w:b/>
          <w:szCs w:val="21"/>
        </w:rPr>
      </w:pPr>
      <w:r>
        <w:rPr>
          <w:rFonts w:ascii="宋体" w:hAnsi="宋体" w:hint="eastAsia"/>
          <w:b/>
          <w:szCs w:val="21"/>
        </w:rPr>
        <w:t>第二册  通用条款</w:t>
      </w:r>
    </w:p>
    <w:p>
      <w:pPr>
        <w:ind w:left="630" w:firstLine="412" w:leftChars="300" w:firstLineChars="196"/>
        <w:outlineLvl w:val="0"/>
        <w:rPr>
          <w:rFonts w:ascii="宋体" w:hAnsi="宋体"/>
          <w:szCs w:val="21"/>
        </w:rPr>
      </w:pPr>
      <w:r>
        <w:rPr>
          <w:rFonts w:ascii="宋体" w:hAnsi="宋体" w:hint="eastAsia"/>
          <w:szCs w:val="21"/>
        </w:rPr>
        <w:t>第一章  总则</w:t>
      </w:r>
    </w:p>
    <w:p>
      <w:pPr>
        <w:ind w:left="630" w:firstLine="412" w:leftChars="300" w:firstLineChars="196"/>
        <w:outlineLvl w:val="0"/>
        <w:rPr>
          <w:rFonts w:ascii="宋体" w:hAnsi="宋体"/>
          <w:szCs w:val="21"/>
        </w:rPr>
      </w:pPr>
      <w:r>
        <w:rPr>
          <w:rFonts w:ascii="宋体" w:hAnsi="宋体" w:hint="eastAsia"/>
          <w:szCs w:val="21"/>
        </w:rPr>
        <w:t>第二章  招标文件</w:t>
      </w:r>
    </w:p>
    <w:p>
      <w:pPr>
        <w:ind w:left="630" w:firstLine="412" w:leftChars="300" w:firstLineChars="196"/>
        <w:outlineLvl w:val="0"/>
        <w:rPr>
          <w:rFonts w:ascii="宋体" w:hAnsi="宋体"/>
          <w:szCs w:val="21"/>
        </w:rPr>
      </w:pPr>
      <w:r>
        <w:rPr>
          <w:rFonts w:ascii="宋体" w:hAnsi="宋体" w:hint="eastAsia"/>
          <w:szCs w:val="21"/>
        </w:rPr>
        <w:t>第三章  投标文件的编制</w:t>
      </w:r>
    </w:p>
    <w:p>
      <w:pPr>
        <w:ind w:left="630" w:firstLine="412" w:leftChars="300" w:firstLineChars="196"/>
        <w:outlineLvl w:val="0"/>
        <w:rPr>
          <w:rFonts w:ascii="宋体" w:hAnsi="宋体"/>
          <w:szCs w:val="21"/>
        </w:rPr>
      </w:pPr>
      <w:r>
        <w:rPr>
          <w:rFonts w:ascii="宋体" w:hAnsi="宋体" w:hint="eastAsia"/>
          <w:szCs w:val="21"/>
        </w:rPr>
        <w:t>第四章  投标文件的递交</w:t>
      </w:r>
    </w:p>
    <w:p>
      <w:pPr>
        <w:ind w:left="630" w:firstLine="412" w:leftChars="300" w:firstLineChars="196"/>
        <w:outlineLvl w:val="0"/>
        <w:rPr>
          <w:rFonts w:ascii="宋体" w:hAnsi="宋体"/>
          <w:szCs w:val="21"/>
        </w:rPr>
      </w:pPr>
      <w:r>
        <w:rPr>
          <w:rFonts w:ascii="宋体" w:hAnsi="宋体" w:hint="eastAsia"/>
          <w:szCs w:val="21"/>
        </w:rPr>
        <w:t>第五章  开标</w:t>
      </w:r>
    </w:p>
    <w:p>
      <w:pPr>
        <w:ind w:left="630" w:firstLine="412" w:leftChars="300" w:firstLineChars="196"/>
        <w:outlineLvl w:val="0"/>
        <w:rPr>
          <w:rFonts w:ascii="宋体" w:hAnsi="宋体"/>
          <w:szCs w:val="21"/>
        </w:rPr>
      </w:pPr>
      <w:r>
        <w:rPr>
          <w:rFonts w:ascii="宋体" w:hAnsi="宋体" w:hint="eastAsia"/>
          <w:szCs w:val="21"/>
        </w:rPr>
        <w:t>第六章  评审要求</w:t>
      </w:r>
    </w:p>
    <w:p>
      <w:pPr>
        <w:ind w:left="630" w:firstLine="412" w:leftChars="300" w:firstLineChars="196"/>
        <w:outlineLvl w:val="0"/>
        <w:rPr>
          <w:rFonts w:ascii="宋体" w:hAnsi="宋体"/>
          <w:szCs w:val="21"/>
        </w:rPr>
      </w:pPr>
      <w:r>
        <w:rPr>
          <w:rFonts w:ascii="宋体" w:hAnsi="宋体" w:hint="eastAsia"/>
          <w:szCs w:val="21"/>
        </w:rPr>
        <w:t>第七章  评审程序及评审方法</w:t>
      </w:r>
    </w:p>
    <w:p>
      <w:pPr>
        <w:ind w:left="630" w:firstLine="412" w:leftChars="300" w:firstLineChars="196"/>
        <w:outlineLvl w:val="0"/>
        <w:rPr>
          <w:rFonts w:ascii="宋体" w:hAnsi="宋体"/>
          <w:szCs w:val="21"/>
        </w:rPr>
      </w:pPr>
      <w:r>
        <w:rPr>
          <w:rFonts w:ascii="宋体" w:hAnsi="宋体" w:hint="eastAsia"/>
          <w:szCs w:val="21"/>
        </w:rPr>
        <w:t>第八章  定标及公示</w:t>
      </w:r>
    </w:p>
    <w:p>
      <w:pPr>
        <w:ind w:left="630" w:firstLine="412" w:leftChars="300" w:firstLineChars="196"/>
        <w:outlineLvl w:val="0"/>
        <w:rPr>
          <w:rFonts w:ascii="宋体" w:hAnsi="宋体"/>
          <w:szCs w:val="21"/>
        </w:rPr>
      </w:pPr>
      <w:r>
        <w:rPr>
          <w:rFonts w:ascii="宋体" w:hAnsi="宋体" w:hint="eastAsia"/>
          <w:szCs w:val="21"/>
        </w:rPr>
        <w:t>第九章  公开招标失败的后续处理</w:t>
      </w:r>
    </w:p>
    <w:p>
      <w:pPr>
        <w:ind w:left="630" w:firstLine="412" w:leftChars="300" w:firstLineChars="196"/>
        <w:outlineLvl w:val="0"/>
        <w:rPr>
          <w:rFonts w:ascii="宋体" w:hAnsi="宋体"/>
          <w:szCs w:val="21"/>
        </w:rPr>
      </w:pPr>
      <w:r>
        <w:rPr>
          <w:rFonts w:ascii="宋体" w:hAnsi="宋体" w:hint="eastAsia"/>
          <w:szCs w:val="21"/>
        </w:rPr>
        <w:t>第十章  合同的授予与备案</w:t>
      </w:r>
    </w:p>
    <w:p>
      <w:pPr>
        <w:ind w:left="630" w:firstLine="412" w:leftChars="300" w:firstLineChars="196"/>
        <w:outlineLvl w:val="0"/>
        <w:rPr>
          <w:rFonts w:ascii="宋体" w:hAnsi="宋体"/>
          <w:szCs w:val="21"/>
        </w:rPr>
      </w:pPr>
      <w:r>
        <w:rPr>
          <w:rFonts w:ascii="宋体" w:hAnsi="宋体" w:hint="eastAsia"/>
          <w:szCs w:val="21"/>
        </w:rPr>
        <w:t>第十一章  质疑处理</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pPr>
        <w:ind w:firstLine="412"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12"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12"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2"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111"/>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sz w:val="24"/>
        </w:rPr>
      </w:pPr>
      <w:r>
        <w:rPr>
          <w:rFonts w:ascii="黑体" w:eastAsia="黑体" w:hAnsi="宋体" w:hint="eastAsia"/>
          <w:sz w:val="24"/>
        </w:rPr>
        <w:t>14．</w:t>
      </w:r>
      <w:bookmarkStart w:id="112" w:name="_Hlk72400236"/>
      <w:r>
        <w:rPr>
          <w:rFonts w:ascii="黑体" w:eastAsia="黑体" w:hAnsi="宋体" w:hint="eastAsia"/>
          <w:sz w:val="24"/>
        </w:rPr>
        <w:t>投标文件的语言及度量单位</w:t>
      </w:r>
    </w:p>
    <w:p>
      <w:pPr>
        <w:ind w:firstLine="412"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2"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sz w:val="24"/>
        </w:rPr>
      </w:pPr>
      <w:bookmarkEnd w:id="112"/>
      <w:r>
        <w:rPr>
          <w:rFonts w:ascii="黑体" w:eastAsia="黑体" w:hAnsi="宋体" w:hint="eastAsia"/>
          <w:sz w:val="24"/>
        </w:rPr>
        <w:t>15．</w:t>
      </w:r>
      <w:bookmarkStart w:id="113" w:name="_Hlk72401567"/>
      <w:r>
        <w:rPr>
          <w:rFonts w:ascii="黑体" w:eastAsia="黑体" w:hAnsi="宋体" w:hint="eastAsia"/>
          <w:sz w:val="24"/>
        </w:rPr>
        <w:t>投标文件的组成</w:t>
      </w:r>
    </w:p>
    <w:p>
      <w:pPr>
        <w:ind w:firstLine="412"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sz w:val="24"/>
        </w:rPr>
      </w:pPr>
      <w:r>
        <w:rPr>
          <w:rFonts w:ascii="黑体" w:eastAsia="黑体" w:hAnsi="宋体"/>
          <w:sz w:val="24"/>
        </w:rPr>
        <w:t>16．投标文件格式</w:t>
      </w:r>
    </w:p>
    <w:p>
      <w:pPr>
        <w:ind w:firstLine="412"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sz w:val="24"/>
        </w:rPr>
      </w:pPr>
      <w:r>
        <w:rPr>
          <w:rFonts w:ascii="黑体" w:eastAsia="黑体" w:hAnsi="宋体" w:hint="eastAsia"/>
          <w:sz w:val="24"/>
        </w:rPr>
        <w:t>17．投标货币</w:t>
      </w:r>
    </w:p>
    <w:p>
      <w:pPr>
        <w:ind w:firstLine="412" w:firstLineChars="196"/>
        <w:rPr>
          <w:rFonts w:ascii="宋体" w:hAnsi="宋体"/>
          <w:szCs w:val="21"/>
        </w:rPr>
      </w:pPr>
      <w:r>
        <w:rPr>
          <w:rFonts w:ascii="宋体" w:hAnsi="宋体" w:hint="eastAsia"/>
          <w:szCs w:val="21"/>
        </w:rPr>
        <w:t>本项目的投标报价应以人民币计。</w:t>
      </w:r>
    </w:p>
    <w:p>
      <w:pPr>
        <w:rPr>
          <w:rFonts w:ascii="黑体" w:eastAsia="黑体" w:hAnsi="宋体"/>
          <w:sz w:val="24"/>
        </w:rPr>
      </w:pPr>
      <w:bookmarkEnd w:id="113"/>
      <w:r>
        <w:rPr>
          <w:rFonts w:ascii="黑体" w:eastAsia="黑体" w:hAnsi="宋体" w:hint="eastAsia"/>
          <w:sz w:val="24"/>
        </w:rPr>
        <w:t>18．</w:t>
      </w:r>
      <w:bookmarkStart w:id="114" w:name="_Hlk72401735"/>
      <w:r>
        <w:rPr>
          <w:rFonts w:ascii="黑体" w:eastAsia="黑体" w:hAnsi="宋体" w:hint="eastAsia"/>
          <w:sz w:val="24"/>
        </w:rPr>
        <w:t>证明投标文件投标技术方案的合格性和符合招标文件规定的文件要求</w:t>
      </w:r>
    </w:p>
    <w:p>
      <w:pPr>
        <w:ind w:firstLine="412"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2" w:firstLineChars="196"/>
        <w:rPr>
          <w:rFonts w:ascii="宋体" w:hAnsi="宋体"/>
          <w:szCs w:val="21"/>
        </w:rPr>
      </w:pPr>
      <w:r>
        <w:rPr>
          <w:rFonts w:ascii="宋体" w:hAnsi="宋体" w:hint="eastAsia"/>
          <w:szCs w:val="21"/>
        </w:rPr>
        <w:t>18.2.1主要技术指标和性能的详细说明。</w:t>
      </w:r>
    </w:p>
    <w:p>
      <w:pPr>
        <w:ind w:firstLine="412"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12"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2"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12"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2"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12"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sz w:val="24"/>
        </w:rPr>
      </w:pPr>
      <w:bookmarkEnd w:id="114"/>
      <w:r>
        <w:rPr>
          <w:rFonts w:ascii="黑体" w:eastAsia="黑体" w:hAnsi="宋体" w:hint="eastAsia"/>
          <w:sz w:val="24"/>
        </w:rPr>
        <w:t>19．</w:t>
      </w:r>
      <w:bookmarkStart w:id="115" w:name="_Hlk72402034"/>
      <w:r>
        <w:rPr>
          <w:rFonts w:ascii="黑体" w:eastAsia="黑体" w:hAnsi="宋体" w:hint="eastAsia"/>
          <w:sz w:val="24"/>
        </w:rPr>
        <w:t>投标文件其他证明文件的要求</w:t>
      </w:r>
    </w:p>
    <w:p>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16" w:name="_Hlk71407299"/>
    </w:p>
    <w:p>
      <w:pPr>
        <w:ind w:firstLine="412" w:firstLineChars="196"/>
        <w:rPr>
          <w:rFonts w:ascii="宋体" w:hAnsi="宋体"/>
          <w:szCs w:val="21"/>
        </w:rPr>
      </w:pPr>
      <w:bookmarkEnd w:id="116"/>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sz w:val="24"/>
        </w:rPr>
      </w:pPr>
      <w:r>
        <w:rPr>
          <w:rFonts w:ascii="黑体" w:eastAsia="黑体" w:hAnsi="宋体" w:hint="eastAsia"/>
          <w:sz w:val="24"/>
        </w:rPr>
        <w:t>20．投标有效期</w:t>
      </w:r>
    </w:p>
    <w:p>
      <w:pPr>
        <w:ind w:firstLine="412" w:firstLineChars="196"/>
        <w:rPr>
          <w:rFonts w:ascii="宋体" w:hAnsi="宋体"/>
          <w:szCs w:val="21"/>
        </w:rPr>
      </w:pPr>
      <w:bookmarkStart w:id="117" w:name="_Hlk72402214"/>
      <w:bookmarkEnd w:id="11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12"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2"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sz w:val="24"/>
        </w:rPr>
      </w:pPr>
      <w:bookmarkEnd w:id="117"/>
      <w:r>
        <w:rPr>
          <w:rFonts w:ascii="黑体" w:eastAsia="黑体" w:hAnsi="宋体" w:hint="eastAsia"/>
          <w:sz w:val="24"/>
        </w:rPr>
        <w:t>21．</w:t>
      </w:r>
      <w:bookmarkStart w:id="118" w:name="_Hlk72402325"/>
      <w:r>
        <w:rPr>
          <w:rFonts w:ascii="黑体" w:eastAsia="黑体" w:hAnsi="宋体" w:hint="eastAsia"/>
          <w:sz w:val="24"/>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sz w:val="24"/>
        </w:rPr>
      </w:pPr>
      <w:r>
        <w:rPr>
          <w:rFonts w:ascii="黑体" w:eastAsia="黑体" w:hAnsi="宋体" w:hint="eastAsia"/>
          <w:sz w:val="24"/>
        </w:rPr>
        <w:t>22．投标人的替代方案</w:t>
      </w:r>
    </w:p>
    <w:p>
      <w:pPr>
        <w:ind w:firstLine="412"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2"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sz w:val="24"/>
        </w:rPr>
      </w:pPr>
      <w:bookmarkEnd w:id="118"/>
      <w:r>
        <w:rPr>
          <w:rFonts w:ascii="黑体" w:eastAsia="黑体" w:hAnsi="宋体" w:hint="eastAsia"/>
          <w:sz w:val="24"/>
        </w:rPr>
        <w:t>23．</w:t>
      </w:r>
      <w:bookmarkStart w:id="11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pPr>
        <w:ind w:firstLine="412"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ascii="宋体" w:hAnsi="宋体" w:hint="eastAsia"/>
        </w:rPr>
        <w:t>】。</w:t>
      </w:r>
    </w:p>
    <w:p>
      <w:pPr>
        <w:ind w:firstLine="412" w:firstLineChars="196"/>
        <w:rPr>
          <w:rFonts w:ascii="宋体" w:hAnsi="宋体"/>
        </w:rPr>
      </w:pPr>
      <w:r>
        <w:rPr>
          <w:rFonts w:ascii="宋体" w:hAnsi="宋体" w:hint="eastAsia"/>
        </w:rPr>
        <w:t>23.2投标人在使用《投标文件制作软件》编制投标书时须注意：</w:t>
      </w:r>
    </w:p>
    <w:p>
      <w:pPr>
        <w:ind w:firstLine="412"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pPr>
        <w:ind w:firstLine="412"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pPr>
        <w:ind w:firstLine="412"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pPr>
        <w:ind w:firstLine="412"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pPr>
        <w:ind w:firstLine="412" w:firstLineChars="196"/>
        <w:rPr>
          <w:rFonts w:ascii="宋体" w:hAnsi="宋体"/>
        </w:rPr>
      </w:pPr>
      <w:r>
        <w:rPr>
          <w:rFonts w:ascii="宋体" w:hAnsi="宋体" w:hint="eastAsia"/>
        </w:rPr>
        <w:t>23.2.5完整填写“投标关键信息”，如下图所示：</w:t>
      </w:r>
    </w:p>
    <w:p>
      <w:pPr>
        <w:ind w:firstLine="412" w:firstLineChars="196"/>
        <w:rPr>
          <w:rFonts w:ascii="宋体" w:hAnsi="宋体"/>
        </w:rPr>
      </w:pPr>
      <w:r>
        <w:rPr>
          <w:rFonts w:ascii="宋体" w:hAnsi="宋体"/>
        </w:rPr>
        <w:pict>
          <v:shape id="图片 6" o:spid="_x0000_i1026" type="#_x0000_t75" alt="图形用户界面, 应用程序&#10;&#10;描述已自动生成" style="height:214.26pt;mso-position-horizontal-relative:page;mso-position-vertical-relative:page;mso-wrap-style:square;width:415.83pt" filled="f" stroked="f">
            <v:stroke linestyle="single"/>
            <v:imagedata r:id="rId7" o:title="图形用户界面, 应用程序&#10;&#10;描述已自动生成"/>
            <v:path o:extrusionok="f"/>
            <o:lock v:ext="edit" aspectratio="t"/>
          </v:shape>
        </w:pict>
      </w:r>
    </w:p>
    <w:p>
      <w:pPr>
        <w:ind w:firstLine="412" w:firstLineChars="196"/>
        <w:rPr>
          <w:rFonts w:ascii="宋体" w:hAnsi="宋体"/>
          <w:b/>
        </w:rPr>
      </w:pPr>
      <w:r>
        <w:rPr>
          <w:rFonts w:ascii="宋体" w:hAnsi="宋体" w:hint="eastAsia"/>
          <w:b/>
        </w:rPr>
        <w:t>备注：上述“开标一览表”中的“投标报价”将作为价格分计算依据；其它信息仅是对投标文件相关内容的概括性表述，不作为评审依据。</w:t>
      </w:r>
    </w:p>
    <w:p>
      <w:pPr>
        <w:ind w:firstLine="412"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12"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pPr>
        <w:ind w:firstLine="412"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2"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12" w:firstLineChars="196"/>
        <w:rPr>
          <w:rFonts w:ascii="宋体" w:hAnsi="宋体"/>
        </w:rPr>
      </w:pPr>
      <w:r>
        <w:rPr>
          <w:rFonts w:ascii="宋体" w:hAnsi="宋体" w:hint="eastAsia"/>
        </w:rPr>
        <w:t>23.3电报、电话、传真形式的投标概不接受。</w:t>
      </w:r>
    </w:p>
    <w:p>
      <w:pPr>
        <w:ind w:firstLine="412"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12"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119"/>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投标文件的递交</w:t>
      </w:r>
      <w:bookmarkStart w:id="120" w:name="_Hlk72405459"/>
    </w:p>
    <w:p>
      <w:pPr>
        <w:rPr>
          <w:rFonts w:ascii="黑体" w:eastAsia="黑体" w:hAnsi="宋体"/>
          <w:sz w:val="24"/>
        </w:rPr>
      </w:pPr>
      <w:r>
        <w:rPr>
          <w:rFonts w:ascii="黑体" w:eastAsia="黑体" w:hAnsi="宋体" w:hint="eastAsia"/>
          <w:sz w:val="24"/>
        </w:rPr>
        <w:t>24．投标书的保密</w:t>
      </w:r>
    </w:p>
    <w:p>
      <w:pPr>
        <w:ind w:firstLine="412"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12" w:firstLineChars="196"/>
        <w:rPr>
          <w:rFonts w:ascii="宋体" w:hAnsi="宋体"/>
        </w:rPr>
      </w:pPr>
      <w:r>
        <w:rPr>
          <w:rFonts w:ascii="宋体" w:hAnsi="宋体"/>
        </w:rPr>
        <w:pict>
          <v:shape id="图片 7" o:spid="_x0000_i1027" type="#_x0000_t75" alt="图形用户界面, 应用程序&#10;&#10;描述已自动生成" style="height:214.26pt;mso-position-horizontal-relative:page;mso-position-vertical-relative:page;mso-wrap-style:square;width:415.83pt" filled="f" stroked="f">
            <v:stroke linestyle="single"/>
            <v:imagedata r:id="rId7" o:title="图形用户界面, 应用程序&#10;&#10;描述已自动生成"/>
            <v:path o:extrusionok="f"/>
            <o:lock v:ext="edit" aspectratio="t"/>
          </v:shape>
        </w:pict>
      </w:r>
    </w:p>
    <w:p>
      <w:pPr>
        <w:ind w:firstLine="412"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rPr>
        <w:pict>
          <v:shape id="图片 8" o:spid="_x0000_i1028" type="#_x0000_t75" alt="图形用户界面&#10;&#10;描述已自动生成" style="height:215.05pt;mso-position-horizontal-relative:page;mso-position-vertical-relative:page;mso-wrap-style:square;width:415.83pt" filled="f" stroked="f">
            <v:stroke linestyle="single"/>
            <v:imagedata r:id="rId8" o:title="图形用户界面&#10;&#10;描述已自动生成"/>
            <v:path o:extrusionok="f"/>
            <o:lock v:ext="edit" aspectratio="t"/>
          </v:shape>
        </w:pict>
      </w:r>
    </w:p>
    <w:p>
      <w:pPr>
        <w:ind w:firstLine="412" w:firstLineChars="196"/>
        <w:rPr>
          <w:rFonts w:ascii="宋体" w:hAnsi="宋体"/>
        </w:rPr>
      </w:pPr>
      <w:r>
        <w:rPr>
          <w:rFonts w:ascii="宋体" w:hAnsi="宋体" w:hint="eastAsia"/>
        </w:rPr>
        <w:t>投标文件制作软件会在投标文件生成过程中，提示用户输入密码，输入密码后对投标文件自动进行加密。</w:t>
      </w:r>
    </w:p>
    <w:p>
      <w:pPr>
        <w:ind w:firstLine="420" w:firstLineChars="200"/>
        <w:rPr>
          <w:rFonts w:ascii="宋体" w:hAnsi="宋体"/>
          <w:b/>
        </w:rPr>
      </w:pPr>
      <w:r>
        <w:rPr>
          <w:rFonts w:ascii="宋体" w:hAnsi="宋体" w:hint="eastAsia"/>
          <w:b/>
        </w:rPr>
        <w:t>24.2若采购项目出现延期情况：</w:t>
      </w:r>
    </w:p>
    <w:p>
      <w:pPr>
        <w:ind w:firstLine="42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sz w:val="24"/>
        </w:rPr>
      </w:pPr>
      <w:r>
        <w:rPr>
          <w:rFonts w:ascii="黑体" w:eastAsia="黑体" w:hAnsi="宋体" w:hint="eastAsia"/>
          <w:sz w:val="24"/>
        </w:rPr>
        <w:t>25．上传投标文件及投标截止日期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pPr>
        <w:ind w:firstLine="412"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ind w:firstLine="412"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rPr>
          <w:rFonts w:ascii="黑体" w:eastAsia="黑体" w:hAnsi="宋体"/>
          <w:sz w:val="24"/>
        </w:rPr>
      </w:pPr>
      <w:bookmarkEnd w:id="120"/>
      <w:r>
        <w:rPr>
          <w:rFonts w:ascii="黑体" w:eastAsia="黑体" w:hAnsi="宋体" w:hint="eastAsia"/>
          <w:sz w:val="24"/>
        </w:rPr>
        <w:t>26. 样品、演示、方案讲解</w:t>
      </w:r>
    </w:p>
    <w:p>
      <w:pPr>
        <w:ind w:firstLine="412" w:firstLineChars="196"/>
        <w:rPr>
          <w:rFonts w:ascii="宋体" w:hAnsi="宋体"/>
          <w:szCs w:val="21"/>
        </w:rPr>
      </w:pPr>
      <w:r>
        <w:rPr>
          <w:rFonts w:ascii="宋体" w:hAnsi="宋体" w:hint="eastAsia"/>
          <w:szCs w:val="21"/>
        </w:rPr>
        <w:t>26.1 样品、演示、方案讲解等事项在招标文件专用条款中进行规定。</w:t>
      </w:r>
    </w:p>
    <w:p>
      <w:pPr>
        <w:rPr>
          <w:rFonts w:ascii="黑体" w:eastAsia="黑体" w:hAnsi="宋体"/>
          <w:sz w:val="24"/>
        </w:rPr>
      </w:pPr>
      <w:bookmarkStart w:id="12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12"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8"/>
        </w:numPr>
        <w:tabs>
          <w:tab w:val="left" w:pos="720"/>
        </w:tabs>
        <w:spacing w:before="120" w:beforeLines="50" w:after="120" w:afterLines="50"/>
        <w:ind w:left="562" w:hanging="562"/>
        <w:rPr>
          <w:sz w:val="28"/>
          <w:szCs w:val="28"/>
        </w:rPr>
      </w:pPr>
      <w:bookmarkEnd w:id="121"/>
      <w:r>
        <w:rPr>
          <w:rFonts w:hint="eastAsia"/>
          <w:sz w:val="28"/>
          <w:szCs w:val="28"/>
        </w:rPr>
        <w:t>开标</w:t>
      </w:r>
    </w:p>
    <w:p>
      <w:pPr>
        <w:rPr>
          <w:rFonts w:ascii="黑体" w:eastAsia="黑体" w:hAnsi="宋体"/>
          <w:sz w:val="24"/>
        </w:rPr>
      </w:pPr>
      <w:r>
        <w:rPr>
          <w:rFonts w:ascii="黑体" w:eastAsia="黑体" w:hAnsi="宋体" w:hint="eastAsia"/>
          <w:sz w:val="24"/>
        </w:rPr>
        <w:t>28．开标</w:t>
      </w:r>
    </w:p>
    <w:p>
      <w:pPr>
        <w:ind w:firstLine="42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ind w:firstLine="359"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评审要求</w:t>
      </w:r>
    </w:p>
    <w:p>
      <w:pPr>
        <w:rPr>
          <w:rFonts w:ascii="黑体" w:eastAsia="黑体" w:hAnsi="宋体"/>
          <w:sz w:val="24"/>
        </w:rPr>
      </w:pPr>
      <w:r>
        <w:rPr>
          <w:rFonts w:ascii="黑体" w:eastAsia="黑体" w:hAnsi="宋体" w:hint="eastAsia"/>
          <w:sz w:val="24"/>
        </w:rPr>
        <w:t>29．评审委员会组成</w:t>
      </w:r>
    </w:p>
    <w:p>
      <w:pPr>
        <w:ind w:firstLine="412"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12" w:firstLineChars="196"/>
        <w:rPr>
          <w:rFonts w:ascii="宋体" w:hAnsi="宋体"/>
        </w:rPr>
      </w:pPr>
      <w:bookmarkStart w:id="12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2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从深圳市政府采购评审专家库中随机抽取。采购人代表须持采购人出具的《评审授权书》参加评审，。</w:t>
      </w:r>
    </w:p>
    <w:p>
      <w:pPr>
        <w:ind w:firstLine="412" w:firstLineChars="196"/>
        <w:rPr>
          <w:rFonts w:ascii="宋体" w:hAnsi="宋体"/>
        </w:rPr>
      </w:pPr>
      <w:r>
        <w:rPr>
          <w:rFonts w:ascii="宋体" w:hAnsi="宋体" w:hint="eastAsia"/>
        </w:rPr>
        <w:t>29.2评审定标应当遵循公平、公正、科学、择优的原则。</w:t>
      </w:r>
    </w:p>
    <w:p>
      <w:pPr>
        <w:ind w:firstLine="412" w:firstLineChars="196"/>
        <w:rPr>
          <w:rFonts w:ascii="宋体" w:hAnsi="宋体"/>
        </w:rPr>
      </w:pPr>
      <w:r>
        <w:rPr>
          <w:rFonts w:ascii="宋体" w:hAnsi="宋体" w:hint="eastAsia"/>
        </w:rPr>
        <w:t>29.3评审活动依法进行，任何单位和个人不得非法干预评标过程和结果。</w:t>
      </w:r>
    </w:p>
    <w:p>
      <w:pPr>
        <w:ind w:firstLine="412"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12"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sz w:val="24"/>
        </w:rPr>
      </w:pPr>
      <w:r>
        <w:rPr>
          <w:rFonts w:ascii="黑体" w:eastAsia="黑体" w:hAnsi="宋体" w:hint="eastAsia"/>
          <w:sz w:val="24"/>
        </w:rPr>
        <w:t>30．向评审委员会提供的资料</w:t>
      </w:r>
    </w:p>
    <w:p>
      <w:pPr>
        <w:ind w:firstLine="412" w:firstLineChars="196"/>
        <w:rPr>
          <w:rFonts w:ascii="宋体" w:hAnsi="宋体"/>
        </w:rPr>
      </w:pPr>
      <w:r>
        <w:rPr>
          <w:rFonts w:ascii="宋体" w:hAnsi="宋体" w:hint="eastAsia"/>
        </w:rPr>
        <w:t>30.1公开发布的招标文件，包括图纸、服务清单、答疑文件等；</w:t>
      </w:r>
    </w:p>
    <w:p>
      <w:pPr>
        <w:ind w:firstLine="412" w:firstLineChars="196"/>
        <w:rPr>
          <w:rFonts w:ascii="宋体" w:hAnsi="宋体"/>
        </w:rPr>
      </w:pPr>
      <w:r>
        <w:rPr>
          <w:rFonts w:ascii="宋体" w:hAnsi="宋体" w:hint="eastAsia"/>
        </w:rPr>
        <w:t>30.2其他评标必须的资料。</w:t>
      </w:r>
    </w:p>
    <w:p>
      <w:pPr>
        <w:ind w:firstLine="412"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12" w:firstLineChars="196"/>
        <w:rPr>
          <w:rFonts w:ascii="宋体" w:hAnsi="宋体"/>
        </w:rPr>
      </w:pPr>
      <w:r>
        <w:rPr>
          <w:rFonts w:ascii="宋体" w:hAnsi="宋体" w:hint="eastAsia"/>
        </w:rPr>
        <w:t>（1）招标的目的；</w:t>
      </w:r>
    </w:p>
    <w:p>
      <w:pPr>
        <w:ind w:firstLine="412" w:firstLineChars="196"/>
        <w:rPr>
          <w:rFonts w:ascii="宋体" w:hAnsi="宋体"/>
        </w:rPr>
      </w:pPr>
      <w:r>
        <w:rPr>
          <w:rFonts w:ascii="宋体" w:hAnsi="宋体" w:hint="eastAsia"/>
        </w:rPr>
        <w:t>（2）招标项目需求的范围和性质；</w:t>
      </w:r>
    </w:p>
    <w:p>
      <w:pPr>
        <w:ind w:firstLine="412" w:firstLineChars="196"/>
        <w:rPr>
          <w:rFonts w:ascii="宋体" w:hAnsi="宋体"/>
        </w:rPr>
      </w:pPr>
      <w:r>
        <w:rPr>
          <w:rFonts w:ascii="宋体" w:hAnsi="宋体" w:hint="eastAsia"/>
        </w:rPr>
        <w:t>（3）招标文件规定的投标人的资格、预算金额、商务条款；</w:t>
      </w:r>
    </w:p>
    <w:p>
      <w:pPr>
        <w:ind w:firstLine="412" w:firstLineChars="196"/>
        <w:rPr>
          <w:rFonts w:ascii="宋体" w:hAnsi="宋体"/>
        </w:rPr>
      </w:pPr>
      <w:r>
        <w:rPr>
          <w:rFonts w:ascii="宋体" w:hAnsi="宋体" w:hint="eastAsia"/>
        </w:rPr>
        <w:t>（4）招标文件规定的评标程序、评标方法和评标因素；</w:t>
      </w:r>
    </w:p>
    <w:p>
      <w:pPr>
        <w:ind w:firstLine="412" w:firstLineChars="196"/>
        <w:rPr>
          <w:rFonts w:ascii="宋体" w:hAnsi="宋体"/>
        </w:rPr>
      </w:pPr>
      <w:r>
        <w:rPr>
          <w:rFonts w:ascii="宋体" w:hAnsi="宋体" w:hint="eastAsia"/>
        </w:rPr>
        <w:t>（5）招标文件所列示的资格性审查表及符合性审查表。</w:t>
      </w:r>
    </w:p>
    <w:p>
      <w:pPr>
        <w:rPr>
          <w:rFonts w:ascii="黑体" w:eastAsia="黑体" w:hAnsi="宋体"/>
          <w:sz w:val="24"/>
        </w:rPr>
      </w:pPr>
      <w:r>
        <w:rPr>
          <w:rFonts w:ascii="黑体" w:eastAsia="黑体" w:hAnsi="宋体" w:hint="eastAsia"/>
          <w:sz w:val="24"/>
        </w:rPr>
        <w:t>31．独立评审</w:t>
      </w:r>
    </w:p>
    <w:p>
      <w:pPr>
        <w:ind w:firstLine="412"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sz w:val="24"/>
        </w:rPr>
      </w:pPr>
      <w:r>
        <w:rPr>
          <w:rFonts w:ascii="黑体" w:eastAsia="黑体" w:hAnsi="宋体" w:hint="eastAsia"/>
          <w:sz w:val="24"/>
        </w:rPr>
        <w:t>32．投标文件初审</w:t>
      </w:r>
    </w:p>
    <w:p>
      <w:pPr>
        <w:ind w:firstLine="412" w:firstLineChars="196"/>
        <w:rPr>
          <w:rFonts w:ascii="宋体" w:hAnsi="宋体"/>
        </w:rPr>
      </w:pPr>
      <w:r>
        <w:rPr>
          <w:rFonts w:ascii="宋体" w:hAnsi="宋体" w:hint="eastAsia"/>
        </w:rPr>
        <w:t>32.1投标文件初审包括资格性审查和符合性审查。</w:t>
      </w:r>
    </w:p>
    <w:p>
      <w:pPr>
        <w:ind w:firstLine="412"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12"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12"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12" w:firstLineChars="196"/>
        <w:rPr>
          <w:rFonts w:ascii="宋体" w:hAnsi="宋体"/>
          <w:bCs/>
        </w:rPr>
      </w:pPr>
      <w:r>
        <w:rPr>
          <w:rFonts w:ascii="宋体" w:hAnsi="宋体" w:hint="eastAsia"/>
          <w:bCs/>
        </w:rPr>
        <w:t>32.3 投标文件初审中关于供应商家数的计算:</w:t>
      </w:r>
    </w:p>
    <w:p>
      <w:pPr>
        <w:ind w:firstLine="412"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2"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12"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12" w:firstLineChars="196"/>
        <w:rPr>
          <w:rFonts w:ascii="宋体" w:hAnsi="宋体"/>
        </w:rPr>
      </w:pPr>
      <w:r>
        <w:rPr>
          <w:rFonts w:ascii="宋体" w:hAnsi="宋体" w:hint="eastAsia"/>
        </w:rPr>
        <w:t>32.4投标人投标文件作无效处理的情形，具体包括但不限于以下：</w:t>
      </w:r>
    </w:p>
    <w:p>
      <w:pPr>
        <w:ind w:firstLine="412" w:firstLineChars="196"/>
      </w:pPr>
      <w:r>
        <w:rPr>
          <w:rFonts w:ascii="宋体" w:hAnsi="宋体" w:hint="eastAsia"/>
        </w:rPr>
        <w:t>32.4.1</w:t>
      </w:r>
      <w:r>
        <w:rPr>
          <w:rFonts w:hint="eastAsia"/>
        </w:rPr>
        <w:t>不同投标人的投标文件由同一单位或者同一个人编制，或者由同一个人分阶段参与编制；</w:t>
      </w:r>
    </w:p>
    <w:p>
      <w:pPr>
        <w:ind w:firstLine="412"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12" w:firstLineChars="196"/>
        <w:rPr>
          <w:rFonts w:ascii="宋体" w:hAnsi="宋体"/>
        </w:rPr>
      </w:pPr>
      <w:r>
        <w:rPr>
          <w:rFonts w:ascii="宋体" w:hAnsi="宋体" w:hint="eastAsia"/>
        </w:rPr>
        <w:t>32.4.3不同投标人的投标文件载明的项目管理成员或者联系人员为同一人；</w:t>
      </w:r>
    </w:p>
    <w:p>
      <w:pPr>
        <w:ind w:firstLine="412" w:firstLineChars="196"/>
        <w:rPr>
          <w:rFonts w:ascii="宋体" w:hAnsi="宋体"/>
        </w:rPr>
      </w:pPr>
      <w:r>
        <w:rPr>
          <w:rFonts w:ascii="宋体" w:hAnsi="宋体" w:hint="eastAsia"/>
        </w:rPr>
        <w:t>32.4.4不同投标人的投标文件异常一致或者投标报价呈规律性差异；</w:t>
      </w:r>
    </w:p>
    <w:p>
      <w:pPr>
        <w:ind w:firstLine="412"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12" w:firstLineChars="196"/>
        <w:rPr>
          <w:rFonts w:ascii="宋体" w:hAnsi="宋体"/>
        </w:rPr>
      </w:pPr>
      <w:r>
        <w:rPr>
          <w:rFonts w:ascii="宋体" w:hAnsi="宋体" w:hint="eastAsia"/>
        </w:rPr>
        <w:t>32.4.6投标供应商之间相互约定给予未中标的供应商利益补偿；</w:t>
      </w:r>
    </w:p>
    <w:p>
      <w:pPr>
        <w:ind w:firstLine="412"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12" w:firstLineChars="196"/>
        <w:rPr>
          <w:rFonts w:ascii="宋体" w:hAnsi="宋体"/>
        </w:rPr>
      </w:pPr>
      <w:r>
        <w:rPr>
          <w:rFonts w:ascii="宋体" w:hAnsi="宋体" w:hint="eastAsia"/>
        </w:rPr>
        <w:t>32.4.8不同投标供应商的投标文件内容存在非正常一致；</w:t>
      </w:r>
    </w:p>
    <w:p>
      <w:pPr>
        <w:ind w:firstLine="412" w:firstLineChars="196"/>
        <w:rPr>
          <w:rFonts w:ascii="宋体" w:hAnsi="宋体"/>
        </w:rPr>
      </w:pPr>
      <w:r>
        <w:rPr>
          <w:rFonts w:ascii="宋体" w:hAnsi="宋体" w:hint="eastAsia"/>
        </w:rPr>
        <w:t>32.4.9在同一单位工作人员为两家以上（含两家）供应商进行同一项投标活动；</w:t>
      </w:r>
    </w:p>
    <w:p>
      <w:pPr>
        <w:ind w:firstLine="412" w:firstLineChars="196"/>
        <w:rPr>
          <w:rFonts w:ascii="宋体" w:hAnsi="宋体"/>
        </w:rPr>
      </w:pPr>
      <w:r>
        <w:rPr>
          <w:rFonts w:ascii="宋体" w:hAnsi="宋体" w:hint="eastAsia"/>
        </w:rPr>
        <w:t>32.4.10主管部门依照法律、法规认定的其他情形。</w:t>
      </w:r>
    </w:p>
    <w:p>
      <w:pPr>
        <w:ind w:firstLine="412"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pPr>
        <w:rPr>
          <w:rFonts w:ascii="黑体" w:eastAsia="黑体" w:hAnsi="宋体"/>
          <w:sz w:val="24"/>
        </w:rPr>
      </w:pPr>
      <w:r>
        <w:rPr>
          <w:rFonts w:ascii="黑体" w:eastAsia="黑体" w:hAnsi="宋体" w:hint="eastAsia"/>
          <w:sz w:val="24"/>
        </w:rPr>
        <w:t>33．澄清有关问题</w:t>
      </w:r>
    </w:p>
    <w:p>
      <w:pPr>
        <w:ind w:firstLine="412" w:firstLineChars="196"/>
        <w:rPr>
          <w:rFonts w:ascii="宋体" w:hAnsi="宋体"/>
        </w:rPr>
      </w:pPr>
      <w:bookmarkStart w:id="12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23"/>
    </w:p>
    <w:p>
      <w:pPr>
        <w:ind w:firstLine="412"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2"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12"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2"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sz w:val="24"/>
        </w:rPr>
      </w:pPr>
      <w:bookmarkStart w:id="124" w:name="_Toc100052400"/>
      <w:bookmarkStart w:id="125" w:name="_Toc73521669"/>
      <w:bookmarkStart w:id="126" w:name="_Toc73517673"/>
      <w:bookmarkStart w:id="127" w:name="_Toc73518151"/>
      <w:bookmarkStart w:id="128" w:name="_Toc73521581"/>
      <w:r>
        <w:rPr>
          <w:rFonts w:ascii="黑体" w:eastAsia="黑体" w:hAnsi="宋体" w:hint="eastAsia"/>
          <w:sz w:val="24"/>
        </w:rPr>
        <w:t>34．错误的修正</w:t>
      </w:r>
      <w:bookmarkEnd w:id="124"/>
      <w:bookmarkEnd w:id="125"/>
      <w:bookmarkEnd w:id="126"/>
      <w:bookmarkEnd w:id="127"/>
      <w:bookmarkEnd w:id="128"/>
    </w:p>
    <w:p>
      <w:pPr>
        <w:ind w:firstLine="412"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12"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12" w:firstLineChars="196"/>
        <w:rPr>
          <w:rFonts w:ascii="宋体" w:hAnsi="宋体"/>
          <w:szCs w:val="21"/>
        </w:rPr>
      </w:pPr>
      <w:r>
        <w:rPr>
          <w:rFonts w:ascii="宋体" w:hAnsi="宋体" w:hint="eastAsia"/>
          <w:szCs w:val="21"/>
        </w:rPr>
        <w:t>34.2大写金额和小写金额不一致的，以大写金额为准；</w:t>
      </w:r>
    </w:p>
    <w:p>
      <w:pPr>
        <w:ind w:firstLine="412"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12" w:firstLineChars="196"/>
        <w:rPr>
          <w:rFonts w:ascii="宋体" w:hAnsi="宋体"/>
          <w:szCs w:val="21"/>
        </w:rPr>
      </w:pPr>
      <w:r>
        <w:rPr>
          <w:rFonts w:ascii="宋体" w:hAnsi="宋体" w:hint="eastAsia"/>
          <w:szCs w:val="21"/>
        </w:rPr>
        <w:t>34.4总价金额与按单价汇总金额不一致的，以单价金额计算结果为准。</w:t>
      </w:r>
    </w:p>
    <w:p>
      <w:pPr>
        <w:ind w:firstLine="412"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sz w:val="24"/>
        </w:rPr>
      </w:pPr>
      <w:r>
        <w:rPr>
          <w:rFonts w:ascii="黑体" w:eastAsia="黑体" w:hAnsi="宋体" w:hint="eastAsia"/>
          <w:sz w:val="24"/>
        </w:rPr>
        <w:t>35．投标文件的比较与评价</w:t>
      </w:r>
    </w:p>
    <w:p>
      <w:pPr>
        <w:ind w:firstLine="412"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2"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sz w:val="24"/>
        </w:rPr>
      </w:pPr>
      <w:r>
        <w:rPr>
          <w:rFonts w:ascii="黑体" w:eastAsia="黑体" w:hAnsi="宋体" w:hint="eastAsia"/>
          <w:sz w:val="24"/>
        </w:rPr>
        <w:t>36. 实地考察或资料查验</w:t>
      </w:r>
    </w:p>
    <w:p>
      <w:pPr>
        <w:ind w:firstLine="412"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sz w:val="24"/>
        </w:rPr>
      </w:pPr>
      <w:r>
        <w:rPr>
          <w:rFonts w:ascii="黑体" w:eastAsia="黑体" w:hAnsi="宋体" w:hint="eastAsia"/>
          <w:sz w:val="24"/>
        </w:rPr>
        <w:t>37．评审方法</w:t>
      </w:r>
    </w:p>
    <w:p>
      <w:pPr>
        <w:ind w:firstLine="412" w:firstLineChars="196"/>
        <w:rPr>
          <w:rFonts w:ascii="宋体" w:hAnsi="宋体"/>
          <w:b/>
          <w:bCs/>
          <w:szCs w:val="21"/>
        </w:rPr>
      </w:pPr>
      <w:r>
        <w:rPr>
          <w:rFonts w:ascii="宋体" w:hAnsi="宋体" w:hint="eastAsia"/>
          <w:b/>
          <w:bCs/>
          <w:szCs w:val="21"/>
        </w:rPr>
        <w:t>37.1.1最低价法</w:t>
      </w:r>
    </w:p>
    <w:p>
      <w:pPr>
        <w:ind w:firstLine="412" w:firstLineChars="196"/>
        <w:rPr>
          <w:rFonts w:ascii="ˎ̥" w:hAnsi="ˎ̥" w:hint="eastAsia"/>
        </w:rPr>
      </w:pPr>
      <w:bookmarkStart w:id="12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12" w:firstLineChars="196"/>
        <w:rPr>
          <w:rFonts w:ascii="宋体" w:hAnsi="宋体"/>
          <w:b/>
          <w:bCs/>
          <w:szCs w:val="21"/>
        </w:rPr>
      </w:pPr>
      <w:r>
        <w:rPr>
          <w:rFonts w:ascii="宋体" w:hAnsi="宋体" w:hint="eastAsia"/>
          <w:b/>
          <w:bCs/>
          <w:szCs w:val="21"/>
        </w:rPr>
        <w:t>37.1.2综合评分法</w:t>
      </w:r>
    </w:p>
    <w:p>
      <w:pPr>
        <w:ind w:firstLine="412"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29"/>
    </w:p>
    <w:p>
      <w:pPr>
        <w:ind w:firstLine="412"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12" w:firstLineChars="196"/>
        <w:rPr>
          <w:rFonts w:ascii="宋体" w:hAnsi="宋体"/>
          <w:b/>
          <w:bCs/>
          <w:szCs w:val="21"/>
        </w:rPr>
      </w:pPr>
      <w:r>
        <w:rPr>
          <w:rFonts w:ascii="宋体" w:hAnsi="宋体" w:hint="eastAsia"/>
          <w:b/>
          <w:bCs/>
          <w:szCs w:val="21"/>
        </w:rPr>
        <w:t>37.3重新评审的情形</w:t>
      </w:r>
    </w:p>
    <w:p>
      <w:pPr>
        <w:ind w:firstLine="412" w:firstLineChars="196"/>
        <w:rPr>
          <w:rFonts w:ascii="宋体" w:hAnsi="宋体"/>
          <w:b/>
          <w:bCs/>
          <w:szCs w:val="21"/>
        </w:rPr>
      </w:pPr>
      <w:r>
        <w:rPr>
          <w:rFonts w:ascii="宋体" w:hAnsi="宋体" w:cs="宋体" w:hint="eastAsia"/>
          <w:kern w:val="0"/>
          <w:szCs w:val="21"/>
        </w:rPr>
        <w:t>评审结果汇总完成后，除下列情形外，任何人不得修改评审结果：</w:t>
      </w:r>
    </w:p>
    <w:p>
      <w:pPr>
        <w:ind w:firstLine="412" w:firstLineChars="196"/>
        <w:rPr>
          <w:rFonts w:ascii="宋体" w:hAnsi="宋体" w:cs="宋体"/>
          <w:kern w:val="0"/>
          <w:szCs w:val="21"/>
        </w:rPr>
      </w:pPr>
      <w:r>
        <w:rPr>
          <w:rFonts w:ascii="宋体" w:hAnsi="宋体" w:cs="宋体" w:hint="eastAsia"/>
          <w:kern w:val="0"/>
          <w:szCs w:val="21"/>
        </w:rPr>
        <w:t>37.3.1分值汇总计算错误的；</w:t>
      </w:r>
    </w:p>
    <w:p>
      <w:pPr>
        <w:ind w:firstLine="412" w:firstLineChars="196"/>
        <w:rPr>
          <w:rFonts w:ascii="宋体" w:hAnsi="宋体" w:cs="宋体"/>
          <w:kern w:val="0"/>
          <w:szCs w:val="21"/>
        </w:rPr>
      </w:pPr>
      <w:r>
        <w:rPr>
          <w:rFonts w:ascii="宋体" w:hAnsi="宋体" w:cs="宋体" w:hint="eastAsia"/>
          <w:kern w:val="0"/>
          <w:szCs w:val="21"/>
        </w:rPr>
        <w:t>37.3.2分项评分超出评分标准范围的；</w:t>
      </w:r>
    </w:p>
    <w:p>
      <w:pPr>
        <w:ind w:firstLine="412" w:firstLineChars="196"/>
        <w:rPr>
          <w:rFonts w:ascii="宋体" w:hAnsi="宋体" w:cs="宋体"/>
          <w:kern w:val="0"/>
          <w:szCs w:val="21"/>
        </w:rPr>
      </w:pPr>
      <w:r>
        <w:rPr>
          <w:rFonts w:ascii="宋体" w:hAnsi="宋体" w:cs="宋体" w:hint="eastAsia"/>
          <w:kern w:val="0"/>
          <w:szCs w:val="21"/>
        </w:rPr>
        <w:t>37.3.3评审委员会成员对客观评审因素评分不一致的；</w:t>
      </w:r>
    </w:p>
    <w:p>
      <w:pPr>
        <w:ind w:firstLine="412" w:firstLineChars="196"/>
        <w:rPr>
          <w:rFonts w:ascii="宋体" w:hAnsi="宋体" w:cs="宋体"/>
          <w:kern w:val="0"/>
          <w:szCs w:val="21"/>
        </w:rPr>
      </w:pPr>
      <w:r>
        <w:rPr>
          <w:rFonts w:ascii="宋体" w:hAnsi="宋体" w:cs="宋体" w:hint="eastAsia"/>
          <w:kern w:val="0"/>
          <w:szCs w:val="21"/>
        </w:rPr>
        <w:t>37.3.4经评审委员会认定评分畸高、畸低的。</w:t>
      </w:r>
    </w:p>
    <w:p>
      <w:pPr>
        <w:ind w:firstLine="412"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2"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pPr>
        <w:ind w:firstLine="412" w:firstLineChars="196"/>
        <w:rPr>
          <w:rFonts w:ascii="宋体" w:hAnsi="宋体"/>
          <w:b/>
          <w:bCs/>
          <w:szCs w:val="21"/>
        </w:rPr>
      </w:pPr>
      <w:r>
        <w:rPr>
          <w:rFonts w:ascii="宋体" w:hAnsi="宋体" w:hint="eastAsia"/>
          <w:b/>
          <w:bCs/>
          <w:szCs w:val="21"/>
        </w:rPr>
        <w:t xml:space="preserve"> 37.4重新组建评审委员会的情形</w:t>
      </w:r>
    </w:p>
    <w:p>
      <w:pPr>
        <w:ind w:firstLine="412"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pPr>
        <w:ind w:firstLine="412"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pPr>
        <w:ind w:firstLine="412"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pPr>
        <w:ind w:firstLine="412" w:firstLineChars="196"/>
        <w:rPr>
          <w:rFonts w:ascii="宋体" w:hAnsi="宋体" w:cs="宋体"/>
          <w:kern w:val="0"/>
          <w:szCs w:val="21"/>
        </w:rPr>
      </w:pPr>
      <w:r>
        <w:rPr>
          <w:rFonts w:ascii="宋体" w:hAnsi="宋体" w:cs="宋体" w:hint="eastAsia"/>
          <w:kern w:val="0"/>
          <w:szCs w:val="21"/>
        </w:rPr>
        <w:t>37.4.3评审委员会及其成员独立评标受到非法干预的；</w:t>
      </w:r>
    </w:p>
    <w:p>
      <w:pPr>
        <w:ind w:firstLine="412"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pPr>
        <w:ind w:firstLine="412"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pPr>
        <w:pStyle w:val="Heading2"/>
        <w:numPr>
          <w:ilvl w:val="0"/>
          <w:numId w:val="8"/>
        </w:numPr>
        <w:tabs>
          <w:tab w:val="left" w:pos="720"/>
        </w:tabs>
        <w:spacing w:before="120" w:beforeLines="50" w:after="120" w:afterLines="50"/>
        <w:ind w:left="562" w:hanging="562"/>
        <w:rPr>
          <w:sz w:val="28"/>
          <w:szCs w:val="28"/>
        </w:rPr>
      </w:pPr>
      <w:r>
        <w:rPr>
          <w:rFonts w:hint="eastAsia"/>
          <w:sz w:val="28"/>
          <w:szCs w:val="28"/>
        </w:rPr>
        <w:t>定标及公示</w:t>
      </w:r>
    </w:p>
    <w:p>
      <w:pPr>
        <w:rPr>
          <w:rFonts w:ascii="黑体" w:eastAsia="黑体" w:hAnsi="宋体"/>
          <w:sz w:val="24"/>
        </w:rPr>
      </w:pPr>
      <w:r>
        <w:rPr>
          <w:rFonts w:ascii="黑体" w:eastAsia="黑体" w:hAnsi="宋体" w:hint="eastAsia"/>
          <w:sz w:val="24"/>
        </w:rPr>
        <w:t>38．定标方法</w:t>
      </w:r>
    </w:p>
    <w:p>
      <w:pPr>
        <w:ind w:firstLine="412" w:firstLineChars="196"/>
        <w:rPr>
          <w:rFonts w:ascii="宋体" w:hAnsi="宋体"/>
          <w:szCs w:val="21"/>
        </w:rPr>
      </w:pPr>
      <w:bookmarkStart w:id="130" w:name="_Hlk73782795"/>
      <w:r>
        <w:rPr>
          <w:rFonts w:ascii="宋体" w:hAnsi="宋体" w:hint="eastAsia"/>
          <w:szCs w:val="21"/>
        </w:rPr>
        <w:t>38.1非评定分离项目定标方法</w:t>
      </w:r>
    </w:p>
    <w:p>
      <w:pPr>
        <w:ind w:firstLine="412"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3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31"/>
      <w:r>
        <w:rPr>
          <w:rFonts w:ascii="ˎ̥" w:hAnsi="ˎ̥"/>
        </w:rPr>
        <w:t>）。</w:t>
      </w:r>
    </w:p>
    <w:p>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12" w:firstLineChars="196"/>
        <w:rPr>
          <w:rFonts w:ascii="宋体" w:hAnsi="宋体"/>
          <w:szCs w:val="21"/>
        </w:rPr>
      </w:pPr>
      <w:r>
        <w:rPr>
          <w:rFonts w:ascii="宋体" w:hAnsi="宋体" w:hint="eastAsia"/>
          <w:szCs w:val="21"/>
        </w:rPr>
        <w:t>38.2评定分离项目定标方法</w:t>
      </w:r>
    </w:p>
    <w:p>
      <w:pPr>
        <w:ind w:firstLine="412"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2" w:firstLineChars="196"/>
      </w:pPr>
      <w:r>
        <w:rPr>
          <w:rFonts w:ascii="宋体" w:hAnsi="宋体"/>
          <w:szCs w:val="21"/>
        </w:rPr>
        <w:t xml:space="preserve">38.2.2 </w:t>
      </w:r>
      <w:bookmarkStart w:id="13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12" w:firstLineChars="196"/>
        <w:rPr>
          <w:rFonts w:ascii="宋体" w:hAnsi="宋体"/>
          <w:szCs w:val="21"/>
        </w:rPr>
      </w:pPr>
      <w:r>
        <w:rPr>
          <w:rFonts w:ascii="宋体" w:hAnsi="宋体" w:hint="eastAsia"/>
          <w:szCs w:val="21"/>
        </w:rPr>
        <w:t>38.2.3</w:t>
      </w:r>
      <w:bookmarkStart w:id="13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32"/>
      <w:bookmarkEnd w:id="133"/>
    </w:p>
    <w:p>
      <w:pPr>
        <w:ind w:firstLine="412"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12" w:firstLineChars="196"/>
        <w:rPr>
          <w:rFonts w:ascii="宋体" w:hAnsi="宋体"/>
          <w:szCs w:val="21"/>
        </w:rPr>
      </w:pPr>
      <w:r>
        <w:rPr>
          <w:rFonts w:ascii="宋体" w:hAnsi="宋体" w:hint="eastAsia"/>
          <w:szCs w:val="21"/>
        </w:rPr>
        <w:t>说明：采购人及投标供应商应按照上述方法提前做好相关准备。</w:t>
      </w:r>
    </w:p>
    <w:p>
      <w:pPr>
        <w:ind w:firstLine="412" w:firstLineChars="196"/>
        <w:rPr>
          <w:rFonts w:ascii="宋体" w:hAnsi="宋体"/>
          <w:szCs w:val="21"/>
        </w:rPr>
      </w:pPr>
      <w:r>
        <w:rPr>
          <w:rFonts w:ascii="宋体" w:hAnsi="宋体" w:hint="eastAsia"/>
          <w:szCs w:val="21"/>
        </w:rPr>
        <w:t>38.3专用条款另有规定的，按专用条款相关要求定标。</w:t>
      </w:r>
      <w:bookmarkEnd w:id="130"/>
    </w:p>
    <w:p>
      <w:pPr>
        <w:rPr>
          <w:rFonts w:ascii="黑体" w:eastAsia="黑体" w:hAnsi="宋体"/>
          <w:sz w:val="24"/>
        </w:rPr>
      </w:pPr>
      <w:r>
        <w:rPr>
          <w:rFonts w:ascii="黑体" w:eastAsia="黑体" w:hAnsi="宋体" w:hint="eastAsia"/>
          <w:sz w:val="24"/>
        </w:rPr>
        <w:t>39．编写评审报告</w:t>
      </w:r>
    </w:p>
    <w:p>
      <w:pPr>
        <w:ind w:firstLine="412"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sz w:val="24"/>
        </w:rPr>
      </w:pPr>
      <w:r>
        <w:rPr>
          <w:rFonts w:ascii="黑体" w:eastAsia="黑体" w:hAnsi="宋体" w:hint="eastAsia"/>
          <w:sz w:val="24"/>
        </w:rPr>
        <w:t>40．中标公告</w:t>
      </w:r>
    </w:p>
    <w:p>
      <w:pPr>
        <w:ind w:firstLine="412" w:firstLineChars="196"/>
        <w:rPr>
          <w:rFonts w:ascii="宋体" w:hAnsi="宋体"/>
          <w:szCs w:val="21"/>
        </w:rPr>
      </w:pPr>
      <w:r>
        <w:rPr>
          <w:rFonts w:ascii="宋体" w:hAnsi="宋体" w:hint="eastAsia"/>
          <w:szCs w:val="21"/>
        </w:rPr>
        <w:t>40.1</w:t>
      </w:r>
      <w:bookmarkStart w:id="134" w:name="_Hlk72438709"/>
      <w:r>
        <w:rPr>
          <w:rFonts w:ascii="宋体" w:hAnsi="宋体" w:hint="eastAsia"/>
          <w:szCs w:val="21"/>
        </w:rPr>
        <w:t>为体现“公开、公平、公正”的原则，评审结束后经采购人确认（确定）评审结果，政府集中采购机构将在“深圳政府采购智慧平台（http://zfcg.szggzy.com:8081/）”上发布中标结果公告。</w:t>
      </w:r>
      <w:bookmarkStart w:id="135" w:name="_Hlk72438751"/>
      <w:bookmarkEnd w:id="13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pPr>
        <w:ind w:firstLine="412" w:firstLineChars="196"/>
        <w:rPr>
          <w:rFonts w:ascii="宋体" w:hAnsi="宋体"/>
          <w:szCs w:val="21"/>
        </w:rPr>
      </w:pPr>
      <w:bookmarkEnd w:id="135"/>
      <w:r>
        <w:rPr>
          <w:rFonts w:ascii="宋体" w:hAnsi="宋体" w:hint="eastAsia"/>
          <w:szCs w:val="21"/>
        </w:rPr>
        <w:t>40.2质疑、投诉供应商应保证质疑、投诉内容的真实性和可靠性，并承担相应的法律责任。</w:t>
      </w:r>
    </w:p>
    <w:p>
      <w:pPr>
        <w:rPr>
          <w:rFonts w:ascii="黑体" w:eastAsia="黑体" w:hAnsi="宋体"/>
          <w:sz w:val="24"/>
        </w:rPr>
      </w:pPr>
      <w:r>
        <w:rPr>
          <w:rFonts w:ascii="黑体" w:eastAsia="黑体" w:hAnsi="宋体" w:hint="eastAsia"/>
          <w:sz w:val="24"/>
        </w:rPr>
        <w:t>41．中标通知书</w:t>
      </w:r>
    </w:p>
    <w:p>
      <w:pPr>
        <w:ind w:firstLine="412"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36" w:name="_Hlk72438863"/>
      <w:r>
        <w:rPr>
          <w:rFonts w:ascii="宋体" w:hAnsi="宋体" w:hint="eastAsia"/>
          <w:szCs w:val="21"/>
        </w:rPr>
        <w:t>中标公告公布以后无异常的情况下,中标供应商和采购人可自行在“深圳政府采购智慧平台（http://zfcg.szggzy.com:8081/）”上打印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0755-88653300，转6</w:t>
      </w:r>
      <w:r>
        <w:rPr>
          <w:rFonts w:ascii="宋体" w:hAnsi="宋体" w:hint="eastAsia"/>
          <w:szCs w:val="21"/>
        </w:rPr>
        <w:t>）。</w:t>
      </w:r>
      <w:bookmarkEnd w:id="136"/>
    </w:p>
    <w:p>
      <w:pPr>
        <w:ind w:firstLine="412"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12" w:firstLineChars="196"/>
        <w:rPr>
          <w:rFonts w:ascii="宋体" w:hAnsi="宋体"/>
          <w:szCs w:val="21"/>
        </w:rPr>
      </w:pPr>
      <w:bookmarkStart w:id="137" w:name="_Hlk71407340"/>
      <w:r>
        <w:rPr>
          <w:rFonts w:ascii="宋体" w:hAnsi="宋体" w:hint="eastAsia"/>
          <w:szCs w:val="21"/>
        </w:rPr>
        <w:t>41.3因质疑投诉或其它原因导致项目结果变更或采购终止的，政府集中采购机构有权吊销中标通知书。</w:t>
      </w:r>
    </w:p>
    <w:p>
      <w:pPr>
        <w:pStyle w:val="Heading2"/>
        <w:numPr>
          <w:ilvl w:val="0"/>
          <w:numId w:val="8"/>
        </w:numPr>
        <w:tabs>
          <w:tab w:val="left" w:pos="720"/>
        </w:tabs>
        <w:spacing w:before="120" w:beforeLines="50" w:after="120" w:afterLines="50"/>
        <w:ind w:left="562" w:hanging="562"/>
        <w:rPr>
          <w:sz w:val="28"/>
          <w:szCs w:val="28"/>
        </w:rPr>
      </w:pPr>
      <w:bookmarkEnd w:id="137"/>
      <w:r>
        <w:rPr>
          <w:rFonts w:hint="eastAsia"/>
          <w:sz w:val="28"/>
          <w:szCs w:val="28"/>
        </w:rPr>
        <w:t>公开招标失败的后续处理</w:t>
      </w:r>
    </w:p>
    <w:p>
      <w:pPr>
        <w:rPr>
          <w:rFonts w:ascii="黑体" w:eastAsia="黑体" w:hAnsi="宋体"/>
          <w:sz w:val="24"/>
        </w:rPr>
      </w:pPr>
      <w:r>
        <w:rPr>
          <w:rFonts w:ascii="黑体" w:eastAsia="黑体" w:hAnsi="宋体" w:hint="eastAsia"/>
          <w:sz w:val="24"/>
        </w:rPr>
        <w:t>42．公开招标失败的处理</w:t>
      </w:r>
    </w:p>
    <w:p>
      <w:pPr>
        <w:ind w:firstLine="412"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12"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12" w:firstLineChars="196"/>
        <w:rPr>
          <w:rFonts w:ascii="宋体" w:hAnsi="宋体"/>
          <w:szCs w:val="21"/>
        </w:rPr>
      </w:pPr>
      <w:r>
        <w:rPr>
          <w:rFonts w:ascii="宋体" w:hAnsi="宋体" w:hint="eastAsia"/>
          <w:szCs w:val="21"/>
        </w:rPr>
        <w:t>42.3重新组织采购有以下两种组织形式：</w:t>
      </w:r>
    </w:p>
    <w:p>
      <w:pPr>
        <w:ind w:firstLine="412" w:firstLineChars="196"/>
        <w:rPr>
          <w:rFonts w:ascii="宋体" w:hAnsi="宋体"/>
        </w:rPr>
      </w:pPr>
      <w:r>
        <w:rPr>
          <w:rFonts w:ascii="宋体" w:hAnsi="宋体" w:hint="eastAsia"/>
        </w:rPr>
        <w:t>（1）由政府集中采购机构重新组织公开招标；</w:t>
      </w:r>
    </w:p>
    <w:p>
      <w:pPr>
        <w:ind w:firstLine="412"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12"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pPr>
        <w:pStyle w:val="Heading2"/>
        <w:numPr>
          <w:ilvl w:val="0"/>
          <w:numId w:val="8"/>
        </w:numPr>
        <w:tabs>
          <w:tab w:val="left" w:pos="720"/>
        </w:tabs>
        <w:spacing w:before="120" w:beforeLines="50" w:after="120" w:afterLines="50"/>
        <w:ind w:left="562" w:hanging="562"/>
        <w:rPr>
          <w:sz w:val="28"/>
          <w:szCs w:val="28"/>
        </w:rPr>
      </w:pPr>
      <w:bookmarkStart w:id="138" w:name="_Hlk72439043"/>
      <w:r>
        <w:rPr>
          <w:rFonts w:hint="eastAsia"/>
          <w:sz w:val="28"/>
          <w:szCs w:val="28"/>
        </w:rPr>
        <w:t>合同的授予与备案</w:t>
      </w:r>
      <w:bookmarkEnd w:id="138"/>
    </w:p>
    <w:p>
      <w:pPr>
        <w:rPr>
          <w:rFonts w:ascii="黑体" w:eastAsia="黑体" w:hAnsi="宋体"/>
          <w:sz w:val="24"/>
        </w:rPr>
      </w:pPr>
      <w:bookmarkStart w:id="139" w:name="_Toc73521674"/>
      <w:bookmarkStart w:id="140" w:name="_Toc73518157"/>
      <w:bookmarkStart w:id="141" w:name="_Toc100052408"/>
      <w:bookmarkStart w:id="142" w:name="_Toc73521586"/>
      <w:bookmarkStart w:id="143" w:name="_Toc73517679"/>
      <w:bookmarkStart w:id="144" w:name="_Hlk72439088"/>
      <w:r>
        <w:rPr>
          <w:rFonts w:ascii="黑体" w:eastAsia="黑体" w:hAnsi="宋体" w:hint="eastAsia"/>
          <w:sz w:val="24"/>
        </w:rPr>
        <w:t>43．合同授予标准</w:t>
      </w:r>
      <w:bookmarkEnd w:id="139"/>
      <w:bookmarkEnd w:id="140"/>
      <w:bookmarkEnd w:id="141"/>
      <w:bookmarkEnd w:id="142"/>
      <w:bookmarkEnd w:id="143"/>
    </w:p>
    <w:p>
      <w:pPr>
        <w:ind w:firstLine="412"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sz w:val="24"/>
        </w:rPr>
      </w:pPr>
      <w:bookmarkStart w:id="145" w:name="_Toc73518158"/>
      <w:bookmarkStart w:id="146" w:name="_Toc100052409"/>
      <w:bookmarkStart w:id="147" w:name="_Toc73521587"/>
      <w:bookmarkStart w:id="148" w:name="_Toc73521675"/>
      <w:bookmarkStart w:id="149" w:name="_Toc73517680"/>
      <w:r>
        <w:rPr>
          <w:rFonts w:ascii="黑体" w:eastAsia="黑体" w:hAnsi="宋体" w:hint="eastAsia"/>
          <w:sz w:val="24"/>
        </w:rPr>
        <w:t>44．</w:t>
      </w:r>
      <w:bookmarkEnd w:id="149"/>
      <w:bookmarkEnd w:id="145"/>
      <w:bookmarkEnd w:id="146"/>
      <w:bookmarkEnd w:id="147"/>
      <w:bookmarkEnd w:id="148"/>
      <w:r>
        <w:rPr>
          <w:rFonts w:ascii="黑体" w:eastAsia="黑体" w:hAnsi="宋体" w:hint="eastAsia"/>
          <w:sz w:val="24"/>
        </w:rPr>
        <w:t>接受和拒绝任何或所有投标的权力</w:t>
      </w:r>
    </w:p>
    <w:p>
      <w:pPr>
        <w:ind w:firstLine="412"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sz w:val="24"/>
        </w:rPr>
      </w:pPr>
      <w:bookmarkStart w:id="150" w:name="_Toc73518160"/>
      <w:bookmarkStart w:id="151" w:name="_Toc100052410"/>
      <w:bookmarkStart w:id="152" w:name="_Toc73521677"/>
      <w:bookmarkStart w:id="153" w:name="_Toc73517682"/>
      <w:bookmarkStart w:id="154" w:name="_Toc73521589"/>
      <w:r>
        <w:rPr>
          <w:rFonts w:ascii="黑体" w:eastAsia="黑体" w:hAnsi="宋体" w:hint="eastAsia"/>
          <w:sz w:val="24"/>
        </w:rPr>
        <w:t>45．合同的签订</w:t>
      </w:r>
      <w:bookmarkEnd w:id="150"/>
      <w:bookmarkEnd w:id="151"/>
      <w:bookmarkEnd w:id="152"/>
      <w:bookmarkEnd w:id="153"/>
      <w:bookmarkEnd w:id="154"/>
    </w:p>
    <w:p>
      <w:pPr>
        <w:ind w:firstLine="412"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12"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pPr>
        <w:ind w:firstLine="412"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sz w:val="24"/>
        </w:rPr>
      </w:pPr>
      <w:bookmarkStart w:id="155" w:name="_Toc73517683"/>
      <w:bookmarkStart w:id="156" w:name="_Toc73521678"/>
      <w:bookmarkStart w:id="157" w:name="_Toc73518161"/>
      <w:bookmarkStart w:id="158" w:name="_Toc73521590"/>
      <w:bookmarkStart w:id="159" w:name="_Toc100052411"/>
      <w:r>
        <w:rPr>
          <w:rFonts w:ascii="黑体" w:eastAsia="黑体" w:hAnsi="宋体" w:hint="eastAsia"/>
          <w:sz w:val="24"/>
        </w:rPr>
        <w:t>46．履约担保</w:t>
      </w:r>
      <w:bookmarkEnd w:id="155"/>
      <w:bookmarkEnd w:id="156"/>
      <w:bookmarkEnd w:id="157"/>
      <w:bookmarkEnd w:id="158"/>
      <w:bookmarkEnd w:id="159"/>
    </w:p>
    <w:p>
      <w:pPr>
        <w:ind w:firstLine="412"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12"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sz w:val="24"/>
        </w:rPr>
      </w:pPr>
      <w:r>
        <w:rPr>
          <w:rFonts w:ascii="黑体" w:eastAsia="黑体" w:hAnsi="宋体" w:hint="eastAsia"/>
          <w:sz w:val="24"/>
        </w:rPr>
        <w:t>47. 合同备案</w:t>
      </w:r>
    </w:p>
    <w:p>
      <w:pPr>
        <w:ind w:firstLine="412"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sz w:val="24"/>
        </w:rPr>
      </w:pPr>
      <w:r>
        <w:rPr>
          <w:rFonts w:ascii="黑体" w:eastAsia="黑体" w:hAnsi="宋体" w:hint="eastAsia"/>
          <w:sz w:val="24"/>
        </w:rPr>
        <w:t>48. 合同变更</w:t>
      </w:r>
    </w:p>
    <w:p>
      <w:pPr>
        <w:ind w:firstLine="412" w:firstLineChars="196"/>
        <w:rPr>
          <w:rFonts w:ascii="宋体" w:hAnsi="宋体"/>
          <w:szCs w:val="21"/>
        </w:rPr>
      </w:pPr>
      <w:r>
        <w:rPr>
          <w:rFonts w:ascii="宋体" w:hAnsi="宋体" w:hint="eastAsia"/>
          <w:szCs w:val="21"/>
        </w:rPr>
        <w:t>合同变更事宜按《深圳市财政局关于优化政府采购合同备案的通知》（深财发保〔2022〕2号）相关规定执行。</w:t>
      </w:r>
    </w:p>
    <w:p>
      <w:pPr>
        <w:rPr>
          <w:rFonts w:ascii="黑体" w:eastAsia="黑体" w:hAnsi="宋体"/>
          <w:sz w:val="24"/>
        </w:rPr>
      </w:pPr>
      <w:r>
        <w:rPr>
          <w:rFonts w:ascii="黑体" w:eastAsia="黑体" w:hAnsi="宋体" w:hint="eastAsia"/>
          <w:sz w:val="24"/>
        </w:rPr>
        <w:t>49. 项目验收</w:t>
      </w:r>
    </w:p>
    <w:p>
      <w:pPr>
        <w:widowControl/>
        <w:ind w:right="176" w:firstLine="420"/>
        <w:jc w:val="left"/>
        <w:rPr>
          <w:rFonts w:ascii="宋体" w:hAnsi="宋体"/>
        </w:rPr>
      </w:pPr>
      <w:r>
        <w:rPr>
          <w:rFonts w:ascii="宋体" w:hAnsi="宋体" w:hint="eastAsia"/>
        </w:rPr>
        <w:t>49.1采购人应当按照招标文件和合同规定的标准和方法，及时组织验收。</w:t>
      </w:r>
    </w:p>
    <w:p>
      <w:pPr>
        <w:rPr>
          <w:rFonts w:ascii="黑体" w:eastAsia="黑体" w:hAnsi="宋体"/>
          <w:sz w:val="24"/>
        </w:rPr>
      </w:pPr>
      <w:r>
        <w:rPr>
          <w:rFonts w:ascii="黑体" w:eastAsia="黑体" w:hAnsi="宋体" w:hint="eastAsia"/>
          <w:sz w:val="24"/>
        </w:rPr>
        <w:t>50. 宣传</w:t>
      </w:r>
    </w:p>
    <w:p>
      <w:pPr>
        <w:ind w:left="210" w:firstLine="412"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10" w:firstLine="412" w:leftChars="100" w:firstLineChars="196"/>
        <w:rPr>
          <w:rFonts w:ascii="宋体" w:hAnsi="宋体"/>
        </w:rPr>
      </w:pPr>
      <w:r>
        <w:rPr>
          <w:rFonts w:ascii="宋体" w:hAnsi="宋体"/>
        </w:rPr>
        <w:t>a.名片、宣传册、广告标语等；</w:t>
      </w:r>
    </w:p>
    <w:p>
      <w:pPr>
        <w:ind w:left="210" w:firstLine="412" w:leftChars="100" w:firstLineChars="196"/>
        <w:rPr>
          <w:rFonts w:ascii="宋体" w:hAnsi="宋体"/>
        </w:rPr>
      </w:pPr>
      <w:r>
        <w:rPr>
          <w:rFonts w:ascii="宋体" w:hAnsi="宋体"/>
        </w:rPr>
        <w:t>b.案例介绍、推广等；</w:t>
      </w:r>
    </w:p>
    <w:p>
      <w:pPr>
        <w:ind w:left="210" w:firstLine="412"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sz w:val="24"/>
        </w:rPr>
      </w:pPr>
      <w:r>
        <w:rPr>
          <w:rFonts w:ascii="黑体" w:eastAsia="黑体" w:hAnsi="宋体" w:hint="eastAsia"/>
          <w:sz w:val="24"/>
        </w:rPr>
        <w:t>51. 供应商违法责任</w:t>
      </w:r>
    </w:p>
    <w:p>
      <w:pPr>
        <w:ind w:firstLine="412"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2" w:firstLineChars="196"/>
        <w:rPr>
          <w:rFonts w:ascii="宋体" w:hAnsi="宋体"/>
          <w:szCs w:val="21"/>
        </w:rPr>
      </w:pPr>
      <w:r>
        <w:rPr>
          <w:rFonts w:ascii="宋体" w:hAnsi="宋体" w:hint="eastAsia"/>
          <w:szCs w:val="21"/>
        </w:rPr>
        <w:t>（1）在采购活动中应当回避而未回避的；</w:t>
      </w:r>
    </w:p>
    <w:p>
      <w:pPr>
        <w:ind w:firstLine="412" w:firstLineChars="196"/>
        <w:rPr>
          <w:rFonts w:ascii="宋体" w:hAnsi="宋体"/>
          <w:szCs w:val="21"/>
        </w:rPr>
      </w:pPr>
      <w:r>
        <w:rPr>
          <w:rFonts w:ascii="宋体" w:hAnsi="宋体" w:hint="eastAsia"/>
          <w:szCs w:val="21"/>
        </w:rPr>
        <w:t>（2）未按本条例规定签订、履行采购合同，造成严重后果的；</w:t>
      </w:r>
    </w:p>
    <w:p>
      <w:pPr>
        <w:ind w:firstLine="412" w:firstLineChars="196"/>
        <w:rPr>
          <w:rFonts w:ascii="宋体" w:hAnsi="宋体"/>
          <w:szCs w:val="21"/>
        </w:rPr>
      </w:pPr>
      <w:r>
        <w:rPr>
          <w:rFonts w:ascii="宋体" w:hAnsi="宋体" w:hint="eastAsia"/>
          <w:szCs w:val="21"/>
        </w:rPr>
        <w:t>（3）隐瞒真实情况，提供虚假资料的；</w:t>
      </w:r>
    </w:p>
    <w:p>
      <w:pPr>
        <w:ind w:firstLine="412" w:firstLineChars="196"/>
        <w:rPr>
          <w:rFonts w:ascii="宋体" w:hAnsi="宋体"/>
          <w:szCs w:val="21"/>
        </w:rPr>
      </w:pPr>
      <w:r>
        <w:rPr>
          <w:rFonts w:ascii="宋体" w:hAnsi="宋体" w:hint="eastAsia"/>
          <w:szCs w:val="21"/>
        </w:rPr>
        <w:t>（4）以非法手段排斥其他供应商参与竞争的；</w:t>
      </w:r>
    </w:p>
    <w:p>
      <w:pPr>
        <w:ind w:firstLine="412" w:firstLineChars="196"/>
        <w:rPr>
          <w:rFonts w:ascii="宋体" w:hAnsi="宋体"/>
          <w:szCs w:val="21"/>
        </w:rPr>
      </w:pPr>
      <w:r>
        <w:rPr>
          <w:rFonts w:ascii="宋体" w:hAnsi="宋体" w:hint="eastAsia"/>
          <w:szCs w:val="21"/>
        </w:rPr>
        <w:t>（5）与其他采购参加人串通投标的；</w:t>
      </w:r>
    </w:p>
    <w:p>
      <w:pPr>
        <w:ind w:firstLine="412" w:firstLineChars="196"/>
        <w:rPr>
          <w:rFonts w:ascii="宋体" w:hAnsi="宋体"/>
          <w:szCs w:val="21"/>
        </w:rPr>
      </w:pPr>
      <w:r>
        <w:rPr>
          <w:rFonts w:ascii="宋体" w:hAnsi="宋体" w:hint="eastAsia"/>
          <w:szCs w:val="21"/>
        </w:rPr>
        <w:t>（6）恶意投诉的；</w:t>
      </w:r>
    </w:p>
    <w:p>
      <w:pPr>
        <w:ind w:firstLine="412" w:firstLineChars="196"/>
        <w:rPr>
          <w:rFonts w:ascii="宋体" w:hAnsi="宋体"/>
          <w:szCs w:val="21"/>
        </w:rPr>
      </w:pPr>
      <w:r>
        <w:rPr>
          <w:rFonts w:ascii="宋体" w:hAnsi="宋体" w:hint="eastAsia"/>
          <w:szCs w:val="21"/>
        </w:rPr>
        <w:t>（7）向采购项目相关人行贿或者提供其他不当利益的；</w:t>
      </w:r>
    </w:p>
    <w:p>
      <w:pPr>
        <w:ind w:firstLine="412" w:firstLineChars="196"/>
        <w:rPr>
          <w:rFonts w:ascii="宋体" w:hAnsi="宋体"/>
          <w:szCs w:val="21"/>
        </w:rPr>
      </w:pPr>
      <w:r>
        <w:rPr>
          <w:rFonts w:ascii="宋体" w:hAnsi="宋体" w:hint="eastAsia"/>
          <w:szCs w:val="21"/>
        </w:rPr>
        <w:t>（8）阻碍、抗拒主管部门监督检查的；</w:t>
      </w:r>
    </w:p>
    <w:p>
      <w:pPr>
        <w:ind w:firstLine="412" w:firstLineChars="196"/>
        <w:rPr>
          <w:rFonts w:ascii="宋体" w:hAnsi="宋体"/>
          <w:szCs w:val="21"/>
        </w:rPr>
      </w:pPr>
      <w:r>
        <w:rPr>
          <w:rFonts w:ascii="宋体" w:hAnsi="宋体" w:hint="eastAsia"/>
          <w:szCs w:val="21"/>
        </w:rPr>
        <w:t>（9）其他违反本条例规定的行为。</w:t>
      </w:r>
    </w:p>
    <w:p>
      <w:pPr>
        <w:ind w:firstLine="412"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60" w:name="_Hlk72440769"/>
      <w:r>
        <w:rPr>
          <w:rFonts w:ascii="宋体" w:hAnsi="宋体" w:hint="eastAsia"/>
          <w:szCs w:val="21"/>
        </w:rPr>
        <w:t>采购人或政府集中采购机构</w:t>
      </w:r>
      <w:bookmarkEnd w:id="160"/>
      <w:r>
        <w:rPr>
          <w:rFonts w:ascii="宋体" w:hAnsi="宋体" w:hint="eastAsia"/>
          <w:szCs w:val="21"/>
        </w:rPr>
        <w:t>可将有关情况报同级财政部门，由财政部门根据实际情况记入供应商诚信档案，予以通报：</w:t>
      </w:r>
    </w:p>
    <w:p>
      <w:pPr>
        <w:ind w:firstLine="412"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12"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12"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12"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8"/>
        </w:numPr>
        <w:tabs>
          <w:tab w:val="left" w:pos="720"/>
        </w:tabs>
        <w:spacing w:before="120" w:beforeLines="50" w:after="120" w:afterLines="50"/>
        <w:ind w:left="562" w:hanging="562"/>
        <w:rPr>
          <w:sz w:val="28"/>
          <w:szCs w:val="28"/>
        </w:rPr>
      </w:pPr>
      <w:bookmarkEnd w:id="144"/>
      <w:r>
        <w:rPr>
          <w:rFonts w:hint="eastAsia"/>
          <w:sz w:val="28"/>
          <w:szCs w:val="28"/>
        </w:rPr>
        <w:t>质疑处理</w:t>
      </w:r>
    </w:p>
    <w:p>
      <w:pPr>
        <w:rPr>
          <w:rFonts w:ascii="黑体" w:eastAsia="黑体" w:hAnsi="宋体"/>
          <w:sz w:val="24"/>
        </w:rPr>
      </w:pPr>
      <w:bookmarkStart w:id="161" w:name="_Hlk72439706"/>
      <w:r>
        <w:rPr>
          <w:rFonts w:ascii="黑体" w:eastAsia="黑体" w:hAnsi="宋体" w:hint="eastAsia"/>
          <w:sz w:val="24"/>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w:t>
      </w:r>
      <w:bookmarkStart w:id="162" w:name="_Hlk75374941"/>
      <w:r>
        <w:rPr>
          <w:rFonts w:ascii="宋体" w:hAnsi="宋体" w:hint="eastAsia"/>
          <w:szCs w:val="21"/>
        </w:rPr>
        <w:t>以联合体形式参与的，质疑应当由组成联合体的所有成员共同提出</w:t>
      </w:r>
      <w:bookmarkEnd w:id="162"/>
      <w:r>
        <w:rPr>
          <w:rFonts w:ascii="宋体" w:hAnsi="宋体" w:hint="eastAsia"/>
          <w:szCs w:val="21"/>
        </w:rPr>
        <w:t>；</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20" w:firstLineChars="200"/>
        <w:rPr>
          <w:rFonts w:ascii="宋体" w:hAnsi="宋体"/>
          <w:szCs w:val="21"/>
        </w:rPr>
      </w:pPr>
      <w:r>
        <w:rPr>
          <w:rFonts w:ascii="宋体" w:hAnsi="宋体" w:hint="eastAsia"/>
          <w:szCs w:val="21"/>
        </w:rPr>
        <w:t>（2）质疑项目的名称、编号；</w:t>
      </w:r>
    </w:p>
    <w:p>
      <w:pPr>
        <w:ind w:firstLine="420" w:firstLineChars="200"/>
        <w:rPr>
          <w:rFonts w:ascii="宋体" w:hAnsi="宋体"/>
          <w:szCs w:val="21"/>
        </w:rPr>
      </w:pPr>
      <w:r>
        <w:rPr>
          <w:rFonts w:ascii="宋体" w:hAnsi="宋体" w:hint="eastAsia"/>
          <w:szCs w:val="21"/>
        </w:rPr>
        <w:t>（3）具体、明确的质疑对象、质疑事项和质疑请求；</w:t>
      </w:r>
    </w:p>
    <w:p>
      <w:pPr>
        <w:ind w:firstLine="420" w:firstLineChars="200"/>
        <w:rPr>
          <w:rFonts w:ascii="宋体" w:hAnsi="宋体"/>
          <w:szCs w:val="21"/>
        </w:rPr>
      </w:pPr>
      <w:r>
        <w:rPr>
          <w:rFonts w:ascii="宋体" w:hAnsi="宋体" w:hint="eastAsia"/>
          <w:szCs w:val="21"/>
        </w:rPr>
        <w:t>（4）因质疑事项而受损害的权益；</w:t>
      </w:r>
    </w:p>
    <w:p>
      <w:pPr>
        <w:ind w:firstLine="420" w:firstLineChars="200"/>
        <w:rPr>
          <w:rFonts w:ascii="宋体" w:hAnsi="宋体"/>
          <w:szCs w:val="21"/>
        </w:rPr>
      </w:pPr>
      <w:r>
        <w:rPr>
          <w:rFonts w:ascii="宋体" w:hAnsi="宋体" w:hint="eastAsia"/>
          <w:szCs w:val="21"/>
        </w:rPr>
        <w:t>（5）事实依据；</w:t>
      </w:r>
    </w:p>
    <w:p>
      <w:pPr>
        <w:ind w:firstLine="420" w:firstLineChars="200"/>
        <w:rPr>
          <w:rFonts w:ascii="宋体" w:hAnsi="宋体"/>
          <w:szCs w:val="21"/>
        </w:rPr>
      </w:pPr>
      <w:r>
        <w:rPr>
          <w:rFonts w:ascii="宋体" w:hAnsi="宋体" w:hint="eastAsia"/>
          <w:szCs w:val="21"/>
        </w:rPr>
        <w:t>（6）必要的法律依据；</w:t>
      </w:r>
    </w:p>
    <w:p>
      <w:pPr>
        <w:ind w:firstLine="420" w:firstLineChars="200"/>
        <w:rPr>
          <w:rFonts w:ascii="宋体" w:hAnsi="宋体"/>
          <w:szCs w:val="21"/>
        </w:rPr>
      </w:pPr>
      <w:r>
        <w:rPr>
          <w:rFonts w:ascii="宋体" w:hAnsi="宋体" w:hint="eastAsia"/>
          <w:szCs w:val="21"/>
        </w:rPr>
        <w:t>（7）提出质疑的日期。</w:t>
      </w:r>
    </w:p>
    <w:p>
      <w:pPr>
        <w:ind w:firstLine="42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ascii="宋体" w:hAnsi="宋体" w:hint="eastAsia"/>
          <w:szCs w:val="21"/>
        </w:rPr>
        <w:t>52.4提交</w:t>
      </w:r>
      <w:r>
        <w:rPr>
          <w:rFonts w:ascii="宋体" w:hAnsi="宋体"/>
          <w:szCs w:val="21"/>
        </w:rPr>
        <w:t>材料</w:t>
      </w:r>
    </w:p>
    <w:p>
      <w:pPr>
        <w:ind w:firstLine="42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ascii="宋体" w:hAnsi="宋体" w:hint="eastAsia"/>
          <w:szCs w:val="21"/>
        </w:rPr>
        <w:t>52.5提交方式</w:t>
      </w:r>
    </w:p>
    <w:p>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供应商登录“深圳政府采购智慧平台用户网上办事子系统（http://zfcg.szggzy.com:8081/TPBidder/memberLogin）”，在“【我的项目】→【项目流程】→【质疑】”中提出质疑。</w:t>
      </w:r>
    </w:p>
    <w:p>
      <w:pPr>
        <w:ind w:firstLine="42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请质疑供应商根据深圳政府采购智慧平台（http://zfcg.szggzy.com:8081/）所发布的质疑指引、质疑函模板填写质疑函并提交质疑材料。</w:t>
      </w:r>
      <w:r>
        <w:rPr>
          <w:rFonts w:ascii="宋体" w:hAnsi="宋体" w:hint="eastAsia"/>
          <w:b/>
          <w:bCs/>
          <w:szCs w:val="21"/>
        </w:rPr>
        <w:t>地址：深圳市南山区沙河西路3185号南山智谷A座（深圳交易集团总部大楼）27楼，质疑咨询电话：0755-86500050。</w:t>
      </w:r>
    </w:p>
    <w:p>
      <w:pPr>
        <w:ind w:firstLine="42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2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2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ascii="宋体" w:hAnsi="宋体" w:hint="eastAsia"/>
          <w:szCs w:val="21"/>
        </w:rPr>
        <w:t>供应商提交的质疑存在下列情形之一的，不予受理：</w:t>
      </w:r>
    </w:p>
    <w:p>
      <w:pPr>
        <w:ind w:firstLine="420" w:firstLineChars="200"/>
        <w:rPr>
          <w:rFonts w:ascii="宋体" w:hAnsi="宋体"/>
          <w:szCs w:val="21"/>
        </w:rPr>
      </w:pPr>
      <w:r>
        <w:rPr>
          <w:rFonts w:ascii="宋体" w:hAnsi="宋体" w:hint="eastAsia"/>
          <w:szCs w:val="21"/>
        </w:rPr>
        <w:t>（1）质疑主体不满足要求的；</w:t>
      </w:r>
    </w:p>
    <w:p>
      <w:pPr>
        <w:ind w:firstLine="420" w:firstLineChars="200"/>
        <w:rPr>
          <w:rFonts w:ascii="宋体" w:hAnsi="宋体"/>
          <w:szCs w:val="21"/>
        </w:rPr>
      </w:pPr>
      <w:r>
        <w:rPr>
          <w:rFonts w:ascii="宋体" w:hAnsi="宋体" w:hint="eastAsia"/>
          <w:szCs w:val="21"/>
        </w:rPr>
        <w:t>（2）供应商自身权益未受到损害的；</w:t>
      </w:r>
    </w:p>
    <w:p>
      <w:pPr>
        <w:ind w:firstLine="420" w:firstLineChars="200"/>
        <w:rPr>
          <w:rFonts w:ascii="宋体" w:hAnsi="宋体"/>
          <w:szCs w:val="21"/>
        </w:rPr>
      </w:pPr>
      <w:r>
        <w:rPr>
          <w:rFonts w:ascii="宋体" w:hAnsi="宋体" w:hint="eastAsia"/>
          <w:szCs w:val="21"/>
        </w:rPr>
        <w:t>（3）供应商未在法定质疑期限内提出质疑的；</w:t>
      </w:r>
    </w:p>
    <w:p>
      <w:pPr>
        <w:ind w:firstLine="42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ascii="宋体" w:hAnsi="宋体" w:hint="eastAsia"/>
          <w:szCs w:val="21"/>
        </w:rPr>
        <w:t>（5）其他不符合受理条件情形的。</w:t>
      </w:r>
    </w:p>
    <w:p>
      <w:pPr>
        <w:ind w:firstLine="42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sz w:val="24"/>
        </w:rPr>
      </w:pPr>
      <w:r>
        <w:rPr>
          <w:rFonts w:ascii="黑体" w:eastAsia="黑体" w:hAnsi="宋体" w:hint="eastAsia"/>
          <w:sz w:val="24"/>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161"/>
    </w:p>
    <w:sectPr>
      <w:pgSz w:w="11907" w:h="16840"/>
      <w:pgMar w:top="1440" w:right="1797" w:bottom="1440" w:left="1797"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1" w:usb1="08080000" w:usb2="00000010" w:usb3="00000000" w:csb0="001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61</w:t>
    </w:r>
    <w:r>
      <w:fldChar w:fldCharType="end"/>
    </w:r>
    <w:r>
      <w:t xml:space="preserve"> -</w:t>
    </w:r>
  </w:p>
  <w:p>
    <w:pPr>
      <w:pStyle w:val="Footer"/>
      <w:tabs>
        <w:tab w:val="center" w:pos="4153"/>
        <w:tab w:val="right" w:pos="8306"/>
      </w:tabs>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7994"/>
        </w:tabs>
        <w:ind w:left="7994" w:hanging="360"/>
      </w:pPr>
    </w:lvl>
  </w:abstractNum>
  <w:abstractNum w:abstractNumId="1">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D034486"/>
    <w:multiLevelType w:val="singleLevel"/>
    <w:tmpl w:val="4D034486"/>
    <w:lvl w:ilvl="0">
      <w:start w:val="3"/>
      <w:numFmt w:val="chineseCounting"/>
      <w:suff w:val="space"/>
      <w:lvlText w:val="第%1条"/>
      <w:lvlJc w:val="left"/>
      <w:rPr>
        <w:rFonts w:hint="eastAsia"/>
      </w:rPr>
    </w:lvl>
  </w:abstractNum>
  <w:abstractNum w:abstractNumId="7">
    <w:nsid w:val="7AEF7716"/>
    <w:multiLevelType w:val="multilevel"/>
    <w:tmpl w:val="7AEF7716"/>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420"/>
  <w:noPunctuationKerning/>
  <w:characterSpacingControl w:val="doNotCompress"/>
  <w:noLineBreaksAfter w:lang="en-US" w:val="([{·‘“〈《「『【〔〖（．［｛￡￥"/>
  <w:noLineBreaksBefore w:lang="en-US" w:val="!),.:;?]}¨·ˇˉ―‖’”…∶、。〃々〉》」』】〕〗！＂＇），．：；？］｀｜｝～￠"/>
  <w:compat>
    <w:ulTrailSpace/>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2U1YzBjMDY1MjRiNTIxZjdhM2U0OGY3Zjc2NGRkMW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0"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iPriority="0" w:unhideWhenUsed="0" w:qFormat="1"/>
    <w:lsdException w:name="header" w:semiHidden="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lsdException w:name="Body Text" w:semiHidden="0" w:uiPriority="0" w:unhideWhenUsed="0" w:qFormat="1"/>
    <w:lsdException w:name="Body Text Indent" w:semiHidden="0" w:uiPriority="0" w:unhideWhenUsed="0" w:qFormat="1"/>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semiHidden="0" w:uiPriority="0" w:unhideWhenUsed="0" w:qFormat="1"/>
    <w:lsdException w:name="Body Text First Indent" w:semiHidden="0" w:uiPriority="0" w:unhideWhenUsed="0" w:qFormat="1"/>
    <w:lsdException w:name="Body Text First Indent 2" w:uiPriority="0"/>
    <w:lsdException w:name="note heading"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semiHidden="0" w:uiPriority="0" w:unhideWhenUsed="0" w:qFormat="1"/>
    <w:lsdException w:name="HTML Sample" w:uiPriority="0"/>
    <w:lsdException w:name="HTML Typewriter" w:uiPriority="0"/>
    <w:lsdException w:name="HTML Variable" w:uiPriority="0"/>
    <w:lsdException w:name="Normal Table" w:semiHidden="0"/>
    <w:lsdException w:name="annotation subject"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qFormat="1"/>
    <w:lsdException w:name="Table Grid" w:semiHidden="0" w:uiPriority="0" w:unhideWhenUsed="0" w:qFormat="1"/>
    <w:lsdException w:name="Table Theme"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next w:val="BodyText"/>
    <w:qFormat/>
    <w:pPr>
      <w:widowControl w:val="0"/>
      <w:jc w:val="both"/>
    </w:pPr>
    <w:rPr>
      <w:kern w:val="2"/>
      <w:sz w:val="21"/>
      <w:szCs w:val="24"/>
      <w:lang w:val="en-US" w:eastAsia="zh-CN" w:bidi="ar-SA"/>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0"/>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BodyText">
    <w:name w:val="Body Text"/>
    <w:basedOn w:val="Normal"/>
    <w:next w:val="BodyText2"/>
    <w:link w:val="a"/>
    <w:qFormat/>
    <w:pPr>
      <w:spacing w:line="360" w:lineRule="auto"/>
    </w:pPr>
    <w:rPr>
      <w:b/>
      <w:bCs/>
      <w:sz w:val="24"/>
    </w:rPr>
  </w:style>
  <w:style w:type="character" w:customStyle="1" w:styleId="a">
    <w:name w:val="正文文本 字符"/>
    <w:link w:val="BodyText"/>
    <w:qFormat/>
    <w:rPr>
      <w:rFonts w:eastAsia="宋体"/>
      <w:b/>
      <w:bCs/>
      <w:kern w:val="2"/>
      <w:sz w:val="24"/>
      <w:szCs w:val="24"/>
      <w:lang w:val="en-US" w:eastAsia="zh-CN" w:bidi="ar-SA"/>
    </w:rPr>
  </w:style>
  <w:style w:type="paragraph" w:styleId="BodyText2">
    <w:name w:val="Body Text 2"/>
    <w:basedOn w:val="Normal"/>
    <w:link w:val="2"/>
    <w:qFormat/>
    <w:pPr>
      <w:spacing w:line="360" w:lineRule="auto"/>
    </w:pPr>
    <w:rPr>
      <w:sz w:val="24"/>
    </w:rPr>
  </w:style>
  <w:style w:type="character" w:customStyle="1" w:styleId="2">
    <w:name w:val="正文文本 2 字符"/>
    <w:link w:val="BodyText2"/>
    <w:qFormat/>
    <w:rPr>
      <w:rFonts w:eastAsia="宋体"/>
      <w:kern w:val="2"/>
      <w:sz w:val="24"/>
      <w:szCs w:val="24"/>
      <w:lang w:val="en-US" w:eastAsia="zh-CN" w:bidi="ar-SA"/>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20">
    <w:name w:val="标题 2 字符"/>
    <w:link w:val="Heading2"/>
    <w:qFormat/>
    <w:rPr>
      <w:rFonts w:ascii="宋体" w:eastAsia="宋体" w:hAnsi="宋体"/>
      <w:b/>
      <w:bCs/>
      <w:sz w:val="24"/>
      <w:lang w:val="en-US" w:eastAsia="zh-CN" w:bidi="ar-SA"/>
    </w:rPr>
  </w:style>
  <w:style w:type="character" w:customStyle="1" w:styleId="5">
    <w:name w:val="标题 5 字符"/>
    <w:link w:val="Heading5"/>
    <w:qFormat/>
    <w:rPr>
      <w:rFonts w:eastAsia="宋体"/>
      <w:b/>
      <w:kern w:val="2"/>
      <w:sz w:val="28"/>
      <w:lang w:val="en-US" w:eastAsia="zh-CN" w:bidi="ar-SA"/>
    </w:rPr>
  </w:style>
  <w:style w:type="paragraph" w:styleId="NormalIndent">
    <w:name w:val="Normal Indent"/>
    <w:basedOn w:val="Normal"/>
    <w:link w:val="a0"/>
    <w:qFormat/>
    <w:pPr>
      <w:ind w:firstLine="420"/>
    </w:pPr>
    <w:rPr>
      <w:szCs w:val="20"/>
    </w:rPr>
  </w:style>
  <w:style w:type="character" w:customStyle="1" w:styleId="a0">
    <w:name w:val="正文缩进 字符"/>
    <w:link w:val="NormalIndent"/>
    <w:qFormat/>
    <w:rPr>
      <w:rFonts w:eastAsia="宋体"/>
      <w:kern w:val="2"/>
      <w:sz w:val="21"/>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tabs>
        <w:tab w:val="left" w:pos="360"/>
      </w:tabs>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1"/>
    <w:qFormat/>
    <w:pPr>
      <w:autoSpaceDE w:val="0"/>
      <w:autoSpaceDN w:val="0"/>
      <w:adjustRightInd w:val="0"/>
      <w:jc w:val="left"/>
      <w:textAlignment w:val="baseline"/>
    </w:pPr>
    <w:rPr>
      <w:rFonts w:ascii="宋体"/>
      <w:kern w:val="0"/>
      <w:sz w:val="34"/>
      <w:szCs w:val="20"/>
    </w:rPr>
  </w:style>
  <w:style w:type="character" w:customStyle="1" w:styleId="a1">
    <w:name w:val="批注文字 字符"/>
    <w:link w:val="CommentText"/>
    <w:qFormat/>
    <w:rPr>
      <w:rFonts w:ascii="宋体"/>
      <w:sz w:val="34"/>
    </w:rPr>
  </w:style>
  <w:style w:type="paragraph" w:styleId="BodyText3">
    <w:name w:val="Body Text 3"/>
    <w:basedOn w:val="Normal"/>
    <w:link w:val="30"/>
    <w:qFormat/>
    <w:pPr>
      <w:spacing w:after="120"/>
    </w:pPr>
    <w:rPr>
      <w:sz w:val="16"/>
      <w:szCs w:val="16"/>
    </w:rPr>
  </w:style>
  <w:style w:type="character" w:customStyle="1" w:styleId="30">
    <w:name w:val="正文文本 3 字符"/>
    <w:link w:val="BodyText3"/>
    <w:qFormat/>
    <w:rPr>
      <w:rFonts w:eastAsia="宋体"/>
      <w:kern w:val="2"/>
      <w:sz w:val="16"/>
      <w:szCs w:val="16"/>
      <w:lang w:val="en-US" w:eastAsia="zh-CN" w:bidi="ar-SA"/>
    </w:rPr>
  </w:style>
  <w:style w:type="paragraph" w:styleId="BodyTextIndent">
    <w:name w:val="Body Text Indent"/>
    <w:basedOn w:val="Normal"/>
    <w:link w:val="a2"/>
    <w:qFormat/>
    <w:pPr>
      <w:spacing w:line="360" w:lineRule="auto"/>
      <w:ind w:firstLine="420" w:firstLineChars="200"/>
    </w:pPr>
  </w:style>
  <w:style w:type="character" w:customStyle="1" w:styleId="a2">
    <w:name w:val="正文文本缩进 字符"/>
    <w:link w:val="BodyTextIndent"/>
    <w:qFormat/>
    <w:rPr>
      <w:rFonts w:eastAsia="宋体"/>
      <w:kern w:val="2"/>
      <w:sz w:val="21"/>
      <w:szCs w:val="24"/>
      <w:lang w:val="en-US" w:eastAsia="zh-CN" w:bidi="ar-SA"/>
    </w:r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3"/>
    <w:qFormat/>
    <w:rPr>
      <w:rFonts w:ascii="宋体" w:hAnsi="Courier New"/>
      <w:szCs w:val="20"/>
    </w:rPr>
  </w:style>
  <w:style w:type="character" w:customStyle="1" w:styleId="a3">
    <w:name w:val="纯文本 字符"/>
    <w:link w:val="PlainText"/>
    <w:qFormat/>
    <w:rPr>
      <w:rFonts w:ascii="宋体" w:eastAsia="宋体" w:hAnsi="Courier New"/>
      <w:kern w:val="2"/>
      <w:sz w:val="21"/>
      <w:lang w:val="en-US" w:eastAsia="zh-CN" w:bidi="ar-SA"/>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4"/>
    <w:qFormat/>
    <w:rPr>
      <w:rFonts w:ascii="宋体" w:hAnsi="Courier New"/>
      <w:sz w:val="32"/>
      <w:szCs w:val="20"/>
    </w:rPr>
  </w:style>
  <w:style w:type="character" w:customStyle="1" w:styleId="a4">
    <w:name w:val="日期 字符"/>
    <w:link w:val="Date"/>
    <w:qFormat/>
    <w:rPr>
      <w:rFonts w:ascii="宋体" w:eastAsia="宋体" w:hAnsi="Courier New"/>
      <w:kern w:val="2"/>
      <w:sz w:val="32"/>
      <w:lang w:val="en-US" w:eastAsia="zh-CN" w:bidi="ar-SA"/>
    </w:rPr>
  </w:style>
  <w:style w:type="paragraph" w:styleId="BodyTextIndent2">
    <w:name w:val="Body Text Indent 2"/>
    <w:basedOn w:val="Normal"/>
    <w:link w:val="21"/>
    <w:qFormat/>
    <w:pPr>
      <w:spacing w:beforeLines="50" w:afterLines="50" w:line="120" w:lineRule="auto"/>
      <w:ind w:firstLine="840" w:firstLineChars="400"/>
      <w:jc w:val="left"/>
    </w:pPr>
    <w:rPr>
      <w:rFonts w:ascii="宋体" w:hAnsi="宋体"/>
    </w:rPr>
  </w:style>
  <w:style w:type="character" w:customStyle="1" w:styleId="21">
    <w:name w:val="正文文本缩进 2 字符"/>
    <w:link w:val="BodyTextIndent2"/>
    <w:qFormat/>
    <w:rPr>
      <w:rFonts w:ascii="宋体" w:eastAsia="宋体" w:hAnsi="宋体"/>
      <w:kern w:val="2"/>
      <w:sz w:val="21"/>
      <w:szCs w:val="24"/>
      <w:lang w:val="en-US" w:eastAsia="zh-CN" w:bidi="ar-SA"/>
    </w:rPr>
  </w:style>
  <w:style w:type="paragraph" w:styleId="BalloonText">
    <w:name w:val="Balloon Text"/>
    <w:basedOn w:val="Normal"/>
    <w:link w:val="a5"/>
    <w:uiPriority w:val="99"/>
    <w:semiHidden/>
    <w:qFormat/>
    <w:rPr>
      <w:sz w:val="18"/>
      <w:szCs w:val="18"/>
    </w:rPr>
  </w:style>
  <w:style w:type="character" w:customStyle="1" w:styleId="a5">
    <w:name w:val="批注框文本 字符"/>
    <w:link w:val="BalloonText"/>
    <w:uiPriority w:val="99"/>
    <w:semiHidden/>
    <w:qFormat/>
    <w:rPr>
      <w:rFonts w:eastAsia="宋体"/>
      <w:kern w:val="2"/>
      <w:sz w:val="18"/>
      <w:szCs w:val="18"/>
      <w:lang w:val="en-US" w:eastAsia="zh-CN" w:bidi="ar-SA"/>
    </w:rPr>
  </w:style>
  <w:style w:type="paragraph" w:styleId="Footer">
    <w:name w:val="footer"/>
    <w:basedOn w:val="Normal"/>
    <w:link w:val="a6"/>
    <w:qFormat/>
    <w:pPr>
      <w:tabs>
        <w:tab w:val="center" w:pos="4153"/>
        <w:tab w:val="right" w:pos="8306"/>
      </w:tabs>
      <w:snapToGrid w:val="0"/>
      <w:jc w:val="left"/>
    </w:pPr>
    <w:rPr>
      <w:sz w:val="18"/>
      <w:szCs w:val="18"/>
    </w:rPr>
  </w:style>
  <w:style w:type="character" w:customStyle="1" w:styleId="a6">
    <w:name w:val="页脚 字符"/>
    <w:link w:val="Footer"/>
    <w:qFormat/>
    <w:rPr>
      <w:rFonts w:eastAsia="宋体"/>
      <w:kern w:val="2"/>
      <w:sz w:val="18"/>
      <w:szCs w:val="18"/>
      <w:lang w:val="en-US" w:eastAsia="zh-CN" w:bidi="ar-SA"/>
    </w:rPr>
  </w:style>
  <w:style w:type="paragraph" w:styleId="Header">
    <w:name w:val="header"/>
    <w:basedOn w:val="Normal"/>
    <w:link w:val="a7"/>
    <w:uiPriority w:val="99"/>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Header"/>
    <w:uiPriority w:val="99"/>
    <w:qFormat/>
    <w:rPr>
      <w:rFonts w:eastAsia="宋体"/>
      <w:kern w:val="2"/>
      <w:sz w:val="18"/>
      <w:szCs w:val="18"/>
      <w:lang w:val="en-US" w:eastAsia="zh-CN" w:bidi="ar-SA"/>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a8"/>
    <w:qFormat/>
    <w:pPr>
      <w:wordWrap w:val="0"/>
      <w:spacing w:after="60"/>
      <w:jc w:val="center"/>
    </w:pPr>
    <w:rPr>
      <w:rFonts w:ascii="Calibri" w:hAnsi="Calibri"/>
      <w:sz w:val="24"/>
      <w:lang w:val="en-US" w:eastAsia="zh-CN" w:bidi="ar-SA"/>
    </w:rPr>
  </w:style>
  <w:style w:type="character" w:customStyle="1" w:styleId="a8">
    <w:name w:val="副标题 字符"/>
    <w:link w:val="Subtitle"/>
    <w:qFormat/>
    <w:rPr>
      <w:rFonts w:ascii="Calibri" w:hAnsi="Calibri"/>
      <w:sz w:val="24"/>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1"/>
    <w:qFormat/>
    <w:pPr>
      <w:spacing w:line="360" w:lineRule="auto"/>
      <w:ind w:firstLine="482" w:firstLineChars="200"/>
    </w:pPr>
    <w:rPr>
      <w:rFonts w:ascii="宋体"/>
      <w:b/>
      <w:bCs/>
      <w:sz w:val="24"/>
    </w:rPr>
  </w:style>
  <w:style w:type="character" w:customStyle="1" w:styleId="31">
    <w:name w:val="正文文本缩进 3 字符"/>
    <w:link w:val="BodyTextIndent3"/>
    <w:qFormat/>
    <w:rPr>
      <w:rFonts w:ascii="宋体" w:eastAsia="宋体"/>
      <w:b/>
      <w:bCs/>
      <w:kern w:val="2"/>
      <w:sz w:val="24"/>
      <w:szCs w:val="24"/>
      <w:lang w:val="en-US" w:eastAsia="zh-CN" w:bidi="ar-SA"/>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9"/>
    <w:qFormat/>
    <w:pPr>
      <w:spacing w:before="240" w:after="60"/>
      <w:jc w:val="center"/>
      <w:outlineLvl w:val="0"/>
    </w:pPr>
    <w:rPr>
      <w:rFonts w:ascii="Arial" w:eastAsia="隶书" w:hAnsi="Arial" w:cs="Arial"/>
      <w:b/>
      <w:bCs/>
      <w:sz w:val="32"/>
      <w:szCs w:val="32"/>
    </w:rPr>
  </w:style>
  <w:style w:type="character" w:customStyle="1" w:styleId="a9">
    <w:name w:val="标题 字符"/>
    <w:link w:val="Title"/>
    <w:qFormat/>
    <w:rPr>
      <w:rFonts w:ascii="Arial" w:eastAsia="隶书" w:hAnsi="Arial" w:cs="Arial"/>
      <w:b/>
      <w:bCs/>
      <w:kern w:val="2"/>
      <w:sz w:val="32"/>
      <w:szCs w:val="32"/>
      <w:lang w:val="en-US" w:eastAsia="zh-CN" w:bidi="ar-SA"/>
    </w:rPr>
  </w:style>
  <w:style w:type="paragraph" w:styleId="CommentSubject">
    <w:name w:val="annotation subject"/>
    <w:basedOn w:val="CommentText"/>
    <w:next w:val="CommentText"/>
    <w:link w:val="a10"/>
    <w:uiPriority w:val="99"/>
    <w:qFormat/>
    <w:pPr>
      <w:autoSpaceDE/>
      <w:autoSpaceDN/>
      <w:adjustRightInd/>
      <w:textAlignment w:val="auto"/>
    </w:pPr>
    <w:rPr>
      <w:rFonts w:ascii="Times New Roman"/>
      <w:b/>
      <w:bCs/>
      <w:kern w:val="2"/>
      <w:sz w:val="21"/>
      <w:szCs w:val="24"/>
    </w:rPr>
  </w:style>
  <w:style w:type="character" w:customStyle="1" w:styleId="a10">
    <w:name w:val="批注主题 字符"/>
    <w:link w:val="CommentSubject"/>
    <w:uiPriority w:val="99"/>
    <w:qFormat/>
    <w:rPr>
      <w:rFonts w:ascii="宋体"/>
      <w:sz w:val="34"/>
    </w:rPr>
  </w:style>
  <w:style w:type="paragraph" w:styleId="BodyTextFirstIndent">
    <w:name w:val="Body Text First Indent"/>
    <w:basedOn w:val="BodyText"/>
    <w:link w:val="a11"/>
    <w:qFormat/>
    <w:pPr>
      <w:spacing w:after="120" w:line="240" w:lineRule="auto"/>
      <w:ind w:firstLine="420" w:firstLineChars="100"/>
    </w:pPr>
    <w:rPr>
      <w:sz w:val="21"/>
    </w:rPr>
  </w:style>
  <w:style w:type="character" w:customStyle="1" w:styleId="a11">
    <w:name w:val="正文首行缩进 字符"/>
    <w:link w:val="BodyTextFirstIndent"/>
    <w:qFormat/>
    <w:rPr>
      <w:rFonts w:eastAsia="宋体"/>
      <w:b/>
      <w:bCs/>
      <w:kern w:val="2"/>
      <w:sz w:val="21"/>
      <w:szCs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character" w:styleId="Strong">
    <w:name w:val="Strong"/>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sz w:val="20"/>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 w:val="left" w:pos="7994"/>
      </w:tabs>
      <w:spacing w:line="360" w:lineRule="auto"/>
    </w:pPr>
    <w:rPr>
      <w:b/>
      <w:color w:val="000000"/>
      <w:sz w:val="24"/>
      <w:szCs w:val="20"/>
    </w:rPr>
  </w:style>
  <w:style w:type="paragraph" w:customStyle="1" w:styleId="a12">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3">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14">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15">
    <w:name w:val="È±Ê¡ÎÄ±¾"/>
    <w:basedOn w:val="Normal"/>
    <w:qFormat/>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16">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Char1">
    <w:name w:val="正文文字首行缩进 Char"/>
    <w:qFormat/>
    <w:rPr>
      <w:kern w:val="2"/>
      <w:sz w:val="21"/>
      <w:szCs w:val="24"/>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7">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8">
    <w:name w:val="方案要点"/>
    <w:basedOn w:val="Normal"/>
    <w:qFormat/>
    <w:pPr>
      <w:numPr>
        <w:ilvl w:val="0"/>
        <w:numId w:val="4"/>
      </w:numPr>
      <w:tabs>
        <w:tab w:val="left" w:pos="420"/>
      </w:tabs>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9">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20">
    <w:name w:val="缺省文本"/>
    <w:basedOn w:val="Normal"/>
    <w:qFormat/>
    <w:pPr>
      <w:autoSpaceDE w:val="0"/>
      <w:autoSpaceDN w:val="0"/>
      <w:adjustRightInd w:val="0"/>
      <w:jc w:val="left"/>
    </w:pPr>
    <w:rPr>
      <w:kern w:val="0"/>
    </w:rPr>
  </w:style>
  <w:style w:type="paragraph" w:customStyle="1" w:styleId="a21">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ilvl w:val="0"/>
        <w:numId w:val="5"/>
      </w:numPr>
      <w:tabs>
        <w:tab w:val="left" w:pos="1290"/>
      </w:tabs>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22">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qFormat/>
  </w:style>
  <w:style w:type="character" w:customStyle="1" w:styleId="font2">
    <w:name w:val="font2"/>
    <w:qFormat/>
  </w:style>
  <w:style w:type="character" w:customStyle="1" w:styleId="font41">
    <w:name w:val="font41"/>
    <w:qFormat/>
    <w:rPr>
      <w:color w:val="000000"/>
      <w:spacing w:val="260"/>
      <w:sz w:val="18"/>
      <w:szCs w:val="18"/>
      <w:u w:val="none"/>
    </w:rPr>
  </w:style>
  <w:style w:type="paragraph" w:customStyle="1" w:styleId="a23">
    <w:name w:val="正文(首行缩进)"/>
    <w:qFormat/>
    <w:pPr>
      <w:spacing w:line="360" w:lineRule="auto"/>
      <w:ind w:firstLine="488" w:firstLineChars="200"/>
      <w:jc w:val="both"/>
    </w:pPr>
    <w:rPr>
      <w:rFonts w:eastAsia="仿宋_GB2312"/>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paragraph" w:customStyle="1" w:styleId="Char2">
    <w:name w:val="正文(首行缩进) Char"/>
    <w:qFormat/>
    <w:pPr>
      <w:spacing w:before="120" w:after="60" w:line="360" w:lineRule="auto"/>
      <w:ind w:firstLine="200" w:firstLineChars="200"/>
    </w:pPr>
    <w:rPr>
      <w:rFonts w:eastAsia="仿宋_GB2312"/>
      <w:spacing w:val="2"/>
      <w:kern w:val="24"/>
      <w:sz w:val="24"/>
      <w:szCs w:val="24"/>
      <w:lang w:val="en-US" w:eastAsia="zh-CN" w:bidi="ar-SA"/>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4">
    <w:name w:val="产品描述"/>
    <w:qFormat/>
    <w:pPr>
      <w:widowControl w:val="0"/>
      <w:autoSpaceDE w:val="0"/>
      <w:autoSpaceDN w:val="0"/>
      <w:adjustRightInd w:val="0"/>
      <w:spacing w:line="270" w:lineRule="atLeast"/>
      <w:ind w:firstLine="397"/>
      <w:jc w:val="both"/>
    </w:pPr>
    <w:rPr>
      <w:rFonts w:ascii="宋体"/>
      <w:sz w:val="18"/>
      <w:szCs w:val="18"/>
      <w:lang w:val="en-US" w:eastAsia="zh-CN" w:bidi="ar-SA"/>
    </w:rPr>
  </w:style>
  <w:style w:type="paragraph" w:customStyle="1" w:styleId="a25">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lang w:val="en-US" w:eastAsia="zh-CN" w:bidi="ar-SA"/>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qFormat/>
  </w:style>
  <w:style w:type="character" w:customStyle="1" w:styleId="prodheadlines">
    <w:name w:val="prodheadlines"/>
    <w:qFormat/>
  </w:style>
  <w:style w:type="character" w:customStyle="1" w:styleId="text">
    <w:name w:val="tex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qFormat/>
    <w:pPr>
      <w:widowControl/>
      <w:pBdr>
        <w:top w:val="single" w:sz="6" w:space="1" w:color="auto"/>
      </w:pBdr>
      <w:jc w:val="center"/>
    </w:pPr>
    <w:rPr>
      <w:rFonts w:ascii="Arial" w:hAnsi="Arial" w:cs="Arial"/>
      <w:vanish/>
      <w:kern w:val="0"/>
      <w:sz w:val="16"/>
      <w:szCs w:val="16"/>
    </w:rPr>
  </w:style>
  <w:style w:type="paragraph" w:customStyle="1" w:styleId="a26">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7">
    <w:name w:val="段落正文"/>
    <w:basedOn w:val="PlainText"/>
    <w:qFormat/>
    <w:pPr>
      <w:ind w:firstLine="560" w:firstLineChars="200"/>
    </w:pPr>
    <w:rPr>
      <w:sz w:val="28"/>
    </w:rPr>
  </w:style>
  <w:style w:type="character" w:customStyle="1" w:styleId="gray6">
    <w:name w:val="gray6"/>
    <w:qFormat/>
  </w:style>
  <w:style w:type="character" w:customStyle="1" w:styleId="style9">
    <w:name w:val="style9"/>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ilvl w:val="0"/>
        <w:numId w:val="6"/>
      </w:numPr>
      <w:tabs>
        <w:tab w:val="left" w:pos="360"/>
      </w:tabs>
      <w:adjustRightInd w:val="0"/>
      <w:spacing w:line="300" w:lineRule="auto"/>
      <w:ind w:right="210"/>
      <w:textAlignment w:val="center"/>
    </w:pPr>
    <w:rPr>
      <w:rFonts w:ascii="宋体" w:hAnsi="宋体"/>
      <w:snapToGrid/>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8">
    <w:name w:val="表格字"/>
    <w:basedOn w:val="Normal"/>
    <w:qFormat/>
    <w:pPr>
      <w:adjustRightInd w:val="0"/>
      <w:jc w:val="center"/>
    </w:pPr>
    <w:rPr>
      <w:rFonts w:ascii="宋体"/>
      <w:sz w:val="24"/>
      <w:szCs w:val="20"/>
    </w:rPr>
  </w:style>
  <w:style w:type="character" w:customStyle="1" w:styleId="a29">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qFormat/>
  </w:style>
  <w:style w:type="paragraph" w:customStyle="1" w:styleId="a30">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30"/>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paragraph" w:customStyle="1" w:styleId="a31">
    <w:name w:val="评价"/>
    <w:basedOn w:val="Normal"/>
    <w:qFormat/>
    <w:pPr>
      <w:spacing w:afterLines="20"/>
      <w:ind w:firstLine="1446" w:firstLineChars="200"/>
    </w:pPr>
    <w:rPr>
      <w:rFonts w:ascii="Calibri" w:hAnsi="Calibri"/>
      <w:sz w:val="24"/>
    </w:rPr>
  </w:style>
  <w:style w:type="paragraph" w:customStyle="1" w:styleId="14">
    <w:name w:val="修订1"/>
    <w:uiPriority w:val="99"/>
    <w:semiHidden/>
    <w:qFormat/>
    <w:rPr>
      <w:kern w:val="2"/>
      <w:sz w:val="21"/>
      <w:szCs w:val="24"/>
      <w:lang w:val="en-US" w:eastAsia="zh-CN" w:bidi="ar-SA"/>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hAnsi="Calibri"/>
      <w:sz w:val="21"/>
      <w:lang w:val="en-US" w:eastAsia="zh-CN" w:bidi="ar-SA"/>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5">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6">
    <w:name w:val="明显参考1"/>
    <w:qFormat/>
    <w:rPr>
      <w:b/>
      <w:sz w:val="20"/>
    </w:rPr>
  </w:style>
  <w:style w:type="character" w:customStyle="1" w:styleId="apple-converted-space">
    <w:name w:val="apple-converted-space"/>
    <w:qFormat/>
    <w:rPr>
      <w:sz w:val="20"/>
    </w:rPr>
  </w:style>
  <w:style w:type="character" w:customStyle="1" w:styleId="17">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8">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9">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10">
    <w:name w:val="页脚 Char1"/>
    <w:semiHidden/>
    <w:qFormat/>
    <w:rPr>
      <w:sz w:val="20"/>
    </w:rPr>
  </w:style>
  <w:style w:type="character" w:customStyle="1" w:styleId="Char111">
    <w:name w:val="批注框文本 Char1"/>
    <w:semiHidden/>
    <w:qFormat/>
    <w:rPr>
      <w:sz w:val="20"/>
    </w:rPr>
  </w:style>
  <w:style w:type="paragraph" w:customStyle="1" w:styleId="23">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hAnsi="Calibri"/>
      <w:sz w:val="21"/>
      <w:lang w:val="en-US" w:eastAsia="zh-CN" w:bidi="ar-SA"/>
    </w:rPr>
  </w:style>
  <w:style w:type="paragraph" w:customStyle="1" w:styleId="toc62">
    <w:name w:val="toc 62"/>
    <w:next w:val="Normal"/>
    <w:qFormat/>
    <w:pPr>
      <w:wordWrap w:val="0"/>
      <w:ind w:left="2125"/>
      <w:jc w:val="both"/>
    </w:pPr>
    <w:rPr>
      <w:rFonts w:ascii="Calibri" w:hAnsi="Calibri"/>
      <w:sz w:val="21"/>
      <w:lang w:val="en-US" w:eastAsia="zh-CN" w:bidi="ar-SA"/>
    </w:rPr>
  </w:style>
  <w:style w:type="paragraph" w:customStyle="1" w:styleId="toc414">
    <w:name w:val="toc 414"/>
    <w:next w:val="Normal"/>
    <w:qFormat/>
    <w:pPr>
      <w:wordWrap w:val="0"/>
      <w:ind w:left="1275"/>
      <w:jc w:val="both"/>
    </w:pPr>
    <w:rPr>
      <w:rFonts w:ascii="Calibri" w:hAnsi="Calibri"/>
      <w:sz w:val="21"/>
      <w:lang w:val="en-US" w:eastAsia="zh-CN" w:bidi="ar-SA"/>
    </w:rPr>
  </w:style>
  <w:style w:type="paragraph" w:customStyle="1" w:styleId="toc411">
    <w:name w:val="toc 411"/>
    <w:next w:val="Normal"/>
    <w:qFormat/>
    <w:pPr>
      <w:wordWrap w:val="0"/>
      <w:ind w:left="1275"/>
      <w:jc w:val="both"/>
    </w:pPr>
    <w:rPr>
      <w:rFonts w:ascii="Calibri" w:hAnsi="Calibri"/>
      <w:sz w:val="21"/>
      <w:lang w:val="en-US" w:eastAsia="zh-CN" w:bidi="ar-SA"/>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hAnsi="Calibri"/>
      <w:sz w:val="21"/>
      <w:lang w:val="en-US" w:eastAsia="zh-CN" w:bidi="ar-SA"/>
    </w:rPr>
  </w:style>
  <w:style w:type="paragraph" w:customStyle="1" w:styleId="TOCHeading4">
    <w:name w:val="TOC Heading4"/>
    <w:next w:val="Normal"/>
    <w:qFormat/>
    <w:pPr>
      <w:wordWrap w:val="0"/>
    </w:pPr>
    <w:rPr>
      <w:rFonts w:ascii="Calibri" w:hAnsi="Calibri"/>
      <w:sz w:val="32"/>
      <w:lang w:val="en-US" w:eastAsia="zh-CN" w:bidi="ar-SA"/>
    </w:rPr>
  </w:style>
  <w:style w:type="paragraph" w:customStyle="1" w:styleId="toc15">
    <w:name w:val="toc 15"/>
    <w:next w:val="Normal"/>
    <w:qFormat/>
    <w:pPr>
      <w:wordWrap w:val="0"/>
      <w:jc w:val="both"/>
    </w:pPr>
    <w:rPr>
      <w:rFonts w:ascii="Calibri" w:hAnsi="Calibri"/>
      <w:sz w:val="21"/>
      <w:lang w:val="en-US" w:eastAsia="zh-CN" w:bidi="ar-SA"/>
    </w:rPr>
  </w:style>
  <w:style w:type="paragraph" w:customStyle="1" w:styleId="TOCHeading2">
    <w:name w:val="TOC Heading2"/>
    <w:next w:val="Normal"/>
    <w:qFormat/>
    <w:pPr>
      <w:wordWrap w:val="0"/>
    </w:pPr>
    <w:rPr>
      <w:rFonts w:ascii="Calibri" w:hAnsi="Calibri"/>
      <w:sz w:val="32"/>
      <w:lang w:val="en-US" w:eastAsia="zh-CN" w:bidi="ar-SA"/>
    </w:rPr>
  </w:style>
  <w:style w:type="paragraph" w:customStyle="1" w:styleId="TOCHeading1">
    <w:name w:val="TOC Heading1"/>
    <w:next w:val="Normal"/>
    <w:qFormat/>
    <w:pPr>
      <w:wordWrap w:val="0"/>
    </w:pPr>
    <w:rPr>
      <w:rFonts w:ascii="Calibri" w:hAnsi="Calibri"/>
      <w:sz w:val="32"/>
      <w:lang w:val="en-US" w:eastAsia="zh-CN" w:bidi="ar-SA"/>
    </w:rPr>
  </w:style>
  <w:style w:type="paragraph" w:customStyle="1" w:styleId="toc73">
    <w:name w:val="toc 73"/>
    <w:next w:val="Normal"/>
    <w:qFormat/>
    <w:pPr>
      <w:wordWrap w:val="0"/>
      <w:ind w:left="2550"/>
      <w:jc w:val="both"/>
    </w:pPr>
    <w:rPr>
      <w:rFonts w:ascii="Calibri" w:hAnsi="Calibri"/>
      <w:sz w:val="21"/>
      <w:lang w:val="en-US" w:eastAsia="zh-CN" w:bidi="ar-SA"/>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hAnsi="Calibri"/>
      <w:sz w:val="21"/>
      <w:lang w:val="en-US" w:eastAsia="zh-CN" w:bidi="ar-SA"/>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hAnsi="Calibri"/>
      <w:sz w:val="32"/>
      <w:lang w:val="en-US" w:eastAsia="zh-CN" w:bidi="ar-SA"/>
    </w:rPr>
  </w:style>
  <w:style w:type="paragraph" w:customStyle="1" w:styleId="toc89">
    <w:name w:val="toc 89"/>
    <w:next w:val="Normal"/>
    <w:qFormat/>
    <w:pPr>
      <w:wordWrap w:val="0"/>
      <w:ind w:left="2975"/>
      <w:jc w:val="both"/>
    </w:pPr>
    <w:rPr>
      <w:rFonts w:ascii="Calibri" w:hAnsi="Calibri"/>
      <w:sz w:val="21"/>
      <w:lang w:val="en-US" w:eastAsia="zh-CN" w:bidi="ar-SA"/>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hAnsi="Calibri"/>
      <w:sz w:val="21"/>
      <w:lang w:val="en-US" w:eastAsia="zh-CN" w:bidi="ar-SA"/>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hAnsi="Calibri"/>
      <w:sz w:val="21"/>
      <w:lang w:val="en-US" w:eastAsia="zh-CN" w:bidi="ar-SA"/>
    </w:rPr>
  </w:style>
  <w:style w:type="paragraph" w:customStyle="1" w:styleId="toc11">
    <w:name w:val="toc 11"/>
    <w:next w:val="Normal"/>
    <w:qFormat/>
    <w:pPr>
      <w:wordWrap w:val="0"/>
      <w:jc w:val="both"/>
    </w:pPr>
    <w:rPr>
      <w:rFonts w:ascii="Calibri" w:hAnsi="Calibri"/>
      <w:sz w:val="21"/>
      <w:lang w:val="en-US" w:eastAsia="zh-CN" w:bidi="ar-SA"/>
    </w:rPr>
  </w:style>
  <w:style w:type="paragraph" w:customStyle="1" w:styleId="toc410">
    <w:name w:val="toc 410"/>
    <w:next w:val="Normal"/>
    <w:qFormat/>
    <w:pPr>
      <w:wordWrap w:val="0"/>
      <w:ind w:left="1275"/>
      <w:jc w:val="both"/>
    </w:pPr>
    <w:rPr>
      <w:rFonts w:ascii="Calibri" w:hAnsi="Calibri"/>
      <w:sz w:val="21"/>
      <w:lang w:val="en-US" w:eastAsia="zh-CN" w:bidi="ar-SA"/>
    </w:rPr>
  </w:style>
  <w:style w:type="paragraph" w:customStyle="1" w:styleId="toc611">
    <w:name w:val="toc 611"/>
    <w:next w:val="Normal"/>
    <w:qFormat/>
    <w:pPr>
      <w:wordWrap w:val="0"/>
      <w:ind w:left="2125"/>
      <w:jc w:val="both"/>
    </w:pPr>
    <w:rPr>
      <w:rFonts w:ascii="Calibri" w:hAnsi="Calibri"/>
      <w:sz w:val="21"/>
      <w:lang w:val="en-US" w:eastAsia="zh-CN" w:bidi="ar-SA"/>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hAnsi="Calibri"/>
      <w:sz w:val="21"/>
      <w:lang w:val="en-US" w:eastAsia="zh-CN" w:bidi="ar-SA"/>
    </w:rPr>
  </w:style>
  <w:style w:type="paragraph" w:customStyle="1" w:styleId="toc44">
    <w:name w:val="toc 44"/>
    <w:next w:val="Normal"/>
    <w:qFormat/>
    <w:pPr>
      <w:wordWrap w:val="0"/>
      <w:ind w:left="1275"/>
      <w:jc w:val="both"/>
    </w:pPr>
    <w:rPr>
      <w:rFonts w:ascii="Calibri" w:hAnsi="Calibri"/>
      <w:sz w:val="21"/>
      <w:lang w:val="en-US" w:eastAsia="zh-CN" w:bidi="ar-SA"/>
    </w:rPr>
  </w:style>
  <w:style w:type="paragraph" w:customStyle="1" w:styleId="toc412">
    <w:name w:val="toc 412"/>
    <w:next w:val="Normal"/>
    <w:qFormat/>
    <w:pPr>
      <w:wordWrap w:val="0"/>
      <w:ind w:left="1275"/>
      <w:jc w:val="both"/>
    </w:pPr>
    <w:rPr>
      <w:rFonts w:ascii="Calibri" w:hAnsi="Calibri"/>
      <w:sz w:val="21"/>
      <w:lang w:val="en-US" w:eastAsia="zh-CN" w:bidi="ar-SA"/>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hAnsi="Calibri"/>
      <w:sz w:val="21"/>
      <w:lang w:val="en-US" w:eastAsia="zh-CN" w:bidi="ar-SA"/>
    </w:rPr>
  </w:style>
  <w:style w:type="paragraph" w:customStyle="1" w:styleId="toc912">
    <w:name w:val="toc 912"/>
    <w:next w:val="Normal"/>
    <w:qFormat/>
    <w:pPr>
      <w:wordWrap w:val="0"/>
      <w:ind w:left="3400"/>
      <w:jc w:val="both"/>
    </w:pPr>
    <w:rPr>
      <w:rFonts w:ascii="Calibri" w:hAnsi="Calibri"/>
      <w:sz w:val="21"/>
      <w:lang w:val="en-US" w:eastAsia="zh-CN" w:bidi="ar-SA"/>
    </w:rPr>
  </w:style>
  <w:style w:type="paragraph" w:customStyle="1" w:styleId="toc91">
    <w:name w:val="toc 91"/>
    <w:next w:val="Normal"/>
    <w:qFormat/>
    <w:pPr>
      <w:wordWrap w:val="0"/>
      <w:ind w:left="3400"/>
      <w:jc w:val="both"/>
    </w:pPr>
    <w:rPr>
      <w:rFonts w:ascii="Calibri" w:hAnsi="Calibri"/>
      <w:sz w:val="21"/>
      <w:lang w:val="en-US" w:eastAsia="zh-CN" w:bidi="ar-SA"/>
    </w:rPr>
  </w:style>
  <w:style w:type="paragraph" w:customStyle="1" w:styleId="toc38">
    <w:name w:val="toc 38"/>
    <w:next w:val="Normal"/>
    <w:qFormat/>
    <w:pPr>
      <w:wordWrap w:val="0"/>
      <w:ind w:left="850"/>
      <w:jc w:val="both"/>
    </w:pPr>
    <w:rPr>
      <w:rFonts w:ascii="Calibri" w:hAnsi="Calibri"/>
      <w:sz w:val="21"/>
      <w:lang w:val="en-US" w:eastAsia="zh-CN" w:bidi="ar-SA"/>
    </w:rPr>
  </w:style>
  <w:style w:type="paragraph" w:customStyle="1" w:styleId="toc95">
    <w:name w:val="toc 95"/>
    <w:next w:val="Normal"/>
    <w:qFormat/>
    <w:pPr>
      <w:wordWrap w:val="0"/>
      <w:ind w:left="3400"/>
      <w:jc w:val="both"/>
    </w:pPr>
    <w:rPr>
      <w:rFonts w:ascii="Calibri" w:hAnsi="Calibri"/>
      <w:sz w:val="21"/>
      <w:lang w:val="en-US" w:eastAsia="zh-CN" w:bidi="ar-SA"/>
    </w:rPr>
  </w:style>
  <w:style w:type="paragraph" w:customStyle="1" w:styleId="51">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hAnsi="Calibri"/>
      <w:sz w:val="21"/>
      <w:lang w:val="en-US" w:eastAsia="zh-CN" w:bidi="ar-SA"/>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hAnsi="Calibri"/>
      <w:sz w:val="21"/>
      <w:lang w:val="en-US" w:eastAsia="zh-CN" w:bidi="ar-SA"/>
    </w:rPr>
  </w:style>
  <w:style w:type="paragraph" w:customStyle="1" w:styleId="TOCHeading3">
    <w:name w:val="TOC Heading3"/>
    <w:next w:val="Normal"/>
    <w:qFormat/>
    <w:pPr>
      <w:wordWrap w:val="0"/>
    </w:pPr>
    <w:rPr>
      <w:rFonts w:ascii="Calibri" w:hAnsi="Calibri"/>
      <w:sz w:val="32"/>
      <w:lang w:val="en-US" w:eastAsia="zh-CN" w:bidi="ar-SA"/>
    </w:rPr>
  </w:style>
  <w:style w:type="paragraph" w:customStyle="1" w:styleId="toc65">
    <w:name w:val="toc 65"/>
    <w:next w:val="Normal"/>
    <w:qFormat/>
    <w:pPr>
      <w:wordWrap w:val="0"/>
      <w:ind w:left="2125"/>
      <w:jc w:val="both"/>
    </w:pPr>
    <w:rPr>
      <w:rFonts w:ascii="Calibri" w:hAnsi="Calibri"/>
      <w:sz w:val="21"/>
      <w:lang w:val="en-US" w:eastAsia="zh-CN" w:bidi="ar-SA"/>
    </w:rPr>
  </w:style>
  <w:style w:type="paragraph" w:customStyle="1" w:styleId="toc25">
    <w:name w:val="toc 25"/>
    <w:next w:val="Normal"/>
    <w:qFormat/>
    <w:pPr>
      <w:wordWrap w:val="0"/>
      <w:ind w:left="425"/>
      <w:jc w:val="both"/>
    </w:pPr>
    <w:rPr>
      <w:rFonts w:ascii="Calibri" w:hAnsi="Calibri"/>
      <w:sz w:val="21"/>
      <w:lang w:val="en-US" w:eastAsia="zh-CN" w:bidi="ar-SA"/>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hAnsi="Calibri"/>
      <w:sz w:val="21"/>
      <w:lang w:val="en-US" w:eastAsia="zh-CN" w:bidi="ar-SA"/>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hAnsi="Calibri"/>
      <w:sz w:val="21"/>
      <w:lang w:val="en-US" w:eastAsia="zh-CN" w:bidi="ar-SA"/>
    </w:rPr>
  </w:style>
  <w:style w:type="paragraph" w:customStyle="1" w:styleId="110">
    <w:name w:val="目录 11"/>
    <w:next w:val="Normal"/>
    <w:qFormat/>
    <w:pPr>
      <w:wordWrap w:val="0"/>
      <w:jc w:val="both"/>
    </w:pPr>
    <w:rPr>
      <w:rFonts w:ascii="Calibri" w:hAnsi="Calibri"/>
      <w:sz w:val="21"/>
      <w:lang w:val="en-US" w:eastAsia="zh-CN" w:bidi="ar-SA"/>
    </w:rPr>
  </w:style>
  <w:style w:type="paragraph" w:customStyle="1" w:styleId="toc513">
    <w:name w:val="toc 513"/>
    <w:next w:val="Normal"/>
    <w:qFormat/>
    <w:pPr>
      <w:wordWrap w:val="0"/>
      <w:ind w:left="1700"/>
      <w:jc w:val="both"/>
    </w:pPr>
    <w:rPr>
      <w:rFonts w:ascii="Calibri" w:hAnsi="Calibri"/>
      <w:sz w:val="21"/>
      <w:lang w:val="en-US" w:eastAsia="zh-CN" w:bidi="ar-SA"/>
    </w:rPr>
  </w:style>
  <w:style w:type="paragraph" w:customStyle="1" w:styleId="TOCHeading12">
    <w:name w:val="TOC Heading12"/>
    <w:next w:val="Normal"/>
    <w:qFormat/>
    <w:pPr>
      <w:wordWrap w:val="0"/>
    </w:pPr>
    <w:rPr>
      <w:rFonts w:ascii="Calibri" w:hAnsi="Calibri"/>
      <w:sz w:val="32"/>
      <w:lang w:val="en-US" w:eastAsia="zh-CN" w:bidi="ar-SA"/>
    </w:rPr>
  </w:style>
  <w:style w:type="paragraph" w:customStyle="1" w:styleId="TOCHeading8">
    <w:name w:val="TOC Heading8"/>
    <w:next w:val="Normal"/>
    <w:qFormat/>
    <w:pPr>
      <w:wordWrap w:val="0"/>
    </w:pPr>
    <w:rPr>
      <w:rFonts w:ascii="Calibri" w:hAnsi="Calibri"/>
      <w:sz w:val="32"/>
      <w:lang w:val="en-US" w:eastAsia="zh-CN" w:bidi="ar-SA"/>
    </w:rPr>
  </w:style>
  <w:style w:type="paragraph" w:customStyle="1" w:styleId="toc711">
    <w:name w:val="toc 711"/>
    <w:next w:val="Normal"/>
    <w:qFormat/>
    <w:pPr>
      <w:wordWrap w:val="0"/>
      <w:ind w:left="2550"/>
      <w:jc w:val="both"/>
    </w:pPr>
    <w:rPr>
      <w:rFonts w:ascii="Calibri" w:hAnsi="Calibri"/>
      <w:sz w:val="21"/>
      <w:lang w:val="en-US" w:eastAsia="zh-CN" w:bidi="ar-SA"/>
    </w:rPr>
  </w:style>
  <w:style w:type="paragraph" w:customStyle="1" w:styleId="toc212">
    <w:name w:val="toc 212"/>
    <w:next w:val="Normal"/>
    <w:qFormat/>
    <w:pPr>
      <w:wordWrap w:val="0"/>
      <w:ind w:left="425"/>
      <w:jc w:val="both"/>
    </w:pPr>
    <w:rPr>
      <w:rFonts w:ascii="Calibri" w:hAnsi="Calibri"/>
      <w:sz w:val="21"/>
      <w:lang w:val="en-US" w:eastAsia="zh-CN" w:bidi="ar-SA"/>
    </w:rPr>
  </w:style>
  <w:style w:type="paragraph" w:customStyle="1" w:styleId="210">
    <w:name w:val="目录 21"/>
    <w:next w:val="Normal"/>
    <w:qFormat/>
    <w:pPr>
      <w:wordWrap w:val="0"/>
      <w:ind w:left="425"/>
      <w:jc w:val="both"/>
    </w:pPr>
    <w:rPr>
      <w:rFonts w:ascii="Calibri" w:hAnsi="Calibri"/>
      <w:sz w:val="21"/>
      <w:lang w:val="en-US" w:eastAsia="zh-CN" w:bidi="ar-SA"/>
    </w:rPr>
  </w:style>
  <w:style w:type="paragraph" w:customStyle="1" w:styleId="toc45">
    <w:name w:val="toc 45"/>
    <w:next w:val="Normal"/>
    <w:qFormat/>
    <w:pPr>
      <w:wordWrap w:val="0"/>
      <w:ind w:left="1275"/>
      <w:jc w:val="both"/>
    </w:pPr>
    <w:rPr>
      <w:rFonts w:ascii="Calibri" w:hAnsi="Calibri"/>
      <w:sz w:val="21"/>
      <w:lang w:val="en-US" w:eastAsia="zh-CN" w:bidi="ar-SA"/>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hAnsi="Calibri"/>
      <w:sz w:val="21"/>
      <w:lang w:val="en-US" w:eastAsia="zh-CN" w:bidi="ar-SA"/>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hAnsi="Calibri"/>
      <w:sz w:val="32"/>
      <w:lang w:val="en-US" w:eastAsia="zh-CN" w:bidi="ar-SA"/>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hAnsi="Calibri"/>
      <w:sz w:val="21"/>
      <w:lang w:val="en-US" w:eastAsia="zh-CN" w:bidi="ar-SA"/>
    </w:rPr>
  </w:style>
  <w:style w:type="paragraph" w:customStyle="1" w:styleId="toc813">
    <w:name w:val="toc 813"/>
    <w:next w:val="Normal"/>
    <w:qFormat/>
    <w:pPr>
      <w:wordWrap w:val="0"/>
      <w:ind w:left="2975"/>
      <w:jc w:val="both"/>
    </w:pPr>
    <w:rPr>
      <w:rFonts w:ascii="Calibri" w:hAnsi="Calibri"/>
      <w:sz w:val="21"/>
      <w:lang w:val="en-US" w:eastAsia="zh-CN" w:bidi="ar-SA"/>
    </w:rPr>
  </w:style>
  <w:style w:type="paragraph" w:customStyle="1" w:styleId="91">
    <w:name w:val="目录 91"/>
    <w:next w:val="Normal"/>
    <w:qFormat/>
    <w:pPr>
      <w:wordWrap w:val="0"/>
      <w:ind w:left="3400"/>
      <w:jc w:val="both"/>
    </w:pPr>
    <w:rPr>
      <w:rFonts w:ascii="Calibri" w:hAnsi="Calibri"/>
      <w:sz w:val="21"/>
      <w:lang w:val="en-US" w:eastAsia="zh-CN" w:bidi="ar-SA"/>
    </w:rPr>
  </w:style>
  <w:style w:type="paragraph" w:customStyle="1" w:styleId="33">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hAnsi="Calibri"/>
      <w:sz w:val="21"/>
      <w:lang w:val="en-US" w:eastAsia="zh-CN" w:bidi="ar-SA"/>
    </w:rPr>
  </w:style>
  <w:style w:type="paragraph" w:customStyle="1" w:styleId="TOC10">
    <w:name w:val="TOC 标题1"/>
    <w:next w:val="Normal"/>
    <w:qFormat/>
    <w:pPr>
      <w:wordWrap w:val="0"/>
    </w:pPr>
    <w:rPr>
      <w:rFonts w:ascii="Calibri" w:hAnsi="Calibri"/>
      <w:sz w:val="32"/>
      <w:lang w:val="en-US" w:eastAsia="zh-CN" w:bidi="ar-SA"/>
    </w:rPr>
  </w:style>
  <w:style w:type="paragraph" w:customStyle="1" w:styleId="TOCHeading5">
    <w:name w:val="TOC Heading5"/>
    <w:next w:val="Normal"/>
    <w:qFormat/>
    <w:pPr>
      <w:wordWrap w:val="0"/>
    </w:pPr>
    <w:rPr>
      <w:rFonts w:ascii="Calibri" w:hAnsi="Calibri"/>
      <w:sz w:val="32"/>
      <w:lang w:val="en-US" w:eastAsia="zh-CN" w:bidi="ar-SA"/>
    </w:rPr>
  </w:style>
  <w:style w:type="paragraph" w:customStyle="1" w:styleId="toc313">
    <w:name w:val="toc 313"/>
    <w:next w:val="Normal"/>
    <w:qFormat/>
    <w:pPr>
      <w:wordWrap w:val="0"/>
      <w:ind w:left="850"/>
      <w:jc w:val="both"/>
    </w:pPr>
    <w:rPr>
      <w:rFonts w:ascii="Calibri" w:hAnsi="Calibri"/>
      <w:sz w:val="21"/>
      <w:lang w:val="en-US" w:eastAsia="zh-CN" w:bidi="ar-SA"/>
    </w:rPr>
  </w:style>
  <w:style w:type="paragraph" w:customStyle="1" w:styleId="toc716">
    <w:name w:val="toc 716"/>
    <w:next w:val="Normal"/>
    <w:qFormat/>
    <w:pPr>
      <w:wordWrap w:val="0"/>
      <w:ind w:left="2550"/>
      <w:jc w:val="both"/>
    </w:pPr>
    <w:rPr>
      <w:rFonts w:ascii="Calibri" w:hAnsi="Calibri"/>
      <w:sz w:val="21"/>
      <w:lang w:val="en-US" w:eastAsia="zh-CN" w:bidi="ar-SA"/>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hAnsi="Calibri"/>
      <w:sz w:val="21"/>
      <w:lang w:val="en-US" w:eastAsia="zh-CN" w:bidi="ar-SA"/>
    </w:rPr>
  </w:style>
  <w:style w:type="paragraph" w:customStyle="1" w:styleId="toc64">
    <w:name w:val="toc 64"/>
    <w:next w:val="Normal"/>
    <w:qFormat/>
    <w:pPr>
      <w:wordWrap w:val="0"/>
      <w:ind w:left="2125"/>
      <w:jc w:val="both"/>
    </w:pPr>
    <w:rPr>
      <w:rFonts w:ascii="Calibri" w:hAnsi="Calibri"/>
      <w:sz w:val="21"/>
      <w:lang w:val="en-US" w:eastAsia="zh-CN" w:bidi="ar-SA"/>
    </w:rPr>
  </w:style>
  <w:style w:type="paragraph" w:customStyle="1" w:styleId="toc24">
    <w:name w:val="toc 24"/>
    <w:next w:val="Normal"/>
    <w:qFormat/>
    <w:pPr>
      <w:wordWrap w:val="0"/>
      <w:ind w:left="425"/>
      <w:jc w:val="both"/>
    </w:pPr>
    <w:rPr>
      <w:rFonts w:ascii="Calibri" w:hAnsi="Calibri"/>
      <w:sz w:val="21"/>
      <w:lang w:val="en-US" w:eastAsia="zh-CN" w:bidi="ar-SA"/>
    </w:rPr>
  </w:style>
  <w:style w:type="paragraph" w:customStyle="1" w:styleId="toc54">
    <w:name w:val="toc 54"/>
    <w:next w:val="Normal"/>
    <w:qFormat/>
    <w:pPr>
      <w:wordWrap w:val="0"/>
      <w:ind w:left="1700"/>
      <w:jc w:val="both"/>
    </w:pPr>
    <w:rPr>
      <w:rFonts w:ascii="Calibri" w:hAnsi="Calibri"/>
      <w:sz w:val="21"/>
      <w:lang w:val="en-US" w:eastAsia="zh-CN" w:bidi="ar-SA"/>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hAnsi="Calibri"/>
      <w:sz w:val="21"/>
      <w:lang w:val="en-US" w:eastAsia="zh-CN" w:bidi="ar-SA"/>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hAnsi="Calibri"/>
      <w:sz w:val="21"/>
      <w:lang w:val="en-US" w:eastAsia="zh-CN" w:bidi="ar-SA"/>
    </w:rPr>
  </w:style>
  <w:style w:type="paragraph" w:customStyle="1" w:styleId="TOCHeading14">
    <w:name w:val="TOC Heading14"/>
    <w:next w:val="Normal"/>
    <w:qFormat/>
    <w:pPr>
      <w:wordWrap w:val="0"/>
    </w:pPr>
    <w:rPr>
      <w:rFonts w:ascii="Calibri" w:hAnsi="Calibri"/>
      <w:sz w:val="32"/>
      <w:lang w:val="en-US" w:eastAsia="zh-CN" w:bidi="ar-SA"/>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hAnsi="Calibri"/>
      <w:sz w:val="21"/>
      <w:lang w:val="en-US" w:eastAsia="zh-CN" w:bidi="ar-SA"/>
    </w:rPr>
  </w:style>
  <w:style w:type="paragraph" w:customStyle="1" w:styleId="42">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hAnsi="Calibri"/>
      <w:sz w:val="32"/>
      <w:lang w:val="en-US" w:eastAsia="zh-CN" w:bidi="ar-SA"/>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hAnsi="Calibri"/>
      <w:sz w:val="21"/>
      <w:lang w:val="en-US" w:eastAsia="zh-CN" w:bidi="ar-SA"/>
    </w:rPr>
  </w:style>
  <w:style w:type="paragraph" w:customStyle="1" w:styleId="toc51">
    <w:name w:val="toc 51"/>
    <w:next w:val="Normal"/>
    <w:qFormat/>
    <w:pPr>
      <w:wordWrap w:val="0"/>
      <w:ind w:left="1700"/>
      <w:jc w:val="both"/>
    </w:pPr>
    <w:rPr>
      <w:rFonts w:ascii="Calibri" w:hAnsi="Calibri"/>
      <w:sz w:val="21"/>
      <w:lang w:val="en-US" w:eastAsia="zh-CN" w:bidi="ar-SA"/>
    </w:rPr>
  </w:style>
  <w:style w:type="paragraph" w:customStyle="1" w:styleId="toc47">
    <w:name w:val="toc 47"/>
    <w:next w:val="Normal"/>
    <w:qFormat/>
    <w:pPr>
      <w:wordWrap w:val="0"/>
      <w:ind w:left="1275"/>
      <w:jc w:val="both"/>
    </w:pPr>
    <w:rPr>
      <w:rFonts w:ascii="Calibri" w:hAnsi="Calibri"/>
      <w:sz w:val="21"/>
      <w:lang w:val="en-US" w:eastAsia="zh-CN" w:bidi="ar-SA"/>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hAnsi="Calibri"/>
      <w:sz w:val="21"/>
      <w:lang w:val="en-US" w:eastAsia="zh-CN" w:bidi="ar-SA"/>
    </w:rPr>
  </w:style>
  <w:style w:type="paragraph" w:customStyle="1" w:styleId="TOCHeading7">
    <w:name w:val="TOC Heading7"/>
    <w:next w:val="Normal"/>
    <w:qFormat/>
    <w:pPr>
      <w:wordWrap w:val="0"/>
    </w:pPr>
    <w:rPr>
      <w:rFonts w:ascii="Calibri" w:hAnsi="Calibri"/>
      <w:sz w:val="32"/>
      <w:lang w:val="en-US" w:eastAsia="zh-CN" w:bidi="ar-SA"/>
    </w:rPr>
  </w:style>
  <w:style w:type="paragraph" w:customStyle="1" w:styleId="71">
    <w:name w:val="目录 71"/>
    <w:next w:val="Normal"/>
    <w:qFormat/>
    <w:pPr>
      <w:wordWrap w:val="0"/>
      <w:ind w:left="2550"/>
      <w:jc w:val="both"/>
    </w:pPr>
    <w:rPr>
      <w:rFonts w:ascii="Calibri" w:hAnsi="Calibri"/>
      <w:sz w:val="21"/>
      <w:lang w:val="en-US" w:eastAsia="zh-CN" w:bidi="ar-SA"/>
    </w:rPr>
  </w:style>
  <w:style w:type="paragraph" w:customStyle="1" w:styleId="toc413">
    <w:name w:val="toc 413"/>
    <w:next w:val="Normal"/>
    <w:qFormat/>
    <w:pPr>
      <w:wordWrap w:val="0"/>
      <w:ind w:left="1275"/>
      <w:jc w:val="both"/>
    </w:pPr>
    <w:rPr>
      <w:rFonts w:ascii="Calibri" w:hAnsi="Calibri"/>
      <w:sz w:val="21"/>
      <w:lang w:val="en-US" w:eastAsia="zh-CN" w:bidi="ar-SA"/>
    </w:rPr>
  </w:style>
  <w:style w:type="paragraph" w:customStyle="1" w:styleId="toc85">
    <w:name w:val="toc 85"/>
    <w:next w:val="Normal"/>
    <w:qFormat/>
    <w:pPr>
      <w:wordWrap w:val="0"/>
      <w:ind w:left="2975"/>
      <w:jc w:val="both"/>
    </w:pPr>
    <w:rPr>
      <w:rFonts w:ascii="Calibri" w:hAnsi="Calibri"/>
      <w:sz w:val="21"/>
      <w:lang w:val="en-US" w:eastAsia="zh-CN" w:bidi="ar-SA"/>
    </w:rPr>
  </w:style>
  <w:style w:type="paragraph" w:customStyle="1" w:styleId="61">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hAnsi="Calibri"/>
      <w:sz w:val="21"/>
      <w:lang w:val="en-US" w:eastAsia="zh-CN" w:bidi="ar-SA"/>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hAnsi="Calibri"/>
      <w:sz w:val="21"/>
      <w:lang w:val="en-US" w:eastAsia="zh-CN" w:bidi="ar-SA"/>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hAnsi="Calibri"/>
      <w:sz w:val="21"/>
      <w:lang w:val="en-US" w:eastAsia="zh-CN" w:bidi="ar-SA"/>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hAnsi="Calibri"/>
      <w:sz w:val="21"/>
      <w:lang w:val="en-US" w:eastAsia="zh-CN" w:bidi="ar-SA"/>
    </w:rPr>
  </w:style>
  <w:style w:type="paragraph" w:customStyle="1" w:styleId="toc46">
    <w:name w:val="toc 46"/>
    <w:next w:val="Normal"/>
    <w:qFormat/>
    <w:pPr>
      <w:wordWrap w:val="0"/>
      <w:ind w:left="1275"/>
      <w:jc w:val="both"/>
    </w:pPr>
    <w:rPr>
      <w:rFonts w:ascii="Calibri" w:hAnsi="Calibri"/>
      <w:sz w:val="21"/>
      <w:lang w:val="en-US" w:eastAsia="zh-CN" w:bidi="ar-SA"/>
    </w:rPr>
  </w:style>
  <w:style w:type="paragraph" w:customStyle="1" w:styleId="toc311">
    <w:name w:val="toc 311"/>
    <w:next w:val="Normal"/>
    <w:qFormat/>
    <w:pPr>
      <w:wordWrap w:val="0"/>
      <w:ind w:left="850"/>
      <w:jc w:val="both"/>
    </w:pPr>
    <w:rPr>
      <w:rFonts w:ascii="Calibri" w:hAnsi="Calibri"/>
      <w:sz w:val="21"/>
      <w:lang w:val="en-US" w:eastAsia="zh-CN" w:bidi="ar-SA"/>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hAnsi="Calibri"/>
      <w:sz w:val="21"/>
      <w:lang w:val="en-US" w:eastAsia="zh-CN" w:bidi="ar-SA"/>
    </w:rPr>
  </w:style>
  <w:style w:type="paragraph" w:customStyle="1" w:styleId="toc55">
    <w:name w:val="toc 55"/>
    <w:next w:val="Normal"/>
    <w:qFormat/>
    <w:pPr>
      <w:wordWrap w:val="0"/>
      <w:ind w:left="1700"/>
      <w:jc w:val="both"/>
    </w:pPr>
    <w:rPr>
      <w:rFonts w:ascii="Calibri" w:hAnsi="Calibri"/>
      <w:sz w:val="21"/>
      <w:lang w:val="en-US" w:eastAsia="zh-CN" w:bidi="ar-SA"/>
    </w:rPr>
  </w:style>
  <w:style w:type="paragraph" w:customStyle="1" w:styleId="toc812">
    <w:name w:val="toc 812"/>
    <w:next w:val="Normal"/>
    <w:qFormat/>
    <w:pPr>
      <w:wordWrap w:val="0"/>
      <w:ind w:left="2975"/>
      <w:jc w:val="both"/>
    </w:pPr>
    <w:rPr>
      <w:rFonts w:ascii="Calibri" w:hAnsi="Calibri"/>
      <w:sz w:val="21"/>
      <w:lang w:val="en-US" w:eastAsia="zh-CN" w:bidi="ar-SA"/>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hAnsi="Calibri"/>
      <w:sz w:val="21"/>
      <w:lang w:val="en-US" w:eastAsia="zh-CN" w:bidi="ar-SA"/>
    </w:rPr>
  </w:style>
  <w:style w:type="paragraph" w:customStyle="1" w:styleId="toc19">
    <w:name w:val="toc 19"/>
    <w:next w:val="Normal"/>
    <w:qFormat/>
    <w:pPr>
      <w:wordWrap w:val="0"/>
      <w:jc w:val="both"/>
    </w:pPr>
    <w:rPr>
      <w:rFonts w:ascii="Calibri" w:hAnsi="Calibri"/>
      <w:sz w:val="21"/>
      <w:lang w:val="en-US" w:eastAsia="zh-CN" w:bidi="ar-SA"/>
    </w:rPr>
  </w:style>
  <w:style w:type="paragraph" w:customStyle="1" w:styleId="TOCHeading6">
    <w:name w:val="TOC Heading6"/>
    <w:next w:val="Normal"/>
    <w:qFormat/>
    <w:pPr>
      <w:wordWrap w:val="0"/>
    </w:pPr>
    <w:rPr>
      <w:rFonts w:ascii="Calibri" w:hAnsi="Calibri"/>
      <w:sz w:val="32"/>
      <w:lang w:val="en-US" w:eastAsia="zh-CN" w:bidi="ar-SA"/>
    </w:rPr>
  </w:style>
  <w:style w:type="paragraph" w:customStyle="1" w:styleId="toc52">
    <w:name w:val="toc 52"/>
    <w:next w:val="Normal"/>
    <w:qFormat/>
    <w:pPr>
      <w:wordWrap w:val="0"/>
      <w:ind w:left="1700"/>
      <w:jc w:val="both"/>
    </w:pPr>
    <w:rPr>
      <w:rFonts w:ascii="Calibri" w:hAnsi="Calibri"/>
      <w:sz w:val="21"/>
      <w:lang w:val="en-US" w:eastAsia="zh-CN" w:bidi="ar-SA"/>
    </w:rPr>
  </w:style>
  <w:style w:type="paragraph" w:customStyle="1" w:styleId="toc36">
    <w:name w:val="toc 36"/>
    <w:next w:val="Normal"/>
    <w:qFormat/>
    <w:pPr>
      <w:wordWrap w:val="0"/>
      <w:ind w:left="850"/>
      <w:jc w:val="both"/>
    </w:pPr>
    <w:rPr>
      <w:rFonts w:ascii="Calibri" w:hAnsi="Calibri"/>
      <w:sz w:val="21"/>
      <w:lang w:val="en-US" w:eastAsia="zh-CN" w:bidi="ar-SA"/>
    </w:rPr>
  </w:style>
  <w:style w:type="paragraph" w:customStyle="1" w:styleId="toc82">
    <w:name w:val="toc 82"/>
    <w:next w:val="Normal"/>
    <w:qFormat/>
    <w:pPr>
      <w:wordWrap w:val="0"/>
      <w:ind w:left="2975"/>
      <w:jc w:val="both"/>
    </w:pPr>
    <w:rPr>
      <w:rFonts w:ascii="Calibri" w:hAnsi="Calibri"/>
      <w:sz w:val="21"/>
      <w:lang w:val="en-US" w:eastAsia="zh-CN" w:bidi="ar-SA"/>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hAnsi="Calibri"/>
      <w:sz w:val="21"/>
      <w:lang w:val="en-US" w:eastAsia="zh-CN" w:bidi="ar-SA"/>
    </w:rPr>
  </w:style>
  <w:style w:type="paragraph" w:customStyle="1" w:styleId="toc110">
    <w:name w:val="toc 110"/>
    <w:next w:val="Normal"/>
    <w:qFormat/>
    <w:pPr>
      <w:wordWrap w:val="0"/>
      <w:jc w:val="both"/>
    </w:pPr>
    <w:rPr>
      <w:rFonts w:ascii="Calibri" w:hAnsi="Calibri"/>
      <w:sz w:val="21"/>
      <w:lang w:val="en-US" w:eastAsia="zh-CN" w:bidi="ar-SA"/>
    </w:rPr>
  </w:style>
  <w:style w:type="paragraph" w:customStyle="1" w:styleId="toc66">
    <w:name w:val="toc 66"/>
    <w:next w:val="Normal"/>
    <w:qFormat/>
    <w:pPr>
      <w:wordWrap w:val="0"/>
      <w:ind w:left="2125"/>
      <w:jc w:val="both"/>
    </w:pPr>
    <w:rPr>
      <w:rFonts w:ascii="Calibri" w:hAnsi="Calibri"/>
      <w:sz w:val="21"/>
      <w:lang w:val="en-US" w:eastAsia="zh-CN" w:bidi="ar-SA"/>
    </w:rPr>
  </w:style>
  <w:style w:type="paragraph" w:customStyle="1" w:styleId="toc31">
    <w:name w:val="toc 31"/>
    <w:next w:val="Normal"/>
    <w:qFormat/>
    <w:pPr>
      <w:wordWrap w:val="0"/>
      <w:ind w:left="850"/>
      <w:jc w:val="both"/>
    </w:pPr>
    <w:rPr>
      <w:rFonts w:ascii="Calibri" w:hAnsi="Calibri"/>
      <w:sz w:val="21"/>
      <w:lang w:val="en-US" w:eastAsia="zh-CN" w:bidi="ar-SA"/>
    </w:rPr>
  </w:style>
  <w:style w:type="paragraph" w:customStyle="1" w:styleId="toc93">
    <w:name w:val="toc 93"/>
    <w:next w:val="Normal"/>
    <w:qFormat/>
    <w:pPr>
      <w:wordWrap w:val="0"/>
      <w:ind w:left="3400"/>
      <w:jc w:val="both"/>
    </w:pPr>
    <w:rPr>
      <w:rFonts w:ascii="Calibri" w:hAnsi="Calibri"/>
      <w:sz w:val="21"/>
      <w:lang w:val="en-US" w:eastAsia="zh-CN" w:bidi="ar-SA"/>
    </w:rPr>
  </w:style>
  <w:style w:type="paragraph" w:customStyle="1" w:styleId="toc614">
    <w:name w:val="toc 614"/>
    <w:next w:val="Normal"/>
    <w:qFormat/>
    <w:pPr>
      <w:wordWrap w:val="0"/>
      <w:ind w:left="2125"/>
      <w:jc w:val="both"/>
    </w:pPr>
    <w:rPr>
      <w:rFonts w:ascii="Calibri" w:hAnsi="Calibri"/>
      <w:sz w:val="21"/>
      <w:lang w:val="en-US" w:eastAsia="zh-CN" w:bidi="ar-SA"/>
    </w:rPr>
  </w:style>
  <w:style w:type="paragraph" w:customStyle="1" w:styleId="111">
    <w:name w:val="无间隔1"/>
    <w:next w:val="toc110"/>
    <w:qFormat/>
    <w:pPr>
      <w:widowControl w:val="0"/>
      <w:jc w:val="both"/>
    </w:pPr>
    <w:rPr>
      <w:rFonts w:ascii="Calibri" w:hAnsi="Calibri"/>
      <w:sz w:val="22"/>
      <w:lang w:val="en-US" w:eastAsia="zh-CN" w:bidi="ar-SA"/>
    </w:rPr>
  </w:style>
  <w:style w:type="paragraph" w:customStyle="1" w:styleId="410">
    <w:name w:val="目录 41"/>
    <w:next w:val="Normal"/>
    <w:qFormat/>
    <w:pPr>
      <w:wordWrap w:val="0"/>
      <w:ind w:left="1275"/>
      <w:jc w:val="both"/>
    </w:pPr>
    <w:rPr>
      <w:rFonts w:ascii="Calibri" w:hAnsi="Calibri"/>
      <w:sz w:val="21"/>
      <w:lang w:val="en-US" w:eastAsia="zh-CN" w:bidi="ar-SA"/>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hAnsi="Calibri"/>
      <w:sz w:val="21"/>
      <w:lang w:val="en-US" w:eastAsia="zh-CN" w:bidi="ar-SA"/>
    </w:rPr>
  </w:style>
  <w:style w:type="paragraph" w:customStyle="1" w:styleId="toc41">
    <w:name w:val="toc 41"/>
    <w:next w:val="Normal"/>
    <w:qFormat/>
    <w:pPr>
      <w:wordWrap w:val="0"/>
      <w:ind w:left="1275"/>
      <w:jc w:val="both"/>
    </w:pPr>
    <w:rPr>
      <w:rFonts w:ascii="Calibri" w:hAnsi="Calibri"/>
      <w:sz w:val="21"/>
      <w:lang w:val="en-US" w:eastAsia="zh-CN" w:bidi="ar-SA"/>
    </w:rPr>
  </w:style>
  <w:style w:type="paragraph" w:customStyle="1" w:styleId="toc81">
    <w:name w:val="toc 81"/>
    <w:next w:val="Normal"/>
    <w:qFormat/>
    <w:pPr>
      <w:wordWrap w:val="0"/>
      <w:ind w:left="2975"/>
      <w:jc w:val="both"/>
    </w:pPr>
    <w:rPr>
      <w:rFonts w:ascii="Calibri" w:hAnsi="Calibri"/>
      <w:sz w:val="21"/>
      <w:lang w:val="en-US" w:eastAsia="zh-CN" w:bidi="ar-SA"/>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hAnsi="Calibri"/>
      <w:sz w:val="21"/>
      <w:lang w:val="en-US" w:eastAsia="zh-CN" w:bidi="ar-SA"/>
    </w:rPr>
  </w:style>
  <w:style w:type="paragraph" w:customStyle="1" w:styleId="toc84">
    <w:name w:val="toc 84"/>
    <w:next w:val="Normal"/>
    <w:qFormat/>
    <w:pPr>
      <w:wordWrap w:val="0"/>
      <w:ind w:left="2975"/>
      <w:jc w:val="both"/>
    </w:pPr>
    <w:rPr>
      <w:rFonts w:ascii="Calibri" w:hAnsi="Calibri"/>
      <w:sz w:val="21"/>
      <w:lang w:val="en-US" w:eastAsia="zh-CN" w:bidi="ar-SA"/>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hAnsi="Calibri"/>
      <w:sz w:val="21"/>
      <w:lang w:val="en-US" w:eastAsia="zh-CN" w:bidi="ar-SA"/>
    </w:rPr>
  </w:style>
  <w:style w:type="paragraph" w:customStyle="1" w:styleId="112">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hAnsi="Calibri"/>
      <w:sz w:val="21"/>
      <w:lang w:val="en-US" w:eastAsia="zh-CN" w:bidi="ar-SA"/>
    </w:rPr>
  </w:style>
  <w:style w:type="paragraph" w:customStyle="1" w:styleId="toc63">
    <w:name w:val="toc 63"/>
    <w:next w:val="Normal"/>
    <w:qFormat/>
    <w:pPr>
      <w:wordWrap w:val="0"/>
      <w:ind w:left="2125"/>
      <w:jc w:val="both"/>
    </w:pPr>
    <w:rPr>
      <w:rFonts w:ascii="Calibri" w:hAnsi="Calibri"/>
      <w:sz w:val="21"/>
      <w:lang w:val="en-US" w:eastAsia="zh-CN" w:bidi="ar-SA"/>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hAnsi="Calibri"/>
      <w:sz w:val="21"/>
      <w:lang w:val="en-US" w:eastAsia="zh-CN" w:bidi="ar-SA"/>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hAnsi="Calibri"/>
      <w:sz w:val="32"/>
      <w:lang w:val="en-US" w:eastAsia="zh-CN" w:bidi="ar-SA"/>
    </w:rPr>
  </w:style>
  <w:style w:type="paragraph" w:customStyle="1" w:styleId="toc116">
    <w:name w:val="toc 116"/>
    <w:next w:val="Normal"/>
    <w:qFormat/>
    <w:pPr>
      <w:wordWrap w:val="0"/>
      <w:jc w:val="both"/>
    </w:pPr>
    <w:rPr>
      <w:rFonts w:ascii="Calibri" w:hAnsi="Calibri"/>
      <w:sz w:val="21"/>
      <w:lang w:val="en-US" w:eastAsia="zh-CN" w:bidi="ar-SA"/>
    </w:rPr>
  </w:style>
  <w:style w:type="paragraph" w:customStyle="1" w:styleId="toc72">
    <w:name w:val="toc 72"/>
    <w:next w:val="Normal"/>
    <w:qFormat/>
    <w:pPr>
      <w:wordWrap w:val="0"/>
      <w:ind w:left="2550"/>
      <w:jc w:val="both"/>
    </w:pPr>
    <w:rPr>
      <w:rFonts w:ascii="Calibri" w:hAnsi="Calibri"/>
      <w:sz w:val="21"/>
      <w:lang w:val="en-US" w:eastAsia="zh-CN" w:bidi="ar-SA"/>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hAnsi="Calibri"/>
      <w:sz w:val="21"/>
      <w:lang w:val="en-US" w:eastAsia="zh-CN" w:bidi="ar-SA"/>
    </w:rPr>
  </w:style>
  <w:style w:type="paragraph" w:customStyle="1" w:styleId="toc83">
    <w:name w:val="toc 83"/>
    <w:next w:val="Normal"/>
    <w:qFormat/>
    <w:pPr>
      <w:wordWrap w:val="0"/>
      <w:ind w:left="2975"/>
      <w:jc w:val="both"/>
    </w:pPr>
    <w:rPr>
      <w:rFonts w:ascii="Calibri" w:hAnsi="Calibri"/>
      <w:sz w:val="21"/>
      <w:lang w:val="en-US" w:eastAsia="zh-CN" w:bidi="ar-SA"/>
    </w:rPr>
  </w:style>
  <w:style w:type="paragraph" w:customStyle="1" w:styleId="TOCHeading17">
    <w:name w:val="TOC Heading17"/>
    <w:next w:val="Normal"/>
    <w:qFormat/>
    <w:pPr>
      <w:wordWrap w:val="0"/>
    </w:pPr>
    <w:rPr>
      <w:rFonts w:ascii="Calibri" w:hAnsi="Calibri"/>
      <w:sz w:val="32"/>
      <w:lang w:val="en-US" w:eastAsia="zh-CN" w:bidi="ar-SA"/>
    </w:rPr>
  </w:style>
  <w:style w:type="paragraph" w:customStyle="1" w:styleId="toc911">
    <w:name w:val="toc 911"/>
    <w:next w:val="Normal"/>
    <w:qFormat/>
    <w:pPr>
      <w:wordWrap w:val="0"/>
      <w:ind w:left="3400"/>
      <w:jc w:val="both"/>
    </w:pPr>
    <w:rPr>
      <w:rFonts w:ascii="Calibri" w:hAnsi="Calibri"/>
      <w:sz w:val="21"/>
      <w:lang w:val="en-US" w:eastAsia="zh-CN" w:bidi="ar-SA"/>
    </w:rPr>
  </w:style>
  <w:style w:type="paragraph" w:customStyle="1" w:styleId="toc811">
    <w:name w:val="toc 811"/>
    <w:next w:val="Normal"/>
    <w:qFormat/>
    <w:pPr>
      <w:wordWrap w:val="0"/>
      <w:ind w:left="2975"/>
      <w:jc w:val="both"/>
    </w:pPr>
    <w:rPr>
      <w:rFonts w:ascii="Calibri" w:hAnsi="Calibri"/>
      <w:sz w:val="21"/>
      <w:lang w:val="en-US" w:eastAsia="zh-CN" w:bidi="ar-SA"/>
    </w:rPr>
  </w:style>
  <w:style w:type="paragraph" w:customStyle="1" w:styleId="310">
    <w:name w:val="目录 31"/>
    <w:next w:val="Normal"/>
    <w:qFormat/>
    <w:pPr>
      <w:wordWrap w:val="0"/>
      <w:ind w:left="850"/>
      <w:jc w:val="both"/>
    </w:pPr>
    <w:rPr>
      <w:rFonts w:ascii="Calibri" w:hAnsi="Calibri"/>
      <w:sz w:val="21"/>
      <w:lang w:val="en-US" w:eastAsia="zh-CN" w:bidi="ar-SA"/>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hAnsi="Calibri"/>
      <w:sz w:val="21"/>
      <w:lang w:val="en-US" w:eastAsia="zh-CN" w:bidi="ar-SA"/>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hAnsi="Calibri"/>
      <w:sz w:val="32"/>
      <w:lang w:val="en-US" w:eastAsia="zh-CN" w:bidi="ar-SA"/>
    </w:rPr>
  </w:style>
  <w:style w:type="paragraph" w:customStyle="1" w:styleId="toc113">
    <w:name w:val="toc 113"/>
    <w:next w:val="Normal"/>
    <w:qFormat/>
    <w:pPr>
      <w:wordWrap w:val="0"/>
      <w:jc w:val="both"/>
    </w:pPr>
    <w:rPr>
      <w:rFonts w:ascii="Calibri" w:hAnsi="Calibri"/>
      <w:sz w:val="21"/>
      <w:lang w:val="en-US" w:eastAsia="zh-CN" w:bidi="ar-SA"/>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hAnsi="Calibri"/>
      <w:sz w:val="21"/>
      <w:lang w:val="en-US" w:eastAsia="zh-CN" w:bidi="ar-SA"/>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hAnsi="Calibri"/>
      <w:sz w:val="21"/>
      <w:lang w:val="en-US" w:eastAsia="zh-CN" w:bidi="ar-SA"/>
    </w:rPr>
  </w:style>
  <w:style w:type="paragraph" w:customStyle="1" w:styleId="toc512">
    <w:name w:val="toc 512"/>
    <w:next w:val="Normal"/>
    <w:qFormat/>
    <w:pPr>
      <w:wordWrap w:val="0"/>
      <w:ind w:left="1700"/>
      <w:jc w:val="both"/>
    </w:pPr>
    <w:rPr>
      <w:rFonts w:ascii="Calibri" w:hAnsi="Calibri"/>
      <w:sz w:val="21"/>
      <w:lang w:val="en-US" w:eastAsia="zh-CN" w:bidi="ar-SA"/>
    </w:rPr>
  </w:style>
  <w:style w:type="paragraph" w:customStyle="1" w:styleId="810">
    <w:name w:val="目录 81"/>
    <w:next w:val="Normal"/>
    <w:qFormat/>
    <w:pPr>
      <w:wordWrap w:val="0"/>
      <w:ind w:left="2975"/>
      <w:jc w:val="both"/>
    </w:pPr>
    <w:rPr>
      <w:rFonts w:ascii="Calibri" w:hAnsi="Calibri"/>
      <w:sz w:val="21"/>
      <w:lang w:val="en-US" w:eastAsia="zh-CN" w:bidi="ar-SA"/>
    </w:rPr>
  </w:style>
  <w:style w:type="paragraph" w:customStyle="1" w:styleId="a32">
    <w:name w:val="正文表标题"/>
    <w:next w:val="Normal"/>
    <w:qFormat/>
    <w:pPr>
      <w:ind w:left="630"/>
      <w:jc w:val="center"/>
    </w:pPr>
    <w:rPr>
      <w:rFonts w:ascii="黑体" w:eastAsia="黑体" w:hAnsi="Calibri"/>
      <w:sz w:val="21"/>
      <w:lang w:val="en-US" w:eastAsia="zh-CN" w:bidi="ar-SA"/>
    </w:rPr>
  </w:style>
  <w:style w:type="paragraph" w:customStyle="1" w:styleId="toc28">
    <w:name w:val="toc 28"/>
    <w:next w:val="Normal"/>
    <w:qFormat/>
    <w:pPr>
      <w:wordWrap w:val="0"/>
      <w:ind w:left="425"/>
      <w:jc w:val="both"/>
    </w:pPr>
    <w:rPr>
      <w:rFonts w:ascii="Calibri" w:hAnsi="Calibri"/>
      <w:sz w:val="21"/>
      <w:lang w:val="en-US" w:eastAsia="zh-CN" w:bidi="ar-SA"/>
    </w:rPr>
  </w:style>
  <w:style w:type="paragraph" w:customStyle="1" w:styleId="toc79">
    <w:name w:val="toc 79"/>
    <w:next w:val="Normal"/>
    <w:qFormat/>
    <w:pPr>
      <w:wordWrap w:val="0"/>
      <w:ind w:left="2550"/>
      <w:jc w:val="both"/>
    </w:pPr>
    <w:rPr>
      <w:rFonts w:ascii="Calibri" w:hAnsi="Calibri"/>
      <w:sz w:val="21"/>
      <w:lang w:val="en-US" w:eastAsia="zh-CN" w:bidi="ar-SA"/>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hAnsi="Calibri"/>
      <w:sz w:val="21"/>
      <w:lang w:val="en-US" w:eastAsia="zh-CN" w:bidi="ar-SA"/>
    </w:rPr>
  </w:style>
  <w:style w:type="paragraph" w:customStyle="1" w:styleId="toc416">
    <w:name w:val="toc 416"/>
    <w:next w:val="Normal"/>
    <w:qFormat/>
    <w:pPr>
      <w:wordWrap w:val="0"/>
      <w:ind w:left="1275"/>
      <w:jc w:val="both"/>
    </w:pPr>
    <w:rPr>
      <w:rFonts w:ascii="Calibri" w:hAnsi="Calibri"/>
      <w:sz w:val="21"/>
      <w:lang w:val="en-US" w:eastAsia="zh-CN" w:bidi="ar-SA"/>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hAnsi="Calibri"/>
      <w:sz w:val="21"/>
      <w:lang w:val="en-US" w:eastAsia="zh-CN" w:bidi="ar-SA"/>
    </w:rPr>
  </w:style>
  <w:style w:type="paragraph" w:customStyle="1" w:styleId="toc27">
    <w:name w:val="toc 27"/>
    <w:next w:val="Normal"/>
    <w:qFormat/>
    <w:pPr>
      <w:wordWrap w:val="0"/>
      <w:ind w:left="425"/>
      <w:jc w:val="both"/>
    </w:pPr>
    <w:rPr>
      <w:rFonts w:ascii="Calibri" w:hAnsi="Calibri"/>
      <w:sz w:val="21"/>
      <w:lang w:val="en-US" w:eastAsia="zh-CN" w:bidi="ar-SA"/>
    </w:rPr>
  </w:style>
  <w:style w:type="paragraph" w:customStyle="1" w:styleId="toc916">
    <w:name w:val="toc 916"/>
    <w:next w:val="Normal"/>
    <w:qFormat/>
    <w:pPr>
      <w:wordWrap w:val="0"/>
      <w:ind w:left="3400"/>
      <w:jc w:val="both"/>
    </w:pPr>
    <w:rPr>
      <w:rFonts w:ascii="Calibri" w:hAnsi="Calibri"/>
      <w:sz w:val="21"/>
      <w:lang w:val="en-US" w:eastAsia="zh-CN" w:bidi="ar-SA"/>
    </w:rPr>
  </w:style>
  <w:style w:type="paragraph" w:customStyle="1" w:styleId="toc77">
    <w:name w:val="toc 77"/>
    <w:next w:val="Normal"/>
    <w:qFormat/>
    <w:pPr>
      <w:wordWrap w:val="0"/>
      <w:ind w:left="2550"/>
      <w:jc w:val="both"/>
    </w:pPr>
    <w:rPr>
      <w:rFonts w:ascii="Calibri" w:hAnsi="Calibri"/>
      <w:sz w:val="21"/>
      <w:lang w:val="en-US" w:eastAsia="zh-CN" w:bidi="ar-SA"/>
    </w:rPr>
  </w:style>
  <w:style w:type="paragraph" w:customStyle="1" w:styleId="toc211">
    <w:name w:val="toc 211"/>
    <w:next w:val="Normal"/>
    <w:qFormat/>
    <w:pPr>
      <w:wordWrap w:val="0"/>
      <w:ind w:left="425"/>
      <w:jc w:val="both"/>
    </w:pPr>
    <w:rPr>
      <w:rFonts w:ascii="Calibri" w:hAnsi="Calibri"/>
      <w:sz w:val="21"/>
      <w:lang w:val="en-US" w:eastAsia="zh-CN" w:bidi="ar-SA"/>
    </w:rPr>
  </w:style>
  <w:style w:type="paragraph" w:customStyle="1" w:styleId="toc815">
    <w:name w:val="toc 815"/>
    <w:next w:val="Normal"/>
    <w:qFormat/>
    <w:pPr>
      <w:wordWrap w:val="0"/>
      <w:ind w:left="2975"/>
      <w:jc w:val="both"/>
    </w:pPr>
    <w:rPr>
      <w:rFonts w:ascii="Calibri" w:hAnsi="Calibri"/>
      <w:sz w:val="21"/>
      <w:lang w:val="en-US" w:eastAsia="zh-CN" w:bidi="ar-SA"/>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hAnsi="Calibri"/>
      <w:sz w:val="21"/>
      <w:lang w:val="en-US" w:eastAsia="zh-CN" w:bidi="ar-SA"/>
    </w:rPr>
  </w:style>
  <w:style w:type="paragraph" w:customStyle="1" w:styleId="toc315">
    <w:name w:val="toc 315"/>
    <w:next w:val="Normal"/>
    <w:qFormat/>
    <w:pPr>
      <w:wordWrap w:val="0"/>
      <w:ind w:left="850"/>
      <w:jc w:val="both"/>
    </w:pPr>
    <w:rPr>
      <w:rFonts w:ascii="Calibri" w:hAnsi="Calibri"/>
      <w:sz w:val="21"/>
      <w:lang w:val="en-US" w:eastAsia="zh-CN" w:bidi="ar-SA"/>
    </w:rPr>
  </w:style>
  <w:style w:type="paragraph" w:customStyle="1" w:styleId="TOCHeading15">
    <w:name w:val="TOC Heading15"/>
    <w:next w:val="Normal"/>
    <w:qFormat/>
    <w:pPr>
      <w:wordWrap w:val="0"/>
    </w:pPr>
    <w:rPr>
      <w:rFonts w:ascii="Calibri" w:hAnsi="Calibri"/>
      <w:sz w:val="32"/>
      <w:lang w:val="en-US" w:eastAsia="zh-CN" w:bidi="ar-SA"/>
    </w:rPr>
  </w:style>
  <w:style w:type="paragraph" w:customStyle="1" w:styleId="toc915">
    <w:name w:val="toc 915"/>
    <w:next w:val="Normal"/>
    <w:qFormat/>
    <w:pPr>
      <w:wordWrap w:val="0"/>
      <w:ind w:left="3400"/>
      <w:jc w:val="both"/>
    </w:pPr>
    <w:rPr>
      <w:rFonts w:ascii="Calibri" w:hAnsi="Calibri"/>
      <w:sz w:val="21"/>
      <w:lang w:val="en-US" w:eastAsia="zh-CN" w:bidi="ar-SA"/>
    </w:rPr>
  </w:style>
  <w:style w:type="paragraph" w:customStyle="1" w:styleId="toc39">
    <w:name w:val="toc 39"/>
    <w:next w:val="Normal"/>
    <w:qFormat/>
    <w:pPr>
      <w:wordWrap w:val="0"/>
      <w:ind w:left="850"/>
      <w:jc w:val="both"/>
    </w:pPr>
    <w:rPr>
      <w:rFonts w:ascii="Calibri" w:hAnsi="Calibri"/>
      <w:sz w:val="21"/>
      <w:lang w:val="en-US" w:eastAsia="zh-CN" w:bidi="ar-SA"/>
    </w:rPr>
  </w:style>
  <w:style w:type="paragraph" w:customStyle="1" w:styleId="toc710">
    <w:name w:val="toc 710"/>
    <w:next w:val="Normal"/>
    <w:qFormat/>
    <w:pPr>
      <w:wordWrap w:val="0"/>
      <w:ind w:left="2550"/>
      <w:jc w:val="both"/>
    </w:pPr>
    <w:rPr>
      <w:rFonts w:ascii="Calibri" w:hAnsi="Calibri"/>
      <w:sz w:val="21"/>
      <w:lang w:val="en-US" w:eastAsia="zh-CN" w:bidi="ar-SA"/>
    </w:rPr>
  </w:style>
  <w:style w:type="paragraph" w:customStyle="1" w:styleId="toc12">
    <w:name w:val="toc 12"/>
    <w:next w:val="Normal"/>
    <w:qFormat/>
    <w:pPr>
      <w:wordWrap w:val="0"/>
      <w:jc w:val="both"/>
    </w:pPr>
    <w:rPr>
      <w:rFonts w:ascii="Calibri" w:hAnsi="Calibri"/>
      <w:sz w:val="21"/>
      <w:lang w:val="en-US" w:eastAsia="zh-CN" w:bidi="ar-SA"/>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hAnsi="Calibri"/>
      <w:sz w:val="21"/>
      <w:lang w:val="en-US" w:eastAsia="zh-CN" w:bidi="ar-SA"/>
    </w:rPr>
  </w:style>
  <w:style w:type="paragraph" w:customStyle="1" w:styleId="toc29">
    <w:name w:val="toc 29"/>
    <w:next w:val="Normal"/>
    <w:qFormat/>
    <w:pPr>
      <w:wordWrap w:val="0"/>
      <w:ind w:left="425"/>
      <w:jc w:val="both"/>
    </w:pPr>
    <w:rPr>
      <w:rFonts w:ascii="Calibri" w:hAnsi="Calibri"/>
      <w:sz w:val="21"/>
      <w:lang w:val="en-US" w:eastAsia="zh-CN" w:bidi="ar-SA"/>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hAnsi="Calibri"/>
      <w:sz w:val="21"/>
      <w:lang w:val="en-US" w:eastAsia="zh-CN" w:bidi="ar-SA"/>
    </w:rPr>
  </w:style>
  <w:style w:type="paragraph" w:customStyle="1" w:styleId="toc21">
    <w:name w:val="toc 21"/>
    <w:next w:val="Normal"/>
    <w:qFormat/>
    <w:pPr>
      <w:wordWrap w:val="0"/>
      <w:ind w:left="425"/>
      <w:jc w:val="both"/>
    </w:pPr>
    <w:rPr>
      <w:rFonts w:ascii="Calibri" w:hAnsi="Calibri"/>
      <w:sz w:val="21"/>
      <w:lang w:val="en-US" w:eastAsia="zh-CN" w:bidi="ar-SA"/>
    </w:rPr>
  </w:style>
  <w:style w:type="paragraph" w:customStyle="1" w:styleId="A33">
    <w:name w:val="正文 A"/>
    <w:next w:val="toc812"/>
    <w:qFormat/>
    <w:rPr>
      <w:rFonts w:ascii="Arial" w:eastAsia="Arial Unicode MS" w:hAnsi="Calibri"/>
      <w:color w:val="000000"/>
      <w:sz w:val="21"/>
      <w:lang w:val="en-US" w:eastAsia="zh-CN" w:bidi="ar-SA"/>
    </w:rPr>
  </w:style>
  <w:style w:type="paragraph" w:customStyle="1" w:styleId="toc68">
    <w:name w:val="toc 68"/>
    <w:next w:val="Normal"/>
    <w:qFormat/>
    <w:pPr>
      <w:wordWrap w:val="0"/>
      <w:ind w:left="2125"/>
      <w:jc w:val="both"/>
    </w:pPr>
    <w:rPr>
      <w:rFonts w:ascii="Calibri" w:hAnsi="Calibri"/>
      <w:sz w:val="21"/>
      <w:lang w:val="en-US" w:eastAsia="zh-CN" w:bidi="ar-SA"/>
    </w:rPr>
  </w:style>
  <w:style w:type="paragraph" w:customStyle="1" w:styleId="toc58">
    <w:name w:val="toc 58"/>
    <w:next w:val="Normal"/>
    <w:qFormat/>
    <w:pPr>
      <w:wordWrap w:val="0"/>
      <w:ind w:left="1700"/>
      <w:jc w:val="both"/>
    </w:pPr>
    <w:rPr>
      <w:rFonts w:ascii="Calibri" w:hAnsi="Calibri"/>
      <w:sz w:val="21"/>
      <w:lang w:val="en-US" w:eastAsia="zh-CN" w:bidi="ar-SA"/>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hAnsi="Calibri"/>
      <w:sz w:val="21"/>
      <w:lang w:val="en-US" w:eastAsia="zh-CN" w:bidi="ar-SA"/>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hAnsi="Calibri"/>
      <w:sz w:val="21"/>
      <w:lang w:val="en-US" w:eastAsia="zh-CN" w:bidi="ar-SA"/>
    </w:rPr>
  </w:style>
  <w:style w:type="paragraph" w:customStyle="1" w:styleId="toc314">
    <w:name w:val="toc 314"/>
    <w:next w:val="Normal"/>
    <w:qFormat/>
    <w:pPr>
      <w:wordWrap w:val="0"/>
      <w:ind w:left="850"/>
      <w:jc w:val="both"/>
    </w:pPr>
    <w:rPr>
      <w:rFonts w:ascii="Calibri" w:hAnsi="Calibri"/>
      <w:sz w:val="21"/>
      <w:lang w:val="en-US" w:eastAsia="zh-CN" w:bidi="ar-SA"/>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hAnsi="Calibri"/>
      <w:sz w:val="21"/>
      <w:lang w:val="en-US" w:eastAsia="zh-CN" w:bidi="ar-SA"/>
    </w:rPr>
  </w:style>
  <w:style w:type="paragraph" w:customStyle="1" w:styleId="toc22">
    <w:name w:val="toc 22"/>
    <w:next w:val="Normal"/>
    <w:qFormat/>
    <w:pPr>
      <w:wordWrap w:val="0"/>
      <w:ind w:left="425"/>
      <w:jc w:val="both"/>
    </w:pPr>
    <w:rPr>
      <w:rFonts w:ascii="Calibri" w:hAnsi="Calibri"/>
      <w:sz w:val="21"/>
      <w:lang w:val="en-US" w:eastAsia="zh-CN" w:bidi="ar-SA"/>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hAnsi="Calibri"/>
      <w:sz w:val="21"/>
      <w:lang w:val="en-US" w:eastAsia="zh-CN" w:bidi="ar-SA"/>
    </w:rPr>
  </w:style>
  <w:style w:type="paragraph" w:customStyle="1" w:styleId="toc96">
    <w:name w:val="toc 96"/>
    <w:next w:val="Normal"/>
    <w:qFormat/>
    <w:pPr>
      <w:wordWrap w:val="0"/>
      <w:ind w:left="3400"/>
      <w:jc w:val="both"/>
    </w:pPr>
    <w:rPr>
      <w:rFonts w:ascii="Calibri" w:hAnsi="Calibri"/>
      <w:sz w:val="21"/>
      <w:lang w:val="en-US" w:eastAsia="zh-CN" w:bidi="ar-SA"/>
    </w:rPr>
  </w:style>
  <w:style w:type="paragraph" w:customStyle="1" w:styleId="toc42">
    <w:name w:val="toc 42"/>
    <w:next w:val="Normal"/>
    <w:qFormat/>
    <w:pPr>
      <w:wordWrap w:val="0"/>
      <w:ind w:left="1275"/>
      <w:jc w:val="both"/>
    </w:pPr>
    <w:rPr>
      <w:rFonts w:ascii="Calibri" w:hAnsi="Calibri"/>
      <w:sz w:val="21"/>
      <w:lang w:val="en-US" w:eastAsia="zh-CN" w:bidi="ar-SA"/>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hAnsi="Calibri"/>
      <w:sz w:val="21"/>
      <w:lang w:val="en-US" w:eastAsia="zh-CN" w:bidi="ar-SA"/>
    </w:rPr>
  </w:style>
  <w:style w:type="paragraph" w:customStyle="1" w:styleId="72">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hAnsi="Calibri"/>
      <w:sz w:val="21"/>
      <w:lang w:val="en-US" w:eastAsia="zh-CN" w:bidi="ar-SA"/>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hAnsi="Calibri"/>
      <w:sz w:val="21"/>
      <w:lang w:val="en-US" w:eastAsia="zh-CN" w:bidi="ar-SA"/>
    </w:rPr>
  </w:style>
  <w:style w:type="paragraph" w:customStyle="1" w:styleId="toc34">
    <w:name w:val="toc 34"/>
    <w:next w:val="Normal"/>
    <w:qFormat/>
    <w:pPr>
      <w:wordWrap w:val="0"/>
      <w:ind w:left="850"/>
      <w:jc w:val="both"/>
    </w:pPr>
    <w:rPr>
      <w:rFonts w:ascii="Calibri" w:hAnsi="Calibri"/>
      <w:sz w:val="21"/>
      <w:lang w:val="en-US" w:eastAsia="zh-CN" w:bidi="ar-SA"/>
    </w:rPr>
  </w:style>
  <w:style w:type="paragraph" w:customStyle="1" w:styleId="toc816">
    <w:name w:val="toc 816"/>
    <w:next w:val="Normal"/>
    <w:qFormat/>
    <w:pPr>
      <w:wordWrap w:val="0"/>
      <w:ind w:left="2975"/>
      <w:jc w:val="both"/>
    </w:pPr>
    <w:rPr>
      <w:rFonts w:ascii="Calibri" w:hAnsi="Calibri"/>
      <w:sz w:val="21"/>
      <w:lang w:val="en-US" w:eastAsia="zh-CN" w:bidi="ar-SA"/>
    </w:rPr>
  </w:style>
  <w:style w:type="paragraph" w:customStyle="1" w:styleId="toc43">
    <w:name w:val="toc 43"/>
    <w:next w:val="Normal"/>
    <w:qFormat/>
    <w:pPr>
      <w:wordWrap w:val="0"/>
      <w:ind w:left="1275"/>
      <w:jc w:val="both"/>
    </w:pPr>
    <w:rPr>
      <w:rFonts w:ascii="Calibri" w:hAnsi="Calibri"/>
      <w:sz w:val="21"/>
      <w:lang w:val="en-US" w:eastAsia="zh-CN" w:bidi="ar-SA"/>
    </w:rPr>
  </w:style>
  <w:style w:type="paragraph" w:customStyle="1" w:styleId="toc16">
    <w:name w:val="toc 16"/>
    <w:next w:val="Normal"/>
    <w:qFormat/>
    <w:pPr>
      <w:wordWrap w:val="0"/>
      <w:jc w:val="both"/>
    </w:pPr>
    <w:rPr>
      <w:rFonts w:ascii="Calibri" w:hAnsi="Calibri"/>
      <w:sz w:val="21"/>
      <w:lang w:val="en-US" w:eastAsia="zh-CN" w:bidi="ar-SA"/>
    </w:rPr>
  </w:style>
  <w:style w:type="paragraph" w:styleId="Quote">
    <w:name w:val="Quote"/>
    <w:next w:val="Normal"/>
    <w:link w:val="a34"/>
    <w:qFormat/>
    <w:pPr>
      <w:wordWrap w:val="0"/>
      <w:spacing w:before="200" w:after="160"/>
      <w:ind w:left="864" w:right="864"/>
      <w:jc w:val="center"/>
    </w:pPr>
    <w:rPr>
      <w:rFonts w:ascii="Calibri" w:hAnsi="Calibri"/>
      <w:i/>
      <w:sz w:val="21"/>
      <w:lang w:val="en-US" w:eastAsia="zh-CN" w:bidi="ar-SA"/>
    </w:rPr>
  </w:style>
  <w:style w:type="character" w:customStyle="1" w:styleId="a34">
    <w:name w:val="引用 字符"/>
    <w:link w:val="Quote"/>
    <w:qFormat/>
    <w:rPr>
      <w:rFonts w:ascii="Calibri" w:hAnsi="Calibri"/>
      <w:i/>
      <w:sz w:val="21"/>
    </w:rPr>
  </w:style>
  <w:style w:type="paragraph" w:customStyle="1" w:styleId="toc114">
    <w:name w:val="toc 114"/>
    <w:next w:val="Normal"/>
    <w:qFormat/>
    <w:pPr>
      <w:wordWrap w:val="0"/>
      <w:jc w:val="both"/>
    </w:pPr>
    <w:rPr>
      <w:rFonts w:ascii="Calibri" w:hAnsi="Calibri"/>
      <w:sz w:val="21"/>
      <w:lang w:val="en-US" w:eastAsia="zh-CN" w:bidi="ar-SA"/>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hAnsi="Calibri"/>
      <w:sz w:val="21"/>
      <w:lang w:val="en-US" w:eastAsia="zh-CN" w:bidi="ar-SA"/>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hAnsi="Calibri"/>
      <w:sz w:val="21"/>
      <w:lang w:val="en-US" w:eastAsia="zh-CN" w:bidi="ar-SA"/>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hAnsi="Calibri"/>
      <w:sz w:val="21"/>
      <w:lang w:val="en-US" w:eastAsia="zh-CN" w:bidi="ar-SA"/>
    </w:rPr>
  </w:style>
  <w:style w:type="paragraph" w:customStyle="1" w:styleId="toc216">
    <w:name w:val="toc 216"/>
    <w:next w:val="Normal"/>
    <w:qFormat/>
    <w:pPr>
      <w:wordWrap w:val="0"/>
      <w:ind w:left="425"/>
      <w:jc w:val="both"/>
    </w:pPr>
    <w:rPr>
      <w:rFonts w:ascii="Calibri" w:hAnsi="Calibri"/>
      <w:sz w:val="21"/>
      <w:lang w:val="en-US" w:eastAsia="zh-CN" w:bidi="ar-SA"/>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hAnsi="Calibri"/>
      <w:sz w:val="21"/>
      <w:lang w:val="en-US" w:eastAsia="zh-CN" w:bidi="ar-SA"/>
    </w:rPr>
  </w:style>
  <w:style w:type="paragraph" w:customStyle="1" w:styleId="toc61">
    <w:name w:val="toc 61"/>
    <w:next w:val="Normal"/>
    <w:qFormat/>
    <w:pPr>
      <w:wordWrap w:val="0"/>
      <w:ind w:left="2125"/>
      <w:jc w:val="both"/>
    </w:pPr>
    <w:rPr>
      <w:rFonts w:ascii="Calibri" w:hAnsi="Calibri"/>
      <w:sz w:val="21"/>
      <w:lang w:val="en-US" w:eastAsia="zh-CN" w:bidi="ar-SA"/>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hAnsi="Calibri"/>
      <w:sz w:val="21"/>
      <w:lang w:val="en-US" w:eastAsia="zh-CN" w:bidi="ar-SA"/>
    </w:rPr>
  </w:style>
  <w:style w:type="paragraph" w:customStyle="1" w:styleId="toc13">
    <w:name w:val="toc 13"/>
    <w:next w:val="Normal"/>
    <w:qFormat/>
    <w:pPr>
      <w:wordWrap w:val="0"/>
      <w:jc w:val="both"/>
    </w:pPr>
    <w:rPr>
      <w:rFonts w:ascii="Calibri" w:hAnsi="Calibri"/>
      <w:sz w:val="21"/>
      <w:lang w:val="en-US" w:eastAsia="zh-CN" w:bidi="ar-SA"/>
    </w:rPr>
  </w:style>
  <w:style w:type="paragraph" w:customStyle="1" w:styleId="510">
    <w:name w:val="目录 51"/>
    <w:next w:val="Normal"/>
    <w:qFormat/>
    <w:pPr>
      <w:wordWrap w:val="0"/>
      <w:ind w:left="1700"/>
      <w:jc w:val="both"/>
    </w:pPr>
    <w:rPr>
      <w:rFonts w:ascii="Calibri" w:hAnsi="Calibri"/>
      <w:sz w:val="21"/>
      <w:lang w:val="en-US" w:eastAsia="zh-CN" w:bidi="ar-SA"/>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hAnsi="Calibri"/>
      <w:sz w:val="21"/>
      <w:lang w:val="en-US" w:eastAsia="zh-CN" w:bidi="ar-SA"/>
    </w:rPr>
  </w:style>
  <w:style w:type="paragraph" w:customStyle="1" w:styleId="toc715">
    <w:name w:val="toc 715"/>
    <w:next w:val="Normal"/>
    <w:qFormat/>
    <w:pPr>
      <w:wordWrap w:val="0"/>
      <w:ind w:left="2550"/>
      <w:jc w:val="both"/>
    </w:pPr>
    <w:rPr>
      <w:rFonts w:ascii="Calibri" w:hAnsi="Calibri"/>
      <w:sz w:val="21"/>
      <w:lang w:val="en-US" w:eastAsia="zh-CN" w:bidi="ar-SA"/>
    </w:rPr>
  </w:style>
  <w:style w:type="paragraph" w:styleId="IntenseQuote">
    <w:name w:val="Intense Quote"/>
    <w:next w:val="Normal"/>
    <w:link w:val="a35"/>
    <w:qFormat/>
    <w:pPr>
      <w:wordWrap w:val="0"/>
      <w:spacing w:before="360" w:after="360"/>
      <w:ind w:left="950" w:right="950"/>
      <w:jc w:val="center"/>
    </w:pPr>
    <w:rPr>
      <w:rFonts w:ascii="Calibri" w:hAnsi="Calibri"/>
      <w:i/>
      <w:sz w:val="21"/>
      <w:lang w:val="en-US" w:eastAsia="zh-CN" w:bidi="ar-SA"/>
    </w:rPr>
  </w:style>
  <w:style w:type="character" w:customStyle="1" w:styleId="a35">
    <w:name w:val="明显引用 字符"/>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hAnsi="Calibri"/>
      <w:sz w:val="21"/>
      <w:lang w:val="en-US" w:eastAsia="zh-CN" w:bidi="ar-SA"/>
    </w:rPr>
  </w:style>
  <w:style w:type="paragraph" w:customStyle="1" w:styleId="610">
    <w:name w:val="目录 61"/>
    <w:next w:val="Normal"/>
    <w:qFormat/>
    <w:pPr>
      <w:wordWrap w:val="0"/>
      <w:ind w:left="2125"/>
      <w:jc w:val="both"/>
    </w:pPr>
    <w:rPr>
      <w:rFonts w:ascii="Calibri" w:hAnsi="Calibri"/>
      <w:sz w:val="21"/>
      <w:lang w:val="en-US" w:eastAsia="zh-CN" w:bidi="ar-SA"/>
    </w:rPr>
  </w:style>
  <w:style w:type="paragraph" w:customStyle="1" w:styleId="toc97">
    <w:name w:val="toc 97"/>
    <w:next w:val="Normal"/>
    <w:qFormat/>
    <w:pPr>
      <w:wordWrap w:val="0"/>
      <w:ind w:left="3400"/>
      <w:jc w:val="both"/>
    </w:pPr>
    <w:rPr>
      <w:rFonts w:ascii="Calibri" w:hAnsi="Calibri"/>
      <w:sz w:val="21"/>
      <w:lang w:val="en-US" w:eastAsia="zh-CN" w:bidi="ar-SA"/>
    </w:rPr>
  </w:style>
  <w:style w:type="paragraph" w:customStyle="1" w:styleId="toc74">
    <w:name w:val="toc 74"/>
    <w:next w:val="Normal"/>
    <w:qFormat/>
    <w:pPr>
      <w:wordWrap w:val="0"/>
      <w:ind w:left="2550"/>
      <w:jc w:val="both"/>
    </w:pPr>
    <w:rPr>
      <w:rFonts w:ascii="Calibri" w:hAnsi="Calibri"/>
      <w:sz w:val="21"/>
      <w:lang w:val="en-US" w:eastAsia="zh-CN" w:bidi="ar-SA"/>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hAnsi="Calibri"/>
      <w:sz w:val="21"/>
      <w:lang w:val="en-US" w:eastAsia="zh-CN" w:bidi="ar-SA"/>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2">
    <w:name w:val="正文缩进 Char1"/>
    <w:qFormat/>
    <w:rPr>
      <w:rFonts w:eastAsia="宋体"/>
      <w:kern w:val="2"/>
      <w:sz w:val="21"/>
      <w:lang w:val="en-US" w:eastAsia="zh-CN" w:bidi="ar-SA"/>
    </w:rPr>
  </w:style>
  <w:style w:type="character" w:customStyle="1" w:styleId="fielderror">
    <w:name w:val="fielderror"/>
    <w:qFormat/>
    <w:rPr>
      <w:color w:val="800000"/>
    </w:rPr>
  </w:style>
  <w:style w:type="character" w:customStyle="1" w:styleId="hilite6">
    <w:name w:val="hilite6"/>
    <w:qFormat/>
    <w:rPr>
      <w:color w:val="000000"/>
    </w:rPr>
  </w:style>
  <w:style w:type="character" w:customStyle="1" w:styleId="active6">
    <w:name w:val="active6"/>
    <w:qFormat/>
    <w:rPr>
      <w:color w:val="FFFFFF"/>
    </w:rPr>
  </w:style>
  <w:style w:type="character" w:customStyle="1" w:styleId="inline-help">
    <w:name w:val="inline-help"/>
    <w:qFormat/>
  </w:style>
  <w:style w:type="character" w:customStyle="1" w:styleId="active">
    <w:name w:val="active"/>
    <w:qFormat/>
    <w:rPr>
      <w:color w:val="FFFFFF"/>
    </w:rPr>
  </w:style>
  <w:style w:type="character" w:customStyle="1" w:styleId="113">
    <w:name w:val="未处理的提及1"/>
    <w:uiPriority w:val="99"/>
    <w:unhideWhenUsed/>
    <w:qFormat/>
    <w:rPr>
      <w:color w:val="605E5C"/>
      <w:shd w:val="clear" w:color="auto" w:fill="E1DFDD"/>
    </w:rPr>
  </w:style>
  <w:style w:type="paragraph" w:customStyle="1" w:styleId="25">
    <w:name w:val="修订2"/>
    <w:uiPriority w:val="99"/>
    <w:semiHidden/>
    <w:qFormat/>
    <w:rPr>
      <w:kern w:val="2"/>
      <w:sz w:val="21"/>
      <w:szCs w:val="24"/>
      <w:lang w:val="en-US" w:eastAsia="zh-CN" w:bidi="ar-SA"/>
    </w:rPr>
  </w:style>
  <w:style w:type="paragraph" w:customStyle="1" w:styleId="82">
    <w:name w:val="列出段落8"/>
    <w:basedOn w:val="Normal"/>
    <w:uiPriority w:val="34"/>
    <w:qFormat/>
    <w:pPr>
      <w:ind w:firstLine="420" w:firstLineChars="200"/>
    </w:pPr>
  </w:style>
  <w:style w:type="paragraph" w:styleId="Revision">
    <w:name w:val="Revision"/>
    <w:uiPriority w:val="99"/>
    <w:semiHidden/>
    <w:rPr>
      <w:kern w:val="2"/>
      <w:sz w:val="21"/>
      <w:szCs w:val="24"/>
      <w:lang w:val="en-US" w:eastAsia="zh-CN" w:bidi="ar-SA"/>
    </w:rPr>
  </w:style>
  <w:style w:type="paragraph" w:customStyle="1" w:styleId="Char1CharCharCharCharCharCharCharCharChar">
    <w:name w:val=" Char1 Char Char Char Char Char Char Char Char Char"/>
    <w:basedOn w:val="Normal"/>
    <w:pPr>
      <w:widowControl/>
      <w:spacing w:line="400" w:lineRule="exact"/>
      <w:jc w:val="center"/>
    </w:pPr>
    <w:rPr>
      <w:rFonts w:ascii="Verdana" w:hAnsi="Verdana"/>
      <w:kern w:val="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Template>
  <TotalTime>0</TotalTime>
  <Pages>61</Pages>
  <Words>62491</Words>
  <Characters>71121</Characters>
  <Application>Microsoft Office Word</Application>
  <DocSecurity>0</DocSecurity>
  <Lines>453</Lines>
  <Paragraphs>127</Paragraphs>
  <ScaleCrop>false</ScaleCrop>
  <Company>Microsoft</Company>
  <LinksUpToDate>false</LinksUpToDate>
  <CharactersWithSpaces>72612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liaoshiy</cp:lastModifiedBy>
  <cp:revision>4</cp:revision>
  <cp:lastPrinted>2021-05-16T11:04:00Z</cp:lastPrinted>
  <dcterms:created xsi:type="dcterms:W3CDTF">2023-08-29T08:43:00Z</dcterms:created>
  <dcterms:modified xsi:type="dcterms:W3CDTF">2023-08-30T03:51:56Z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187D936E440D461D8278831245F2E44D_13</vt:lpwstr>
  </property>
  <property fmtid="{D5CDD505-2E9C-101B-9397-08002B2CF9AE}" pid="3" name="KSOProductBuildVer">
    <vt:lpwstr>2052-11.1.0.14309</vt:lpwstr>
  </property>
</Properties>
</file>