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ind w:right="-34"/>
        <w:jc w:val="center"/>
        <w:textAlignment w:val="bottom"/>
        <w:rPr>
          <w:rFonts w:ascii="黑体" w:eastAsia="黑体" w:hAnsi="黑体" w:cs="黑体" w:hint="eastAsia"/>
          <w:b/>
          <w:color w:val="000000"/>
          <w:sz w:val="80"/>
          <w:szCs w:val="80"/>
          <w:highlight w:val="none"/>
        </w:rPr>
      </w:pPr>
    </w:p>
    <w:p>
      <w:pPr>
        <w:widowControl/>
        <w:autoSpaceDE w:val="0"/>
        <w:autoSpaceDN w:val="0"/>
        <w:ind w:right="-34"/>
        <w:jc w:val="center"/>
        <w:textAlignment w:val="bottom"/>
        <w:rPr>
          <w:rFonts w:ascii="黑体" w:eastAsia="黑体" w:hAnsi="黑体" w:cs="宋体" w:hint="eastAsia"/>
          <w:b/>
          <w:bCs/>
          <w:color w:val="000000"/>
          <w:sz w:val="82"/>
          <w:szCs w:val="82"/>
          <w:highlight w:val="none"/>
        </w:rPr>
      </w:pPr>
      <w:r>
        <w:rPr>
          <w:rFonts w:ascii="黑体" w:eastAsia="黑体" w:hAnsi="黑体" w:cs="黑体" w:hint="eastAsia"/>
          <w:b/>
          <w:color w:val="000000"/>
          <w:sz w:val="80"/>
          <w:szCs w:val="80"/>
          <w:highlight w:val="none"/>
        </w:rPr>
        <w:t>环境工程-痕量多组分气体通量测量仪</w:t>
      </w:r>
      <w:r>
        <w:rPr>
          <w:rFonts w:ascii="黑体" w:eastAsia="黑体" w:hAnsi="黑体" w:cs="黑体" w:hint="eastAsia"/>
          <w:b/>
          <w:color w:val="000000"/>
          <w:sz w:val="82"/>
          <w:szCs w:val="82"/>
          <w:highlight w:val="none"/>
        </w:rPr>
        <w:t xml:space="preserve">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64"/>
          <w:szCs w:val="64"/>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SZDL2023001812</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16"/>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BodyTex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even" r:id="rId4"/>
          <w:headerReference w:type="default" r:id="rId5"/>
          <w:footerReference w:type="even" r:id="rId6"/>
          <w:footerReference w:type="default" r:id="rId7"/>
          <w:headerReference w:type="first" r:id="rId8"/>
          <w:footerReference w:type="first" r:id="rId9"/>
          <w:pgSz w:w="11907" w:h="16840"/>
          <w:pgMar w:top="1440" w:right="850" w:bottom="1440" w:left="1080" w:header="851" w:footer="992" w:gutter="0"/>
          <w:cols w:space="720"/>
          <w:titlePg/>
          <w:docGrid w:linePitch="462"/>
        </w:sectPr>
      </w:pPr>
    </w:p>
    <w:p>
      <w:pPr>
        <w:pStyle w:val="Heading1"/>
        <w:spacing w:before="240" w:after="240" w:line="240" w:lineRule="auto"/>
        <w:rPr>
          <w:rFonts w:ascii="黑体" w:hAnsi="黑体" w:cs="黑体"/>
          <w:b w:val="0"/>
          <w:bCs w:val="0"/>
          <w:color w:val="000000"/>
          <w:sz w:val="36"/>
          <w:szCs w:val="52"/>
          <w:highlight w:val="none"/>
        </w:rPr>
      </w:pPr>
      <w:r>
        <w:rPr>
          <w:rFonts w:ascii="黑体" w:hAnsi="黑体" w:cs="黑体" w:hint="eastAsia"/>
          <w:b w:val="0"/>
          <w:bCs w:val="0"/>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368" w:firstLineChars="175"/>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hint="eastAsia"/>
          <w:color w:val="000000"/>
          <w:sz w:val="24"/>
          <w:highlight w:val="none"/>
        </w:rPr>
        <w:br/>
      </w: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r>
        <w:rPr>
          <w:rFonts w:ascii="宋体" w:hAnsi="宋体" w:hint="eastAsia"/>
          <w:color w:val="000000"/>
          <w:sz w:val="24"/>
          <w:highlight w:val="none"/>
        </w:rPr>
        <w:br/>
      </w: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SZDL2023001812</w:t>
      </w:r>
      <w:r>
        <w:rPr>
          <w:rFonts w:ascii="宋体" w:hAnsi="宋体" w:cs="宋体" w:hint="eastAsia"/>
          <w:color w:val="000000"/>
          <w:sz w:val="28"/>
          <w:szCs w:val="22"/>
          <w:highlight w:val="none"/>
        </w:rPr>
        <w:t xml:space="preserve">            </w:t>
      </w:r>
    </w:p>
    <w:p>
      <w:pPr>
        <w:spacing w:line="300" w:lineRule="auto"/>
        <w:ind w:firstLine="210" w:firstLineChars="100"/>
        <w:rPr>
          <w:rFonts w:ascii="宋体" w:hAnsi="宋体" w:cs="宋体" w:hint="eastAsia"/>
          <w:color w:val="000000"/>
          <w:sz w:val="28"/>
          <w:szCs w:val="22"/>
          <w:highlight w:val="none"/>
        </w:rPr>
      </w:pPr>
      <w:r>
        <w:rPr>
          <w:rFonts w:ascii="宋体" w:hAnsi="宋体" w:cs="宋体" w:hint="eastAsia"/>
          <w:color w:val="000000"/>
          <w:sz w:val="28"/>
          <w:szCs w:val="22"/>
          <w:highlight w:val="none"/>
        </w:rPr>
        <w:t xml:space="preserve">项目名称：环境工程-痕量多组分气体通量测量仪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b/>
                <w:bCs/>
                <w:color w:val="000000"/>
                <w:sz w:val="22"/>
                <w:szCs w:val="22"/>
                <w:highlight w:val="none"/>
              </w:rPr>
            </w:pPr>
            <w:r>
              <w:rPr>
                <w:rFonts w:ascii="宋体" w:hAnsi="宋体" w:cs="宋体" w:hint="eastAsia"/>
                <w:b/>
                <w:bCs/>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90"/>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16"/>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对招标文件中带“★”号条款的响应没有负偏离；【依据投标人提供的《技术条款偏离表》和《商务条款偏离表》及要求提供的证明材料等进行评审】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r>
              <w:rPr>
                <w:rFonts w:ascii="宋体" w:hAnsi="宋体" w:cs="宋体" w:hint="eastAsia"/>
                <w:b/>
                <w:bCs/>
                <w:color w:val="000000"/>
                <w:szCs w:val="21"/>
                <w:highlight w:val="none"/>
              </w:rPr>
              <w:br/>
            </w:r>
            <w:r>
              <w:rPr>
                <w:rFonts w:ascii="宋体" w:hAnsi="宋体" w:cs="宋体" w:hint="eastAsia"/>
                <w:b/>
                <w:bCs/>
                <w:color w:val="000000"/>
                <w:szCs w:val="21"/>
                <w:highlight w:val="none"/>
              </w:rPr>
              <w:t>（1）不同投标供应商投标文件“文件制作机器码”和“IP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（2）不同投标供应商投标文件“文件创建标识码”和“IP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（3）不同投标供应商投标文件“文件制作机器码”一致的；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10"/>
          <w:pgSz w:w="11907" w:h="16840"/>
          <w:pgMar w:top="1440" w:right="1080" w:bottom="1440" w:left="66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4"/>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napToGrid w:val="0"/>
              <w:spacing w:line="300" w:lineRule="exact"/>
              <w:jc w:val="center"/>
              <w:rPr>
                <w:rFonts w:ascii="宋体" w:hAnsi="宋体" w:cs="宋体"/>
                <w:b/>
                <w:color w:val="000000"/>
                <w:highlight w:val="none"/>
              </w:rPr>
            </w:pPr>
            <w:r>
              <w:rPr>
                <w:rStyle w:val="NormalCharacter"/>
                <w:rFonts w:ascii="宋体" w:hAnsi="宋体" w:hint="eastAsia"/>
                <w:b/>
                <w:color w:val="000000"/>
                <w:highlight w:val="none"/>
              </w:rPr>
              <w:t>候选</w:t>
            </w:r>
            <w:r>
              <w:rPr>
                <w:rStyle w:val="NormalCharacter"/>
                <w:rFonts w:ascii="宋体" w:hAnsi="宋体"/>
                <w:b/>
                <w:color w:val="000000"/>
                <w:highlight w:val="none"/>
              </w:rPr>
              <w:t>中标供应商数量</w:t>
            </w:r>
          </w:p>
        </w:tc>
        <w:tc>
          <w:tcPr>
            <w:tcW w:w="7055" w:type="dxa"/>
            <w:vAlign w:val="center"/>
          </w:tcPr>
          <w:p>
            <w:pPr>
              <w:snapToGrid w:val="0"/>
              <w:spacing w:line="300" w:lineRule="exact"/>
              <w:jc w:val="center"/>
              <w:rPr>
                <w:rFonts w:ascii="宋体" w:eastAsia="宋体" w:hAnsi="宋体" w:cs="宋体" w:hint="eastAsia"/>
                <w:color w:val="000000"/>
                <w:highlight w:val="none"/>
                <w:lang w:eastAsia="zh-CN"/>
              </w:rPr>
            </w:pPr>
            <w:r>
              <w:rPr>
                <w:rFonts w:ascii="宋体" w:hAnsi="宋体" w:cs="宋体" w:hint="eastAsia"/>
                <w:color w:val="000000"/>
                <w:highlight w:val="none"/>
                <w:lang w:val="en-US" w:eastAsia="zh-CN"/>
              </w:rPr>
              <w:t>3</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pacing w:line="300" w:lineRule="exact"/>
              <w:jc w:val="center"/>
              <w:rPr>
                <w:rFonts w:ascii="宋体" w:hAnsi="宋体" w:cs="宋体" w:hint="eastAsia"/>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hint="eastAsia"/>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color w:val="000000"/>
          <w:highlight w:val="none"/>
        </w:rPr>
      </w:pPr>
      <w:r>
        <w:rPr>
          <w:rFonts w:ascii="宋体" w:hAnsi="宋体" w:cs="宋体" w:hint="eastAsia"/>
          <w:color w:val="000000"/>
          <w:highlight w:val="none"/>
        </w:rPr>
        <w:br/>
      </w: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r>
        <w:rPr>
          <w:rFonts w:ascii="宋体" w:hAnsi="宋体" w:cs="宋体" w:hint="eastAsia"/>
          <w:color w:val="000000"/>
          <w:highlight w:val="none"/>
        </w:rPr>
        <w:br/>
      </w:r>
      <w:r>
        <w:rPr>
          <w:rFonts w:ascii="宋体" w:hAnsi="宋体" w:cs="宋体" w:hint="eastAsia"/>
          <w:color w:val="000000"/>
          <w:highlight w:val="none"/>
        </w:rPr>
        <w:t xml:space="preserve">    评标总得分＝F1×A1＋F2×A2＋……＋Fn×An</w:t>
      </w:r>
      <w:r>
        <w:rPr>
          <w:rFonts w:ascii="宋体" w:hAnsi="宋体" w:cs="宋体" w:hint="eastAsia"/>
          <w:color w:val="000000"/>
          <w:highlight w:val="none"/>
        </w:rPr>
        <w:br/>
      </w:r>
      <w:r>
        <w:rPr>
          <w:rFonts w:ascii="宋体" w:hAnsi="宋体" w:cs="宋体" w:hint="eastAsia"/>
          <w:color w:val="000000"/>
          <w:highlight w:val="none"/>
        </w:rPr>
        <w:t xml:space="preserve">    F1、F2……Fn分别为各项评审因素的得分；</w:t>
      </w:r>
      <w:r>
        <w:rPr>
          <w:rFonts w:ascii="宋体" w:hAnsi="宋体" w:cs="宋体" w:hint="eastAsia"/>
          <w:color w:val="000000"/>
          <w:highlight w:val="none"/>
        </w:rPr>
        <w:br/>
      </w:r>
      <w:r>
        <w:rPr>
          <w:rFonts w:ascii="宋体" w:hAnsi="宋体" w:cs="宋体" w:hint="eastAsia"/>
          <w:color w:val="000000"/>
          <w:highlight w:val="none"/>
        </w:rPr>
        <w:t xml:space="preserve">    A1、A2、……An 分别为各项评审因素所占的权重(A1＋A2＋……＋An＝1)。</w:t>
      </w:r>
      <w:r>
        <w:rPr>
          <w:rFonts w:ascii="宋体" w:hAnsi="宋体" w:cs="宋体" w:hint="eastAsia"/>
          <w:color w:val="000000"/>
          <w:highlight w:val="none"/>
        </w:rPr>
        <w:br/>
      </w:r>
      <w:r>
        <w:rPr>
          <w:rFonts w:ascii="宋体" w:hAnsi="宋体" w:cs="宋体" w:hint="eastAsia"/>
          <w:color w:val="000000"/>
          <w:highlight w:val="none"/>
        </w:rPr>
        <w:t xml:space="preserve">    评标过程中，不得去掉报价中的最高报价和最低报价。</w:t>
      </w:r>
      <w:r>
        <w:rPr>
          <w:rFonts w:ascii="宋体" w:hAnsi="宋体" w:cs="宋体" w:hint="eastAsia"/>
          <w:color w:val="000000"/>
          <w:highlight w:val="none"/>
        </w:rPr>
        <w:br/>
      </w: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u w:val="single"/>
          <w:shd w:val="pct10" w:color="auto" w:fill="FFFFFF"/>
          <w:lang w:val="en-US" w:eastAsia="zh-CN"/>
        </w:rPr>
        <w:t>1</w:t>
      </w:r>
      <w:r>
        <w:rPr>
          <w:rFonts w:hint="eastAsia"/>
          <w:b/>
          <w:color w:val="000000"/>
          <w:highlight w:val="none"/>
          <w:u w:val="single"/>
          <w:shd w:val="pct10" w:color="auto" w:fill="FFFFFF"/>
          <w:lang w:val="en-US" w:eastAsia="zh-CN"/>
        </w:rPr>
        <w:t>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后参与评审【本项目所属行业为：</w:t>
      </w:r>
      <w:r>
        <w:rPr>
          <w:rFonts w:ascii="宋体" w:hAnsi="宋体" w:cs="宋体" w:hint="eastAsia"/>
          <w:b/>
          <w:color w:val="000000"/>
          <w:highlight w:val="none"/>
          <w:u w:val="single"/>
          <w:shd w:val="pct10" w:color="auto" w:fill="FFFFFF"/>
        </w:rPr>
        <w:t>其他未列明行业</w:t>
      </w:r>
      <w:r>
        <w:rPr>
          <w:rFonts w:ascii="宋体" w:hAnsi="宋体" w:cs="宋体" w:hint="eastAsia"/>
          <w:b/>
          <w:color w:val="000000"/>
          <w:highlight w:val="none"/>
          <w:u w:val="single"/>
          <w:shd w:val="pct10" w:color="auto" w:fill="FFFFFF"/>
          <w:lang w:val="en-US" w:eastAsia="zh-CN"/>
        </w:rPr>
        <w:t>- 科学研究</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u w:val="single"/>
          <w:shd w:val="pct10" w:color="auto" w:fill="FFFFFF"/>
        </w:rPr>
        <w:t xml:space="preserve"> </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83"/>
        <w:gridCol w:w="668"/>
        <w:gridCol w:w="1091"/>
        <w:gridCol w:w="682"/>
        <w:gridCol w:w="1173"/>
        <w:gridCol w:w="6276"/>
      </w:tblGrid>
      <w:tr>
        <w:tblPrEx>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68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3614" w:type="dxa"/>
            <w:gridSpan w:val="4"/>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评分项</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1</w:t>
            </w:r>
          </w:p>
        </w:tc>
        <w:tc>
          <w:tcPr>
            <w:tcW w:w="3614" w:type="dxa"/>
            <w:gridSpan w:val="4"/>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价格部分</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30</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2</w:t>
            </w:r>
          </w:p>
        </w:tc>
        <w:tc>
          <w:tcPr>
            <w:tcW w:w="3614" w:type="dxa"/>
            <w:gridSpan w:val="4"/>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技术部分</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58</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val="restart"/>
            <w:noWrap/>
            <w:vAlign w:val="center"/>
          </w:tcPr>
          <w:p>
            <w:pPr>
              <w:spacing w:before="120" w:beforeLines="50" w:line="360" w:lineRule="auto"/>
              <w:jc w:val="center"/>
              <w:rPr>
                <w:rFonts w:ascii="宋体" w:hAnsi="宋体" w:cs="宋体" w:hint="eastAsia"/>
                <w:b/>
                <w:bCs/>
                <w:color w:val="000000"/>
                <w:szCs w:val="21"/>
                <w:highlight w:val="none"/>
              </w:rPr>
            </w:pPr>
          </w:p>
        </w:tc>
        <w:tc>
          <w:tcPr>
            <w:tcW w:w="668"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091"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682"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7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noWrap/>
            <w:vAlign w:val="center"/>
          </w:tcPr>
          <w:p>
            <w:pPr>
              <w:jc w:val="center"/>
              <w:rPr>
                <w:rFonts w:ascii="宋体" w:hAnsi="宋体" w:cs="宋体" w:hint="eastAsia"/>
                <w:b/>
                <w:bCs/>
                <w:color w:val="000000"/>
                <w:szCs w:val="21"/>
                <w:highlight w:val="none"/>
              </w:rPr>
            </w:pPr>
          </w:p>
        </w:tc>
        <w:tc>
          <w:tcPr>
            <w:tcW w:w="668"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091"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技术保障措施</w:t>
            </w:r>
          </w:p>
        </w:tc>
        <w:tc>
          <w:tcPr>
            <w:tcW w:w="682"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6</w:t>
            </w:r>
          </w:p>
        </w:tc>
        <w:tc>
          <w:tcPr>
            <w:tcW w:w="1173"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6276" w:type="dxa"/>
            <w:noWrap/>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投标人结合本项目实际提供项目技术保障措施，内容包括但不限于：</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1、投标产品的质量可靠性和先进性说明；</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2、供货和安装进度计划；</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3、供货时间节点和步骤；</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4、人员安排和分工；</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5、突发情况应对措施。</w:t>
            </w:r>
          </w:p>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（二）评分标准：</w:t>
            </w:r>
            <w:r>
              <w:rPr>
                <w:rFonts w:ascii="宋体" w:hAnsi="宋体" w:cs="宋体" w:hint="eastAsia"/>
                <w:color w:val="000000"/>
                <w:szCs w:val="21"/>
                <w:highlight w:val="none"/>
              </w:rPr>
              <w:t xml:space="preserve"> </w:t>
            </w:r>
          </w:p>
          <w:p>
            <w:pPr>
              <w:spacing w:before="120" w:beforeLines="50"/>
              <w:jc w:val="left"/>
              <w:rPr>
                <w:rFonts w:ascii="宋体" w:hAnsi="宋体" w:cs="宋体" w:hint="eastAsia"/>
                <w:b/>
                <w:color w:val="000000"/>
                <w:szCs w:val="21"/>
                <w:highlight w:val="none"/>
              </w:rPr>
            </w:pPr>
            <w:r>
              <w:rPr>
                <w:rFonts w:ascii="宋体" w:hAnsi="宋体" w:cs="宋体" w:hint="eastAsia"/>
                <w:b/>
                <w:color w:val="000000"/>
                <w:szCs w:val="21"/>
                <w:highlight w:val="none"/>
              </w:rPr>
              <w:t>每满足一点得15分，最高得75分。在此基础上，专家根据各供应商的具体响应内容按照量化的评审因素指标进一步评审:</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1.评分标准为优：项目技术保障措施思路清晰明确，方案合理可行，满足服务要求，针对性强的加25分；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2.评分标准为良：项目技术保障措施总体思路比较清晰，方案比较合理可行，可以满足服务要求的加15分；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3.评分标准为中：项目技术保障措施思路基本清晰，方案基本合理可行，基本可以满足服务要求的加10分；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4.评分标准为差：项目技术保障措施思路不清晰，方案不完整，不能满足服务需要的不加分。如果评审为差，要求专家书面说明理由，并记录在档。</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noWrap/>
            <w:vAlign w:val="center"/>
          </w:tcPr>
          <w:p>
            <w:pPr>
              <w:jc w:val="center"/>
              <w:rPr>
                <w:rFonts w:ascii="宋体" w:hAnsi="宋体" w:cs="宋体" w:hint="eastAsia"/>
                <w:b/>
                <w:bCs/>
                <w:color w:val="000000"/>
                <w:szCs w:val="21"/>
                <w:highlight w:val="none"/>
              </w:rPr>
            </w:pPr>
          </w:p>
        </w:tc>
        <w:tc>
          <w:tcPr>
            <w:tcW w:w="668"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1091"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技术条款偏离情况</w:t>
            </w:r>
          </w:p>
        </w:tc>
        <w:tc>
          <w:tcPr>
            <w:tcW w:w="682"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52</w:t>
            </w:r>
          </w:p>
        </w:tc>
        <w:tc>
          <w:tcPr>
            <w:tcW w:w="1173"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6276" w:type="dxa"/>
            <w:noWrap/>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技术条款偏离表》，评审委员会根据技术需求参数响应情况进行打分，各项技术参数指标及要求全部满足的得100分，标注“▲”的重要技术参数指标每负偏离一项扣4.90分，非“▲”的一般技术参数指标每负偏离一项扣1.56分，</w:t>
            </w:r>
            <w:r>
              <w:rPr>
                <w:rFonts w:hint="eastAsia"/>
                <w:color w:val="000000"/>
                <w:highlight w:val="none"/>
              </w:rPr>
              <w:t>总扣分不超过100分</w:t>
            </w:r>
            <w:r>
              <w:rPr>
                <w:rFonts w:ascii="宋体" w:hAnsi="宋体" w:cs="宋体" w:hint="eastAsia"/>
                <w:color w:val="000000"/>
                <w:szCs w:val="21"/>
                <w:highlight w:val="none"/>
              </w:rPr>
              <w:t>。</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依据《技术条款偏离表》及技术要求提供的证明材料进行打分。</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c>
          <w:tcPr>
            <w:tcW w:w="3614" w:type="dxa"/>
            <w:gridSpan w:val="4"/>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商务部分</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7</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val="restart"/>
            <w:noWrap/>
            <w:vAlign w:val="center"/>
          </w:tcPr>
          <w:p>
            <w:pPr>
              <w:spacing w:before="120" w:beforeLines="50" w:line="360" w:lineRule="auto"/>
              <w:jc w:val="center"/>
              <w:rPr>
                <w:rFonts w:ascii="宋体" w:hAnsi="宋体" w:cs="宋体" w:hint="eastAsia"/>
                <w:b/>
                <w:bCs/>
                <w:color w:val="000000"/>
                <w:szCs w:val="21"/>
                <w:highlight w:val="none"/>
              </w:rPr>
            </w:pPr>
          </w:p>
        </w:tc>
        <w:tc>
          <w:tcPr>
            <w:tcW w:w="668"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091"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682"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7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noWrap/>
            <w:vAlign w:val="center"/>
          </w:tcPr>
          <w:p>
            <w:pPr>
              <w:jc w:val="center"/>
              <w:rPr>
                <w:rFonts w:ascii="宋体" w:hAnsi="宋体" w:cs="宋体" w:hint="eastAsia"/>
                <w:b/>
                <w:bCs/>
                <w:color w:val="000000"/>
                <w:szCs w:val="21"/>
                <w:highlight w:val="none"/>
              </w:rPr>
            </w:pPr>
          </w:p>
        </w:tc>
        <w:tc>
          <w:tcPr>
            <w:tcW w:w="668"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091"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对商务条款的响应程度</w:t>
            </w:r>
          </w:p>
        </w:tc>
        <w:tc>
          <w:tcPr>
            <w:tcW w:w="682"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7</w:t>
            </w:r>
          </w:p>
        </w:tc>
        <w:tc>
          <w:tcPr>
            <w:tcW w:w="1173"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6276" w:type="dxa"/>
            <w:noWrap/>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投标人应如实填写《商务条款偏离表》，评审委员会根据响应情况进行打分，全部满足商务部分要求的得100分。普通条款每偏离1项扣</w:t>
            </w:r>
            <w:r>
              <w:rPr>
                <w:rFonts w:ascii="宋体" w:hAnsi="宋体" w:cs="宋体" w:hint="eastAsia"/>
                <w:color w:val="000000"/>
                <w:szCs w:val="21"/>
                <w:highlight w:val="none"/>
                <w:lang w:val="en-US" w:eastAsia="zh-CN"/>
              </w:rPr>
              <w:t>7.15</w:t>
            </w:r>
            <w:r>
              <w:rPr>
                <w:rFonts w:ascii="宋体" w:hAnsi="宋体" w:cs="宋体" w:hint="eastAsia"/>
                <w:color w:val="000000"/>
                <w:szCs w:val="21"/>
                <w:highlight w:val="none"/>
              </w:rPr>
              <w:t>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4</w:t>
            </w:r>
          </w:p>
        </w:tc>
        <w:tc>
          <w:tcPr>
            <w:tcW w:w="3614" w:type="dxa"/>
            <w:gridSpan w:val="4"/>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其他评审</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val="restart"/>
            <w:noWrap/>
            <w:vAlign w:val="center"/>
          </w:tcPr>
          <w:p>
            <w:pPr>
              <w:spacing w:before="120" w:beforeLines="50" w:line="360" w:lineRule="auto"/>
              <w:jc w:val="center"/>
              <w:rPr>
                <w:rFonts w:ascii="宋体" w:hAnsi="宋体" w:cs="宋体" w:hint="eastAsia"/>
                <w:b/>
                <w:bCs/>
                <w:color w:val="000000"/>
                <w:szCs w:val="21"/>
                <w:highlight w:val="none"/>
              </w:rPr>
            </w:pPr>
          </w:p>
        </w:tc>
        <w:tc>
          <w:tcPr>
            <w:tcW w:w="668"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091"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682"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73"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6276" w:type="dxa"/>
            <w:noWrap/>
            <w:vAlign w:val="center"/>
          </w:tcPr>
          <w:p>
            <w:pPr>
              <w:spacing w:before="120" w:beforeLines="50" w:line="360" w:lineRule="auto"/>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10573" w:type="dxa"/>
          <w:jc w:val="center"/>
          <w:tblLayout w:type="fixed"/>
          <w:tblCellMar>
            <w:top w:w="0" w:type="dxa"/>
            <w:left w:w="108" w:type="dxa"/>
            <w:bottom w:w="0" w:type="dxa"/>
            <w:right w:w="108" w:type="dxa"/>
          </w:tblCellMar>
          <w:tblLook w:val="0000"/>
        </w:tblPrEx>
        <w:trPr>
          <w:jc w:val="center"/>
        </w:trPr>
        <w:tc>
          <w:tcPr>
            <w:tcW w:w="683" w:type="dxa"/>
            <w:vMerge/>
            <w:noWrap/>
            <w:vAlign w:val="center"/>
          </w:tcPr>
          <w:p>
            <w:pPr>
              <w:jc w:val="center"/>
              <w:rPr>
                <w:rFonts w:ascii="宋体" w:hAnsi="宋体" w:cs="宋体" w:hint="eastAsia"/>
                <w:b/>
                <w:bCs/>
                <w:color w:val="000000"/>
                <w:szCs w:val="21"/>
                <w:highlight w:val="none"/>
              </w:rPr>
            </w:pPr>
          </w:p>
        </w:tc>
        <w:tc>
          <w:tcPr>
            <w:tcW w:w="668"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091"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诚信评价</w:t>
            </w:r>
          </w:p>
        </w:tc>
        <w:tc>
          <w:tcPr>
            <w:tcW w:w="682"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1173" w:type="dxa"/>
            <w:noWrap/>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6276" w:type="dxa"/>
            <w:noWrap/>
          </w:tcPr>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投标人在参与政府采购活动中存在诚信相关问题且在主管部门相关处理措施实施期限内的，本项不得分，否则得100分。投标人无需提供任何证明材料，由工作人员向评审委员会提供相关信息。</w:t>
            </w:r>
          </w:p>
        </w:tc>
      </w:tr>
    </w:tbl>
    <w:p>
      <w:pPr>
        <w:pStyle w:val="Heading1"/>
        <w:spacing w:before="240" w:beforeLines="100" w:after="0" w:line="240" w:lineRule="auto"/>
        <w:rPr>
          <w:rFonts w:eastAsia="宋体" w:cs="宋体"/>
          <w:b w:val="0"/>
          <w:bCs w:val="0"/>
          <w:color w:val="000000"/>
          <w:kern w:val="2"/>
          <w:sz w:val="36"/>
          <w:szCs w:val="36"/>
          <w:highlight w:val="none"/>
        </w:rPr>
      </w:pPr>
      <w:r>
        <w:rPr>
          <w:rFonts w:eastAsia="宋体" w:cs="宋体" w:hint="eastAsia"/>
          <w:color w:val="000000"/>
          <w:kern w:val="2"/>
          <w:szCs w:val="21"/>
          <w:highlight w:val="none"/>
        </w:rPr>
        <w:br w:type="page"/>
      </w:r>
      <w:r>
        <w:rPr>
          <w:rFonts w:eastAsia="宋体" w:cs="宋体" w:hint="eastAsia"/>
          <w:b w:val="0"/>
          <w:bCs w:val="0"/>
          <w:color w:val="000000"/>
          <w:sz w:val="36"/>
          <w:szCs w:val="36"/>
          <w:highlight w:val="none"/>
        </w:rPr>
        <w:t>目   录</w:t>
      </w: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b w:val="0"/>
          <w:color w:val="000000"/>
          <w:sz w:val="24"/>
          <w:highlight w:val="none"/>
        </w:rPr>
      </w:pPr>
      <w:r>
        <w:rPr>
          <w:rFonts w:eastAsia="宋体" w:cs="宋体" w:hint="eastAsia"/>
          <w:color w:val="000000"/>
          <w:kern w:val="2"/>
          <w:szCs w:val="21"/>
          <w:highlight w:val="none"/>
        </w:rPr>
        <w:br w:type="page"/>
      </w:r>
      <w:bookmarkStart w:id="0" w:name="bt投标人须知"/>
      <w:bookmarkStart w:id="1" w:name="合同格式"/>
      <w:bookmarkStart w:id="2" w:name="bt合同条款及格式"/>
      <w:bookmarkStart w:id="3" w:name="bt投标函"/>
      <w:bookmarkStart w:id="4" w:name="bt投标人情况介绍"/>
      <w:bookmarkStart w:id="5" w:name="bt其他资料2"/>
      <w:bookmarkStart w:id="6" w:name="bt合同格式"/>
      <w:bookmarkStart w:id="7" w:name="bt合同条款"/>
      <w:bookmarkStart w:id="8" w:name="bt商务标投标文件格式"/>
      <w:bookmarkStart w:id="9" w:name="bt项目管理班子配备情况"/>
      <w:bookmarkStart w:id="10" w:name="bt说明"/>
      <w:bookmarkStart w:id="11" w:name="bt其他资料由投标人自定"/>
      <w:bookmarkStart w:id="12" w:name="bt投标文件签署授权委托书"/>
      <w:bookmarkStart w:id="13" w:name="bt本工程承诺书"/>
      <w:bookmarkStart w:id="14" w:name="bt技术标投标文件格式"/>
      <w:bookmarkStart w:id="15" w:name="bt投标报价汇总表"/>
      <w:bookmarkStart w:id="16" w:name="bt开标一览表"/>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宋体" w:cs="宋体" w:hint="eastAsia"/>
          <w:b w:val="0"/>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b w:val="0"/>
          <w:bCs w:val="0"/>
          <w:color w:val="000000"/>
          <w:sz w:val="20"/>
          <w:highlight w:val="none"/>
        </w:rPr>
        <w:t>文件编码：</w:t>
      </w:r>
      <w:r>
        <w:rPr>
          <w:rFonts w:cs="宋体" w:hint="eastAsia"/>
          <w:b w:val="0"/>
          <w:bCs w:val="0"/>
          <w:color w:val="000000"/>
          <w:sz w:val="20"/>
          <w:highlight w:val="none"/>
          <w:lang w:eastAsia="zh-CN"/>
        </w:rPr>
        <w:t>0722-2023FE5201SZF-0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rPr>
        <w:t>环境工程-痕量多组分气体通量测量仪招标项目的潜在投标人应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SZDL2023001812</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2.项目名称：环境工程-痕量多组分气体通量测量仪</w:t>
      </w:r>
      <w:r>
        <w:rPr>
          <w:rFonts w:ascii="宋体" w:hAnsi="宋体" w:cs="宋体" w:hint="eastAsia"/>
          <w:color w:val="000000"/>
          <w:kern w:val="0"/>
          <w:szCs w:val="21"/>
          <w:highlight w:val="none"/>
        </w:rPr>
        <w:t xml:space="preserve">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3.预算金额：人民币壹佰捌拾贰万肆仟元整（¥1,824,000.00）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4.最高限价：人民币壹佰捌拾贰万肆仟元整（¥1,824,000.00）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675"/>
        <w:gridCol w:w="3913"/>
        <w:gridCol w:w="702"/>
        <w:gridCol w:w="735"/>
        <w:gridCol w:w="2698"/>
        <w:gridCol w:w="945"/>
      </w:tblGrid>
      <w:tr>
        <w:tblPrEx>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349"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2023"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363"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380"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1395"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488"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856" w:type="pct"/>
          <w:jc w:val="center"/>
          <w:tblCellMar>
            <w:top w:w="60" w:type="dxa"/>
            <w:left w:w="60" w:type="dxa"/>
            <w:bottom w:w="60" w:type="dxa"/>
            <w:right w:w="60" w:type="dxa"/>
          </w:tblCellMar>
          <w:tblLook w:val="0000"/>
        </w:tblPrEx>
        <w:trPr>
          <w:trHeight w:val="226"/>
          <w:jc w:val="center"/>
        </w:trPr>
        <w:tc>
          <w:tcPr>
            <w:tcW w:w="349"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2023"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痕量多组分气体通量测量仪</w:t>
            </w:r>
          </w:p>
        </w:tc>
        <w:tc>
          <w:tcPr>
            <w:tcW w:w="363"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套</w:t>
            </w:r>
          </w:p>
        </w:tc>
        <w:tc>
          <w:tcPr>
            <w:tcW w:w="380"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1</w:t>
            </w:r>
          </w:p>
        </w:tc>
        <w:tc>
          <w:tcPr>
            <w:tcW w:w="1395" w:type="pct"/>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488" w:type="pct"/>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合同签订后180个日历日内</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16"/>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16"/>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16"/>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16"/>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16"/>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numPr>
          <w:ilvl w:val="0"/>
          <w:numId w:val="11"/>
        </w:numPr>
        <w:adjustRightInd w:val="0"/>
        <w:spacing w:before="120" w:beforeLines="50" w:after="120" w:line="360" w:lineRule="auto"/>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rPr>
        <w:t>采购范围</w:t>
      </w:r>
    </w:p>
    <w:tbl>
      <w:tblPr>
        <w:tblStyle w:val="TableNormal"/>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08"/>
        <w:gridCol w:w="2835"/>
        <w:gridCol w:w="3969"/>
        <w:gridCol w:w="709"/>
        <w:gridCol w:w="709"/>
        <w:gridCol w:w="1187"/>
      </w:tblGrid>
      <w:tr>
        <w:tblPrEx>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6"/>
          <w:jc w:val="center"/>
        </w:trPr>
        <w:tc>
          <w:tcPr>
            <w:tcW w:w="708" w:type="dxa"/>
            <w:vAlign w:val="center"/>
          </w:tcPr>
          <w:p>
            <w:pPr>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2835" w:type="dxa"/>
            <w:vAlign w:val="center"/>
          </w:tcPr>
          <w:p>
            <w:pPr>
              <w:jc w:val="center"/>
              <w:rPr>
                <w:rFonts w:ascii="宋体" w:hAnsi="宋体" w:cs="宋体" w:hint="eastAsia"/>
                <w:b/>
                <w:color w:val="000000"/>
                <w:szCs w:val="21"/>
                <w:highlight w:val="none"/>
              </w:rPr>
            </w:pPr>
            <w:r>
              <w:rPr>
                <w:rFonts w:ascii="宋体" w:hAnsi="宋体" w:cs="宋体" w:hint="eastAsia"/>
                <w:b/>
                <w:bCs/>
                <w:color w:val="000000"/>
                <w:szCs w:val="21"/>
                <w:highlight w:val="none"/>
              </w:rPr>
              <w:t>货物名称</w:t>
            </w:r>
          </w:p>
        </w:tc>
        <w:tc>
          <w:tcPr>
            <w:tcW w:w="3969" w:type="dxa"/>
            <w:vAlign w:val="center"/>
          </w:tcPr>
          <w:p>
            <w:pPr>
              <w:jc w:val="center"/>
              <w:rPr>
                <w:rFonts w:ascii="宋体" w:hAnsi="宋体" w:cs="宋体" w:hint="eastAsia"/>
                <w:b/>
                <w:color w:val="000000"/>
                <w:szCs w:val="21"/>
                <w:highlight w:val="none"/>
              </w:rPr>
            </w:pPr>
            <w:r>
              <w:rPr>
                <w:rFonts w:ascii="宋体" w:hAnsi="宋体" w:cs="宋体" w:hint="eastAsia"/>
                <w:b/>
                <w:bCs/>
                <w:color w:val="000000"/>
                <w:szCs w:val="21"/>
                <w:highlight w:val="none"/>
              </w:rPr>
              <w:t>主要配置</w:t>
            </w:r>
          </w:p>
        </w:tc>
        <w:tc>
          <w:tcPr>
            <w:tcW w:w="709" w:type="dxa"/>
            <w:vAlign w:val="center"/>
          </w:tcPr>
          <w:p>
            <w:pPr>
              <w:jc w:val="center"/>
              <w:rPr>
                <w:rFonts w:ascii="宋体" w:hAnsi="宋体" w:cs="宋体" w:hint="eastAsia"/>
                <w:b/>
                <w:color w:val="000000"/>
                <w:szCs w:val="21"/>
                <w:highlight w:val="none"/>
              </w:rPr>
            </w:pPr>
            <w:r>
              <w:rPr>
                <w:rFonts w:ascii="宋体" w:hAnsi="宋体" w:cs="宋体" w:hint="eastAsia"/>
                <w:b/>
                <w:bCs/>
                <w:color w:val="000000"/>
                <w:szCs w:val="21"/>
                <w:highlight w:val="none"/>
              </w:rPr>
              <w:t>数量</w:t>
            </w:r>
          </w:p>
        </w:tc>
        <w:tc>
          <w:tcPr>
            <w:tcW w:w="709" w:type="dxa"/>
            <w:vAlign w:val="center"/>
          </w:tcPr>
          <w:p>
            <w:pPr>
              <w:jc w:val="center"/>
              <w:rPr>
                <w:rFonts w:ascii="宋体" w:hAnsi="宋体" w:cs="宋体" w:hint="eastAsia"/>
                <w:b/>
                <w:color w:val="000000"/>
                <w:szCs w:val="21"/>
                <w:highlight w:val="none"/>
              </w:rPr>
            </w:pPr>
            <w:r>
              <w:rPr>
                <w:rFonts w:ascii="宋体" w:hAnsi="宋体" w:cs="宋体" w:hint="eastAsia"/>
                <w:b/>
                <w:bCs/>
                <w:color w:val="000000"/>
                <w:szCs w:val="21"/>
                <w:highlight w:val="none"/>
              </w:rPr>
              <w:t>单位</w:t>
            </w:r>
          </w:p>
        </w:tc>
        <w:tc>
          <w:tcPr>
            <w:tcW w:w="1187" w:type="dxa"/>
            <w:vAlign w:val="center"/>
          </w:tcPr>
          <w:p>
            <w:pPr>
              <w:jc w:val="center"/>
              <w:rPr>
                <w:rFonts w:ascii="宋体" w:hAnsi="宋体" w:cs="宋体" w:hint="eastAsia"/>
                <w:b/>
                <w:color w:val="000000"/>
                <w:szCs w:val="21"/>
                <w:highlight w:val="none"/>
              </w:rPr>
            </w:pPr>
            <w:r>
              <w:rPr>
                <w:rFonts w:ascii="宋体" w:hAnsi="宋体" w:cs="宋体" w:hint="eastAsia"/>
                <w:b/>
                <w:bCs/>
                <w:color w:val="000000"/>
                <w:szCs w:val="21"/>
                <w:highlight w:val="none"/>
              </w:rPr>
              <w:t>备注</w:t>
            </w:r>
          </w:p>
        </w:tc>
      </w:tr>
      <w:tr>
        <w:tblPrEx>
          <w:tblW w:w="5033" w:type="pct"/>
          <w:jc w:val="center"/>
          <w:tblCellMar>
            <w:top w:w="0" w:type="dxa"/>
            <w:left w:w="108" w:type="dxa"/>
            <w:bottom w:w="0" w:type="dxa"/>
            <w:right w:w="108" w:type="dxa"/>
          </w:tblCellMar>
          <w:tblLook w:val="0000"/>
        </w:tblPrEx>
        <w:trPr>
          <w:trHeight w:val="508"/>
          <w:jc w:val="center"/>
        </w:trPr>
        <w:tc>
          <w:tcPr>
            <w:tcW w:w="708" w:type="dxa"/>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2835" w:type="dxa"/>
            <w:vAlign w:val="center"/>
          </w:tcPr>
          <w:p>
            <w:pPr>
              <w:spacing w:before="120" w:beforeLines="50" w:line="360" w:lineRule="auto"/>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eastAsia="zh-TW"/>
              </w:rPr>
              <w:t>痕量多组分气体通量测量仪</w:t>
            </w:r>
          </w:p>
        </w:tc>
        <w:tc>
          <w:tcPr>
            <w:tcW w:w="3969" w:type="dxa"/>
            <w:vAlign w:val="center"/>
          </w:tcPr>
          <w:p>
            <w:pPr>
              <w:spacing w:before="120" w:beforeLines="50" w:line="360" w:lineRule="auto"/>
              <w:jc w:val="center"/>
              <w:rPr>
                <w:rFonts w:ascii="宋体" w:hAnsi="宋体" w:cs="宋体" w:hint="eastAsia"/>
                <w:color w:val="000000"/>
                <w:szCs w:val="21"/>
                <w:highlight w:val="none"/>
                <w:lang w:val="zh-TW"/>
              </w:rPr>
            </w:pPr>
            <w:r>
              <w:rPr>
                <w:rFonts w:ascii="宋体" w:hAnsi="宋体" w:cs="宋体" w:hint="eastAsia"/>
                <w:color w:val="000000"/>
                <w:szCs w:val="21"/>
                <w:highlight w:val="none"/>
                <w:lang w:val="zh-TW" w:eastAsia="zh-TW"/>
              </w:rPr>
              <w:t>痕量多组分气体通量测量仪</w:t>
            </w:r>
            <w:r>
              <w:rPr>
                <w:rFonts w:ascii="宋体" w:hAnsi="宋体" w:cs="宋体" w:hint="eastAsia"/>
                <w:color w:val="000000"/>
                <w:szCs w:val="21"/>
                <w:highlight w:val="none"/>
              </w:rPr>
              <w:t>/</w:t>
            </w:r>
            <w:r>
              <w:rPr>
                <w:rFonts w:ascii="宋体" w:hAnsi="宋体" w:cs="宋体" w:hint="eastAsia"/>
                <w:color w:val="000000"/>
                <w:szCs w:val="21"/>
                <w:highlight w:val="none"/>
                <w:lang w:val="zh-TW" w:eastAsia="zh-TW"/>
              </w:rPr>
              <w:t>自动进样器</w:t>
            </w:r>
          </w:p>
        </w:tc>
        <w:tc>
          <w:tcPr>
            <w:tcW w:w="709" w:type="dxa"/>
            <w:vAlign w:val="center"/>
          </w:tcPr>
          <w:p>
            <w:pPr>
              <w:spacing w:before="120" w:beforeLines="50" w:line="360" w:lineRule="auto"/>
              <w:jc w:val="center"/>
              <w:rPr>
                <w:rFonts w:ascii="宋体" w:hAnsi="宋体" w:cs="宋体" w:hint="eastAsia"/>
                <w:color w:val="000000"/>
                <w:szCs w:val="21"/>
                <w:highlight w:val="none"/>
              </w:rPr>
            </w:pPr>
            <w:r>
              <w:rPr>
                <w:rFonts w:ascii="宋体" w:hAnsi="宋体" w:cs="宋体" w:hint="eastAsia"/>
                <w:color w:val="000000"/>
                <w:szCs w:val="21"/>
                <w:highlight w:val="none"/>
                <w:lang w:val="zh-TW" w:eastAsia="zh-TW"/>
              </w:rPr>
              <w:t>1</w:t>
            </w:r>
          </w:p>
        </w:tc>
        <w:tc>
          <w:tcPr>
            <w:tcW w:w="709" w:type="dxa"/>
            <w:vAlign w:val="center"/>
          </w:tcPr>
          <w:p>
            <w:pPr>
              <w:spacing w:before="120" w:beforeLines="50" w:line="360" w:lineRule="auto"/>
              <w:jc w:val="center"/>
              <w:rPr>
                <w:rFonts w:ascii="宋体" w:hAnsi="宋体" w:cs="宋体" w:hint="eastAsia"/>
                <w:color w:val="000000"/>
                <w:szCs w:val="21"/>
                <w:highlight w:val="none"/>
                <w:lang w:val="zh-TW" w:eastAsia="zh-TW"/>
              </w:rPr>
            </w:pPr>
            <w:r>
              <w:rPr>
                <w:rFonts w:ascii="宋体" w:hAnsi="宋体" w:cs="宋体" w:hint="eastAsia"/>
                <w:color w:val="000000"/>
                <w:szCs w:val="21"/>
                <w:highlight w:val="none"/>
                <w:lang w:val="zh-TW" w:eastAsia="zh-TW"/>
              </w:rPr>
              <w:t>套</w:t>
            </w:r>
          </w:p>
        </w:tc>
        <w:tc>
          <w:tcPr>
            <w:tcW w:w="1187" w:type="dxa"/>
            <w:vAlign w:val="center"/>
          </w:tcPr>
          <w:p>
            <w:pPr>
              <w:spacing w:before="120" w:beforeLines="50" w:line="360" w:lineRule="auto"/>
              <w:jc w:val="center"/>
              <w:rPr>
                <w:rFonts w:ascii="宋体" w:hAnsi="宋体" w:cs="宋体"/>
                <w:color w:val="000000"/>
                <w:szCs w:val="21"/>
                <w:highlight w:val="none"/>
              </w:rPr>
            </w:pPr>
            <w:r>
              <w:rPr>
                <w:rFonts w:ascii="宋体" w:hAnsi="宋体" w:cs="宋体" w:hint="eastAsia"/>
                <w:b/>
                <w:bCs/>
                <w:color w:val="000000"/>
                <w:szCs w:val="21"/>
                <w:highlight w:val="none"/>
              </w:rPr>
              <w:t>接受进口</w:t>
            </w:r>
          </w:p>
        </w:tc>
      </w:tr>
    </w:tbl>
    <w:p>
      <w:pPr>
        <w:numPr>
          <w:ilvl w:val="0"/>
          <w:numId w:val="11"/>
        </w:numPr>
        <w:adjustRightInd w:val="0"/>
        <w:spacing w:before="312" w:beforeLines="130" w:after="312" w:afterLines="130"/>
        <w:jc w:val="center"/>
        <w:textAlignment w:val="baseline"/>
        <w:outlineLvl w:val="1"/>
        <w:rPr>
          <w:rFonts w:ascii="宋体" w:hAnsi="宋体" w:cs="宋体"/>
          <w:b/>
          <w:bCs/>
          <w:color w:val="000000"/>
          <w:sz w:val="32"/>
          <w:szCs w:val="32"/>
          <w:highlight w:val="none"/>
          <w:shd w:val="clear" w:color="FFFFFF" w:fill="D9D9D9"/>
        </w:rPr>
      </w:pPr>
      <w:r>
        <w:rPr>
          <w:rFonts w:hint="eastAsia"/>
          <w:b/>
          <w:bCs/>
          <w:color w:val="000000"/>
          <w:sz w:val="30"/>
          <w:szCs w:val="30"/>
          <w:highlight w:val="none"/>
          <w:shd w:val="pct10" w:color="auto" w:fill="FFFFFF"/>
        </w:rPr>
        <w:t>技术部分</w:t>
      </w:r>
    </w:p>
    <w:p>
      <w:pPr>
        <w:keepNext w:val="0"/>
        <w:keepLines w:val="0"/>
        <w:pageBreakBefore w:val="0"/>
        <w:widowControl/>
        <w:numPr>
          <w:ilvl w:val="0"/>
          <w:numId w:val="12"/>
        </w:numPr>
        <w:tabs>
          <w:tab w:val="left" w:pos="312"/>
          <w:tab w:val="left" w:pos="720"/>
        </w:tabs>
        <w:kinsoku/>
        <w:wordWrap/>
        <w:overflowPunct/>
        <w:topLinePunct w:val="0"/>
        <w:autoSpaceDE/>
        <w:autoSpaceDN/>
        <w:bidi w:val="0"/>
        <w:adjustRightInd/>
        <w:snapToGrid/>
        <w:spacing w:line="240" w:lineRule="auto"/>
        <w:ind w:left="279" w:firstLine="210" w:leftChars="133" w:firstLineChars="100"/>
        <w:jc w:val="left"/>
        <w:textAlignment w:val="auto"/>
        <w:outlineLvl w:val="9"/>
        <w:rPr>
          <w:rFonts w:ascii="宋体" w:eastAsia="宋体" w:hAnsi="宋体" w:cs="宋体" w:hint="eastAsia"/>
          <w:color w:val="000000"/>
          <w:sz w:val="21"/>
          <w:szCs w:val="21"/>
          <w:highlight w:val="none"/>
        </w:rPr>
      </w:pPr>
      <w:r>
        <w:rPr>
          <w:rFonts w:ascii="宋体" w:eastAsia="宋体" w:hAnsi="宋体" w:cs="宋体" w:hint="eastAsia"/>
          <w:b/>
          <w:bCs/>
          <w:color w:val="000000"/>
          <w:sz w:val="28"/>
          <w:szCs w:val="28"/>
          <w:highlight w:val="none"/>
        </w:rPr>
        <w:t>用途</w:t>
      </w:r>
      <w:r>
        <w:rPr>
          <w:rFonts w:ascii="宋体" w:eastAsia="宋体" w:hAnsi="宋体" w:cs="宋体" w:hint="eastAsia"/>
          <w:b/>
          <w:bCs/>
          <w:color w:val="000000"/>
          <w:sz w:val="28"/>
          <w:szCs w:val="28"/>
          <w:highlight w:val="none"/>
        </w:rPr>
        <w:br/>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left="0" w:firstLine="420" w:leftChars="0" w:firstLineChars="200"/>
        <w:jc w:val="left"/>
        <w:textAlignment w:val="auto"/>
        <w:outlineLvl w:val="9"/>
        <w:rPr>
          <w:rFonts w:ascii="宋体" w:eastAsia="宋体" w:hAnsi="宋体" w:cs="宋体" w:hint="eastAsia"/>
          <w:b w:val="0"/>
          <w:color w:val="000000"/>
          <w:kern w:val="2"/>
          <w:sz w:val="21"/>
          <w:szCs w:val="21"/>
          <w:highlight w:val="none"/>
          <w:u w:val="none"/>
          <w:lang w:val="en-US" w:eastAsia="zh-CN" w:bidi="ar-SA"/>
        </w:rPr>
      </w:pPr>
      <w:r>
        <w:rPr>
          <w:rFonts w:ascii="宋体" w:eastAsia="宋体" w:hAnsi="宋体" w:cs="宋体" w:hint="eastAsia"/>
          <w:b w:val="0"/>
          <w:color w:val="000000"/>
          <w:kern w:val="2"/>
          <w:sz w:val="21"/>
          <w:szCs w:val="21"/>
          <w:highlight w:val="none"/>
          <w:u w:val="none"/>
          <w:lang w:val="en-US" w:eastAsia="zh-CN" w:bidi="ar-SA"/>
        </w:rPr>
        <w:t>痕量多组分气体通量测量仪可调查式获取温室气体CO2、CH4、N2O、H2O浓度数据，并计算土壤温室气体排放通量；该仪器还可用于大气本底浓度研究；另外，通过连接其他土壤传感器，如土壤温度和土壤水分传感器等，可研究环境条件与土壤温室气体通量的相关性。</w:t>
      </w:r>
    </w:p>
    <w:p>
      <w:pPr>
        <w:keepNext/>
        <w:keepLines/>
        <w:pageBreakBefore w:val="0"/>
        <w:widowControl w:val="0"/>
        <w:tabs>
          <w:tab w:val="left" w:pos="720"/>
        </w:tabs>
        <w:kinsoku/>
        <w:wordWrap/>
        <w:overflowPunct/>
        <w:topLinePunct w:val="0"/>
        <w:autoSpaceDE w:val="0"/>
        <w:autoSpaceDN w:val="0"/>
        <w:bidi w:val="0"/>
        <w:adjustRightInd w:val="0"/>
        <w:snapToGrid/>
        <w:spacing w:line="360" w:lineRule="auto"/>
        <w:ind w:left="420" w:firstLine="0" w:leftChars="200" w:firstLineChars="0"/>
        <w:jc w:val="left"/>
        <w:textAlignment w:val="auto"/>
        <w:outlineLvl w:val="2"/>
        <w:rPr>
          <w:rFonts w:ascii="宋体" w:eastAsia="宋体" w:hAnsi="宋体" w:cs="宋体" w:hint="eastAsia"/>
          <w:b/>
          <w:bCs/>
          <w:color w:val="000000"/>
          <w:kern w:val="2"/>
          <w:sz w:val="28"/>
          <w:szCs w:val="28"/>
          <w:highlight w:val="none"/>
          <w:u w:val="none"/>
          <w:lang w:val="en-US" w:eastAsia="zh-CN" w:bidi="ar-SA"/>
        </w:rPr>
      </w:pPr>
      <w:r>
        <w:rPr>
          <w:rFonts w:ascii="宋体" w:eastAsia="宋体" w:hAnsi="宋体" w:cs="宋体" w:hint="eastAsia"/>
          <w:b/>
          <w:bCs/>
          <w:color w:val="000000"/>
          <w:sz w:val="28"/>
          <w:szCs w:val="28"/>
          <w:highlight w:val="none"/>
          <w:lang w:val="en-US" w:eastAsia="zh-CN"/>
        </w:rPr>
        <w:t>★2.</w:t>
      </w:r>
      <w:r>
        <w:rPr>
          <w:rFonts w:ascii="宋体" w:eastAsia="宋体" w:hAnsi="宋体" w:cs="宋体" w:hint="eastAsia"/>
          <w:b/>
          <w:bCs/>
          <w:color w:val="000000"/>
          <w:kern w:val="2"/>
          <w:sz w:val="28"/>
          <w:szCs w:val="28"/>
          <w:highlight w:val="none"/>
          <w:u w:val="none"/>
          <w:lang w:val="en-US" w:eastAsia="zh-CN" w:bidi="ar-SA"/>
        </w:rPr>
        <w:t>配置要求</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 CH</w:t>
      </w:r>
      <w:r>
        <w:rPr>
          <w:rFonts w:ascii="宋体" w:eastAsia="宋体" w:hAnsi="宋体" w:cs="宋体" w:hint="eastAsia"/>
          <w:color w:val="000000"/>
          <w:position w:val="-20"/>
          <w:sz w:val="21"/>
          <w:szCs w:val="21"/>
          <w:highlight w:val="none"/>
          <w:vertAlign w:val="subscript"/>
        </w:rPr>
        <w:t>4</w:t>
      </w:r>
      <w:r>
        <w:rPr>
          <w:rFonts w:ascii="宋体" w:eastAsia="宋体" w:hAnsi="宋体" w:cs="宋体" w:hint="eastAsia"/>
          <w:color w:val="000000"/>
          <w:position w:val="-20"/>
          <w:sz w:val="21"/>
          <w:szCs w:val="21"/>
          <w:highlight w:val="none"/>
        </w:rPr>
        <w:t>/CO</w:t>
      </w:r>
      <w:r>
        <w:rPr>
          <w:rFonts w:ascii="宋体" w:eastAsia="宋体" w:hAnsi="宋体" w:cs="宋体" w:hint="eastAsia"/>
          <w:color w:val="000000"/>
          <w:position w:val="-20"/>
          <w:sz w:val="21"/>
          <w:szCs w:val="21"/>
          <w:highlight w:val="none"/>
          <w:vertAlign w:val="subscript"/>
        </w:rPr>
        <w:t>2</w:t>
      </w:r>
      <w:r>
        <w:rPr>
          <w:rFonts w:ascii="宋体" w:eastAsia="宋体" w:hAnsi="宋体" w:cs="宋体" w:hint="eastAsia"/>
          <w:color w:val="000000"/>
          <w:position w:val="-20"/>
          <w:sz w:val="21"/>
          <w:szCs w:val="21"/>
          <w:highlight w:val="none"/>
        </w:rPr>
        <w:t>/H</w:t>
      </w:r>
      <w:r>
        <w:rPr>
          <w:rFonts w:ascii="宋体" w:eastAsia="宋体" w:hAnsi="宋体" w:cs="宋体" w:hint="eastAsia"/>
          <w:color w:val="000000"/>
          <w:position w:val="-20"/>
          <w:sz w:val="21"/>
          <w:szCs w:val="21"/>
          <w:highlight w:val="none"/>
          <w:vertAlign w:val="subscript"/>
        </w:rPr>
        <w:t>2</w:t>
      </w:r>
      <w:r>
        <w:rPr>
          <w:rFonts w:ascii="宋体" w:eastAsia="宋体" w:hAnsi="宋体" w:cs="宋体" w:hint="eastAsia"/>
          <w:color w:val="000000"/>
          <w:position w:val="-20"/>
          <w:sz w:val="21"/>
          <w:szCs w:val="21"/>
          <w:highlight w:val="none"/>
        </w:rPr>
        <w:t>O分析器，1个；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.2 N</w:t>
      </w:r>
      <w:r>
        <w:rPr>
          <w:rFonts w:ascii="宋体" w:eastAsia="宋体" w:hAnsi="宋体" w:cs="宋体" w:hint="eastAsia"/>
          <w:color w:val="000000"/>
          <w:position w:val="-20"/>
          <w:sz w:val="21"/>
          <w:szCs w:val="21"/>
          <w:highlight w:val="none"/>
          <w:vertAlign w:val="subscript"/>
        </w:rPr>
        <w:t>2</w:t>
      </w:r>
      <w:r>
        <w:rPr>
          <w:rFonts w:ascii="宋体" w:eastAsia="宋体" w:hAnsi="宋体" w:cs="宋体" w:hint="eastAsia"/>
          <w:color w:val="000000"/>
          <w:position w:val="-20"/>
          <w:sz w:val="21"/>
          <w:szCs w:val="21"/>
          <w:highlight w:val="none"/>
        </w:rPr>
        <w:t>O/H</w:t>
      </w:r>
      <w:r>
        <w:rPr>
          <w:rFonts w:ascii="宋体" w:eastAsia="宋体" w:hAnsi="宋体" w:cs="宋体" w:hint="eastAsia"/>
          <w:color w:val="000000"/>
          <w:position w:val="-20"/>
          <w:sz w:val="21"/>
          <w:szCs w:val="21"/>
          <w:highlight w:val="none"/>
          <w:vertAlign w:val="subscript"/>
        </w:rPr>
        <w:t>2</w:t>
      </w:r>
      <w:r>
        <w:rPr>
          <w:rFonts w:ascii="宋体" w:eastAsia="宋体" w:hAnsi="宋体" w:cs="宋体" w:hint="eastAsia"/>
          <w:color w:val="000000"/>
          <w:position w:val="-20"/>
          <w:sz w:val="21"/>
          <w:szCs w:val="21"/>
          <w:highlight w:val="none"/>
        </w:rPr>
        <w:t>O分析器，1个；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.3 便携式智能测量室，1个；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.4 多通道控制器，1个；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.5 长期测量室，4个；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.6 土壤温度水分电导率传感器，4个；</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.7 15m线缆，4条；</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.8 自动进样器，1套；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.9 连接线，1套；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.10 充电锂电池，6块；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.11 通量数据处理软件，1套；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.12 数据线，1套；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.13 电源充电器，1套；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.14 产品手册，1套；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.15 无线传输系统，1套；</w:t>
      </w:r>
    </w:p>
    <w:p>
      <w:pPr>
        <w:pageBreakBefore w:val="0"/>
        <w:widowControl w:val="0"/>
        <w:kinsoku/>
        <w:wordWrap/>
        <w:overflowPunct/>
        <w:topLinePunct w:val="0"/>
        <w:bidi w:val="0"/>
        <w:snapToGrid/>
        <w:spacing w:line="360" w:lineRule="auto"/>
        <w:ind w:left="0" w:firstLine="420" w:leftChars="0" w:firstLineChars="200"/>
        <w:textAlignment w:val="auto"/>
        <w:rPr>
          <w:rFonts w:ascii="宋体" w:eastAsia="宋体" w:hAnsi="宋体" w:cs="宋体" w:hint="eastAsia"/>
          <w:color w:val="000000"/>
          <w:position w:val="-20"/>
          <w:sz w:val="21"/>
          <w:szCs w:val="21"/>
          <w:highlight w:val="none"/>
          <w:lang w:eastAsia="zh-CN"/>
        </w:rPr>
      </w:pPr>
      <w:r>
        <w:rPr>
          <w:rFonts w:ascii="宋体" w:eastAsia="宋体" w:hAnsi="宋体" w:cs="宋体" w:hint="eastAsia"/>
          <w:color w:val="000000"/>
          <w:position w:val="-20"/>
          <w:sz w:val="21"/>
          <w:szCs w:val="21"/>
          <w:highlight w:val="none"/>
          <w:lang w:val="en-US" w:eastAsia="zh-CN"/>
        </w:rPr>
        <w:t>2</w:t>
      </w:r>
      <w:r>
        <w:rPr>
          <w:rFonts w:ascii="宋体" w:eastAsia="宋体" w:hAnsi="宋体" w:cs="宋体" w:hint="eastAsia"/>
          <w:color w:val="000000"/>
          <w:position w:val="-20"/>
          <w:sz w:val="21"/>
          <w:szCs w:val="21"/>
          <w:highlight w:val="none"/>
        </w:rPr>
        <w:t>.16 400W太阳能板400AH电池等野外供电系统，1套</w:t>
      </w:r>
      <w:r>
        <w:rPr>
          <w:rFonts w:ascii="宋体" w:eastAsia="宋体" w:hAnsi="宋体" w:cs="宋体" w:hint="eastAsia"/>
          <w:color w:val="000000"/>
          <w:position w:val="-20"/>
          <w:sz w:val="21"/>
          <w:szCs w:val="21"/>
          <w:highlight w:val="none"/>
          <w:lang w:val="en-US" w:eastAsia="zh-CN"/>
        </w:rPr>
        <w:t>.</w:t>
      </w:r>
    </w:p>
    <w:p>
      <w:pPr>
        <w:pStyle w:val="a"/>
        <w:ind w:left="0" w:firstLine="210" w:leftChars="0" w:firstLineChars="100"/>
        <w:rPr>
          <w:rFonts w:eastAsia="宋体" w:cs="Times New Roman" w:hint="eastAsia"/>
          <w:b/>
          <w:bCs/>
          <w:color w:val="000000"/>
          <w:highlight w:val="none"/>
          <w:lang w:val="en-US" w:eastAsia="zh-CN"/>
        </w:rPr>
      </w:pPr>
      <w:r>
        <w:rPr>
          <w:rFonts w:eastAsia="宋体" w:cs="Times New Roman" w:hint="eastAsia"/>
          <w:b/>
          <w:bCs/>
          <w:color w:val="000000"/>
          <w:highlight w:val="none"/>
          <w:lang w:val="en-US" w:eastAsia="zh-CN"/>
        </w:rPr>
        <w:t>3.技术要求</w:t>
      </w:r>
    </w:p>
    <w:tbl>
      <w:tblPr>
        <w:tblStyle w:val="TableNormal"/>
        <w:tblW w:w="5053" w:type="pct"/>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64"/>
        <w:gridCol w:w="981"/>
        <w:gridCol w:w="8413"/>
      </w:tblGrid>
      <w:tr>
        <w:tblPrEx>
          <w:tblW w:w="5053" w:type="pct"/>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80"/>
          <w:jc w:val="center"/>
        </w:trPr>
        <w:tc>
          <w:tcPr>
            <w:tcW w:w="376" w:type="pct"/>
            <w:vAlign w:val="center"/>
          </w:tcPr>
          <w:p>
            <w:pPr>
              <w:adjustRightInd w:val="0"/>
              <w:snapToGrid w:val="0"/>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483" w:type="pct"/>
            <w:vAlign w:val="center"/>
          </w:tcPr>
          <w:p>
            <w:pPr>
              <w:jc w:val="center"/>
              <w:rPr>
                <w:rFonts w:ascii="宋体" w:hAnsi="宋体" w:cs="宋体" w:hint="eastAsia"/>
                <w:b/>
                <w:color w:val="000000"/>
                <w:szCs w:val="21"/>
                <w:highlight w:val="none"/>
                <w:lang w:val="zh-TW" w:eastAsia="zh-TW"/>
              </w:rPr>
            </w:pPr>
            <w:r>
              <w:rPr>
                <w:rFonts w:ascii="宋体" w:hAnsi="宋体" w:cs="宋体" w:hint="eastAsia"/>
                <w:b/>
                <w:color w:val="000000"/>
                <w:szCs w:val="21"/>
                <w:highlight w:val="none"/>
                <w:lang w:val="zh-TW" w:eastAsia="zh-TW"/>
              </w:rPr>
              <w:t>名称</w:t>
            </w:r>
          </w:p>
        </w:tc>
        <w:tc>
          <w:tcPr>
            <w:tcW w:w="4140" w:type="pct"/>
            <w:vAlign w:val="center"/>
          </w:tcPr>
          <w:p>
            <w:pPr>
              <w:adjustRightInd w:val="0"/>
              <w:snapToGrid w:val="0"/>
              <w:spacing w:line="360" w:lineRule="auto"/>
              <w:ind w:left="493" w:hanging="491" w:hangingChars="234"/>
              <w:jc w:val="center"/>
              <w:rPr>
                <w:rFonts w:ascii="宋体" w:hAnsi="宋体" w:cs="宋体"/>
                <w:b/>
                <w:color w:val="000000"/>
                <w:position w:val="-20"/>
                <w:szCs w:val="21"/>
                <w:highlight w:val="none"/>
              </w:rPr>
            </w:pPr>
            <w:r>
              <w:rPr>
                <w:rFonts w:ascii="宋体" w:hAnsi="宋体" w:cs="宋体"/>
                <w:b/>
                <w:color w:val="000000"/>
                <w:position w:val="-20"/>
                <w:szCs w:val="21"/>
                <w:highlight w:val="none"/>
              </w:rPr>
              <w:t>技术要求</w:t>
            </w:r>
          </w:p>
        </w:tc>
      </w:tr>
      <w:tr>
        <w:tblPrEx>
          <w:tblW w:w="5053" w:type="pct"/>
          <w:jc w:val="center"/>
          <w:tblInd w:w="-53" w:type="dxa"/>
          <w:tblCellMar>
            <w:top w:w="0" w:type="dxa"/>
            <w:left w:w="108" w:type="dxa"/>
            <w:bottom w:w="0" w:type="dxa"/>
            <w:right w:w="108" w:type="dxa"/>
          </w:tblCellMar>
          <w:tblLook w:val="0000"/>
        </w:tblPrEx>
        <w:trPr>
          <w:trHeight w:val="380"/>
          <w:jc w:val="center"/>
        </w:trPr>
        <w:tc>
          <w:tcPr>
            <w:tcW w:w="376" w:type="pct"/>
            <w:vMerge w:val="restart"/>
            <w:vAlign w:val="center"/>
          </w:tcPr>
          <w:p>
            <w:pPr>
              <w:adjustRightInd w:val="0"/>
              <w:snapToGrid w:val="0"/>
              <w:jc w:val="center"/>
              <w:rPr>
                <w:rFonts w:ascii="宋体" w:hAnsi="宋体" w:cs="宋体" w:hint="eastAsia"/>
                <w:color w:val="000000"/>
                <w:szCs w:val="21"/>
                <w:highlight w:val="none"/>
              </w:rPr>
            </w:pPr>
            <w:bookmarkStart w:id="17" w:name="_Toc88839307"/>
            <w:r>
              <w:rPr>
                <w:rFonts w:ascii="宋体" w:hAnsi="宋体" w:cs="宋体" w:hint="eastAsia"/>
                <w:color w:val="000000"/>
                <w:szCs w:val="21"/>
                <w:highlight w:val="none"/>
              </w:rPr>
              <w:t>1</w:t>
            </w:r>
          </w:p>
          <w:p>
            <w:pPr>
              <w:adjustRightInd w:val="0"/>
              <w:snapToGrid w:val="0"/>
              <w:jc w:val="center"/>
              <w:rPr>
                <w:rFonts w:ascii="宋体" w:hAnsi="宋体" w:cs="宋体" w:hint="eastAsia"/>
                <w:color w:val="000000"/>
                <w:szCs w:val="21"/>
                <w:highlight w:val="none"/>
              </w:rPr>
            </w:pPr>
          </w:p>
        </w:tc>
        <w:tc>
          <w:tcPr>
            <w:tcW w:w="483" w:type="pct"/>
            <w:vMerge w:val="restar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lang w:val="zh-TW" w:eastAsia="zh-TW"/>
              </w:rPr>
              <w:t>痕量多组分气体通量测量仪</w:t>
            </w:r>
          </w:p>
          <w:p>
            <w:pPr>
              <w:adjustRightInd w:val="0"/>
              <w:snapToGrid w:val="0"/>
              <w:jc w:val="center"/>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3" w:hanging="491" w:hangingChars="234"/>
              <w:jc w:val="left"/>
              <w:rPr>
                <w:rFonts w:ascii="宋体" w:hAnsi="宋体" w:cs="宋体" w:hint="eastAsia"/>
                <w:color w:val="000000"/>
                <w:szCs w:val="21"/>
                <w:highlight w:val="none"/>
              </w:rPr>
            </w:pPr>
            <w:r>
              <w:rPr>
                <w:rFonts w:ascii="宋体" w:hAnsi="宋体" w:cs="宋体" w:hint="eastAsia"/>
                <w:b/>
                <w:color w:val="000000"/>
                <w:position w:val="-20"/>
                <w:szCs w:val="21"/>
                <w:highlight w:val="none"/>
              </w:rPr>
              <w:t>1.1 测量技术：</w:t>
            </w:r>
            <w:r>
              <w:rPr>
                <w:rFonts w:ascii="宋体" w:hAnsi="宋体" w:cs="宋体" w:hint="eastAsia"/>
                <w:color w:val="000000"/>
                <w:position w:val="-20"/>
                <w:szCs w:val="21"/>
                <w:highlight w:val="none"/>
              </w:rPr>
              <w:t>光反馈-腔增强吸收光谱技术</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3" w:hanging="491" w:hangingChars="234"/>
              <w:jc w:val="left"/>
              <w:rPr>
                <w:rFonts w:ascii="宋体" w:hAnsi="宋体" w:cs="宋体" w:hint="eastAsia"/>
                <w:b/>
                <w:color w:val="000000"/>
                <w:szCs w:val="21"/>
                <w:highlight w:val="none"/>
              </w:rPr>
            </w:pPr>
            <w:r>
              <w:rPr>
                <w:rFonts w:ascii="宋体" w:hAnsi="宋体" w:cs="宋体" w:hint="eastAsia"/>
                <w:b/>
                <w:color w:val="000000"/>
                <w:position w:val="-20"/>
                <w:szCs w:val="21"/>
                <w:highlight w:val="none"/>
              </w:rPr>
              <w:t>1.2  CO</w:t>
            </w:r>
            <w:r>
              <w:rPr>
                <w:rFonts w:ascii="宋体" w:hAnsi="宋体" w:cs="宋体" w:hint="eastAsia"/>
                <w:b/>
                <w:color w:val="000000"/>
                <w:position w:val="-20"/>
                <w:szCs w:val="21"/>
                <w:highlight w:val="none"/>
                <w:vertAlign w:val="subscript"/>
              </w:rPr>
              <w:t>2</w:t>
            </w:r>
            <w:r>
              <w:rPr>
                <w:rFonts w:ascii="宋体" w:hAnsi="宋体" w:cs="宋体" w:hint="eastAsia"/>
                <w:b/>
                <w:color w:val="000000"/>
                <w:position w:val="-20"/>
                <w:szCs w:val="21"/>
                <w:highlight w:val="none"/>
              </w:rPr>
              <w:t>分析器：</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1" w:hanging="491" w:hangingChars="234"/>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1.2.1 范围：0~10000ppm</w:t>
            </w:r>
          </w:p>
        </w:tc>
      </w:tr>
      <w:tr>
        <w:tblPrEx>
          <w:tblW w:w="5053" w:type="pct"/>
          <w:jc w:val="center"/>
          <w:tblInd w:w="-53" w:type="dxa"/>
          <w:tblCellMar>
            <w:top w:w="0" w:type="dxa"/>
            <w:left w:w="108" w:type="dxa"/>
            <w:bottom w:w="0" w:type="dxa"/>
            <w:right w:w="108" w:type="dxa"/>
          </w:tblCellMar>
          <w:tblLook w:val="0000"/>
        </w:tblPrEx>
        <w:trPr>
          <w:trHeight w:val="46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0" w:hanging="10" w:hangingChars="5"/>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1.2.2 精确度：≤1.5 ppm @400 ppm，5秒信号平均；≤3.5 ppm @400 ppm，1秒信号平均</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3" w:hanging="491" w:hangingChars="234"/>
              <w:jc w:val="left"/>
              <w:rPr>
                <w:rFonts w:ascii="宋体" w:hAnsi="宋体" w:cs="宋体" w:hint="eastAsia"/>
                <w:b/>
                <w:color w:val="000000"/>
                <w:szCs w:val="21"/>
                <w:highlight w:val="none"/>
              </w:rPr>
            </w:pPr>
            <w:r>
              <w:rPr>
                <w:rFonts w:ascii="宋体" w:hAnsi="宋体" w:cs="宋体" w:hint="eastAsia"/>
                <w:b/>
                <w:color w:val="000000"/>
                <w:position w:val="-20"/>
                <w:szCs w:val="21"/>
                <w:highlight w:val="none"/>
              </w:rPr>
              <w:t>1.3 CH</w:t>
            </w:r>
            <w:r>
              <w:rPr>
                <w:rFonts w:ascii="宋体" w:hAnsi="宋体" w:cs="宋体" w:hint="eastAsia"/>
                <w:b/>
                <w:color w:val="000000"/>
                <w:position w:val="-20"/>
                <w:szCs w:val="21"/>
                <w:highlight w:val="none"/>
                <w:vertAlign w:val="subscript"/>
              </w:rPr>
              <w:t>4</w:t>
            </w:r>
            <w:r>
              <w:rPr>
                <w:rFonts w:ascii="宋体" w:hAnsi="宋体" w:cs="宋体" w:hint="eastAsia"/>
                <w:b/>
                <w:color w:val="000000"/>
                <w:position w:val="-20"/>
                <w:szCs w:val="21"/>
                <w:highlight w:val="none"/>
              </w:rPr>
              <w:t>分析器：</w:t>
            </w:r>
          </w:p>
        </w:tc>
      </w:tr>
      <w:tr>
        <w:tblPrEx>
          <w:tblW w:w="5053" w:type="pct"/>
          <w:jc w:val="center"/>
          <w:tblInd w:w="-53" w:type="dxa"/>
          <w:tblCellMar>
            <w:top w:w="0" w:type="dxa"/>
            <w:left w:w="108" w:type="dxa"/>
            <w:bottom w:w="0" w:type="dxa"/>
            <w:right w:w="108" w:type="dxa"/>
          </w:tblCellMar>
          <w:tblLook w:val="0000"/>
        </w:tblPrEx>
        <w:trPr>
          <w:trHeight w:val="418"/>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1" w:hanging="491" w:hangingChars="234"/>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1.3.1范围：0~100ppm</w:t>
            </w:r>
          </w:p>
        </w:tc>
      </w:tr>
      <w:tr>
        <w:tblPrEx>
          <w:tblW w:w="5053" w:type="pct"/>
          <w:jc w:val="center"/>
          <w:tblInd w:w="-53" w:type="dxa"/>
          <w:tblCellMar>
            <w:top w:w="0" w:type="dxa"/>
            <w:left w:w="108" w:type="dxa"/>
            <w:bottom w:w="0" w:type="dxa"/>
            <w:right w:w="108" w:type="dxa"/>
          </w:tblCellMar>
          <w:tblLook w:val="0000"/>
        </w:tblPrEx>
        <w:trPr>
          <w:trHeight w:val="112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1" w:hanging="10" w:hangingChars="5"/>
              <w:jc w:val="left"/>
              <w:rPr>
                <w:rFonts w:ascii="宋体" w:hAnsi="宋体" w:cs="宋体" w:hint="eastAsia"/>
                <w:b/>
                <w:bCs/>
                <w:color w:val="000000"/>
                <w:szCs w:val="21"/>
                <w:highlight w:val="none"/>
              </w:rPr>
            </w:pPr>
            <w:r>
              <w:rPr>
                <w:rFonts w:ascii="宋体" w:hAnsi="宋体" w:cs="宋体" w:hint="eastAsia"/>
                <w:b/>
                <w:bCs/>
                <w:color w:val="000000"/>
                <w:position w:val="-20"/>
                <w:szCs w:val="21"/>
                <w:highlight w:val="none"/>
              </w:rPr>
              <w:t>★1.3.2精确度：≤0.25ppb@ 2ppm，5秒信号平均；≤0.60ppb@ 2ppm，1秒信号平均，最大漂移：每24小时&lt; 1 ppb（提供官网技术资料截图或公开发行的技术彩页或产品说明书证明扫描件，原件备查）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92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0" w:hanging="10" w:hangingChars="5"/>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▲1.3.3响应时间（T</w:t>
            </w:r>
            <w:r>
              <w:rPr>
                <w:rFonts w:ascii="宋体" w:hAnsi="宋体" w:cs="宋体" w:hint="eastAsia"/>
                <w:color w:val="000000"/>
                <w:position w:val="-20"/>
                <w:szCs w:val="21"/>
                <w:highlight w:val="none"/>
                <w:vertAlign w:val="subscript"/>
              </w:rPr>
              <w:t>10</w:t>
            </w:r>
            <w:r>
              <w:rPr>
                <w:rFonts w:ascii="宋体" w:hAnsi="宋体" w:cs="宋体" w:hint="eastAsia"/>
                <w:color w:val="000000"/>
                <w:position w:val="-20"/>
                <w:szCs w:val="21"/>
                <w:highlight w:val="none"/>
              </w:rPr>
              <w:t>-T</w:t>
            </w:r>
            <w:r>
              <w:rPr>
                <w:rFonts w:ascii="宋体" w:hAnsi="宋体" w:cs="宋体" w:hint="eastAsia"/>
                <w:color w:val="000000"/>
                <w:position w:val="-20"/>
                <w:szCs w:val="21"/>
                <w:highlight w:val="none"/>
                <w:vertAlign w:val="subscript"/>
              </w:rPr>
              <w:t>90</w:t>
            </w:r>
            <w:r>
              <w:rPr>
                <w:rFonts w:ascii="宋体" w:hAnsi="宋体" w:cs="宋体" w:hint="eastAsia"/>
                <w:color w:val="000000"/>
                <w:position w:val="-20"/>
                <w:szCs w:val="21"/>
                <w:highlight w:val="none"/>
              </w:rPr>
              <w:t>）：从0到2 ppm，CH</w:t>
            </w:r>
            <w:r>
              <w:rPr>
                <w:rFonts w:ascii="宋体" w:hAnsi="宋体" w:cs="宋体" w:hint="eastAsia"/>
                <w:color w:val="000000"/>
                <w:position w:val="-20"/>
                <w:szCs w:val="21"/>
                <w:highlight w:val="none"/>
                <w:vertAlign w:val="subscript"/>
              </w:rPr>
              <w:t>4</w:t>
            </w:r>
            <w:r>
              <w:rPr>
                <w:rFonts w:ascii="宋体" w:hAnsi="宋体" w:cs="宋体" w:hint="eastAsia"/>
                <w:color w:val="000000"/>
                <w:position w:val="-20"/>
                <w:szCs w:val="21"/>
                <w:highlight w:val="none"/>
              </w:rPr>
              <w:t>响应时间≤2s</w:t>
            </w:r>
            <w:r>
              <w:rPr>
                <w:rFonts w:ascii="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414"/>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1" w:hanging="10" w:hangingChars="5"/>
              <w:jc w:val="left"/>
              <w:rPr>
                <w:rFonts w:ascii="宋体" w:hAnsi="宋体" w:cs="宋体" w:hint="eastAsia"/>
                <w:b/>
                <w:color w:val="000000"/>
                <w:szCs w:val="21"/>
                <w:highlight w:val="none"/>
              </w:rPr>
            </w:pPr>
            <w:r>
              <w:rPr>
                <w:rFonts w:ascii="宋体" w:hAnsi="宋体" w:cs="宋体" w:hint="eastAsia"/>
                <w:b/>
                <w:color w:val="000000"/>
                <w:position w:val="-20"/>
                <w:szCs w:val="21"/>
                <w:highlight w:val="none"/>
              </w:rPr>
              <w:t>1.4 N</w:t>
            </w:r>
            <w:r>
              <w:rPr>
                <w:rFonts w:ascii="宋体" w:hAnsi="宋体" w:cs="宋体" w:hint="eastAsia"/>
                <w:b/>
                <w:color w:val="000000"/>
                <w:position w:val="-20"/>
                <w:szCs w:val="21"/>
                <w:highlight w:val="none"/>
                <w:vertAlign w:val="subscript"/>
              </w:rPr>
              <w:t>2</w:t>
            </w:r>
            <w:r>
              <w:rPr>
                <w:rFonts w:ascii="宋体" w:hAnsi="宋体" w:cs="宋体" w:hint="eastAsia"/>
                <w:b/>
                <w:color w:val="000000"/>
                <w:position w:val="-20"/>
                <w:szCs w:val="21"/>
                <w:highlight w:val="none"/>
              </w:rPr>
              <w:t>O分析器：</w:t>
            </w:r>
          </w:p>
        </w:tc>
      </w:tr>
      <w:tr>
        <w:tblPrEx>
          <w:tblW w:w="5053" w:type="pct"/>
          <w:jc w:val="center"/>
          <w:tblInd w:w="-53" w:type="dxa"/>
          <w:tblCellMar>
            <w:top w:w="0" w:type="dxa"/>
            <w:left w:w="108" w:type="dxa"/>
            <w:bottom w:w="0" w:type="dxa"/>
            <w:right w:w="108" w:type="dxa"/>
          </w:tblCellMar>
          <w:tblLook w:val="0000"/>
        </w:tblPrEx>
        <w:trPr>
          <w:trHeight w:val="531"/>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0" w:hanging="10" w:hangingChars="5"/>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1.4.1范围：0~100ppm</w:t>
            </w:r>
          </w:p>
        </w:tc>
      </w:tr>
      <w:tr>
        <w:tblPrEx>
          <w:tblW w:w="5053" w:type="pct"/>
          <w:jc w:val="center"/>
          <w:tblInd w:w="-53" w:type="dxa"/>
          <w:tblCellMar>
            <w:top w:w="0" w:type="dxa"/>
            <w:left w:w="108" w:type="dxa"/>
            <w:bottom w:w="0" w:type="dxa"/>
            <w:right w:w="108" w:type="dxa"/>
          </w:tblCellMar>
          <w:tblLook w:val="0000"/>
        </w:tblPrEx>
        <w:trPr>
          <w:trHeight w:val="112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1" w:hanging="10" w:hangingChars="5"/>
              <w:jc w:val="left"/>
              <w:rPr>
                <w:rFonts w:ascii="宋体" w:hAnsi="宋体" w:cs="宋体" w:hint="eastAsia"/>
                <w:color w:val="000000"/>
                <w:szCs w:val="21"/>
                <w:highlight w:val="none"/>
              </w:rPr>
            </w:pPr>
            <w:r>
              <w:rPr>
                <w:rFonts w:ascii="宋体" w:hAnsi="宋体" w:cs="宋体" w:hint="eastAsia"/>
                <w:b/>
                <w:bCs/>
                <w:color w:val="000000"/>
                <w:position w:val="-20"/>
                <w:szCs w:val="21"/>
                <w:highlight w:val="none"/>
              </w:rPr>
              <w:t>★1.4.2精确度：≤0.20ppb@ 330ppb，5秒信号平均；≤0.40ppb@ 330ppb，1秒信号平均；最大漂移：每24小时&lt; 1 ppb（</w:t>
            </w:r>
            <w:r>
              <w:rPr>
                <w:rFonts w:ascii="宋体" w:hAnsi="宋体" w:cs="宋体" w:hint="eastAsia"/>
                <w:b/>
                <w:bCs/>
                <w:color w:val="000000"/>
                <w:position w:val="-20"/>
                <w:szCs w:val="21"/>
                <w:highlight w:val="none"/>
                <w:lang w:val="en-US" w:eastAsia="zh-CN"/>
              </w:rPr>
              <w:t>投标文件中</w:t>
            </w:r>
            <w:r>
              <w:rPr>
                <w:rFonts w:ascii="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75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0" w:hanging="10" w:hangingChars="5"/>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▲1.4.3 响应时间（T</w:t>
            </w:r>
            <w:r>
              <w:rPr>
                <w:rFonts w:ascii="宋体" w:hAnsi="宋体" w:cs="宋体" w:hint="eastAsia"/>
                <w:color w:val="000000"/>
                <w:position w:val="-20"/>
                <w:szCs w:val="21"/>
                <w:highlight w:val="none"/>
                <w:vertAlign w:val="subscript"/>
              </w:rPr>
              <w:t>10</w:t>
            </w:r>
            <w:r>
              <w:rPr>
                <w:rFonts w:ascii="宋体" w:hAnsi="宋体" w:cs="宋体" w:hint="eastAsia"/>
                <w:color w:val="000000"/>
                <w:position w:val="-20"/>
                <w:szCs w:val="21"/>
                <w:highlight w:val="none"/>
              </w:rPr>
              <w:t>-T</w:t>
            </w:r>
            <w:r>
              <w:rPr>
                <w:rFonts w:ascii="宋体" w:hAnsi="宋体" w:cs="宋体" w:hint="eastAsia"/>
                <w:color w:val="000000"/>
                <w:position w:val="-20"/>
                <w:szCs w:val="21"/>
                <w:highlight w:val="none"/>
                <w:vertAlign w:val="subscript"/>
              </w:rPr>
              <w:t>90</w:t>
            </w:r>
            <w:r>
              <w:rPr>
                <w:rFonts w:ascii="宋体" w:hAnsi="宋体" w:cs="宋体" w:hint="eastAsia"/>
                <w:color w:val="000000"/>
                <w:position w:val="-20"/>
                <w:szCs w:val="21"/>
                <w:highlight w:val="none"/>
              </w:rPr>
              <w:t>）：从0到330 ppb，N</w:t>
            </w:r>
            <w:r>
              <w:rPr>
                <w:rFonts w:ascii="宋体" w:hAnsi="宋体" w:cs="宋体" w:hint="eastAsia"/>
                <w:color w:val="000000"/>
                <w:position w:val="-20"/>
                <w:szCs w:val="21"/>
                <w:highlight w:val="none"/>
                <w:vertAlign w:val="subscript"/>
              </w:rPr>
              <w:t>2</w:t>
            </w:r>
            <w:r>
              <w:rPr>
                <w:rFonts w:ascii="宋体" w:hAnsi="宋体" w:cs="宋体" w:hint="eastAsia"/>
                <w:color w:val="000000"/>
                <w:position w:val="-20"/>
                <w:szCs w:val="21"/>
                <w:highlight w:val="none"/>
              </w:rPr>
              <w:t>O响应时间≤2s</w:t>
            </w:r>
            <w:r>
              <w:rPr>
                <w:rFonts w:ascii="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3" w:hanging="491" w:hangingChars="234"/>
              <w:jc w:val="left"/>
              <w:rPr>
                <w:rFonts w:ascii="宋体" w:hAnsi="宋体" w:cs="宋体" w:hint="eastAsia"/>
                <w:b/>
                <w:color w:val="000000"/>
                <w:szCs w:val="21"/>
                <w:highlight w:val="none"/>
              </w:rPr>
            </w:pPr>
            <w:r>
              <w:rPr>
                <w:rFonts w:ascii="宋体" w:hAnsi="宋体" w:cs="宋体" w:hint="eastAsia"/>
                <w:b/>
                <w:color w:val="000000"/>
                <w:position w:val="-20"/>
                <w:szCs w:val="21"/>
                <w:highlight w:val="none"/>
              </w:rPr>
              <w:t>1.5 H</w:t>
            </w:r>
            <w:r>
              <w:rPr>
                <w:rFonts w:ascii="宋体" w:hAnsi="宋体" w:cs="宋体" w:hint="eastAsia"/>
                <w:b/>
                <w:color w:val="000000"/>
                <w:position w:val="-20"/>
                <w:szCs w:val="21"/>
                <w:highlight w:val="none"/>
                <w:vertAlign w:val="subscript"/>
              </w:rPr>
              <w:t>2</w:t>
            </w:r>
            <w:r>
              <w:rPr>
                <w:rFonts w:ascii="宋体" w:hAnsi="宋体" w:cs="宋体" w:hint="eastAsia"/>
                <w:b/>
                <w:color w:val="000000"/>
                <w:position w:val="-20"/>
                <w:szCs w:val="21"/>
                <w:highlight w:val="none"/>
              </w:rPr>
              <w:t>O分析器：</w:t>
            </w:r>
          </w:p>
        </w:tc>
      </w:tr>
      <w:tr>
        <w:tblPrEx>
          <w:tblW w:w="5053" w:type="pct"/>
          <w:jc w:val="center"/>
          <w:tblInd w:w="-53" w:type="dxa"/>
          <w:tblCellMar>
            <w:top w:w="0" w:type="dxa"/>
            <w:left w:w="108" w:type="dxa"/>
            <w:bottom w:w="0" w:type="dxa"/>
            <w:right w:w="108" w:type="dxa"/>
          </w:tblCellMar>
          <w:tblLook w:val="0000"/>
        </w:tblPrEx>
        <w:trPr>
          <w:trHeight w:val="574"/>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491" w:hanging="491" w:hangingChars="234"/>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1.5.1范围：0~60000 ppm</w:t>
            </w:r>
          </w:p>
        </w:tc>
      </w:tr>
      <w:tr>
        <w:tblPrEx>
          <w:tblW w:w="5053" w:type="pct"/>
          <w:jc w:val="center"/>
          <w:tblInd w:w="-53" w:type="dxa"/>
          <w:tblCellMar>
            <w:top w:w="0" w:type="dxa"/>
            <w:left w:w="108" w:type="dxa"/>
            <w:bottom w:w="0" w:type="dxa"/>
            <w:right w:w="108" w:type="dxa"/>
          </w:tblCellMar>
          <w:tblLook w:val="0000"/>
        </w:tblPrEx>
        <w:trPr>
          <w:trHeight w:val="35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10" w:hanging="10" w:hangingChars="5"/>
              <w:jc w:val="left"/>
              <w:rPr>
                <w:rFonts w:ascii="宋体" w:hAnsi="宋体" w:cs="宋体" w:hint="eastAsia"/>
                <w:color w:val="000000"/>
                <w:szCs w:val="21"/>
                <w:highlight w:val="none"/>
              </w:rPr>
            </w:pPr>
            <w:r>
              <w:rPr>
                <w:rFonts w:ascii="宋体" w:hAnsi="宋体" w:cs="宋体" w:hint="eastAsia"/>
                <w:color w:val="000000"/>
                <w:position w:val="-20"/>
                <w:szCs w:val="21"/>
                <w:highlight w:val="none"/>
              </w:rPr>
              <w:t>▲1.5.2精确度：≤20 ppm @10000 ppm，5秒信号平均；≤45 ppm @10000 ppm，1秒信号平均</w:t>
            </w:r>
            <w:r>
              <w:rPr>
                <w:rFonts w:ascii="宋体" w:eastAsia="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eastAsia="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7" w:hanging="983" w:hangingChars="468"/>
              <w:rPr>
                <w:rFonts w:ascii="宋体" w:hAnsi="宋体" w:cs="宋体" w:hint="eastAsia"/>
                <w:b/>
                <w:color w:val="000000"/>
                <w:szCs w:val="21"/>
                <w:highlight w:val="none"/>
              </w:rPr>
            </w:pPr>
            <w:r>
              <w:rPr>
                <w:rFonts w:ascii="宋体" w:hAnsi="宋体" w:cs="宋体" w:hint="eastAsia"/>
                <w:b/>
                <w:color w:val="000000"/>
                <w:position w:val="-20"/>
                <w:szCs w:val="21"/>
                <w:highlight w:val="none"/>
              </w:rPr>
              <w:t>1.6常规参数要求：</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1.6.1采样频率：≥1次/秒</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▲1.6.2功耗（稳定状态）：单台仪器≤22W</w:t>
            </w:r>
            <w:r>
              <w:rPr>
                <w:rFonts w:ascii="宋体" w:eastAsia="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eastAsia="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1.6.3光腔体积:≤7cm</w:t>
            </w:r>
            <w:r>
              <w:rPr>
                <w:rFonts w:ascii="宋体" w:hAnsi="宋体" w:cs="宋体" w:hint="eastAsia"/>
                <w:color w:val="000000"/>
                <w:position w:val="-20"/>
                <w:szCs w:val="21"/>
                <w:highlight w:val="none"/>
                <w:vertAlign w:val="superscript"/>
              </w:rPr>
              <w:t>3</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1.6.4流速:≤250sccm（标准毫升每分钟）</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▲1.6.5工作温度：-25~45℃</w:t>
            </w:r>
            <w:r>
              <w:rPr>
                <w:rFonts w:ascii="宋体" w:eastAsia="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eastAsia="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1.6.6 工作压力：70~110kPa</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1.6.7 数据传输：以太网和Wi-Fi</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1.6.8 显示屏：机身自带显示器，实时显示浓度测量结果及状态更新信息</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7" w:hanging="983" w:hangingChars="468"/>
              <w:rPr>
                <w:rFonts w:ascii="宋体" w:hAnsi="宋体" w:cs="宋体" w:hint="eastAsia"/>
                <w:b/>
                <w:color w:val="000000"/>
                <w:position w:val="-20"/>
                <w:szCs w:val="21"/>
                <w:highlight w:val="none"/>
              </w:rPr>
            </w:pPr>
            <w:r>
              <w:rPr>
                <w:rFonts w:ascii="宋体" w:hAnsi="宋体" w:cs="宋体" w:hint="eastAsia"/>
                <w:b/>
                <w:color w:val="000000"/>
                <w:position w:val="-20"/>
                <w:szCs w:val="21"/>
                <w:highlight w:val="none"/>
              </w:rPr>
              <w:t>1.7 便携式智能测量室：</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1.7.1系统体积：≥4000cm</w:t>
            </w:r>
            <w:r>
              <w:rPr>
                <w:rFonts w:ascii="宋体" w:hAnsi="宋体" w:cs="宋体" w:hint="eastAsia"/>
                <w:color w:val="000000"/>
                <w:position w:val="-20"/>
                <w:szCs w:val="21"/>
                <w:highlight w:val="none"/>
                <w:vertAlign w:val="superscript"/>
              </w:rPr>
              <w:t>3</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1.7.2土壤面积：≥300 cm</w:t>
            </w:r>
            <w:r>
              <w:rPr>
                <w:rFonts w:ascii="宋体" w:hAnsi="宋体" w:cs="宋体" w:hint="eastAsia"/>
                <w:color w:val="000000"/>
                <w:position w:val="-20"/>
                <w:szCs w:val="21"/>
                <w:highlight w:val="none"/>
                <w:vertAlign w:val="superscript"/>
              </w:rPr>
              <w:t>2</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1.7.3空气温度传感器：测量范围：-20~70℃；准确度：± 0.5℃@ 0~70℃</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1.7.4压力传感器：测量范围：50~110 KPa；准确度：± 0.4kPa</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1.7.5工作温度：-20~50℃</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 xml:space="preserve">1.7.6电池：可充电锂电池 </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1.7.7内存：≥8GB内存</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1.7.8 GPS：准确度≤2.5 m CEP</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1.7.9 通讯：可WiFi连接</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▲1.7.10 内置土壤温室气体通量计算模块</w:t>
            </w:r>
            <w:r>
              <w:rPr>
                <w:rFonts w:ascii="宋体" w:eastAsia="宋体" w:hAnsi="宋体" w:cs="宋体" w:hint="eastAsia"/>
                <w:b/>
                <w:bCs/>
                <w:color w:val="000000"/>
                <w:position w:val="-20"/>
                <w:szCs w:val="21"/>
                <w:highlight w:val="none"/>
              </w:rPr>
              <w:t>（</w:t>
            </w:r>
            <w:r>
              <w:rPr>
                <w:rFonts w:ascii="宋体" w:hAnsi="宋体" w:cs="宋体" w:hint="eastAsia"/>
                <w:b/>
                <w:bCs/>
                <w:color w:val="000000"/>
                <w:position w:val="-20"/>
                <w:szCs w:val="21"/>
                <w:highlight w:val="none"/>
                <w:lang w:val="en-US" w:eastAsia="zh-CN"/>
              </w:rPr>
              <w:t>投标文件中</w:t>
            </w:r>
            <w:r>
              <w:rPr>
                <w:rFonts w:ascii="宋体" w:eastAsia="宋体" w:hAnsi="宋体" w:cs="宋体" w:hint="eastAsia"/>
                <w:b/>
                <w:bCs/>
                <w:color w:val="000000"/>
                <w:position w:val="-20"/>
                <w:szCs w:val="21"/>
                <w:highlight w:val="none"/>
              </w:rPr>
              <w:t>提供官网技术资料截图或公开发行的技术彩页或产品说明书证明扫描件，原件备查）</w:t>
            </w:r>
          </w:p>
        </w:tc>
      </w:tr>
      <w:tr>
        <w:tblPrEx>
          <w:tblW w:w="5053" w:type="pct"/>
          <w:jc w:val="center"/>
          <w:tblInd w:w="-53" w:type="dxa"/>
          <w:tblCellMar>
            <w:top w:w="0" w:type="dxa"/>
            <w:left w:w="108" w:type="dxa"/>
            <w:bottom w:w="0" w:type="dxa"/>
            <w:right w:w="108" w:type="dxa"/>
          </w:tblCellMar>
          <w:tblLook w:val="0000"/>
        </w:tblPrEx>
        <w:trPr>
          <w:trHeight w:val="56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▲1.7.11 便携式智能测量室与分析器为同一厂家生产</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7" w:hanging="983" w:hangingChars="468"/>
              <w:rPr>
                <w:rFonts w:ascii="宋体" w:hAnsi="宋体" w:cs="宋体" w:hint="eastAsia"/>
                <w:b/>
                <w:color w:val="000000"/>
                <w:position w:val="-20"/>
                <w:szCs w:val="21"/>
                <w:highlight w:val="none"/>
              </w:rPr>
            </w:pPr>
            <w:r>
              <w:rPr>
                <w:rFonts w:ascii="宋体" w:hAnsi="宋体" w:cs="宋体" w:hint="eastAsia"/>
                <w:b/>
                <w:color w:val="000000"/>
                <w:position w:val="-20"/>
                <w:szCs w:val="21"/>
                <w:highlight w:val="none"/>
              </w:rPr>
              <w:t>1.8 多通道控制器：</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1.8.1 数据存储：≥8 GB</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1.8.2 防水性能：不低于IEC IP55 标准</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1.8.3 工作环境：温度–20~45℃，湿度0~95% RH，无冷凝</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1.8.4 覆盖范围：气室距离多路器最大半径≥15.0 m，每个气室1条延长管线</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1.8.5 泵：与气室之间流速不低于~2到3lpm，分析仪可从多通道控制器气流二次采样</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7" w:hanging="983" w:hangingChars="468"/>
              <w:rPr>
                <w:rFonts w:ascii="宋体" w:hAnsi="宋体" w:cs="宋体" w:hint="eastAsia"/>
                <w:b/>
                <w:color w:val="000000"/>
                <w:position w:val="-20"/>
                <w:szCs w:val="21"/>
                <w:highlight w:val="none"/>
              </w:rPr>
            </w:pPr>
            <w:r>
              <w:rPr>
                <w:rFonts w:ascii="宋体" w:hAnsi="宋体" w:cs="宋体" w:hint="eastAsia"/>
                <w:b/>
                <w:color w:val="000000"/>
                <w:position w:val="-20"/>
                <w:szCs w:val="21"/>
                <w:highlight w:val="none"/>
              </w:rPr>
              <w:t>1.9 长期测量室：</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1.9.1 气室体积：≤4100 cm</w:t>
            </w:r>
            <w:r>
              <w:rPr>
                <w:rFonts w:ascii="宋体" w:hAnsi="宋体" w:cs="宋体" w:hint="eastAsia"/>
                <w:color w:val="000000"/>
                <w:position w:val="-20"/>
                <w:szCs w:val="21"/>
                <w:highlight w:val="none"/>
                <w:vertAlign w:val="superscript"/>
              </w:rPr>
              <w:t>3</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1.9.2 测量土壤面积：≤500 cm</w:t>
            </w:r>
            <w:r>
              <w:rPr>
                <w:rFonts w:ascii="宋体" w:hAnsi="宋体" w:cs="宋体" w:hint="eastAsia"/>
                <w:color w:val="000000"/>
                <w:position w:val="-20"/>
                <w:szCs w:val="21"/>
                <w:highlight w:val="none"/>
                <w:vertAlign w:val="superscript"/>
              </w:rPr>
              <w:t>2</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position w:val="-20"/>
                <w:szCs w:val="21"/>
                <w:highlight w:val="none"/>
              </w:rPr>
              <w:t>1.9.3 防水性能：不低于IEC IP55 标准</w:t>
            </w:r>
          </w:p>
        </w:tc>
      </w:tr>
      <w:tr>
        <w:tblPrEx>
          <w:tblW w:w="5053" w:type="pct"/>
          <w:jc w:val="center"/>
          <w:tblInd w:w="-53" w:type="dxa"/>
          <w:tblCellMar>
            <w:top w:w="0" w:type="dxa"/>
            <w:left w:w="108" w:type="dxa"/>
            <w:bottom w:w="0" w:type="dxa"/>
            <w:right w:w="108" w:type="dxa"/>
          </w:tblCellMar>
          <w:tblLook w:val="0000"/>
        </w:tblPrEx>
        <w:trPr>
          <w:trHeight w:val="350"/>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7" w:hanging="983" w:hangingChars="468"/>
              <w:rPr>
                <w:rFonts w:ascii="宋体" w:hAnsi="宋体" w:cs="宋体" w:hint="eastAsia"/>
                <w:b/>
                <w:color w:val="000000"/>
                <w:position w:val="-20"/>
                <w:szCs w:val="21"/>
                <w:highlight w:val="none"/>
              </w:rPr>
            </w:pPr>
            <w:r>
              <w:rPr>
                <w:rFonts w:ascii="宋体" w:hAnsi="宋体" w:cs="宋体" w:hint="eastAsia"/>
                <w:b/>
                <w:color w:val="000000"/>
                <w:position w:val="-20"/>
                <w:szCs w:val="21"/>
                <w:highlight w:val="none"/>
              </w:rPr>
              <w:t>1.10 自动进样器：</w:t>
            </w:r>
          </w:p>
        </w:tc>
      </w:tr>
      <w:tr>
        <w:tblPrEx>
          <w:tblW w:w="5053" w:type="pct"/>
          <w:jc w:val="center"/>
          <w:tblInd w:w="-53" w:type="dxa"/>
          <w:tblCellMar>
            <w:top w:w="0" w:type="dxa"/>
            <w:left w:w="108" w:type="dxa"/>
            <w:bottom w:w="0" w:type="dxa"/>
            <w:right w:w="108" w:type="dxa"/>
          </w:tblCellMar>
          <w:tblLook w:val="0000"/>
        </w:tblPrEx>
        <w:trPr>
          <w:trHeight w:val="851"/>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b/>
                <w:bCs/>
                <w:color w:val="000000"/>
                <w:position w:val="-20"/>
                <w:szCs w:val="21"/>
                <w:highlight w:val="none"/>
              </w:rPr>
            </w:pPr>
            <w:r>
              <w:rPr>
                <w:rFonts w:ascii="宋体" w:hAnsi="宋体" w:cs="宋体" w:hint="eastAsia"/>
                <w:b/>
                <w:bCs/>
                <w:color w:val="000000"/>
                <w:szCs w:val="21"/>
                <w:highlight w:val="none"/>
              </w:rPr>
              <w:t>★1.10.1可与痕量气体预浓缩仪搭配使用，将样品气体批量自动导入痕量气体预浓缩仪，通过冷阱、化学阱和气相色谱柱对气体样品中痕量CO</w:t>
            </w:r>
            <w:r>
              <w:rPr>
                <w:rFonts w:ascii="宋体" w:hAnsi="宋体" w:cs="宋体" w:hint="eastAsia"/>
                <w:b/>
                <w:bCs/>
                <w:color w:val="000000"/>
                <w:szCs w:val="21"/>
                <w:highlight w:val="none"/>
                <w:vertAlign w:val="subscript"/>
              </w:rPr>
              <w:t>2</w:t>
            </w:r>
            <w:r>
              <w:rPr>
                <w:rFonts w:ascii="宋体" w:hAnsi="宋体" w:cs="宋体" w:hint="eastAsia"/>
                <w:b/>
                <w:bCs/>
                <w:color w:val="000000"/>
                <w:szCs w:val="21"/>
                <w:highlight w:val="none"/>
              </w:rPr>
              <w:t>、N</w:t>
            </w:r>
            <w:r>
              <w:rPr>
                <w:rFonts w:ascii="宋体" w:hAnsi="宋体" w:cs="宋体" w:hint="eastAsia"/>
                <w:b/>
                <w:bCs/>
                <w:color w:val="000000"/>
                <w:szCs w:val="21"/>
                <w:highlight w:val="none"/>
                <w:vertAlign w:val="subscript"/>
              </w:rPr>
              <w:t>2</w:t>
            </w:r>
            <w:r>
              <w:rPr>
                <w:rFonts w:ascii="宋体" w:hAnsi="宋体" w:cs="宋体" w:hint="eastAsia"/>
                <w:b/>
                <w:bCs/>
                <w:color w:val="000000"/>
                <w:szCs w:val="21"/>
                <w:highlight w:val="none"/>
              </w:rPr>
              <w:t>O进行浓缩和纯化。</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color w:val="000000"/>
                <w:position w:val="-20"/>
                <w:szCs w:val="21"/>
                <w:highlight w:val="none"/>
              </w:rPr>
            </w:pPr>
            <w:r>
              <w:rPr>
                <w:rFonts w:ascii="宋体" w:hAnsi="宋体" w:cs="宋体" w:hint="eastAsia"/>
                <w:color w:val="000000"/>
                <w:szCs w:val="21"/>
                <w:highlight w:val="none"/>
              </w:rPr>
              <w:t>1.10.2 自动进样器类型：XYZ三维自动进样平台，固定管架设计</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color w:val="000000"/>
                <w:position w:val="-20"/>
                <w:szCs w:val="21"/>
                <w:highlight w:val="none"/>
              </w:rPr>
            </w:pPr>
            <w:r>
              <w:rPr>
                <w:rFonts w:ascii="宋体" w:hAnsi="宋体" w:cs="宋体" w:hint="eastAsia"/>
                <w:color w:val="000000"/>
                <w:szCs w:val="21"/>
                <w:highlight w:val="none"/>
              </w:rPr>
              <w:t>▲1.10.3 托盘最多可容纳220个12毫升样品瓶；</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color w:val="000000"/>
                <w:position w:val="-20"/>
                <w:szCs w:val="21"/>
                <w:highlight w:val="none"/>
              </w:rPr>
            </w:pPr>
            <w:r>
              <w:rPr>
                <w:rFonts w:ascii="宋体" w:hAnsi="宋体" w:cs="宋体" w:hint="eastAsia"/>
                <w:color w:val="000000"/>
                <w:szCs w:val="21"/>
                <w:highlight w:val="none"/>
              </w:rPr>
              <w:t>1.10.4 可使用20ml样品瓶，实现反硝化分析；</w:t>
            </w:r>
          </w:p>
        </w:tc>
      </w:tr>
      <w:tr>
        <w:tblPrEx>
          <w:tblW w:w="5053" w:type="pct"/>
          <w:jc w:val="center"/>
          <w:tblInd w:w="-53" w:type="dxa"/>
          <w:tblCellMar>
            <w:top w:w="0" w:type="dxa"/>
            <w:left w:w="108" w:type="dxa"/>
            <w:bottom w:w="0" w:type="dxa"/>
            <w:right w:w="108" w:type="dxa"/>
          </w:tblCellMar>
          <w:tblLook w:val="0000"/>
        </w:tblPrEx>
        <w:trPr>
          <w:trHeight w:val="369"/>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color w:val="000000"/>
                <w:position w:val="-20"/>
                <w:szCs w:val="21"/>
                <w:highlight w:val="none"/>
              </w:rPr>
            </w:pPr>
            <w:r>
              <w:rPr>
                <w:rFonts w:ascii="宋体" w:hAnsi="宋体" w:cs="宋体" w:hint="eastAsia"/>
                <w:color w:val="000000"/>
                <w:szCs w:val="21"/>
                <w:highlight w:val="none"/>
              </w:rPr>
              <w:t>1.10.5 可对进样臂的移动进行编程，可定制样品架；</w:t>
            </w:r>
          </w:p>
        </w:tc>
      </w:tr>
      <w:tr>
        <w:tblPrEx>
          <w:tblW w:w="5053" w:type="pct"/>
          <w:jc w:val="center"/>
          <w:tblInd w:w="-53" w:type="dxa"/>
          <w:tblCellMar>
            <w:top w:w="0" w:type="dxa"/>
            <w:left w:w="108" w:type="dxa"/>
            <w:bottom w:w="0" w:type="dxa"/>
            <w:right w:w="108" w:type="dxa"/>
          </w:tblCellMar>
          <w:tblLook w:val="0000"/>
        </w:tblPrEx>
        <w:trPr>
          <w:trHeight w:val="71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2"/>
              <w:rPr>
                <w:rFonts w:ascii="宋体" w:hAnsi="宋体" w:cs="宋体" w:hint="eastAsia"/>
                <w:color w:val="000000"/>
                <w:position w:val="-20"/>
                <w:szCs w:val="21"/>
                <w:highlight w:val="none"/>
              </w:rPr>
            </w:pPr>
            <w:r>
              <w:rPr>
                <w:rFonts w:ascii="宋体" w:hAnsi="宋体" w:cs="宋体" w:hint="eastAsia"/>
                <w:color w:val="000000"/>
                <w:szCs w:val="21"/>
                <w:highlight w:val="none"/>
              </w:rPr>
              <w:t>▲1.10.6 采用双孔进样针，仅需一次扎针即可将样品气流导出样品瓶，从而避免多次扎针导致隔垫漏气或掉渣；</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szCs w:val="21"/>
                <w:highlight w:val="none"/>
              </w:rPr>
              <w:t>1.10.7 可通过进样针向样品瓶内导入氦气，对反硝化分析的样品瓶进行鼓气；</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szCs w:val="21"/>
                <w:highlight w:val="none"/>
              </w:rPr>
              <w:t>1.10.8 样品序列结束后，可进入休眠模式，降低或停止氦气气流；</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szCs w:val="21"/>
                <w:highlight w:val="none"/>
              </w:rPr>
              <w:t>1.10.9 系统能够从由截止阀密封的100ml样品瓶中导入样品。</w:t>
            </w:r>
          </w:p>
        </w:tc>
      </w:tr>
      <w:tr>
        <w:tblPrEx>
          <w:tblW w:w="5053" w:type="pct"/>
          <w:jc w:val="center"/>
          <w:tblInd w:w="-53" w:type="dxa"/>
          <w:tblCellMar>
            <w:top w:w="0" w:type="dxa"/>
            <w:left w:w="108" w:type="dxa"/>
            <w:bottom w:w="0" w:type="dxa"/>
            <w:right w:w="108" w:type="dxa"/>
          </w:tblCellMar>
          <w:tblLook w:val="0000"/>
        </w:tblPrEx>
        <w:trPr>
          <w:trHeight w:val="473"/>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szCs w:val="21"/>
                <w:highlight w:val="none"/>
              </w:rPr>
              <w:t>1.10.10 采用数字质量流量控制器精确调节氦气气流；</w:t>
            </w:r>
          </w:p>
        </w:tc>
      </w:tr>
      <w:tr>
        <w:tblPrEx>
          <w:tblW w:w="5053" w:type="pct"/>
          <w:jc w:val="center"/>
          <w:tblInd w:w="-53" w:type="dxa"/>
          <w:tblCellMar>
            <w:top w:w="0" w:type="dxa"/>
            <w:left w:w="108" w:type="dxa"/>
            <w:bottom w:w="0" w:type="dxa"/>
            <w:right w:w="108" w:type="dxa"/>
          </w:tblCellMar>
          <w:tblLook w:val="0000"/>
        </w:tblPrEx>
        <w:trPr>
          <w:trHeight w:val="482"/>
          <w:jc w:val="center"/>
        </w:trPr>
        <w:tc>
          <w:tcPr>
            <w:tcW w:w="376" w:type="pct"/>
            <w:vMerge/>
            <w:vAlign w:val="center"/>
          </w:tcPr>
          <w:p>
            <w:pPr>
              <w:adjustRightInd w:val="0"/>
              <w:snapToGrid w:val="0"/>
              <w:rPr>
                <w:rFonts w:ascii="宋体" w:hAnsi="宋体" w:cs="宋体" w:hint="eastAsia"/>
                <w:color w:val="000000"/>
                <w:szCs w:val="21"/>
                <w:highlight w:val="none"/>
              </w:rPr>
            </w:pPr>
          </w:p>
        </w:tc>
        <w:tc>
          <w:tcPr>
            <w:tcW w:w="483" w:type="pct"/>
            <w:vMerge/>
            <w:vAlign w:val="center"/>
          </w:tcPr>
          <w:p>
            <w:pPr>
              <w:adjustRightInd w:val="0"/>
              <w:snapToGrid w:val="0"/>
              <w:rPr>
                <w:rFonts w:ascii="宋体" w:hAnsi="宋体" w:cs="宋体" w:hint="eastAsia"/>
                <w:color w:val="000000"/>
                <w:szCs w:val="21"/>
                <w:highlight w:val="none"/>
              </w:rPr>
            </w:pPr>
          </w:p>
        </w:tc>
        <w:tc>
          <w:tcPr>
            <w:tcW w:w="4140" w:type="pct"/>
            <w:vAlign w:val="center"/>
          </w:tcPr>
          <w:p>
            <w:pPr>
              <w:adjustRightInd w:val="0"/>
              <w:snapToGrid w:val="0"/>
              <w:spacing w:line="360" w:lineRule="auto"/>
              <w:ind w:left="983" w:hanging="983" w:hangingChars="468"/>
              <w:rPr>
                <w:rFonts w:ascii="宋体" w:hAnsi="宋体" w:cs="宋体" w:hint="eastAsia"/>
                <w:color w:val="000000"/>
                <w:position w:val="-20"/>
                <w:szCs w:val="21"/>
                <w:highlight w:val="none"/>
              </w:rPr>
            </w:pPr>
            <w:r>
              <w:rPr>
                <w:rFonts w:ascii="宋体" w:hAnsi="宋体" w:cs="宋体" w:hint="eastAsia"/>
                <w:color w:val="000000"/>
                <w:szCs w:val="21"/>
                <w:highlight w:val="none"/>
              </w:rPr>
              <w:t>1.10.11 进样针定位性能：精确度&lt;0.75mm，重现性&lt;0.2mm</w:t>
            </w:r>
          </w:p>
        </w:tc>
      </w:tr>
    </w:tbl>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bookmarkEnd w:id="17"/>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tbl>
      <w:tblPr>
        <w:tblStyle w:val="TableNormal"/>
        <w:tblW w:w="5039" w:type="pct"/>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77"/>
        <w:gridCol w:w="1132"/>
        <w:gridCol w:w="8320"/>
      </w:tblGrid>
      <w:tr>
        <w:tblPrEx>
          <w:tblW w:w="5039" w:type="pct"/>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7"/>
          <w:jc w:val="center"/>
        </w:trPr>
        <w:tc>
          <w:tcPr>
            <w:tcW w:w="334" w:type="pct"/>
            <w:vAlign w:val="center"/>
          </w:tcPr>
          <w:p>
            <w:pPr>
              <w:widowControl/>
              <w:adjustRightInd w:val="0"/>
              <w:snapToGrid w:val="0"/>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559" w:type="pct"/>
            <w:vAlign w:val="center"/>
          </w:tcPr>
          <w:p>
            <w:pPr>
              <w:widowControl/>
              <w:adjustRightInd w:val="0"/>
              <w:snapToGrid w:val="0"/>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目录</w:t>
            </w:r>
          </w:p>
        </w:tc>
        <w:tc>
          <w:tcPr>
            <w:tcW w:w="4106" w:type="pct"/>
            <w:vAlign w:val="center"/>
          </w:tcPr>
          <w:p>
            <w:pPr>
              <w:widowControl/>
              <w:adjustRightInd w:val="0"/>
              <w:snapToGrid w:val="0"/>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商务要求</w:t>
            </w:r>
          </w:p>
        </w:tc>
      </w:tr>
      <w:tr>
        <w:tblPrEx>
          <w:tblW w:w="5039" w:type="pct"/>
          <w:jc w:val="center"/>
          <w:tblInd w:w="-39" w:type="dxa"/>
          <w:tblCellMar>
            <w:top w:w="0" w:type="dxa"/>
            <w:left w:w="108" w:type="dxa"/>
            <w:bottom w:w="0" w:type="dxa"/>
            <w:right w:w="108" w:type="dxa"/>
          </w:tblCellMar>
          <w:tblLook w:val="0000"/>
        </w:tblPrEx>
        <w:trPr>
          <w:trHeight w:val="280"/>
          <w:jc w:val="center"/>
        </w:trPr>
        <w:tc>
          <w:tcPr>
            <w:tcW w:w="5000" w:type="pct"/>
            <w:gridSpan w:val="3"/>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b/>
                <w:color w:val="000000"/>
                <w:szCs w:val="21"/>
                <w:highlight w:val="none"/>
              </w:rPr>
              <w:t>（一）免费保修期内售后服务要求</w:t>
            </w:r>
          </w:p>
        </w:tc>
      </w:tr>
      <w:tr>
        <w:tblPrEx>
          <w:tblW w:w="5039" w:type="pct"/>
          <w:jc w:val="center"/>
          <w:tblInd w:w="-39" w:type="dxa"/>
          <w:tblCellMar>
            <w:top w:w="0" w:type="dxa"/>
            <w:left w:w="108" w:type="dxa"/>
            <w:bottom w:w="0" w:type="dxa"/>
            <w:right w:w="108" w:type="dxa"/>
          </w:tblCellMar>
          <w:tblLook w:val="0000"/>
        </w:tblPrEx>
        <w:trPr>
          <w:trHeight w:val="150"/>
          <w:jc w:val="center"/>
        </w:trPr>
        <w:tc>
          <w:tcPr>
            <w:tcW w:w="334" w:type="pct"/>
            <w:vAlign w:val="center"/>
          </w:tcPr>
          <w:p>
            <w:pPr>
              <w:widowControl/>
              <w:adjustRightInd w:val="0"/>
              <w:snapToGrid w:val="0"/>
              <w:jc w:val="center"/>
              <w:rPr>
                <w:rFonts w:ascii="宋体" w:hAnsi="宋体" w:cs="宋体" w:hint="eastAsia"/>
                <w:b/>
                <w:color w:val="000000"/>
                <w:szCs w:val="21"/>
                <w:highlight w:val="none"/>
              </w:rPr>
            </w:pPr>
            <w:r>
              <w:rPr>
                <w:rFonts w:ascii="宋体" w:hAnsi="宋体" w:cs="宋体" w:hint="eastAsia"/>
                <w:b/>
                <w:color w:val="000000"/>
                <w:szCs w:val="21"/>
                <w:highlight w:val="none"/>
              </w:rPr>
              <w:t>1</w:t>
            </w:r>
          </w:p>
        </w:tc>
        <w:tc>
          <w:tcPr>
            <w:tcW w:w="559" w:type="pct"/>
            <w:vAlign w:val="center"/>
          </w:tcPr>
          <w:p>
            <w:pPr>
              <w:widowControl/>
              <w:adjustRightInd w:val="0"/>
              <w:snapToGrid w:val="0"/>
              <w:jc w:val="center"/>
              <w:rPr>
                <w:rFonts w:ascii="宋体" w:hAnsi="宋体" w:cs="宋体" w:hint="eastAsia"/>
                <w:b/>
                <w:bCs w:val="0"/>
                <w:color w:val="000000"/>
                <w:szCs w:val="21"/>
                <w:highlight w:val="none"/>
              </w:rPr>
            </w:pPr>
            <w:r>
              <w:rPr>
                <w:rFonts w:ascii="宋体" w:hAnsi="宋体" w:cs="宋体" w:hint="eastAsia"/>
                <w:b/>
                <w:bCs w:val="0"/>
                <w:color w:val="000000"/>
                <w:szCs w:val="21"/>
                <w:highlight w:val="none"/>
              </w:rPr>
              <w:t>★免费保修期</w:t>
            </w:r>
          </w:p>
        </w:tc>
        <w:tc>
          <w:tcPr>
            <w:tcW w:w="4106" w:type="pct"/>
          </w:tcPr>
          <w:p>
            <w:pPr>
              <w:widowControl/>
              <w:adjustRightInd w:val="0"/>
              <w:snapToGrid w:val="0"/>
              <w:spacing w:before="120" w:beforeLines="50" w:line="360" w:lineRule="auto"/>
              <w:jc w:val="left"/>
              <w:rPr>
                <w:rFonts w:ascii="宋体" w:hAnsi="宋体" w:cs="宋体" w:hint="eastAsia"/>
                <w:b/>
                <w:bCs w:val="0"/>
                <w:color w:val="000000"/>
                <w:szCs w:val="21"/>
                <w:highlight w:val="none"/>
              </w:rPr>
            </w:pPr>
            <w:r>
              <w:rPr>
                <w:rFonts w:hint="eastAsia"/>
                <w:b/>
                <w:bCs w:val="0"/>
                <w:color w:val="000000"/>
                <w:sz w:val="24"/>
                <w:highlight w:val="none"/>
              </w:rPr>
              <w:t>合同货物整体质量保证期为验收合格之日起</w:t>
            </w:r>
            <w:r>
              <w:rPr>
                <w:b/>
                <w:bCs w:val="0"/>
                <w:color w:val="000000"/>
                <w:sz w:val="24"/>
                <w:highlight w:val="none"/>
                <w:u w:val="single"/>
              </w:rPr>
              <w:t xml:space="preserve"> 12</w:t>
            </w:r>
            <w:r>
              <w:rPr>
                <w:rFonts w:hint="eastAsia"/>
                <w:b/>
                <w:bCs w:val="0"/>
                <w:color w:val="000000"/>
                <w:sz w:val="24"/>
                <w:highlight w:val="none"/>
              </w:rPr>
              <w:t>个月。如果对合同货物中关键部件的质量保证期有特殊要求的，双方可以在补充条款中约定</w:t>
            </w:r>
            <w:r>
              <w:rPr>
                <w:rFonts w:ascii="宋体" w:hAnsi="宋体" w:cs="宋体" w:hint="eastAsia"/>
                <w:b/>
                <w:bCs w:val="0"/>
                <w:color w:val="000000"/>
                <w:szCs w:val="21"/>
                <w:highlight w:val="none"/>
              </w:rPr>
              <w:t>。</w:t>
            </w:r>
          </w:p>
        </w:tc>
      </w:tr>
      <w:tr>
        <w:tblPrEx>
          <w:tblW w:w="5039" w:type="pct"/>
          <w:jc w:val="center"/>
          <w:tblInd w:w="-39" w:type="dxa"/>
          <w:tblCellMar>
            <w:top w:w="0" w:type="dxa"/>
            <w:left w:w="108" w:type="dxa"/>
            <w:bottom w:w="0" w:type="dxa"/>
            <w:right w:w="108" w:type="dxa"/>
          </w:tblCellMar>
          <w:tblLook w:val="0000"/>
        </w:tblPrEx>
        <w:trPr>
          <w:trHeight w:val="320"/>
          <w:jc w:val="center"/>
        </w:trPr>
        <w:tc>
          <w:tcPr>
            <w:tcW w:w="334" w:type="pct"/>
            <w:vMerge w:val="restart"/>
            <w:vAlign w:val="center"/>
          </w:tcPr>
          <w:p>
            <w:pPr>
              <w:widowControl/>
              <w:adjustRightInd w:val="0"/>
              <w:snapToGrid w:val="0"/>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559" w:type="pct"/>
            <w:vMerge w:val="restart"/>
            <w:vAlign w:val="center"/>
          </w:tcPr>
          <w:p>
            <w:pPr>
              <w:widowControl/>
              <w:adjustRightInd w:val="0"/>
              <w:snapToGrid w:val="0"/>
              <w:jc w:val="center"/>
              <w:rPr>
                <w:rFonts w:ascii="宋体" w:hAnsi="宋体" w:cs="宋体" w:hint="eastAsia"/>
                <w:bCs/>
                <w:color w:val="000000"/>
                <w:szCs w:val="21"/>
                <w:highlight w:val="none"/>
              </w:rPr>
            </w:pPr>
            <w:r>
              <w:rPr>
                <w:rFonts w:ascii="宋体" w:hAnsi="宋体" w:cs="宋体" w:hint="eastAsia"/>
                <w:bCs/>
                <w:color w:val="000000"/>
                <w:szCs w:val="21"/>
                <w:highlight w:val="none"/>
              </w:rPr>
              <w:t>售后服务</w:t>
            </w:r>
          </w:p>
        </w:tc>
        <w:tc>
          <w:tcPr>
            <w:tcW w:w="4106" w:type="pct"/>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color w:val="000000"/>
                <w:szCs w:val="21"/>
                <w:highlight w:val="none"/>
              </w:rPr>
              <w:t>2.1免费提供原厂技术人员对采购人的操作技术培训和相关技术资料。培训时间不少于</w:t>
            </w:r>
            <w:r>
              <w:rPr>
                <w:rFonts w:ascii="宋体" w:hAnsi="宋体" w:cs="宋体" w:hint="eastAsia"/>
                <w:color w:val="000000"/>
                <w:szCs w:val="21"/>
                <w:highlight w:val="none"/>
                <w:u w:val="single"/>
              </w:rPr>
              <w:t>3</w:t>
            </w:r>
            <w:r>
              <w:rPr>
                <w:rFonts w:ascii="宋体" w:hAnsi="宋体" w:cs="宋体" w:hint="eastAsia"/>
                <w:color w:val="000000"/>
                <w:szCs w:val="21"/>
                <w:highlight w:val="none"/>
              </w:rPr>
              <w:t xml:space="preserve"> 天。</w:t>
            </w:r>
          </w:p>
        </w:tc>
      </w:tr>
      <w:tr>
        <w:tblPrEx>
          <w:tblW w:w="5039" w:type="pct"/>
          <w:jc w:val="center"/>
          <w:tblInd w:w="-39" w:type="dxa"/>
          <w:tblCellMar>
            <w:top w:w="0" w:type="dxa"/>
            <w:left w:w="108" w:type="dxa"/>
            <w:bottom w:w="0" w:type="dxa"/>
            <w:right w:w="108" w:type="dxa"/>
          </w:tblCellMar>
          <w:tblLook w:val="0000"/>
        </w:tblPrEx>
        <w:trPr>
          <w:trHeight w:val="320"/>
          <w:jc w:val="center"/>
        </w:trPr>
        <w:tc>
          <w:tcPr>
            <w:tcW w:w="334" w:type="pct"/>
            <w:vMerge/>
          </w:tcPr>
          <w:p>
            <w:pPr>
              <w:widowControl/>
              <w:adjustRightInd w:val="0"/>
              <w:snapToGrid w:val="0"/>
              <w:rPr>
                <w:rFonts w:ascii="宋体" w:hAnsi="宋体" w:cs="宋体" w:hint="eastAsia"/>
                <w:b/>
                <w:color w:val="000000"/>
                <w:szCs w:val="21"/>
                <w:highlight w:val="none"/>
              </w:rPr>
            </w:pPr>
          </w:p>
        </w:tc>
        <w:tc>
          <w:tcPr>
            <w:tcW w:w="559" w:type="pct"/>
            <w:vMerge/>
          </w:tcPr>
          <w:p>
            <w:pPr>
              <w:widowControl/>
              <w:adjustRightInd w:val="0"/>
              <w:snapToGrid w:val="0"/>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color w:val="000000"/>
                <w:szCs w:val="21"/>
                <w:highlight w:val="none"/>
              </w:rPr>
              <w:t>2.2供货方应为质量保证期服务配备充足的技术人员、工具和备件并保证提供的联系方式畅通。供货方应在收到采购人通知后</w:t>
            </w:r>
            <w:r>
              <w:rPr>
                <w:rFonts w:ascii="宋体" w:hAnsi="宋体" w:cs="宋体" w:hint="eastAsia"/>
                <w:color w:val="000000"/>
                <w:szCs w:val="21"/>
                <w:highlight w:val="none"/>
                <w:u w:val="single"/>
              </w:rPr>
              <w:t>24</w:t>
            </w:r>
            <w:r>
              <w:rPr>
                <w:rFonts w:ascii="宋体" w:hAnsi="宋体" w:cs="宋体" w:hint="eastAsia"/>
                <w:color w:val="000000"/>
                <w:szCs w:val="21"/>
                <w:highlight w:val="none"/>
              </w:rPr>
              <w:t>小时内作出响应，如需供货方到合同货物现场，供货方应在收到采购人通知后</w:t>
            </w:r>
            <w:r>
              <w:rPr>
                <w:rFonts w:ascii="宋体" w:hAnsi="宋体" w:cs="宋体" w:hint="eastAsia"/>
                <w:color w:val="000000"/>
                <w:szCs w:val="21"/>
                <w:highlight w:val="none"/>
                <w:u w:val="single"/>
              </w:rPr>
              <w:t>48</w:t>
            </w:r>
            <w:r>
              <w:rPr>
                <w:rFonts w:ascii="宋体" w:hAnsi="宋体" w:cs="宋体" w:hint="eastAsia"/>
                <w:color w:val="000000"/>
                <w:szCs w:val="21"/>
                <w:highlight w:val="none"/>
              </w:rPr>
              <w:t>小时内到达，并在到达后</w:t>
            </w:r>
            <w:r>
              <w:rPr>
                <w:rFonts w:ascii="宋体" w:hAnsi="宋体" w:cs="宋体" w:hint="eastAsia"/>
                <w:color w:val="000000"/>
                <w:szCs w:val="21"/>
                <w:highlight w:val="none"/>
                <w:u w:val="single"/>
              </w:rPr>
              <w:t>7</w:t>
            </w:r>
            <w:r>
              <w:rPr>
                <w:rFonts w:ascii="宋体" w:hAnsi="宋体" w:cs="宋体" w:hint="eastAsia"/>
                <w:color w:val="000000"/>
                <w:szCs w:val="21"/>
                <w:highlight w:val="none"/>
              </w:rPr>
              <w:t>日内解决合同货物的故障（重大故障除外）。如果供货方未在上述时间内作出响应，则采购人有权自行或委托他人解决相关问题或查找和解决合同货物的故障，供货方应承担由此发生的全部费用。</w:t>
            </w:r>
          </w:p>
        </w:tc>
      </w:tr>
      <w:tr>
        <w:tblPrEx>
          <w:tblW w:w="5039" w:type="pct"/>
          <w:jc w:val="center"/>
          <w:tblInd w:w="-39" w:type="dxa"/>
          <w:tblCellMar>
            <w:top w:w="0" w:type="dxa"/>
            <w:left w:w="108" w:type="dxa"/>
            <w:bottom w:w="0" w:type="dxa"/>
            <w:right w:w="108" w:type="dxa"/>
          </w:tblCellMar>
          <w:tblLook w:val="0000"/>
        </w:tblPrEx>
        <w:trPr>
          <w:trHeight w:val="320"/>
          <w:jc w:val="center"/>
        </w:trPr>
        <w:tc>
          <w:tcPr>
            <w:tcW w:w="334" w:type="pct"/>
            <w:vMerge/>
          </w:tcPr>
          <w:p>
            <w:pPr>
              <w:widowControl/>
              <w:adjustRightInd w:val="0"/>
              <w:snapToGrid w:val="0"/>
              <w:rPr>
                <w:rFonts w:ascii="宋体" w:hAnsi="宋体" w:cs="宋体" w:hint="eastAsia"/>
                <w:b/>
                <w:color w:val="000000"/>
                <w:szCs w:val="21"/>
                <w:highlight w:val="none"/>
              </w:rPr>
            </w:pPr>
          </w:p>
        </w:tc>
        <w:tc>
          <w:tcPr>
            <w:tcW w:w="559" w:type="pct"/>
            <w:vMerge/>
          </w:tcPr>
          <w:p>
            <w:pPr>
              <w:widowControl/>
              <w:adjustRightInd w:val="0"/>
              <w:snapToGrid w:val="0"/>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color w:val="000000"/>
                <w:szCs w:val="21"/>
                <w:highlight w:val="none"/>
              </w:rPr>
              <w:t>2.3供货方在质量保证期内应对设备进行定期巡检。</w:t>
            </w:r>
          </w:p>
        </w:tc>
      </w:tr>
      <w:tr>
        <w:tblPrEx>
          <w:tblW w:w="5039" w:type="pct"/>
          <w:jc w:val="center"/>
          <w:tblInd w:w="-39" w:type="dxa"/>
          <w:tblCellMar>
            <w:top w:w="0" w:type="dxa"/>
            <w:left w:w="108" w:type="dxa"/>
            <w:bottom w:w="0" w:type="dxa"/>
            <w:right w:w="108" w:type="dxa"/>
          </w:tblCellMar>
          <w:tblLook w:val="0000"/>
        </w:tblPrEx>
        <w:trPr>
          <w:trHeight w:val="280"/>
          <w:jc w:val="center"/>
        </w:trPr>
        <w:tc>
          <w:tcPr>
            <w:tcW w:w="5000" w:type="pct"/>
            <w:gridSpan w:val="3"/>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b/>
                <w:color w:val="000000"/>
                <w:szCs w:val="21"/>
                <w:highlight w:val="none"/>
              </w:rPr>
              <w:t>（二）免费保修期外售后服务要求</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restart"/>
            <w:vAlign w:val="center"/>
          </w:tcPr>
          <w:p>
            <w:pPr>
              <w:widowControl/>
              <w:adjustRightInd w:val="0"/>
              <w:snapToGrid w:val="0"/>
              <w:jc w:val="center"/>
              <w:rPr>
                <w:rFonts w:ascii="宋体" w:hAnsi="宋体" w:cs="宋体" w:hint="eastAsia"/>
                <w:b/>
                <w:color w:val="000000"/>
                <w:szCs w:val="21"/>
                <w:highlight w:val="none"/>
              </w:rPr>
            </w:pPr>
            <w:r>
              <w:rPr>
                <w:rFonts w:ascii="宋体" w:hAnsi="宋体" w:cs="宋体" w:hint="eastAsia"/>
                <w:bCs/>
                <w:color w:val="000000"/>
                <w:szCs w:val="21"/>
                <w:highlight w:val="none"/>
              </w:rPr>
              <w:t>1</w:t>
            </w:r>
          </w:p>
        </w:tc>
        <w:tc>
          <w:tcPr>
            <w:tcW w:w="559"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color w:val="000000"/>
                <w:szCs w:val="21"/>
                <w:highlight w:val="none"/>
              </w:rPr>
              <w:t>售后服务</w:t>
            </w:r>
          </w:p>
        </w:tc>
        <w:tc>
          <w:tcPr>
            <w:tcW w:w="4106" w:type="pct"/>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color w:val="000000"/>
                <w:szCs w:val="21"/>
                <w:highlight w:val="none"/>
                <w:lang w:val="en-US" w:eastAsia="zh-CN"/>
              </w:rPr>
              <w:t>1.1</w:t>
            </w:r>
            <w:r>
              <w:rPr>
                <w:rFonts w:ascii="宋体" w:hAnsi="宋体" w:cs="宋体" w:hint="eastAsia"/>
                <w:color w:val="000000"/>
                <w:szCs w:val="21"/>
                <w:highlight w:val="none"/>
              </w:rPr>
              <w:t>按照合同期内约定的响应时间进行响应，及时按照采购人要求进行配件维修、耗材提供、培训等，具体费用双方协议。</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ign w:val="center"/>
          </w:tcPr>
          <w:p>
            <w:pPr>
              <w:widowControl/>
              <w:adjustRightInd w:val="0"/>
              <w:snapToGrid w:val="0"/>
              <w:jc w:val="center"/>
              <w:rPr>
                <w:rFonts w:ascii="宋体" w:eastAsia="宋体" w:hAnsi="宋体" w:cs="宋体" w:hint="eastAsia"/>
                <w:bCs/>
                <w:color w:val="000000"/>
                <w:szCs w:val="21"/>
                <w:highlight w:val="none"/>
                <w:lang w:val="en-US" w:eastAsia="zh-CN"/>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eastAsia="宋体" w:hAnsi="宋体" w:cs="宋体" w:hint="default"/>
                <w:color w:val="000000"/>
                <w:szCs w:val="21"/>
                <w:highlight w:val="none"/>
                <w:lang w:val="en-US" w:eastAsia="zh-CN"/>
              </w:rPr>
            </w:pPr>
            <w:r>
              <w:rPr>
                <w:rFonts w:ascii="宋体" w:hAnsi="宋体" w:cs="宋体" w:hint="eastAsia"/>
                <w:color w:val="000000"/>
                <w:szCs w:val="21"/>
                <w:highlight w:val="none"/>
                <w:lang w:val="en-US" w:eastAsia="zh-CN"/>
              </w:rPr>
              <w:t>1.2软件更新：设备主体不升级情况下，确保所提供的软件可随设备终身免费有效使用。</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ign w:val="center"/>
          </w:tcPr>
          <w:p>
            <w:pPr>
              <w:widowControl/>
              <w:adjustRightInd w:val="0"/>
              <w:snapToGrid w:val="0"/>
              <w:jc w:val="center"/>
              <w:rPr>
                <w:rFonts w:ascii="宋体" w:eastAsia="宋体" w:hAnsi="宋体" w:cs="宋体" w:hint="eastAsia"/>
                <w:bCs/>
                <w:color w:val="000000"/>
                <w:szCs w:val="21"/>
                <w:highlight w:val="none"/>
                <w:lang w:val="en-US" w:eastAsia="zh-CN"/>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eastAsia="宋体" w:hAnsi="宋体" w:cs="宋体" w:hint="default"/>
                <w:color w:val="000000"/>
                <w:szCs w:val="21"/>
                <w:highlight w:val="none"/>
                <w:lang w:val="en-US" w:eastAsia="zh-CN"/>
              </w:rPr>
            </w:pPr>
            <w:r>
              <w:rPr>
                <w:rFonts w:ascii="宋体" w:hAnsi="宋体" w:cs="宋体" w:hint="eastAsia"/>
                <w:color w:val="000000"/>
                <w:szCs w:val="21"/>
                <w:highlight w:val="none"/>
                <w:lang w:val="en-US" w:eastAsia="zh-CN"/>
              </w:rPr>
              <w:t>1.3年度巡检：供应商厂家工程师每年一次上门回访主动维护设备、使用培训</w:t>
            </w:r>
            <w:r>
              <w:rPr>
                <w:rFonts w:ascii="宋体" w:hAnsi="宋体" w:cs="宋体" w:hint="eastAsia"/>
                <w:color w:val="000000"/>
                <w:szCs w:val="21"/>
                <w:highlight w:val="none"/>
              </w:rPr>
              <w:t>。</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5000" w:type="pct"/>
            <w:gridSpan w:val="3"/>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b/>
                <w:color w:val="000000"/>
                <w:szCs w:val="21"/>
                <w:highlight w:val="none"/>
              </w:rPr>
              <w:t>（三）其他商务要求</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restart"/>
            <w:vAlign w:val="center"/>
          </w:tcPr>
          <w:p>
            <w:pPr>
              <w:widowControl/>
              <w:adjustRightInd w:val="0"/>
              <w:snapToGrid w:val="0"/>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559"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color w:val="000000"/>
                <w:szCs w:val="21"/>
                <w:highlight w:val="none"/>
              </w:rPr>
              <w:t>关于交货</w:t>
            </w:r>
          </w:p>
        </w:tc>
        <w:tc>
          <w:tcPr>
            <w:tcW w:w="4106" w:type="pct"/>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b/>
                <w:color w:val="000000"/>
                <w:szCs w:val="21"/>
                <w:highlight w:val="none"/>
              </w:rPr>
              <w:t>★1.1交付时间：</w:t>
            </w:r>
            <w:r>
              <w:rPr>
                <w:rFonts w:ascii="宋体" w:hAnsi="宋体" w:cs="宋体" w:hint="eastAsia"/>
                <w:b w:val="0"/>
                <w:bCs/>
                <w:color w:val="000000"/>
                <w:szCs w:val="21"/>
                <w:highlight w:val="none"/>
              </w:rPr>
              <w:t>合同签订后</w:t>
            </w:r>
            <w:r>
              <w:rPr>
                <w:rFonts w:ascii="宋体" w:hAnsi="宋体" w:cs="宋体" w:hint="eastAsia"/>
                <w:b w:val="0"/>
                <w:bCs/>
                <w:color w:val="000000"/>
                <w:szCs w:val="21"/>
                <w:highlight w:val="none"/>
                <w:u w:val="single"/>
              </w:rPr>
              <w:t>180个</w:t>
            </w:r>
            <w:r>
              <w:rPr>
                <w:rFonts w:ascii="宋体" w:hAnsi="宋体" w:cs="宋体" w:hint="eastAsia"/>
                <w:b w:val="0"/>
                <w:bCs/>
                <w:color w:val="000000"/>
                <w:szCs w:val="21"/>
                <w:highlight w:val="none"/>
              </w:rPr>
              <w:t>日历日内。</w:t>
            </w:r>
          </w:p>
        </w:tc>
      </w:tr>
      <w:tr>
        <w:tblPrEx>
          <w:tblW w:w="5039" w:type="pct"/>
          <w:jc w:val="center"/>
          <w:tblInd w:w="-39" w:type="dxa"/>
          <w:tblCellMar>
            <w:top w:w="0" w:type="dxa"/>
            <w:left w:w="108" w:type="dxa"/>
            <w:bottom w:w="0" w:type="dxa"/>
            <w:right w:w="108" w:type="dxa"/>
          </w:tblCellMar>
          <w:tblLook w:val="0000"/>
        </w:tblPrEx>
        <w:trPr>
          <w:trHeight w:val="451"/>
          <w:jc w:val="center"/>
        </w:trPr>
        <w:tc>
          <w:tcPr>
            <w:tcW w:w="334" w:type="pct"/>
            <w:vMerge/>
            <w:vAlign w:val="center"/>
          </w:tcPr>
          <w:p>
            <w:pPr>
              <w:widowControl/>
              <w:adjustRightInd w:val="0"/>
              <w:snapToGrid w:val="0"/>
              <w:jc w:val="center"/>
              <w:rPr>
                <w:rFonts w:ascii="宋体" w:hAnsi="宋体" w:cs="宋体" w:hint="eastAsia"/>
                <w:bCs/>
                <w:color w:val="000000"/>
                <w:szCs w:val="21"/>
                <w:highlight w:val="none"/>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bCs/>
                <w:color w:val="000000"/>
                <w:szCs w:val="21"/>
                <w:highlight w:val="none"/>
              </w:rPr>
              <w:t>1.2投标人必须承担的设备运输、安装调试、验收检测和提供设备操作说明书、图纸等其他类似的义务。</w:t>
            </w:r>
          </w:p>
        </w:tc>
      </w:tr>
      <w:tr>
        <w:tblPrEx>
          <w:tblW w:w="5039" w:type="pct"/>
          <w:jc w:val="center"/>
          <w:tblInd w:w="-39" w:type="dxa"/>
          <w:tblCellMar>
            <w:top w:w="0" w:type="dxa"/>
            <w:left w:w="108" w:type="dxa"/>
            <w:bottom w:w="0" w:type="dxa"/>
            <w:right w:w="108" w:type="dxa"/>
          </w:tblCellMar>
          <w:tblLook w:val="0000"/>
        </w:tblPrEx>
        <w:trPr>
          <w:trHeight w:val="451"/>
          <w:jc w:val="center"/>
        </w:trPr>
        <w:tc>
          <w:tcPr>
            <w:tcW w:w="334" w:type="pct"/>
            <w:vMerge/>
            <w:vAlign w:val="center"/>
          </w:tcPr>
          <w:p>
            <w:pPr>
              <w:widowControl/>
              <w:adjustRightInd w:val="0"/>
              <w:snapToGrid w:val="0"/>
              <w:jc w:val="center"/>
              <w:rPr>
                <w:rFonts w:ascii="宋体" w:hAnsi="宋体" w:cs="宋体" w:hint="eastAsia"/>
                <w:bCs/>
                <w:color w:val="000000"/>
                <w:szCs w:val="21"/>
                <w:highlight w:val="none"/>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
                <w:color w:val="000000"/>
                <w:szCs w:val="21"/>
                <w:highlight w:val="none"/>
              </w:rPr>
            </w:pPr>
            <w:r>
              <w:rPr>
                <w:rFonts w:ascii="宋体" w:hAnsi="宋体" w:cs="宋体" w:hint="eastAsia"/>
                <w:b/>
                <w:color w:val="000000"/>
                <w:szCs w:val="21"/>
                <w:highlight w:val="none"/>
              </w:rPr>
              <w:t>★1.3交货地点：</w:t>
            </w:r>
            <w:r>
              <w:rPr>
                <w:rFonts w:ascii="宋体" w:hAnsi="宋体" w:cs="宋体" w:hint="eastAsia"/>
                <w:b w:val="0"/>
                <w:bCs/>
                <w:color w:val="000000"/>
                <w:szCs w:val="21"/>
                <w:highlight w:val="none"/>
              </w:rPr>
              <w:t>清华大学深圳国际研究生院用户指定地点。</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restart"/>
            <w:vAlign w:val="center"/>
          </w:tcPr>
          <w:p>
            <w:pPr>
              <w:widowControl/>
              <w:adjustRightInd w:val="0"/>
              <w:snapToGrid w:val="0"/>
              <w:jc w:val="center"/>
              <w:rPr>
                <w:rFonts w:ascii="宋体" w:hAnsi="宋体" w:cs="宋体" w:hint="eastAsia"/>
                <w:bCs/>
                <w:color w:val="000000"/>
                <w:szCs w:val="21"/>
                <w:highlight w:val="none"/>
              </w:rPr>
            </w:pPr>
            <w:r>
              <w:rPr>
                <w:rFonts w:ascii="宋体" w:hAnsi="宋体" w:cs="宋体" w:hint="eastAsia"/>
                <w:bCs/>
                <w:color w:val="000000"/>
                <w:szCs w:val="21"/>
                <w:highlight w:val="none"/>
              </w:rPr>
              <w:t>2</w:t>
            </w:r>
          </w:p>
        </w:tc>
        <w:tc>
          <w:tcPr>
            <w:tcW w:w="559"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color w:val="000000"/>
                <w:szCs w:val="21"/>
                <w:highlight w:val="none"/>
              </w:rPr>
              <w:t>关于验收</w:t>
            </w: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bCs/>
                <w:color w:val="000000"/>
                <w:szCs w:val="21"/>
                <w:highlight w:val="none"/>
              </w:rPr>
              <w:t>2.1</w:t>
            </w:r>
            <w:r>
              <w:rPr>
                <w:rFonts w:ascii="宋体" w:hAnsi="宋体" w:cs="宋体" w:hint="eastAsia"/>
                <w:color w:val="000000"/>
                <w:szCs w:val="21"/>
                <w:highlight w:val="none"/>
                <w:lang w:val="zh-CN"/>
              </w:rPr>
              <w:t>订单确认后</w:t>
            </w:r>
            <w:r>
              <w:rPr>
                <w:rFonts w:ascii="宋体" w:hAnsi="宋体" w:cs="宋体" w:hint="eastAsia"/>
                <w:color w:val="000000"/>
                <w:szCs w:val="21"/>
                <w:highlight w:val="none"/>
              </w:rPr>
              <w:t xml:space="preserve"> 1</w:t>
            </w:r>
            <w:r>
              <w:rPr>
                <w:rFonts w:ascii="宋体" w:hAnsi="宋体" w:cs="宋体" w:hint="eastAsia"/>
                <w:color w:val="000000"/>
                <w:szCs w:val="21"/>
                <w:highlight w:val="none"/>
                <w:lang w:val="zh-CN"/>
              </w:rPr>
              <w:t>个月内需要提供设备的安装条件，货到安装调试后1个月内验收，</w:t>
            </w:r>
            <w:r>
              <w:rPr>
                <w:rFonts w:ascii="宋体" w:hAnsi="宋体" w:cs="宋体" w:hint="eastAsia"/>
                <w:color w:val="000000"/>
                <w:szCs w:val="21"/>
                <w:highlight w:val="none"/>
              </w:rPr>
              <w:t>中标人提供</w:t>
            </w:r>
            <w:r>
              <w:rPr>
                <w:rFonts w:ascii="宋体" w:hAnsi="宋体" w:cs="宋体" w:hint="eastAsia"/>
                <w:color w:val="000000"/>
                <w:szCs w:val="21"/>
                <w:highlight w:val="none"/>
                <w:lang w:val="zh-CN"/>
              </w:rPr>
              <w:t>系统使用说明书及培训文档</w:t>
            </w:r>
            <w:r>
              <w:rPr>
                <w:rFonts w:ascii="宋体" w:hAnsi="宋体" w:cs="宋体" w:hint="eastAsia"/>
                <w:bCs/>
                <w:color w:val="000000"/>
                <w:szCs w:val="21"/>
                <w:highlight w:val="none"/>
              </w:rPr>
              <w:t>。</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b/>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bCs/>
                <w:color w:val="000000"/>
                <w:szCs w:val="21"/>
                <w:highlight w:val="none"/>
              </w:rPr>
              <w:t>2.2</w:t>
            </w:r>
            <w:r>
              <w:rPr>
                <w:rFonts w:ascii="宋体" w:hAnsi="宋体" w:cs="宋体" w:hint="eastAsia"/>
                <w:color w:val="000000"/>
                <w:szCs w:val="21"/>
                <w:highlight w:val="none"/>
                <w:lang w:val="zh-CN"/>
              </w:rPr>
              <w:t>仪器设备运抵安装现场后，采购人将与中标人共同开箱验收, 如中标人届时不派人来, 则验收结果应以采购人和当地商检人员的验收报告为最终验收结果。验收时发现短缺、破损, 采购人有权要求中标人立即补发和负责更换</w:t>
            </w:r>
            <w:r>
              <w:rPr>
                <w:rFonts w:ascii="宋体" w:hAnsi="宋体" w:cs="宋体" w:hint="eastAsia"/>
                <w:bCs/>
                <w:color w:val="000000"/>
                <w:szCs w:val="21"/>
                <w:highlight w:val="none"/>
              </w:rPr>
              <w:t>。</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b/>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color w:val="000000"/>
                <w:szCs w:val="21"/>
                <w:highlight w:val="none"/>
              </w:rPr>
              <w:t>2.3</w:t>
            </w:r>
            <w:r>
              <w:rPr>
                <w:rFonts w:ascii="宋体" w:hAnsi="宋体" w:cs="宋体" w:hint="eastAsia"/>
                <w:color w:val="000000"/>
                <w:szCs w:val="21"/>
                <w:highlight w:val="none"/>
                <w:lang w:val="zh-CN"/>
              </w:rPr>
              <w:t>中标人应提出仪器设备测试的内容、项目、指标和方法,中标人有责任对采购人的技术人员提出的问题作出解答。测试应进行详细记录, 仪器设备测试结束后, 由中标人技术人员签字后交给采购人验收。</w:t>
            </w:r>
          </w:p>
        </w:tc>
      </w:tr>
      <w:tr>
        <w:tblPrEx>
          <w:tblW w:w="5039" w:type="pct"/>
          <w:jc w:val="center"/>
          <w:tblInd w:w="-39" w:type="dxa"/>
          <w:tblCellMar>
            <w:top w:w="0" w:type="dxa"/>
            <w:left w:w="108" w:type="dxa"/>
            <w:bottom w:w="0" w:type="dxa"/>
            <w:right w:w="108" w:type="dxa"/>
          </w:tblCellMar>
          <w:tblLook w:val="0000"/>
        </w:tblPrEx>
        <w:trPr>
          <w:trHeight w:val="350"/>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b/>
                <w:color w:val="000000"/>
                <w:szCs w:val="21"/>
                <w:highlight w:val="none"/>
              </w:rPr>
            </w:pPr>
          </w:p>
        </w:tc>
        <w:tc>
          <w:tcPr>
            <w:tcW w:w="4106" w:type="pct"/>
          </w:tcPr>
          <w:p>
            <w:pPr>
              <w:widowControl/>
              <w:adjustRightInd w:val="0"/>
              <w:snapToGrid w:val="0"/>
              <w:spacing w:before="120" w:beforeLines="50" w:line="360" w:lineRule="auto"/>
              <w:jc w:val="left"/>
              <w:rPr>
                <w:rFonts w:ascii="宋体" w:hAnsi="宋体" w:cs="宋体" w:hint="eastAsia"/>
                <w:bCs/>
                <w:color w:val="000000"/>
                <w:szCs w:val="21"/>
                <w:highlight w:val="none"/>
              </w:rPr>
            </w:pPr>
            <w:r>
              <w:rPr>
                <w:rFonts w:ascii="宋体" w:hAnsi="宋体" w:cs="宋体" w:hint="eastAsia"/>
                <w:color w:val="000000"/>
                <w:szCs w:val="21"/>
                <w:highlight w:val="none"/>
              </w:rPr>
              <w:t>2.4</w:t>
            </w:r>
            <w:r>
              <w:rPr>
                <w:rFonts w:ascii="宋体" w:hAnsi="宋体" w:cs="宋体" w:hint="eastAsia"/>
                <w:color w:val="000000"/>
                <w:szCs w:val="21"/>
                <w:highlight w:val="none"/>
                <w:lang w:val="zh-CN"/>
              </w:rPr>
              <w:t>保修期自最终安装验收合格后开始，保修期内中标人要保修除消耗品以外的所有部件。在保修期内，如果仪器设备发生故障，中标人要调查故障原因并修复直至满足最终验收指标和性能的要求，或者更换整个或部分有缺陷的材料。以上都应是免费的。</w:t>
            </w:r>
          </w:p>
        </w:tc>
      </w:tr>
      <w:tr>
        <w:tblPrEx>
          <w:tblW w:w="5039" w:type="pct"/>
          <w:jc w:val="center"/>
          <w:tblInd w:w="-39" w:type="dxa"/>
          <w:tblCellMar>
            <w:top w:w="0" w:type="dxa"/>
            <w:left w:w="108" w:type="dxa"/>
            <w:bottom w:w="0" w:type="dxa"/>
            <w:right w:w="108" w:type="dxa"/>
          </w:tblCellMar>
          <w:tblLook w:val="0000"/>
        </w:tblPrEx>
        <w:trPr>
          <w:trHeight w:val="422"/>
          <w:jc w:val="center"/>
        </w:trPr>
        <w:tc>
          <w:tcPr>
            <w:tcW w:w="334"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b/>
                <w:color w:val="000000"/>
                <w:szCs w:val="21"/>
                <w:highlight w:val="none"/>
              </w:rPr>
              <w:t>3</w:t>
            </w:r>
          </w:p>
        </w:tc>
        <w:tc>
          <w:tcPr>
            <w:tcW w:w="559" w:type="pct"/>
            <w:vMerge w:val="restart"/>
            <w:vAlign w:val="center"/>
          </w:tcPr>
          <w:p>
            <w:pPr>
              <w:widowControl/>
              <w:adjustRightInd w:val="0"/>
              <w:snapToGrid w:val="0"/>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★付款</w:t>
            </w:r>
          </w:p>
          <w:p>
            <w:pPr>
              <w:widowControl/>
              <w:adjustRightInd w:val="0"/>
              <w:snapToGrid w:val="0"/>
              <w:jc w:val="center"/>
              <w:rPr>
                <w:rFonts w:ascii="宋体" w:hAnsi="宋体" w:cs="宋体" w:hint="eastAsia"/>
                <w:b/>
                <w:color w:val="000000"/>
                <w:szCs w:val="21"/>
                <w:highlight w:val="none"/>
              </w:rPr>
            </w:pPr>
            <w:r>
              <w:rPr>
                <w:rFonts w:ascii="宋体" w:hAnsi="宋体" w:cs="宋体" w:hint="eastAsia"/>
                <w:b/>
                <w:bCs/>
                <w:color w:val="000000"/>
                <w:szCs w:val="21"/>
                <w:highlight w:val="none"/>
              </w:rPr>
              <w:t>方式</w:t>
            </w:r>
          </w:p>
        </w:tc>
        <w:tc>
          <w:tcPr>
            <w:tcW w:w="4106" w:type="pct"/>
          </w:tcPr>
          <w:p>
            <w:pPr>
              <w:adjustRightInd w:val="0"/>
              <w:spacing w:before="120" w:beforeLines="50" w:line="360" w:lineRule="auto"/>
              <w:rPr>
                <w:rFonts w:ascii="宋体" w:hAnsi="宋体" w:cs="宋体" w:hint="eastAsia"/>
                <w:b/>
                <w:color w:val="000000"/>
                <w:szCs w:val="21"/>
                <w:highlight w:val="none"/>
              </w:rPr>
            </w:pPr>
            <w:r>
              <w:rPr>
                <w:rFonts w:ascii="宋体" w:hAnsi="宋体" w:cs="宋体" w:hint="eastAsia"/>
                <w:b/>
                <w:color w:val="000000"/>
                <w:szCs w:val="21"/>
                <w:highlight w:val="none"/>
              </w:rPr>
              <w:t>3.1国内合同：</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（1）合同生效后，采购人在</w:t>
            </w:r>
            <w:r>
              <w:rPr>
                <w:rFonts w:ascii="宋体" w:hAnsi="宋体" w:cs="宋体" w:hint="eastAsia"/>
                <w:color w:val="000000"/>
                <w:szCs w:val="21"/>
                <w:highlight w:val="none"/>
                <w:u w:val="single"/>
              </w:rPr>
              <w:t>20</w:t>
            </w:r>
            <w:r>
              <w:rPr>
                <w:rFonts w:ascii="宋体" w:hAnsi="宋体" w:cs="宋体" w:hint="eastAsia"/>
                <w:color w:val="000000"/>
                <w:szCs w:val="21"/>
                <w:highlight w:val="none"/>
              </w:rPr>
              <w:t>日内，向中标人支付合同价款的</w:t>
            </w:r>
            <w:r>
              <w:rPr>
                <w:rFonts w:ascii="宋体" w:hAnsi="宋体" w:cs="宋体" w:hint="eastAsia"/>
                <w:color w:val="000000"/>
                <w:szCs w:val="21"/>
                <w:highlight w:val="none"/>
                <w:u w:val="single"/>
              </w:rPr>
              <w:t>30</w:t>
            </w:r>
            <w:r>
              <w:rPr>
                <w:rFonts w:ascii="宋体" w:hAnsi="宋体" w:cs="宋体" w:hint="eastAsia"/>
                <w:color w:val="000000"/>
                <w:szCs w:val="21"/>
                <w:highlight w:val="none"/>
              </w:rPr>
              <w:t>%，作为预付款；</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（2）中标人按照合同约定交付全部合同货物，完成安装、调试并经采购人验收合格后，采购人在收到中标人提交的下列全部单据并经审核无误后</w:t>
            </w:r>
            <w:r>
              <w:rPr>
                <w:rFonts w:ascii="宋体" w:hAnsi="宋体" w:cs="宋体" w:hint="eastAsia"/>
                <w:color w:val="000000"/>
                <w:szCs w:val="21"/>
                <w:highlight w:val="none"/>
                <w:u w:val="single"/>
              </w:rPr>
              <w:t>20</w:t>
            </w:r>
            <w:r>
              <w:rPr>
                <w:rFonts w:ascii="宋体" w:hAnsi="宋体" w:cs="宋体" w:hint="eastAsia"/>
                <w:color w:val="000000"/>
                <w:szCs w:val="21"/>
                <w:highlight w:val="none"/>
              </w:rPr>
              <w:t>日内，向中标人支付合同价款的</w:t>
            </w:r>
            <w:r>
              <w:rPr>
                <w:rFonts w:ascii="宋体" w:hAnsi="宋体" w:cs="宋体" w:hint="eastAsia"/>
                <w:color w:val="000000"/>
                <w:szCs w:val="21"/>
                <w:highlight w:val="none"/>
                <w:u w:val="single"/>
              </w:rPr>
              <w:t>70</w:t>
            </w:r>
            <w:r>
              <w:rPr>
                <w:rFonts w:ascii="宋体" w:hAnsi="宋体" w:cs="宋体" w:hint="eastAsia"/>
                <w:color w:val="000000"/>
                <w:szCs w:val="21"/>
                <w:highlight w:val="none"/>
              </w:rPr>
              <w:t>%。</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① 中标人出具的交货清单原件一份；</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② 采购人签署的收货清单复印件一份；</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③ 货物验收记录复印件一份；</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④ 制造商出具的出厂质量合格证原件一份；</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⑤ 增值税（专用/普通）发票原件一份。</w:t>
            </w:r>
          </w:p>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如果中标人不履行合同约定的义务或其履行义务不符合合同的约定，采购人有权直接从应付中标人的任何一笔款项中扣减采购人应得之补偿。不足部分，采购人有权继续向中标人进行追偿。</w:t>
            </w:r>
          </w:p>
          <w:p>
            <w:pPr>
              <w:spacing w:before="120" w:beforeLines="50" w:line="360" w:lineRule="auto"/>
              <w:jc w:val="left"/>
              <w:rPr>
                <w:rFonts w:ascii="宋体" w:hAnsi="宋体" w:cs="宋体" w:hint="eastAsia"/>
                <w:color w:val="000000"/>
                <w:kern w:val="0"/>
                <w:szCs w:val="21"/>
                <w:highlight w:val="none"/>
              </w:rPr>
            </w:pPr>
            <w:r>
              <w:rPr>
                <w:rFonts w:ascii="宋体" w:hAnsi="宋体" w:cs="宋体" w:hint="eastAsia"/>
                <w:color w:val="000000"/>
                <w:szCs w:val="21"/>
                <w:highlight w:val="none"/>
              </w:rPr>
              <w:t>（3）质量保证期自验收合格之日起计。</w:t>
            </w:r>
          </w:p>
        </w:tc>
      </w:tr>
      <w:tr>
        <w:tblPrEx>
          <w:tblW w:w="5039" w:type="pct"/>
          <w:jc w:val="center"/>
          <w:tblInd w:w="-39" w:type="dxa"/>
          <w:tblCellMar>
            <w:top w:w="0" w:type="dxa"/>
            <w:left w:w="108" w:type="dxa"/>
            <w:bottom w:w="0" w:type="dxa"/>
            <w:right w:w="108" w:type="dxa"/>
          </w:tblCellMar>
          <w:tblLook w:val="0000"/>
        </w:tblPrEx>
        <w:trPr>
          <w:trHeight w:val="1065"/>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spacing w:before="120" w:beforeLines="50" w:line="360" w:lineRule="auto"/>
              <w:rPr>
                <w:rFonts w:ascii="宋体" w:hAnsi="宋体" w:cs="宋体" w:hint="eastAsia"/>
                <w:b/>
                <w:color w:val="000000"/>
                <w:szCs w:val="21"/>
                <w:highlight w:val="none"/>
              </w:rPr>
            </w:pPr>
            <w:r>
              <w:rPr>
                <w:rFonts w:ascii="宋体" w:hAnsi="宋体" w:cs="宋体" w:hint="eastAsia"/>
                <w:b/>
                <w:color w:val="000000"/>
                <w:szCs w:val="21"/>
                <w:highlight w:val="none"/>
              </w:rPr>
              <w:t>3.2进口（外贸）合同：</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货款支付上限为：中标/成交人民币价格。</w:t>
            </w:r>
          </w:p>
          <w:p>
            <w:pPr>
              <w:adjustRightInd w:val="0"/>
              <w:spacing w:before="120" w:beforeLines="50" w:line="360" w:lineRule="auto"/>
              <w:rPr>
                <w:rFonts w:ascii="宋体" w:hAnsi="宋体" w:cs="宋体" w:hint="eastAsia"/>
                <w:b/>
                <w:color w:val="000000"/>
                <w:szCs w:val="21"/>
                <w:highlight w:val="none"/>
              </w:rPr>
            </w:pPr>
            <w:r>
              <w:rPr>
                <w:rFonts w:ascii="宋体" w:hAnsi="宋体" w:cs="宋体" w:hint="eastAsia"/>
                <w:color w:val="000000"/>
                <w:szCs w:val="21"/>
                <w:highlight w:val="none"/>
              </w:rPr>
              <w:t>信用证付款</w:t>
            </w:r>
          </w:p>
          <w:p>
            <w:pPr>
              <w:numPr>
                <w:ilvl w:val="0"/>
                <w:numId w:val="13"/>
              </w:num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签定外贸合同后，买方代理收到买30%货款后, 买方代理对外开具合同总额的30%不可撤销信用证给卖方；</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（2）货到验收合格后，买方代理收到买70%货款后，买方代理电汇支70%货款给卖方（合同执行期间产生的外币汇率损失由卖方承担）；</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（3）质量保证期自验收合格之日起计；</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（4）如果采用外币结算，汇率取开标日中国人民银行公布的汇率中间价。</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所有付款计划均以政府财政部门划拨款项时间为准，采购人不承担因财政亩批或拨款延迟造成延迟付款的违约责任。</w:t>
            </w:r>
          </w:p>
          <w:p>
            <w:pPr>
              <w:widowControl/>
              <w:spacing w:before="120" w:beforeLines="50" w:line="360" w:lineRule="auto"/>
              <w:jc w:val="left"/>
              <w:rPr>
                <w:rFonts w:ascii="宋体" w:hAnsi="宋体" w:cs="宋体" w:hint="eastAsia"/>
                <w:color w:val="000000"/>
                <w:kern w:val="0"/>
                <w:szCs w:val="21"/>
                <w:highlight w:val="none"/>
              </w:rPr>
            </w:pPr>
            <w:r>
              <w:rPr>
                <w:rFonts w:ascii="宋体" w:hAnsi="宋体" w:cs="宋体" w:hint="eastAsia"/>
                <w:color w:val="000000"/>
                <w:szCs w:val="21"/>
                <w:highlight w:val="none"/>
              </w:rPr>
              <w:t>以上付款方式为暂定支付方式，具体支付方式以合同约定及财政实际支付进度为准</w:t>
            </w:r>
          </w:p>
        </w:tc>
      </w:tr>
      <w:tr>
        <w:tblPrEx>
          <w:tblW w:w="5039" w:type="pct"/>
          <w:jc w:val="center"/>
          <w:tblInd w:w="-39" w:type="dxa"/>
          <w:tblCellMar>
            <w:top w:w="0" w:type="dxa"/>
            <w:left w:w="108" w:type="dxa"/>
            <w:bottom w:w="0" w:type="dxa"/>
            <w:right w:w="108" w:type="dxa"/>
          </w:tblCellMar>
          <w:tblLook w:val="0000"/>
        </w:tblPrEx>
        <w:trPr>
          <w:trHeight w:val="770"/>
          <w:jc w:val="center"/>
        </w:trPr>
        <w:tc>
          <w:tcPr>
            <w:tcW w:w="334" w:type="pct"/>
            <w:vMerge w:val="restart"/>
            <w:vAlign w:val="center"/>
          </w:tcPr>
          <w:p>
            <w:pPr>
              <w:widowControl/>
              <w:adjustRightInd w:val="0"/>
              <w:snapToGrid w:val="0"/>
              <w:jc w:val="center"/>
              <w:rPr>
                <w:rFonts w:ascii="宋体" w:hAnsi="宋体" w:cs="宋体" w:hint="eastAsia"/>
                <w:b/>
                <w:color w:val="000000"/>
                <w:szCs w:val="21"/>
                <w:highlight w:val="none"/>
              </w:rPr>
            </w:pPr>
            <w:r>
              <w:rPr>
                <w:rFonts w:ascii="宋体" w:hAnsi="宋体" w:cs="宋体" w:hint="eastAsia"/>
                <w:b/>
                <w:color w:val="000000"/>
                <w:szCs w:val="21"/>
                <w:highlight w:val="none"/>
              </w:rPr>
              <w:t>4</w:t>
            </w:r>
          </w:p>
        </w:tc>
        <w:tc>
          <w:tcPr>
            <w:tcW w:w="559"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b/>
                <w:bCs/>
                <w:color w:val="000000"/>
                <w:szCs w:val="21"/>
                <w:highlight w:val="none"/>
              </w:rPr>
              <w:t>★报价方式及要求</w:t>
            </w:r>
          </w:p>
        </w:tc>
        <w:tc>
          <w:tcPr>
            <w:tcW w:w="4106" w:type="pct"/>
          </w:tcPr>
          <w:p>
            <w:pPr>
              <w:spacing w:before="120" w:beforeLines="50" w:line="360" w:lineRule="auto"/>
              <w:rPr>
                <w:rFonts w:ascii="宋体" w:hAnsi="宋体" w:cs="宋体" w:hint="eastAsia"/>
                <w:color w:val="000000"/>
                <w:szCs w:val="21"/>
                <w:highlight w:val="none"/>
              </w:rPr>
            </w:pPr>
            <w:r>
              <w:rPr>
                <w:rFonts w:ascii="宋体" w:hAnsi="宋体" w:cs="宋体" w:hint="eastAsia"/>
                <w:b/>
                <w:bCs/>
                <w:color w:val="000000"/>
                <w:szCs w:val="21"/>
                <w:highlight w:val="none"/>
              </w:rPr>
              <w:t>4.1国产货物：</w:t>
            </w:r>
            <w:r>
              <w:rPr>
                <w:rFonts w:ascii="宋体" w:hAnsi="宋体" w:cs="宋体" w:hint="eastAsia"/>
                <w:color w:val="000000"/>
                <w:szCs w:val="21"/>
                <w:highlight w:val="none"/>
              </w:rPr>
              <w:t>人民币报价，投标价包含仪器设备的价款、税费、包装、运输、装卸、安装、调试、技术指导、培训、咨询、服务、保险、检测、验收合格交付使用之前以及技术和售后服务、质保期退运返修等其他所有费用。</w:t>
            </w:r>
          </w:p>
        </w:tc>
      </w:tr>
      <w:tr>
        <w:tblPrEx>
          <w:tblW w:w="5039" w:type="pct"/>
          <w:jc w:val="center"/>
          <w:tblInd w:w="-39" w:type="dxa"/>
          <w:tblCellMar>
            <w:top w:w="0" w:type="dxa"/>
            <w:left w:w="108" w:type="dxa"/>
            <w:bottom w:w="0" w:type="dxa"/>
            <w:right w:w="108" w:type="dxa"/>
          </w:tblCellMar>
          <w:tblLook w:val="0000"/>
        </w:tblPrEx>
        <w:trPr>
          <w:trHeight w:val="1065"/>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spacing w:before="120" w:beforeLines="50" w:line="360" w:lineRule="auto"/>
              <w:rPr>
                <w:rFonts w:ascii="宋体" w:hAnsi="宋体" w:cs="宋体" w:hint="eastAsia"/>
                <w:color w:val="000000"/>
                <w:szCs w:val="21"/>
                <w:highlight w:val="none"/>
              </w:rPr>
            </w:pPr>
            <w:r>
              <w:rPr>
                <w:rFonts w:ascii="宋体" w:hAnsi="宋体" w:cs="宋体" w:hint="eastAsia"/>
                <w:b/>
                <w:bCs/>
                <w:color w:val="000000"/>
                <w:szCs w:val="21"/>
                <w:highlight w:val="none"/>
              </w:rPr>
              <w:t>4.2进口货物：</w:t>
            </w:r>
            <w:r>
              <w:rPr>
                <w:rFonts w:ascii="宋体" w:hAnsi="宋体" w:cs="宋体" w:hint="eastAsia"/>
                <w:color w:val="000000"/>
                <w:szCs w:val="21"/>
                <w:highlight w:val="none"/>
              </w:rPr>
              <w:t>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进口免税产品报价说明：</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spacing w:before="120" w:beforeLines="50" w:line="360" w:lineRule="auto"/>
              <w:rPr>
                <w:rFonts w:ascii="宋体" w:hAnsi="宋体" w:cs="宋体" w:hint="eastAsia"/>
                <w:b/>
                <w:bCs/>
                <w:color w:val="000000"/>
                <w:szCs w:val="21"/>
                <w:highlight w:val="none"/>
              </w:rPr>
            </w:pPr>
            <w:r>
              <w:rPr>
                <w:rFonts w:ascii="宋体" w:hAnsi="宋体" w:cs="宋体" w:hint="eastAsia"/>
                <w:b/>
                <w:bCs/>
                <w:color w:val="000000"/>
                <w:szCs w:val="21"/>
                <w:highlight w:val="none"/>
              </w:rPr>
              <w:t>注：</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1）若本项目需要使用美元结算时，则按中国银行（现汇卖出价）开标当日开标时人民币兑美元的汇率作为结算汇率；</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2）若参与投标的进口货物免税报价时，如有国内供货部分需在《投标分项报价表》上注明含税报价，届时需要提供税务局出具的有效发票，否则不予支付该部分货款。</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3）依据国家相关法律法规，项目中不可免税部分请单报人民币含税价格。</w:t>
            </w:r>
          </w:p>
          <w:p>
            <w:pPr>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rPr>
              <w:t>4)若投标人所投产品产地为美国，且在国家加征关税范围内的，则投标人报价中须包含此项费，采购人不再另行支付。</w:t>
            </w:r>
          </w:p>
        </w:tc>
      </w:tr>
      <w:tr>
        <w:tblPrEx>
          <w:tblW w:w="5039" w:type="pct"/>
          <w:jc w:val="center"/>
          <w:tblInd w:w="-39" w:type="dxa"/>
          <w:tblCellMar>
            <w:top w:w="0" w:type="dxa"/>
            <w:left w:w="108" w:type="dxa"/>
            <w:bottom w:w="0" w:type="dxa"/>
            <w:right w:w="108" w:type="dxa"/>
          </w:tblCellMar>
          <w:tblLook w:val="0000"/>
        </w:tblPrEx>
        <w:trPr>
          <w:trHeight w:val="1065"/>
          <w:jc w:val="center"/>
        </w:trPr>
        <w:tc>
          <w:tcPr>
            <w:tcW w:w="334" w:type="pct"/>
            <w:vMerge/>
            <w:vAlign w:val="center"/>
          </w:tcPr>
          <w:p>
            <w:pPr>
              <w:widowControl/>
              <w:adjustRightInd w:val="0"/>
              <w:snapToGrid w:val="0"/>
              <w:jc w:val="center"/>
              <w:rPr>
                <w:rFonts w:ascii="宋体" w:hAnsi="宋体" w:cs="宋体" w:hint="eastAsia"/>
                <w:b/>
                <w:color w:val="000000"/>
                <w:szCs w:val="21"/>
                <w:highlight w:val="none"/>
              </w:rPr>
            </w:pPr>
          </w:p>
        </w:tc>
        <w:tc>
          <w:tcPr>
            <w:tcW w:w="559" w:type="pct"/>
            <w:vMerge/>
            <w:vAlign w:val="center"/>
          </w:tcPr>
          <w:p>
            <w:pPr>
              <w:widowControl/>
              <w:adjustRightInd w:val="0"/>
              <w:snapToGrid w:val="0"/>
              <w:jc w:val="center"/>
              <w:rPr>
                <w:rFonts w:ascii="宋体" w:hAnsi="宋体" w:cs="宋体" w:hint="eastAsia"/>
                <w:color w:val="000000"/>
                <w:szCs w:val="21"/>
                <w:highlight w:val="none"/>
              </w:rPr>
            </w:pPr>
          </w:p>
        </w:tc>
        <w:tc>
          <w:tcPr>
            <w:tcW w:w="4106" w:type="pct"/>
          </w:tcPr>
          <w:p>
            <w:pPr>
              <w:adjustRightInd w:val="0"/>
              <w:snapToGrid w:val="0"/>
              <w:spacing w:before="120" w:beforeLines="50" w:line="360" w:lineRule="auto"/>
              <w:rPr>
                <w:rFonts w:ascii="宋体" w:hAnsi="宋体" w:cs="宋体" w:hint="eastAsia"/>
                <w:color w:val="000000"/>
                <w:szCs w:val="21"/>
                <w:highlight w:val="none"/>
              </w:rPr>
            </w:pPr>
            <w:r>
              <w:rPr>
                <w:rFonts w:ascii="宋体" w:hAnsi="宋体" w:cs="宋体" w:hint="eastAsia"/>
                <w:color w:val="000000"/>
                <w:szCs w:val="21"/>
                <w:highlight w:val="none"/>
                <w:lang w:val="zh-CN"/>
              </w:rPr>
              <w:t>4.3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W w:w="5039" w:type="pct"/>
          <w:jc w:val="center"/>
          <w:tblInd w:w="-39" w:type="dxa"/>
          <w:tblCellMar>
            <w:top w:w="0" w:type="dxa"/>
            <w:left w:w="108" w:type="dxa"/>
            <w:bottom w:w="0" w:type="dxa"/>
            <w:right w:w="108" w:type="dxa"/>
          </w:tblCellMar>
          <w:tblLook w:val="0000"/>
        </w:tblPrEx>
        <w:trPr>
          <w:trHeight w:val="1065"/>
          <w:jc w:val="center"/>
        </w:trPr>
        <w:tc>
          <w:tcPr>
            <w:tcW w:w="334" w:type="pct"/>
            <w:vMerge w:val="restart"/>
            <w:vAlign w:val="center"/>
          </w:tcPr>
          <w:p>
            <w:pPr>
              <w:widowControl/>
              <w:adjustRightInd w:val="0"/>
              <w:snapToGrid w:val="0"/>
              <w:jc w:val="center"/>
              <w:rPr>
                <w:rFonts w:ascii="宋体" w:hAnsi="宋体" w:cs="宋体" w:hint="eastAsia"/>
                <w:b/>
                <w:color w:val="000000"/>
                <w:szCs w:val="21"/>
                <w:highlight w:val="none"/>
              </w:rPr>
            </w:pPr>
            <w:r>
              <w:rPr>
                <w:rFonts w:ascii="宋体" w:hAnsi="宋体" w:cs="宋体" w:hint="eastAsia"/>
                <w:bCs/>
                <w:color w:val="000000"/>
                <w:szCs w:val="21"/>
                <w:highlight w:val="none"/>
              </w:rPr>
              <w:t>5</w:t>
            </w:r>
          </w:p>
        </w:tc>
        <w:tc>
          <w:tcPr>
            <w:tcW w:w="559" w:type="pct"/>
            <w:vMerge w:val="restart"/>
            <w:vAlign w:val="center"/>
          </w:tcPr>
          <w:p>
            <w:pPr>
              <w:widowControl/>
              <w:adjustRightInd w:val="0"/>
              <w:snapToGrid w:val="0"/>
              <w:jc w:val="center"/>
              <w:rPr>
                <w:rFonts w:ascii="宋体" w:hAnsi="宋体" w:cs="宋体" w:hint="eastAsia"/>
                <w:color w:val="000000"/>
                <w:szCs w:val="21"/>
                <w:highlight w:val="none"/>
              </w:rPr>
            </w:pPr>
            <w:r>
              <w:rPr>
                <w:rFonts w:ascii="宋体" w:hAnsi="宋体" w:cs="宋体" w:hint="eastAsia"/>
                <w:color w:val="000000"/>
                <w:szCs w:val="21"/>
                <w:highlight w:val="none"/>
              </w:rPr>
              <w:t>知识产权相关</w:t>
            </w:r>
          </w:p>
        </w:tc>
        <w:tc>
          <w:tcPr>
            <w:tcW w:w="4106" w:type="pct"/>
          </w:tcPr>
          <w:p>
            <w:pPr>
              <w:adjustRightInd w:val="0"/>
              <w:snapToGrid w:val="0"/>
              <w:spacing w:before="120" w:beforeLines="50" w:line="360" w:lineRule="auto"/>
              <w:rPr>
                <w:rFonts w:ascii="宋体" w:hAnsi="宋体" w:cs="宋体" w:hint="eastAsia"/>
                <w:color w:val="000000"/>
                <w:szCs w:val="21"/>
                <w:highlight w:val="none"/>
                <w:lang w:val="zh-CN"/>
              </w:rPr>
            </w:pPr>
            <w:r>
              <w:rPr>
                <w:rFonts w:ascii="宋体" w:hAnsi="宋体" w:cs="宋体" w:hint="eastAsia"/>
                <w:color w:val="000000"/>
                <w:szCs w:val="21"/>
                <w:highlight w:val="none"/>
              </w:rPr>
              <w:t>5.1</w:t>
            </w:r>
            <w:r>
              <w:rPr>
                <w:rFonts w:ascii="宋体" w:hAnsi="宋体" w:cs="宋体" w:hint="eastAsia"/>
                <w:color w:val="000000"/>
                <w:szCs w:val="21"/>
                <w:highlight w:val="none"/>
                <w:lang w:val="zh-CN"/>
              </w:rPr>
              <w:t>采购人在履行合同过程中提供给中标人的全部图纸、文件和其他含有数据和信息的资料，其知识产权属于采购人。未经采购人同意，中标人不得将其用于本合同目的之外的其他用途，且不得擅自向第三方转让、披露。</w:t>
            </w:r>
          </w:p>
        </w:tc>
      </w:tr>
      <w:tr>
        <w:tblPrEx>
          <w:tblW w:w="5039" w:type="pct"/>
          <w:jc w:val="center"/>
          <w:tblInd w:w="-39" w:type="dxa"/>
          <w:tblCellMar>
            <w:top w:w="0" w:type="dxa"/>
            <w:left w:w="108" w:type="dxa"/>
            <w:bottom w:w="0" w:type="dxa"/>
            <w:right w:w="108" w:type="dxa"/>
          </w:tblCellMar>
          <w:tblLook w:val="0000"/>
        </w:tblPrEx>
        <w:trPr>
          <w:trHeight w:val="800"/>
          <w:jc w:val="center"/>
        </w:trPr>
        <w:tc>
          <w:tcPr>
            <w:tcW w:w="334" w:type="pct"/>
            <w:vMerge/>
          </w:tcPr>
          <w:p>
            <w:pPr>
              <w:widowControl/>
              <w:adjustRightInd w:val="0"/>
              <w:snapToGrid w:val="0"/>
              <w:rPr>
                <w:rFonts w:ascii="宋体" w:hAnsi="宋体" w:cs="宋体" w:hint="eastAsia"/>
                <w:b/>
                <w:color w:val="000000"/>
                <w:szCs w:val="21"/>
                <w:highlight w:val="none"/>
              </w:rPr>
            </w:pPr>
          </w:p>
        </w:tc>
        <w:tc>
          <w:tcPr>
            <w:tcW w:w="559" w:type="pct"/>
            <w:vMerge/>
          </w:tcPr>
          <w:p>
            <w:pPr>
              <w:widowControl/>
              <w:adjustRightInd w:val="0"/>
              <w:snapToGrid w:val="0"/>
              <w:rPr>
                <w:rFonts w:ascii="宋体" w:hAnsi="宋体" w:cs="宋体" w:hint="eastAsia"/>
                <w:color w:val="000000"/>
                <w:szCs w:val="21"/>
                <w:highlight w:val="none"/>
              </w:rPr>
            </w:pPr>
          </w:p>
        </w:tc>
        <w:tc>
          <w:tcPr>
            <w:tcW w:w="4106" w:type="pct"/>
          </w:tcPr>
          <w:p>
            <w:pPr>
              <w:adjustRightInd w:val="0"/>
              <w:snapToGrid w:val="0"/>
              <w:spacing w:before="120" w:beforeLines="50" w:line="360" w:lineRule="auto"/>
              <w:rPr>
                <w:rFonts w:ascii="宋体" w:hAnsi="宋体" w:cs="宋体" w:hint="eastAsia"/>
                <w:color w:val="000000"/>
                <w:szCs w:val="21"/>
                <w:highlight w:val="none"/>
                <w:lang w:val="zh-CN"/>
              </w:rPr>
            </w:pPr>
            <w:r>
              <w:rPr>
                <w:rFonts w:ascii="宋体" w:hAnsi="宋体" w:cs="宋体" w:hint="eastAsia"/>
                <w:color w:val="000000"/>
                <w:szCs w:val="21"/>
                <w:highlight w:val="none"/>
              </w:rPr>
              <w:t>5.2</w:t>
            </w:r>
            <w:r>
              <w:rPr>
                <w:rFonts w:ascii="宋体" w:hAnsi="宋体" w:cs="宋体" w:hint="eastAsia"/>
                <w:color w:val="000000"/>
                <w:szCs w:val="21"/>
                <w:highlight w:val="none"/>
                <w:lang w:val="zh-CN"/>
              </w:rPr>
              <w:t>如合同货物涉及知识产权，则中标人保证采购人在使用合同货物的过程中免于受到第三方提出的有关知识产权侵权的主张、索赔或诉讼的损失。</w:t>
            </w:r>
          </w:p>
        </w:tc>
      </w:tr>
      <w:tr>
        <w:tblPrEx>
          <w:tblW w:w="5039" w:type="pct"/>
          <w:jc w:val="center"/>
          <w:tblInd w:w="-39" w:type="dxa"/>
          <w:tblCellMar>
            <w:top w:w="0" w:type="dxa"/>
            <w:left w:w="108" w:type="dxa"/>
            <w:bottom w:w="0" w:type="dxa"/>
            <w:right w:w="108" w:type="dxa"/>
          </w:tblCellMar>
          <w:tblLook w:val="0000"/>
        </w:tblPrEx>
        <w:trPr>
          <w:trHeight w:val="1544"/>
          <w:jc w:val="center"/>
        </w:trPr>
        <w:tc>
          <w:tcPr>
            <w:tcW w:w="334" w:type="pct"/>
            <w:vMerge/>
          </w:tcPr>
          <w:p>
            <w:pPr>
              <w:widowControl/>
              <w:adjustRightInd w:val="0"/>
              <w:snapToGrid w:val="0"/>
              <w:rPr>
                <w:rFonts w:ascii="宋体" w:hAnsi="宋体" w:cs="宋体" w:hint="eastAsia"/>
                <w:b/>
                <w:color w:val="000000"/>
                <w:szCs w:val="21"/>
                <w:highlight w:val="none"/>
              </w:rPr>
            </w:pPr>
          </w:p>
        </w:tc>
        <w:tc>
          <w:tcPr>
            <w:tcW w:w="559" w:type="pct"/>
            <w:vMerge/>
          </w:tcPr>
          <w:p>
            <w:pPr>
              <w:widowControl/>
              <w:adjustRightInd w:val="0"/>
              <w:snapToGrid w:val="0"/>
              <w:rPr>
                <w:rFonts w:ascii="宋体" w:hAnsi="宋体" w:cs="宋体" w:hint="eastAsia"/>
                <w:color w:val="000000"/>
                <w:szCs w:val="21"/>
                <w:highlight w:val="none"/>
              </w:rPr>
            </w:pPr>
          </w:p>
        </w:tc>
        <w:tc>
          <w:tcPr>
            <w:tcW w:w="4106" w:type="pct"/>
          </w:tcPr>
          <w:p>
            <w:pPr>
              <w:adjustRightInd w:val="0"/>
              <w:snapToGrid w:val="0"/>
              <w:spacing w:before="120" w:beforeLines="50" w:line="360" w:lineRule="auto"/>
              <w:rPr>
                <w:rFonts w:ascii="宋体" w:hAnsi="宋体" w:cs="宋体" w:hint="eastAsia"/>
                <w:color w:val="000000"/>
                <w:szCs w:val="21"/>
                <w:highlight w:val="none"/>
                <w:lang w:val="zh-CN"/>
              </w:rPr>
            </w:pPr>
            <w:r>
              <w:rPr>
                <w:rFonts w:ascii="宋体" w:hAnsi="宋体" w:cs="宋体" w:hint="eastAsia"/>
                <w:color w:val="000000"/>
                <w:szCs w:val="21"/>
                <w:highlight w:val="none"/>
              </w:rPr>
              <w:t>5.3</w:t>
            </w:r>
            <w:r>
              <w:rPr>
                <w:rFonts w:ascii="宋体" w:hAnsi="宋体" w:cs="宋体" w:hint="eastAsia"/>
                <w:color w:val="000000"/>
                <w:szCs w:val="21"/>
                <w:highlight w:val="none"/>
                <w:lang w:val="zh-CN"/>
              </w:rPr>
              <w:t>如果采购人收到任何第三方有关知识产权的主张、索赔或诉讼，中标人应自负费用处理与第三方的索赔或诉讼，并赔偿采购人因此发生的费用和遭受的损失。如果中标人拒绝处理前述索赔或诉讼，采购人以自己的名义进行这些索赔或诉讼，因此发生的费用和遭受的损失均由中标人承担。</w:t>
            </w:r>
          </w:p>
        </w:tc>
      </w:tr>
    </w:tbl>
    <w:p>
      <w:pPr>
        <w:tabs>
          <w:tab w:val="left" w:pos="900"/>
        </w:tabs>
        <w:spacing w:line="288" w:lineRule="auto"/>
        <w:ind w:left="482" w:hanging="482"/>
        <w:rPr>
          <w:rFonts w:ascii="宋体" w:hAnsi="宋体" w:cs="宋体" w:hint="eastAsia"/>
          <w:bCs/>
          <w:color w:val="000000"/>
          <w:szCs w:val="21"/>
          <w:highlight w:val="none"/>
          <w:lang w:val="zh-CN"/>
        </w:rPr>
      </w:pPr>
    </w:p>
    <w:p>
      <w:pPr>
        <w:tabs>
          <w:tab w:val="left" w:pos="900"/>
        </w:tabs>
        <w:spacing w:line="288" w:lineRule="auto"/>
        <w:ind w:left="482" w:hanging="482"/>
        <w:rPr>
          <w:rFonts w:ascii="宋体" w:hAnsi="宋体" w:cs="宋体"/>
          <w:b/>
          <w:color w:val="000000"/>
          <w:szCs w:val="21"/>
          <w:highlight w:val="none"/>
          <w:lang w:val="zh-CN"/>
        </w:rPr>
      </w:pPr>
      <w:r>
        <w:rPr>
          <w:rFonts w:ascii="宋体" w:hAnsi="宋体" w:cs="宋体" w:hint="eastAsia"/>
          <w:b/>
          <w:color w:val="000000"/>
          <w:szCs w:val="21"/>
          <w:highlight w:val="none"/>
          <w:lang w:val="zh-CN"/>
        </w:rPr>
        <w:t>注：</w:t>
      </w:r>
    </w:p>
    <w:p>
      <w:pPr>
        <w:numPr>
          <w:ilvl w:val="0"/>
          <w:numId w:val="14"/>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4"/>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4"/>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并在《技术条款偏离表》的说明栏中说明</w:t>
      </w:r>
      <w:r>
        <w:rPr>
          <w:rFonts w:ascii="宋体" w:hAnsi="宋体" w:cs="宋体" w:hint="eastAsia"/>
          <w:bCs/>
          <w:color w:val="000000"/>
          <w:szCs w:val="21"/>
          <w:highlight w:val="none"/>
          <w:lang w:val="zh-CN"/>
        </w:rPr>
        <w:t>。</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4"/>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hint="eastAsia"/>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height:269.9pt;mso-position-horizontal-relative:char;mso-position-vertical-relative:line;mso-wrap-style:square;width:415.7pt" filled="f" stroked="f">
            <v:stroke linestyle="single"/>
            <v:imagedata r:id="rId11" o:title=""/>
            <v:path o:extrusionok="f"/>
            <o:lock v:ext="edit" aspectratio="t"/>
            <w10:wrap type="none"/>
            <w10:anchorlock/>
          </v:shape>
        </w:pict>
      </w:r>
    </w:p>
    <w:p>
      <w:pPr>
        <w:spacing w:line="300" w:lineRule="auto"/>
        <w:jc w:val="center"/>
        <w:rPr>
          <w:rFonts w:ascii="宋体" w:hAnsi="宋体" w:cs="宋体"/>
          <w:b/>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5"/>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16"/>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16"/>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p>
      <w:pPr>
        <w:numPr>
          <w:ilvl w:val="0"/>
          <w:numId w:val="16"/>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szCs w:val="21"/>
          <w:highlight w:val="none"/>
        </w:rPr>
        <w:t>对商务条款的响应程度</w:t>
      </w:r>
    </w:p>
    <w:p>
      <w:pPr>
        <w:numPr>
          <w:ilvl w:val="0"/>
          <w:numId w:val="16"/>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17"/>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17"/>
        </w:numPr>
        <w:tabs>
          <w:tab w:val="left" w:pos="567"/>
        </w:tabs>
        <w:spacing w:before="240" w:beforeLines="100" w:line="360" w:lineRule="auto"/>
        <w:rPr>
          <w:rFonts w:hint="eastAsia"/>
          <w:color w:val="000000"/>
          <w:highlight w:val="none"/>
          <w:lang w:val="zh-CN"/>
        </w:rPr>
      </w:pPr>
      <w:r>
        <w:rPr>
          <w:rFonts w:ascii="宋体" w:hAnsi="宋体" w:cs="宋体" w:hint="eastAsia"/>
          <w:color w:val="000000"/>
          <w:szCs w:val="21"/>
          <w:highlight w:val="none"/>
          <w:lang w:val="zh-CN"/>
        </w:rPr>
        <w:t>技术保障措施</w:t>
      </w:r>
    </w:p>
    <w:p>
      <w:pPr>
        <w:numPr>
          <w:ilvl w:val="0"/>
          <w:numId w:val="17"/>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17"/>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18"/>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22"/>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19"/>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9"/>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19"/>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19"/>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19"/>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16"/>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2"/>
          <w:footerReference w:type="default" r:id="rId13"/>
          <w:headerReference w:type="first" r:id="rId14"/>
          <w:pgSz w:w="11907" w:h="16840"/>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b w:val="0"/>
          <w:color w:val="000000"/>
          <w:sz w:val="24"/>
          <w:highlight w:val="none"/>
        </w:rPr>
      </w:pPr>
      <w:r>
        <w:rPr>
          <w:rFonts w:cs="宋体" w:hint="eastAsia"/>
          <w:b w:val="0"/>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22"/>
        <w:gridCol w:w="1621"/>
        <w:gridCol w:w="889"/>
        <w:gridCol w:w="1100"/>
        <w:gridCol w:w="681"/>
        <w:gridCol w:w="1165"/>
        <w:gridCol w:w="855"/>
        <w:gridCol w:w="673"/>
        <w:gridCol w:w="767"/>
        <w:gridCol w:w="1513"/>
      </w:tblGrid>
      <w:tr>
        <w:tblPrEx>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14"/>
          <w:jc w:val="center"/>
        </w:trPr>
        <w:tc>
          <w:tcPr>
            <w:tcW w:w="267"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828"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454"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562"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348"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595"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（含税/免税）</w:t>
            </w:r>
          </w:p>
        </w:tc>
        <w:tc>
          <w:tcPr>
            <w:tcW w:w="437"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344"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392"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773" w:type="pct"/>
            <w:vAlign w:val="center"/>
          </w:tcPr>
          <w:p>
            <w:pPr>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08" w:type="pct"/>
          <w:jc w:val="center"/>
          <w:tblCellMar>
            <w:top w:w="0" w:type="dxa"/>
            <w:left w:w="108" w:type="dxa"/>
            <w:bottom w:w="0" w:type="dxa"/>
            <w:right w:w="108" w:type="dxa"/>
          </w:tblCellMar>
          <w:tblLook w:val="0000"/>
        </w:tblPrEx>
        <w:trPr>
          <w:trHeight w:val="617"/>
          <w:jc w:val="center"/>
        </w:trPr>
        <w:tc>
          <w:tcPr>
            <w:tcW w:w="267"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828"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痕量多组分气体通量测量仪</w:t>
            </w:r>
          </w:p>
        </w:tc>
        <w:tc>
          <w:tcPr>
            <w:tcW w:w="454" w:type="pct"/>
            <w:vAlign w:val="center"/>
          </w:tcPr>
          <w:p>
            <w:pPr>
              <w:spacing w:line="300" w:lineRule="atLeast"/>
              <w:jc w:val="center"/>
              <w:rPr>
                <w:rFonts w:ascii="宋体" w:hAnsi="宋体" w:cs="宋体"/>
                <w:bCs/>
                <w:color w:val="000000"/>
                <w:szCs w:val="21"/>
                <w:highlight w:val="none"/>
              </w:rPr>
            </w:pPr>
            <w:r>
              <w:rPr>
                <w:rFonts w:ascii="宋体" w:hAnsi="宋体" w:cs="宋体" w:hint="eastAsia"/>
                <w:bCs/>
                <w:color w:val="000000"/>
                <w:szCs w:val="21"/>
                <w:highlight w:val="none"/>
              </w:rPr>
              <w:t>1套</w:t>
            </w:r>
          </w:p>
        </w:tc>
        <w:tc>
          <w:tcPr>
            <w:tcW w:w="562" w:type="pct"/>
            <w:vAlign w:val="center"/>
          </w:tcPr>
          <w:p>
            <w:pPr>
              <w:spacing w:line="300" w:lineRule="atLeast"/>
              <w:jc w:val="center"/>
              <w:rPr>
                <w:rFonts w:ascii="宋体" w:hAnsi="宋体" w:cs="宋体"/>
                <w:color w:val="000000"/>
                <w:sz w:val="22"/>
                <w:szCs w:val="22"/>
                <w:highlight w:val="none"/>
              </w:rPr>
            </w:pPr>
          </w:p>
        </w:tc>
        <w:tc>
          <w:tcPr>
            <w:tcW w:w="348" w:type="pct"/>
            <w:vAlign w:val="center"/>
          </w:tcPr>
          <w:p>
            <w:pPr>
              <w:spacing w:line="300" w:lineRule="atLeast"/>
              <w:jc w:val="center"/>
              <w:rPr>
                <w:rFonts w:ascii="宋体" w:hAnsi="宋体" w:cs="宋体"/>
                <w:color w:val="000000"/>
                <w:sz w:val="22"/>
                <w:szCs w:val="22"/>
                <w:highlight w:val="none"/>
              </w:rPr>
            </w:pPr>
          </w:p>
        </w:tc>
        <w:tc>
          <w:tcPr>
            <w:tcW w:w="595" w:type="pct"/>
            <w:vAlign w:val="center"/>
          </w:tcPr>
          <w:p>
            <w:pPr>
              <w:widowControl/>
              <w:spacing w:line="300" w:lineRule="atLeast"/>
              <w:jc w:val="center"/>
              <w:rPr>
                <w:rFonts w:ascii="宋体" w:hAnsi="宋体" w:cs="宋体"/>
                <w:color w:val="000000"/>
                <w:kern w:val="0"/>
                <w:szCs w:val="21"/>
                <w:highlight w:val="none"/>
              </w:rPr>
            </w:pPr>
          </w:p>
        </w:tc>
        <w:tc>
          <w:tcPr>
            <w:tcW w:w="437" w:type="pct"/>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344" w:type="pct"/>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392" w:type="pct"/>
            <w:vAlign w:val="center"/>
          </w:tcPr>
          <w:p>
            <w:pPr>
              <w:spacing w:line="300" w:lineRule="atLeast"/>
              <w:jc w:val="center"/>
              <w:rPr>
                <w:rFonts w:ascii="宋体" w:hAnsi="宋体" w:cs="宋体"/>
                <w:color w:val="000000"/>
                <w:sz w:val="22"/>
                <w:szCs w:val="22"/>
                <w:highlight w:val="none"/>
              </w:rPr>
            </w:pPr>
          </w:p>
        </w:tc>
        <w:tc>
          <w:tcPr>
            <w:tcW w:w="773" w:type="pct"/>
            <w:vAlign w:val="center"/>
          </w:tcPr>
          <w:p>
            <w:pPr>
              <w:spacing w:line="300" w:lineRule="atLeast"/>
              <w:jc w:val="center"/>
              <w:rPr>
                <w:rFonts w:ascii="宋体" w:hAnsi="宋体" w:cs="宋体"/>
                <w:color w:val="000000"/>
                <w:sz w:val="22"/>
                <w:szCs w:val="22"/>
                <w:highlight w:val="none"/>
              </w:rPr>
            </w:pPr>
          </w:p>
        </w:tc>
      </w:tr>
      <w:tr>
        <w:tblPrEx>
          <w:tblW w:w="4908" w:type="pct"/>
          <w:jc w:val="center"/>
          <w:tblCellMar>
            <w:top w:w="0" w:type="dxa"/>
            <w:left w:w="108" w:type="dxa"/>
            <w:bottom w:w="0" w:type="dxa"/>
            <w:right w:w="108" w:type="dxa"/>
          </w:tblCellMar>
          <w:tblLook w:val="0000"/>
        </w:tblPrEx>
        <w:trPr>
          <w:trHeight w:val="617"/>
          <w:jc w:val="center"/>
        </w:trPr>
        <w:tc>
          <w:tcPr>
            <w:tcW w:w="4999" w:type="pct"/>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b w:val="0"/>
          <w:color w:val="000000"/>
          <w:sz w:val="24"/>
          <w:highlight w:val="none"/>
        </w:rPr>
      </w:pPr>
      <w:r>
        <w:rPr>
          <w:rFonts w:cs="宋体"/>
          <w:b w:val="0"/>
          <w:color w:val="000000"/>
          <w:sz w:val="24"/>
          <w:highlight w:val="none"/>
        </w:rPr>
        <w:br w:type="page"/>
      </w:r>
      <w:r>
        <w:rPr>
          <w:rFonts w:cs="宋体" w:hint="eastAsia"/>
          <w:bCs w:val="0"/>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4"/>
        <w:gridCol w:w="1591"/>
        <w:gridCol w:w="600"/>
        <w:gridCol w:w="629"/>
        <w:gridCol w:w="956"/>
        <w:gridCol w:w="465"/>
        <w:gridCol w:w="656"/>
        <w:gridCol w:w="1014"/>
        <w:gridCol w:w="931"/>
        <w:gridCol w:w="812"/>
        <w:gridCol w:w="677"/>
        <w:gridCol w:w="607"/>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365"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825" w:type="pct"/>
            <w:noWrap/>
            <w:vAlign w:val="center"/>
          </w:tcPr>
          <w:p>
            <w:pPr>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311" w:type="pct"/>
            <w:vAlign w:val="center"/>
          </w:tcPr>
          <w:p>
            <w:pPr>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326" w:type="pct"/>
            <w:noWrap/>
            <w:vAlign w:val="center"/>
          </w:tcPr>
          <w:p>
            <w:pPr>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496"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241"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340"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526"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（含税/免税）</w:t>
            </w:r>
          </w:p>
        </w:tc>
        <w:tc>
          <w:tcPr>
            <w:tcW w:w="483"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421"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351" w:type="pct"/>
            <w:vAlign w:val="center"/>
          </w:tcPr>
          <w:p>
            <w:pPr>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311" w:type="pct"/>
            <w:vAlign w:val="center"/>
          </w:tcPr>
          <w:p>
            <w:pPr>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36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1</w:t>
            </w:r>
          </w:p>
        </w:tc>
        <w:tc>
          <w:tcPr>
            <w:tcW w:w="825"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痕量多组分气体通量测量仪</w:t>
            </w:r>
          </w:p>
        </w:tc>
        <w:tc>
          <w:tcPr>
            <w:tcW w:w="311" w:type="pct"/>
            <w:vAlign w:val="center"/>
          </w:tcPr>
          <w:p>
            <w:pPr>
              <w:jc w:val="center"/>
              <w:rPr>
                <w:rFonts w:ascii="宋体" w:hAnsi="宋体"/>
                <w:color w:val="000000"/>
                <w:sz w:val="18"/>
                <w:szCs w:val="18"/>
                <w:highlight w:val="none"/>
              </w:rPr>
            </w:pPr>
            <w:r>
              <w:rPr>
                <w:rFonts w:ascii="宋体" w:hAnsi="宋体" w:hint="eastAsia"/>
                <w:color w:val="000000"/>
                <w:sz w:val="18"/>
                <w:szCs w:val="18"/>
                <w:highlight w:val="none"/>
              </w:rPr>
              <w:t>套</w:t>
            </w:r>
          </w:p>
        </w:tc>
        <w:tc>
          <w:tcPr>
            <w:tcW w:w="326" w:type="pct"/>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rPr>
              <w:t>1</w:t>
            </w: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26" w:type="pct"/>
            <w:vAlign w:val="center"/>
          </w:tcPr>
          <w:p>
            <w:pPr>
              <w:spacing w:line="300" w:lineRule="exact"/>
              <w:jc w:val="center"/>
              <w:rPr>
                <w:rFonts w:ascii="宋体" w:hAnsi="宋体" w:cs="宋体"/>
                <w:b/>
                <w:color w:val="000000"/>
                <w:sz w:val="18"/>
                <w:szCs w:val="18"/>
                <w:highlight w:val="none"/>
              </w:rPr>
            </w:pPr>
          </w:p>
        </w:tc>
        <w:tc>
          <w:tcPr>
            <w:tcW w:w="483"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280"/>
        </w:trPr>
        <w:tc>
          <w:tcPr>
            <w:tcW w:w="704" w:type="dxa"/>
            <w:vAlign w:val="center"/>
          </w:tcPr>
          <w:p>
            <w:pPr>
              <w:spacing w:line="300" w:lineRule="exact"/>
              <w:jc w:val="center"/>
              <w:rPr>
                <w:rFonts w:ascii="宋体" w:hAnsi="宋体" w:hint="eastAsia"/>
                <w:color w:val="000000"/>
                <w:sz w:val="18"/>
                <w:szCs w:val="18"/>
                <w:highlight w:val="none"/>
              </w:rPr>
            </w:pPr>
            <w:r>
              <w:rPr>
                <w:rFonts w:ascii="宋体" w:hAnsi="宋体" w:cs="宋体"/>
                <w:color w:val="000000"/>
                <w:sz w:val="18"/>
                <w:szCs w:val="18"/>
                <w:highlight w:val="none"/>
              </w:rPr>
              <w:t>…</w:t>
            </w:r>
          </w:p>
        </w:tc>
        <w:tc>
          <w:tcPr>
            <w:tcW w:w="1592" w:type="dxa"/>
            <w:vAlign w:val="center"/>
          </w:tcPr>
          <w:p>
            <w:pPr>
              <w:widowControl/>
              <w:snapToGrid w:val="0"/>
              <w:spacing w:line="300" w:lineRule="exact"/>
              <w:jc w:val="center"/>
              <w:rPr>
                <w:rFonts w:ascii="宋体" w:hAnsi="宋体" w:hint="eastAsia"/>
                <w:color w:val="000000"/>
                <w:sz w:val="18"/>
                <w:szCs w:val="18"/>
                <w:highlight w:val="none"/>
                <w:lang w:val="zh-TW" w:eastAsia="zh-TW"/>
              </w:rPr>
            </w:pPr>
            <w:r>
              <w:rPr>
                <w:rFonts w:ascii="宋体" w:hAnsi="宋体" w:cs="宋体"/>
                <w:color w:val="000000"/>
                <w:sz w:val="18"/>
                <w:szCs w:val="18"/>
                <w:highlight w:val="none"/>
              </w:rPr>
              <w:t>……</w:t>
            </w:r>
          </w:p>
        </w:tc>
        <w:tc>
          <w:tcPr>
            <w:tcW w:w="600" w:type="dxa"/>
            <w:vAlign w:val="center"/>
          </w:tcPr>
          <w:p>
            <w:pPr>
              <w:spacing w:line="300" w:lineRule="exact"/>
              <w:jc w:val="center"/>
              <w:rPr>
                <w:rFonts w:ascii="宋体" w:hAnsi="宋体"/>
                <w:color w:val="000000"/>
                <w:sz w:val="18"/>
                <w:szCs w:val="18"/>
                <w:highlight w:val="none"/>
              </w:rPr>
            </w:pPr>
            <w:r>
              <w:rPr>
                <w:rFonts w:ascii="宋体" w:hAnsi="宋体" w:cs="宋体"/>
                <w:color w:val="000000"/>
                <w:sz w:val="18"/>
                <w:szCs w:val="18"/>
                <w:highlight w:val="none"/>
              </w:rPr>
              <w:t>…</w:t>
            </w:r>
          </w:p>
        </w:tc>
        <w:tc>
          <w:tcPr>
            <w:tcW w:w="630" w:type="dxa"/>
            <w:vAlign w:val="center"/>
          </w:tcPr>
          <w:p>
            <w:pPr>
              <w:spacing w:line="300" w:lineRule="exact"/>
              <w:jc w:val="center"/>
              <w:rPr>
                <w:rFonts w:ascii="宋体" w:hAnsi="宋体" w:hint="eastAsia"/>
                <w:color w:val="000000"/>
                <w:sz w:val="18"/>
                <w:szCs w:val="18"/>
                <w:highlight w:val="none"/>
              </w:rPr>
            </w:pPr>
            <w:r>
              <w:rPr>
                <w:rFonts w:ascii="宋体" w:hAnsi="宋体" w:cs="宋体"/>
                <w:color w:val="000000"/>
                <w:sz w:val="18"/>
                <w:szCs w:val="18"/>
                <w:highlight w:val="none"/>
              </w:rPr>
              <w:t>……</w:t>
            </w:r>
          </w:p>
        </w:tc>
        <w:tc>
          <w:tcPr>
            <w:tcW w:w="957" w:type="dxa"/>
            <w:vAlign w:val="center"/>
          </w:tcPr>
          <w:p>
            <w:pPr>
              <w:spacing w:line="300" w:lineRule="exact"/>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465" w:type="dxa"/>
            <w:vAlign w:val="center"/>
          </w:tcPr>
          <w:p>
            <w:pPr>
              <w:spacing w:line="300" w:lineRule="exact"/>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656" w:type="dxa"/>
            <w:vAlign w:val="center"/>
          </w:tcPr>
          <w:p>
            <w:pPr>
              <w:spacing w:line="300" w:lineRule="exact"/>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1016" w:type="dxa"/>
            <w:vAlign w:val="center"/>
          </w:tcPr>
          <w:p>
            <w:pPr>
              <w:spacing w:line="300" w:lineRule="exact"/>
              <w:jc w:val="center"/>
              <w:rPr>
                <w:rFonts w:ascii="宋体" w:hAnsi="宋体" w:cs="宋体"/>
                <w:color w:val="000000"/>
                <w:sz w:val="18"/>
                <w:szCs w:val="18"/>
                <w:highlight w:val="none"/>
              </w:rPr>
            </w:pPr>
            <w:r>
              <w:rPr>
                <w:rFonts w:ascii="宋体" w:hAnsi="宋体" w:cs="宋体"/>
                <w:color w:val="000000"/>
                <w:sz w:val="18"/>
                <w:szCs w:val="18"/>
                <w:highlight w:val="none"/>
              </w:rPr>
              <w:t>……</w:t>
            </w:r>
          </w:p>
        </w:tc>
        <w:tc>
          <w:tcPr>
            <w:tcW w:w="933" w:type="dxa"/>
            <w:vAlign w:val="center"/>
          </w:tcPr>
          <w:p>
            <w:pPr>
              <w:widowControl/>
              <w:spacing w:line="300" w:lineRule="exact"/>
              <w:jc w:val="center"/>
              <w:rPr>
                <w:rFonts w:ascii="宋体" w:hAnsi="宋体" w:cs="宋体"/>
                <w:color w:val="000000"/>
                <w:kern w:val="0"/>
                <w:sz w:val="18"/>
                <w:szCs w:val="18"/>
                <w:highlight w:val="none"/>
              </w:rPr>
            </w:pPr>
            <w:r>
              <w:rPr>
                <w:rFonts w:ascii="宋体" w:hAnsi="宋体" w:cs="宋体"/>
                <w:color w:val="000000"/>
                <w:sz w:val="18"/>
                <w:szCs w:val="18"/>
                <w:highlight w:val="none"/>
              </w:rPr>
              <w:t>……</w:t>
            </w:r>
          </w:p>
        </w:tc>
        <w:tc>
          <w:tcPr>
            <w:tcW w:w="813"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color w:val="000000"/>
                <w:sz w:val="18"/>
                <w:szCs w:val="18"/>
                <w:highlight w:val="none"/>
              </w:rPr>
              <w:t>……</w:t>
            </w:r>
          </w:p>
        </w:tc>
        <w:tc>
          <w:tcPr>
            <w:tcW w:w="677" w:type="dxa"/>
            <w:vAlign w:val="center"/>
          </w:tcPr>
          <w:p>
            <w:pPr>
              <w:widowControl/>
              <w:spacing w:line="300" w:lineRule="exact"/>
              <w:jc w:val="center"/>
              <w:rPr>
                <w:rFonts w:ascii="宋体" w:hAnsi="宋体" w:cs="宋体" w:hint="eastAsia"/>
                <w:bCs/>
                <w:color w:val="000000"/>
                <w:sz w:val="18"/>
                <w:szCs w:val="18"/>
                <w:highlight w:val="none"/>
              </w:rPr>
            </w:pPr>
            <w:r>
              <w:rPr>
                <w:rFonts w:ascii="宋体" w:hAnsi="宋体" w:cs="宋体"/>
                <w:color w:val="000000"/>
                <w:sz w:val="18"/>
                <w:szCs w:val="18"/>
                <w:highlight w:val="none"/>
              </w:rPr>
              <w:t>……</w:t>
            </w:r>
          </w:p>
        </w:tc>
        <w:tc>
          <w:tcPr>
            <w:tcW w:w="600" w:type="dxa"/>
            <w:vAlign w:val="center"/>
          </w:tcPr>
          <w:p>
            <w:pPr>
              <w:widowControl/>
              <w:spacing w:line="300" w:lineRule="exact"/>
              <w:jc w:val="center"/>
              <w:rPr>
                <w:rFonts w:ascii="宋体" w:hAnsi="宋体" w:cs="宋体" w:hint="eastAsia"/>
                <w:color w:val="000000"/>
                <w:sz w:val="18"/>
                <w:szCs w:val="18"/>
                <w:highlight w:val="none"/>
              </w:rPr>
            </w:pPr>
            <w:r>
              <w:rPr>
                <w:rFonts w:ascii="宋体" w:hAnsi="宋体" w:cs="宋体"/>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275"/>
        </w:trPr>
        <w:tc>
          <w:tcPr>
            <w:tcW w:w="365"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25" w:type="pct"/>
            <w:vAlign w:val="center"/>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24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40"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5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83"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2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5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518"/>
        </w:trPr>
        <w:tc>
          <w:tcPr>
            <w:tcW w:w="5000" w:type="pct"/>
            <w:gridSpan w:val="12"/>
            <w:vAlign w:val="center"/>
          </w:tcPr>
          <w:p>
            <w:pPr>
              <w:spacing w:line="300" w:lineRule="exact"/>
              <w:jc w:val="left"/>
              <w:rPr>
                <w:rFonts w:ascii="宋体" w:hAnsi="宋体" w:cs="宋体" w:hint="eastAsia"/>
                <w:b/>
                <w:bCs/>
                <w:color w:val="000000"/>
                <w:sz w:val="18"/>
                <w:szCs w:val="18"/>
                <w:highlight w:val="none"/>
              </w:rPr>
            </w:pPr>
            <w:r>
              <w:rPr>
                <w:rFonts w:ascii="宋体" w:hAnsi="宋体" w:cs="宋体" w:hint="eastAsia"/>
                <w:b/>
                <w:bCs/>
                <w:color w:val="000000"/>
                <w:sz w:val="18"/>
                <w:szCs w:val="18"/>
                <w:highlight w:val="none"/>
              </w:rPr>
              <w:t xml:space="preserve">合计：¥ </w:t>
            </w:r>
            <w:r>
              <w:rPr>
                <w:rFonts w:ascii="宋体" w:hAnsi="宋体" w:cs="宋体" w:hint="eastAsia"/>
                <w:b/>
                <w:bCs/>
                <w:color w:val="000000"/>
                <w:sz w:val="18"/>
                <w:szCs w:val="18"/>
                <w:highlight w:val="none"/>
                <w:u w:val="single"/>
              </w:rPr>
              <w:t xml:space="preserve">          </w:t>
            </w:r>
            <w:r>
              <w:rPr>
                <w:rFonts w:ascii="宋体" w:hAnsi="宋体" w:cs="宋体" w:hint="eastAsia"/>
                <w:b/>
                <w:bCs/>
                <w:color w:val="000000"/>
                <w:sz w:val="18"/>
                <w:szCs w:val="18"/>
                <w:highlight w:val="none"/>
              </w:rPr>
              <w:t>（人民币：</w:t>
            </w:r>
            <w:r>
              <w:rPr>
                <w:rFonts w:ascii="宋体" w:hAnsi="宋体" w:cs="宋体" w:hint="eastAsia"/>
                <w:b/>
                <w:bCs/>
                <w:color w:val="000000"/>
                <w:sz w:val="18"/>
                <w:szCs w:val="18"/>
                <w:highlight w:val="none"/>
                <w:u w:val="single"/>
              </w:rPr>
              <w:t xml:space="preserve">          </w:t>
            </w:r>
            <w:r>
              <w:rPr>
                <w:rFonts w:ascii="宋体" w:hAnsi="宋体" w:cs="宋体" w:hint="eastAsia"/>
                <w:b/>
                <w:bCs/>
                <w:color w:val="000000"/>
                <w:sz w:val="18"/>
                <w:szCs w:val="18"/>
                <w:highlight w:val="none"/>
              </w:rPr>
              <w:t>）</w:t>
            </w:r>
          </w:p>
        </w:tc>
      </w:tr>
    </w:tbl>
    <w:p>
      <w:pPr>
        <w:numPr>
          <w:ilvl w:val="0"/>
          <w:numId w:val="20"/>
        </w:num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20"/>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20"/>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20"/>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20"/>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a16"/>
        <w:ind w:firstLine="420"/>
        <w:rPr>
          <w:rFonts w:hint="eastAsia"/>
          <w:color w:val="000000"/>
          <w:highlight w:val="none"/>
        </w:rPr>
      </w:pP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pgMar w:top="1080" w:right="1440" w:bottom="1080" w:left="1440" w:header="851" w:footer="992" w:gutter="0"/>
          <w:cols w:space="720"/>
          <w:titlePg/>
          <w:docGrid w:linePitch="462"/>
        </w:sectPr>
      </w:pPr>
    </w:p>
    <w:p>
      <w:pPr>
        <w:numPr>
          <w:ilvl w:val="0"/>
          <w:numId w:val="21"/>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1"/>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22"/>
        <w:rPr>
          <w:rFonts w:ascii="宋体" w:hAnsi="宋体" w:cs="宋体"/>
          <w:color w:val="000000"/>
          <w:highlight w:val="none"/>
        </w:rPr>
      </w:pPr>
    </w:p>
    <w:p>
      <w:pPr>
        <w:pStyle w:val="a22"/>
        <w:rPr>
          <w:rFonts w:ascii="宋体" w:hAnsi="宋体" w:cs="宋体"/>
          <w:color w:val="000000"/>
          <w:highlight w:val="none"/>
        </w:rPr>
      </w:pPr>
    </w:p>
    <w:p>
      <w:pPr>
        <w:numPr>
          <w:ilvl w:val="0"/>
          <w:numId w:val="21"/>
        </w:numPr>
        <w:tabs>
          <w:tab w:val="left" w:pos="720"/>
        </w:tabs>
        <w:spacing w:line="300" w:lineRule="auto"/>
        <w:ind w:left="482" w:hanging="482"/>
        <w:jc w:val="center"/>
        <w:rPr>
          <w:rFonts w:ascii="宋体" w:hAnsi="宋体" w:cs="宋体"/>
          <w:color w:val="000000"/>
          <w:sz w:val="24"/>
          <w:highlight w:val="none"/>
        </w:rPr>
        <w:sectPr>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rPr>
        <w:t>1.技术条款偏离表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“技术部分”的内容进行填写；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4、投标产品的技术参数应按《技术条款偏离表》中的要求提供相应的证明资料</w:t>
      </w:r>
      <w:r>
        <w:rPr>
          <w:rFonts w:ascii="宋体" w:hAnsi="宋体" w:cs="宋体" w:hint="eastAsia"/>
          <w:b/>
          <w:bCs/>
          <w:color w:val="000000"/>
          <w:szCs w:val="21"/>
          <w:highlight w:val="none"/>
        </w:rPr>
        <w:t>（证明资料须附于本表后）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若《技术条款偏离表》中未要求提供相应证明材料的，投标人可以不提供。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16"/>
        <w:ind w:firstLine="420"/>
        <w:rPr>
          <w:rFonts w:ascii="宋体" w:hAnsi="宋体" w:cs="宋体" w:hint="eastAsia"/>
          <w:color w:val="000000"/>
          <w:szCs w:val="21"/>
          <w:highlight w:val="none"/>
        </w:rPr>
      </w:pPr>
    </w:p>
    <w:p>
      <w:pPr>
        <w:pStyle w:val="a16"/>
        <w:ind w:firstLine="420"/>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2.商务条款偏离表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“招标商务要求”一栏应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“商务部分”的内容进行填写；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rPr>
        <w:t>4. 交货期条款为不可负偏离条款，投标文件响应为“负偏离”的，投标文件将按无效投标处理。</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16"/>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16"/>
        <w:ind w:firstLine="420"/>
        <w:rPr>
          <w:rFonts w:ascii="Times New Roman"/>
          <w:color w:val="000000"/>
          <w:highlight w:val="none"/>
        </w:rPr>
      </w:pPr>
    </w:p>
    <w:p>
      <w:pPr>
        <w:pStyle w:val="a16"/>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b/>
          <w:bCs/>
          <w:color w:val="000000"/>
          <w:sz w:val="24"/>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hint="eastAsia"/>
          <w:color w:val="000000"/>
          <w:kern w:val="0"/>
          <w:szCs w:val="21"/>
          <w:highlight w:val="none"/>
          <w:u w:val="double"/>
        </w:rPr>
      </w:pPr>
      <w:r>
        <w:rPr>
          <w:rFonts w:ascii="宋体" w:hAnsi="宋体"/>
          <w:color w:val="000000"/>
          <w:kern w:val="0"/>
          <w:szCs w:val="21"/>
          <w:highlight w:val="none"/>
          <w:u w:val="double"/>
        </w:rPr>
        <w:t>以下文字请投标供应商抄写并确认：“本公司（单位）已仔细阅读《政府采购违法行为风险知悉确认书》，充分知悉违法行为的法律后果，并承诺将严谨、诚信、依法依规参与政府采购活动”。</w:t>
      </w:r>
    </w:p>
    <w:p>
      <w:pPr>
        <w:pStyle w:val="a"/>
        <w:rPr>
          <w:color w:val="000000"/>
          <w:highlight w:val="none"/>
        </w:rPr>
      </w:pP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16"/>
        <w:ind w:firstLine="420"/>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18" w:name="_Toc73521680"/>
      <w:bookmarkStart w:id="19" w:name="_Toc101074886"/>
      <w:bookmarkStart w:id="20" w:name="_Toc100052414"/>
      <w:bookmarkStart w:id="21" w:name="_Toc73517685"/>
      <w:bookmarkStart w:id="22" w:name="_Toc73518163"/>
      <w:bookmarkStart w:id="23" w:name="_Toc73521592"/>
      <w:bookmarkStart w:id="24" w:name="_Toc84303603"/>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18"/>
      <w:bookmarkEnd w:id="19"/>
      <w:bookmarkEnd w:id="20"/>
      <w:bookmarkEnd w:id="21"/>
      <w:bookmarkEnd w:id="22"/>
      <w:bookmarkEnd w:id="23"/>
      <w:bookmarkEnd w:id="24"/>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2"/>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 id="图片 6" o:spid="_x0000_i1026" type="#_x0000_t75" alt="说明: 图形用户界面, 应用程序&#10;&#10;描述已自动生成" style="height:214.26pt;mso-position-horizontal-relative:page;mso-position-vertical-relative:page;mso-wrap-style:square;width:415.83pt" filled="f" stroked="f">
            <v:stroke linestyle="single"/>
            <v:imagedata r:id="rId15" o:title="图形用户界面, 应用程序&#10;&#10;描述已自动生成"/>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7" o:spid="_x0000_i1027" type="#_x0000_t75" alt="说明: 图形用户界面, 应用程序&#10;&#10;描述已自动生成" style="height:214.26pt;mso-position-horizontal-relative:page;mso-position-vertical-relative:page;mso-wrap-style:square;width:415.83pt" filled="f" stroked="f">
            <v:stroke linestyle="single"/>
            <v:imagedata r:id="rId15" o:title="图形用户界面, 应用程序&#10;&#10;描述已自动生成"/>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2" o:spid="_x0000_i1028" type="#_x0000_t75" alt="说明: 图形用户界面&#10;&#10;描述已自动生成" style="height:215.05pt;mso-position-horizontal-relative:page;mso-position-vertical-relative:page;mso-wrap-style:square;width:415.83pt" filled="f" stroked="f">
            <v:stroke linestyle="single"/>
            <v:imagedata r:id="rId16" o:title="图形用户界面&#10;&#10;描述已自动生成"/>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25" w:name="_Toc73521581"/>
      <w:bookmarkStart w:id="26" w:name="_Toc100052400"/>
      <w:bookmarkStart w:id="27" w:name="_Toc73518151"/>
      <w:bookmarkStart w:id="28" w:name="_Toc73521669"/>
      <w:bookmarkStart w:id="29" w:name="_Toc73517673"/>
      <w:r>
        <w:rPr>
          <w:rFonts w:ascii="宋体" w:hAnsi="宋体" w:cs="宋体" w:hint="eastAsia"/>
          <w:b/>
          <w:bCs/>
          <w:color w:val="000000"/>
          <w:szCs w:val="21"/>
          <w:highlight w:val="none"/>
        </w:rPr>
        <w:t>34．错误的修正</w:t>
      </w:r>
      <w:bookmarkEnd w:id="25"/>
      <w:bookmarkEnd w:id="26"/>
      <w:bookmarkEnd w:id="27"/>
      <w:bookmarkEnd w:id="28"/>
      <w:bookmarkEnd w:id="29"/>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2"/>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0" w:name="_Toc73521586"/>
      <w:bookmarkStart w:id="31" w:name="_Toc73517679"/>
      <w:bookmarkStart w:id="32" w:name="_Toc100052408"/>
      <w:bookmarkStart w:id="33" w:name="_Toc73521674"/>
      <w:bookmarkStart w:id="34" w:name="_Toc73518157"/>
      <w:r>
        <w:rPr>
          <w:rFonts w:ascii="宋体" w:hAnsi="宋体" w:cs="宋体" w:hint="eastAsia"/>
          <w:b/>
          <w:bCs/>
          <w:color w:val="000000"/>
          <w:szCs w:val="21"/>
          <w:highlight w:val="none"/>
        </w:rPr>
        <w:t>43．合同授予标准</w:t>
      </w:r>
      <w:bookmarkEnd w:id="30"/>
      <w:bookmarkEnd w:id="31"/>
      <w:bookmarkEnd w:id="32"/>
      <w:bookmarkEnd w:id="33"/>
      <w:bookmarkEnd w:id="34"/>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35" w:name="_Toc73518158"/>
      <w:bookmarkStart w:id="36" w:name="_Toc73521587"/>
      <w:bookmarkStart w:id="37" w:name="_Toc73517680"/>
      <w:bookmarkStart w:id="38" w:name="_Toc73521675"/>
      <w:bookmarkStart w:id="39" w:name="_Toc100052409"/>
      <w:r>
        <w:rPr>
          <w:rFonts w:ascii="宋体" w:hAnsi="宋体" w:cs="宋体" w:hint="eastAsia"/>
          <w:b/>
          <w:bCs/>
          <w:color w:val="000000"/>
          <w:szCs w:val="21"/>
          <w:highlight w:val="none"/>
        </w:rPr>
        <w:t>44．</w:t>
      </w:r>
      <w:bookmarkEnd w:id="35"/>
      <w:bookmarkEnd w:id="36"/>
      <w:bookmarkEnd w:id="37"/>
      <w:bookmarkEnd w:id="38"/>
      <w:bookmarkEnd w:id="39"/>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0" w:name="_Toc73517682"/>
      <w:bookmarkStart w:id="41" w:name="_Toc100052410"/>
      <w:bookmarkStart w:id="42" w:name="_Toc73521589"/>
      <w:bookmarkStart w:id="43" w:name="_Toc73518160"/>
      <w:bookmarkStart w:id="44" w:name="_Toc73521677"/>
      <w:r>
        <w:rPr>
          <w:rFonts w:ascii="宋体" w:hAnsi="宋体" w:cs="宋体" w:hint="eastAsia"/>
          <w:b/>
          <w:bCs/>
          <w:color w:val="000000"/>
          <w:szCs w:val="21"/>
          <w:highlight w:val="none"/>
        </w:rPr>
        <w:t>45．合同协议书的签订</w:t>
      </w:r>
      <w:bookmarkEnd w:id="40"/>
      <w:bookmarkEnd w:id="41"/>
      <w:bookmarkEnd w:id="42"/>
      <w:bookmarkEnd w:id="43"/>
      <w:bookmarkEnd w:id="44"/>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45" w:name="_Toc73521678"/>
      <w:bookmarkStart w:id="46" w:name="_Toc73517683"/>
      <w:bookmarkStart w:id="47" w:name="_Toc73518161"/>
      <w:bookmarkStart w:id="48" w:name="_Toc100052411"/>
      <w:bookmarkStart w:id="49" w:name="_Toc73521590"/>
      <w:r>
        <w:rPr>
          <w:rFonts w:ascii="宋体" w:hAnsi="宋体" w:cs="宋体" w:hint="eastAsia"/>
          <w:b/>
          <w:bCs/>
          <w:color w:val="000000"/>
          <w:szCs w:val="21"/>
          <w:highlight w:val="none"/>
        </w:rPr>
        <w:t>46．履约担保</w:t>
      </w:r>
      <w:bookmarkEnd w:id="45"/>
      <w:bookmarkEnd w:id="46"/>
      <w:bookmarkEnd w:id="47"/>
      <w:bookmarkEnd w:id="48"/>
      <w:bookmarkEnd w:id="49"/>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2"/>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2"/>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lang w:val="zh-CN"/>
              </w:rPr>
              <w:pict>
                <v:line id="直接连接符 7" o:spid="_x0000_s1029" style="mso-wrap-style:square;position:absolute;z-index:251658240" from="99pt,2.3pt" to="99.05pt,2.3pt" stroked="t">
                  <v:stroke linestyle="single"/>
                  <o:lock v:ext="edit" aspectratio="f"/>
                </v:line>
              </w:pict>
            </w:r>
            <w:r>
              <w:rPr>
                <w:rFonts w:ascii="宋体" w:hAnsi="宋体" w:cs="宋体" w:hint="eastAsia"/>
                <w:b/>
                <w:bCs/>
                <w:color w:val="000000"/>
                <w:szCs w:val="21"/>
                <w:highlight w:val="none"/>
              </w:rPr>
              <w:t>中标金额（万元）</w:t>
            </w:r>
          </w:p>
        </w:tc>
        <w:tc>
          <w:tcPr>
            <w:tcW w:w="2482" w:type="pct"/>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b w:val="0"/>
          <w:bCs w:val="0"/>
          <w:color w:val="000000"/>
          <w:sz w:val="24"/>
          <w:highlight w:val="none"/>
        </w:rPr>
      </w:pPr>
      <w:r>
        <w:rPr>
          <w:rFonts w:eastAsia="宋体" w:cs="宋体" w:hint="eastAsia"/>
          <w:b w:val="0"/>
          <w:bCs w:val="0"/>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0" w:name="_Toc423902169"/>
      <w:bookmarkStart w:id="51" w:name="_Toc423897875"/>
      <w:bookmarkStart w:id="52" w:name="_Toc423902167"/>
      <w:bookmarkStart w:id="53" w:name="_Toc423897870"/>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7"/>
          <w:pgSz w:w="11910" w:h="16840"/>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54" w:name="_bookmark1"/>
      <w:bookmarkEnd w:id="54"/>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8"/>
          <w:pgSz w:w="11910" w:h="16840"/>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计量</w:t>
            </w:r>
            <w:r>
              <w:rPr>
                <w:rFonts w:ascii="宋体" w:hAnsi="宋体" w:cs="宋体" w:hint="eastAsia"/>
                <w:b/>
                <w:bCs/>
                <w:color w:val="000000"/>
                <w:kern w:val="0"/>
                <w:sz w:val="18"/>
                <w:szCs w:val="18"/>
                <w:highlight w:val="none"/>
              </w:rPr>
              <w:br/>
            </w: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55" w:name="sendNo"/>
      <w:r>
        <w:rPr>
          <w:rFonts w:ascii="宋体" w:hAnsi="宋体" w:cs="宋体" w:hint="eastAsia"/>
          <w:b/>
          <w:color w:val="000000"/>
          <w:kern w:val="0"/>
          <w:sz w:val="24"/>
          <w:highlight w:val="none"/>
        </w:rPr>
        <w:t>财库〔</w:t>
      </w:r>
      <w:bookmarkEnd w:id="55"/>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56"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6"/>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0"/>
      <w:bookmarkEnd w:id="51"/>
      <w:bookmarkEnd w:id="52"/>
      <w:bookmarkEnd w:id="53"/>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9"/>
      <w:footerReference w:type="first" r:id="rId20"/>
      <w:pgSz w:w="11907" w:h="16840"/>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9" w:usb3="00000000" w:csb0="000001FF" w:csb1="00000000"/>
  </w:font>
  <w:font w:name="H Yb 2gj">
    <w:altName w:val="黑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1" w:usb1="0808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10" w:usb3="00000000" w:csb0="0004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26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25</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痕量多组分气体通量测量仪</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rPr>
      <w:t>环境工程-痕量多组分气体通量测量仪</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rPr>
      <w:t>环境工程-痕量多组分气体通量测量仪</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环境工程-痕量多组分气体通量测量仪</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环境工程-痕量多组分气体通量测量仪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C8D79"/>
    <w:multiLevelType w:val="singleLevel"/>
    <w:tmpl w:val="C91C8D79"/>
    <w:lvl w:ilvl="0">
      <w:start w:val="2"/>
      <w:numFmt w:val="chineseCounting"/>
      <w:suff w:val="space"/>
      <w:lvlText w:val="第%1章"/>
      <w:lvlJc w:val="left"/>
      <w:rPr>
        <w:rFonts w:hint="eastAsia"/>
      </w:rPr>
    </w:lvl>
  </w:abstractNum>
  <w:abstractNum w:abstractNumId="1">
    <w:nsid w:val="CB86FAD9"/>
    <w:multiLevelType w:val="singleLevel"/>
    <w:tmpl w:val="CB86FAD9"/>
    <w:lvl w:ilvl="0">
      <w:start w:val="1"/>
      <w:numFmt w:val="decimal"/>
      <w:lvlText w:val="%1."/>
      <w:lvlJc w:val="left"/>
      <w:pPr>
        <w:tabs>
          <w:tab w:val="num" w:pos="312"/>
        </w:tabs>
      </w:pPr>
    </w:lvl>
  </w:abstractNum>
  <w:abstractNum w:abstractNumId="2">
    <w:nsid w:val="FC7A25A7"/>
    <w:multiLevelType w:val="singleLevel"/>
    <w:tmpl w:val="FC7A25A7"/>
    <w:lvl w:ilvl="0">
      <w:start w:val="1"/>
      <w:numFmt w:val="decimal"/>
      <w:lvlText w:val="%1."/>
      <w:lvlJc w:val="left"/>
      <w:pPr>
        <w:ind w:left="0" w:firstLine="0"/>
      </w:pPr>
      <w:rPr>
        <w:rFonts w:hint="default"/>
      </w:rPr>
    </w:lvl>
  </w:abstractNum>
  <w:abstractNum w:abstractNumId="3">
    <w:nsid w:val="00000001"/>
    <w:multiLevelType w:val="multilevel"/>
    <w:tmpl w:val="00000001"/>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4">
    <w:nsid w:val="0000000C"/>
    <w:multiLevelType w:val="singleLevel"/>
    <w:tmpl w:val="0000000C"/>
    <w:lvl w:ilvl="0">
      <w:start w:val="1"/>
      <w:numFmt w:val="decimal"/>
      <w:lvlText w:val="%1."/>
      <w:lvlJc w:val="left"/>
      <w:pPr>
        <w:tabs>
          <w:tab w:val="num" w:pos="2040"/>
        </w:tabs>
        <w:ind w:left="2040" w:hanging="360"/>
      </w:pPr>
    </w:lvl>
  </w:abstractNum>
  <w:abstractNum w:abstractNumId="5">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6">
    <w:nsid w:val="0000000E"/>
    <w:multiLevelType w:val="multilevel"/>
    <w:tmpl w:val="0000000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10"/>
    <w:multiLevelType w:val="multilevel"/>
    <w:tmpl w:val="000000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1"/>
    <w:multiLevelType w:val="multilevel"/>
    <w:tmpl w:val="0000001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2"/>
    <w:multiLevelType w:val="multilevel"/>
    <w:tmpl w:val="000000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00000014"/>
    <w:multiLevelType w:val="singleLevel"/>
    <w:tmpl w:val="00000014"/>
    <w:lvl w:ilvl="0">
      <w:start w:val="2"/>
      <w:numFmt w:val="chineseCounting"/>
      <w:suff w:val="nothing"/>
      <w:lvlText w:val="%1、"/>
      <w:lvlJc w:val="left"/>
      <w:rPr>
        <w:rFonts w:hint="eastAsia"/>
      </w:rPr>
    </w:lvl>
  </w:abstractNum>
  <w:abstractNum w:abstractNumId="13">
    <w:nsid w:val="00000015"/>
    <w:multiLevelType w:val="multilevel"/>
    <w:tmpl w:val="00000015"/>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6"/>
    <w:multiLevelType w:val="singleLevel"/>
    <w:tmpl w:val="00000016"/>
    <w:lvl w:ilvl="0">
      <w:start w:val="1"/>
      <w:numFmt w:val="decimal"/>
      <w:lvlText w:val="%1)"/>
      <w:lvlJc w:val="left"/>
      <w:pPr>
        <w:tabs>
          <w:tab w:val="num" w:pos="425"/>
        </w:tabs>
        <w:ind w:left="425" w:hanging="425"/>
      </w:pPr>
      <w:rPr>
        <w:rFonts w:hint="default"/>
      </w:rPr>
    </w:lvl>
  </w:abstractNum>
  <w:abstractNum w:abstractNumId="15">
    <w:nsid w:val="00000018"/>
    <w:multiLevelType w:val="multilevel"/>
    <w:tmpl w:val="00000018"/>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00000019"/>
    <w:multiLevelType w:val="multilevel"/>
    <w:tmpl w:val="00000019"/>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C"/>
    <w:multiLevelType w:val="multilevel"/>
    <w:tmpl w:val="0000001C"/>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E"/>
    <w:multiLevelType w:val="singleLevel"/>
    <w:tmpl w:val="0000001E"/>
    <w:lvl w:ilvl="0">
      <w:start w:val="1"/>
      <w:numFmt w:val="chineseCounting"/>
      <w:suff w:val="nothing"/>
      <w:lvlText w:val="%1、"/>
      <w:lvlJc w:val="left"/>
      <w:pPr>
        <w:ind w:left="0" w:firstLine="420"/>
      </w:pPr>
      <w:rPr>
        <w:rFonts w:hint="eastAsia"/>
      </w:rPr>
    </w:lvl>
  </w:abstractNum>
  <w:abstractNum w:abstractNumId="19">
    <w:nsid w:val="00000022"/>
    <w:multiLevelType w:val="singleLevel"/>
    <w:tmpl w:val="00000022"/>
    <w:lvl w:ilvl="0">
      <w:start w:val="1"/>
      <w:numFmt w:val="decimal"/>
      <w:suff w:val="nothing"/>
      <w:lvlText w:val="%1．"/>
      <w:lvlJc w:val="left"/>
      <w:pPr>
        <w:ind w:left="20" w:firstLine="400"/>
      </w:pPr>
      <w:rPr>
        <w:rFonts w:ascii="宋体" w:eastAsia="宋体" w:hAnsi="宋体" w:hint="default"/>
        <w:b w:val="0"/>
      </w:rPr>
    </w:lvl>
  </w:abstractNum>
  <w:abstractNum w:abstractNumId="20">
    <w:nsid w:val="0B75035C"/>
    <w:multiLevelType w:val="singleLevel"/>
    <w:tmpl w:val="0B75035C"/>
    <w:lvl w:ilvl="0">
      <w:start w:val="1"/>
      <w:numFmt w:val="decimal"/>
      <w:suff w:val="nothing"/>
      <w:lvlText w:val="（%1）"/>
      <w:lvlJc w:val="left"/>
    </w:lvl>
  </w:abstractNum>
  <w:abstractNum w:abstractNumId="21">
    <w:nsid w:val="78C90F4C"/>
    <w:multiLevelType w:val="multilevel"/>
    <w:tmpl w:val="78C9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9"/>
  </w:num>
  <w:num w:numId="4">
    <w:abstractNumId w:val="4"/>
  </w:num>
  <w:num w:numId="5">
    <w:abstractNumId w:val="15"/>
  </w:num>
  <w:num w:numId="6">
    <w:abstractNumId w:val="11"/>
  </w:num>
  <w:num w:numId="7">
    <w:abstractNumId w:val="16"/>
  </w:num>
  <w:num w:numId="8">
    <w:abstractNumId w:val="7"/>
  </w:num>
  <w:num w:numId="9">
    <w:abstractNumId w:val="6"/>
  </w:num>
  <w:num w:numId="10">
    <w:abstractNumId w:val="0"/>
  </w:num>
  <w:num w:numId="11">
    <w:abstractNumId w:val="21"/>
  </w:num>
  <w:num w:numId="12">
    <w:abstractNumId w:val="1"/>
  </w:num>
  <w:num w:numId="13">
    <w:abstractNumId w:val="20"/>
  </w:num>
  <w:num w:numId="14">
    <w:abstractNumId w:val="14"/>
  </w:num>
  <w:num w:numId="15">
    <w:abstractNumId w:val="18"/>
  </w:num>
  <w:num w:numId="16">
    <w:abstractNumId w:val="3"/>
  </w:num>
  <w:num w:numId="17">
    <w:abstractNumId w:val="19"/>
  </w:num>
  <w:num w:numId="18">
    <w:abstractNumId w:val="12"/>
  </w:num>
  <w:num w:numId="19">
    <w:abstractNumId w:val="10"/>
  </w:num>
  <w:num w:numId="20">
    <w:abstractNumId w:val="2"/>
  </w:num>
  <w:num w:numId="21">
    <w:abstractNumId w:val="1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 w:name="KSO_WPS_MARK_KEY" w:val="2ccc8e1f-a850-49f7-bc74-8d3775115c86"/>
    <w:docVar w:name="__Grammarly_42___1" w:val="H4sIAAAAAAAEAKtWcslP9kxRslIyNDayMDM1NjY3NjQxtDQzNzJR0lEKTi0uzszPAykwqgUAL0qm4iwAAAA="/>
    <w:docVar w:name="__Grammarly_42____i" w:val="H4sIAAAAAAAEAKtWckksSQxILCpxzi/NK1GyMqwFAAEhoTITAAAA"/>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semiHidden="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qFormat="1"/>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lsdException w:name="HTML Variable" w:semiHidden="0" w:uiPriority="0" w:unhideWhenUsed="0" w:qFormat="1"/>
    <w:lsdException w:name="Normal Table" w:semiHidden="0"/>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kern w:val="2"/>
      <w:sz w:val="21"/>
      <w:szCs w:val="24"/>
      <w:lang w:val="en-US" w:eastAsia="zh-CN" w:bidi="ar-SA"/>
    </w:rPr>
  </w:style>
  <w:style w:type="paragraph" w:styleId="Heading1">
    <w:name w:val="heading 1"/>
    <w:basedOn w:val="Normal"/>
    <w:next w:val="Normal"/>
    <w:link w:val="1Char"/>
    <w:qFormat/>
    <w:pPr>
      <w:spacing w:before="340" w:after="330" w:line="360" w:lineRule="auto"/>
      <w:jc w:val="center"/>
      <w:outlineLvl w:val="0"/>
    </w:pPr>
    <w:rPr>
      <w:rFonts w:ascii="宋体" w:eastAsia="黑体" w:hAnsi="宋体"/>
      <w:b/>
      <w:bCs/>
      <w:kern w:val="44"/>
      <w:sz w:val="28"/>
      <w:szCs w:val="44"/>
    </w:rPr>
  </w:style>
  <w:style w:type="paragraph" w:styleId="Heading2">
    <w:name w:val="heading 2"/>
    <w:basedOn w:val="Normal"/>
    <w:next w:val="Normal"/>
    <w:link w:val="2Char"/>
    <w:qFormat/>
    <w:pPr>
      <w:adjustRightInd w:val="0"/>
      <w:jc w:val="center"/>
      <w:textAlignment w:val="baseline"/>
      <w:outlineLvl w:val="1"/>
    </w:pPr>
    <w:rPr>
      <w:rFonts w:ascii="宋体" w:hAnsi="宋体"/>
      <w:b/>
      <w:bCs/>
      <w:kern w:val="0"/>
      <w:sz w:val="24"/>
      <w:szCs w:val="20"/>
    </w:rPr>
  </w:style>
  <w:style w:type="paragraph" w:styleId="Heading3">
    <w:name w:val="heading 3"/>
    <w:basedOn w:val="Heading4"/>
    <w:next w:val="NormalIndent"/>
    <w:link w:val="3Char1"/>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customStyle="1" w:styleId="a">
    <w:name w:val="正文正"/>
    <w:qFormat/>
    <w:pPr>
      <w:widowControl w:val="0"/>
      <w:spacing w:line="560" w:lineRule="exact"/>
      <w:ind w:firstLine="561"/>
      <w:jc w:val="both"/>
    </w:pPr>
    <w:rPr>
      <w:rFonts w:ascii="Calibri" w:hAnsi="Calibri"/>
      <w:kern w:val="2"/>
      <w:sz w:val="28"/>
      <w:szCs w:val="28"/>
      <w:lang w:val="en-US" w:eastAsia="zh-CN" w:bidi="ar-SA"/>
    </w:rPr>
  </w:style>
  <w:style w:type="character" w:customStyle="1" w:styleId="1Char">
    <w:name w:val="标题 1 Char"/>
    <w:link w:val="Heading1"/>
    <w:qFormat/>
    <w:rPr>
      <w:rFonts w:ascii="宋体" w:eastAsia="黑体" w:hAnsi="宋体" w:cs="Times New Roman"/>
      <w:b/>
      <w:bCs/>
      <w:kern w:val="44"/>
      <w:sz w:val="28"/>
      <w:szCs w:val="44"/>
      <w:lang w:val="en-US" w:eastAsia="zh-CN" w:bidi="ar-SA"/>
    </w:rPr>
  </w:style>
  <w:style w:type="character" w:customStyle="1" w:styleId="2Char">
    <w:name w:val="标题 2 Char"/>
    <w:link w:val="Heading2"/>
    <w:qFormat/>
    <w:rPr>
      <w:rFonts w:ascii="宋体" w:eastAsia="宋体" w:hAnsi="宋体" w:cs="Times New Roman"/>
      <w:b/>
      <w:bCs/>
      <w:sz w:val="24"/>
      <w:lang w:val="en-US" w:eastAsia="zh-CN" w:bidi="ar-SA"/>
    </w:rPr>
  </w:style>
  <w:style w:type="character" w:customStyle="1" w:styleId="4Char">
    <w:name w:val="标题 4 Char"/>
    <w:link w:val="Heading4"/>
    <w:qFormat/>
    <w:rPr>
      <w:rFonts w:ascii="Arial" w:eastAsia="黑体" w:hAnsi="Arial" w:cs="Times New Roman"/>
      <w:b/>
      <w:bCs/>
      <w:kern w:val="2"/>
      <w:sz w:val="28"/>
      <w:szCs w:val="28"/>
      <w:lang w:val="en-US" w:eastAsia="zh-CN" w:bidi="ar-SA"/>
    </w:rPr>
  </w:style>
  <w:style w:type="character" w:customStyle="1" w:styleId="3Char1">
    <w:name w:val="标题 3 Char1"/>
    <w:link w:val="Heading3"/>
    <w:qFormat/>
    <w:rPr>
      <w:rFonts w:ascii="宋体" w:eastAsia="宋体" w:hAnsi="宋体" w:cs="Times New Roman"/>
      <w:b/>
      <w:bCs/>
      <w:kern w:val="2"/>
      <w:sz w:val="28"/>
      <w:szCs w:val="32"/>
      <w:lang w:val="en-US" w:eastAsia="zh-CN" w:bidi="ar-SA"/>
    </w:rPr>
  </w:style>
  <w:style w:type="paragraph" w:styleId="NormalIndent">
    <w:name w:val="Normal Indent"/>
    <w:basedOn w:val="Normal"/>
    <w:link w:val="Char"/>
    <w:pPr>
      <w:ind w:firstLine="420"/>
    </w:pPr>
    <w:rPr>
      <w:szCs w:val="20"/>
    </w:rPr>
  </w:style>
  <w:style w:type="character" w:customStyle="1" w:styleId="Char">
    <w:name w:val="正文缩进 Char"/>
    <w:link w:val="NormalIndent"/>
    <w:qFormat/>
    <w:rPr>
      <w:rFonts w:ascii="Times New Roman" w:eastAsia="宋体" w:hAnsi="Times New Roman" w:cs="Times New Roman"/>
      <w:kern w:val="2"/>
      <w:sz w:val="21"/>
      <w:lang w:val="en-US" w:eastAsia="zh-CN" w:bidi="ar-SA"/>
    </w:rPr>
  </w:style>
  <w:style w:type="character" w:customStyle="1" w:styleId="5Char">
    <w:name w:val="标题 5 Char"/>
    <w:link w:val="Heading5"/>
    <w:qFormat/>
    <w:rPr>
      <w:rFonts w:ascii="Times New Roman" w:eastAsia="宋体" w:hAnsi="Times New Roman" w:cs="Times New Roman"/>
      <w:b/>
      <w:kern w:val="2"/>
      <w:sz w:val="28"/>
      <w:lang w:val="en-US" w:eastAsia="zh-CN" w:bidi="ar-SA"/>
    </w:rPr>
  </w:style>
  <w:style w:type="character" w:customStyle="1" w:styleId="6Char">
    <w:name w:val="标题 6 Char"/>
    <w:link w:val="Heading6"/>
    <w:qFormat/>
    <w:rPr>
      <w:rFonts w:ascii="Arial" w:eastAsia="黑体" w:hAnsi="Arial" w:cs="Times New Roman"/>
      <w:b/>
      <w:kern w:val="2"/>
      <w:sz w:val="24"/>
      <w:lang w:val="en-US" w:eastAsia="zh-CN" w:bidi="ar-SA"/>
    </w:rPr>
  </w:style>
  <w:style w:type="character" w:customStyle="1" w:styleId="7Char">
    <w:name w:val="标题 7 Char"/>
    <w:link w:val="Heading7"/>
    <w:qFormat/>
    <w:rPr>
      <w:rFonts w:ascii="Times New Roman" w:eastAsia="宋体" w:hAnsi="Times New Roman" w:cs="Times New Roman"/>
      <w:b/>
      <w:kern w:val="2"/>
      <w:sz w:val="24"/>
      <w:lang w:val="en-US" w:eastAsia="zh-CN" w:bidi="ar-SA"/>
    </w:rPr>
  </w:style>
  <w:style w:type="character" w:customStyle="1" w:styleId="8Char">
    <w:name w:val="标题 8 Char"/>
    <w:link w:val="Heading8"/>
    <w:qFormat/>
    <w:rPr>
      <w:rFonts w:ascii="Arial" w:eastAsia="黑体" w:hAnsi="Arial" w:cs="Times New Roman"/>
      <w:kern w:val="2"/>
      <w:sz w:val="24"/>
      <w:lang w:val="en-US" w:eastAsia="zh-CN" w:bidi="ar-SA"/>
    </w:rPr>
  </w:style>
  <w:style w:type="character" w:customStyle="1" w:styleId="9Char">
    <w:name w:val="标题 9 Char"/>
    <w:link w:val="Heading9"/>
    <w:qFormat/>
    <w:rPr>
      <w:rFonts w:ascii="Arial" w:eastAsia="黑体" w:hAnsi="Arial" w:cs="Times New Roman"/>
      <w:kern w:val="2"/>
      <w:sz w:val="21"/>
      <w:lang w:val="en-US" w:eastAsia="zh-CN" w:bidi="ar-SA"/>
    </w:rPr>
  </w:style>
  <w:style w:type="paragraph" w:styleId="TOC7">
    <w:name w:val="toc 7"/>
    <w:basedOn w:val="Normal"/>
    <w:next w:val="Normal"/>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link w:val="Char1"/>
    <w:qFormat/>
    <w:pPr>
      <w:shd w:val="clear" w:color="auto" w:fill="000080"/>
    </w:pPr>
  </w:style>
  <w:style w:type="character" w:customStyle="1" w:styleId="Char1">
    <w:name w:val="文档结构图 Char1"/>
    <w:link w:val="DocumentMap"/>
    <w:qFormat/>
    <w:rPr>
      <w:rFonts w:ascii="Times New Roman" w:eastAsia="宋体" w:hAnsi="Times New Roman" w:cs="Times New Roman"/>
      <w:kern w:val="2"/>
      <w:sz w:val="21"/>
      <w:szCs w:val="24"/>
      <w:shd w:val="clear" w:color="auto" w:fill="000080"/>
    </w:rPr>
  </w:style>
  <w:style w:type="paragraph" w:styleId="CommentText">
    <w:name w:val="annotation text"/>
    <w:basedOn w:val="Normal"/>
    <w:link w:val="Char0"/>
    <w:qFormat/>
    <w:pPr>
      <w:autoSpaceDE w:val="0"/>
      <w:autoSpaceDN w:val="0"/>
      <w:adjustRightInd w:val="0"/>
      <w:jc w:val="left"/>
      <w:textAlignment w:val="baseline"/>
    </w:pPr>
    <w:rPr>
      <w:rFonts w:ascii="宋体"/>
      <w:kern w:val="0"/>
      <w:sz w:val="34"/>
      <w:szCs w:val="20"/>
    </w:rPr>
  </w:style>
  <w:style w:type="character" w:customStyle="1" w:styleId="Char0">
    <w:name w:val="批注文字 Char"/>
    <w:link w:val="CommentText"/>
    <w:qFormat/>
    <w:rPr>
      <w:rFonts w:ascii="宋体" w:eastAsia="宋体" w:hAnsi="Times New Roman" w:cs="Times New Roman"/>
      <w:sz w:val="34"/>
    </w:rPr>
  </w:style>
  <w:style w:type="paragraph" w:styleId="BodyText3">
    <w:name w:val="Body Text 3"/>
    <w:basedOn w:val="Normal"/>
    <w:link w:val="3Char"/>
    <w:qFormat/>
    <w:pPr>
      <w:spacing w:after="120"/>
    </w:pPr>
    <w:rPr>
      <w:sz w:val="16"/>
      <w:szCs w:val="16"/>
    </w:rPr>
  </w:style>
  <w:style w:type="character" w:customStyle="1" w:styleId="3Char">
    <w:name w:val="正文文本 3 Char"/>
    <w:link w:val="BodyText3"/>
    <w:qFormat/>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Char2"/>
    <w:qFormat/>
    <w:pPr>
      <w:spacing w:line="360" w:lineRule="auto"/>
    </w:pPr>
    <w:rPr>
      <w:b/>
      <w:bCs/>
      <w:sz w:val="24"/>
    </w:rPr>
  </w:style>
  <w:style w:type="character" w:customStyle="1" w:styleId="Char2">
    <w:name w:val="正文文本 Char"/>
    <w:link w:val="BodyText"/>
    <w:qForma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Char3"/>
    <w:qFormat/>
    <w:pPr>
      <w:spacing w:before="240" w:after="60"/>
      <w:jc w:val="center"/>
      <w:outlineLvl w:val="0"/>
    </w:pPr>
    <w:rPr>
      <w:rFonts w:ascii="Arial" w:eastAsia="隶书" w:hAnsi="Arial" w:cs="Arial"/>
      <w:b/>
      <w:bCs/>
      <w:sz w:val="32"/>
      <w:szCs w:val="32"/>
    </w:rPr>
  </w:style>
  <w:style w:type="character" w:customStyle="1" w:styleId="Char3">
    <w:name w:val="标题 Char"/>
    <w:link w:val="Title"/>
    <w:qFormat/>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Char4"/>
    <w:qFormat/>
    <w:pPr>
      <w:spacing w:line="360" w:lineRule="auto"/>
      <w:ind w:firstLine="420" w:firstLineChars="200"/>
    </w:pPr>
  </w:style>
  <w:style w:type="character" w:customStyle="1" w:styleId="Char4">
    <w:name w:val="正文文本缩进 Char"/>
    <w:link w:val="BodyTextIndent"/>
    <w:qFormat/>
    <w:rPr>
      <w:rFonts w:ascii="Times New Roman" w:eastAsia="宋体" w:hAnsi="Times New Roman" w:cs="Times New Roman"/>
      <w:kern w:val="2"/>
      <w:sz w:val="21"/>
      <w:szCs w:val="24"/>
      <w:lang w:val="en-US" w:eastAsia="zh-CN" w:bidi="ar-SA"/>
    </w:rPr>
  </w:style>
  <w:style w:type="paragraph" w:styleId="EnvelopeReturn">
    <w:name w:val="envelope return"/>
    <w:basedOn w:val="Normal"/>
    <w:qFormat/>
    <w:pPr>
      <w:snapToGrid w:val="0"/>
    </w:pPr>
    <w:rPr>
      <w:rFonts w:ascii="Arial" w:hAnsi="Arial"/>
    </w:rPr>
  </w:style>
  <w:style w:type="paragraph" w:styleId="BlockText">
    <w:name w:val="Block Text"/>
    <w:basedOn w:val="Normal"/>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TOC5">
    <w:name w:val="toc 5"/>
    <w:basedOn w:val="Normal"/>
    <w:next w:val="Normal"/>
    <w:qFormat/>
    <w:pPr>
      <w:ind w:left="840"/>
      <w:jc w:val="left"/>
    </w:pPr>
    <w:rPr>
      <w:szCs w:val="21"/>
    </w:rPr>
  </w:style>
  <w:style w:type="paragraph" w:styleId="TOC3">
    <w:name w:val="toc 3"/>
    <w:basedOn w:val="Normal"/>
    <w:next w:val="Normal"/>
    <w:qFormat/>
    <w:pPr>
      <w:ind w:left="420"/>
      <w:jc w:val="left"/>
    </w:pPr>
    <w:rPr>
      <w:i/>
      <w:iCs/>
    </w:rPr>
  </w:style>
  <w:style w:type="paragraph" w:styleId="PlainText">
    <w:name w:val="Plain Text"/>
    <w:basedOn w:val="Normal"/>
    <w:link w:val="Char5"/>
    <w:rPr>
      <w:rFonts w:ascii="宋体" w:hAnsi="Courier New"/>
      <w:szCs w:val="20"/>
    </w:rPr>
  </w:style>
  <w:style w:type="character" w:customStyle="1" w:styleId="Char5">
    <w:name w:val="纯文本 Char"/>
    <w:link w:val="PlainText"/>
    <w:qFormat/>
    <w:rPr>
      <w:rFonts w:ascii="宋体" w:eastAsia="宋体" w:hAnsi="Courier New" w:cs="Times New Roman"/>
      <w:kern w:val="2"/>
      <w:sz w:val="21"/>
      <w:lang w:val="en-US" w:eastAsia="zh-CN" w:bidi="ar-SA"/>
    </w:rPr>
  </w:style>
  <w:style w:type="paragraph" w:styleId="TOC8">
    <w:name w:val="toc 8"/>
    <w:basedOn w:val="Normal"/>
    <w:next w:val="Normal"/>
    <w:qFormat/>
    <w:pPr>
      <w:ind w:left="1470"/>
      <w:jc w:val="left"/>
    </w:pPr>
    <w:rPr>
      <w:szCs w:val="21"/>
    </w:rPr>
  </w:style>
  <w:style w:type="paragraph" w:styleId="Date">
    <w:name w:val="Date"/>
    <w:basedOn w:val="Normal"/>
    <w:next w:val="Normal"/>
    <w:link w:val="Char6"/>
    <w:qFormat/>
    <w:rPr>
      <w:rFonts w:ascii="宋体" w:hAnsi="Courier New"/>
      <w:sz w:val="32"/>
      <w:szCs w:val="20"/>
    </w:rPr>
  </w:style>
  <w:style w:type="character" w:customStyle="1" w:styleId="Char6">
    <w:name w:val="日期 Char"/>
    <w:link w:val="Date"/>
    <w:qFormat/>
    <w:rPr>
      <w:rFonts w:ascii="宋体" w:eastAsia="宋体" w:hAnsi="Courier New" w:cs="Times New Roman"/>
      <w:kern w:val="2"/>
      <w:sz w:val="32"/>
      <w:lang w:val="en-US" w:eastAsia="zh-CN" w:bidi="ar-SA"/>
    </w:rPr>
  </w:style>
  <w:style w:type="paragraph" w:styleId="BodyTextIndent2">
    <w:name w:val="Body Text Indent 2"/>
    <w:basedOn w:val="Normal"/>
    <w:next w:val="Normal"/>
    <w:link w:val="2Char0"/>
    <w:qFormat/>
    <w:pPr>
      <w:spacing w:beforeLines="50" w:afterLines="50" w:line="120" w:lineRule="auto"/>
      <w:ind w:firstLine="840" w:firstLineChars="400"/>
      <w:jc w:val="left"/>
    </w:pPr>
    <w:rPr>
      <w:rFonts w:ascii="宋体" w:hAnsi="宋体"/>
    </w:rPr>
  </w:style>
  <w:style w:type="character" w:customStyle="1" w:styleId="2Char0">
    <w:name w:val="正文文本缩进 2 Char"/>
    <w:link w:val="BodyTextIndent2"/>
    <w:qFormat/>
    <w:rPr>
      <w:rFonts w:ascii="宋体" w:eastAsia="宋体" w:hAnsi="宋体" w:cs="Times New Roman"/>
      <w:kern w:val="2"/>
      <w:sz w:val="21"/>
      <w:szCs w:val="24"/>
      <w:lang w:val="en-US" w:eastAsia="zh-CN" w:bidi="ar-SA"/>
    </w:rPr>
  </w:style>
  <w:style w:type="paragraph" w:styleId="BalloonText">
    <w:name w:val="Balloon Text"/>
    <w:basedOn w:val="Normal"/>
    <w:link w:val="Char7"/>
    <w:qFormat/>
    <w:rPr>
      <w:sz w:val="18"/>
      <w:szCs w:val="18"/>
    </w:rPr>
  </w:style>
  <w:style w:type="character" w:customStyle="1" w:styleId="Char7">
    <w:name w:val="批注框文本 Char"/>
    <w:link w:val="BalloonText"/>
    <w:qFormat/>
    <w:rPr>
      <w:rFonts w:ascii="Times New Roman" w:eastAsia="宋体" w:hAnsi="Times New Roman" w:cs="Times New Roman"/>
      <w:kern w:val="2"/>
      <w:sz w:val="18"/>
      <w:szCs w:val="18"/>
      <w:lang w:val="en-US" w:eastAsia="zh-CN" w:bidi="ar-SA"/>
    </w:rPr>
  </w:style>
  <w:style w:type="paragraph" w:styleId="Footer">
    <w:name w:val="footer"/>
    <w:basedOn w:val="Normal"/>
    <w:link w:val="Char8"/>
    <w:qFormat/>
    <w:pPr>
      <w:tabs>
        <w:tab w:val="center" w:pos="4153"/>
        <w:tab w:val="right" w:pos="8306"/>
      </w:tabs>
      <w:snapToGrid w:val="0"/>
      <w:jc w:val="left"/>
    </w:pPr>
    <w:rPr>
      <w:sz w:val="18"/>
      <w:szCs w:val="18"/>
    </w:rPr>
  </w:style>
  <w:style w:type="character" w:customStyle="1" w:styleId="Char8">
    <w:name w:val="页脚 Char"/>
    <w:link w:val="Footer"/>
    <w:qFormat/>
    <w:rPr>
      <w:rFonts w:ascii="Times New Roman" w:eastAsia="宋体" w:hAnsi="Times New Roman" w:cs="Times New Roman"/>
      <w:kern w:val="2"/>
      <w:sz w:val="18"/>
      <w:szCs w:val="18"/>
      <w:lang w:val="en-US" w:eastAsia="zh-CN" w:bidi="ar-SA"/>
    </w:rPr>
  </w:style>
  <w:style w:type="paragraph" w:styleId="Header">
    <w:name w:val="header"/>
    <w:basedOn w:val="Normal"/>
    <w:link w:val="Char9"/>
    <w:qFormat/>
    <w:pPr>
      <w:pBdr>
        <w:bottom w:val="single" w:sz="6" w:space="1" w:color="auto"/>
      </w:pBdr>
      <w:tabs>
        <w:tab w:val="center" w:pos="4153"/>
        <w:tab w:val="right" w:pos="8306"/>
      </w:tabs>
      <w:snapToGrid w:val="0"/>
      <w:jc w:val="center"/>
    </w:pPr>
    <w:rPr>
      <w:sz w:val="18"/>
      <w:szCs w:val="18"/>
    </w:rPr>
  </w:style>
  <w:style w:type="character" w:customStyle="1" w:styleId="Char9">
    <w:name w:val="页眉 Char"/>
    <w:link w:val="Header"/>
    <w:qFormat/>
    <w:rPr>
      <w:rFonts w:ascii="Times New Roman" w:eastAsia="宋体" w:hAnsi="Times New Roman" w:cs="Times New Roman"/>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qFormat/>
    <w:pPr>
      <w:ind w:left="630"/>
      <w:jc w:val="left"/>
    </w:pPr>
    <w:rPr>
      <w:szCs w:val="21"/>
    </w:rPr>
  </w:style>
  <w:style w:type="paragraph" w:styleId="Subtitle">
    <w:name w:val="Subtitle"/>
    <w:basedOn w:val="Normal"/>
    <w:next w:val="Normal"/>
    <w:link w:val="Char10"/>
    <w:qFormat/>
    <w:pPr>
      <w:spacing w:before="240" w:after="60" w:line="312" w:lineRule="auto"/>
      <w:jc w:val="center"/>
      <w:outlineLvl w:val="1"/>
    </w:pPr>
    <w:rPr>
      <w:rFonts w:ascii="Cambria" w:hAnsi="Cambria"/>
      <w:b/>
      <w:bCs/>
      <w:kern w:val="28"/>
      <w:sz w:val="32"/>
      <w:szCs w:val="32"/>
    </w:rPr>
  </w:style>
  <w:style w:type="character" w:customStyle="1" w:styleId="Char10">
    <w:name w:val="副标题 Char"/>
    <w:link w:val="Subtitle"/>
    <w:qFormat/>
    <w:rPr>
      <w:rFonts w:ascii="Cambria" w:eastAsia="宋体" w:hAnsi="Cambria" w:cs="Times New Roman"/>
      <w:b/>
      <w:bCs/>
      <w:kern w:val="28"/>
      <w:sz w:val="32"/>
      <w:szCs w:val="32"/>
    </w:rPr>
  </w:style>
  <w:style w:type="paragraph" w:styleId="TOC6">
    <w:name w:val="toc 6"/>
    <w:basedOn w:val="Normal"/>
    <w:next w:val="Normal"/>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character" w:customStyle="1" w:styleId="3Char0">
    <w:name w:val="正文文本缩进 3 Char"/>
    <w:link w:val="BodyTextIndent3"/>
    <w:qFormat/>
    <w:rPr>
      <w:rFonts w:ascii="宋体" w:eastAsia="宋体" w:hAnsi="Times New Roman" w:cs="Times New Roman"/>
      <w:b/>
      <w:bCs/>
      <w:kern w:val="2"/>
      <w:sz w:val="24"/>
      <w:szCs w:val="24"/>
      <w:lang w:val="en-US" w:eastAsia="zh-CN" w:bidi="ar-SA"/>
    </w:rPr>
  </w:style>
  <w:style w:type="paragraph" w:styleId="TOC2">
    <w:name w:val="toc 2"/>
    <w:basedOn w:val="Normal"/>
    <w:next w:val="Normal"/>
    <w:qFormat/>
    <w:pPr>
      <w:tabs>
        <w:tab w:val="right" w:leader="dot" w:pos="8296"/>
      </w:tabs>
      <w:ind w:left="210"/>
      <w:jc w:val="left"/>
    </w:pPr>
    <w:rPr>
      <w:smallCaps/>
    </w:rPr>
  </w:style>
  <w:style w:type="paragraph" w:styleId="TOC9">
    <w:name w:val="toc 9"/>
    <w:basedOn w:val="Normal"/>
    <w:next w:val="Normal"/>
    <w:qFormat/>
    <w:pPr>
      <w:ind w:left="1680"/>
      <w:jc w:val="left"/>
    </w:pPr>
    <w:rPr>
      <w:szCs w:val="21"/>
    </w:rPr>
  </w:style>
  <w:style w:type="paragraph" w:styleId="BodyText2">
    <w:name w:val="Body Text 2"/>
    <w:basedOn w:val="Normal"/>
    <w:link w:val="2Char1"/>
    <w:qFormat/>
    <w:pPr>
      <w:spacing w:line="360" w:lineRule="auto"/>
    </w:pPr>
    <w:rPr>
      <w:sz w:val="24"/>
    </w:rPr>
  </w:style>
  <w:style w:type="character" w:customStyle="1" w:styleId="2Char1">
    <w:name w:val="正文文本 2 Char"/>
    <w:link w:val="BodyText2"/>
    <w:qFormat/>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link w:val="HTMLPreformatted"/>
    <w:qFormat/>
    <w:rPr>
      <w:rFonts w:ascii="Arial Unicode MS" w:eastAsia="Arial Unicode MS" w:hAnsi="Arial Unicode MS" w:cs="Times New Roman"/>
      <w:color w:val="000000"/>
      <w:lang w:val="en-US" w:eastAsia="zh-CN" w:bidi="ar-SA"/>
    </w:rPr>
  </w:style>
  <w:style w:type="paragraph" w:styleId="NormalWeb">
    <w:name w:val="Normal (Web)"/>
    <w:basedOn w:val="Normal"/>
    <w:uiPriority w:val="99"/>
    <w:qFormat/>
    <w:rPr>
      <w:sz w:val="24"/>
    </w:rPr>
  </w:style>
  <w:style w:type="paragraph" w:styleId="Index1">
    <w:name w:val="index 1"/>
    <w:basedOn w:val="Normal"/>
    <w:next w:val="Normal"/>
    <w:qFormat/>
    <w:pPr>
      <w:tabs>
        <w:tab w:val="left" w:pos="3360"/>
      </w:tabs>
      <w:spacing w:line="520" w:lineRule="exact"/>
      <w:ind w:left="419" w:hanging="314" w:leftChars="50" w:hangingChars="131"/>
      <w:jc w:val="center"/>
      <w:outlineLvl w:val="3"/>
    </w:pPr>
    <w:rPr>
      <w:rFonts w:ascii="宋体" w:hAnsi="宋体"/>
      <w:sz w:val="24"/>
    </w:rPr>
  </w:style>
  <w:style w:type="paragraph" w:styleId="CommentSubject">
    <w:name w:val="annotation subject"/>
    <w:basedOn w:val="CommentText"/>
    <w:next w:val="CommentText"/>
    <w:link w:val="Char11"/>
    <w:qFormat/>
    <w:pPr>
      <w:autoSpaceDE/>
      <w:autoSpaceDN/>
      <w:adjustRightInd/>
      <w:textAlignment w:val="auto"/>
    </w:pPr>
  </w:style>
  <w:style w:type="character" w:customStyle="1" w:styleId="Char11">
    <w:name w:val="批注主题 Char"/>
    <w:link w:val="CommentSubject"/>
    <w:qFormat/>
    <w:rPr>
      <w:rFonts w:ascii="宋体" w:eastAsia="宋体" w:hAnsi="Times New Roman" w:cs="Times New Roman"/>
      <w:sz w:val="34"/>
    </w:rPr>
  </w:style>
  <w:style w:type="paragraph" w:styleId="BodyTextFirstIndent">
    <w:name w:val="Body Text First Indent"/>
    <w:basedOn w:val="BodyText"/>
    <w:link w:val="Char12"/>
    <w:qFormat/>
    <w:pPr>
      <w:spacing w:after="120" w:line="240" w:lineRule="auto"/>
      <w:ind w:firstLine="420" w:firstLineChars="100"/>
    </w:pPr>
    <w:rPr>
      <w:sz w:val="21"/>
    </w:rPr>
  </w:style>
  <w:style w:type="character" w:customStyle="1" w:styleId="Char12">
    <w:name w:val="正文首行缩进 Char"/>
    <w:link w:val="BodyTextFirstIndent"/>
    <w:qForma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Char2"/>
    <w:qFormat/>
    <w:pPr>
      <w:spacing w:after="120" w:line="240" w:lineRule="auto"/>
      <w:ind w:left="420" w:leftChars="200"/>
    </w:pPr>
  </w:style>
  <w:style w:type="character" w:customStyle="1" w:styleId="2Char2">
    <w:name w:val="正文首行缩进 2 Char"/>
    <w:link w:val="BodyTextFirstIndent2"/>
    <w:qFormat/>
    <w:rPr>
      <w:rFonts w:ascii="Times New Roman" w:eastAsia="宋体" w:hAnsi="Times New Roman" w:cs="Times New Roman"/>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qFormat/>
    <w:rPr>
      <w:rFonts w:ascii="Times New Roman" w:eastAsia="宋体" w:hAnsi="Times New Roman" w:cs="Times New Roman"/>
      <w:b/>
      <w:bCs/>
    </w:rPr>
  </w:style>
  <w:style w:type="character" w:styleId="PageNumber">
    <w:name w:val="page number"/>
    <w:qFormat/>
    <w:rPr>
      <w:rFonts w:ascii="Times New Roman" w:eastAsia="宋体" w:hAnsi="Times New Roman" w:cs="Times New Roman"/>
    </w:rPr>
  </w:style>
  <w:style w:type="character" w:styleId="FollowedHyperlink">
    <w:name w:val="FollowedHyperlink"/>
    <w:qFormat/>
    <w:rPr>
      <w:rFonts w:ascii="Times New Roman" w:eastAsia="宋体" w:hAnsi="Times New Roman" w:cs="Times New Roman"/>
      <w:color w:val="800080"/>
      <w:u w:val="none"/>
    </w:rPr>
  </w:style>
  <w:style w:type="character" w:styleId="Emphasis">
    <w:name w:val="Emphasis"/>
    <w:qFormat/>
    <w:rPr>
      <w:rFonts w:ascii="Times New Roman" w:eastAsia="宋体" w:hAnsi="Times New Roman" w:cs="Times New Roman"/>
    </w:rPr>
  </w:style>
  <w:style w:type="character" w:styleId="HTMLDefinition">
    <w:name w:val="HTML Definition"/>
    <w:qFormat/>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style>
  <w:style w:type="character" w:styleId="HTMLVariable">
    <w:name w:val="HTML Variable"/>
    <w:qFormat/>
    <w:rPr>
      <w:rFonts w:ascii="Times New Roman" w:eastAsia="宋体" w:hAnsi="Times New Roman" w:cs="Times New Roman"/>
      <w:i/>
    </w:rPr>
  </w:style>
  <w:style w:type="character" w:styleId="Hyperlink">
    <w:name w:val="Hyperlink"/>
    <w:qFormat/>
    <w:rPr>
      <w:rFonts w:ascii="Times New Roman" w:eastAsia="宋体" w:hAnsi="Times New Roman" w:cs="Times New Roman"/>
      <w:color w:val="0000FF"/>
      <w:u w:val="none"/>
    </w:rPr>
  </w:style>
  <w:style w:type="character" w:styleId="HTMLCode">
    <w:name w:val="HTML Code"/>
    <w:qFormat/>
    <w:rPr>
      <w:rFonts w:ascii="monospace" w:eastAsia="monospace" w:hAnsi="monospace" w:cs="monospace" w:hint="default"/>
      <w:sz w:val="21"/>
      <w:szCs w:val="21"/>
    </w:rPr>
  </w:style>
  <w:style w:type="character" w:styleId="CommentReference">
    <w:name w:val="annotation reference"/>
    <w:basedOn w:val="DefaultParagraphFont"/>
    <w:uiPriority w:val="99"/>
    <w:qFormat/>
    <w:rPr>
      <w:rFonts w:ascii="Times New Roman" w:eastAsia="宋体" w:hAnsi="Times New Roman" w:cs="Times New Roman"/>
      <w:sz w:val="21"/>
      <w:szCs w:val="21"/>
    </w:rPr>
  </w:style>
  <w:style w:type="character" w:styleId="HTMLCite">
    <w:name w:val="HTML Cite"/>
    <w:rPr>
      <w:i w:val="0"/>
      <w:iCs w:val="0"/>
    </w:rPr>
  </w:style>
  <w:style w:type="character" w:styleId="HTMLKeyboard">
    <w:name w:val="HTML Keyboard"/>
    <w:qFormat/>
    <w:rPr>
      <w:rFonts w:ascii="monospace" w:eastAsia="monospace" w:hAnsi="monospace" w:cs="monospace" w:hint="default"/>
      <w:sz w:val="21"/>
      <w:szCs w:val="21"/>
    </w:rPr>
  </w:style>
  <w:style w:type="character" w:styleId="HTMLSample">
    <w:name w:val="HTML Sample"/>
    <w:qFormat/>
    <w:rPr>
      <w:rFonts w:ascii="monospace" w:eastAsia="monospace" w:hAnsi="monospace" w:cs="monospace"/>
      <w:sz w:val="21"/>
      <w:szCs w:val="21"/>
    </w:rPr>
  </w:style>
  <w:style w:type="character" w:customStyle="1" w:styleId="Char20">
    <w:name w:val="纯文本 Char2"/>
    <w:qFormat/>
    <w:rPr>
      <w:rFonts w:ascii="宋体" w:eastAsia="宋体" w:hAnsi="Courier New" w:cs="Times New Roman"/>
      <w:kern w:val="2"/>
      <w:sz w:val="21"/>
      <w:lang w:val="en-US" w:eastAsia="zh-CN" w:bidi="ar-SA"/>
    </w:rPr>
  </w:style>
  <w:style w:type="character" w:customStyle="1" w:styleId="Char13">
    <w:name w:val="副标题 Char1"/>
    <w:qFormat/>
    <w:rPr>
      <w:rFonts w:ascii="Cambria" w:eastAsia="宋体" w:hAnsi="Cambria" w:cs="Times New Roman"/>
      <w:b/>
      <w:bCs/>
      <w:kern w:val="28"/>
      <w:sz w:val="32"/>
      <w:szCs w:val="32"/>
    </w:rPr>
  </w:style>
  <w:style w:type="character" w:customStyle="1" w:styleId="bdsnopic">
    <w:name w:val="bds_nopic"/>
    <w:qFormat/>
    <w:rPr>
      <w:rFonts w:ascii="Times New Roman" w:eastAsia="宋体" w:hAnsi="Times New Roman" w:cs="Times New Roman"/>
    </w:rPr>
  </w:style>
  <w:style w:type="character" w:customStyle="1" w:styleId="hover19">
    <w:name w:val="hover19"/>
    <w:qFormat/>
    <w:rPr>
      <w:rFonts w:ascii="Times New Roman" w:eastAsia="宋体" w:hAnsi="Times New Roman" w:cs="Times New Roman"/>
    </w:rPr>
  </w:style>
  <w:style w:type="character" w:customStyle="1" w:styleId="HTML">
    <w:name w:val="HTML 预设格式 字符"/>
    <w:qFormat/>
    <w:rPr>
      <w:rFonts w:ascii="Arial Unicode MS" w:eastAsia="Arial Unicode MS" w:hAnsi="Arial Unicode MS" w:cs="Times New Roman"/>
      <w:color w:val="000000"/>
      <w:kern w:val="0"/>
      <w:sz w:val="20"/>
      <w:szCs w:val="20"/>
    </w:rPr>
  </w:style>
  <w:style w:type="character" w:customStyle="1" w:styleId="Char14">
    <w:name w:val="纯文本 Char1"/>
    <w:qFormat/>
    <w:rPr>
      <w:rFonts w:ascii="宋体" w:eastAsia="宋体" w:hAnsi="Courier New" w:cs="Times New Roman"/>
      <w:kern w:val="0"/>
      <w:sz w:val="20"/>
      <w:szCs w:val="20"/>
    </w:rPr>
  </w:style>
  <w:style w:type="character" w:customStyle="1" w:styleId="9Char1">
    <w:name w:val="标题 9 Char1"/>
    <w:qFormat/>
    <w:rPr>
      <w:rFonts w:ascii="Arial" w:eastAsia="黑体" w:hAnsi="Arial" w:cs="Times New Roman"/>
      <w:kern w:val="0"/>
      <w:sz w:val="20"/>
      <w:szCs w:val="20"/>
    </w:rPr>
  </w:style>
  <w:style w:type="character" w:customStyle="1" w:styleId="3Char10">
    <w:name w:val="正文文本缩进 3 Char1"/>
    <w:qFormat/>
    <w:rPr>
      <w:rFonts w:ascii="宋体" w:eastAsia="宋体" w:hAnsi="Times New Roman" w:cs="Times New Roman"/>
      <w:b/>
      <w:bCs/>
      <w:kern w:val="0"/>
      <w:sz w:val="24"/>
      <w:szCs w:val="24"/>
    </w:rPr>
  </w:style>
  <w:style w:type="character" w:customStyle="1" w:styleId="bdsnopic2">
    <w:name w:val="bds_nopic2"/>
    <w:qFormat/>
    <w:rPr>
      <w:rFonts w:ascii="Times New Roman" w:eastAsia="宋体" w:hAnsi="Times New Roman" w:cs="Times New Roman"/>
    </w:rPr>
  </w:style>
  <w:style w:type="character" w:customStyle="1" w:styleId="span11">
    <w:name w:val="span11"/>
    <w:qFormat/>
    <w:rPr>
      <w:rFonts w:ascii="Times New Roman" w:eastAsia="宋体" w:hAnsi="Times New Roman" w:cs="Times New Roman"/>
    </w:rPr>
  </w:style>
  <w:style w:type="character" w:customStyle="1" w:styleId="Char15">
    <w:name w:val="文档结构图 Char"/>
    <w:qFormat/>
    <w:rPr>
      <w:rFonts w:ascii="宋体" w:eastAsia="宋体" w:hAnsi="Times New Roman" w:cs="Times New Roman"/>
      <w:sz w:val="18"/>
      <w:szCs w:val="18"/>
    </w:rPr>
  </w:style>
  <w:style w:type="character" w:customStyle="1" w:styleId="8Char1">
    <w:name w:val="标题 8 Char1"/>
    <w:qFormat/>
    <w:rPr>
      <w:rFonts w:ascii="Arial" w:eastAsia="黑体" w:hAnsi="Arial" w:cs="Times New Roman"/>
      <w:kern w:val="0"/>
      <w:sz w:val="24"/>
      <w:szCs w:val="20"/>
    </w:rPr>
  </w:style>
  <w:style w:type="character" w:customStyle="1" w:styleId="3CharChar">
    <w:name w:val="标题 3 Char Char"/>
    <w:qFormat/>
    <w:rPr>
      <w:rFonts w:ascii="Times New Roman" w:eastAsia="宋体" w:hAnsi="Times New Roman" w:cs="Times New Roman"/>
      <w:b/>
      <w:bCs/>
      <w:kern w:val="2"/>
      <w:sz w:val="32"/>
      <w:szCs w:val="32"/>
      <w:lang w:val="en-US" w:eastAsia="zh-CN" w:bidi="ar-SA"/>
    </w:rPr>
  </w:style>
  <w:style w:type="character" w:customStyle="1" w:styleId="bdsmore1">
    <w:name w:val="bds_more1"/>
    <w:qFormat/>
    <w:rPr>
      <w:rFonts w:ascii="Times New Roman" w:eastAsia="宋体" w:hAnsi="Times New Roman" w:cs="Times New Roman"/>
    </w:rPr>
  </w:style>
  <w:style w:type="character" w:customStyle="1" w:styleId="16">
    <w:name w:val="16"/>
    <w:qFormat/>
    <w:rPr>
      <w:rFonts w:ascii="ˎ̥" w:eastAsia="宋体" w:hAnsi="ˎ̥" w:cs="Times New Roman" w:hint="default"/>
      <w:b/>
      <w:bCs/>
      <w:color w:val="FF0356"/>
      <w:sz w:val="21"/>
      <w:szCs w:val="21"/>
    </w:rPr>
  </w:style>
  <w:style w:type="character" w:customStyle="1" w:styleId="font41">
    <w:name w:val="font41"/>
    <w:qFormat/>
    <w:rPr>
      <w:rFonts w:ascii="Times New Roman" w:eastAsia="宋体" w:hAnsi="Times New Roman" w:cs="Times New Roman"/>
      <w:color w:val="000000"/>
      <w:spacing w:val="260"/>
      <w:sz w:val="18"/>
      <w:szCs w:val="18"/>
      <w:u w:val="none"/>
    </w:rPr>
  </w:style>
  <w:style w:type="character" w:customStyle="1" w:styleId="2Char10">
    <w:name w:val="正文文本缩进 2 Char1"/>
    <w:qFormat/>
    <w:rPr>
      <w:rFonts w:ascii="宋体" w:eastAsia="宋体" w:hAnsi="宋体" w:cs="Times New Roman"/>
      <w:kern w:val="0"/>
      <w:sz w:val="20"/>
      <w:szCs w:val="24"/>
    </w:rPr>
  </w:style>
  <w:style w:type="character" w:customStyle="1" w:styleId="1Char0">
    <w:name w:val="章标题1 Char"/>
    <w:qFormat/>
    <w:rPr>
      <w:rFonts w:ascii="Times New Roman" w:eastAsia="宋体" w:hAnsi="Times New Roman" w:cs="Times New Roman"/>
      <w:b/>
      <w:bCs/>
      <w:kern w:val="2"/>
      <w:sz w:val="32"/>
      <w:szCs w:val="32"/>
      <w:lang w:val="en-US" w:eastAsia="zh-CN" w:bidi="ar-SA"/>
    </w:rPr>
  </w:style>
  <w:style w:type="character" w:customStyle="1" w:styleId="proddescription">
    <w:name w:val="proddescription"/>
    <w:qFormat/>
    <w:rPr>
      <w:rFonts w:ascii="Times New Roman" w:eastAsia="宋体" w:hAnsi="Times New Roman" w:cs="Times New Roman"/>
    </w:rPr>
  </w:style>
  <w:style w:type="character" w:customStyle="1" w:styleId="hover">
    <w:name w:val="hover"/>
    <w:qFormat/>
    <w:rPr>
      <w:rFonts w:ascii="Times New Roman" w:eastAsia="宋体" w:hAnsi="Times New Roman" w:cs="Times New Roman"/>
    </w:rPr>
  </w:style>
  <w:style w:type="character" w:customStyle="1" w:styleId="HTMLChar1">
    <w:name w:val="HTML 预设格式 Char1"/>
    <w:qFormat/>
    <w:rPr>
      <w:rFonts w:ascii="Arial Unicode MS" w:eastAsia="Arial Unicode MS" w:hAnsi="Arial Unicode MS" w:cs="Times New Roman"/>
      <w:color w:val="000000"/>
      <w:kern w:val="0"/>
      <w:sz w:val="20"/>
      <w:szCs w:val="20"/>
    </w:rPr>
  </w:style>
  <w:style w:type="character" w:customStyle="1" w:styleId="hilite6">
    <w:name w:val="hilite6"/>
    <w:qFormat/>
    <w:rPr>
      <w:rFonts w:ascii="Times New Roman" w:eastAsia="宋体" w:hAnsi="Times New Roman" w:cs="Times New Roman"/>
      <w:color w:val="000000"/>
    </w:rPr>
  </w:style>
  <w:style w:type="character" w:customStyle="1" w:styleId="info4">
    <w:name w:val="info4"/>
    <w:qFormat/>
    <w:rPr>
      <w:rFonts w:ascii="Times New Roman" w:eastAsia="宋体" w:hAnsi="Times New Roman" w:cs="Times New Roman"/>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qFormat/>
    <w:rPr>
      <w:rFonts w:ascii="Arial" w:eastAsia="宋体" w:hAnsi="Arial" w:cs="Times New Roman"/>
      <w:sz w:val="21"/>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qFormat/>
    <w:pPr>
      <w:widowControl/>
      <w:spacing w:after="160" w:line="320" w:lineRule="exact"/>
      <w:jc w:val="left"/>
    </w:pPr>
    <w:rPr>
      <w:rFonts w:ascii="Arial" w:hAnsi="Arial"/>
      <w:kern w:val="0"/>
      <w:szCs w:val="36"/>
      <w:lang w:val="de-DE"/>
    </w:rPr>
  </w:style>
  <w:style w:type="character" w:customStyle="1" w:styleId="hover14">
    <w:name w:val="hover14"/>
    <w:qFormat/>
    <w:rPr>
      <w:rFonts w:ascii="Times New Roman" w:eastAsia="宋体" w:hAnsi="Times New Roman" w:cs="Times New Roman"/>
    </w:rPr>
  </w:style>
  <w:style w:type="character" w:customStyle="1" w:styleId="slick-dot-inner1">
    <w:name w:val="slick-dot-inner1"/>
    <w:qFormat/>
    <w:rPr>
      <w:rFonts w:ascii="Times New Roman" w:eastAsia="宋体" w:hAnsi="Times New Roman" w:cs="Times New Roman"/>
      <w:shd w:val="clear" w:color="auto" w:fill="676D73"/>
    </w:rPr>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Normal"/>
    <w:link w:val="GTA-2CharChar"/>
    <w:qFormat/>
    <w:pPr>
      <w:snapToGrid w:val="0"/>
      <w:spacing w:beforeLines="50" w:after="156" w:line="480" w:lineRule="atLeast"/>
      <w:ind w:firstLine="480" w:firstLineChars="200"/>
    </w:pPr>
    <w:rPr>
      <w:rFonts w:ascii="微软雅黑" w:eastAsia="微软雅黑" w:hAnsi="微软雅黑"/>
      <w:kern w:val="0"/>
      <w:sz w:val="24"/>
    </w:rPr>
  </w:style>
  <w:style w:type="character" w:customStyle="1" w:styleId="a0">
    <w:name w:val="批注框文本 字符"/>
    <w:qFormat/>
    <w:rPr>
      <w:rFonts w:ascii="Times New Roman" w:eastAsia="宋体" w:hAnsi="Times New Roman" w:cs="Times New Roman"/>
      <w:sz w:val="18"/>
      <w:szCs w:val="18"/>
    </w:rPr>
  </w:style>
  <w:style w:type="character" w:customStyle="1" w:styleId="3">
    <w:name w:val="正文文本 3 字符"/>
    <w:qFormat/>
    <w:rPr>
      <w:rFonts w:ascii="Times New Roman" w:eastAsia="宋体" w:hAnsi="Times New Roman" w:cs="Times New Roman"/>
      <w:sz w:val="16"/>
      <w:szCs w:val="16"/>
    </w:rPr>
  </w:style>
  <w:style w:type="character" w:customStyle="1" w:styleId="text">
    <w:name w:val="text"/>
    <w:qFormat/>
    <w:rPr>
      <w:rFonts w:ascii="Times New Roman" w:eastAsia="宋体" w:hAnsi="Times New Roman" w:cs="Times New Roman"/>
    </w:rPr>
  </w:style>
  <w:style w:type="character" w:customStyle="1" w:styleId="8">
    <w:name w:val="标题 8 字符"/>
    <w:qFormat/>
    <w:rPr>
      <w:rFonts w:ascii="Arial" w:eastAsia="黑体" w:hAnsi="Arial" w:cs="Times New Roman"/>
      <w:sz w:val="24"/>
      <w:szCs w:val="20"/>
    </w:rPr>
  </w:style>
  <w:style w:type="character" w:customStyle="1" w:styleId="a1">
    <w:name w:val="标题 字符"/>
    <w:qFormat/>
    <w:rPr>
      <w:rFonts w:ascii="Arial" w:eastAsia="隶书" w:hAnsi="Arial" w:cs="Arial"/>
      <w:b/>
      <w:bCs/>
      <w:sz w:val="32"/>
      <w:szCs w:val="32"/>
    </w:rPr>
  </w:style>
  <w:style w:type="character" w:customStyle="1" w:styleId="30">
    <w:name w:val="标题 3 字符"/>
    <w:qFormat/>
    <w:rPr>
      <w:rFonts w:ascii="宋体" w:eastAsia="宋体" w:hAnsi="宋体" w:cs="Times New Roman"/>
      <w:b/>
      <w:bCs/>
      <w:sz w:val="28"/>
      <w:szCs w:val="32"/>
    </w:rPr>
  </w:style>
  <w:style w:type="character" w:customStyle="1" w:styleId="2">
    <w:name w:val="标题 2 字符"/>
    <w:qFormat/>
    <w:rPr>
      <w:rFonts w:ascii="宋体" w:eastAsia="宋体" w:hAnsi="宋体" w:cs="Times New Roman"/>
      <w:b/>
      <w:kern w:val="0"/>
      <w:sz w:val="24"/>
      <w:szCs w:val="20"/>
    </w:rPr>
  </w:style>
  <w:style w:type="character" w:customStyle="1" w:styleId="085Char">
    <w:name w:val="首行缩进:  0.85 厘米 Char"/>
    <w:link w:val="085"/>
    <w:qFormat/>
    <w:rPr>
      <w:rFonts w:ascii="Times New Roman" w:eastAsia="宋体" w:hAnsi="Times New Roman" w:cs="宋体"/>
      <w:sz w:val="24"/>
      <w:lang w:eastAsia="en-US" w:bidi="en-US"/>
    </w:rPr>
  </w:style>
  <w:style w:type="paragraph" w:customStyle="1" w:styleId="085">
    <w:name w:val="首行缩进:  0.85 厘米"/>
    <w:basedOn w:val="Normal"/>
    <w:link w:val="085Char"/>
    <w:qFormat/>
    <w:pPr>
      <w:widowControl/>
      <w:spacing w:line="360" w:lineRule="auto"/>
      <w:ind w:firstLine="480"/>
      <w:jc w:val="left"/>
    </w:pPr>
    <w:rPr>
      <w:rFonts w:cs="宋体"/>
      <w:kern w:val="0"/>
      <w:sz w:val="24"/>
      <w:szCs w:val="20"/>
      <w:lang w:eastAsia="en-US" w:bidi="en-US"/>
    </w:rPr>
  </w:style>
  <w:style w:type="character" w:customStyle="1" w:styleId="--CharChar">
    <w:name w:val="--规划正文 Char Char"/>
    <w:qFormat/>
    <w:rPr>
      <w:rFonts w:ascii="Times New Roman" w:eastAsia="宋体" w:hAnsi="Times New Roman" w:cs="Times New Roman"/>
      <w:kern w:val="2"/>
      <w:sz w:val="24"/>
      <w:szCs w:val="24"/>
      <w:lang w:val="en-US" w:eastAsia="zh-CN" w:bidi="ar-SA"/>
    </w:rPr>
  </w:style>
  <w:style w:type="character" w:customStyle="1" w:styleId="mini-outputtext1">
    <w:name w:val="mini-outputtext1"/>
  </w:style>
  <w:style w:type="character" w:customStyle="1" w:styleId="bdsmore3">
    <w:name w:val="bds_more3"/>
    <w:qFormat/>
    <w:rPr>
      <w:rFonts w:ascii="Times New Roman" w:eastAsia="宋体" w:hAnsi="Times New Roman" w:cs="Times New Roman"/>
    </w:rPr>
  </w:style>
  <w:style w:type="character" w:customStyle="1" w:styleId="hover2">
    <w:name w:val="hover2"/>
    <w:rPr>
      <w:color w:val="2590EB"/>
    </w:rPr>
  </w:style>
  <w:style w:type="character" w:customStyle="1" w:styleId="unnamed4">
    <w:name w:val="unnamed4"/>
    <w:qFormat/>
    <w:rPr>
      <w:rFonts w:ascii="Times New Roman" w:eastAsia="宋体" w:hAnsi="Times New Roman" w:cs="Times New Roman"/>
    </w:rPr>
  </w:style>
  <w:style w:type="character" w:customStyle="1" w:styleId="unnamed3">
    <w:name w:val="unnamed3"/>
    <w:qFormat/>
    <w:rPr>
      <w:rFonts w:ascii="Times New Roman" w:eastAsia="宋体" w:hAnsi="Times New Roman" w:cs="Times New Roman"/>
    </w:rPr>
  </w:style>
  <w:style w:type="character" w:customStyle="1" w:styleId="badge2">
    <w:name w:val="badge2"/>
    <w:qFormat/>
    <w:rPr>
      <w:rFonts w:ascii="Times New Roman" w:eastAsia="宋体" w:hAnsi="Times New Roman" w:cs="Times New Roman"/>
      <w:color w:val="757575"/>
    </w:rPr>
  </w:style>
  <w:style w:type="character" w:customStyle="1" w:styleId="20">
    <w:name w:val="正文文本 2 字符"/>
    <w:qFormat/>
    <w:rPr>
      <w:rFonts w:ascii="Times New Roman" w:eastAsia="宋体" w:hAnsi="Times New Roman" w:cs="Times New Roman"/>
      <w:sz w:val="24"/>
      <w:szCs w:val="24"/>
    </w:rPr>
  </w:style>
  <w:style w:type="character" w:customStyle="1" w:styleId="hover1">
    <w:name w:val="hover1"/>
    <w:rPr>
      <w:color w:val="2590EB"/>
      <w:shd w:val="clear" w:color="auto" w:fill="E9F4FD"/>
    </w:rPr>
  </w:style>
  <w:style w:type="character" w:customStyle="1" w:styleId="Char16">
    <w:name w:val="缩进正文 Char"/>
    <w:link w:val="a2"/>
    <w:qFormat/>
    <w:rPr>
      <w:rFonts w:ascii="Times New Roman" w:eastAsia="仿宋_GB2312" w:hAnsi="Times New Roman" w:cs="宋体"/>
      <w:kern w:val="2"/>
      <w:sz w:val="28"/>
      <w:lang w:val="en-US" w:eastAsia="zh-CN" w:bidi="ar-SA"/>
    </w:rPr>
  </w:style>
  <w:style w:type="paragraph" w:customStyle="1" w:styleId="a2">
    <w:name w:val="缩进正文"/>
    <w:basedOn w:val="Normal"/>
    <w:link w:val="Char16"/>
    <w:qFormat/>
    <w:pPr>
      <w:ind w:firstLine="560" w:firstLineChars="200"/>
    </w:pPr>
    <w:rPr>
      <w:rFonts w:eastAsia="仿宋_GB2312" w:cs="宋体"/>
      <w:sz w:val="28"/>
      <w:szCs w:val="20"/>
    </w:rPr>
  </w:style>
  <w:style w:type="character" w:customStyle="1" w:styleId="active5">
    <w:name w:val="active5"/>
    <w:qFormat/>
    <w:rPr>
      <w:rFonts w:ascii="Times New Roman" w:eastAsia="宋体" w:hAnsi="Times New Roman" w:cs="Times New Roman"/>
      <w:color w:val="FFFFFF"/>
    </w:rPr>
  </w:style>
  <w:style w:type="character" w:customStyle="1" w:styleId="hv">
    <w:name w:val="hv"/>
    <w:qFormat/>
    <w:rPr>
      <w:rFonts w:ascii="Times New Roman" w:eastAsia="宋体" w:hAnsi="Times New Roman" w:cs="Times New Roman"/>
    </w:rPr>
  </w:style>
  <w:style w:type="character" w:customStyle="1" w:styleId="fielderror">
    <w:name w:val="fielderror"/>
    <w:qFormat/>
    <w:rPr>
      <w:rFonts w:ascii="Times New Roman" w:eastAsia="宋体" w:hAnsi="Times New Roman" w:cs="Times New Roman"/>
      <w:color w:val="800000"/>
    </w:rPr>
  </w:style>
  <w:style w:type="character" w:customStyle="1" w:styleId="a3">
    <w:name w:val="样式 宋体"/>
    <w:qFormat/>
    <w:rPr>
      <w:rFonts w:ascii="宋体" w:eastAsia="宋体" w:hAnsi="Times New Roman" w:cs="Times New Roman"/>
      <w:sz w:val="24"/>
    </w:rPr>
  </w:style>
  <w:style w:type="character" w:customStyle="1" w:styleId="a4">
    <w:name w:val="页眉 字符"/>
    <w:qFormat/>
    <w:rPr>
      <w:rFonts w:ascii="Calibri" w:eastAsia="宋体" w:hAnsi="Calibri" w:cs="Times New Roman"/>
      <w:sz w:val="18"/>
      <w:szCs w:val="18"/>
    </w:rPr>
  </w:style>
  <w:style w:type="character" w:customStyle="1" w:styleId="6Char1">
    <w:name w:val="标题 6 Char1"/>
    <w:qFormat/>
    <w:rPr>
      <w:rFonts w:ascii="Arial" w:eastAsia="黑体" w:hAnsi="Arial" w:cs="Times New Roman"/>
      <w:b/>
      <w:kern w:val="0"/>
      <w:sz w:val="24"/>
      <w:szCs w:val="20"/>
    </w:rPr>
  </w:style>
  <w:style w:type="character" w:customStyle="1" w:styleId="span41">
    <w:name w:val="span41"/>
    <w:qFormat/>
    <w:rPr>
      <w:rFonts w:ascii="Times New Roman" w:eastAsia="宋体" w:hAnsi="Times New Roman" w:cs="Times New Roman"/>
    </w:rPr>
  </w:style>
  <w:style w:type="character" w:customStyle="1" w:styleId="Char17">
    <w:name w:val="日期 Char1"/>
    <w:qFormat/>
    <w:rPr>
      <w:rFonts w:ascii="Calibri" w:eastAsia="宋体" w:hAnsi="Calibri" w:cs="Times New Roman"/>
      <w:kern w:val="0"/>
      <w:sz w:val="20"/>
      <w:szCs w:val="20"/>
    </w:rPr>
  </w:style>
  <w:style w:type="character" w:customStyle="1" w:styleId="a5">
    <w:name w:val="文档结构图 字符"/>
    <w:qFormat/>
    <w:rPr>
      <w:rFonts w:ascii="Times New Roman" w:eastAsia="宋体" w:hAnsi="Times New Roman" w:cs="Times New Roman"/>
      <w:szCs w:val="24"/>
      <w:shd w:val="clear" w:color="auto" w:fill="000080"/>
    </w:rPr>
  </w:style>
  <w:style w:type="character" w:customStyle="1" w:styleId="Char18">
    <w:name w:val="正文文字首行缩进 Char"/>
    <w:qFormat/>
    <w:rPr>
      <w:rFonts w:ascii="Times New Roman" w:eastAsia="宋体" w:hAnsi="Times New Roman" w:cs="Times New Roman"/>
      <w:kern w:val="2"/>
      <w:sz w:val="21"/>
      <w:szCs w:val="24"/>
    </w:rPr>
  </w:style>
  <w:style w:type="character" w:customStyle="1" w:styleId="mode">
    <w:name w:val="mode"/>
    <w:qFormat/>
    <w:rPr>
      <w:rFonts w:ascii="Times New Roman" w:eastAsia="宋体" w:hAnsi="Times New Roman" w:cs="Times New Roman"/>
    </w:rPr>
  </w:style>
  <w:style w:type="character" w:customStyle="1" w:styleId="hover3">
    <w:name w:val="hover3"/>
    <w:rPr>
      <w:color w:val="2590EB"/>
    </w:rPr>
  </w:style>
  <w:style w:type="character" w:customStyle="1" w:styleId="slick-dot-inner">
    <w:name w:val="slick-dot-inner"/>
    <w:qFormat/>
    <w:rPr>
      <w:rFonts w:ascii="Times New Roman" w:eastAsia="宋体" w:hAnsi="Times New Roman" w:cs="Times New Roman"/>
      <w:shd w:val="clear" w:color="auto" w:fill="DAE0E5"/>
    </w:rPr>
  </w:style>
  <w:style w:type="character" w:customStyle="1" w:styleId="nth-of-type11">
    <w:name w:val="nth-of-type(1)1"/>
    <w:rPr>
      <w:rFonts w:ascii="Times New Roman" w:eastAsia="宋体" w:hAnsi="Times New Roman" w:cs="Times New Roman"/>
    </w:rPr>
  </w:style>
  <w:style w:type="character" w:customStyle="1" w:styleId="a6">
    <w:name w:val="页脚 字符"/>
    <w:qFormat/>
    <w:rPr>
      <w:rFonts w:ascii="Calibri" w:eastAsia="宋体" w:hAnsi="Calibri" w:cs="Times New Roman"/>
      <w:sz w:val="18"/>
      <w:szCs w:val="18"/>
    </w:rPr>
  </w:style>
  <w:style w:type="character" w:customStyle="1" w:styleId="1Char1">
    <w:name w:val="标题 1 Char1"/>
    <w:qFormat/>
    <w:rPr>
      <w:rFonts w:ascii="宋体" w:eastAsia="黑体" w:hAnsi="宋体" w:cs="Times New Roman"/>
      <w:b/>
      <w:bCs/>
      <w:kern w:val="44"/>
      <w:sz w:val="36"/>
      <w:szCs w:val="36"/>
    </w:rPr>
  </w:style>
  <w:style w:type="character" w:customStyle="1" w:styleId="3Char11">
    <w:name w:val="正文文本 3 Char1"/>
    <w:qFormat/>
    <w:rPr>
      <w:rFonts w:ascii="Times New Roman" w:eastAsia="宋体" w:hAnsi="Times New Roman" w:cs="Times New Roman"/>
      <w:kern w:val="0"/>
      <w:sz w:val="16"/>
      <w:szCs w:val="16"/>
    </w:rPr>
  </w:style>
  <w:style w:type="character" w:customStyle="1" w:styleId="9">
    <w:name w:val="标题 9 字符"/>
    <w:qFormat/>
    <w:rPr>
      <w:rFonts w:ascii="Arial" w:eastAsia="黑体" w:hAnsi="Arial" w:cs="Times New Roman"/>
      <w:szCs w:val="20"/>
    </w:rPr>
  </w:style>
  <w:style w:type="character" w:customStyle="1" w:styleId="Char19">
    <w:name w:val="批注文字 Char1"/>
    <w:qFormat/>
    <w:rPr>
      <w:rFonts w:ascii="宋体" w:eastAsia="宋体" w:hAnsi="Times New Roman" w:cs="Times New Roman"/>
      <w:kern w:val="0"/>
      <w:sz w:val="34"/>
      <w:szCs w:val="20"/>
    </w:rPr>
  </w:style>
  <w:style w:type="character" w:customStyle="1" w:styleId="a7">
    <w:name w:val="纯文本 字符"/>
    <w:qFormat/>
    <w:rPr>
      <w:rFonts w:ascii="宋体" w:eastAsia="宋体" w:hAnsi="Courier New" w:cs="Times New Roman"/>
      <w:szCs w:val="20"/>
    </w:rPr>
  </w:style>
  <w:style w:type="character" w:customStyle="1" w:styleId="bdsmore2">
    <w:name w:val="bds_more2"/>
    <w:qFormat/>
    <w:rPr>
      <w:rFonts w:ascii="宋体" w:eastAsia="宋体" w:hAnsi="宋体" w:cs="宋体" w:hint="eastAsia"/>
    </w:rPr>
  </w:style>
  <w:style w:type="character" w:customStyle="1" w:styleId="st">
    <w:name w:val="st"/>
    <w:qFormat/>
    <w:rPr>
      <w:rFonts w:ascii="Times New Roman" w:eastAsia="宋体" w:hAnsi="Times New Roman" w:cs="Times New Roman"/>
    </w:rPr>
  </w:style>
  <w:style w:type="character" w:customStyle="1" w:styleId="thumb">
    <w:name w:val="thumb"/>
    <w:qFormat/>
    <w:rPr>
      <w:rFonts w:ascii="Times New Roman" w:eastAsia="宋体" w:hAnsi="Times New Roman" w:cs="Times New Roman"/>
      <w:vanish/>
    </w:rPr>
  </w:style>
  <w:style w:type="character" w:customStyle="1" w:styleId="apple-style-span">
    <w:name w:val="apple-style-span"/>
    <w:qFormat/>
    <w:rPr>
      <w:rFonts w:ascii="Times New Roman" w:eastAsia="宋体" w:hAnsi="Times New Roman" w:cs="Times New Roman"/>
    </w:rPr>
  </w:style>
  <w:style w:type="character" w:customStyle="1" w:styleId="H4Char2">
    <w:name w:val="H4 Char2"/>
    <w:qFormat/>
    <w:rPr>
      <w:rFonts w:ascii="Arial" w:eastAsia="黑体" w:hAnsi="Arial" w:cs="Times New Roman"/>
      <w:b/>
      <w:bCs/>
      <w:kern w:val="2"/>
      <w:sz w:val="28"/>
      <w:szCs w:val="28"/>
      <w:lang w:val="en-US" w:eastAsia="zh-CN" w:bidi="ar-SA"/>
    </w:rPr>
  </w:style>
  <w:style w:type="character" w:customStyle="1" w:styleId="Char110">
    <w:name w:val="标题 Char1"/>
    <w:qFormat/>
    <w:rPr>
      <w:rFonts w:ascii="Arial" w:eastAsia="隶书" w:hAnsi="Arial" w:cs="Times New Roman"/>
      <w:b/>
      <w:bCs/>
      <w:kern w:val="0"/>
      <w:sz w:val="32"/>
      <w:szCs w:val="32"/>
    </w:rPr>
  </w:style>
  <w:style w:type="character" w:customStyle="1" w:styleId="span22">
    <w:name w:val="span22"/>
    <w:qFormat/>
    <w:rPr>
      <w:rFonts w:ascii="Times New Roman" w:eastAsia="宋体" w:hAnsi="Times New Roman" w:cs="Times New Roman"/>
    </w:rPr>
  </w:style>
  <w:style w:type="character" w:customStyle="1" w:styleId="6">
    <w:name w:val="标题 6 字符"/>
    <w:qFormat/>
    <w:rPr>
      <w:rFonts w:ascii="Arial" w:eastAsia="黑体" w:hAnsi="Arial" w:cs="Times New Roman"/>
      <w:b/>
      <w:sz w:val="24"/>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font">
    <w:name w:val="font"/>
    <w:qFormat/>
    <w:rPr>
      <w:rFonts w:ascii="Times New Roman" w:eastAsia="宋体" w:hAnsi="Times New Roman" w:cs="Times New Roman"/>
    </w:rPr>
  </w:style>
  <w:style w:type="character" w:customStyle="1" w:styleId="Char111">
    <w:name w:val="批注框文本 Char1"/>
    <w:qFormat/>
    <w:rPr>
      <w:rFonts w:ascii="Times New Roman" w:eastAsia="宋体" w:hAnsi="Times New Roman" w:cs="Times New Roman"/>
      <w:kern w:val="0"/>
      <w:sz w:val="18"/>
      <w:szCs w:val="18"/>
    </w:rPr>
  </w:style>
  <w:style w:type="character" w:customStyle="1" w:styleId="entry--no-results-link">
    <w:name w:val="entry--no-results-link"/>
    <w:qFormat/>
    <w:rPr>
      <w:rFonts w:ascii="Times New Roman" w:eastAsia="宋体" w:hAnsi="Times New Roman" w:cs="Times New Roman"/>
      <w:b/>
      <w:caps/>
      <w:color w:val="00539F"/>
    </w:rPr>
  </w:style>
  <w:style w:type="character" w:customStyle="1" w:styleId="Char112">
    <w:name w:val="正文文本缩进 Char1"/>
    <w:qFormat/>
    <w:rPr>
      <w:rFonts w:ascii="Times New Roman" w:eastAsia="宋体" w:hAnsi="Times New Roman" w:cs="Times New Roman"/>
      <w:kern w:val="0"/>
      <w:sz w:val="20"/>
      <w:szCs w:val="24"/>
    </w:rPr>
  </w:style>
  <w:style w:type="character" w:customStyle="1" w:styleId="NormalCharacter">
    <w:name w:val="NormalCharacter"/>
    <w:qFormat/>
    <w:rPr>
      <w:rFonts w:ascii="Times New Roman" w:eastAsia="宋体" w:hAnsi="Times New Roman" w:cs="Times New Roman"/>
    </w:rPr>
  </w:style>
  <w:style w:type="character" w:customStyle="1" w:styleId="Char21">
    <w:name w:val="第*章 Char"/>
    <w:qFormat/>
    <w:rPr>
      <w:rFonts w:ascii="Arial" w:eastAsia="黑体" w:hAnsi="Arial" w:cs="Times New Roman"/>
      <w:b/>
      <w:bCs/>
      <w:kern w:val="2"/>
      <w:sz w:val="32"/>
      <w:szCs w:val="32"/>
    </w:rPr>
  </w:style>
  <w:style w:type="character" w:customStyle="1" w:styleId="font2">
    <w:name w:val="font2"/>
    <w:qFormat/>
    <w:rPr>
      <w:rFonts w:ascii="Times New Roman" w:eastAsia="宋体" w:hAnsi="Times New Roman" w:cs="Times New Roman"/>
    </w:rPr>
  </w:style>
  <w:style w:type="character" w:customStyle="1" w:styleId="a8">
    <w:name w:val="批注文字 字符"/>
    <w:qFormat/>
    <w:rPr>
      <w:rFonts w:ascii="宋体" w:eastAsia="宋体" w:hAnsi="Times New Roman" w:cs="Times New Roman"/>
      <w:kern w:val="0"/>
      <w:sz w:val="34"/>
      <w:szCs w:val="20"/>
    </w:rPr>
  </w:style>
  <w:style w:type="character" w:customStyle="1" w:styleId="a9">
    <w:name w:val="正文文本 字符"/>
    <w:qFormat/>
    <w:rPr>
      <w:rFonts w:ascii="Times New Roman" w:eastAsia="宋体" w:hAnsi="Times New Roman" w:cs="Times New Roman"/>
      <w:b/>
      <w:bCs/>
      <w:sz w:val="24"/>
      <w:szCs w:val="24"/>
    </w:rPr>
  </w:style>
  <w:style w:type="character" w:customStyle="1" w:styleId="5">
    <w:name w:val="标题 5 字符"/>
    <w:qFormat/>
    <w:rPr>
      <w:rFonts w:ascii="Times New Roman" w:eastAsia="宋体" w:hAnsi="Times New Roman" w:cs="Times New Roman"/>
      <w:b/>
      <w:sz w:val="28"/>
      <w:szCs w:val="20"/>
    </w:rPr>
  </w:style>
  <w:style w:type="character" w:customStyle="1" w:styleId="2Char3">
    <w:name w:val="样式 首行缩进 + 首行缩进:  2 字符 Char"/>
    <w:link w:val="21"/>
    <w:qFormat/>
    <w:rPr>
      <w:rFonts w:ascii="Times New Roman" w:eastAsia="宋体" w:hAnsi="Times New Roman" w:cs="Times New Roman"/>
      <w:sz w:val="24"/>
    </w:rPr>
  </w:style>
  <w:style w:type="paragraph" w:customStyle="1" w:styleId="21">
    <w:name w:val="样式 首行缩进 + 首行缩进:  2 字符"/>
    <w:basedOn w:val="Normal"/>
    <w:link w:val="2Char3"/>
    <w:qFormat/>
    <w:pPr>
      <w:widowControl/>
      <w:spacing w:line="480" w:lineRule="auto"/>
      <w:ind w:firstLine="480" w:firstLineChars="200"/>
      <w:jc w:val="left"/>
    </w:pPr>
    <w:rPr>
      <w:kern w:val="0"/>
      <w:sz w:val="24"/>
      <w:szCs w:val="20"/>
    </w:rPr>
  </w:style>
  <w:style w:type="character" w:customStyle="1" w:styleId="blue">
    <w:name w:val="blue"/>
    <w:qFormat/>
    <w:rPr>
      <w:rFonts w:ascii="Times New Roman" w:eastAsia="宋体" w:hAnsi="Times New Roman" w:cs="Times New Roman"/>
    </w:rPr>
  </w:style>
  <w:style w:type="character" w:customStyle="1" w:styleId="bdsmore">
    <w:name w:val="bds_more"/>
    <w:qFormat/>
    <w:rPr>
      <w:rFonts w:ascii="宋体" w:eastAsia="宋体" w:hAnsi="宋体" w:cs="宋体" w:hint="eastAsia"/>
    </w:rPr>
  </w:style>
  <w:style w:type="character" w:customStyle="1" w:styleId="a10">
    <w:name w:val="正文文本缩进 字符"/>
    <w:qFormat/>
    <w:rPr>
      <w:rFonts w:ascii="Times New Roman" w:eastAsia="宋体" w:hAnsi="Times New Roman" w:cs="Times New Roman"/>
      <w:szCs w:val="24"/>
    </w:rPr>
  </w:style>
  <w:style w:type="character" w:customStyle="1" w:styleId="22">
    <w:name w:val="标题2"/>
    <w:qFormat/>
    <w:rPr>
      <w:rFonts w:ascii="Times New Roman" w:eastAsia="宋体" w:hAnsi="Times New Roman" w:cs="Times New Roman"/>
    </w:rPr>
  </w:style>
  <w:style w:type="character" w:customStyle="1" w:styleId="span1">
    <w:name w:val="span1"/>
    <w:qFormat/>
    <w:rPr>
      <w:rFonts w:ascii="Times New Roman" w:eastAsia="宋体" w:hAnsi="Times New Roman" w:cs="Times New Roman"/>
      <w:b/>
      <w:sz w:val="21"/>
      <w:szCs w:val="21"/>
    </w:rPr>
  </w:style>
  <w:style w:type="character" w:customStyle="1" w:styleId="content1">
    <w:name w:val="content1"/>
    <w:qFormat/>
    <w:rPr>
      <w:rFonts w:ascii="??" w:eastAsia="宋体" w:hAnsi="??" w:cs="Times New Roman" w:hint="default"/>
      <w:sz w:val="16"/>
      <w:szCs w:val="16"/>
      <w:u w:val="none"/>
    </w:rPr>
  </w:style>
  <w:style w:type="character" w:customStyle="1" w:styleId="font11">
    <w:name w:val="font11"/>
    <w:qFormat/>
    <w:rPr>
      <w:rFonts w:ascii="ˎ̥" w:eastAsia="宋体" w:hAnsi="ˎ̥" w:cs="Times New Roman" w:hint="default"/>
    </w:rPr>
  </w:style>
  <w:style w:type="character" w:customStyle="1" w:styleId="prodheadlines">
    <w:name w:val="prodheadlines"/>
    <w:qFormat/>
    <w:rPr>
      <w:rFonts w:ascii="Times New Roman" w:eastAsia="宋体" w:hAnsi="Times New Roman" w:cs="Times New Roman"/>
    </w:rPr>
  </w:style>
  <w:style w:type="character" w:customStyle="1" w:styleId="span3">
    <w:name w:val="span3"/>
    <w:qFormat/>
    <w:rPr>
      <w:rFonts w:ascii="Times New Roman" w:eastAsia="宋体" w:hAnsi="Times New Roman" w:cs="Times New Roman"/>
    </w:rPr>
  </w:style>
  <w:style w:type="character" w:customStyle="1" w:styleId="4">
    <w:name w:val="标题 4 字符"/>
    <w:qFormat/>
    <w:rPr>
      <w:rFonts w:ascii="Arial" w:eastAsia="黑体" w:hAnsi="Arial" w:cs="Times New Roman"/>
      <w:b/>
      <w:bCs/>
      <w:sz w:val="28"/>
      <w:szCs w:val="28"/>
    </w:rPr>
  </w:style>
  <w:style w:type="character" w:customStyle="1" w:styleId="a11">
    <w:name w:val="正文缩进 字符"/>
    <w:qFormat/>
    <w:rPr>
      <w:rFonts w:ascii="Times New Roman" w:eastAsia="宋体" w:hAnsi="Times New Roman" w:cs="Times New Roman"/>
      <w:szCs w:val="20"/>
    </w:rPr>
  </w:style>
  <w:style w:type="character" w:customStyle="1" w:styleId="span31">
    <w:name w:val="span31"/>
    <w:qFormat/>
    <w:rPr>
      <w:rFonts w:ascii="Times New Roman" w:eastAsia="宋体" w:hAnsi="Times New Roman" w:cs="Times New Roman"/>
    </w:rPr>
  </w:style>
  <w:style w:type="character" w:customStyle="1" w:styleId="hover4">
    <w:name w:val="hover4"/>
  </w:style>
  <w:style w:type="character" w:customStyle="1" w:styleId="longtext">
    <w:name w:val="long_text"/>
    <w:qFormat/>
    <w:rPr>
      <w:rFonts w:ascii="Times New Roman" w:eastAsia="宋体" w:hAnsi="Times New Roman" w:cs="Times New Roman"/>
    </w:rPr>
  </w:style>
  <w:style w:type="character" w:customStyle="1" w:styleId="4Char1">
    <w:name w:val="标题 4 Char1"/>
    <w:qFormat/>
    <w:rPr>
      <w:rFonts w:ascii="Arial" w:eastAsia="黑体" w:hAnsi="Arial" w:cs="Times New Roman"/>
      <w:b/>
      <w:bCs/>
      <w:kern w:val="0"/>
      <w:sz w:val="28"/>
      <w:szCs w:val="28"/>
    </w:rPr>
  </w:style>
  <w:style w:type="character" w:customStyle="1" w:styleId="3Char2">
    <w:name w:val="标题 3 Char"/>
    <w:qFormat/>
    <w:rPr>
      <w:rFonts w:ascii="黑体" w:eastAsia="黑体" w:hAnsi="Times New Roman" w:cs="Times New Roman"/>
      <w:bCs/>
      <w:sz w:val="30"/>
    </w:rPr>
  </w:style>
  <w:style w:type="character" w:customStyle="1" w:styleId="hover20">
    <w:name w:val="hover20"/>
    <w:qFormat/>
    <w:rPr>
      <w:rFonts w:ascii="Times New Roman" w:eastAsia="宋体" w:hAnsi="Times New Roman" w:cs="Times New Roman"/>
    </w:rPr>
  </w:style>
  <w:style w:type="character" w:customStyle="1" w:styleId="7">
    <w:name w:val="标题 7 字符"/>
    <w:qFormat/>
    <w:rPr>
      <w:rFonts w:ascii="Times New Roman" w:eastAsia="宋体" w:hAnsi="Times New Roman" w:cs="Times New Roman"/>
      <w:b/>
      <w:sz w:val="24"/>
      <w:szCs w:val="20"/>
    </w:rPr>
  </w:style>
  <w:style w:type="character" w:customStyle="1" w:styleId="bdsnopic1">
    <w:name w:val="bds_nopic1"/>
    <w:qFormat/>
    <w:rPr>
      <w:rFonts w:ascii="Times New Roman" w:eastAsia="宋体" w:hAnsi="Times New Roman" w:cs="Times New Roman"/>
    </w:rPr>
  </w:style>
  <w:style w:type="character" w:customStyle="1" w:styleId="gray6">
    <w:name w:val="gray6"/>
    <w:qFormat/>
    <w:rPr>
      <w:rFonts w:ascii="Times New Roman" w:eastAsia="宋体" w:hAnsi="Times New Roman" w:cs="Times New Roman"/>
    </w:rPr>
  </w:style>
  <w:style w:type="character" w:customStyle="1" w:styleId="23">
    <w:name w:val="正文文本缩进 2 字符"/>
    <w:qFormat/>
    <w:rPr>
      <w:rFonts w:ascii="宋体" w:eastAsia="宋体" w:hAnsi="宋体" w:cs="Times New Roman"/>
      <w:szCs w:val="24"/>
    </w:rPr>
  </w:style>
  <w:style w:type="character" w:customStyle="1" w:styleId="a12">
    <w:name w:val="批注主题 字符"/>
    <w:qFormat/>
    <w:rPr>
      <w:rFonts w:ascii="Times New Roman" w:eastAsia="宋体" w:hAnsi="Times New Roman" w:cs="Times New Roman"/>
      <w:b/>
      <w:bCs/>
      <w:kern w:val="0"/>
      <w:sz w:val="34"/>
      <w:szCs w:val="24"/>
    </w:rPr>
  </w:style>
  <w:style w:type="character" w:customStyle="1" w:styleId="ze">
    <w:name w:val="ze"/>
    <w:qFormat/>
    <w:rPr>
      <w:rFonts w:ascii="Times New Roman" w:eastAsia="宋体" w:hAnsi="Times New Roman" w:cs="Times New Roman"/>
      <w:vanish/>
      <w:shd w:val="clear" w:color="auto" w:fill="828282"/>
    </w:rPr>
  </w:style>
  <w:style w:type="character" w:customStyle="1" w:styleId="hv1">
    <w:name w:val="hv1"/>
    <w:qFormat/>
    <w:rPr>
      <w:rFonts w:ascii="Times New Roman" w:eastAsia="宋体" w:hAnsi="Times New Roman" w:cs="Times New Roman"/>
    </w:rPr>
  </w:style>
  <w:style w:type="character" w:customStyle="1" w:styleId="grame">
    <w:name w:val="grame"/>
    <w:qFormat/>
    <w:rPr>
      <w:rFonts w:ascii="Times New Roman" w:eastAsia="宋体" w:hAnsi="Times New Roman" w:cs="Times New Roman"/>
    </w:rPr>
  </w:style>
  <w:style w:type="character" w:customStyle="1" w:styleId="alt-edited1">
    <w:name w:val="alt-edited1"/>
    <w:qFormat/>
    <w:rPr>
      <w:rFonts w:ascii="Times New Roman" w:eastAsia="宋体" w:hAnsi="Times New Roman" w:cs="Times New Roman"/>
      <w:color w:val="4D90F0"/>
    </w:rPr>
  </w:style>
  <w:style w:type="character" w:customStyle="1" w:styleId="active">
    <w:name w:val="active"/>
    <w:qFormat/>
    <w:rPr>
      <w:rFonts w:ascii="Times New Roman" w:eastAsia="宋体" w:hAnsi="Times New Roman" w:cs="Times New Roman"/>
      <w:color w:val="FFFFFF"/>
    </w:rPr>
  </w:style>
  <w:style w:type="character" w:customStyle="1" w:styleId="Char22">
    <w:name w:val="副标题 Char2"/>
    <w:qFormat/>
    <w:rPr>
      <w:rFonts w:ascii="Cambria" w:eastAsia="宋体" w:hAnsi="Cambria" w:cs="Times New Roman"/>
      <w:b/>
      <w:bCs/>
      <w:kern w:val="28"/>
      <w:sz w:val="32"/>
      <w:szCs w:val="32"/>
    </w:rPr>
  </w:style>
  <w:style w:type="character" w:customStyle="1" w:styleId="A40">
    <w:name w:val="A4"/>
    <w:qFormat/>
    <w:rPr>
      <w:rFonts w:ascii="Times New Roman" w:eastAsia="宋体" w:hAnsi="Times New Roman" w:cs="Times New Roman"/>
      <w:color w:val="000000"/>
    </w:rPr>
  </w:style>
  <w:style w:type="character" w:customStyle="1" w:styleId="2Char11">
    <w:name w:val="标题 2 Char1"/>
    <w:qFormat/>
    <w:rPr>
      <w:rFonts w:ascii="宋体" w:eastAsia="宋体" w:hAnsi="宋体" w:cs="Times New Roman"/>
      <w:b/>
      <w:kern w:val="0"/>
      <w:sz w:val="24"/>
      <w:szCs w:val="20"/>
    </w:rPr>
  </w:style>
  <w:style w:type="character" w:customStyle="1" w:styleId="1">
    <w:name w:val="标题 1 字符"/>
    <w:qFormat/>
    <w:rPr>
      <w:rFonts w:ascii="宋体" w:eastAsia="黑体" w:hAnsi="宋体" w:cs="Times New Roman"/>
      <w:b/>
      <w:bCs/>
      <w:kern w:val="44"/>
      <w:sz w:val="36"/>
      <w:szCs w:val="36"/>
    </w:rPr>
  </w:style>
  <w:style w:type="character" w:customStyle="1" w:styleId="shorttext">
    <w:name w:val="short_text"/>
    <w:qFormat/>
    <w:rPr>
      <w:rFonts w:ascii="Times New Roman" w:eastAsia="宋体" w:hAnsi="Times New Roman" w:cs="Times New Roman"/>
    </w:rPr>
  </w:style>
  <w:style w:type="character" w:customStyle="1" w:styleId="active6">
    <w:name w:val="active6"/>
    <w:qFormat/>
    <w:rPr>
      <w:rFonts w:ascii="Times New Roman" w:eastAsia="宋体" w:hAnsi="Times New Roman" w:cs="Times New Roman"/>
      <w:color w:val="FFFFFF"/>
    </w:rPr>
  </w:style>
  <w:style w:type="character" w:customStyle="1" w:styleId="2Char12">
    <w:name w:val="正文文本 2 Char1"/>
    <w:qFormat/>
    <w:rPr>
      <w:rFonts w:ascii="Times New Roman" w:eastAsia="宋体" w:hAnsi="Times New Roman" w:cs="Times New Roman"/>
      <w:kern w:val="0"/>
      <w:sz w:val="24"/>
      <w:szCs w:val="24"/>
    </w:rPr>
  </w:style>
  <w:style w:type="character" w:customStyle="1" w:styleId="ca-32">
    <w:name w:val="ca-32"/>
    <w:qFormat/>
    <w:rPr>
      <w:rFonts w:ascii="Times New Roman" w:eastAsia="宋体" w:hAnsi="Times New Roman" w:cs="Times New Roman"/>
    </w:rPr>
  </w:style>
  <w:style w:type="character" w:customStyle="1" w:styleId="span4">
    <w:name w:val="span4"/>
    <w:qFormat/>
    <w:rPr>
      <w:rFonts w:ascii="Times New Roman" w:eastAsia="宋体" w:hAnsi="Times New Roman" w:cs="Times New Roman"/>
    </w:rPr>
  </w:style>
  <w:style w:type="character" w:customStyle="1" w:styleId="a13">
    <w:name w:val="日期 字符"/>
    <w:qFormat/>
    <w:rPr>
      <w:rFonts w:ascii="Calibri" w:eastAsia="宋体" w:hAnsi="Calibri" w:cs="Times New Roman"/>
    </w:rPr>
  </w:style>
  <w:style w:type="character" w:customStyle="1" w:styleId="bdsmore4">
    <w:name w:val="bds_more4"/>
    <w:qFormat/>
    <w:rPr>
      <w:rFonts w:ascii="Times New Roman" w:eastAsia="宋体" w:hAnsi="Times New Roman" w:cs="Times New Roman"/>
    </w:rPr>
  </w:style>
  <w:style w:type="character" w:customStyle="1" w:styleId="inline-help">
    <w:name w:val="inline-help"/>
    <w:qFormat/>
    <w:rPr>
      <w:rFonts w:ascii="Times New Roman" w:eastAsia="宋体" w:hAnsi="Times New Roman" w:cs="Times New Roman"/>
    </w:rPr>
  </w:style>
  <w:style w:type="character" w:customStyle="1" w:styleId="hilite">
    <w:name w:val="hilite"/>
    <w:qFormat/>
    <w:rPr>
      <w:rFonts w:ascii="Times New Roman" w:eastAsia="宋体" w:hAnsi="Times New Roman" w:cs="Times New Roman"/>
      <w:color w:val="000000"/>
    </w:rPr>
  </w:style>
  <w:style w:type="character" w:customStyle="1" w:styleId="Char113">
    <w:name w:val="批注主题 Char1"/>
    <w:qFormat/>
    <w:rPr>
      <w:rFonts w:ascii="Times New Roman" w:eastAsia="宋体" w:hAnsi="Times New Roman" w:cs="Times New Roman"/>
      <w:b/>
      <w:bCs/>
      <w:kern w:val="0"/>
      <w:sz w:val="34"/>
      <w:szCs w:val="24"/>
    </w:rPr>
  </w:style>
  <w:style w:type="character" w:customStyle="1" w:styleId="style9">
    <w:name w:val="style9"/>
    <w:qFormat/>
    <w:rPr>
      <w:rFonts w:ascii="Times New Roman" w:eastAsia="宋体" w:hAnsi="Times New Roman" w:cs="Times New Roman"/>
    </w:rPr>
  </w:style>
  <w:style w:type="character" w:customStyle="1" w:styleId="31">
    <w:name w:val="正文文本缩进 3 字符"/>
    <w:qFormat/>
    <w:rPr>
      <w:rFonts w:ascii="宋体" w:eastAsia="宋体" w:hAnsi="Times New Roman" w:cs="Times New Roman"/>
      <w:b/>
      <w:bCs/>
      <w:sz w:val="24"/>
      <w:szCs w:val="24"/>
    </w:rPr>
  </w:style>
  <w:style w:type="character" w:customStyle="1" w:styleId="span2">
    <w:name w:val="span2"/>
    <w:qFormat/>
    <w:rPr>
      <w:rFonts w:ascii="Times New Roman" w:eastAsia="宋体" w:hAnsi="Times New Roman" w:cs="Times New Roman"/>
    </w:rPr>
  </w:style>
  <w:style w:type="character" w:customStyle="1" w:styleId="a14">
    <w:name w:val="样式 小三 加粗"/>
    <w:qFormat/>
    <w:rPr>
      <w:rFonts w:ascii="Times New Roman" w:eastAsia="宋体" w:hAnsi="Times New Roman" w:cs="Times New Roman"/>
      <w:b/>
      <w:bCs/>
      <w:sz w:val="32"/>
    </w:rPr>
  </w:style>
  <w:style w:type="character" w:customStyle="1" w:styleId="black11">
    <w:name w:val="black11"/>
    <w:qFormat/>
    <w:rPr>
      <w:rFonts w:ascii="Verdana" w:eastAsia="仿宋_GB2312" w:hAnsi="Verdana" w:cs="Times New Roman"/>
      <w:color w:val="000000"/>
      <w:kern w:val="0"/>
      <w:sz w:val="18"/>
      <w:szCs w:val="18"/>
      <w:lang w:eastAsia="en-US"/>
    </w:rPr>
  </w:style>
  <w:style w:type="character" w:customStyle="1" w:styleId="--Char1">
    <w:name w:val="--规划正文 Char1"/>
    <w:qFormat/>
    <w:rPr>
      <w:rFonts w:ascii="Times New Roman" w:eastAsia="宋体" w:hAnsi="Times New Roman" w:cs="Times New Roman"/>
      <w:kern w:val="2"/>
      <w:sz w:val="21"/>
      <w:lang w:val="en-US" w:eastAsia="zh-CN" w:bidi="ar-SA"/>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15">
    <w:name w:val="设计依据"/>
    <w:basedOn w:val="BodyText"/>
    <w:qFormat/>
    <w:pPr>
      <w:numPr>
        <w:ilvl w:val="1"/>
        <w:numId w:val="2"/>
      </w:numPr>
      <w:tabs>
        <w:tab w:val="clear" w:pos="840"/>
        <w:tab w:val="left" w:pos="1440"/>
      </w:tabs>
      <w:adjustRightInd w:val="0"/>
      <w:ind w:left="1440"/>
      <w:textAlignment w:val="baseline"/>
    </w:pPr>
    <w:rPr>
      <w:rFonts w:ascii="宋体" w:hAnsi="宋体"/>
      <w:b w:val="0"/>
      <w:kern w:val="0"/>
      <w:sz w:val="28"/>
      <w:szCs w:val="18"/>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3399"/>
      <w:kern w:val="0"/>
      <w:sz w:val="24"/>
    </w:rPr>
  </w:style>
  <w:style w:type="paragraph" w:customStyle="1" w:styleId="xl61">
    <w:name w:val="xl6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808000"/>
      <w:kern w:val="0"/>
      <w:sz w:val="24"/>
    </w:rPr>
  </w:style>
  <w:style w:type="paragraph" w:customStyle="1" w:styleId="Char23">
    <w:name w:val="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
    <w:name w:val="Char Char Char Char Char"/>
    <w:basedOn w:val="Normal"/>
    <w:qFormat/>
    <w:rPr>
      <w:rFonts w:ascii="Tahoma" w:hAnsi="Tahoma"/>
      <w:sz w:val="24"/>
      <w:szCs w:val="20"/>
    </w:rPr>
  </w:style>
  <w:style w:type="paragraph" w:customStyle="1" w:styleId="a16">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xl63">
    <w:name w:val="xl6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66FF"/>
      <w:kern w:val="0"/>
      <w:sz w:val="24"/>
    </w:rPr>
  </w:style>
  <w:style w:type="paragraph" w:customStyle="1" w:styleId="a17">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paragraph" w:customStyle="1" w:styleId="a18">
    <w:name w:val="表格顶格文字"/>
    <w:basedOn w:val="Normal"/>
    <w:qFormat/>
    <w:rPr>
      <w:rFonts w:ascii="仿宋" w:hAnsi="仿宋"/>
    </w:rPr>
  </w:style>
  <w:style w:type="paragraph" w:customStyle="1" w:styleId="a19">
    <w:name w:val="缺省文本"/>
    <w:basedOn w:val="Normal"/>
    <w:qFormat/>
    <w:pPr>
      <w:autoSpaceDE w:val="0"/>
      <w:autoSpaceDN w:val="0"/>
      <w:adjustRightInd w:val="0"/>
      <w:jc w:val="left"/>
    </w:pPr>
    <w:rPr>
      <w:kern w:val="0"/>
    </w:rPr>
  </w:style>
  <w:style w:type="paragraph" w:customStyle="1" w:styleId="a20">
    <w:name w:val="表格内容"/>
    <w:basedOn w:val="Normal"/>
    <w:qFormat/>
    <w:pPr>
      <w:adjustRightInd w:val="0"/>
      <w:snapToGrid w:val="0"/>
      <w:ind w:left="125" w:hanging="43"/>
    </w:pPr>
    <w:rPr>
      <w:rFonts w:ascii="Arial" w:hAnsi="Arial" w:cs="Arial"/>
      <w:kern w:val="0"/>
      <w:sz w:val="22"/>
      <w:szCs w:val="22"/>
    </w:rPr>
  </w:style>
  <w:style w:type="paragraph" w:customStyle="1" w:styleId="xl57">
    <w:name w:val="xl5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80"/>
      <w:kern w:val="0"/>
      <w:sz w:val="24"/>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xl47">
    <w:name w:val="xl4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CC00"/>
      <w:kern w:val="0"/>
      <w:sz w:val="24"/>
    </w:rPr>
  </w:style>
  <w:style w:type="paragraph" w:customStyle="1" w:styleId="a21">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a22">
    <w:name w:val="表格文字"/>
    <w:basedOn w:val="Normal"/>
    <w:qFormat/>
    <w:pPr>
      <w:spacing w:before="25" w:after="25"/>
      <w:jc w:val="left"/>
    </w:pPr>
    <w:rPr>
      <w:bCs/>
      <w:spacing w:val="10"/>
      <w:kern w:val="0"/>
      <w:sz w:val="24"/>
      <w:szCs w:val="20"/>
    </w:rPr>
  </w:style>
  <w:style w:type="paragraph" w:customStyle="1" w:styleId="Style2">
    <w:name w:val="_Style 2"/>
    <w:basedOn w:val="Normal"/>
    <w:qFormat/>
    <w:pPr>
      <w:ind w:firstLine="420" w:firstLineChars="200"/>
    </w:pPr>
    <w:rPr>
      <w:rFonts w:ascii="Calibri" w:hAnsi="Calibri"/>
    </w:rPr>
  </w:style>
  <w:style w:type="paragraph" w:customStyle="1" w:styleId="font12">
    <w:name w:val="font12"/>
    <w:basedOn w:val="Normal"/>
    <w:qFormat/>
    <w:pPr>
      <w:widowControl/>
      <w:spacing w:before="100" w:beforeAutospacing="1" w:after="100" w:afterAutospacing="1"/>
      <w:jc w:val="left"/>
    </w:pPr>
    <w:rPr>
      <w:rFonts w:ascii="宋体" w:hAnsi="宋体" w:hint="eastAsia"/>
      <w:color w:val="99CC00"/>
      <w:kern w:val="0"/>
      <w:sz w:val="24"/>
    </w:rPr>
  </w:style>
  <w:style w:type="paragraph" w:customStyle="1" w:styleId="41">
    <w:name w:val="样式41"/>
    <w:basedOn w:val="Normal"/>
    <w:qFormat/>
    <w:pPr>
      <w:numPr>
        <w:ilvl w:val="0"/>
        <w:numId w:val="4"/>
      </w:numPr>
      <w:tabs>
        <w:tab w:val="left" w:pos="945"/>
        <w:tab w:val="clear" w:pos="2040"/>
      </w:tabs>
      <w:spacing w:line="360" w:lineRule="auto"/>
    </w:pPr>
    <w:rPr>
      <w:b/>
      <w:color w:val="000000"/>
      <w:sz w:val="24"/>
      <w:szCs w:val="20"/>
    </w:rPr>
  </w:style>
  <w:style w:type="paragraph" w:customStyle="1" w:styleId="a23">
    <w:name w:val="一级编号"/>
    <w:basedOn w:val="Normal"/>
    <w:qFormat/>
    <w:pPr>
      <w:tabs>
        <w:tab w:val="left" w:pos="360"/>
        <w:tab w:val="left" w:pos="900"/>
      </w:tabs>
      <w:ind w:left="900" w:hanging="360"/>
    </w:pPr>
    <w:rPr>
      <w:rFonts w:ascii="仿宋_GB2312" w:eastAsia="仿宋_GB2312" w:hAnsi="Calibri"/>
      <w:b/>
      <w:sz w:val="28"/>
      <w:szCs w:val="28"/>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Char24">
    <w:name w:val="文档正文 Char"/>
    <w:basedOn w:val="Normal"/>
    <w:qFormat/>
    <w:pPr>
      <w:adjustRightInd w:val="0"/>
      <w:spacing w:line="500" w:lineRule="exact"/>
      <w:ind w:firstLine="567"/>
      <w:textAlignment w:val="baseline"/>
    </w:pPr>
    <w:rPr>
      <w:rFonts w:ascii="仿宋_GB2312" w:eastAsia="仿宋_GB2312"/>
      <w:sz w:val="28"/>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24">
    <w:name w:val="自定义正文"/>
    <w:basedOn w:val="Normal"/>
    <w:qFormat/>
    <w:pPr>
      <w:spacing w:afterLines="50"/>
      <w:ind w:left="600" w:leftChars="600"/>
    </w:pPr>
  </w:style>
  <w:style w:type="paragraph" w:customStyle="1" w:styleId="Char25">
    <w:name w:val="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5">
    <w:name w:val="表格字"/>
    <w:basedOn w:val="Normal"/>
    <w:qFormat/>
    <w:pPr>
      <w:adjustRightInd w:val="0"/>
      <w:jc w:val="center"/>
    </w:pPr>
    <w:rPr>
      <w:rFonts w:ascii="宋体"/>
      <w:sz w:val="24"/>
      <w:szCs w:val="20"/>
    </w:rPr>
  </w:style>
  <w:style w:type="paragraph" w:customStyle="1" w:styleId="60">
    <w:name w:val="6"/>
    <w:basedOn w:val="50"/>
    <w:qFormat/>
    <w:pPr>
      <w:spacing w:line="270" w:lineRule="atLeast"/>
      <w:jc w:val="both"/>
    </w:pPr>
    <w:rPr>
      <w:rFonts w:ascii="Times New Roman"/>
      <w:b w:val="0"/>
      <w:bCs w:val="0"/>
    </w:rPr>
  </w:style>
  <w:style w:type="paragraph" w:customStyle="1" w:styleId="80">
    <w:name w:val="8"/>
    <w:basedOn w:val="Normal"/>
    <w:next w:val="BodyTextIndent"/>
    <w:qFormat/>
    <w:pPr>
      <w:spacing w:after="120"/>
      <w:ind w:left="420" w:leftChars="200"/>
    </w:pPr>
  </w:style>
  <w:style w:type="paragraph" w:customStyle="1" w:styleId="2GB23120015">
    <w:name w:val="样式 标题 2 + 仿宋_GB2312 五号 非加粗 段前: 0 磅 段后: 0 磅 行距: 1.5 倍行距"/>
    <w:basedOn w:val="Heading2"/>
    <w:next w:val="Normal"/>
    <w:qFormat/>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CharCharCharCharCharCharChar">
    <w:name w:val="Char Char Char Char Char Char Char"/>
    <w:basedOn w:val="Normal"/>
    <w:qFormat/>
    <w:pPr>
      <w:widowControl/>
      <w:spacing w:after="160" w:line="240" w:lineRule="exact"/>
      <w:jc w:val="left"/>
    </w:pPr>
  </w:style>
  <w:style w:type="paragraph" w:customStyle="1" w:styleId="11">
    <w:name w:val="列出段落11"/>
    <w:basedOn w:val="Normal"/>
    <w:qFormat/>
    <w:pPr>
      <w:widowControl/>
      <w:spacing w:line="360" w:lineRule="auto"/>
      <w:ind w:firstLine="420" w:firstLineChars="200"/>
      <w:jc w:val="left"/>
    </w:pPr>
    <w:rPr>
      <w:rFonts w:eastAsia="微软雅黑"/>
      <w:sz w:val="24"/>
    </w:rPr>
  </w:style>
  <w:style w:type="paragraph" w:customStyle="1" w:styleId="TableParagraph">
    <w:name w:val="Table Paragraph"/>
    <w:basedOn w:val="Normal"/>
    <w:qFormat/>
    <w:rPr>
      <w:rFonts w:ascii="仿宋" w:eastAsia="仿宋" w:hAnsi="仿宋" w:cs="仿宋"/>
      <w:lang w:val="zh-CN" w:bidi="zh-CN"/>
    </w:rPr>
  </w:style>
  <w:style w:type="paragraph" w:customStyle="1" w:styleId="a26">
    <w:name w:val="*正文"/>
    <w:qFormat/>
    <w:pPr>
      <w:widowControl w:val="0"/>
      <w:spacing w:line="300" w:lineRule="auto"/>
      <w:ind w:firstLine="200" w:firstLineChars="200"/>
      <w:jc w:val="both"/>
    </w:pPr>
    <w:rPr>
      <w:rFonts w:eastAsia="仿宋"/>
      <w:kern w:val="2"/>
      <w:sz w:val="24"/>
      <w:szCs w:val="24"/>
      <w:lang w:val="en-US" w:eastAsia="zh-CN" w:bidi="ar-SA"/>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8000"/>
      <w:kern w:val="0"/>
      <w:sz w:val="20"/>
      <w:szCs w:val="20"/>
    </w:rPr>
  </w:style>
  <w:style w:type="paragraph" w:customStyle="1" w:styleId="p15">
    <w:name w:val="p15"/>
    <w:basedOn w:val="Normal"/>
    <w:qFormat/>
    <w:pPr>
      <w:widowControl/>
      <w:ind w:firstLine="420"/>
    </w:pPr>
    <w:rPr>
      <w:kern w:val="0"/>
      <w:szCs w:val="21"/>
    </w:rPr>
  </w:style>
  <w:style w:type="paragraph" w:customStyle="1" w:styleId="a27">
    <w:name w:val="评价"/>
    <w:basedOn w:val="Normal"/>
    <w:qFormat/>
    <w:pPr>
      <w:spacing w:afterLines="20"/>
      <w:ind w:firstLine="1446" w:firstLineChars="200"/>
    </w:pPr>
    <w:rPr>
      <w:rFonts w:ascii="Calibri" w:hAnsi="Calibri"/>
      <w:sz w:val="24"/>
    </w:rPr>
  </w:style>
  <w:style w:type="paragraph" w:customStyle="1" w:styleId="xmsonormal">
    <w:name w:val="x_msonormal"/>
    <w:basedOn w:val="Normal"/>
    <w:qFormat/>
    <w:pPr>
      <w:widowControl/>
      <w:spacing w:before="100" w:beforeAutospacing="1" w:after="100" w:afterAutospacing="1"/>
      <w:jc w:val="left"/>
    </w:pPr>
    <w:rPr>
      <w:rFonts w:ascii="PMingLiU" w:eastAsia="PMingLiU" w:hAnsi="PMingLiU" w:cs="PMingLiU"/>
      <w:kern w:val="0"/>
      <w:sz w:val="24"/>
      <w:lang w:eastAsia="zh-TW"/>
    </w:rPr>
  </w:style>
  <w:style w:type="paragraph" w:customStyle="1" w:styleId="a28">
    <w:name w:val="保留正文"/>
    <w:basedOn w:val="BodyText"/>
    <w:qFormat/>
    <w:pPr>
      <w:keepNext/>
      <w:spacing w:after="160" w:line="240" w:lineRule="auto"/>
    </w:pPr>
    <w:rPr>
      <w:b w:val="0"/>
      <w:bCs w:val="0"/>
      <w:sz w:val="21"/>
    </w:rPr>
  </w:style>
  <w:style w:type="paragraph" w:customStyle="1" w:styleId="font10">
    <w:name w:val="font10"/>
    <w:basedOn w:val="Normal"/>
    <w:qFormat/>
    <w:pPr>
      <w:widowControl/>
      <w:spacing w:before="100" w:beforeAutospacing="1" w:after="100" w:afterAutospacing="1"/>
      <w:jc w:val="left"/>
    </w:pPr>
    <w:rPr>
      <w:rFonts w:ascii="宋体" w:hAnsi="宋体" w:hint="eastAsia"/>
      <w:color w:val="333399"/>
      <w:kern w:val="0"/>
      <w:sz w:val="24"/>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3399"/>
      <w:kern w:val="0"/>
      <w:sz w:val="24"/>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paragraph" w:customStyle="1" w:styleId="a29">
    <w:name w:val="表格内文字"/>
    <w:basedOn w:val="Normal"/>
    <w:qFormat/>
    <w:rPr>
      <w:sz w:val="24"/>
      <w:szCs w:val="20"/>
    </w:rPr>
  </w:style>
  <w:style w:type="paragraph" w:customStyle="1" w:styleId="10">
    <w:name w:val="样式1"/>
    <w:basedOn w:val="Title"/>
    <w:qFormat/>
    <w:pPr>
      <w:spacing w:before="120" w:after="120"/>
    </w:pPr>
    <w:rPr>
      <w:rFonts w:ascii="Times New Roman" w:eastAsia="黑体" w:hAnsi="Times New Roman" w:cs="Times New Roman"/>
      <w:b w:val="0"/>
      <w:sz w:val="30"/>
      <w:szCs w:val="21"/>
    </w:rPr>
  </w:style>
  <w:style w:type="paragraph" w:customStyle="1" w:styleId="a30">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CCFF"/>
      <w:kern w:val="0"/>
      <w:sz w:val="24"/>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xl56">
    <w:name w:val="xl5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8080"/>
      <w:kern w:val="0"/>
      <w:sz w:val="24"/>
    </w:rPr>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paragraph" w:customStyle="1" w:styleId="Style264">
    <w:name w:val="_Style 264"/>
    <w:basedOn w:val="Normal"/>
    <w:next w:val="Normal"/>
    <w:qFormat/>
    <w:pPr>
      <w:widowControl/>
      <w:pBdr>
        <w:top w:val="single" w:sz="6" w:space="1" w:color="auto"/>
      </w:pBdr>
      <w:jc w:val="center"/>
    </w:pPr>
    <w:rPr>
      <w:rFonts w:ascii="Arial" w:hAnsi="Arial" w:cs="Arial"/>
      <w:vanish/>
      <w:kern w:val="0"/>
      <w:sz w:val="16"/>
      <w:szCs w:val="16"/>
    </w:rPr>
  </w:style>
  <w:style w:type="paragraph" w:styleId="ListParagraph">
    <w:name w:val="List Paragraph"/>
    <w:basedOn w:val="Normal"/>
    <w:qFormat/>
    <w:pPr>
      <w:ind w:firstLine="420" w:firstLineChars="200"/>
    </w:pPr>
    <w:rPr>
      <w:rFonts w:ascii="Calibri" w:hAnsi="Calibri"/>
      <w:szCs w:val="22"/>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CC99FF"/>
      <w:kern w:val="0"/>
      <w:sz w:val="24"/>
    </w:rPr>
  </w:style>
  <w:style w:type="paragraph" w:customStyle="1" w:styleId="CharChar">
    <w:name w:val="Char Char"/>
    <w:basedOn w:val="Normal"/>
    <w:qFormat/>
    <w:rPr>
      <w:rFonts w:ascii="Tahoma" w:hAnsi="Tahoma"/>
      <w:sz w:val="24"/>
      <w:szCs w:val="20"/>
    </w:rPr>
  </w:style>
  <w:style w:type="paragraph" w:customStyle="1" w:styleId="a31">
    <w:name w:val="文字"/>
    <w:basedOn w:val="Normal"/>
    <w:qFormat/>
    <w:pPr>
      <w:tabs>
        <w:tab w:val="left" w:pos="8520"/>
      </w:tabs>
      <w:spacing w:line="312" w:lineRule="auto"/>
      <w:ind w:right="-210" w:firstLine="556"/>
    </w:pPr>
    <w:rPr>
      <w:rFonts w:ascii="宋体"/>
      <w:sz w:val="28"/>
      <w:szCs w:val="20"/>
    </w:rPr>
  </w:style>
  <w:style w:type="paragraph" w:customStyle="1" w:styleId="--">
    <w:name w:val="--规划正文"/>
    <w:basedOn w:val="Normal"/>
    <w:qFormat/>
    <w:pPr>
      <w:spacing w:line="360" w:lineRule="auto"/>
      <w:ind w:firstLine="200" w:firstLineChars="200"/>
    </w:pPr>
    <w:rPr>
      <w:szCs w:val="20"/>
    </w:rPr>
  </w:style>
  <w:style w:type="paragraph" w:customStyle="1" w:styleId="font16">
    <w:name w:val="font16"/>
    <w:basedOn w:val="Normal"/>
    <w:qFormat/>
    <w:pPr>
      <w:widowControl/>
      <w:spacing w:before="100" w:beforeAutospacing="1" w:after="100" w:afterAutospacing="1"/>
      <w:jc w:val="left"/>
    </w:pPr>
    <w:rPr>
      <w:rFonts w:ascii="宋体" w:hAnsi="宋体" w:hint="eastAsia"/>
      <w:color w:val="008000"/>
      <w:kern w:val="0"/>
      <w:sz w:val="24"/>
    </w:rPr>
  </w:style>
  <w:style w:type="paragraph" w:customStyle="1" w:styleId="----">
    <w:name w:val="--规划-表格-居中"/>
    <w:basedOn w:val="--"/>
    <w:qFormat/>
    <w:pPr>
      <w:spacing w:line="240" w:lineRule="auto"/>
      <w:ind w:firstLine="0" w:firstLineChars="0"/>
      <w:jc w:val="center"/>
    </w:pPr>
    <w:rPr>
      <w:sz w:val="20"/>
    </w:rPr>
  </w:style>
  <w:style w:type="paragraph" w:customStyle="1" w:styleId="81">
    <w:name w:val="列出段落8"/>
    <w:basedOn w:val="Normal"/>
    <w:qFormat/>
    <w:pPr>
      <w:ind w:firstLine="420" w:firstLineChars="200"/>
    </w:pPr>
    <w:rPr>
      <w:szCs w:val="21"/>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5">
    <w:name w:val="xl5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8080"/>
      <w:kern w:val="0"/>
      <w:sz w:val="24"/>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993300"/>
      <w:kern w:val="0"/>
      <w:sz w:val="24"/>
    </w:rPr>
  </w:style>
  <w:style w:type="paragraph" w:customStyle="1" w:styleId="---">
    <w:name w:val="--规划-图和表"/>
    <w:next w:val="--"/>
    <w:qFormat/>
    <w:pPr>
      <w:jc w:val="center"/>
    </w:pPr>
    <w:rPr>
      <w:kern w:val="2"/>
      <w:sz w:val="21"/>
      <w:lang w:val="en-US" w:eastAsia="zh-CN" w:bidi="ar-SA"/>
    </w:rPr>
  </w:style>
  <w:style w:type="paragraph" w:customStyle="1" w:styleId="25">
    <w:name w:val="正文文字缩进 2"/>
    <w:basedOn w:val="Normal"/>
    <w:qFormat/>
    <w:pPr>
      <w:widowControl/>
      <w:spacing w:line="351" w:lineRule="atLeast"/>
      <w:ind w:firstLine="481"/>
      <w:textAlignment w:val="baseline"/>
    </w:pPr>
    <w:rPr>
      <w:rFonts w:ascii="仿宋_GB2312" w:eastAsia="仿宋_GB2312"/>
      <w:color w:val="000000"/>
      <w:kern w:val="0"/>
      <w:sz w:val="24"/>
      <w:szCs w:val="20"/>
    </w:rPr>
  </w:style>
  <w:style w:type="paragraph" w:customStyle="1" w:styleId="xl58">
    <w:name w:val="xl5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0080"/>
      <w:kern w:val="0"/>
      <w:sz w:val="24"/>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0">
    <w:name w:val="--规划-表格-居左"/>
    <w:basedOn w:val="--"/>
    <w:qFormat/>
    <w:pPr>
      <w:spacing w:line="240" w:lineRule="auto"/>
      <w:ind w:firstLine="0" w:firstLineChars="0"/>
    </w:pPr>
    <w:rPr>
      <w:sz w:val="20"/>
    </w:rPr>
  </w:style>
  <w:style w:type="paragraph" w:customStyle="1" w:styleId="025">
    <w:name w:val="样式 左侧:  0 厘米 悬挂缩进: 2.5 字符"/>
    <w:basedOn w:val="Normal"/>
    <w:qFormat/>
    <w:pPr>
      <w:ind w:left="525" w:hanging="525" w:hangingChars="250"/>
    </w:pPr>
    <w:rPr>
      <w:szCs w:val="20"/>
    </w:rPr>
  </w:style>
  <w:style w:type="paragraph" w:customStyle="1" w:styleId="black1">
    <w:name w:val="black1"/>
    <w:basedOn w:val="Normal"/>
    <w:qFormat/>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EnvelopeReturn0">
    <w:name w:val="EnvelopeReturn"/>
    <w:qFormat/>
    <w:pPr>
      <w:widowControl w:val="0"/>
      <w:snapToGrid w:val="0"/>
      <w:jc w:val="both"/>
    </w:pPr>
    <w:rPr>
      <w:rFonts w:ascii="Arial" w:hAnsi="Arial"/>
      <w:kern w:val="2"/>
      <w:sz w:val="21"/>
      <w:szCs w:val="24"/>
      <w:lang w:val="en-US" w:eastAsia="zh-CN" w:bidi="ar-SA"/>
    </w:rPr>
  </w:style>
  <w:style w:type="paragraph" w:customStyle="1" w:styleId="a32">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a33">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Char114">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34">
    <w:name w:val="正文表标题"/>
    <w:next w:val="Normal"/>
    <w:qFormat/>
    <w:pPr>
      <w:numPr>
        <w:ilvl w:val="0"/>
        <w:numId w:val="5"/>
      </w:numPr>
      <w:spacing w:beforeLines="50" w:afterLines="50"/>
      <w:jc w:val="center"/>
    </w:pPr>
    <w:rPr>
      <w:rFonts w:ascii="黑体" w:eastAsia="黑体"/>
      <w:sz w:val="21"/>
      <w:lang w:val="en-US" w:eastAsia="zh-CN" w:bidi="ar-SA"/>
    </w:rPr>
  </w:style>
  <w:style w:type="paragraph" w:customStyle="1" w:styleId="xl46">
    <w:name w:val="xl4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666699"/>
      <w:kern w:val="0"/>
      <w:sz w:val="24"/>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CharCharCharCharCharCharChar11">
    <w:name w:val="Char Char Char Char Char Char Char11"/>
    <w:basedOn w:val="Normal"/>
    <w:qFormat/>
    <w:rPr>
      <w:rFonts w:ascii="Tahoma" w:hAnsi="Tahoma"/>
      <w:sz w:val="24"/>
      <w:szCs w:val="20"/>
    </w:rPr>
  </w:style>
  <w:style w:type="paragraph" w:customStyle="1" w:styleId="51">
    <w:name w:val="列出段落5"/>
    <w:basedOn w:val="Normal"/>
    <w:qFormat/>
    <w:pPr>
      <w:ind w:firstLine="420" w:firstLineChars="200"/>
    </w:pPr>
    <w:rPr>
      <w:szCs w:val="20"/>
    </w:rPr>
  </w:style>
  <w:style w:type="paragraph" w:customStyle="1" w:styleId="26">
    <w:name w:val="样式 首行缩进:  2 字符"/>
    <w:next w:val="DocumentMap"/>
    <w:qFormat/>
    <w:pPr>
      <w:spacing w:line="360" w:lineRule="auto"/>
      <w:ind w:firstLine="200" w:firstLineChars="200"/>
    </w:pPr>
    <w:rPr>
      <w:rFonts w:ascii="宋体"/>
      <w:sz w:val="24"/>
      <w:lang w:val="en-US" w:eastAsia="zh-CN" w:bidi="ar-SA"/>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66"/>
      <w:kern w:val="0"/>
      <w:sz w:val="24"/>
    </w:rPr>
  </w:style>
  <w:style w:type="paragraph" w:customStyle="1" w:styleId="xl60">
    <w:name w:val="xl6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4"/>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tabletext">
    <w:name w:val="tabletext"/>
    <w:basedOn w:val="Normal"/>
    <w:qFormat/>
    <w:pPr>
      <w:widowControl/>
      <w:spacing w:before="100" w:beforeAutospacing="1" w:after="100" w:afterAutospacing="1"/>
      <w:jc w:val="left"/>
    </w:pPr>
    <w:rPr>
      <w:rFonts w:ascii="宋体" w:hAnsi="宋体" w:cs="宋体"/>
      <w:kern w:val="0"/>
      <w:sz w:val="24"/>
    </w:rPr>
  </w:style>
  <w:style w:type="paragraph" w:customStyle="1" w:styleId="Teksti2">
    <w:name w:val="Teksti2"/>
    <w:basedOn w:val="Normal"/>
    <w:qFormat/>
    <w:pPr>
      <w:widowControl/>
      <w:tabs>
        <w:tab w:val="right" w:pos="8370"/>
      </w:tabs>
      <w:jc w:val="left"/>
    </w:pPr>
    <w:rPr>
      <w:kern w:val="0"/>
      <w:sz w:val="20"/>
      <w:szCs w:val="20"/>
      <w:lang w:eastAsia="fi-FI"/>
    </w:rPr>
  </w:style>
  <w:style w:type="paragraph" w:customStyle="1" w:styleId="CharCharCharCharCharCharCharCharCharCharChar">
    <w:name w:val="Char Char Char Char Char Char Char Char Char Char Char"/>
    <w:basedOn w:val="Normal"/>
    <w:qFormat/>
    <w:rPr>
      <w:rFonts w:ascii="Tahoma" w:hAnsi="Tahoma"/>
      <w:sz w:val="24"/>
      <w:szCs w:val="20"/>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a35">
    <w:name w:val="段落正文"/>
    <w:basedOn w:val="PlainText"/>
    <w:qFormat/>
    <w:pPr>
      <w:ind w:firstLine="560" w:firstLineChars="200"/>
    </w:pPr>
    <w:rPr>
      <w:rFonts w:ascii="Times New Roman" w:hAnsi="Times New Roman"/>
      <w:sz w:val="28"/>
    </w:rPr>
  </w:style>
  <w:style w:type="paragraph" w:customStyle="1" w:styleId="tableheader">
    <w:name w:val="tableheader"/>
    <w:basedOn w:val="Normal"/>
    <w:qFormat/>
    <w:pPr>
      <w:widowControl/>
      <w:shd w:val="clear" w:color="auto" w:fill="ABCDEF"/>
      <w:spacing w:before="100" w:beforeAutospacing="1" w:after="100" w:afterAutospacing="1"/>
      <w:jc w:val="left"/>
    </w:pPr>
    <w:rPr>
      <w:rFonts w:ascii="宋体" w:hAnsi="宋体" w:cs="宋体"/>
      <w:kern w:val="0"/>
      <w:sz w:val="24"/>
    </w:rPr>
  </w:style>
  <w:style w:type="paragraph" w:customStyle="1" w:styleId="12">
    <w:name w:val="正文1"/>
    <w:basedOn w:val="Normal"/>
    <w:qFormat/>
    <w:pPr>
      <w:spacing w:line="360" w:lineRule="auto"/>
    </w:pPr>
    <w:rPr>
      <w:rFonts w:eastAsia="仿宋_GB2312"/>
      <w:sz w:val="24"/>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FF00"/>
      <w:kern w:val="0"/>
      <w:sz w:val="24"/>
    </w:rPr>
  </w:style>
  <w:style w:type="paragraph" w:customStyle="1" w:styleId="32">
    <w:name w:val="列出段落3"/>
    <w:basedOn w:val="Normal"/>
    <w:qFormat/>
    <w:pPr>
      <w:ind w:firstLine="420" w:firstLineChars="200"/>
    </w:pPr>
    <w:rPr>
      <w:szCs w:val="20"/>
    </w:rPr>
  </w:style>
  <w:style w:type="paragraph" w:customStyle="1" w:styleId="BodyText21">
    <w:name w:val="Body Text 21"/>
    <w:basedOn w:val="Normal"/>
    <w:qFormat/>
    <w:pPr>
      <w:adjustRightInd w:val="0"/>
      <w:spacing w:line="400" w:lineRule="exact"/>
      <w:ind w:firstLine="425"/>
      <w:jc w:val="left"/>
      <w:textAlignment w:val="baseline"/>
    </w:pPr>
    <w:rPr>
      <w:sz w:val="28"/>
      <w:szCs w:val="20"/>
    </w:rPr>
  </w:style>
  <w:style w:type="paragraph" w:customStyle="1" w:styleId="font7">
    <w:name w:val="font7"/>
    <w:basedOn w:val="Normal"/>
    <w:qFormat/>
    <w:pPr>
      <w:widowControl/>
      <w:spacing w:before="100" w:beforeAutospacing="1" w:after="100" w:afterAutospacing="1"/>
      <w:jc w:val="left"/>
    </w:pPr>
    <w:rPr>
      <w:rFonts w:ascii="宋体" w:hAnsi="宋体" w:hint="eastAsia"/>
      <w:kern w:val="0"/>
      <w:sz w:val="20"/>
      <w:szCs w:val="20"/>
    </w:rPr>
  </w:style>
  <w:style w:type="paragraph" w:customStyle="1" w:styleId="NewNewNewNewNew">
    <w:name w:val="正文 New New New New New"/>
    <w:basedOn w:val="Normal"/>
    <w:qFormat/>
  </w:style>
  <w:style w:type="paragraph" w:customStyle="1" w:styleId="27">
    <w:name w:val="样式2"/>
    <w:basedOn w:val="Title"/>
    <w:next w:val="10"/>
    <w:qFormat/>
    <w:pPr>
      <w:spacing w:before="120" w:after="120"/>
    </w:pPr>
    <w:rPr>
      <w:rFonts w:ascii="Times New Roman" w:eastAsia="黑体" w:hAnsi="Times New Roman" w:cs="Times New Roman"/>
      <w:b w:val="0"/>
      <w:sz w:val="30"/>
      <w:szCs w:val="30"/>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font13">
    <w:name w:val="font13"/>
    <w:basedOn w:val="Normal"/>
    <w:qFormat/>
    <w:pPr>
      <w:widowControl/>
      <w:spacing w:before="100" w:beforeAutospacing="1" w:after="100" w:afterAutospacing="1"/>
      <w:jc w:val="left"/>
    </w:pPr>
    <w:rPr>
      <w:rFonts w:ascii="宋体" w:hAnsi="宋体" w:hint="eastAsia"/>
      <w:color w:val="FFFF00"/>
      <w:kern w:val="0"/>
      <w:sz w:val="24"/>
    </w:rPr>
  </w:style>
  <w:style w:type="paragraph" w:customStyle="1" w:styleId="13">
    <w:name w:val="无间隔1"/>
    <w:qFormat/>
    <w:pPr>
      <w:widowControl w:val="0"/>
      <w:jc w:val="both"/>
    </w:pPr>
    <w:rPr>
      <w:kern w:val="2"/>
      <w:sz w:val="22"/>
      <w:szCs w:val="22"/>
      <w:lang w:val="en-US" w:eastAsia="zh-CN" w:bidi="ar-SA"/>
    </w:rPr>
  </w:style>
  <w:style w:type="paragraph" w:customStyle="1" w:styleId="14">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1CharCharCharCharCharCharCharCharChar">
    <w:name w:val="Char1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Style131">
    <w:name w:val="_Style 131"/>
    <w:basedOn w:val="Normal"/>
    <w:next w:val="ListParagraph"/>
    <w:qFormat/>
    <w:pPr>
      <w:widowControl/>
      <w:spacing w:after="160" w:line="259" w:lineRule="auto"/>
      <w:ind w:left="720"/>
      <w:contextualSpacing/>
      <w:jc w:val="left"/>
    </w:pPr>
    <w:rPr>
      <w:rFonts w:ascii="Calibri" w:eastAsia="等线" w:hAnsi="Calibri"/>
      <w:kern w:val="0"/>
      <w:sz w:val="22"/>
      <w:szCs w:val="22"/>
    </w:rPr>
  </w:style>
  <w:style w:type="paragraph" w:customStyle="1" w:styleId="NormalIndent0">
    <w:name w:val="NormalIndent"/>
    <w:qFormat/>
    <w:pPr>
      <w:ind w:firstLine="420" w:firstLineChars="200"/>
      <w:jc w:val="both"/>
    </w:pPr>
    <w:rPr>
      <w:kern w:val="2"/>
      <w:sz w:val="21"/>
      <w:szCs w:val="24"/>
      <w:lang w:val="en-US" w:eastAsia="zh-CN" w:bidi="ar-SA"/>
    </w:rPr>
  </w:style>
  <w:style w:type="paragraph" w:customStyle="1" w:styleId="p0">
    <w:name w:val="p0"/>
    <w:basedOn w:val="Normal"/>
    <w:qFormat/>
    <w:pPr>
      <w:widowControl/>
      <w:spacing w:before="100" w:beforeAutospacing="1" w:after="100" w:afterAutospacing="1"/>
      <w:jc w:val="left"/>
    </w:pPr>
    <w:rPr>
      <w:rFonts w:ascii="宋体" w:hAnsi="宋体" w:cs="宋体"/>
      <w:kern w:val="0"/>
      <w:sz w:val="24"/>
    </w:rPr>
  </w:style>
  <w:style w:type="paragraph" w:customStyle="1" w:styleId="---0">
    <w:name w:val="--规划-小标题"/>
    <w:basedOn w:val="Normal"/>
    <w:next w:val="--"/>
    <w:qFormat/>
    <w:pPr>
      <w:keepNext/>
      <w:keepLines/>
      <w:spacing w:line="360" w:lineRule="auto"/>
      <w:outlineLvl w:val="4"/>
    </w:pPr>
    <w:rPr>
      <w:rFonts w:eastAsia="黑体"/>
    </w:rPr>
  </w:style>
  <w:style w:type="paragraph" w:customStyle="1" w:styleId="40">
    <w:name w:val="列出段落4"/>
    <w:basedOn w:val="Normal"/>
    <w:qFormat/>
    <w:pPr>
      <w:ind w:firstLine="420" w:firstLineChars="200"/>
    </w:pPr>
    <w:rPr>
      <w:szCs w:val="20"/>
    </w:rPr>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Normal"/>
    <w:qFormat/>
    <w:pPr>
      <w:widowControl/>
      <w:spacing w:before="100" w:beforeAutospacing="1" w:after="100" w:afterAutospacing="1"/>
      <w:jc w:val="left"/>
    </w:pPr>
    <w:rPr>
      <w:color w:val="FFFF00"/>
      <w:kern w:val="0"/>
      <w:sz w:val="24"/>
    </w:rPr>
  </w:style>
  <w:style w:type="paragraph" w:customStyle="1" w:styleId="Char115">
    <w:name w:val="Char1"/>
    <w:basedOn w:val="Normal"/>
    <w:qFormat/>
    <w:pPr>
      <w:jc w:val="left"/>
    </w:pPr>
    <w:rPr>
      <w:rFonts w:ascii="Tahoma" w:hAnsi="Tahoma"/>
      <w:sz w:val="24"/>
      <w:szCs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GB231215">
    <w:name w:val="样式 仿宋_GB2312 行距: 1.5 倍行距"/>
    <w:basedOn w:val="Normal"/>
    <w:qFormat/>
    <w:pPr>
      <w:adjustRightInd w:val="0"/>
      <w:snapToGrid w:val="0"/>
      <w:spacing w:line="520" w:lineRule="exact"/>
      <w:ind w:firstLine="560" w:firstLineChars="200"/>
    </w:pPr>
    <w:rPr>
      <w:rFonts w:eastAsia="仿宋_GB2312"/>
      <w:sz w:val="28"/>
      <w:szCs w:val="20"/>
    </w:rPr>
  </w:style>
  <w:style w:type="paragraph" w:customStyle="1" w:styleId="Style339">
    <w:name w:val="_Style 339"/>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xl41">
    <w:name w:val="xl4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993300"/>
      <w:kern w:val="0"/>
      <w:sz w:val="24"/>
    </w:rPr>
  </w:style>
  <w:style w:type="paragraph" w:customStyle="1" w:styleId="ListParagraph1">
    <w:name w:val="List Paragraph1"/>
    <w:basedOn w:val="Normal"/>
    <w:qFormat/>
    <w:pPr>
      <w:ind w:firstLine="420" w:firstLineChars="200"/>
    </w:pPr>
    <w:rPr>
      <w:rFonts w:ascii="Calibri" w:hAnsi="Calibri"/>
      <w:szCs w:val="22"/>
    </w:rPr>
  </w:style>
  <w:style w:type="paragraph" w:customStyle="1" w:styleId="a36">
    <w:name w:val="姜文清定义的正文"/>
    <w:basedOn w:val="Normal"/>
    <w:qFormat/>
    <w:pPr>
      <w:spacing w:line="240" w:lineRule="atLeast"/>
      <w:ind w:firstLine="567"/>
    </w:pPr>
    <w:rPr>
      <w:szCs w:val="20"/>
    </w:rPr>
  </w:style>
  <w:style w:type="paragraph" w:customStyle="1" w:styleId="-1">
    <w:name w:val="标题-1级"/>
    <w:basedOn w:val="Normal"/>
    <w:qFormat/>
    <w:pPr>
      <w:spacing w:before="120" w:after="120" w:line="560" w:lineRule="exact"/>
      <w:outlineLvl w:val="0"/>
    </w:pPr>
    <w:rPr>
      <w:rFonts w:ascii="仿宋_GB2312" w:eastAsia="仿宋_GB2312" w:hAnsi="黑体"/>
      <w:b/>
      <w:sz w:val="32"/>
      <w:szCs w:val="3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FF"/>
      <w:kern w:val="0"/>
      <w:sz w:val="24"/>
    </w:rPr>
  </w:style>
  <w:style w:type="paragraph" w:customStyle="1" w:styleId="style20">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71">
    <w:name w:val="列出段落7"/>
    <w:basedOn w:val="Normal"/>
    <w:qFormat/>
    <w:pPr>
      <w:ind w:firstLine="420" w:firstLineChars="200"/>
    </w:pPr>
    <w:rPr>
      <w:szCs w:val="20"/>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CharCharCharChar2">
    <w:name w:val="Char Char Char 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Normal"/>
    <w:qFormat/>
    <w:rPr>
      <w:rFonts w:ascii="Tahoma" w:hAnsi="Tahoma"/>
      <w:sz w:val="24"/>
      <w:szCs w:val="20"/>
    </w:rPr>
  </w:style>
  <w:style w:type="paragraph" w:customStyle="1" w:styleId="xl54">
    <w:name w:val="xl5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80"/>
      <w:kern w:val="0"/>
      <w:sz w:val="24"/>
    </w:rPr>
  </w:style>
  <w:style w:type="paragraph" w:customStyle="1" w:styleId="a37">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CharCharCharCharCharCharChar1">
    <w:name w:val="Char Char Char Char Char Char Char1"/>
    <w:basedOn w:val="Normal"/>
    <w:qFormat/>
    <w:pPr>
      <w:widowControl/>
      <w:spacing w:after="160" w:line="240" w:lineRule="exact"/>
      <w:jc w:val="left"/>
    </w:pPr>
  </w:style>
  <w:style w:type="paragraph" w:customStyle="1" w:styleId="Style1">
    <w:name w:val="_Style 1"/>
    <w:basedOn w:val="Normal"/>
    <w:qFormat/>
    <w:pPr>
      <w:ind w:firstLine="420" w:firstLineChars="200"/>
    </w:pPr>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1">
    <w:name w:val="--规划-题注"/>
    <w:basedOn w:val="Normal"/>
    <w:next w:val="--"/>
    <w:qFormat/>
    <w:pPr>
      <w:spacing w:line="360" w:lineRule="auto"/>
      <w:jc w:val="center"/>
    </w:pPr>
    <w:rPr>
      <w:rFonts w:eastAsia="黑体"/>
    </w:rPr>
  </w:style>
  <w:style w:type="paragraph" w:customStyle="1" w:styleId="xl45">
    <w:name w:val="xl4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6600"/>
      <w:kern w:val="0"/>
      <w:sz w:val="24"/>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38">
    <w:name w:val="方案要点"/>
    <w:basedOn w:val="Normal"/>
    <w:qFormat/>
    <w:pPr>
      <w:numPr>
        <w:ilvl w:val="0"/>
        <w:numId w:val="2"/>
      </w:numPr>
      <w:tabs>
        <w:tab w:val="left" w:pos="420"/>
      </w:tabs>
      <w:spacing w:line="360" w:lineRule="auto"/>
    </w:pPr>
    <w:rPr>
      <w:rFonts w:ascii="仿宋_GB2312" w:eastAsia="仿宋_GB2312" w:hAnsi="宋体"/>
      <w:color w:val="000000"/>
      <w:sz w:val="28"/>
      <w:szCs w:val="28"/>
    </w:rPr>
  </w:style>
  <w:style w:type="paragraph" w:customStyle="1" w:styleId="28">
    <w:name w:val="列出段落2"/>
    <w:basedOn w:val="Normal"/>
    <w:qFormat/>
    <w:pPr>
      <w:ind w:firstLine="420" w:firstLineChars="200"/>
    </w:pPr>
    <w:rPr>
      <w:szCs w:val="20"/>
    </w:rPr>
  </w:style>
  <w:style w:type="paragraph" w:customStyle="1" w:styleId="Style0">
    <w:name w:val="_Style 0"/>
    <w:qFormat/>
    <w:rPr>
      <w:sz w:val="21"/>
      <w:szCs w:val="22"/>
      <w:lang w:val="en-US" w:eastAsia="zh-CN" w:bidi="ar-SA"/>
    </w:rPr>
  </w:style>
  <w:style w:type="paragraph" w:customStyle="1" w:styleId="xl62">
    <w:name w:val="xl6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8000"/>
      <w:kern w:val="0"/>
      <w:sz w:val="24"/>
    </w:rPr>
  </w:style>
  <w:style w:type="paragraph" w:customStyle="1" w:styleId="61">
    <w:name w:val="列出段落6"/>
    <w:basedOn w:val="Normal"/>
    <w:qFormat/>
    <w:pPr>
      <w:ind w:firstLine="420" w:firstLineChars="200"/>
    </w:pPr>
    <w:rPr>
      <w:szCs w:val="20"/>
    </w:rPr>
  </w:style>
  <w:style w:type="paragraph" w:customStyle="1" w:styleId="Char120">
    <w:name w:val="Char12"/>
    <w:basedOn w:val="Normal"/>
    <w:qFormat/>
    <w:pPr>
      <w:tabs>
        <w:tab w:val="left" w:pos="360"/>
      </w:tabs>
    </w:pPr>
    <w:rPr>
      <w:sz w:val="24"/>
    </w:rPr>
  </w:style>
  <w:style w:type="paragraph" w:customStyle="1" w:styleId="cucd-3">
    <w:name w:val="cucd-3"/>
    <w:next w:val="Normal"/>
    <w:qFormat/>
    <w:pPr>
      <w:tabs>
        <w:tab w:val="left" w:pos="0"/>
      </w:tabs>
      <w:spacing w:line="360" w:lineRule="auto"/>
      <w:outlineLvl w:val="2"/>
    </w:pPr>
    <w:rPr>
      <w:rFonts w:ascii="宋体" w:hAnsi="宋体"/>
      <w:color w:val="000000"/>
      <w:kern w:val="2"/>
      <w:sz w:val="21"/>
      <w:szCs w:val="21"/>
      <w:lang w:val="en-US" w:eastAsia="zh-CN" w:bidi="ar-SA"/>
    </w:rPr>
  </w:style>
  <w:style w:type="paragraph" w:customStyle="1" w:styleId="Style408">
    <w:name w:val="_Style 408"/>
    <w:basedOn w:val="Heading1"/>
    <w:next w:val="Normal"/>
    <w:qFormat/>
    <w:pPr>
      <w:widowControl/>
      <w:spacing w:before="480" w:after="0" w:line="276" w:lineRule="auto"/>
      <w:jc w:val="left"/>
      <w:outlineLvl w:val="9"/>
    </w:pPr>
    <w:rPr>
      <w:rFonts w:ascii="Cambria" w:eastAsia="宋体" w:hAnsi="Cambria"/>
      <w:color w:val="365F91"/>
      <w:kern w:val="0"/>
      <w:szCs w:val="28"/>
    </w:rPr>
  </w:style>
  <w:style w:type="paragraph" w:customStyle="1" w:styleId="a39">
    <w:name w:val="封面文档标题"/>
    <w:basedOn w:val="Normal"/>
    <w:qFormat/>
    <w:pPr>
      <w:autoSpaceDE w:val="0"/>
      <w:autoSpaceDN w:val="0"/>
      <w:adjustRightInd w:val="0"/>
      <w:spacing w:line="360" w:lineRule="auto"/>
      <w:jc w:val="center"/>
    </w:pPr>
    <w:rPr>
      <w:rFonts w:ascii="Arial" w:hAnsi="Arial"/>
      <w:b/>
      <w:kern w:val="0"/>
      <w:sz w:val="56"/>
    </w:rPr>
  </w:style>
  <w:style w:type="paragraph" w:customStyle="1" w:styleId="Style303">
    <w:name w:val="_Style 303"/>
    <w:qFormat/>
    <w:rPr>
      <w:kern w:val="2"/>
      <w:sz w:val="21"/>
      <w:szCs w:val="24"/>
      <w:lang w:val="en-US" w:eastAsia="zh-CN"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宋体" w:eastAsia="等线" w:hAnsi="宋体"/>
      <w:kern w:val="16"/>
      <w:sz w:val="21"/>
      <w:szCs w:val="24"/>
      <w:lang w:val="en-US" w:eastAsia="zh-CN" w:bidi="ar-SA"/>
    </w:rPr>
  </w:style>
  <w:style w:type="paragraph" w:styleId="NoSpacing">
    <w:name w:val="No Spacing"/>
    <w:uiPriority w:val="1"/>
    <w:qFormat/>
    <w:pPr>
      <w:widowControl w:val="0"/>
      <w:jc w:val="both"/>
    </w:pPr>
    <w:rPr>
      <w:rFonts w:ascii="Calibri" w:hAnsi="Calibri"/>
      <w:kern w:val="2"/>
      <w:sz w:val="21"/>
      <w:szCs w:val="21"/>
      <w:lang w:val="en-US" w:eastAsia="zh-CN" w:bidi="ar-SA"/>
    </w:rPr>
  </w:style>
  <w:style w:type="paragraph" w:customStyle="1" w:styleId="BodyText1I2">
    <w:name w:val="BodyText1I2"/>
    <w:qFormat/>
    <w:pPr>
      <w:widowControl w:val="0"/>
      <w:ind w:left="420" w:firstLine="420" w:firstLineChars="200"/>
      <w:jc w:val="both"/>
    </w:pPr>
    <w:rPr>
      <w:rFonts w:ascii="楷体_GB2312" w:eastAsia="楷体_GB2312"/>
      <w:kern w:val="2"/>
      <w:sz w:val="28"/>
      <w:szCs w:val="24"/>
      <w:lang w:val="en-US" w:eastAsia="zh-CN" w:bidi="ar-SA"/>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xl64">
    <w:name w:val="xl6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NoSpacing1">
    <w:name w:val="No Spacing1"/>
    <w:qFormat/>
    <w:pPr>
      <w:suppressAutoHyphens/>
    </w:pPr>
    <w:rPr>
      <w:color w:val="00000A"/>
      <w:sz w:val="22"/>
      <w:szCs w:val="22"/>
      <w:lang w:val="en-US" w:eastAsia="zh-CN" w:bidi="ar-SA"/>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xl59">
    <w:name w:val="xl5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FFCC00"/>
      <w:kern w:val="0"/>
      <w:sz w:val="24"/>
    </w:rPr>
  </w:style>
  <w:style w:type="paragraph" w:customStyle="1" w:styleId="-11">
    <w:name w:val="彩色列表 - 强调文字颜色 11"/>
    <w:basedOn w:val="Normal"/>
    <w:qFormat/>
    <w:pPr>
      <w:ind w:firstLine="420" w:firstLineChars="200"/>
    </w:pPr>
    <w:rPr>
      <w:rFonts w:ascii="Calibri" w:hAnsi="Calibri"/>
      <w:szCs w:val="22"/>
    </w:rPr>
  </w:style>
  <w:style w:type="paragraph" w:customStyle="1" w:styleId="xl35">
    <w:name w:val="xl3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FF00"/>
      <w:kern w:val="0"/>
      <w:sz w:val="24"/>
    </w:rPr>
  </w:style>
  <w:style w:type="paragraph" w:customStyle="1" w:styleId="xl36">
    <w:name w:val="xl3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9900"/>
      <w:kern w:val="0"/>
      <w:sz w:val="24"/>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00"/>
      <w:kern w:val="0"/>
      <w:sz w:val="24"/>
    </w:r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CC00"/>
      <w:kern w:val="0"/>
      <w:sz w:val="24"/>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15">
    <w:name w:val="列出段落1"/>
    <w:basedOn w:val="Normal"/>
    <w:qFormat/>
    <w:pPr>
      <w:ind w:firstLine="420" w:firstLineChars="200"/>
    </w:pPr>
    <w:rPr>
      <w:rFonts w:ascii="Calibri" w:hAnsi="Calibri" w:cs="Calibri"/>
      <w:szCs w:val="21"/>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41">
    <w:name w:val="普通文字"/>
    <w:basedOn w:val="Normal"/>
    <w:qFormat/>
    <w:pPr>
      <w:widowControl/>
      <w:spacing w:line="351" w:lineRule="atLeast"/>
      <w:ind w:firstLine="419"/>
      <w:textAlignment w:val="baseline"/>
    </w:pPr>
    <w:rPr>
      <w:rFonts w:ascii="宋体"/>
      <w:color w:val="000000"/>
      <w:kern w:val="0"/>
      <w:szCs w:val="20"/>
    </w:rPr>
  </w:style>
  <w:style w:type="paragraph" w:customStyle="1" w:styleId="17">
    <w:name w:val="编号1"/>
    <w:basedOn w:val="Normal"/>
    <w:qFormat/>
    <w:pPr>
      <w:numPr>
        <w:ilvl w:val="0"/>
        <w:numId w:val="6"/>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Char26">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font9">
    <w:name w:val="font9"/>
    <w:basedOn w:val="Normal"/>
    <w:qFormat/>
    <w:pPr>
      <w:widowControl/>
      <w:spacing w:before="100" w:beforeAutospacing="1" w:after="100" w:afterAutospacing="1"/>
      <w:jc w:val="left"/>
    </w:pPr>
    <w:rPr>
      <w:color w:val="993300"/>
      <w:kern w:val="0"/>
      <w:sz w:val="24"/>
    </w:rPr>
  </w:style>
  <w:style w:type="paragraph" w:customStyle="1" w:styleId="18">
    <w:name w:val="列表段落1"/>
    <w:basedOn w:val="Normal"/>
    <w:qFormat/>
    <w:pPr>
      <w:ind w:firstLine="420" w:firstLineChars="200"/>
    </w:pPr>
    <w:rPr>
      <w:rFonts w:ascii="Calibri" w:hAnsi="Calibri"/>
      <w:szCs w:val="22"/>
    </w:rPr>
  </w:style>
  <w:style w:type="paragraph" w:customStyle="1" w:styleId="CharCharCharChar">
    <w:name w:val="Char Char Char Char"/>
    <w:basedOn w:val="Normal"/>
    <w:qFormat/>
    <w:rPr>
      <w:rFonts w:ascii="Tahoma" w:hAnsi="Tahoma"/>
      <w:sz w:val="24"/>
      <w:szCs w:val="20"/>
    </w:rPr>
  </w:style>
  <w:style w:type="paragraph" w:customStyle="1" w:styleId="CharCharCharCharCharCharCharCharCharChar">
    <w:name w:val="Char Char Char Char Char Char Char Char Char Char"/>
    <w:basedOn w:val="Normal"/>
    <w:qFormat/>
    <w:rPr>
      <w:rFonts w:ascii="Tahoma" w:hAnsi="Tahoma"/>
      <w:sz w:val="24"/>
      <w:szCs w:val="20"/>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4"/>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42">
    <w:name w:val="样式4"/>
    <w:basedOn w:val="Normal"/>
    <w:qFormat/>
    <w:pPr>
      <w:tabs>
        <w:tab w:val="left" w:pos="842"/>
      </w:tabs>
      <w:spacing w:line="360" w:lineRule="auto"/>
      <w:ind w:left="842" w:hanging="420"/>
    </w:pPr>
    <w:rPr>
      <w:sz w:val="24"/>
    </w:rPr>
  </w:style>
  <w:style w:type="paragraph" w:customStyle="1" w:styleId="NormalParagraph">
    <w:name w:val="Normal Paragraph"/>
    <w:basedOn w:val="Normal"/>
    <w:qFormat/>
    <w:pPr>
      <w:widowControl/>
      <w:spacing w:before="120" w:line="360" w:lineRule="auto"/>
      <w:ind w:firstLine="425"/>
    </w:pPr>
    <w:rPr>
      <w:kern w:val="0"/>
      <w:sz w:val="24"/>
    </w:rPr>
  </w:style>
  <w:style w:type="paragraph" w:customStyle="1" w:styleId="33">
    <w:name w:val="样式3"/>
    <w:basedOn w:val="Heading1"/>
    <w:qFormat/>
    <w:pPr>
      <w:numPr>
        <w:ilvl w:val="0"/>
        <w:numId w:val="7"/>
      </w:numPr>
      <w:tabs>
        <w:tab w:val="left" w:pos="1290"/>
      </w:tabs>
      <w:spacing w:before="240" w:after="240" w:line="480" w:lineRule="auto"/>
      <w:ind w:right="210" w:rightChars="100"/>
      <w:jc w:val="left"/>
    </w:pPr>
    <w:rPr>
      <w:rFonts w:eastAsia="宋体"/>
      <w:sz w:val="32"/>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odyTextIndent0">
    <w:name w:val="BodyTextIndent"/>
    <w:next w:val="EnvelopeReturn0"/>
    <w:qFormat/>
    <w:pPr>
      <w:widowControl w:val="0"/>
      <w:ind w:firstLine="700" w:firstLineChars="250"/>
      <w:jc w:val="both"/>
    </w:pPr>
    <w:rPr>
      <w:rFonts w:ascii="楷体_GB2312" w:eastAsia="楷体_GB2312"/>
      <w:kern w:val="2"/>
      <w:sz w:val="28"/>
      <w:szCs w:val="24"/>
      <w:lang w:val="en-US" w:eastAsia="zh-CN" w:bidi="ar-SA"/>
    </w:rPr>
  </w:style>
  <w:style w:type="paragraph" w:customStyle="1" w:styleId="font15">
    <w:name w:val="font15"/>
    <w:basedOn w:val="Normal"/>
    <w:qFormat/>
    <w:pPr>
      <w:widowControl/>
      <w:spacing w:before="100" w:beforeAutospacing="1" w:after="100" w:afterAutospacing="1"/>
      <w:jc w:val="left"/>
    </w:pPr>
    <w:rPr>
      <w:color w:val="008080"/>
      <w:kern w:val="0"/>
      <w:sz w:val="24"/>
    </w:rPr>
  </w:style>
  <w:style w:type="paragraph" w:customStyle="1" w:styleId="xl43">
    <w:name w:val="xl43"/>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xl37">
    <w:name w:val="xl3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9900"/>
      <w:kern w:val="0"/>
      <w:sz w:val="24"/>
    </w:rPr>
  </w:style>
  <w:style w:type="paragraph" w:customStyle="1" w:styleId="34">
    <w:name w:val="正文文字缩进 3"/>
    <w:basedOn w:val="Normal"/>
    <w:qFormat/>
    <w:pPr>
      <w:widowControl/>
      <w:spacing w:before="119" w:line="272" w:lineRule="atLeast"/>
      <w:ind w:left="719" w:firstLine="481"/>
      <w:jc w:val="left"/>
      <w:textAlignment w:val="baseline"/>
    </w:pPr>
    <w:rPr>
      <w:rFonts w:ascii="宋体"/>
      <w:color w:val="000000"/>
      <w:kern w:val="0"/>
      <w:sz w:val="24"/>
      <w:szCs w:val="20"/>
    </w:rPr>
  </w:style>
  <w:style w:type="paragraph" w:styleId="Revision">
    <w:name w:val="Revision"/>
    <w:uiPriority w:val="99"/>
    <w:unhideWhenUsed/>
    <w:rPr>
      <w:kern w:val="2"/>
      <w:sz w:val="21"/>
      <w:szCs w:val="24"/>
      <w:lang w:val="en-US" w:eastAsia="zh-CN" w:bidi="ar-SA"/>
    </w:rPr>
  </w:style>
  <w:style w:type="paragraph" w:customStyle="1" w:styleId="Style23">
    <w:name w:val="_Style 23"/>
    <w:basedOn w:val="Normal"/>
    <w:next w:val="ListParagraph"/>
    <w:qFormat/>
    <w:pPr>
      <w:ind w:firstLine="420" w:firstLineChars="200"/>
    </w:pPr>
    <w:rPr>
      <w:szCs w:val="20"/>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69696"/>
      <w:kern w:val="0"/>
      <w:sz w:val="24"/>
    </w:rPr>
  </w:style>
  <w:style w:type="paragraph" w:customStyle="1" w:styleId="a42">
    <w:name w:val="列表项目"/>
    <w:basedOn w:val="Normal"/>
    <w:qFormat/>
    <w:pPr>
      <w:tabs>
        <w:tab w:val="left" w:pos="420"/>
        <w:tab w:val="left" w:pos="1080"/>
      </w:tabs>
      <w:spacing w:line="288" w:lineRule="auto"/>
      <w:ind w:left="1080" w:hanging="360"/>
    </w:pPr>
    <w:rPr>
      <w:sz w:val="24"/>
      <w:szCs w:val="20"/>
    </w:rPr>
  </w:style>
  <w:style w:type="paragraph" w:customStyle="1" w:styleId="font8">
    <w:name w:val="font8"/>
    <w:basedOn w:val="Normal"/>
    <w:qFormat/>
    <w:pPr>
      <w:widowControl/>
      <w:spacing w:before="100" w:beforeAutospacing="1" w:after="100" w:afterAutospacing="1"/>
      <w:jc w:val="left"/>
    </w:pPr>
    <w:rPr>
      <w:kern w:val="0"/>
      <w:sz w:val="20"/>
      <w:szCs w:val="20"/>
    </w:rPr>
  </w:style>
  <w:style w:type="paragraph" w:customStyle="1" w:styleId="--Char">
    <w:name w:val="--规划正文 Char"/>
    <w:basedOn w:val="Normal"/>
    <w:qFormat/>
    <w:pPr>
      <w:spacing w:line="360" w:lineRule="auto"/>
      <w:ind w:firstLine="200" w:firstLineChars="200"/>
    </w:pPr>
    <w:rPr>
      <w:sz w:val="24"/>
    </w:rPr>
  </w:style>
  <w:style w:type="paragraph" w:customStyle="1" w:styleId="A43">
    <w:name w:val="正文 A"/>
    <w:qFormat/>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BodyText31">
    <w:name w:val="Body Text 31"/>
    <w:basedOn w:val="Normal"/>
    <w:qFormat/>
    <w:pPr>
      <w:adjustRightInd w:val="0"/>
      <w:spacing w:line="320" w:lineRule="exact"/>
      <w:jc w:val="left"/>
      <w:textAlignment w:val="baseline"/>
    </w:pPr>
    <w:rPr>
      <w:sz w:val="24"/>
      <w:szCs w:val="20"/>
    </w:rPr>
  </w:style>
  <w:style w:type="paragraph" w:customStyle="1" w:styleId="a44">
    <w:name w:val="正文段落"/>
    <w:basedOn w:val="Normal"/>
    <w:qFormat/>
    <w:pPr>
      <w:spacing w:line="360" w:lineRule="auto"/>
      <w:ind w:firstLine="440" w:firstLineChars="200"/>
    </w:pPr>
    <w:rPr>
      <w:rFonts w:ascii="宋体" w:hAnsi="宋体" w:cs="宋体"/>
      <w:kern w:val="0"/>
      <w:szCs w:val="20"/>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table" w:customStyle="1" w:styleId="1-11">
    <w:name w:val="网格表 1 浅色 - 着色 11"/>
    <w:basedOn w:val="TableNormal"/>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image" Target="media/image1.png"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Template>
  <TotalTime>157264800</TotalTime>
  <Pages>63</Pages>
  <Words>57290</Words>
  <Characters>61972</Characters>
  <Application>Microsoft Office Word</Application>
  <DocSecurity>0</DocSecurity>
  <Lines>491</Lines>
  <Paragraphs>138</Paragraphs>
  <ScaleCrop>false</ScaleCrop>
  <Company>Microsoft</Company>
  <LinksUpToDate>false</LinksUpToDate>
  <CharactersWithSpaces>67261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4</cp:revision>
  <cp:lastPrinted>2022-06-14T02:51:00Z</cp:lastPrinted>
  <dcterms:created xsi:type="dcterms:W3CDTF">2023-05-24T08:09:00Z</dcterms:created>
  <dcterms:modified xsi:type="dcterms:W3CDTF">2023-08-28T08:20:15Z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F0D440D18B124F1790514BD8BA7095CE_13</vt:lpwstr>
  </property>
  <property fmtid="{D5CDD505-2E9C-101B-9397-08002B2CF9AE}" pid="3" name="KSOProductBuildVer">
    <vt:lpwstr>2052-11.1.0.14309</vt:lpwstr>
  </property>
</Properties>
</file>