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060"/>
      </w:tblGrid>
      <w:tr w:rsidR="00CB5D96" w:rsidRPr="00CB5D96" w:rsidTr="00CB5D96">
        <w:trPr>
          <w:tblCellSpacing w:w="15" w:type="dxa"/>
          <w:jc w:val="center"/>
        </w:trPr>
        <w:tc>
          <w:tcPr>
            <w:tcW w:w="0" w:type="auto"/>
            <w:vAlign w:val="center"/>
            <w:hideMark/>
          </w:tcPr>
          <w:p w:rsidR="00CB5D96" w:rsidRPr="00CB5D96" w:rsidRDefault="00CB5D96" w:rsidP="00CB5D96">
            <w:pPr>
              <w:widowControl/>
              <w:jc w:val="center"/>
              <w:rPr>
                <w:rFonts w:ascii="宋体" w:eastAsia="宋体" w:hAnsi="宋体" w:cs="宋体"/>
                <w:b/>
                <w:bCs/>
                <w:kern w:val="0"/>
                <w:sz w:val="27"/>
                <w:szCs w:val="27"/>
              </w:rPr>
            </w:pPr>
            <w:r w:rsidRPr="00CB5D96">
              <w:rPr>
                <w:rFonts w:ascii="宋体" w:eastAsia="宋体" w:hAnsi="宋体" w:cs="宋体"/>
                <w:b/>
                <w:bCs/>
                <w:kern w:val="0"/>
                <w:sz w:val="27"/>
                <w:szCs w:val="27"/>
              </w:rPr>
              <w:t>技术参数打分表</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项目名称及编号: 硬件仿真加速器 A包 SZDL2021339012</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专家:郭晨</w:t>
            </w:r>
          </w:p>
        </w:tc>
      </w:tr>
    </w:tbl>
    <w:p w:rsidR="00CB5D96" w:rsidRPr="00CB5D96" w:rsidRDefault="00CB5D96" w:rsidP="00CB5D96">
      <w:pPr>
        <w:widowControl/>
        <w:jc w:val="center"/>
        <w:rPr>
          <w:rFonts w:ascii="宋体" w:eastAsia="宋体" w:hAnsi="宋体" w:cs="宋体"/>
          <w:vanish/>
          <w:kern w:val="0"/>
          <w:sz w:val="18"/>
          <w:szCs w:val="18"/>
        </w:rPr>
      </w:pPr>
    </w:p>
    <w:tbl>
      <w:tblPr>
        <w:tblW w:w="4250" w:type="pct"/>
        <w:jc w:val="center"/>
        <w:tblCellSpacing w:w="0" w:type="dxa"/>
        <w:tblCellMar>
          <w:top w:w="15" w:type="dxa"/>
          <w:left w:w="15" w:type="dxa"/>
          <w:bottom w:w="15" w:type="dxa"/>
          <w:right w:w="15" w:type="dxa"/>
        </w:tblCellMar>
        <w:tblLook w:val="04A0" w:firstRow="1" w:lastRow="0" w:firstColumn="1" w:lastColumn="0" w:noHBand="0" w:noVBand="1"/>
      </w:tblPr>
      <w:tblGrid>
        <w:gridCol w:w="1590"/>
        <w:gridCol w:w="1804"/>
        <w:gridCol w:w="1134"/>
        <w:gridCol w:w="1418"/>
        <w:gridCol w:w="1101"/>
      </w:tblGrid>
      <w:tr w:rsidR="00CB5D96" w:rsidRPr="00CB5D96" w:rsidTr="00CB5D96">
        <w:trPr>
          <w:tblHeader/>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评分项</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上海芯桥信息技术有限公司</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深圳市纽创信安科技开发有限公司</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上海智慧湾科学技术有限公司</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1. 技术部分(52%)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90.0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85.0</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2. 商务部分(13%)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33.4</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rHeight w:val="600"/>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备注：</w:t>
            </w:r>
          </w:p>
        </w:tc>
        <w:tc>
          <w:tcPr>
            <w:tcW w:w="5457" w:type="dxa"/>
            <w:gridSpan w:val="4"/>
            <w:tcBorders>
              <w:top w:val="single" w:sz="6" w:space="0" w:color="000000"/>
              <w:left w:val="single" w:sz="2"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 xml:space="preserve">  </w:t>
            </w:r>
          </w:p>
        </w:tc>
      </w:tr>
    </w:tbl>
    <w:p w:rsidR="00CB5D96" w:rsidRPr="00CB5D96" w:rsidRDefault="00CB5D96" w:rsidP="00CB5D96">
      <w:pPr>
        <w:widowControl/>
        <w:jc w:val="center"/>
        <w:rPr>
          <w:rFonts w:ascii="宋体" w:eastAsia="宋体" w:hAnsi="宋体" w:cs="宋体"/>
          <w:kern w:val="0"/>
          <w:sz w:val="18"/>
          <w:szCs w:val="18"/>
        </w:rPr>
      </w:pPr>
      <w:r w:rsidRPr="00CB5D96">
        <w:rPr>
          <w:rFonts w:ascii="宋体" w:eastAsia="宋体" w:hAnsi="宋体" w:cs="宋体"/>
          <w:kern w:val="0"/>
          <w:sz w:val="18"/>
          <w:szCs w:val="18"/>
        </w:rPr>
        <w:br w:type="page"/>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060"/>
      </w:tblGrid>
      <w:tr w:rsidR="00CB5D96" w:rsidRPr="00CB5D96" w:rsidTr="00CB5D96">
        <w:trPr>
          <w:tblCellSpacing w:w="15" w:type="dxa"/>
          <w:jc w:val="center"/>
        </w:trPr>
        <w:tc>
          <w:tcPr>
            <w:tcW w:w="0" w:type="auto"/>
            <w:vAlign w:val="center"/>
            <w:hideMark/>
          </w:tcPr>
          <w:p w:rsidR="00CB5D96" w:rsidRPr="00CB5D96" w:rsidRDefault="00CB5D96" w:rsidP="00CB5D96">
            <w:pPr>
              <w:widowControl/>
              <w:jc w:val="center"/>
              <w:rPr>
                <w:rFonts w:ascii="宋体" w:eastAsia="宋体" w:hAnsi="宋体" w:cs="宋体"/>
                <w:b/>
                <w:bCs/>
                <w:kern w:val="0"/>
                <w:sz w:val="27"/>
                <w:szCs w:val="27"/>
              </w:rPr>
            </w:pPr>
            <w:r w:rsidRPr="00CB5D96">
              <w:rPr>
                <w:rFonts w:ascii="宋体" w:eastAsia="宋体" w:hAnsi="宋体" w:cs="宋体"/>
                <w:b/>
                <w:bCs/>
                <w:kern w:val="0"/>
                <w:sz w:val="27"/>
                <w:szCs w:val="27"/>
              </w:rPr>
              <w:lastRenderedPageBreak/>
              <w:t>技术参数打分表</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项目名称及编号: 硬件仿真加速器 A包 SZDL2021339012</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专家:张福萍</w:t>
            </w:r>
          </w:p>
        </w:tc>
      </w:tr>
    </w:tbl>
    <w:p w:rsidR="00CB5D96" w:rsidRPr="00CB5D96" w:rsidRDefault="00CB5D96" w:rsidP="00CB5D96">
      <w:pPr>
        <w:widowControl/>
        <w:jc w:val="center"/>
        <w:rPr>
          <w:rFonts w:ascii="宋体" w:eastAsia="宋体" w:hAnsi="宋体" w:cs="宋体"/>
          <w:vanish/>
          <w:kern w:val="0"/>
          <w:sz w:val="18"/>
          <w:szCs w:val="18"/>
        </w:rPr>
      </w:pPr>
    </w:p>
    <w:tbl>
      <w:tblPr>
        <w:tblW w:w="4250" w:type="pct"/>
        <w:jc w:val="center"/>
        <w:tblCellSpacing w:w="0" w:type="dxa"/>
        <w:tblCellMar>
          <w:top w:w="15" w:type="dxa"/>
          <w:left w:w="15" w:type="dxa"/>
          <w:bottom w:w="15" w:type="dxa"/>
          <w:right w:w="15" w:type="dxa"/>
        </w:tblCellMar>
        <w:tblLook w:val="04A0" w:firstRow="1" w:lastRow="0" w:firstColumn="1" w:lastColumn="0" w:noHBand="0" w:noVBand="1"/>
      </w:tblPr>
      <w:tblGrid>
        <w:gridCol w:w="1590"/>
        <w:gridCol w:w="1946"/>
        <w:gridCol w:w="1134"/>
        <w:gridCol w:w="1276"/>
        <w:gridCol w:w="1101"/>
      </w:tblGrid>
      <w:tr w:rsidR="00CB5D96" w:rsidRPr="00CB5D96" w:rsidTr="00CB5D96">
        <w:trPr>
          <w:tblHeader/>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评分项</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上海芯桥信息技术有限公司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深圳市纽创信安科技开发有限公司</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上海智慧湾科学技术有限公司</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1. 技术部分(52%)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90.0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85.0</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2. 商务部分(13%)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33.4</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rHeight w:val="600"/>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备注：</w:t>
            </w:r>
          </w:p>
        </w:tc>
        <w:tc>
          <w:tcPr>
            <w:tcW w:w="5457" w:type="dxa"/>
            <w:gridSpan w:val="4"/>
            <w:tcBorders>
              <w:top w:val="single" w:sz="6" w:space="0" w:color="000000"/>
              <w:left w:val="single" w:sz="2"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 xml:space="preserve">  </w:t>
            </w:r>
          </w:p>
        </w:tc>
      </w:tr>
    </w:tbl>
    <w:p w:rsidR="00CB5D96" w:rsidRPr="00CB5D96" w:rsidRDefault="00CB5D96" w:rsidP="00CB5D96">
      <w:pPr>
        <w:widowControl/>
        <w:jc w:val="center"/>
        <w:rPr>
          <w:rFonts w:ascii="宋体" w:eastAsia="宋体" w:hAnsi="宋体" w:cs="宋体"/>
          <w:kern w:val="0"/>
          <w:sz w:val="18"/>
          <w:szCs w:val="18"/>
        </w:rPr>
      </w:pPr>
      <w:r w:rsidRPr="00CB5D96">
        <w:rPr>
          <w:rFonts w:ascii="宋体" w:eastAsia="宋体" w:hAnsi="宋体" w:cs="宋体"/>
          <w:kern w:val="0"/>
          <w:sz w:val="18"/>
          <w:szCs w:val="18"/>
        </w:rPr>
        <w:br w:type="page"/>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060"/>
      </w:tblGrid>
      <w:tr w:rsidR="00CB5D96" w:rsidRPr="00CB5D96" w:rsidTr="00CB5D96">
        <w:trPr>
          <w:tblCellSpacing w:w="15" w:type="dxa"/>
          <w:jc w:val="center"/>
        </w:trPr>
        <w:tc>
          <w:tcPr>
            <w:tcW w:w="0" w:type="auto"/>
            <w:vAlign w:val="center"/>
            <w:hideMark/>
          </w:tcPr>
          <w:p w:rsidR="00CB5D96" w:rsidRPr="00CB5D96" w:rsidRDefault="00CB5D96" w:rsidP="00CB5D96">
            <w:pPr>
              <w:widowControl/>
              <w:jc w:val="center"/>
              <w:rPr>
                <w:rFonts w:ascii="宋体" w:eastAsia="宋体" w:hAnsi="宋体" w:cs="宋体"/>
                <w:b/>
                <w:bCs/>
                <w:kern w:val="0"/>
                <w:sz w:val="27"/>
                <w:szCs w:val="27"/>
              </w:rPr>
            </w:pPr>
            <w:r w:rsidRPr="00CB5D96">
              <w:rPr>
                <w:rFonts w:ascii="宋体" w:eastAsia="宋体" w:hAnsi="宋体" w:cs="宋体"/>
                <w:b/>
                <w:bCs/>
                <w:kern w:val="0"/>
                <w:sz w:val="27"/>
                <w:szCs w:val="27"/>
              </w:rPr>
              <w:lastRenderedPageBreak/>
              <w:t>技术参数打分表</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项目名称及编号: 硬件仿真加速器 A包 SZDL2021339012</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专家:陆芸婷</w:t>
            </w:r>
          </w:p>
        </w:tc>
      </w:tr>
    </w:tbl>
    <w:p w:rsidR="00CB5D96" w:rsidRPr="00CB5D96" w:rsidRDefault="00CB5D96" w:rsidP="00CB5D96">
      <w:pPr>
        <w:widowControl/>
        <w:jc w:val="center"/>
        <w:rPr>
          <w:rFonts w:ascii="宋体" w:eastAsia="宋体" w:hAnsi="宋体" w:cs="宋体"/>
          <w:vanish/>
          <w:kern w:val="0"/>
          <w:sz w:val="18"/>
          <w:szCs w:val="18"/>
        </w:rPr>
      </w:pPr>
    </w:p>
    <w:tbl>
      <w:tblPr>
        <w:tblW w:w="4250" w:type="pct"/>
        <w:jc w:val="center"/>
        <w:tblCellSpacing w:w="0" w:type="dxa"/>
        <w:tblCellMar>
          <w:top w:w="15" w:type="dxa"/>
          <w:left w:w="15" w:type="dxa"/>
          <w:bottom w:w="15" w:type="dxa"/>
          <w:right w:w="15" w:type="dxa"/>
        </w:tblCellMar>
        <w:tblLook w:val="04A0" w:firstRow="1" w:lastRow="0" w:firstColumn="1" w:lastColumn="0" w:noHBand="0" w:noVBand="1"/>
      </w:tblPr>
      <w:tblGrid>
        <w:gridCol w:w="1590"/>
        <w:gridCol w:w="1946"/>
        <w:gridCol w:w="1134"/>
        <w:gridCol w:w="1276"/>
        <w:gridCol w:w="1101"/>
      </w:tblGrid>
      <w:tr w:rsidR="00CB5D96" w:rsidRPr="00CB5D96" w:rsidTr="00CB5D96">
        <w:trPr>
          <w:tblHeader/>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评分项</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上海芯桥信息技术有限公司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深圳市纽创信安科技开发有限公司</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上海智慧湾科学技术有限公司</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1. 技术部分(52%)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90.0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85.0</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2. 商务部分(13%)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33.4</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rHeight w:val="600"/>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备注：</w:t>
            </w:r>
          </w:p>
        </w:tc>
        <w:tc>
          <w:tcPr>
            <w:tcW w:w="5457" w:type="dxa"/>
            <w:gridSpan w:val="4"/>
            <w:tcBorders>
              <w:top w:val="single" w:sz="6" w:space="0" w:color="000000"/>
              <w:left w:val="single" w:sz="2"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 xml:space="preserve">  </w:t>
            </w:r>
          </w:p>
        </w:tc>
      </w:tr>
    </w:tbl>
    <w:p w:rsidR="00CB5D96" w:rsidRPr="00CB5D96" w:rsidRDefault="00CB5D96" w:rsidP="00CB5D96">
      <w:pPr>
        <w:widowControl/>
        <w:jc w:val="center"/>
        <w:rPr>
          <w:rFonts w:ascii="宋体" w:eastAsia="宋体" w:hAnsi="宋体" w:cs="宋体"/>
          <w:kern w:val="0"/>
          <w:sz w:val="18"/>
          <w:szCs w:val="18"/>
        </w:rPr>
      </w:pPr>
      <w:r w:rsidRPr="00CB5D96">
        <w:rPr>
          <w:rFonts w:ascii="宋体" w:eastAsia="宋体" w:hAnsi="宋体" w:cs="宋体"/>
          <w:kern w:val="0"/>
          <w:sz w:val="18"/>
          <w:szCs w:val="18"/>
        </w:rPr>
        <w:br w:type="page"/>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060"/>
      </w:tblGrid>
      <w:tr w:rsidR="00CB5D96" w:rsidRPr="00CB5D96" w:rsidTr="00CB5D96">
        <w:trPr>
          <w:tblCellSpacing w:w="15" w:type="dxa"/>
          <w:jc w:val="center"/>
        </w:trPr>
        <w:tc>
          <w:tcPr>
            <w:tcW w:w="0" w:type="auto"/>
            <w:vAlign w:val="center"/>
            <w:hideMark/>
          </w:tcPr>
          <w:p w:rsidR="00CB5D96" w:rsidRPr="00CB5D96" w:rsidRDefault="00CB5D96" w:rsidP="00CB5D96">
            <w:pPr>
              <w:widowControl/>
              <w:jc w:val="center"/>
              <w:rPr>
                <w:rFonts w:ascii="宋体" w:eastAsia="宋体" w:hAnsi="宋体" w:cs="宋体"/>
                <w:b/>
                <w:bCs/>
                <w:kern w:val="0"/>
                <w:sz w:val="27"/>
                <w:szCs w:val="27"/>
              </w:rPr>
            </w:pPr>
            <w:r w:rsidRPr="00CB5D96">
              <w:rPr>
                <w:rFonts w:ascii="宋体" w:eastAsia="宋体" w:hAnsi="宋体" w:cs="宋体"/>
                <w:b/>
                <w:bCs/>
                <w:kern w:val="0"/>
                <w:sz w:val="27"/>
                <w:szCs w:val="27"/>
              </w:rPr>
              <w:lastRenderedPageBreak/>
              <w:t>技术参数打分表</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项目名称及编号: 硬件仿真加速器 A包 SZDL2021339012</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专家:唐斌</w:t>
            </w:r>
          </w:p>
        </w:tc>
      </w:tr>
    </w:tbl>
    <w:p w:rsidR="00CB5D96" w:rsidRPr="00CB5D96" w:rsidRDefault="00CB5D96" w:rsidP="00CB5D96">
      <w:pPr>
        <w:widowControl/>
        <w:jc w:val="center"/>
        <w:rPr>
          <w:rFonts w:ascii="宋体" w:eastAsia="宋体" w:hAnsi="宋体" w:cs="宋体"/>
          <w:vanish/>
          <w:kern w:val="0"/>
          <w:sz w:val="18"/>
          <w:szCs w:val="18"/>
        </w:rPr>
      </w:pPr>
    </w:p>
    <w:tbl>
      <w:tblPr>
        <w:tblW w:w="4250" w:type="pct"/>
        <w:jc w:val="center"/>
        <w:tblCellSpacing w:w="0" w:type="dxa"/>
        <w:tblCellMar>
          <w:top w:w="15" w:type="dxa"/>
          <w:left w:w="15" w:type="dxa"/>
          <w:bottom w:w="15" w:type="dxa"/>
          <w:right w:w="15" w:type="dxa"/>
        </w:tblCellMar>
        <w:tblLook w:val="04A0" w:firstRow="1" w:lastRow="0" w:firstColumn="1" w:lastColumn="0" w:noHBand="0" w:noVBand="1"/>
      </w:tblPr>
      <w:tblGrid>
        <w:gridCol w:w="1590"/>
        <w:gridCol w:w="1946"/>
        <w:gridCol w:w="1134"/>
        <w:gridCol w:w="1276"/>
        <w:gridCol w:w="1101"/>
      </w:tblGrid>
      <w:tr w:rsidR="00CB5D96" w:rsidRPr="00CB5D96" w:rsidTr="00CB5D96">
        <w:trPr>
          <w:tblHeader/>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评分项</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上海芯桥信息技术有限公司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深圳市纽创信安科技开发有限公司</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上海智慧湾科学技术有限公司</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1. 技术部分(52%)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90.0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85.0</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2. 商务部分(13%) </w:t>
            </w: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33.4</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94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rHeight w:val="600"/>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备注：</w:t>
            </w:r>
          </w:p>
        </w:tc>
        <w:tc>
          <w:tcPr>
            <w:tcW w:w="5457" w:type="dxa"/>
            <w:gridSpan w:val="4"/>
            <w:tcBorders>
              <w:top w:val="single" w:sz="6" w:space="0" w:color="000000"/>
              <w:left w:val="single" w:sz="2"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 xml:space="preserve">  </w:t>
            </w:r>
          </w:p>
        </w:tc>
      </w:tr>
    </w:tbl>
    <w:p w:rsidR="00CB5D96" w:rsidRPr="00CB5D96" w:rsidRDefault="00CB5D96" w:rsidP="00CB5D96">
      <w:pPr>
        <w:widowControl/>
        <w:jc w:val="center"/>
        <w:rPr>
          <w:rFonts w:ascii="宋体" w:eastAsia="宋体" w:hAnsi="宋体" w:cs="宋体"/>
          <w:kern w:val="0"/>
          <w:sz w:val="18"/>
          <w:szCs w:val="18"/>
        </w:rPr>
      </w:pPr>
      <w:r w:rsidRPr="00CB5D96">
        <w:rPr>
          <w:rFonts w:ascii="宋体" w:eastAsia="宋体" w:hAnsi="宋体" w:cs="宋体"/>
          <w:kern w:val="0"/>
          <w:sz w:val="18"/>
          <w:szCs w:val="18"/>
        </w:rPr>
        <w:br w:type="page"/>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060"/>
      </w:tblGrid>
      <w:tr w:rsidR="00CB5D96" w:rsidRPr="00CB5D96" w:rsidTr="00CB5D96">
        <w:trPr>
          <w:tblCellSpacing w:w="15" w:type="dxa"/>
          <w:jc w:val="center"/>
        </w:trPr>
        <w:tc>
          <w:tcPr>
            <w:tcW w:w="0" w:type="auto"/>
            <w:vAlign w:val="center"/>
            <w:hideMark/>
          </w:tcPr>
          <w:p w:rsidR="00CB5D96" w:rsidRPr="00CB5D96" w:rsidRDefault="00CB5D96" w:rsidP="00CB5D96">
            <w:pPr>
              <w:widowControl/>
              <w:jc w:val="center"/>
              <w:rPr>
                <w:rFonts w:ascii="宋体" w:eastAsia="宋体" w:hAnsi="宋体" w:cs="宋体"/>
                <w:b/>
                <w:bCs/>
                <w:kern w:val="0"/>
                <w:sz w:val="27"/>
                <w:szCs w:val="27"/>
              </w:rPr>
            </w:pPr>
            <w:r w:rsidRPr="00CB5D96">
              <w:rPr>
                <w:rFonts w:ascii="宋体" w:eastAsia="宋体" w:hAnsi="宋体" w:cs="宋体"/>
                <w:b/>
                <w:bCs/>
                <w:kern w:val="0"/>
                <w:sz w:val="27"/>
                <w:szCs w:val="27"/>
              </w:rPr>
              <w:lastRenderedPageBreak/>
              <w:t>技术参数打分表</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项目名称及编号: 硬件仿真加速器 A包 SZDL2021339012</w:t>
            </w:r>
          </w:p>
          <w:p w:rsidR="00CB5D96" w:rsidRPr="00CB5D96" w:rsidRDefault="00CB5D96" w:rsidP="00CB5D96">
            <w:pPr>
              <w:widowControl/>
              <w:jc w:val="left"/>
              <w:rPr>
                <w:rFonts w:ascii="宋体" w:eastAsia="宋体" w:hAnsi="宋体" w:cs="宋体"/>
                <w:kern w:val="0"/>
                <w:sz w:val="18"/>
                <w:szCs w:val="18"/>
              </w:rPr>
            </w:pPr>
            <w:r w:rsidRPr="00CB5D96">
              <w:rPr>
                <w:rFonts w:ascii="宋体" w:eastAsia="宋体" w:hAnsi="宋体" w:cs="宋体"/>
                <w:b/>
                <w:bCs/>
                <w:kern w:val="0"/>
                <w:sz w:val="18"/>
                <w:szCs w:val="18"/>
              </w:rPr>
              <w:t>专家:王双飞</w:t>
            </w:r>
          </w:p>
        </w:tc>
      </w:tr>
    </w:tbl>
    <w:p w:rsidR="00CB5D96" w:rsidRPr="00CB5D96" w:rsidRDefault="00CB5D96" w:rsidP="00CB5D96">
      <w:pPr>
        <w:widowControl/>
        <w:jc w:val="center"/>
        <w:rPr>
          <w:rFonts w:ascii="宋体" w:eastAsia="宋体" w:hAnsi="宋体" w:cs="宋体"/>
          <w:vanish/>
          <w:kern w:val="0"/>
          <w:sz w:val="18"/>
          <w:szCs w:val="18"/>
        </w:rPr>
      </w:pPr>
    </w:p>
    <w:tbl>
      <w:tblPr>
        <w:tblW w:w="4250" w:type="pct"/>
        <w:jc w:val="center"/>
        <w:tblCellSpacing w:w="0" w:type="dxa"/>
        <w:tblCellMar>
          <w:top w:w="15" w:type="dxa"/>
          <w:left w:w="15" w:type="dxa"/>
          <w:bottom w:w="15" w:type="dxa"/>
          <w:right w:w="15" w:type="dxa"/>
        </w:tblCellMar>
        <w:tblLook w:val="04A0" w:firstRow="1" w:lastRow="0" w:firstColumn="1" w:lastColumn="0" w:noHBand="0" w:noVBand="1"/>
      </w:tblPr>
      <w:tblGrid>
        <w:gridCol w:w="1590"/>
        <w:gridCol w:w="1804"/>
        <w:gridCol w:w="1134"/>
        <w:gridCol w:w="1418"/>
        <w:gridCol w:w="1101"/>
      </w:tblGrid>
      <w:tr w:rsidR="00CB5D96" w:rsidRPr="00CB5D96" w:rsidTr="00CB5D96">
        <w:trPr>
          <w:tblHeader/>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评分项</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上海芯桥信息技术有限公司</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深圳市纽创信安科技开发有限公司</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上海智慧湾科学技术有限公司</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1. 技术部分(52%)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60.0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90.0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85.0</w:t>
            </w:r>
          </w:p>
        </w:tc>
      </w:tr>
      <w:tr w:rsidR="00CB5D96" w:rsidRPr="00CB5D96" w:rsidTr="00CB5D96">
        <w:trPr>
          <w:trHeight w:val="450"/>
          <w:tblCellSpacing w:w="0" w:type="dxa"/>
          <w:jc w:val="center"/>
        </w:trPr>
        <w:tc>
          <w:tcPr>
            <w:tcW w:w="1590" w:type="dxa"/>
            <w:vMerge w:val="restar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bookmarkStart w:id="0" w:name="_GoBack"/>
            <w:bookmarkEnd w:id="0"/>
          </w:p>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 xml:space="preserve">2. 商务部分(13%)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33.4</w:t>
            </w:r>
          </w:p>
        </w:tc>
      </w:tr>
      <w:tr w:rsidR="00CB5D96" w:rsidRPr="00CB5D96" w:rsidTr="00CB5D96">
        <w:trPr>
          <w:tblCellSpacing w:w="0" w:type="dxa"/>
          <w:jc w:val="center"/>
        </w:trPr>
        <w:tc>
          <w:tcPr>
            <w:tcW w:w="1590" w:type="dxa"/>
            <w:vMerge/>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p>
        </w:tc>
        <w:tc>
          <w:tcPr>
            <w:tcW w:w="180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100.0</w:t>
            </w:r>
          </w:p>
        </w:tc>
      </w:tr>
      <w:tr w:rsidR="00CB5D96" w:rsidRPr="00CB5D96" w:rsidTr="00CB5D96">
        <w:trPr>
          <w:trHeight w:val="600"/>
          <w:tblCellSpacing w:w="0" w:type="dxa"/>
          <w:jc w:val="center"/>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备注：</w:t>
            </w:r>
          </w:p>
        </w:tc>
        <w:tc>
          <w:tcPr>
            <w:tcW w:w="5457" w:type="dxa"/>
            <w:gridSpan w:val="4"/>
            <w:tcBorders>
              <w:top w:val="single" w:sz="6" w:space="0" w:color="000000"/>
              <w:left w:val="single" w:sz="2"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24"/>
                <w:szCs w:val="24"/>
              </w:rPr>
            </w:pPr>
            <w:r w:rsidRPr="00CB5D96">
              <w:rPr>
                <w:rFonts w:ascii="宋体" w:eastAsia="宋体" w:hAnsi="宋体" w:cs="宋体"/>
                <w:kern w:val="0"/>
                <w:sz w:val="24"/>
                <w:szCs w:val="24"/>
              </w:rPr>
              <w:t xml:space="preserve">  </w:t>
            </w:r>
          </w:p>
        </w:tc>
      </w:tr>
    </w:tbl>
    <w:p w:rsidR="00CB5D96" w:rsidRPr="00CB5D96" w:rsidRDefault="00CB5D96" w:rsidP="00CB5D96">
      <w:pPr>
        <w:widowControl/>
        <w:jc w:val="center"/>
        <w:rPr>
          <w:rFonts w:ascii="宋体" w:eastAsia="宋体" w:hAnsi="宋体" w:cs="宋体"/>
          <w:vanish/>
          <w:kern w:val="0"/>
          <w:sz w:val="18"/>
          <w:szCs w:val="18"/>
        </w:rPr>
      </w:pPr>
      <w:r w:rsidRPr="00CB5D96">
        <w:rPr>
          <w:rFonts w:ascii="宋体" w:eastAsia="宋体" w:hAnsi="宋体" w:cs="宋体"/>
          <w:kern w:val="0"/>
          <w:sz w:val="18"/>
          <w:szCs w:val="18"/>
        </w:rPr>
        <w:br w:type="page"/>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961"/>
        <w:gridCol w:w="4329"/>
      </w:tblGrid>
      <w:tr w:rsidR="00CB5D96" w:rsidRPr="00CB5D96" w:rsidTr="008A084F">
        <w:trPr>
          <w:tblHeader/>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评分因素</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center"/>
              <w:rPr>
                <w:rFonts w:ascii="宋体" w:eastAsia="宋体" w:hAnsi="宋体" w:cs="宋体"/>
                <w:b/>
                <w:bCs/>
                <w:kern w:val="0"/>
                <w:sz w:val="24"/>
                <w:szCs w:val="24"/>
              </w:rPr>
            </w:pPr>
            <w:r w:rsidRPr="00CB5D96">
              <w:rPr>
                <w:rFonts w:ascii="宋体" w:eastAsia="宋体" w:hAnsi="宋体" w:cs="宋体"/>
                <w:b/>
                <w:bCs/>
                <w:kern w:val="0"/>
                <w:sz w:val="24"/>
                <w:szCs w:val="24"/>
              </w:rPr>
              <w:t>评分规则</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(3%)技术保障措施</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在投标文件中详细说明保障措施（包括技术团队、技术方案、技术人员等），评审委员会根据响应情况进行比较。 优良中差评分标准： （1）投标文件响应内容全面； （2）投标文件响应内容具体； （3）投标文件响应内容针对性强； （4）投标文件响应内容科学合理； （5）投标文件响应内容可操作性强。 满足以上五项要求的评价为优，得100%分。 满足以上四项要求的评价为良，得80%分。 满足以上三项要求的评价为中，得60%分。 其它情况的评价为差，不得分。</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(49%)技术规格偏离情况</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应如实填写《技术规格偏离表》，评审委员会根据技术需求参数响应情况进行打分，各项技术参数指标及要求全部满足的得满分，重点参数（▲标记）每负偏离一项扣10%分，一般参数（没有标记）每负偏离一项扣5%分。扣完为止。正偏离不加分。</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(3%)免费保修期内售后服务条款偏离情况</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投标人应如实填写《免费保修期内售后服务条款偏离表》，评审委员会根据响应情况进行打分： 全部满足要求的得满分，每负偏离一项扣25%分，扣完为止。</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(1%)免费保修期外售后服务条款偏离情况</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投标人应如实填写《免费保修期外售后服务要求条款偏离表》，评审委员会根据响应情况进行打分： 全部满足要求的得满分，每负偏离一项扣33.4%分，扣完为止。</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(1%)其他商务条款偏离情况</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投标人应如实填写《其他商务条款偏离表》，评审委员会根据响应情况进行打分： 全部满足要求的得满分，每负偏离一项扣12.5%分，扣完为止。</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(3%)投标人近三年同类业绩（以合同时间为准，截止日为本项目公告发布之日）</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投标人每提供一个近三年（2018年6月1日至今）投标人相关销售业绩，得33.4%分，满分100%分。 提供合同关键页扫描件，原件备查。 评分中出现无证明资料或专家无法凭所提供资料判断是否得分的情况，一律作不得分处理。（非单一产品采购项目，根据技术构成、产品价格比重等合理确定核心产品，并在招标文件中载明。）</w:t>
            </w:r>
          </w:p>
        </w:tc>
      </w:tr>
      <w:tr w:rsidR="00CB5D96" w:rsidRPr="00CB5D96" w:rsidTr="008A084F">
        <w:trPr>
          <w:trHeight w:val="450"/>
          <w:tblCellSpacing w:w="0" w:type="dxa"/>
          <w:jc w:val="center"/>
        </w:trPr>
        <w:tc>
          <w:tcPr>
            <w:tcW w:w="2389"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(5%)诚信</w:t>
            </w:r>
          </w:p>
        </w:tc>
        <w:tc>
          <w:tcPr>
            <w:tcW w:w="2611" w:type="pct"/>
            <w:tcBorders>
              <w:top w:val="single" w:sz="6" w:space="0" w:color="000000"/>
              <w:left w:val="single" w:sz="6" w:space="0" w:color="000000"/>
              <w:bottom w:val="single" w:sz="6" w:space="0" w:color="000000"/>
              <w:right w:val="single" w:sz="6" w:space="0" w:color="000000"/>
            </w:tcBorders>
            <w:vAlign w:val="center"/>
            <w:hideMark/>
          </w:tcPr>
          <w:p w:rsidR="00CB5D96" w:rsidRPr="00CB5D96" w:rsidRDefault="00CB5D96" w:rsidP="00CB5D96">
            <w:pPr>
              <w:widowControl/>
              <w:wordWrap w:val="0"/>
              <w:jc w:val="left"/>
              <w:rPr>
                <w:rFonts w:ascii="宋体" w:eastAsia="宋体" w:hAnsi="宋体" w:cs="宋体"/>
                <w:kern w:val="0"/>
                <w:sz w:val="18"/>
                <w:szCs w:val="18"/>
              </w:rPr>
            </w:pPr>
            <w:r w:rsidRPr="00CB5D96">
              <w:rPr>
                <w:rFonts w:ascii="宋体" w:eastAsia="宋体" w:hAnsi="宋体" w:cs="宋体"/>
                <w:kern w:val="0"/>
                <w:sz w:val="18"/>
                <w:szCs w:val="18"/>
              </w:rPr>
              <w:t>投标人在参与政府采购活动中存在诚信相关问题且在主管部门相关处理措施实施期限内的，本项不得分，否则得满分。投标人无需提供任何证明材料，由工作人员向评审委员会提供相关信息。</w:t>
            </w:r>
          </w:p>
        </w:tc>
      </w:tr>
    </w:tbl>
    <w:p w:rsidR="00130114" w:rsidRPr="00CB5D96" w:rsidRDefault="00130114"/>
    <w:sectPr w:rsidR="00130114" w:rsidRPr="00CB5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3BB" w:rsidRDefault="00A653BB" w:rsidP="00CB5D96">
      <w:r>
        <w:separator/>
      </w:r>
    </w:p>
  </w:endnote>
  <w:endnote w:type="continuationSeparator" w:id="0">
    <w:p w:rsidR="00A653BB" w:rsidRDefault="00A653BB" w:rsidP="00CB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3BB" w:rsidRDefault="00A653BB" w:rsidP="00CB5D96">
      <w:r>
        <w:separator/>
      </w:r>
    </w:p>
  </w:footnote>
  <w:footnote w:type="continuationSeparator" w:id="0">
    <w:p w:rsidR="00A653BB" w:rsidRDefault="00A653BB" w:rsidP="00CB5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A3"/>
    <w:rsid w:val="00130114"/>
    <w:rsid w:val="008A084F"/>
    <w:rsid w:val="00A653BB"/>
    <w:rsid w:val="00CB5D96"/>
    <w:rsid w:val="00EA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C00F4E-DCCA-42BF-B57C-B38F8B64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5D96"/>
    <w:rPr>
      <w:sz w:val="18"/>
      <w:szCs w:val="18"/>
    </w:rPr>
  </w:style>
  <w:style w:type="paragraph" w:styleId="a4">
    <w:name w:val="footer"/>
    <w:basedOn w:val="a"/>
    <w:link w:val="Char0"/>
    <w:uiPriority w:val="99"/>
    <w:unhideWhenUsed/>
    <w:rsid w:val="00CB5D96"/>
    <w:pPr>
      <w:tabs>
        <w:tab w:val="center" w:pos="4153"/>
        <w:tab w:val="right" w:pos="8306"/>
      </w:tabs>
      <w:snapToGrid w:val="0"/>
      <w:jc w:val="left"/>
    </w:pPr>
    <w:rPr>
      <w:sz w:val="18"/>
      <w:szCs w:val="18"/>
    </w:rPr>
  </w:style>
  <w:style w:type="character" w:customStyle="1" w:styleId="Char0">
    <w:name w:val="页脚 Char"/>
    <w:basedOn w:val="a0"/>
    <w:link w:val="a4"/>
    <w:uiPriority w:val="99"/>
    <w:rsid w:val="00CB5D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6950">
      <w:bodyDiv w:val="1"/>
      <w:marLeft w:val="0"/>
      <w:marRight w:val="0"/>
      <w:marTop w:val="0"/>
      <w:marBottom w:val="0"/>
      <w:divBdr>
        <w:top w:val="none" w:sz="0" w:space="0" w:color="auto"/>
        <w:left w:val="none" w:sz="0" w:space="0" w:color="auto"/>
        <w:bottom w:val="none" w:sz="0" w:space="0" w:color="auto"/>
        <w:right w:val="none" w:sz="0" w:space="0" w:color="auto"/>
      </w:divBdr>
      <w:divsChild>
        <w:div w:id="1128083292">
          <w:marLeft w:val="0"/>
          <w:marRight w:val="0"/>
          <w:marTop w:val="0"/>
          <w:marBottom w:val="0"/>
          <w:divBdr>
            <w:top w:val="none" w:sz="0" w:space="0" w:color="auto"/>
            <w:left w:val="none" w:sz="0" w:space="0" w:color="auto"/>
            <w:bottom w:val="none" w:sz="0" w:space="0" w:color="auto"/>
            <w:right w:val="none" w:sz="0" w:space="0" w:color="auto"/>
          </w:divBdr>
        </w:div>
        <w:div w:id="27722108">
          <w:marLeft w:val="0"/>
          <w:marRight w:val="0"/>
          <w:marTop w:val="0"/>
          <w:marBottom w:val="0"/>
          <w:divBdr>
            <w:top w:val="none" w:sz="0" w:space="0" w:color="auto"/>
            <w:left w:val="none" w:sz="0" w:space="0" w:color="auto"/>
            <w:bottom w:val="none" w:sz="0" w:space="0" w:color="auto"/>
            <w:right w:val="none" w:sz="0" w:space="0" w:color="auto"/>
          </w:divBdr>
        </w:div>
        <w:div w:id="295793677">
          <w:marLeft w:val="0"/>
          <w:marRight w:val="0"/>
          <w:marTop w:val="0"/>
          <w:marBottom w:val="0"/>
          <w:divBdr>
            <w:top w:val="none" w:sz="0" w:space="0" w:color="auto"/>
            <w:left w:val="none" w:sz="0" w:space="0" w:color="auto"/>
            <w:bottom w:val="none" w:sz="0" w:space="0" w:color="auto"/>
            <w:right w:val="none" w:sz="0" w:space="0" w:color="auto"/>
          </w:divBdr>
        </w:div>
        <w:div w:id="1258368817">
          <w:marLeft w:val="0"/>
          <w:marRight w:val="0"/>
          <w:marTop w:val="0"/>
          <w:marBottom w:val="0"/>
          <w:divBdr>
            <w:top w:val="none" w:sz="0" w:space="0" w:color="auto"/>
            <w:left w:val="none" w:sz="0" w:space="0" w:color="auto"/>
            <w:bottom w:val="none" w:sz="0" w:space="0" w:color="auto"/>
            <w:right w:val="none" w:sz="0" w:space="0" w:color="auto"/>
          </w:divBdr>
        </w:div>
        <w:div w:id="213736765">
          <w:marLeft w:val="0"/>
          <w:marRight w:val="0"/>
          <w:marTop w:val="0"/>
          <w:marBottom w:val="0"/>
          <w:divBdr>
            <w:top w:val="none" w:sz="0" w:space="0" w:color="auto"/>
            <w:left w:val="none" w:sz="0" w:space="0" w:color="auto"/>
            <w:bottom w:val="none" w:sz="0" w:space="0" w:color="auto"/>
            <w:right w:val="none" w:sz="0" w:space="0" w:color="auto"/>
          </w:divBdr>
        </w:div>
        <w:div w:id="414204216">
          <w:marLeft w:val="0"/>
          <w:marRight w:val="0"/>
          <w:marTop w:val="0"/>
          <w:marBottom w:val="0"/>
          <w:divBdr>
            <w:top w:val="none" w:sz="0" w:space="0" w:color="auto"/>
            <w:left w:val="none" w:sz="0" w:space="0" w:color="auto"/>
            <w:bottom w:val="none" w:sz="0" w:space="0" w:color="auto"/>
            <w:right w:val="none" w:sz="0" w:space="0" w:color="auto"/>
          </w:divBdr>
        </w:div>
        <w:div w:id="540291505">
          <w:marLeft w:val="0"/>
          <w:marRight w:val="0"/>
          <w:marTop w:val="0"/>
          <w:marBottom w:val="0"/>
          <w:divBdr>
            <w:top w:val="none" w:sz="0" w:space="0" w:color="auto"/>
            <w:left w:val="none" w:sz="0" w:space="0" w:color="auto"/>
            <w:bottom w:val="none" w:sz="0" w:space="0" w:color="auto"/>
            <w:right w:val="none" w:sz="0" w:space="0" w:color="auto"/>
          </w:divBdr>
        </w:div>
        <w:div w:id="1802527540">
          <w:marLeft w:val="0"/>
          <w:marRight w:val="0"/>
          <w:marTop w:val="0"/>
          <w:marBottom w:val="0"/>
          <w:divBdr>
            <w:top w:val="none" w:sz="0" w:space="0" w:color="auto"/>
            <w:left w:val="none" w:sz="0" w:space="0" w:color="auto"/>
            <w:bottom w:val="none" w:sz="0" w:space="0" w:color="auto"/>
            <w:right w:val="none" w:sz="0" w:space="0" w:color="auto"/>
          </w:divBdr>
        </w:div>
        <w:div w:id="1958028218">
          <w:marLeft w:val="0"/>
          <w:marRight w:val="0"/>
          <w:marTop w:val="0"/>
          <w:marBottom w:val="0"/>
          <w:divBdr>
            <w:top w:val="none" w:sz="0" w:space="0" w:color="auto"/>
            <w:left w:val="none" w:sz="0" w:space="0" w:color="auto"/>
            <w:bottom w:val="none" w:sz="0" w:space="0" w:color="auto"/>
            <w:right w:val="none" w:sz="0" w:space="0" w:color="auto"/>
          </w:divBdr>
        </w:div>
        <w:div w:id="868838994">
          <w:marLeft w:val="0"/>
          <w:marRight w:val="0"/>
          <w:marTop w:val="0"/>
          <w:marBottom w:val="0"/>
          <w:divBdr>
            <w:top w:val="none" w:sz="0" w:space="0" w:color="auto"/>
            <w:left w:val="none" w:sz="0" w:space="0" w:color="auto"/>
            <w:bottom w:val="none" w:sz="0" w:space="0" w:color="auto"/>
            <w:right w:val="none" w:sz="0" w:space="0" w:color="auto"/>
          </w:divBdr>
        </w:div>
        <w:div w:id="1765689921">
          <w:marLeft w:val="0"/>
          <w:marRight w:val="0"/>
          <w:marTop w:val="0"/>
          <w:marBottom w:val="0"/>
          <w:divBdr>
            <w:top w:val="none" w:sz="0" w:space="0" w:color="auto"/>
            <w:left w:val="none" w:sz="0" w:space="0" w:color="auto"/>
            <w:bottom w:val="none" w:sz="0" w:space="0" w:color="auto"/>
            <w:right w:val="none" w:sz="0" w:space="0" w:color="auto"/>
          </w:divBdr>
        </w:div>
        <w:div w:id="1064647855">
          <w:marLeft w:val="0"/>
          <w:marRight w:val="0"/>
          <w:marTop w:val="0"/>
          <w:marBottom w:val="0"/>
          <w:divBdr>
            <w:top w:val="none" w:sz="0" w:space="0" w:color="auto"/>
            <w:left w:val="none" w:sz="0" w:space="0" w:color="auto"/>
            <w:bottom w:val="none" w:sz="0" w:space="0" w:color="auto"/>
            <w:right w:val="none" w:sz="0" w:space="0" w:color="auto"/>
          </w:divBdr>
        </w:div>
        <w:div w:id="760299454">
          <w:marLeft w:val="0"/>
          <w:marRight w:val="0"/>
          <w:marTop w:val="0"/>
          <w:marBottom w:val="0"/>
          <w:divBdr>
            <w:top w:val="none" w:sz="0" w:space="0" w:color="auto"/>
            <w:left w:val="none" w:sz="0" w:space="0" w:color="auto"/>
            <w:bottom w:val="none" w:sz="0" w:space="0" w:color="auto"/>
            <w:right w:val="none" w:sz="0" w:space="0" w:color="auto"/>
          </w:divBdr>
        </w:div>
        <w:div w:id="579411051">
          <w:marLeft w:val="0"/>
          <w:marRight w:val="0"/>
          <w:marTop w:val="0"/>
          <w:marBottom w:val="0"/>
          <w:divBdr>
            <w:top w:val="none" w:sz="0" w:space="0" w:color="auto"/>
            <w:left w:val="none" w:sz="0" w:space="0" w:color="auto"/>
            <w:bottom w:val="none" w:sz="0" w:space="0" w:color="auto"/>
            <w:right w:val="none" w:sz="0" w:space="0" w:color="auto"/>
          </w:divBdr>
        </w:div>
        <w:div w:id="1246723855">
          <w:marLeft w:val="0"/>
          <w:marRight w:val="0"/>
          <w:marTop w:val="0"/>
          <w:marBottom w:val="0"/>
          <w:divBdr>
            <w:top w:val="none" w:sz="0" w:space="0" w:color="auto"/>
            <w:left w:val="none" w:sz="0" w:space="0" w:color="auto"/>
            <w:bottom w:val="none" w:sz="0" w:space="0" w:color="auto"/>
            <w:right w:val="none" w:sz="0" w:space="0" w:color="auto"/>
          </w:divBdr>
        </w:div>
        <w:div w:id="549878713">
          <w:marLeft w:val="0"/>
          <w:marRight w:val="0"/>
          <w:marTop w:val="0"/>
          <w:marBottom w:val="0"/>
          <w:divBdr>
            <w:top w:val="none" w:sz="0" w:space="0" w:color="auto"/>
            <w:left w:val="none" w:sz="0" w:space="0" w:color="auto"/>
            <w:bottom w:val="none" w:sz="0" w:space="0" w:color="auto"/>
            <w:right w:val="none" w:sz="0" w:space="0" w:color="auto"/>
          </w:divBdr>
        </w:div>
        <w:div w:id="500121994">
          <w:marLeft w:val="0"/>
          <w:marRight w:val="0"/>
          <w:marTop w:val="0"/>
          <w:marBottom w:val="0"/>
          <w:divBdr>
            <w:top w:val="none" w:sz="0" w:space="0" w:color="auto"/>
            <w:left w:val="none" w:sz="0" w:space="0" w:color="auto"/>
            <w:bottom w:val="none" w:sz="0" w:space="0" w:color="auto"/>
            <w:right w:val="none" w:sz="0" w:space="0" w:color="auto"/>
          </w:divBdr>
        </w:div>
        <w:div w:id="1588735831">
          <w:marLeft w:val="0"/>
          <w:marRight w:val="0"/>
          <w:marTop w:val="0"/>
          <w:marBottom w:val="0"/>
          <w:divBdr>
            <w:top w:val="none" w:sz="0" w:space="0" w:color="auto"/>
            <w:left w:val="none" w:sz="0" w:space="0" w:color="auto"/>
            <w:bottom w:val="none" w:sz="0" w:space="0" w:color="auto"/>
            <w:right w:val="none" w:sz="0" w:space="0" w:color="auto"/>
          </w:divBdr>
        </w:div>
        <w:div w:id="945574878">
          <w:marLeft w:val="0"/>
          <w:marRight w:val="0"/>
          <w:marTop w:val="0"/>
          <w:marBottom w:val="0"/>
          <w:divBdr>
            <w:top w:val="none" w:sz="0" w:space="0" w:color="auto"/>
            <w:left w:val="none" w:sz="0" w:space="0" w:color="auto"/>
            <w:bottom w:val="none" w:sz="0" w:space="0" w:color="auto"/>
            <w:right w:val="none" w:sz="0" w:space="0" w:color="auto"/>
          </w:divBdr>
        </w:div>
        <w:div w:id="277223937">
          <w:marLeft w:val="0"/>
          <w:marRight w:val="0"/>
          <w:marTop w:val="0"/>
          <w:marBottom w:val="0"/>
          <w:divBdr>
            <w:top w:val="none" w:sz="0" w:space="0" w:color="auto"/>
            <w:left w:val="none" w:sz="0" w:space="0" w:color="auto"/>
            <w:bottom w:val="none" w:sz="0" w:space="0" w:color="auto"/>
            <w:right w:val="none" w:sz="0" w:space="0" w:color="auto"/>
          </w:divBdr>
        </w:div>
        <w:div w:id="655106250">
          <w:marLeft w:val="0"/>
          <w:marRight w:val="0"/>
          <w:marTop w:val="0"/>
          <w:marBottom w:val="0"/>
          <w:divBdr>
            <w:top w:val="none" w:sz="0" w:space="0" w:color="auto"/>
            <w:left w:val="none" w:sz="0" w:space="0" w:color="auto"/>
            <w:bottom w:val="none" w:sz="0" w:space="0" w:color="auto"/>
            <w:right w:val="none" w:sz="0" w:space="0" w:color="auto"/>
          </w:divBdr>
        </w:div>
        <w:div w:id="1731344478">
          <w:marLeft w:val="0"/>
          <w:marRight w:val="0"/>
          <w:marTop w:val="0"/>
          <w:marBottom w:val="0"/>
          <w:divBdr>
            <w:top w:val="none" w:sz="0" w:space="0" w:color="auto"/>
            <w:left w:val="none" w:sz="0" w:space="0" w:color="auto"/>
            <w:bottom w:val="none" w:sz="0" w:space="0" w:color="auto"/>
            <w:right w:val="none" w:sz="0" w:space="0" w:color="auto"/>
          </w:divBdr>
        </w:div>
        <w:div w:id="1383820585">
          <w:marLeft w:val="0"/>
          <w:marRight w:val="0"/>
          <w:marTop w:val="0"/>
          <w:marBottom w:val="0"/>
          <w:divBdr>
            <w:top w:val="none" w:sz="0" w:space="0" w:color="auto"/>
            <w:left w:val="none" w:sz="0" w:space="0" w:color="auto"/>
            <w:bottom w:val="none" w:sz="0" w:space="0" w:color="auto"/>
            <w:right w:val="none" w:sz="0" w:space="0" w:color="auto"/>
          </w:divBdr>
        </w:div>
        <w:div w:id="1981032993">
          <w:marLeft w:val="0"/>
          <w:marRight w:val="0"/>
          <w:marTop w:val="0"/>
          <w:marBottom w:val="0"/>
          <w:divBdr>
            <w:top w:val="none" w:sz="0" w:space="0" w:color="auto"/>
            <w:left w:val="none" w:sz="0" w:space="0" w:color="auto"/>
            <w:bottom w:val="none" w:sz="0" w:space="0" w:color="auto"/>
            <w:right w:val="none" w:sz="0" w:space="0" w:color="auto"/>
          </w:divBdr>
        </w:div>
        <w:div w:id="305201860">
          <w:marLeft w:val="0"/>
          <w:marRight w:val="0"/>
          <w:marTop w:val="0"/>
          <w:marBottom w:val="0"/>
          <w:divBdr>
            <w:top w:val="none" w:sz="0" w:space="0" w:color="auto"/>
            <w:left w:val="none" w:sz="0" w:space="0" w:color="auto"/>
            <w:bottom w:val="none" w:sz="0" w:space="0" w:color="auto"/>
            <w:right w:val="none" w:sz="0" w:space="0" w:color="auto"/>
          </w:divBdr>
        </w:div>
        <w:div w:id="577442157">
          <w:marLeft w:val="0"/>
          <w:marRight w:val="0"/>
          <w:marTop w:val="0"/>
          <w:marBottom w:val="0"/>
          <w:divBdr>
            <w:top w:val="none" w:sz="0" w:space="0" w:color="auto"/>
            <w:left w:val="none" w:sz="0" w:space="0" w:color="auto"/>
            <w:bottom w:val="none" w:sz="0" w:space="0" w:color="auto"/>
            <w:right w:val="none" w:sz="0" w:space="0" w:color="auto"/>
          </w:divBdr>
        </w:div>
        <w:div w:id="178858459">
          <w:marLeft w:val="0"/>
          <w:marRight w:val="0"/>
          <w:marTop w:val="0"/>
          <w:marBottom w:val="0"/>
          <w:divBdr>
            <w:top w:val="none" w:sz="0" w:space="0" w:color="auto"/>
            <w:left w:val="none" w:sz="0" w:space="0" w:color="auto"/>
            <w:bottom w:val="none" w:sz="0" w:space="0" w:color="auto"/>
            <w:right w:val="none" w:sz="0" w:space="0" w:color="auto"/>
          </w:divBdr>
        </w:div>
        <w:div w:id="1229419596">
          <w:marLeft w:val="0"/>
          <w:marRight w:val="0"/>
          <w:marTop w:val="0"/>
          <w:marBottom w:val="0"/>
          <w:divBdr>
            <w:top w:val="none" w:sz="0" w:space="0" w:color="auto"/>
            <w:left w:val="none" w:sz="0" w:space="0" w:color="auto"/>
            <w:bottom w:val="none" w:sz="0" w:space="0" w:color="auto"/>
            <w:right w:val="none" w:sz="0" w:space="0" w:color="auto"/>
          </w:divBdr>
        </w:div>
        <w:div w:id="569197431">
          <w:marLeft w:val="0"/>
          <w:marRight w:val="0"/>
          <w:marTop w:val="0"/>
          <w:marBottom w:val="0"/>
          <w:divBdr>
            <w:top w:val="none" w:sz="0" w:space="0" w:color="auto"/>
            <w:left w:val="none" w:sz="0" w:space="0" w:color="auto"/>
            <w:bottom w:val="none" w:sz="0" w:space="0" w:color="auto"/>
            <w:right w:val="none" w:sz="0" w:space="0" w:color="auto"/>
          </w:divBdr>
        </w:div>
        <w:div w:id="1248199348">
          <w:marLeft w:val="0"/>
          <w:marRight w:val="0"/>
          <w:marTop w:val="0"/>
          <w:marBottom w:val="0"/>
          <w:divBdr>
            <w:top w:val="none" w:sz="0" w:space="0" w:color="auto"/>
            <w:left w:val="none" w:sz="0" w:space="0" w:color="auto"/>
            <w:bottom w:val="none" w:sz="0" w:space="0" w:color="auto"/>
            <w:right w:val="none" w:sz="0" w:space="0" w:color="auto"/>
          </w:divBdr>
        </w:div>
        <w:div w:id="940994334">
          <w:marLeft w:val="0"/>
          <w:marRight w:val="0"/>
          <w:marTop w:val="0"/>
          <w:marBottom w:val="0"/>
          <w:divBdr>
            <w:top w:val="none" w:sz="0" w:space="0" w:color="auto"/>
            <w:left w:val="none" w:sz="0" w:space="0" w:color="auto"/>
            <w:bottom w:val="none" w:sz="0" w:space="0" w:color="auto"/>
            <w:right w:val="none" w:sz="0" w:space="0" w:color="auto"/>
          </w:divBdr>
        </w:div>
        <w:div w:id="1793136339">
          <w:marLeft w:val="0"/>
          <w:marRight w:val="0"/>
          <w:marTop w:val="0"/>
          <w:marBottom w:val="0"/>
          <w:divBdr>
            <w:top w:val="none" w:sz="0" w:space="0" w:color="auto"/>
            <w:left w:val="none" w:sz="0" w:space="0" w:color="auto"/>
            <w:bottom w:val="none" w:sz="0" w:space="0" w:color="auto"/>
            <w:right w:val="none" w:sz="0" w:space="0" w:color="auto"/>
          </w:divBdr>
        </w:div>
        <w:div w:id="561066943">
          <w:marLeft w:val="0"/>
          <w:marRight w:val="0"/>
          <w:marTop w:val="0"/>
          <w:marBottom w:val="0"/>
          <w:divBdr>
            <w:top w:val="none" w:sz="0" w:space="0" w:color="auto"/>
            <w:left w:val="none" w:sz="0" w:space="0" w:color="auto"/>
            <w:bottom w:val="none" w:sz="0" w:space="0" w:color="auto"/>
            <w:right w:val="none" w:sz="0" w:space="0" w:color="auto"/>
          </w:divBdr>
        </w:div>
        <w:div w:id="274677508">
          <w:marLeft w:val="0"/>
          <w:marRight w:val="0"/>
          <w:marTop w:val="0"/>
          <w:marBottom w:val="0"/>
          <w:divBdr>
            <w:top w:val="none" w:sz="0" w:space="0" w:color="auto"/>
            <w:left w:val="none" w:sz="0" w:space="0" w:color="auto"/>
            <w:bottom w:val="none" w:sz="0" w:space="0" w:color="auto"/>
            <w:right w:val="none" w:sz="0" w:space="0" w:color="auto"/>
          </w:divBdr>
        </w:div>
        <w:div w:id="327287725">
          <w:marLeft w:val="0"/>
          <w:marRight w:val="0"/>
          <w:marTop w:val="0"/>
          <w:marBottom w:val="0"/>
          <w:divBdr>
            <w:top w:val="none" w:sz="0" w:space="0" w:color="auto"/>
            <w:left w:val="none" w:sz="0" w:space="0" w:color="auto"/>
            <w:bottom w:val="none" w:sz="0" w:space="0" w:color="auto"/>
            <w:right w:val="none" w:sz="0" w:space="0" w:color="auto"/>
          </w:divBdr>
        </w:div>
        <w:div w:id="1563364251">
          <w:marLeft w:val="0"/>
          <w:marRight w:val="0"/>
          <w:marTop w:val="0"/>
          <w:marBottom w:val="0"/>
          <w:divBdr>
            <w:top w:val="none" w:sz="0" w:space="0" w:color="auto"/>
            <w:left w:val="none" w:sz="0" w:space="0" w:color="auto"/>
            <w:bottom w:val="none" w:sz="0" w:space="0" w:color="auto"/>
            <w:right w:val="none" w:sz="0" w:space="0" w:color="auto"/>
          </w:divBdr>
        </w:div>
        <w:div w:id="1240139377">
          <w:marLeft w:val="0"/>
          <w:marRight w:val="0"/>
          <w:marTop w:val="0"/>
          <w:marBottom w:val="0"/>
          <w:divBdr>
            <w:top w:val="none" w:sz="0" w:space="0" w:color="auto"/>
            <w:left w:val="none" w:sz="0" w:space="0" w:color="auto"/>
            <w:bottom w:val="none" w:sz="0" w:space="0" w:color="auto"/>
            <w:right w:val="none" w:sz="0" w:space="0" w:color="auto"/>
          </w:divBdr>
        </w:div>
        <w:div w:id="672801155">
          <w:marLeft w:val="0"/>
          <w:marRight w:val="0"/>
          <w:marTop w:val="0"/>
          <w:marBottom w:val="0"/>
          <w:divBdr>
            <w:top w:val="none" w:sz="0" w:space="0" w:color="auto"/>
            <w:left w:val="none" w:sz="0" w:space="0" w:color="auto"/>
            <w:bottom w:val="none" w:sz="0" w:space="0" w:color="auto"/>
            <w:right w:val="none" w:sz="0" w:space="0" w:color="auto"/>
          </w:divBdr>
        </w:div>
        <w:div w:id="590049960">
          <w:marLeft w:val="0"/>
          <w:marRight w:val="0"/>
          <w:marTop w:val="0"/>
          <w:marBottom w:val="0"/>
          <w:divBdr>
            <w:top w:val="none" w:sz="0" w:space="0" w:color="auto"/>
            <w:left w:val="none" w:sz="0" w:space="0" w:color="auto"/>
            <w:bottom w:val="none" w:sz="0" w:space="0" w:color="auto"/>
            <w:right w:val="none" w:sz="0" w:space="0" w:color="auto"/>
          </w:divBdr>
        </w:div>
        <w:div w:id="936788717">
          <w:marLeft w:val="0"/>
          <w:marRight w:val="0"/>
          <w:marTop w:val="0"/>
          <w:marBottom w:val="0"/>
          <w:divBdr>
            <w:top w:val="none" w:sz="0" w:space="0" w:color="auto"/>
            <w:left w:val="none" w:sz="0" w:space="0" w:color="auto"/>
            <w:bottom w:val="none" w:sz="0" w:space="0" w:color="auto"/>
            <w:right w:val="none" w:sz="0" w:space="0" w:color="auto"/>
          </w:divBdr>
        </w:div>
        <w:div w:id="261882624">
          <w:marLeft w:val="0"/>
          <w:marRight w:val="0"/>
          <w:marTop w:val="0"/>
          <w:marBottom w:val="0"/>
          <w:divBdr>
            <w:top w:val="none" w:sz="0" w:space="0" w:color="auto"/>
            <w:left w:val="none" w:sz="0" w:space="0" w:color="auto"/>
            <w:bottom w:val="none" w:sz="0" w:space="0" w:color="auto"/>
            <w:right w:val="none" w:sz="0" w:space="0" w:color="auto"/>
          </w:divBdr>
        </w:div>
        <w:div w:id="489715811">
          <w:marLeft w:val="0"/>
          <w:marRight w:val="0"/>
          <w:marTop w:val="0"/>
          <w:marBottom w:val="0"/>
          <w:divBdr>
            <w:top w:val="none" w:sz="0" w:space="0" w:color="auto"/>
            <w:left w:val="none" w:sz="0" w:space="0" w:color="auto"/>
            <w:bottom w:val="none" w:sz="0" w:space="0" w:color="auto"/>
            <w:right w:val="none" w:sz="0" w:space="0" w:color="auto"/>
          </w:divBdr>
        </w:div>
        <w:div w:id="285552681">
          <w:marLeft w:val="0"/>
          <w:marRight w:val="0"/>
          <w:marTop w:val="0"/>
          <w:marBottom w:val="0"/>
          <w:divBdr>
            <w:top w:val="none" w:sz="0" w:space="0" w:color="auto"/>
            <w:left w:val="none" w:sz="0" w:space="0" w:color="auto"/>
            <w:bottom w:val="none" w:sz="0" w:space="0" w:color="auto"/>
            <w:right w:val="none" w:sz="0" w:space="0" w:color="auto"/>
          </w:divBdr>
        </w:div>
        <w:div w:id="956181541">
          <w:marLeft w:val="0"/>
          <w:marRight w:val="0"/>
          <w:marTop w:val="0"/>
          <w:marBottom w:val="0"/>
          <w:divBdr>
            <w:top w:val="none" w:sz="0" w:space="0" w:color="auto"/>
            <w:left w:val="none" w:sz="0" w:space="0" w:color="auto"/>
            <w:bottom w:val="none" w:sz="0" w:space="0" w:color="auto"/>
            <w:right w:val="none" w:sz="0" w:space="0" w:color="auto"/>
          </w:divBdr>
        </w:div>
        <w:div w:id="951546257">
          <w:marLeft w:val="0"/>
          <w:marRight w:val="0"/>
          <w:marTop w:val="0"/>
          <w:marBottom w:val="0"/>
          <w:divBdr>
            <w:top w:val="none" w:sz="0" w:space="0" w:color="auto"/>
            <w:left w:val="none" w:sz="0" w:space="0" w:color="auto"/>
            <w:bottom w:val="none" w:sz="0" w:space="0" w:color="auto"/>
            <w:right w:val="none" w:sz="0" w:space="0" w:color="auto"/>
          </w:divBdr>
        </w:div>
        <w:div w:id="2061632499">
          <w:marLeft w:val="0"/>
          <w:marRight w:val="0"/>
          <w:marTop w:val="0"/>
          <w:marBottom w:val="0"/>
          <w:divBdr>
            <w:top w:val="none" w:sz="0" w:space="0" w:color="auto"/>
            <w:left w:val="none" w:sz="0" w:space="0" w:color="auto"/>
            <w:bottom w:val="none" w:sz="0" w:space="0" w:color="auto"/>
            <w:right w:val="none" w:sz="0" w:space="0" w:color="auto"/>
          </w:divBdr>
        </w:div>
        <w:div w:id="1140804635">
          <w:marLeft w:val="0"/>
          <w:marRight w:val="0"/>
          <w:marTop w:val="0"/>
          <w:marBottom w:val="0"/>
          <w:divBdr>
            <w:top w:val="none" w:sz="0" w:space="0" w:color="auto"/>
            <w:left w:val="none" w:sz="0" w:space="0" w:color="auto"/>
            <w:bottom w:val="none" w:sz="0" w:space="0" w:color="auto"/>
            <w:right w:val="none" w:sz="0" w:space="0" w:color="auto"/>
          </w:divBdr>
        </w:div>
        <w:div w:id="1412773377">
          <w:marLeft w:val="0"/>
          <w:marRight w:val="0"/>
          <w:marTop w:val="0"/>
          <w:marBottom w:val="0"/>
          <w:divBdr>
            <w:top w:val="none" w:sz="0" w:space="0" w:color="auto"/>
            <w:left w:val="none" w:sz="0" w:space="0" w:color="auto"/>
            <w:bottom w:val="none" w:sz="0" w:space="0" w:color="auto"/>
            <w:right w:val="none" w:sz="0" w:space="0" w:color="auto"/>
          </w:divBdr>
        </w:div>
        <w:div w:id="1695035400">
          <w:marLeft w:val="0"/>
          <w:marRight w:val="0"/>
          <w:marTop w:val="0"/>
          <w:marBottom w:val="0"/>
          <w:divBdr>
            <w:top w:val="none" w:sz="0" w:space="0" w:color="auto"/>
            <w:left w:val="none" w:sz="0" w:space="0" w:color="auto"/>
            <w:bottom w:val="none" w:sz="0" w:space="0" w:color="auto"/>
            <w:right w:val="none" w:sz="0" w:space="0" w:color="auto"/>
          </w:divBdr>
        </w:div>
        <w:div w:id="749041130">
          <w:marLeft w:val="0"/>
          <w:marRight w:val="0"/>
          <w:marTop w:val="0"/>
          <w:marBottom w:val="0"/>
          <w:divBdr>
            <w:top w:val="none" w:sz="0" w:space="0" w:color="auto"/>
            <w:left w:val="none" w:sz="0" w:space="0" w:color="auto"/>
            <w:bottom w:val="none" w:sz="0" w:space="0" w:color="auto"/>
            <w:right w:val="none" w:sz="0" w:space="0" w:color="auto"/>
          </w:divBdr>
        </w:div>
        <w:div w:id="1037775451">
          <w:marLeft w:val="0"/>
          <w:marRight w:val="0"/>
          <w:marTop w:val="0"/>
          <w:marBottom w:val="0"/>
          <w:divBdr>
            <w:top w:val="none" w:sz="0" w:space="0" w:color="auto"/>
            <w:left w:val="none" w:sz="0" w:space="0" w:color="auto"/>
            <w:bottom w:val="none" w:sz="0" w:space="0" w:color="auto"/>
            <w:right w:val="none" w:sz="0" w:space="0" w:color="auto"/>
          </w:divBdr>
        </w:div>
        <w:div w:id="1852986772">
          <w:marLeft w:val="0"/>
          <w:marRight w:val="0"/>
          <w:marTop w:val="0"/>
          <w:marBottom w:val="0"/>
          <w:divBdr>
            <w:top w:val="none" w:sz="0" w:space="0" w:color="auto"/>
            <w:left w:val="none" w:sz="0" w:space="0" w:color="auto"/>
            <w:bottom w:val="none" w:sz="0" w:space="0" w:color="auto"/>
            <w:right w:val="none" w:sz="0" w:space="0" w:color="auto"/>
          </w:divBdr>
        </w:div>
        <w:div w:id="736167562">
          <w:marLeft w:val="0"/>
          <w:marRight w:val="0"/>
          <w:marTop w:val="0"/>
          <w:marBottom w:val="0"/>
          <w:divBdr>
            <w:top w:val="none" w:sz="0" w:space="0" w:color="auto"/>
            <w:left w:val="none" w:sz="0" w:space="0" w:color="auto"/>
            <w:bottom w:val="none" w:sz="0" w:space="0" w:color="auto"/>
            <w:right w:val="none" w:sz="0" w:space="0" w:color="auto"/>
          </w:divBdr>
        </w:div>
        <w:div w:id="1422796305">
          <w:marLeft w:val="0"/>
          <w:marRight w:val="0"/>
          <w:marTop w:val="0"/>
          <w:marBottom w:val="0"/>
          <w:divBdr>
            <w:top w:val="none" w:sz="0" w:space="0" w:color="auto"/>
            <w:left w:val="none" w:sz="0" w:space="0" w:color="auto"/>
            <w:bottom w:val="none" w:sz="0" w:space="0" w:color="auto"/>
            <w:right w:val="none" w:sz="0" w:space="0" w:color="auto"/>
          </w:divBdr>
        </w:div>
        <w:div w:id="1831483734">
          <w:marLeft w:val="0"/>
          <w:marRight w:val="0"/>
          <w:marTop w:val="0"/>
          <w:marBottom w:val="0"/>
          <w:divBdr>
            <w:top w:val="none" w:sz="0" w:space="0" w:color="auto"/>
            <w:left w:val="none" w:sz="0" w:space="0" w:color="auto"/>
            <w:bottom w:val="none" w:sz="0" w:space="0" w:color="auto"/>
            <w:right w:val="none" w:sz="0" w:space="0" w:color="auto"/>
          </w:divBdr>
        </w:div>
        <w:div w:id="945502850">
          <w:marLeft w:val="0"/>
          <w:marRight w:val="0"/>
          <w:marTop w:val="0"/>
          <w:marBottom w:val="0"/>
          <w:divBdr>
            <w:top w:val="none" w:sz="0" w:space="0" w:color="auto"/>
            <w:left w:val="none" w:sz="0" w:space="0" w:color="auto"/>
            <w:bottom w:val="none" w:sz="0" w:space="0" w:color="auto"/>
            <w:right w:val="none" w:sz="0" w:space="0" w:color="auto"/>
          </w:divBdr>
        </w:div>
        <w:div w:id="349599501">
          <w:marLeft w:val="0"/>
          <w:marRight w:val="0"/>
          <w:marTop w:val="0"/>
          <w:marBottom w:val="0"/>
          <w:divBdr>
            <w:top w:val="none" w:sz="0" w:space="0" w:color="auto"/>
            <w:left w:val="none" w:sz="0" w:space="0" w:color="auto"/>
            <w:bottom w:val="none" w:sz="0" w:space="0" w:color="auto"/>
            <w:right w:val="none" w:sz="0" w:space="0" w:color="auto"/>
          </w:divBdr>
        </w:div>
        <w:div w:id="1693845473">
          <w:marLeft w:val="0"/>
          <w:marRight w:val="0"/>
          <w:marTop w:val="0"/>
          <w:marBottom w:val="0"/>
          <w:divBdr>
            <w:top w:val="none" w:sz="0" w:space="0" w:color="auto"/>
            <w:left w:val="none" w:sz="0" w:space="0" w:color="auto"/>
            <w:bottom w:val="none" w:sz="0" w:space="0" w:color="auto"/>
            <w:right w:val="none" w:sz="0" w:space="0" w:color="auto"/>
          </w:divBdr>
        </w:div>
        <w:div w:id="1593051568">
          <w:marLeft w:val="0"/>
          <w:marRight w:val="0"/>
          <w:marTop w:val="0"/>
          <w:marBottom w:val="0"/>
          <w:divBdr>
            <w:top w:val="none" w:sz="0" w:space="0" w:color="auto"/>
            <w:left w:val="none" w:sz="0" w:space="0" w:color="auto"/>
            <w:bottom w:val="none" w:sz="0" w:space="0" w:color="auto"/>
            <w:right w:val="none" w:sz="0" w:space="0" w:color="auto"/>
          </w:divBdr>
        </w:div>
        <w:div w:id="669337923">
          <w:marLeft w:val="0"/>
          <w:marRight w:val="0"/>
          <w:marTop w:val="0"/>
          <w:marBottom w:val="0"/>
          <w:divBdr>
            <w:top w:val="none" w:sz="0" w:space="0" w:color="auto"/>
            <w:left w:val="none" w:sz="0" w:space="0" w:color="auto"/>
            <w:bottom w:val="none" w:sz="0" w:space="0" w:color="auto"/>
            <w:right w:val="none" w:sz="0" w:space="0" w:color="auto"/>
          </w:divBdr>
        </w:div>
        <w:div w:id="503083813">
          <w:marLeft w:val="0"/>
          <w:marRight w:val="0"/>
          <w:marTop w:val="0"/>
          <w:marBottom w:val="0"/>
          <w:divBdr>
            <w:top w:val="none" w:sz="0" w:space="0" w:color="auto"/>
            <w:left w:val="none" w:sz="0" w:space="0" w:color="auto"/>
            <w:bottom w:val="none" w:sz="0" w:space="0" w:color="auto"/>
            <w:right w:val="none" w:sz="0" w:space="0" w:color="auto"/>
          </w:divBdr>
        </w:div>
        <w:div w:id="1823764808">
          <w:marLeft w:val="0"/>
          <w:marRight w:val="0"/>
          <w:marTop w:val="0"/>
          <w:marBottom w:val="0"/>
          <w:divBdr>
            <w:top w:val="none" w:sz="0" w:space="0" w:color="auto"/>
            <w:left w:val="none" w:sz="0" w:space="0" w:color="auto"/>
            <w:bottom w:val="none" w:sz="0" w:space="0" w:color="auto"/>
            <w:right w:val="none" w:sz="0" w:space="0" w:color="auto"/>
          </w:divBdr>
        </w:div>
        <w:div w:id="194201839">
          <w:marLeft w:val="0"/>
          <w:marRight w:val="0"/>
          <w:marTop w:val="0"/>
          <w:marBottom w:val="0"/>
          <w:divBdr>
            <w:top w:val="none" w:sz="0" w:space="0" w:color="auto"/>
            <w:left w:val="none" w:sz="0" w:space="0" w:color="auto"/>
            <w:bottom w:val="none" w:sz="0" w:space="0" w:color="auto"/>
            <w:right w:val="none" w:sz="0" w:space="0" w:color="auto"/>
          </w:divBdr>
        </w:div>
        <w:div w:id="155417567">
          <w:marLeft w:val="0"/>
          <w:marRight w:val="0"/>
          <w:marTop w:val="0"/>
          <w:marBottom w:val="0"/>
          <w:divBdr>
            <w:top w:val="none" w:sz="0" w:space="0" w:color="auto"/>
            <w:left w:val="none" w:sz="0" w:space="0" w:color="auto"/>
            <w:bottom w:val="none" w:sz="0" w:space="0" w:color="auto"/>
            <w:right w:val="none" w:sz="0" w:space="0" w:color="auto"/>
          </w:divBdr>
        </w:div>
        <w:div w:id="877813401">
          <w:marLeft w:val="0"/>
          <w:marRight w:val="0"/>
          <w:marTop w:val="0"/>
          <w:marBottom w:val="0"/>
          <w:divBdr>
            <w:top w:val="none" w:sz="0" w:space="0" w:color="auto"/>
            <w:left w:val="none" w:sz="0" w:space="0" w:color="auto"/>
            <w:bottom w:val="none" w:sz="0" w:space="0" w:color="auto"/>
            <w:right w:val="none" w:sz="0" w:space="0" w:color="auto"/>
          </w:divBdr>
        </w:div>
        <w:div w:id="748960333">
          <w:marLeft w:val="0"/>
          <w:marRight w:val="0"/>
          <w:marTop w:val="0"/>
          <w:marBottom w:val="0"/>
          <w:divBdr>
            <w:top w:val="none" w:sz="0" w:space="0" w:color="auto"/>
            <w:left w:val="none" w:sz="0" w:space="0" w:color="auto"/>
            <w:bottom w:val="none" w:sz="0" w:space="0" w:color="auto"/>
            <w:right w:val="none" w:sz="0" w:space="0" w:color="auto"/>
          </w:divBdr>
        </w:div>
        <w:div w:id="1110004631">
          <w:marLeft w:val="0"/>
          <w:marRight w:val="0"/>
          <w:marTop w:val="0"/>
          <w:marBottom w:val="0"/>
          <w:divBdr>
            <w:top w:val="none" w:sz="0" w:space="0" w:color="auto"/>
            <w:left w:val="none" w:sz="0" w:space="0" w:color="auto"/>
            <w:bottom w:val="none" w:sz="0" w:space="0" w:color="auto"/>
            <w:right w:val="none" w:sz="0" w:space="0" w:color="auto"/>
          </w:divBdr>
        </w:div>
        <w:div w:id="1994871443">
          <w:marLeft w:val="0"/>
          <w:marRight w:val="0"/>
          <w:marTop w:val="0"/>
          <w:marBottom w:val="0"/>
          <w:divBdr>
            <w:top w:val="none" w:sz="0" w:space="0" w:color="auto"/>
            <w:left w:val="none" w:sz="0" w:space="0" w:color="auto"/>
            <w:bottom w:val="none" w:sz="0" w:space="0" w:color="auto"/>
            <w:right w:val="none" w:sz="0" w:space="0" w:color="auto"/>
          </w:divBdr>
        </w:div>
        <w:div w:id="193928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438</Words>
  <Characters>2501</Characters>
  <Application>Microsoft Office Word</Application>
  <DocSecurity>0</DocSecurity>
  <Lines>20</Lines>
  <Paragraphs>5</Paragraphs>
  <ScaleCrop>false</ScaleCrop>
  <Company>Microsoft</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2021-08-03T12:27:00Z</dcterms:created>
  <dcterms:modified xsi:type="dcterms:W3CDTF">2021-08-03T12:34:00Z</dcterms:modified>
</cp:coreProperties>
</file>