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pPr>
        <w:keepNext/>
        <w:spacing w:line="480" w:lineRule="auto"/>
        <w:rPr>
          <w:rFonts w:ascii="华文中宋" w:eastAsia="华文中宋" w:hAnsi="华文中宋"/>
          <w:b/>
          <w:sz w:val="72"/>
        </w:rPr>
      </w:pPr>
      <w:r>
        <w:drawing>
          <wp:inline distT="0" distB="0" distL="0" distR="0">
            <wp:extent cx="1591310" cy="618490"/>
            <wp:effectExtent l="0" t="0" r="8890" b="10160"/>
            <wp:docPr id="9" name="图片 9" descr="C:\Users\Administrator\Desktop\采联集团新LOGO-JPG.jpg采联集团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采联集团新LOGO-JPG.jpg采联集团新LOGO-JPG"/>
                    <pic:cNvPicPr>
                      <a:picLocks noChangeAspect="1"/>
                    </pic:cNvPicPr>
                  </pic:nvPicPr>
                  <pic:blipFill>
                    <a:blip xmlns:r="http://schemas.openxmlformats.org/officeDocument/2006/relationships" r:embed="rId4"/>
                    <a:stretch>
                      <a:fillRect/>
                    </a:stretch>
                  </pic:blipFill>
                  <pic:spPr>
                    <a:xfrm>
                      <a:off x="0" y="0"/>
                      <a:ext cx="1591310" cy="638263"/>
                    </a:xfrm>
                    <a:prstGeom prst="rect">
                      <a:avLst/>
                    </a:prstGeom>
                  </pic:spPr>
                </pic:pic>
              </a:graphicData>
            </a:graphic>
          </wp:inline>
        </w:drawing>
      </w:r>
    </w:p>
    <w:p>
      <w:pPr>
        <w:snapToGrid w:val="0"/>
        <w:spacing w:before="156" w:beforeLines="50"/>
        <w:rPr>
          <w:rFonts w:ascii="仿宋_GB2312" w:eastAsia="仿宋_GB2312"/>
          <w:b/>
          <w:color w:val="FF0000"/>
          <w:sz w:val="32"/>
        </w:rPr>
      </w:pPr>
    </w:p>
    <w:p>
      <w:pPr>
        <w:snapToGrid w:val="0"/>
        <w:spacing w:before="156" w:beforeLines="50"/>
        <w:rPr>
          <w:rFonts w:asciiTheme="minorEastAsia" w:eastAsiaTheme="minorEastAsia" w:hAnsiTheme="minorEastAsia"/>
          <w:b/>
          <w:color w:val="FF0000"/>
          <w:sz w:val="32"/>
        </w:rPr>
      </w:pPr>
    </w:p>
    <w:p>
      <w:pPr>
        <w:snapToGrid w:val="0"/>
        <w:spacing w:before="156" w:beforeLines="50"/>
        <w:jc w:val="center"/>
        <w:rPr>
          <w:rFonts w:ascii="仿宋" w:eastAsia="仿宋" w:hAnsi="仿宋"/>
          <w:b/>
          <w:sz w:val="44"/>
          <w:szCs w:val="44"/>
        </w:rPr>
      </w:pPr>
      <w:r>
        <w:rPr>
          <w:rFonts w:ascii="仿宋" w:eastAsia="仿宋" w:hAnsi="仿宋" w:hint="eastAsia"/>
          <w:b/>
          <w:sz w:val="44"/>
          <w:szCs w:val="44"/>
        </w:rPr>
        <w:t>政府采</w:t>
      </w:r>
      <w:r>
        <w:rPr>
          <w:rFonts w:ascii="仿宋" w:eastAsia="仿宋" w:hAnsi="仿宋" w:hint="eastAsia"/>
          <w:b/>
          <w:color w:val="auto"/>
          <w:sz w:val="44"/>
          <w:szCs w:val="44"/>
        </w:rPr>
        <w:t>购货物公</w:t>
      </w:r>
      <w:r>
        <w:rPr>
          <w:rFonts w:ascii="仿宋" w:eastAsia="仿宋" w:hAnsi="仿宋" w:hint="eastAsia"/>
          <w:b/>
          <w:sz w:val="44"/>
          <w:szCs w:val="44"/>
        </w:rPr>
        <w:t>开招标项目</w:t>
      </w:r>
    </w:p>
    <w:p>
      <w:pPr>
        <w:snapToGrid w:val="0"/>
        <w:spacing w:before="156" w:beforeLines="50"/>
        <w:jc w:val="center"/>
        <w:rPr>
          <w:rFonts w:ascii="仿宋" w:eastAsia="仿宋" w:hAnsi="仿宋" w:cs="华文中宋"/>
          <w:b/>
          <w:bCs/>
          <w:sz w:val="72"/>
          <w:szCs w:val="72"/>
        </w:rPr>
      </w:pPr>
    </w:p>
    <w:p>
      <w:pPr>
        <w:snapToGrid w:val="0"/>
        <w:spacing w:before="156" w:beforeLines="50"/>
        <w:jc w:val="center"/>
        <w:rPr>
          <w:rFonts w:ascii="仿宋" w:eastAsia="仿宋" w:hAnsi="仿宋" w:cs="华文中宋"/>
          <w:b/>
          <w:bCs/>
          <w:sz w:val="72"/>
          <w:szCs w:val="72"/>
        </w:rPr>
      </w:pPr>
    </w:p>
    <w:p>
      <w:pPr>
        <w:snapToGrid w:val="0"/>
        <w:spacing w:before="156" w:beforeLines="50"/>
        <w:jc w:val="center"/>
        <w:rPr>
          <w:rFonts w:ascii="仿宋" w:eastAsia="仿宋" w:hAnsi="仿宋"/>
          <w:b/>
          <w:sz w:val="120"/>
          <w:szCs w:val="120"/>
        </w:rPr>
      </w:pPr>
      <w:r>
        <w:rPr>
          <w:rFonts w:ascii="仿宋" w:eastAsia="仿宋" w:hAnsi="仿宋" w:hint="eastAsia"/>
          <w:b/>
          <w:sz w:val="120"/>
          <w:szCs w:val="120"/>
        </w:rPr>
        <w:t>招 标 文 件</w:t>
      </w:r>
    </w:p>
    <w:p>
      <w:pPr>
        <w:pStyle w:val="BodyText"/>
        <w:snapToGrid w:val="0"/>
        <w:spacing w:after="0" w:line="360" w:lineRule="auto"/>
        <w:rPr>
          <w:rFonts w:ascii="宋体" w:hAnsi="宋体"/>
          <w:b/>
          <w:sz w:val="36"/>
          <w:szCs w:val="36"/>
        </w:rPr>
      </w:pPr>
    </w:p>
    <w:p>
      <w:pPr>
        <w:pStyle w:val="BodyText"/>
        <w:snapToGrid w:val="0"/>
        <w:spacing w:after="0" w:line="360" w:lineRule="auto"/>
        <w:ind w:left="1556" w:hanging="989" w:leftChars="270" w:hangingChars="471"/>
        <w:rPr>
          <w:rFonts w:ascii="宋体" w:eastAsia="宋体" w:hAnsi="宋体" w:hint="eastAsia"/>
          <w:b/>
          <w:color w:val="auto"/>
          <w:sz w:val="36"/>
          <w:szCs w:val="36"/>
          <w:lang w:eastAsia="zh-CN"/>
        </w:rPr>
      </w:pPr>
      <w:r>
        <w:rPr>
          <w:rFonts w:ascii="宋体" w:hAnsi="宋体" w:hint="eastAsia"/>
          <w:b/>
          <w:sz w:val="36"/>
          <w:szCs w:val="36"/>
        </w:rPr>
        <w:t>项目</w:t>
      </w:r>
      <w:r>
        <w:rPr>
          <w:rFonts w:ascii="宋体" w:hAnsi="宋体" w:hint="eastAsia"/>
          <w:b/>
          <w:color w:val="auto"/>
          <w:sz w:val="36"/>
          <w:szCs w:val="36"/>
        </w:rPr>
        <w:t>编号：</w:t>
      </w:r>
      <w:r>
        <w:rPr>
          <w:rFonts w:ascii="宋体" w:hAnsi="宋体" w:hint="eastAsia"/>
          <w:b/>
          <w:color w:val="auto"/>
          <w:sz w:val="36"/>
          <w:szCs w:val="36"/>
          <w:lang w:eastAsia="zh-CN"/>
        </w:rPr>
        <w:t>SZDL2023001961（CLF0123SZ17ZC27）</w:t>
      </w:r>
    </w:p>
    <w:p>
      <w:pPr>
        <w:pStyle w:val="BodyText"/>
        <w:snapToGrid w:val="0"/>
        <w:spacing w:after="0" w:line="360" w:lineRule="auto"/>
        <w:ind w:left="1556" w:hanging="989" w:leftChars="270" w:hangingChars="471"/>
        <w:rPr>
          <w:rFonts w:ascii="宋体" w:eastAsia="宋体" w:hAnsi="宋体" w:hint="eastAsia"/>
          <w:b/>
          <w:color w:val="auto"/>
          <w:sz w:val="36"/>
          <w:szCs w:val="36"/>
          <w:lang w:eastAsia="zh-CN"/>
        </w:rPr>
      </w:pPr>
      <w:r>
        <w:rPr>
          <w:rFonts w:ascii="宋体" w:hAnsi="宋体" w:hint="eastAsia"/>
          <w:b/>
          <w:color w:val="auto"/>
          <w:sz w:val="36"/>
          <w:szCs w:val="36"/>
        </w:rPr>
        <w:t>项目名称：</w:t>
      </w:r>
      <w:r>
        <w:rPr>
          <w:rFonts w:ascii="宋体" w:hAnsi="宋体" w:hint="eastAsia"/>
          <w:b/>
          <w:color w:val="auto"/>
          <w:sz w:val="36"/>
          <w:szCs w:val="36"/>
          <w:lang w:eastAsia="zh-CN"/>
        </w:rPr>
        <w:t>智能计算与系统-高级白盒可编程路由器</w:t>
      </w:r>
    </w:p>
    <w:p>
      <w:pPr>
        <w:snapToGrid w:val="0"/>
        <w:spacing w:line="360" w:lineRule="auto"/>
        <w:rPr>
          <w:rFonts w:ascii="仿宋" w:eastAsia="仿宋" w:hAnsi="仿宋"/>
          <w:color w:val="auto"/>
          <w:sz w:val="32"/>
        </w:rPr>
      </w:pPr>
    </w:p>
    <w:p>
      <w:pPr>
        <w:spacing w:line="360" w:lineRule="auto"/>
        <w:rPr>
          <w:rFonts w:ascii="仿宋" w:eastAsia="仿宋" w:hAnsi="仿宋"/>
          <w:color w:val="auto"/>
          <w:sz w:val="30"/>
        </w:rPr>
      </w:pPr>
    </w:p>
    <w:p>
      <w:pPr>
        <w:pStyle w:val="PlainText"/>
        <w:rPr>
          <w:color w:val="auto"/>
        </w:rPr>
      </w:pPr>
    </w:p>
    <w:p>
      <w:pPr>
        <w:snapToGrid w:val="0"/>
        <w:spacing w:before="156" w:beforeLines="50"/>
        <w:jc w:val="center"/>
        <w:rPr>
          <w:rFonts w:ascii="仿宋" w:eastAsia="仿宋" w:hAnsi="仿宋" w:hint="eastAsia"/>
          <w:b/>
          <w:color w:val="auto"/>
          <w:sz w:val="44"/>
          <w:szCs w:val="44"/>
          <w:lang w:eastAsia="zh-CN"/>
        </w:rPr>
      </w:pPr>
      <w:r>
        <w:rPr>
          <w:rFonts w:ascii="仿宋" w:eastAsia="仿宋" w:hAnsi="仿宋" w:hint="eastAsia"/>
          <w:b/>
          <w:color w:val="auto"/>
          <w:sz w:val="44"/>
          <w:szCs w:val="44"/>
          <w:lang w:eastAsia="zh-CN"/>
        </w:rPr>
        <w:t>清华大学深圳国际研究生院</w:t>
      </w:r>
    </w:p>
    <w:p>
      <w:pPr>
        <w:snapToGrid w:val="0"/>
        <w:spacing w:before="156" w:beforeLines="50"/>
        <w:jc w:val="center"/>
        <w:rPr>
          <w:rFonts w:ascii="仿宋" w:eastAsia="仿宋" w:hAnsi="仿宋"/>
          <w:b/>
          <w:color w:val="auto"/>
          <w:sz w:val="44"/>
          <w:szCs w:val="44"/>
        </w:rPr>
      </w:pPr>
      <w:r>
        <w:rPr>
          <w:rFonts w:ascii="仿宋" w:eastAsia="仿宋" w:hAnsi="仿宋" w:hint="eastAsia"/>
          <w:b/>
          <w:color w:val="auto"/>
          <w:sz w:val="44"/>
          <w:szCs w:val="44"/>
        </w:rPr>
        <w:t>采联国际招标采购集团有限公司</w:t>
      </w:r>
    </w:p>
    <w:p>
      <w:pPr>
        <w:snapToGrid w:val="0"/>
        <w:spacing w:before="156" w:beforeLines="50"/>
        <w:jc w:val="center"/>
        <w:rPr>
          <w:rFonts w:ascii="仿宋" w:eastAsia="仿宋" w:hAnsi="仿宋"/>
          <w:b/>
          <w:color w:val="auto"/>
          <w:sz w:val="44"/>
          <w:szCs w:val="44"/>
        </w:rPr>
        <w:sectPr>
          <w:headerReference w:type="even" r:id="rId5"/>
          <w:headerReference w:type="default" r:id="rId6"/>
          <w:footerReference w:type="even" r:id="rId7"/>
          <w:headerReference w:type="first" r:id="rId8"/>
          <w:footerReference w:type="first" r:id="rId9"/>
          <w:pgSz w:w="11906" w:h="16838"/>
          <w:pgMar w:top="1440" w:right="1466" w:bottom="1440" w:left="1800" w:header="567" w:footer="992" w:gutter="0"/>
          <w:cols w:num="1" w:space="720"/>
          <w:docGrid w:type="linesAndChars" w:linePitch="312" w:charSpace="0"/>
        </w:sectPr>
      </w:pPr>
      <w:r>
        <w:rPr>
          <w:rFonts w:ascii="仿宋" w:eastAsia="仿宋" w:hAnsi="仿宋" w:hint="eastAsia"/>
          <w:b/>
          <w:color w:val="auto"/>
          <w:sz w:val="44"/>
          <w:szCs w:val="44"/>
        </w:rPr>
        <w:t>二○二三年</w:t>
      </w:r>
      <w:r>
        <w:rPr>
          <w:rFonts w:ascii="仿宋" w:eastAsia="仿宋" w:hAnsi="仿宋" w:hint="eastAsia"/>
          <w:b/>
          <w:color w:val="auto"/>
          <w:sz w:val="44"/>
          <w:szCs w:val="44"/>
          <w:lang w:val="en-US" w:eastAsia="zh-CN"/>
        </w:rPr>
        <w:t>九</w:t>
      </w:r>
      <w:r>
        <w:rPr>
          <w:rFonts w:ascii="仿宋" w:eastAsia="仿宋" w:hAnsi="仿宋"/>
          <w:b/>
          <w:color w:val="auto"/>
          <w:sz w:val="44"/>
          <w:szCs w:val="44"/>
        </w:rPr>
        <w:t>月</w:t>
      </w:r>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警示条款</w:t>
      </w:r>
    </w:p>
    <w:p>
      <w:pPr>
        <w:spacing w:line="360" w:lineRule="auto"/>
        <w:ind w:firstLine="420" w:firstLineChars="200"/>
        <w:rPr>
          <w:rFonts w:ascii="宋体" w:hAnsi="宋体"/>
          <w:sz w:val="24"/>
        </w:rPr>
      </w:pPr>
      <w:r>
        <w:rPr>
          <w:rFonts w:ascii="宋体" w:hAnsi="宋体" w:hint="eastAsia"/>
          <w:sz w:val="24"/>
        </w:rPr>
        <w:t>一、</w:t>
      </w:r>
      <w:r>
        <w:rPr>
          <w:rFonts w:ascii="宋体" w:hAnsi="宋体" w:hint="eastAsia"/>
          <w:b/>
          <w:bCs/>
          <w:sz w:val="24"/>
        </w:rPr>
        <w:t>《深圳经济特区政府采购条例》第五十七条</w:t>
      </w:r>
      <w:r>
        <w:rPr>
          <w:rFonts w:ascii="宋体" w:hAnsi="宋体" w:hint="eastAsia"/>
          <w:sz w:val="24"/>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20" w:firstLineChars="200"/>
        <w:rPr>
          <w:rFonts w:ascii="宋体" w:hAnsi="宋体"/>
          <w:sz w:val="24"/>
        </w:rPr>
      </w:pPr>
      <w:r>
        <w:rPr>
          <w:rFonts w:ascii="宋体" w:hAnsi="宋体" w:hint="eastAsia"/>
          <w:sz w:val="24"/>
        </w:rPr>
        <w:t>（一）在采购活动中应当回避而未回避的；</w:t>
      </w:r>
    </w:p>
    <w:p>
      <w:pPr>
        <w:spacing w:line="360" w:lineRule="auto"/>
        <w:ind w:firstLine="420" w:firstLineChars="200"/>
        <w:rPr>
          <w:rFonts w:ascii="宋体" w:hAnsi="宋体"/>
          <w:sz w:val="24"/>
        </w:rPr>
      </w:pPr>
      <w:r>
        <w:rPr>
          <w:rFonts w:ascii="宋体" w:hAnsi="宋体" w:hint="eastAsia"/>
          <w:sz w:val="24"/>
        </w:rPr>
        <w:t>（二）未按本条例规定签订、履行采购合同，造成严重后果的；</w:t>
      </w:r>
    </w:p>
    <w:p>
      <w:pPr>
        <w:spacing w:line="360" w:lineRule="auto"/>
        <w:ind w:firstLine="420" w:firstLineChars="200"/>
        <w:rPr>
          <w:rFonts w:ascii="宋体" w:hAnsi="宋体"/>
          <w:sz w:val="24"/>
        </w:rPr>
      </w:pPr>
      <w:r>
        <w:rPr>
          <w:rFonts w:ascii="宋体" w:hAnsi="宋体" w:hint="eastAsia"/>
          <w:sz w:val="24"/>
        </w:rPr>
        <w:t>（三）隐瞒真实情况，提供虚假资料的；</w:t>
      </w:r>
    </w:p>
    <w:p>
      <w:pPr>
        <w:spacing w:line="360" w:lineRule="auto"/>
        <w:ind w:firstLine="420" w:firstLineChars="200"/>
        <w:rPr>
          <w:rFonts w:ascii="宋体" w:hAnsi="宋体"/>
          <w:sz w:val="24"/>
        </w:rPr>
      </w:pPr>
      <w:r>
        <w:rPr>
          <w:rFonts w:ascii="宋体" w:hAnsi="宋体" w:hint="eastAsia"/>
          <w:sz w:val="24"/>
        </w:rPr>
        <w:t>（四）以非法手段排斥其他供应商参与竞争的；</w:t>
      </w:r>
    </w:p>
    <w:p>
      <w:pPr>
        <w:spacing w:line="360" w:lineRule="auto"/>
        <w:ind w:firstLine="420" w:firstLineChars="200"/>
        <w:rPr>
          <w:rFonts w:ascii="宋体" w:hAnsi="宋体"/>
          <w:sz w:val="24"/>
        </w:rPr>
      </w:pPr>
      <w:r>
        <w:rPr>
          <w:rFonts w:ascii="宋体" w:hAnsi="宋体" w:hint="eastAsia"/>
          <w:sz w:val="24"/>
        </w:rPr>
        <w:t>（五）与其他采购参加人串通投标的；</w:t>
      </w:r>
    </w:p>
    <w:p>
      <w:pPr>
        <w:spacing w:line="360" w:lineRule="auto"/>
        <w:ind w:firstLine="420" w:firstLineChars="200"/>
        <w:rPr>
          <w:rFonts w:ascii="宋体" w:hAnsi="宋体"/>
          <w:sz w:val="24"/>
        </w:rPr>
      </w:pPr>
      <w:r>
        <w:rPr>
          <w:rFonts w:ascii="宋体" w:hAnsi="宋体" w:hint="eastAsia"/>
          <w:sz w:val="24"/>
        </w:rPr>
        <w:t>（六）恶意投诉的；</w:t>
      </w:r>
    </w:p>
    <w:p>
      <w:pPr>
        <w:spacing w:line="360" w:lineRule="auto"/>
        <w:ind w:firstLine="420" w:firstLineChars="200"/>
        <w:rPr>
          <w:rFonts w:ascii="宋体" w:hAnsi="宋体"/>
          <w:sz w:val="24"/>
        </w:rPr>
      </w:pPr>
      <w:r>
        <w:rPr>
          <w:rFonts w:ascii="宋体" w:hAnsi="宋体" w:hint="eastAsia"/>
          <w:sz w:val="24"/>
        </w:rPr>
        <w:t>（七）向采购项目相关人行贿或者提供其他不当利益的；</w:t>
      </w:r>
    </w:p>
    <w:p>
      <w:pPr>
        <w:spacing w:line="360" w:lineRule="auto"/>
        <w:ind w:firstLine="420" w:firstLineChars="200"/>
        <w:rPr>
          <w:rFonts w:ascii="宋体" w:hAnsi="宋体"/>
          <w:sz w:val="24"/>
        </w:rPr>
      </w:pPr>
      <w:r>
        <w:rPr>
          <w:rFonts w:ascii="宋体" w:hAnsi="宋体" w:hint="eastAsia"/>
          <w:sz w:val="24"/>
        </w:rPr>
        <w:t>（八）阻碍、抗拒主管部门监督检查的；</w:t>
      </w:r>
    </w:p>
    <w:p>
      <w:pPr>
        <w:spacing w:line="360" w:lineRule="auto"/>
        <w:ind w:firstLine="420" w:firstLineChars="200"/>
        <w:rPr>
          <w:rFonts w:ascii="宋体" w:hAnsi="宋体"/>
          <w:sz w:val="24"/>
        </w:rPr>
      </w:pPr>
      <w:r>
        <w:rPr>
          <w:rFonts w:ascii="宋体" w:hAnsi="宋体" w:hint="eastAsia"/>
          <w:sz w:val="24"/>
        </w:rPr>
        <w:t>（九）其他违反本条例规定的行为。</w:t>
      </w:r>
    </w:p>
    <w:p>
      <w:pPr>
        <w:spacing w:line="360" w:lineRule="auto"/>
        <w:ind w:firstLine="420" w:firstLineChars="200"/>
        <w:rPr>
          <w:rFonts w:ascii="宋体" w:hAnsi="宋体"/>
          <w:sz w:val="24"/>
        </w:rPr>
      </w:pPr>
      <w:r>
        <w:rPr>
          <w:rFonts w:ascii="宋体" w:hAnsi="宋体" w:hint="eastAsia"/>
          <w:b/>
          <w:bCs/>
          <w:sz w:val="24"/>
        </w:rPr>
        <w:t>二、《深圳经济特区政府采购条例实施细则》第七十九条 </w:t>
      </w:r>
      <w:r>
        <w:rPr>
          <w:rFonts w:ascii="宋体" w:hAnsi="宋体" w:hint="eastAsia"/>
          <w:sz w:val="24"/>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pacing w:line="360" w:lineRule="auto"/>
        <w:ind w:firstLine="420" w:firstLineChars="200"/>
        <w:rPr>
          <w:rFonts w:ascii="宋体" w:hAnsi="宋体"/>
          <w:sz w:val="24"/>
        </w:rPr>
      </w:pPr>
      <w:r>
        <w:rPr>
          <w:rFonts w:ascii="宋体" w:hAnsi="宋体" w:hint="eastAsia"/>
          <w:b/>
          <w:bCs/>
          <w:sz w:val="24"/>
        </w:rPr>
        <w:t>三、《深圳经济特区政府采购条例实施细则》第八十一条 </w:t>
      </w:r>
      <w:r>
        <w:rPr>
          <w:rFonts w:ascii="宋体" w:hAnsi="宋体" w:hint="eastAsia"/>
          <w:sz w:val="24"/>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pacing w:line="360" w:lineRule="auto"/>
        <w:ind w:firstLine="420" w:firstLineChars="200"/>
        <w:rPr>
          <w:rFonts w:ascii="宋体" w:hAnsi="宋体"/>
          <w:sz w:val="24"/>
        </w:rPr>
      </w:pPr>
      <w:r>
        <w:rPr>
          <w:rFonts w:ascii="宋体" w:hAnsi="宋体" w:hint="eastAsia"/>
          <w:sz w:val="24"/>
        </w:rPr>
        <w:t>投标供应商不能提供项目负责人或者主要技术人员的劳动合同、社会保险等劳动关系证明材料的，视为存在前款第（三）项规定的情形。</w:t>
      </w:r>
    </w:p>
    <w:p>
      <w:pPr>
        <w:spacing w:line="360" w:lineRule="auto"/>
        <w:ind w:firstLine="420" w:firstLineChars="200"/>
        <w:rPr>
          <w:rFonts w:ascii="宋体" w:hAnsi="宋体"/>
          <w:sz w:val="24"/>
          <w:highlight w:val="none"/>
        </w:rPr>
      </w:pPr>
      <w:r>
        <w:rPr>
          <w:rFonts w:ascii="宋体" w:hAnsi="宋体" w:hint="eastAsia"/>
          <w:sz w:val="24"/>
          <w:highlight w:val="none"/>
        </w:rPr>
        <w:t>四、请投标供应商阅读</w:t>
      </w:r>
      <w:r>
        <w:rPr>
          <w:rFonts w:ascii="宋体" w:hAnsi="宋体" w:hint="eastAsia"/>
          <w:b/>
          <w:bCs/>
          <w:sz w:val="24"/>
          <w:highlight w:val="none"/>
        </w:rPr>
        <w:t>《政府采购违法行为风险知悉确认书》</w:t>
      </w:r>
      <w:r>
        <w:rPr>
          <w:rFonts w:ascii="宋体" w:hAnsi="宋体" w:hint="eastAsia"/>
          <w:sz w:val="24"/>
          <w:highlight w:val="none"/>
        </w:rPr>
        <w:t>（内容详见“第六章投标文件格式（信息不公开部分）”，并经各投标供应商负责人或投标授权代表签字并加盖投标人公章后，扫描上传至投标文件一并提交。</w:t>
      </w:r>
    </w:p>
    <w:p>
      <w:pPr>
        <w:spacing w:line="360" w:lineRule="auto"/>
        <w:ind w:firstLine="420" w:firstLineChars="200"/>
        <w:rPr>
          <w:rFonts w:ascii="宋体" w:eastAsia="宋体" w:hAnsi="宋体" w:hint="eastAsia"/>
          <w:sz w:val="24"/>
          <w:highlight w:val="none"/>
          <w:lang w:eastAsia="zh-CN"/>
        </w:rPr>
      </w:pPr>
      <w:r>
        <w:rPr>
          <w:rFonts w:ascii="宋体" w:hAnsi="宋体" w:hint="eastAsia"/>
          <w:sz w:val="24"/>
          <w:highlight w:val="none"/>
        </w:rPr>
        <w:t>注：该风险知悉确认书用于对供应商违法行为的警示，不作为供应商资格性审查及符合性审查条件。</w:t>
      </w:r>
    </w:p>
    <w:p>
      <w:pPr>
        <w:spacing w:line="360" w:lineRule="auto"/>
        <w:ind w:firstLine="420" w:firstLineChars="200"/>
        <w:rPr>
          <w:rFonts w:ascii="宋体" w:eastAsia="宋体" w:hAnsi="宋体" w:hint="eastAsia"/>
          <w:sz w:val="24"/>
          <w:highlight w:val="none"/>
          <w:lang w:eastAsia="zh-CN"/>
        </w:rPr>
      </w:pPr>
      <w:r>
        <w:rPr>
          <w:rFonts w:ascii="宋体" w:hAnsi="宋体" w:hint="eastAsia"/>
          <w:sz w:val="24"/>
          <w:highlight w:val="none"/>
          <w:lang w:val="en-US" w:eastAsia="zh-CN"/>
        </w:rPr>
        <w:t xml:space="preserve">    </w:t>
      </w:r>
      <w:r>
        <w:rPr>
          <w:rFonts w:ascii="宋体" w:hAnsi="宋体" w:hint="eastAsia"/>
          <w:sz w:val="24"/>
          <w:highlight w:val="none"/>
          <w:lang w:eastAsia="zh-CN"/>
        </w:rPr>
        <w:t>五、不同投标供应商使用同一网络或同一设备编制、提交投标文件，将可能涉嫌串通投标违法行为而被立案调查，请依法依规参与政府采购活动。</w:t>
      </w:r>
    </w:p>
    <w:p>
      <w:pPr>
        <w:widowControl/>
        <w:spacing w:line="360" w:lineRule="auto"/>
        <w:ind w:firstLine="420" w:firstLineChars="200"/>
        <w:jc w:val="left"/>
        <w:rPr>
          <w:rFonts w:ascii="宋体" w:hAnsi="宋体"/>
          <w:b/>
          <w:sz w:val="24"/>
        </w:rPr>
      </w:pPr>
    </w:p>
    <w:p>
      <w:pPr>
        <w:rPr>
          <w:rFonts w:ascii="黑体" w:eastAsia="黑体" w:hAnsi="黑体"/>
          <w:b/>
          <w:sz w:val="44"/>
          <w:szCs w:val="44"/>
        </w:rPr>
      </w:pPr>
      <w:r>
        <w:rPr>
          <w:rFonts w:ascii="黑体" w:eastAsia="黑体" w:hAnsi="黑体" w:hint="eastAsia"/>
          <w:b/>
          <w:sz w:val="44"/>
          <w:szCs w:val="44"/>
        </w:rPr>
        <w:br w:type="page"/>
      </w:r>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温馨提示</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投标文件应按顺序</w:t>
      </w:r>
      <w:r>
        <w:rPr>
          <w:rFonts w:ascii="宋体" w:hAnsi="宋体" w:hint="eastAsia"/>
          <w:b/>
          <w:sz w:val="24"/>
        </w:rPr>
        <w:t>编制页码</w:t>
      </w:r>
      <w:r>
        <w:rPr>
          <w:rFonts w:ascii="宋体" w:hAnsi="宋体" w:hint="eastAsia"/>
          <w:sz w:val="24"/>
        </w:rPr>
        <w:t>。</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请仔细检查投标文件是否已按招标文件要求</w:t>
      </w:r>
      <w:r>
        <w:rPr>
          <w:rFonts w:ascii="宋体" w:hAnsi="宋体" w:hint="eastAsia"/>
          <w:b/>
          <w:sz w:val="24"/>
        </w:rPr>
        <w:t>填写、签署日期</w:t>
      </w:r>
      <w:r>
        <w:rPr>
          <w:rFonts w:ascii="宋体" w:hAnsi="宋体" w:hint="eastAsia"/>
          <w:sz w:val="24"/>
        </w:rPr>
        <w:t>。</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请正确填写《开标一览表（报价表）》、《投标分项报价表》(如有)。多包组项目请仔细检查包组号，包组号与包组采购内容必须对应。</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如投标产品属于许可证管理范围内的，须提交相应的许可证扫描件。</w:t>
      </w:r>
    </w:p>
    <w:p>
      <w:pPr>
        <w:numPr>
          <w:ilvl w:val="0"/>
          <w:numId w:val="1"/>
        </w:numPr>
        <w:tabs>
          <w:tab w:val="left" w:pos="709"/>
        </w:tabs>
        <w:spacing w:line="360" w:lineRule="auto"/>
        <w:ind w:left="700" w:hanging="700"/>
        <w:rPr>
          <w:rFonts w:ascii="宋体" w:hAnsi="宋体"/>
          <w:sz w:val="24"/>
        </w:rPr>
      </w:pPr>
      <w:r>
        <w:rPr>
          <w:rFonts w:ascii="宋体" w:hAnsi="宋体" w:cs="宋体" w:hint="eastAsia"/>
          <w:sz w:val="24"/>
        </w:rPr>
        <w:t>分支机构投标，须取得</w:t>
      </w:r>
      <w:r>
        <w:rPr>
          <w:rFonts w:ascii="宋体" w:hAnsi="宋体" w:cs="黑体" w:hint="eastAsia"/>
          <w:sz w:val="24"/>
        </w:rPr>
        <w:t>具有法人资格的总公司</w:t>
      </w:r>
      <w:r>
        <w:rPr>
          <w:rStyle w:val="p141"/>
          <w:rFonts w:ascii="宋体" w:hAnsi="宋体" w:hint="eastAsia"/>
          <w:sz w:val="24"/>
          <w:szCs w:val="24"/>
        </w:rPr>
        <w:t>（总所）</w:t>
      </w:r>
      <w:r>
        <w:rPr>
          <w:rFonts w:ascii="宋体" w:hAnsi="宋体" w:cs="黑体" w:hint="eastAsia"/>
          <w:sz w:val="24"/>
        </w:rPr>
        <w:t>出具给分支机构的授权书，并提供总公司</w:t>
      </w:r>
      <w:r>
        <w:rPr>
          <w:rStyle w:val="p141"/>
          <w:rFonts w:ascii="宋体" w:hAnsi="宋体" w:hint="eastAsia"/>
          <w:sz w:val="24"/>
          <w:szCs w:val="24"/>
        </w:rPr>
        <w:t>（总所）</w:t>
      </w:r>
      <w:r>
        <w:rPr>
          <w:rFonts w:ascii="宋体" w:hAnsi="宋体" w:cs="黑体" w:hint="eastAsia"/>
          <w:sz w:val="24"/>
        </w:rPr>
        <w:t>和分支机构的营业执照（执业许可证）扫描件。</w:t>
      </w:r>
      <w:r>
        <w:rPr>
          <w:rStyle w:val="p141"/>
          <w:rFonts w:ascii="宋体" w:hAnsi="宋体" w:hint="eastAsia"/>
          <w:sz w:val="24"/>
          <w:szCs w:val="24"/>
        </w:rPr>
        <w:t>已由总公司（总所）授权的，总公司（总所）取得的相关资</w:t>
      </w:r>
      <w:r>
        <w:rPr>
          <w:rStyle w:val="p141"/>
          <w:rFonts w:ascii="宋体" w:hAnsi="宋体" w:hint="eastAsia"/>
          <w:sz w:val="24"/>
          <w:szCs w:val="24"/>
          <w:highlight w:val="white"/>
        </w:rPr>
        <w:t>质证书对分支机构有效，法律法规或者行业另有规定的除外</w:t>
      </w:r>
      <w:r>
        <w:rPr>
          <w:rStyle w:val="p141"/>
          <w:rFonts w:ascii="宋体" w:hAnsi="宋体" w:hint="eastAsia"/>
          <w:sz w:val="24"/>
          <w:szCs w:val="24"/>
        </w:rPr>
        <w:t>。</w:t>
      </w:r>
    </w:p>
    <w:p>
      <w:pPr>
        <w:numPr>
          <w:ilvl w:val="0"/>
          <w:numId w:val="1"/>
        </w:numPr>
        <w:tabs>
          <w:tab w:val="left" w:pos="709"/>
        </w:tabs>
        <w:adjustRightInd w:val="0"/>
        <w:snapToGrid w:val="0"/>
        <w:spacing w:line="360" w:lineRule="auto"/>
        <w:ind w:left="700" w:hanging="700"/>
        <w:rPr>
          <w:rFonts w:ascii="宋体" w:hAnsi="宋体"/>
          <w:color w:val="FF0000"/>
          <w:sz w:val="24"/>
        </w:rPr>
      </w:pPr>
      <w:r>
        <w:rPr>
          <w:rFonts w:ascii="宋体" w:hAnsi="宋体" w:hint="eastAsia"/>
          <w:sz w:val="24"/>
        </w:rPr>
        <w:t>投标人如需对项目提出询问或</w:t>
      </w:r>
      <w:r>
        <w:rPr>
          <w:rFonts w:ascii="宋体" w:hAnsi="宋体" w:hint="eastAsia"/>
          <w:color w:val="auto"/>
          <w:sz w:val="24"/>
        </w:rPr>
        <w:t>质疑，应按招标文件附件中的询问函和质疑函的格式提交。关于疫情期间政府采购供应商提起质疑、询问，我司答复质疑、询问原则上采用邮寄方式提交的相关说明。</w:t>
      </w:r>
    </w:p>
    <w:p>
      <w:pPr>
        <w:numPr>
          <w:ilvl w:val="0"/>
          <w:numId w:val="1"/>
        </w:numPr>
        <w:tabs>
          <w:tab w:val="left" w:pos="709"/>
        </w:tabs>
        <w:adjustRightInd w:val="0"/>
        <w:snapToGrid w:val="0"/>
        <w:spacing w:line="360" w:lineRule="auto"/>
        <w:ind w:left="700" w:hanging="700"/>
        <w:rPr>
          <w:rFonts w:ascii="宋体" w:hAnsi="宋体"/>
          <w:sz w:val="24"/>
        </w:rPr>
      </w:pPr>
      <w:r>
        <w:rPr>
          <w:rFonts w:ascii="宋体" w:hAnsi="宋体" w:hint="eastAsia"/>
          <w:sz w:val="24"/>
        </w:rPr>
        <w:t>为缓解中小企业融资难题，深圳市推出政府采购订单融资改革举措。订单融资具体流程及试点金融机构订单融资服务承诺可参阅深圳市政府采购监管网（zfcg.sz.gov.cn）信息公开栏目或深圳政府采购网（cgzx.sz.gov.cn）政府采购订单融资栏目。</w:t>
      </w:r>
    </w:p>
    <w:p>
      <w:pPr>
        <w:numPr>
          <w:ilvl w:val="0"/>
          <w:numId w:val="1"/>
        </w:numPr>
        <w:tabs>
          <w:tab w:val="left" w:pos="709"/>
        </w:tabs>
        <w:spacing w:line="360" w:lineRule="auto"/>
        <w:ind w:left="700" w:hanging="700"/>
        <w:rPr>
          <w:rFonts w:ascii="宋体" w:hAnsi="宋体"/>
          <w:color w:val="00B0F0"/>
          <w:sz w:val="24"/>
        </w:rPr>
      </w:pPr>
      <w:r>
        <w:rPr>
          <w:rFonts w:ascii="宋体" w:hAnsi="宋体" w:hint="eastAsia"/>
          <w:sz w:val="24"/>
        </w:rPr>
        <w:t>上述提示内容非招标文件的组成部分，仅为善意提醒。如有不一致的地方，以招标文件为准。</w:t>
      </w:r>
    </w:p>
    <w:p>
      <w:pPr>
        <w:spacing w:line="360" w:lineRule="auto"/>
        <w:jc w:val="center"/>
        <w:rPr>
          <w:rFonts w:ascii="宋体" w:hAnsi="宋体"/>
          <w:b/>
          <w:sz w:val="24"/>
        </w:rPr>
      </w:pPr>
      <w:r>
        <w:rPr>
          <w:rFonts w:ascii="宋体" w:hAnsi="宋体"/>
          <w:sz w:val="24"/>
        </w:rPr>
        <w:br w:type="page"/>
      </w:r>
      <w:bookmarkStart w:id="0" w:name="_Toc292267790"/>
      <w:bookmarkStart w:id="1" w:name="_Toc435115363"/>
      <w:bookmarkStart w:id="2" w:name="_Toc435114676"/>
      <w:bookmarkStart w:id="3" w:name="_Toc435115051"/>
    </w:p>
    <w:p>
      <w:pPr>
        <w:spacing w:line="360" w:lineRule="auto"/>
        <w:jc w:val="center"/>
        <w:rPr>
          <w:rFonts w:ascii="宋体" w:hAnsi="宋体"/>
          <w:b/>
          <w:sz w:val="44"/>
          <w:szCs w:val="44"/>
        </w:rPr>
      </w:pPr>
      <w:r>
        <w:rPr>
          <w:rFonts w:ascii="宋体" w:hAnsi="宋体" w:hint="eastAsia"/>
          <w:b/>
          <w:sz w:val="44"/>
          <w:szCs w:val="44"/>
        </w:rPr>
        <w:t>目   录</w:t>
      </w:r>
    </w:p>
    <w:p>
      <w:pPr>
        <w:pStyle w:val="TOC1"/>
        <w:tabs>
          <w:tab w:val="right" w:leader="dot" w:pos="9170"/>
        </w:tabs>
        <w:rPr>
          <w:rFonts w:asciiTheme="minorHAnsi" w:hAnsiTheme="minorHAnsi"/>
          <w:noProof/>
          <w:sz w:val="22"/>
        </w:rPr>
      </w:pPr>
      <w:bookmarkEnd w:id="0"/>
      <w:bookmarkEnd w:id="1"/>
      <w:bookmarkEnd w:id="2"/>
      <w:bookmarkStart w:id="4" w:name="_Toc435514842"/>
      <w:bookmarkStart w:id="5" w:name="_GoBack"/>
      <w:bookmarkEnd w:id="5"/>
      <w:r>
        <w:rPr>
          <w:rFonts w:asciiTheme="minorEastAsia" w:eastAsiaTheme="minorEastAsia" w:hAnsiTheme="minorEastAsia"/>
          <w:bCs w:val="0"/>
          <w:caps w:val="0"/>
          <w:sz w:val="28"/>
          <w:szCs w:val="28"/>
        </w:rPr>
        <w:fldChar w:fldCharType="begin"/>
      </w:r>
      <w:r>
        <w:rPr>
          <w:rFonts w:asciiTheme="minorEastAsia" w:eastAsiaTheme="minorEastAsia" w:hAnsiTheme="minorEastAsia"/>
          <w:bCs w:val="0"/>
          <w:caps w:val="0"/>
          <w:sz w:val="28"/>
          <w:szCs w:val="28"/>
        </w:rPr>
        <w:instrText xml:space="preserve"> TOC \o "1-3" \h \z \u </w:instrText>
      </w:r>
      <w:r>
        <w:rPr>
          <w:rFonts w:asciiTheme="minorEastAsia" w:eastAsiaTheme="minorEastAsia" w:hAnsiTheme="minorEastAsia"/>
          <w:bCs w:val="0"/>
          <w:caps w:val="0"/>
          <w:sz w:val="28"/>
          <w:szCs w:val="28"/>
        </w:rPr>
        <w:fldChar w:fldCharType="separate"/>
      </w:r>
      <w:r>
        <w:fldChar w:fldCharType="begin"/>
      </w:r>
      <w:r>
        <w:rPr>
          <w:rStyle w:val="Hyperlink"/>
        </w:rPr>
        <w:instrText xml:space="preserve"> HYPERLINK \l "_Toc256000000" </w:instrText>
      </w:r>
      <w:r>
        <w:fldChar w:fldCharType="separate"/>
      </w:r>
      <w:r>
        <w:rPr>
          <w:rStyle w:val="Hyperlink"/>
          <w:rFonts w:hint="eastAsia"/>
        </w:rPr>
        <w:t>第一</w:t>
      </w:r>
      <w:r>
        <w:rPr>
          <w:rStyle w:val="Hyperlink"/>
        </w:rPr>
        <w:t>章</w:t>
      </w:r>
      <w:r>
        <w:rPr>
          <w:rStyle w:val="Hyperlink"/>
          <w:rFonts w:hint="eastAsia"/>
        </w:rPr>
        <w:t xml:space="preserve"> </w:t>
      </w:r>
      <w:r>
        <w:rPr>
          <w:rStyle w:val="Hyperlink"/>
        </w:rPr>
        <w:t>投标邀请</w:t>
      </w:r>
      <w:r>
        <w:rPr>
          <w:rStyle w:val="Hyperlink"/>
        </w:rPr>
        <w:tab/>
      </w:r>
      <w:r>
        <w:fldChar w:fldCharType="begin"/>
      </w:r>
      <w:r>
        <w:rPr>
          <w:rStyle w:val="Hyperlink"/>
        </w:rPr>
        <w:instrText xml:space="preserve"> PAGEREF _Toc256000000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"_Toc256000001" </w:instrText>
      </w:r>
      <w:r>
        <w:fldChar w:fldCharType="separate"/>
      </w:r>
      <w:r>
        <w:rPr>
          <w:rStyle w:val="Hyperlink"/>
          <w:rFonts w:asciiTheme="minorEastAsia" w:eastAsiaTheme="minorEastAsia" w:hAnsiTheme="minorEastAsia" w:cs="宋体" w:hint="eastAsia"/>
        </w:rPr>
        <w:t>一、项目基本情况</w:t>
      </w:r>
      <w:r>
        <w:rPr>
          <w:rStyle w:val="Hyperlink"/>
        </w:rPr>
        <w:tab/>
      </w:r>
      <w:r>
        <w:fldChar w:fldCharType="begin"/>
      </w:r>
      <w:r>
        <w:rPr>
          <w:rStyle w:val="Hyperlink"/>
        </w:rPr>
        <w:instrText xml:space="preserve"> PAGEREF _Toc256000001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"_Toc256000002" </w:instrText>
      </w:r>
      <w:r>
        <w:fldChar w:fldCharType="separate"/>
      </w:r>
      <w:r>
        <w:rPr>
          <w:rStyle w:val="Hyperlink"/>
          <w:rFonts w:asciiTheme="minorEastAsia" w:eastAsiaTheme="minorEastAsia" w:hAnsiTheme="minorEastAsia" w:cs="宋体" w:hint="eastAsia"/>
        </w:rPr>
        <w:t>二、供应商的资格要求</w:t>
      </w:r>
      <w:r>
        <w:rPr>
          <w:rStyle w:val="Hyperlink"/>
        </w:rPr>
        <w:tab/>
      </w:r>
      <w:r>
        <w:fldChar w:fldCharType="begin"/>
      </w:r>
      <w:r>
        <w:rPr>
          <w:rStyle w:val="Hyperlink"/>
        </w:rPr>
        <w:instrText xml:space="preserve"> PAGEREF _Toc256000002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"_Toc256000003" </w:instrText>
      </w:r>
      <w:r>
        <w:fldChar w:fldCharType="separate"/>
      </w:r>
      <w:r>
        <w:rPr>
          <w:rStyle w:val="Hyperlink"/>
          <w:rFonts w:asciiTheme="minorEastAsia" w:eastAsiaTheme="minorEastAsia" w:hAnsiTheme="minorEastAsia" w:cs="宋体" w:hint="eastAsia"/>
        </w:rPr>
        <w:t>三、获取招标文件</w:t>
      </w:r>
      <w:r>
        <w:rPr>
          <w:rStyle w:val="Hyperlink"/>
        </w:rPr>
        <w:tab/>
      </w:r>
      <w:r>
        <w:fldChar w:fldCharType="begin"/>
      </w:r>
      <w:r>
        <w:rPr>
          <w:rStyle w:val="Hyperlink"/>
        </w:rPr>
        <w:instrText xml:space="preserve"> PAGEREF _Toc256000003 \h </w:instrText>
      </w:r>
      <w:r>
        <w:fldChar w:fldCharType="separate"/>
      </w:r>
      <w:r>
        <w:rPr>
          <w:rStyle w:val="Hyperlink"/>
        </w:rPr>
        <w:t>8</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"_Toc256000004" </w:instrText>
      </w:r>
      <w:r>
        <w:fldChar w:fldCharType="separate"/>
      </w:r>
      <w:r>
        <w:rPr>
          <w:rStyle w:val="Hyperlink"/>
          <w:rFonts w:asciiTheme="minorEastAsia" w:eastAsiaTheme="minorEastAsia" w:hAnsiTheme="minorEastAsia" w:cs="宋体" w:hint="eastAsia"/>
        </w:rPr>
        <w:t>四、提交投标文件</w:t>
      </w:r>
      <w:r>
        <w:rPr>
          <w:rStyle w:val="Hyperlink"/>
          <w:rFonts w:asciiTheme="minorEastAsia" w:eastAsiaTheme="minorEastAsia" w:hAnsiTheme="minorEastAsia" w:cs="宋体" w:hint="eastAsia"/>
        </w:rPr>
        <w:t>截止时间、开标时间和地点</w:t>
      </w:r>
      <w:r>
        <w:rPr>
          <w:rStyle w:val="Hyperlink"/>
        </w:rPr>
        <w:tab/>
      </w:r>
      <w:r>
        <w:fldChar w:fldCharType="begin"/>
      </w:r>
      <w:r>
        <w:rPr>
          <w:rStyle w:val="Hyperlink"/>
        </w:rPr>
        <w:instrText xml:space="preserve"> PAGEREF _Toc256000004 \h </w:instrText>
      </w:r>
      <w:r>
        <w:fldChar w:fldCharType="separate"/>
      </w:r>
      <w:r>
        <w:rPr>
          <w:rStyle w:val="Hyperlink"/>
        </w:rPr>
        <w:t>8</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"_Toc256000005" </w:instrText>
      </w:r>
      <w:r>
        <w:fldChar w:fldCharType="separate"/>
      </w:r>
      <w:r>
        <w:rPr>
          <w:rStyle w:val="Hyperlink"/>
          <w:rFonts w:asciiTheme="minorEastAsia" w:eastAsiaTheme="minorEastAsia" w:hAnsiTheme="minorEastAsia" w:cs="宋体" w:hint="eastAsia"/>
        </w:rPr>
        <w:t>五、公告期限</w:t>
      </w:r>
      <w:r>
        <w:rPr>
          <w:rStyle w:val="Hyperlink"/>
        </w:rPr>
        <w:tab/>
      </w:r>
      <w:r>
        <w:fldChar w:fldCharType="begin"/>
      </w:r>
      <w:r>
        <w:rPr>
          <w:rStyle w:val="Hyperlink"/>
        </w:rPr>
        <w:instrText xml:space="preserve"> PAGEREF _Toc256000005 \h </w:instrText>
      </w:r>
      <w:r>
        <w:fldChar w:fldCharType="separate"/>
      </w:r>
      <w:r>
        <w:rPr>
          <w:rStyle w:val="Hyperlink"/>
        </w:rPr>
        <w:t>9</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"_Toc256000006" </w:instrText>
      </w:r>
      <w:r>
        <w:fldChar w:fldCharType="separate"/>
      </w:r>
      <w:r>
        <w:rPr>
          <w:rStyle w:val="Hyperlink"/>
          <w:rFonts w:asciiTheme="minorEastAsia" w:eastAsiaTheme="minorEastAsia" w:hAnsiTheme="minorEastAsia" w:cs="宋体" w:hint="eastAsia"/>
        </w:rPr>
        <w:t>六、其他补充事宜</w:t>
      </w:r>
      <w:r>
        <w:rPr>
          <w:rStyle w:val="Hyperlink"/>
        </w:rPr>
        <w:tab/>
      </w:r>
      <w:r>
        <w:fldChar w:fldCharType="begin"/>
      </w:r>
      <w:r>
        <w:rPr>
          <w:rStyle w:val="Hyperlink"/>
        </w:rPr>
        <w:instrText xml:space="preserve"> PAGEREF _Toc256000006 \h </w:instrText>
      </w:r>
      <w:r>
        <w:fldChar w:fldCharType="separate"/>
      </w:r>
      <w:r>
        <w:rPr>
          <w:rStyle w:val="Hyperlink"/>
        </w:rPr>
        <w:t>9</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"_Toc256000007" </w:instrText>
      </w:r>
      <w:r>
        <w:fldChar w:fldCharType="separate"/>
      </w:r>
      <w:r>
        <w:rPr>
          <w:rStyle w:val="Hyperlink"/>
          <w:rFonts w:asciiTheme="minorEastAsia" w:eastAsiaTheme="minorEastAsia" w:hAnsiTheme="minorEastAsia" w:cs="宋体" w:hint="eastAsia"/>
        </w:rPr>
        <w:t>七、对本次采购提出询问，请按</w:t>
      </w:r>
      <w:r>
        <w:rPr>
          <w:rStyle w:val="Hyperlink"/>
          <w:rFonts w:asciiTheme="minorEastAsia" w:eastAsiaTheme="minorEastAsia" w:hAnsiTheme="minorEastAsia" w:cs="宋体"/>
        </w:rPr>
        <w:t>以下方式</w:t>
      </w:r>
      <w:r>
        <w:rPr>
          <w:rStyle w:val="Hyperlink"/>
          <w:rFonts w:asciiTheme="minorEastAsia" w:eastAsiaTheme="minorEastAsia" w:hAnsiTheme="minorEastAsia" w:cs="宋体" w:hint="eastAsia"/>
        </w:rPr>
        <w:t>联系。</w:t>
      </w:r>
      <w:r>
        <w:rPr>
          <w:rStyle w:val="Hyperlink"/>
        </w:rPr>
        <w:tab/>
      </w:r>
      <w:r>
        <w:fldChar w:fldCharType="begin"/>
      </w:r>
      <w:r>
        <w:rPr>
          <w:rStyle w:val="Hyperlink"/>
        </w:rPr>
        <w:instrText xml:space="preserve"> PAGEREF _Toc256000007 \h </w:instrText>
      </w:r>
      <w:r>
        <w:fldChar w:fldCharType="separate"/>
      </w:r>
      <w:r>
        <w:rPr>
          <w:rStyle w:val="Hyperlink"/>
        </w:rPr>
        <w:t>10</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"_Toc256000008" </w:instrText>
      </w:r>
      <w:r>
        <w:fldChar w:fldCharType="separate"/>
      </w:r>
      <w:r>
        <w:rPr>
          <w:rStyle w:val="Hyperlink"/>
          <w:rFonts w:asciiTheme="minorEastAsia" w:eastAsiaTheme="minorEastAsia" w:hAnsiTheme="minorEastAsia" w:cs="宋体" w:hint="eastAsia"/>
        </w:rPr>
        <w:t>八、招标文件</w:t>
      </w:r>
      <w:r>
        <w:rPr>
          <w:rStyle w:val="Hyperlink"/>
        </w:rPr>
        <w:tab/>
      </w:r>
      <w:r>
        <w:fldChar w:fldCharType="begin"/>
      </w:r>
      <w:r>
        <w:rPr>
          <w:rStyle w:val="Hyperlink"/>
        </w:rPr>
        <w:instrText xml:space="preserve"> PAGEREF _Toc256000008 \h </w:instrText>
      </w:r>
      <w:r>
        <w:fldChar w:fldCharType="separate"/>
      </w:r>
      <w:r>
        <w:rPr>
          <w:rStyle w:val="Hyperlink"/>
        </w:rPr>
        <w:t>10</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"_Toc256000009" </w:instrText>
      </w:r>
      <w:r>
        <w:fldChar w:fldCharType="separate"/>
      </w:r>
      <w:r>
        <w:rPr>
          <w:rStyle w:val="Hyperlink"/>
          <w:rFonts w:hint="eastAsia"/>
        </w:rPr>
        <w:t>第二章 用户需求书</w:t>
      </w:r>
      <w:r>
        <w:rPr>
          <w:rStyle w:val="Hyperlink"/>
        </w:rPr>
        <w:tab/>
      </w:r>
      <w:r>
        <w:fldChar w:fldCharType="begin"/>
      </w:r>
      <w:r>
        <w:rPr>
          <w:rStyle w:val="Hyperlink"/>
        </w:rPr>
        <w:instrText xml:space="preserve"> PAGEREF _Toc256000009 \h </w:instrText>
      </w:r>
      <w:r>
        <w:fldChar w:fldCharType="separate"/>
      </w:r>
      <w:r>
        <w:rPr>
          <w:rStyle w:val="Hyperlink"/>
        </w:rPr>
        <w:t>12</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"_Toc256000010" </w:instrText>
      </w:r>
      <w:r>
        <w:fldChar w:fldCharType="separate"/>
      </w:r>
      <w:r>
        <w:rPr>
          <w:rStyle w:val="Hyperlink"/>
          <w:rFonts w:hint="eastAsia"/>
        </w:rPr>
        <w:t>第三章 评标方法</w:t>
      </w:r>
      <w:r>
        <w:rPr>
          <w:rStyle w:val="Hyperlink"/>
          <w:rFonts w:hint="eastAsia"/>
        </w:rPr>
        <w:t>和标准</w:t>
      </w:r>
      <w:r>
        <w:rPr>
          <w:rStyle w:val="Hyperlink"/>
        </w:rPr>
        <w:tab/>
      </w:r>
      <w:r>
        <w:fldChar w:fldCharType="begin"/>
      </w:r>
      <w:r>
        <w:rPr>
          <w:rStyle w:val="Hyperlink"/>
        </w:rPr>
        <w:instrText xml:space="preserve"> PAGEREF _Toc256000010 \h </w:instrText>
      </w:r>
      <w:r>
        <w:fldChar w:fldCharType="separate"/>
      </w:r>
      <w:r>
        <w:rPr>
          <w:rStyle w:val="Hyperlink"/>
        </w:rPr>
        <w:t>15</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"_Toc256000011" </w:instrText>
      </w:r>
      <w:r>
        <w:fldChar w:fldCharType="separate"/>
      </w:r>
      <w:r>
        <w:rPr>
          <w:rStyle w:val="Hyperlink"/>
        </w:rPr>
        <w:t>第</w:t>
      </w:r>
      <w:r>
        <w:rPr>
          <w:rStyle w:val="Hyperlink"/>
          <w:rFonts w:hint="eastAsia"/>
        </w:rPr>
        <w:t>四</w:t>
      </w:r>
      <w:r>
        <w:rPr>
          <w:rStyle w:val="Hyperlink"/>
        </w:rPr>
        <w:t>章</w:t>
      </w:r>
      <w:r>
        <w:rPr>
          <w:rStyle w:val="Hyperlink"/>
          <w:rFonts w:hint="eastAsia"/>
        </w:rPr>
        <w:t xml:space="preserve"> </w:t>
      </w:r>
      <w:r>
        <w:rPr>
          <w:rStyle w:val="Hyperlink"/>
        </w:rPr>
        <w:t>投标人须知</w:t>
      </w:r>
      <w:r>
        <w:rPr>
          <w:rStyle w:val="Hyperlink"/>
        </w:rPr>
        <w:tab/>
      </w:r>
      <w:r>
        <w:fldChar w:fldCharType="begin"/>
      </w:r>
      <w:r>
        <w:rPr>
          <w:rStyle w:val="Hyperlink"/>
        </w:rPr>
        <w:instrText xml:space="preserve"> PAGEREF _Toc256000011 \h </w:instrText>
      </w:r>
      <w:r>
        <w:fldChar w:fldCharType="separate"/>
      </w:r>
      <w:r>
        <w:rPr>
          <w:rStyle w:val="Hyperlink"/>
        </w:rPr>
        <w:t>24</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"_Toc256000012" </w:instrText>
      </w:r>
      <w:r>
        <w:fldChar w:fldCharType="separate"/>
      </w:r>
      <w:r>
        <w:rPr>
          <w:rStyle w:val="Hyperlink"/>
          <w:rFonts w:hint="eastAsia"/>
          <w:b/>
          <w:bCs/>
        </w:rPr>
        <w:t>第一部分 投标人须知前附表</w:t>
      </w:r>
      <w:r>
        <w:rPr>
          <w:rStyle w:val="Hyperlink"/>
        </w:rPr>
        <w:tab/>
      </w:r>
      <w:r>
        <w:fldChar w:fldCharType="begin"/>
      </w:r>
      <w:r>
        <w:rPr>
          <w:rStyle w:val="Hyperlink"/>
        </w:rPr>
        <w:instrText xml:space="preserve"> PAGEREF _Toc256000012 \h </w:instrText>
      </w:r>
      <w:r>
        <w:fldChar w:fldCharType="separate"/>
      </w:r>
      <w:r>
        <w:rPr>
          <w:rStyle w:val="Hyperlink"/>
        </w:rPr>
        <w:t>24</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"_Toc256000013" </w:instrText>
      </w:r>
      <w:r>
        <w:fldChar w:fldCharType="separate"/>
      </w:r>
      <w:r>
        <w:rPr>
          <w:rStyle w:val="Hyperlink"/>
          <w:rFonts w:hint="eastAsia"/>
          <w:b/>
          <w:bCs/>
        </w:rPr>
        <w:t>第二部分 投标人须知通用条款</w:t>
      </w:r>
      <w:r>
        <w:rPr>
          <w:rStyle w:val="Hyperlink"/>
        </w:rPr>
        <w:tab/>
      </w:r>
      <w:r>
        <w:fldChar w:fldCharType="begin"/>
      </w:r>
      <w:r>
        <w:rPr>
          <w:rStyle w:val="Hyperlink"/>
        </w:rPr>
        <w:instrText xml:space="preserve"> PAGEREF _Toc256000013 \h </w:instrText>
      </w:r>
      <w:r>
        <w:fldChar w:fldCharType="separate"/>
      </w:r>
      <w:r>
        <w:rPr>
          <w:rStyle w:val="Hyperlink"/>
        </w:rPr>
        <w:t>27</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"_Toc256000014" </w:instrText>
      </w:r>
      <w:r>
        <w:fldChar w:fldCharType="separate"/>
      </w:r>
      <w:r>
        <w:rPr>
          <w:rStyle w:val="Hyperlink"/>
        </w:rPr>
        <w:t>一、</w:t>
      </w:r>
      <w:r>
        <w:rPr>
          <w:rStyle w:val="Hyperlink"/>
          <w:rFonts w:asciiTheme="minorHAnsi" w:hAnsiTheme="minorHAnsi"/>
          <w:noProof/>
          <w:sz w:val="22"/>
        </w:rPr>
        <w:tab/>
      </w:r>
      <w:r>
        <w:rPr>
          <w:rStyle w:val="Hyperlink"/>
          <w:rFonts w:ascii="宋体" w:hAnsi="宋体" w:hint="eastAsia"/>
          <w:b/>
        </w:rPr>
        <w:t>总</w:t>
      </w:r>
      <w:r>
        <w:rPr>
          <w:rStyle w:val="Hyperlink"/>
          <w:rFonts w:ascii="宋体" w:hAnsi="宋体"/>
          <w:b/>
          <w:lang w:eastAsia="zh-TW"/>
        </w:rPr>
        <w:t xml:space="preserve"> </w:t>
      </w:r>
      <w:r>
        <w:rPr>
          <w:rStyle w:val="Hyperlink"/>
          <w:rFonts w:ascii="宋体" w:hAnsi="宋体" w:hint="eastAsia"/>
          <w:b/>
        </w:rPr>
        <w:t>则</w:t>
      </w:r>
      <w:r>
        <w:rPr>
          <w:rStyle w:val="Hyperlink"/>
        </w:rPr>
        <w:tab/>
      </w:r>
      <w:r>
        <w:fldChar w:fldCharType="begin"/>
      </w:r>
      <w:r>
        <w:rPr>
          <w:rStyle w:val="Hyperlink"/>
        </w:rPr>
        <w:instrText xml:space="preserve"> PAGEREF _Toc256000014 \h </w:instrText>
      </w:r>
      <w:r>
        <w:fldChar w:fldCharType="separate"/>
      </w:r>
      <w:r>
        <w:rPr>
          <w:rStyle w:val="Hyperlink"/>
        </w:rPr>
        <w:t>27</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"_Toc256000015" </w:instrText>
      </w:r>
      <w:r>
        <w:fldChar w:fldCharType="separate"/>
      </w:r>
      <w:r>
        <w:rPr>
          <w:rStyle w:val="Hyperlink"/>
        </w:rPr>
        <w:t>二、</w:t>
      </w:r>
      <w:r>
        <w:rPr>
          <w:rStyle w:val="Hyperlink"/>
          <w:rFonts w:asciiTheme="minorHAnsi" w:hAnsiTheme="minorHAnsi"/>
          <w:noProof/>
          <w:sz w:val="22"/>
        </w:rPr>
        <w:tab/>
      </w:r>
      <w:r>
        <w:rPr>
          <w:rStyle w:val="Hyperlink"/>
          <w:rFonts w:ascii="宋体" w:hAnsi="宋体" w:hint="eastAsia"/>
          <w:b/>
          <w:lang w:eastAsia="zh-TW"/>
        </w:rPr>
        <w:t>招标文件</w:t>
      </w:r>
      <w:r>
        <w:rPr>
          <w:rStyle w:val="Hyperlink"/>
        </w:rPr>
        <w:tab/>
      </w:r>
      <w:r>
        <w:fldChar w:fldCharType="begin"/>
      </w:r>
      <w:r>
        <w:rPr>
          <w:rStyle w:val="Hyperlink"/>
        </w:rPr>
        <w:instrText xml:space="preserve"> PAGEREF _Toc256000015 \h </w:instrText>
      </w:r>
      <w:r>
        <w:fldChar w:fldCharType="separate"/>
      </w:r>
      <w:r>
        <w:rPr>
          <w:rStyle w:val="Hyperlink"/>
        </w:rPr>
        <w:t>28</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"_Toc256000016" </w:instrText>
      </w:r>
      <w:r>
        <w:fldChar w:fldCharType="separate"/>
      </w:r>
      <w:r>
        <w:rPr>
          <w:rStyle w:val="Hyperlink"/>
        </w:rPr>
        <w:t>三、</w:t>
      </w:r>
      <w:r>
        <w:rPr>
          <w:rStyle w:val="Hyperlink"/>
          <w:rFonts w:asciiTheme="minorHAnsi" w:hAnsiTheme="minorHAnsi"/>
          <w:noProof/>
          <w:sz w:val="22"/>
        </w:rPr>
        <w:tab/>
      </w:r>
      <w:r>
        <w:rPr>
          <w:rStyle w:val="Hyperlink"/>
          <w:rFonts w:ascii="宋体" w:hAnsi="宋体" w:hint="eastAsia"/>
          <w:b/>
          <w:lang w:eastAsia="zh-TW"/>
        </w:rPr>
        <w:t>投标文件的编制</w:t>
      </w:r>
      <w:r>
        <w:rPr>
          <w:rStyle w:val="Hyperlink"/>
        </w:rPr>
        <w:tab/>
      </w:r>
      <w:r>
        <w:fldChar w:fldCharType="begin"/>
      </w:r>
      <w:r>
        <w:rPr>
          <w:rStyle w:val="Hyperlink"/>
        </w:rPr>
        <w:instrText xml:space="preserve"> PAGEREF _Toc256000016 \h </w:instrText>
      </w:r>
      <w:r>
        <w:fldChar w:fldCharType="separate"/>
      </w:r>
      <w:r>
        <w:rPr>
          <w:rStyle w:val="Hyperlink"/>
        </w:rPr>
        <w:t>29</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"_Toc256000017" </w:instrText>
      </w:r>
      <w:r>
        <w:fldChar w:fldCharType="separate"/>
      </w:r>
      <w:r>
        <w:rPr>
          <w:rStyle w:val="Hyperlink"/>
        </w:rPr>
        <w:t>四、</w:t>
      </w:r>
      <w:r>
        <w:rPr>
          <w:rStyle w:val="Hyperlink"/>
          <w:rFonts w:asciiTheme="minorHAnsi" w:hAnsiTheme="minorHAnsi"/>
          <w:noProof/>
          <w:sz w:val="22"/>
        </w:rPr>
        <w:tab/>
      </w:r>
      <w:r>
        <w:rPr>
          <w:rStyle w:val="Hyperlink"/>
          <w:rFonts w:ascii="宋体" w:hAnsi="宋体" w:hint="eastAsia"/>
          <w:b/>
          <w:lang w:eastAsia="zh-TW"/>
        </w:rPr>
        <w:t>投标文件的递交</w:t>
      </w:r>
      <w:r>
        <w:rPr>
          <w:rStyle w:val="Hyperlink"/>
        </w:rPr>
        <w:tab/>
      </w:r>
      <w:r>
        <w:fldChar w:fldCharType="begin"/>
      </w:r>
      <w:r>
        <w:rPr>
          <w:rStyle w:val="Hyperlink"/>
        </w:rPr>
        <w:instrText xml:space="preserve"> PAGEREF _Toc256000017 \h </w:instrText>
      </w:r>
      <w:r>
        <w:fldChar w:fldCharType="separate"/>
      </w:r>
      <w:r>
        <w:rPr>
          <w:rStyle w:val="Hyperlink"/>
        </w:rPr>
        <w:t>34</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"_Toc256000018" </w:instrText>
      </w:r>
      <w:r>
        <w:fldChar w:fldCharType="separate"/>
      </w:r>
      <w:r>
        <w:rPr>
          <w:rStyle w:val="Hyperlink"/>
        </w:rPr>
        <w:t>五、</w:t>
      </w:r>
      <w:r>
        <w:rPr>
          <w:rStyle w:val="Hyperlink"/>
          <w:rFonts w:asciiTheme="minorHAnsi" w:hAnsiTheme="minorHAnsi"/>
          <w:noProof/>
          <w:sz w:val="22"/>
        </w:rPr>
        <w:tab/>
      </w:r>
      <w:r>
        <w:rPr>
          <w:rStyle w:val="Hyperlink"/>
          <w:rFonts w:ascii="宋体" w:hAnsi="宋体" w:hint="eastAsia"/>
          <w:b/>
          <w:lang w:eastAsia="zh-TW"/>
        </w:rPr>
        <w:t>开标、评标、定标与合同签订</w:t>
      </w:r>
      <w:r>
        <w:rPr>
          <w:rStyle w:val="Hyperlink"/>
        </w:rPr>
        <w:tab/>
      </w:r>
      <w:r>
        <w:fldChar w:fldCharType="begin"/>
      </w:r>
      <w:r>
        <w:rPr>
          <w:rStyle w:val="Hyperlink"/>
        </w:rPr>
        <w:instrText xml:space="preserve"> PAGEREF _Toc256000018 \h </w:instrText>
      </w:r>
      <w:r>
        <w:fldChar w:fldCharType="separate"/>
      </w:r>
      <w:r>
        <w:rPr>
          <w:rStyle w:val="Hyperlink"/>
        </w:rPr>
        <w:t>34</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"_Toc256000019" </w:instrText>
      </w:r>
      <w:r>
        <w:fldChar w:fldCharType="separate"/>
      </w:r>
      <w:r>
        <w:rPr>
          <w:rStyle w:val="Hyperlink"/>
        </w:rPr>
        <w:t>六、</w:t>
      </w:r>
      <w:r>
        <w:rPr>
          <w:rStyle w:val="Hyperlink"/>
          <w:rFonts w:asciiTheme="minorHAnsi" w:hAnsiTheme="minorHAnsi"/>
          <w:noProof/>
          <w:sz w:val="22"/>
        </w:rPr>
        <w:tab/>
      </w:r>
      <w:r>
        <w:rPr>
          <w:rStyle w:val="Hyperlink"/>
          <w:rFonts w:ascii="宋体" w:hAnsi="宋体" w:hint="eastAsia"/>
          <w:b/>
          <w:lang w:eastAsia="zh-TW"/>
        </w:rPr>
        <w:t>询问、质疑与投诉</w:t>
      </w:r>
      <w:r>
        <w:rPr>
          <w:rStyle w:val="Hyperlink"/>
        </w:rPr>
        <w:tab/>
      </w:r>
      <w:r>
        <w:fldChar w:fldCharType="begin"/>
      </w:r>
      <w:r>
        <w:rPr>
          <w:rStyle w:val="Hyperlink"/>
        </w:rPr>
        <w:instrText xml:space="preserve"> PAGEREF _Toc256000019 \h </w:instrText>
      </w:r>
      <w:r>
        <w:fldChar w:fldCharType="separate"/>
      </w:r>
      <w:r>
        <w:rPr>
          <w:rStyle w:val="Hyperlink"/>
        </w:rPr>
        <w:t>39</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"_Toc256000020" </w:instrText>
      </w:r>
      <w:r>
        <w:fldChar w:fldCharType="separate"/>
      </w:r>
      <w:r>
        <w:rPr>
          <w:rStyle w:val="Hyperlink"/>
          <w:rFonts w:hint="eastAsia"/>
        </w:rPr>
        <w:t>第五章</w:t>
      </w:r>
      <w:r>
        <w:rPr>
          <w:rStyle w:val="Hyperlink"/>
          <w:rFonts w:hint="eastAsia"/>
        </w:rPr>
        <w:t xml:space="preserve"> 合同格式条款（仅供参考，具体以合同签订为准）</w:t>
      </w:r>
      <w:r>
        <w:rPr>
          <w:rStyle w:val="Hyperlink"/>
        </w:rPr>
        <w:tab/>
      </w:r>
      <w:r>
        <w:fldChar w:fldCharType="begin"/>
      </w:r>
      <w:r>
        <w:rPr>
          <w:rStyle w:val="Hyperlink"/>
        </w:rPr>
        <w:instrText xml:space="preserve"> PAGEREF _Toc256000020 \h </w:instrText>
      </w:r>
      <w:r>
        <w:fldChar w:fldCharType="separate"/>
      </w:r>
      <w:r>
        <w:rPr>
          <w:rStyle w:val="Hyperlink"/>
        </w:rPr>
        <w:t>44</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"_Toc256000021" </w:instrText>
      </w:r>
      <w:r>
        <w:fldChar w:fldCharType="separate"/>
      </w:r>
      <w:r>
        <w:rPr>
          <w:rStyle w:val="Hyperlink"/>
          <w:rFonts w:hint="eastAsia"/>
        </w:rPr>
        <w:t>第六章 投标文件格式</w:t>
      </w:r>
      <w:r>
        <w:rPr>
          <w:rStyle w:val="Hyperlink"/>
        </w:rPr>
        <w:tab/>
      </w:r>
      <w:r>
        <w:fldChar w:fldCharType="begin"/>
      </w:r>
      <w:r>
        <w:rPr>
          <w:rStyle w:val="Hyperlink"/>
        </w:rPr>
        <w:instrText xml:space="preserve"> PAGEREF _Toc256000021 \h </w:instrText>
      </w:r>
      <w:r>
        <w:fldChar w:fldCharType="separate"/>
      </w:r>
      <w:r>
        <w:rPr>
          <w:rStyle w:val="Hyperlink"/>
        </w:rPr>
        <w:t>48</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"_Toc256000022" </w:instrText>
      </w:r>
      <w:r>
        <w:fldChar w:fldCharType="separate"/>
      </w:r>
      <w:r>
        <w:rPr>
          <w:rStyle w:val="Hyperlink"/>
          <w:rFonts w:hint="eastAsia"/>
        </w:rPr>
        <w:t>（一）</w:t>
      </w:r>
      <w:r>
        <w:rPr>
          <w:rStyle w:val="Hyperlink"/>
          <w:rFonts w:asciiTheme="minorHAnsi" w:hAnsiTheme="minorHAnsi"/>
          <w:noProof/>
          <w:sz w:val="22"/>
        </w:rPr>
        <w:tab/>
      </w:r>
      <w:r>
        <w:rPr>
          <w:rStyle w:val="Hyperlink"/>
          <w:rFonts w:hint="eastAsia"/>
        </w:rPr>
        <w:t>投标文件封面参考</w:t>
      </w:r>
      <w:r>
        <w:rPr>
          <w:rStyle w:val="Hyperlink"/>
        </w:rPr>
        <w:tab/>
      </w:r>
      <w:r>
        <w:fldChar w:fldCharType="begin"/>
      </w:r>
      <w:r>
        <w:rPr>
          <w:rStyle w:val="Hyperlink"/>
        </w:rPr>
        <w:instrText xml:space="preserve"> PAGEREF _Toc256000022 \h </w:instrText>
      </w:r>
      <w:r>
        <w:fldChar w:fldCharType="separate"/>
      </w:r>
      <w:r>
        <w:rPr>
          <w:rStyle w:val="Hyperlink"/>
        </w:rPr>
        <w:t>48</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"_Toc256000023" </w:instrText>
      </w:r>
      <w:r>
        <w:fldChar w:fldCharType="separate"/>
      </w:r>
      <w:r>
        <w:rPr>
          <w:rStyle w:val="Hyperlink"/>
          <w:rFonts w:hint="eastAsia"/>
        </w:rPr>
        <w:t>（二）</w:t>
      </w:r>
      <w:r>
        <w:rPr>
          <w:rStyle w:val="Hyperlink"/>
          <w:rFonts w:asciiTheme="minorHAnsi" w:hAnsiTheme="minorHAnsi"/>
          <w:noProof/>
          <w:sz w:val="22"/>
        </w:rPr>
        <w:tab/>
      </w:r>
      <w:r>
        <w:rPr>
          <w:rStyle w:val="Hyperlink"/>
          <w:rFonts w:hint="eastAsia"/>
        </w:rPr>
        <w:t>营业执照等资质证明文件</w:t>
      </w:r>
      <w:r>
        <w:rPr>
          <w:rStyle w:val="Hyperlink"/>
        </w:rPr>
        <w:tab/>
      </w:r>
      <w:r>
        <w:fldChar w:fldCharType="begin"/>
      </w:r>
      <w:r>
        <w:rPr>
          <w:rStyle w:val="Hyperlink"/>
        </w:rPr>
        <w:instrText xml:space="preserve"> PAGEREF _Toc256000023 \h </w:instrText>
      </w:r>
      <w:r>
        <w:fldChar w:fldCharType="separate"/>
      </w:r>
      <w:r>
        <w:rPr>
          <w:rStyle w:val="Hyperlink"/>
        </w:rPr>
        <w:t>49</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"_Toc256000024" </w:instrText>
      </w:r>
      <w:r>
        <w:fldChar w:fldCharType="separate"/>
      </w:r>
      <w:r>
        <w:rPr>
          <w:rStyle w:val="Hyperlink"/>
          <w:rFonts w:hint="eastAsia"/>
        </w:rPr>
        <w:t>（三）</w:t>
      </w:r>
      <w:r>
        <w:rPr>
          <w:rStyle w:val="Hyperlink"/>
          <w:rFonts w:asciiTheme="minorHAnsi" w:hAnsiTheme="minorHAnsi"/>
          <w:noProof/>
          <w:sz w:val="22"/>
        </w:rPr>
        <w:tab/>
      </w:r>
      <w:r>
        <w:rPr>
          <w:rStyle w:val="Hyperlink"/>
          <w:rFonts w:hint="eastAsia"/>
        </w:rPr>
        <w:t>投标分项报价表</w:t>
      </w:r>
      <w:r>
        <w:rPr>
          <w:rStyle w:val="Hyperlink"/>
        </w:rPr>
        <w:tab/>
      </w:r>
      <w:r>
        <w:fldChar w:fldCharType="begin"/>
      </w:r>
      <w:r>
        <w:rPr>
          <w:rStyle w:val="Hyperlink"/>
        </w:rPr>
        <w:instrText xml:space="preserve"> PAGEREF _Toc256000024 \h </w:instrText>
      </w:r>
      <w:r>
        <w:fldChar w:fldCharType="separate"/>
      </w:r>
      <w:r>
        <w:rPr>
          <w:rStyle w:val="Hyperlink"/>
        </w:rPr>
        <w:t>50</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"_Toc256000025" </w:instrText>
      </w:r>
      <w:r>
        <w:fldChar w:fldCharType="separate"/>
      </w:r>
      <w:r>
        <w:rPr>
          <w:rStyle w:val="Hyperlink"/>
          <w:rFonts w:hint="eastAsia"/>
        </w:rPr>
        <w:t>（四）</w:t>
      </w:r>
      <w:r>
        <w:rPr>
          <w:rStyle w:val="Hyperlink"/>
          <w:rFonts w:asciiTheme="minorHAnsi" w:hAnsiTheme="minorHAnsi"/>
          <w:noProof/>
          <w:sz w:val="22"/>
        </w:rPr>
        <w:tab/>
      </w:r>
      <w:r>
        <w:rPr>
          <w:rStyle w:val="Hyperlink"/>
          <w:rFonts w:ascii="黑体" w:hAnsi="黑体" w:hint="eastAsia"/>
        </w:rPr>
        <w:t>中小企业声明函（如有）</w:t>
      </w:r>
      <w:r>
        <w:rPr>
          <w:rStyle w:val="Hyperlink"/>
        </w:rPr>
        <w:tab/>
      </w:r>
      <w:r>
        <w:fldChar w:fldCharType="begin"/>
      </w:r>
      <w:r>
        <w:rPr>
          <w:rStyle w:val="Hyperlink"/>
        </w:rPr>
        <w:instrText xml:space="preserve"> PAGEREF _Toc256000025 \h </w:instrText>
      </w:r>
      <w:r>
        <w:fldChar w:fldCharType="separate"/>
      </w:r>
      <w:r>
        <w:rPr>
          <w:rStyle w:val="Hyperlink"/>
        </w:rPr>
        <w:t>51</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"_Toc256000026" </w:instrText>
      </w:r>
      <w:r>
        <w:fldChar w:fldCharType="separate"/>
      </w:r>
      <w:r>
        <w:rPr>
          <w:rStyle w:val="Hyperlink"/>
          <w:rFonts w:hint="eastAsia"/>
        </w:rPr>
        <w:t>（五）</w:t>
      </w:r>
      <w:r>
        <w:rPr>
          <w:rStyle w:val="Hyperlink"/>
          <w:rFonts w:asciiTheme="minorHAnsi" w:hAnsiTheme="minorHAnsi"/>
          <w:noProof/>
          <w:sz w:val="22"/>
        </w:rPr>
        <w:tab/>
      </w:r>
      <w:r>
        <w:rPr>
          <w:rStyle w:val="Hyperlink"/>
          <w:rFonts w:ascii="黑体" w:hAnsi="黑体" w:hint="eastAsia"/>
        </w:rPr>
        <w:t>残疾人福利性单位声明函（如有）</w:t>
      </w:r>
      <w:r>
        <w:rPr>
          <w:rStyle w:val="Hyperlink"/>
        </w:rPr>
        <w:tab/>
      </w:r>
      <w:r>
        <w:fldChar w:fldCharType="begin"/>
      </w:r>
      <w:r>
        <w:rPr>
          <w:rStyle w:val="Hyperlink"/>
        </w:rPr>
        <w:instrText xml:space="preserve"> PAGEREF _Toc256000026 \h </w:instrText>
      </w:r>
      <w:r>
        <w:fldChar w:fldCharType="separate"/>
      </w:r>
      <w:r>
        <w:rPr>
          <w:rStyle w:val="Hyperlink"/>
        </w:rPr>
        <w:t>52</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"_Toc256000027" </w:instrText>
      </w:r>
      <w:r>
        <w:fldChar w:fldCharType="separate"/>
      </w:r>
      <w:r>
        <w:rPr>
          <w:rStyle w:val="Hyperlink"/>
          <w:rFonts w:hint="eastAsia"/>
        </w:rPr>
        <w:t>（六）</w:t>
      </w:r>
      <w:r>
        <w:rPr>
          <w:rStyle w:val="Hyperlink"/>
          <w:rFonts w:asciiTheme="minorHAnsi" w:hAnsiTheme="minorHAnsi"/>
          <w:noProof/>
          <w:sz w:val="22"/>
        </w:rPr>
        <w:tab/>
      </w:r>
      <w:r>
        <w:rPr>
          <w:rStyle w:val="Hyperlink"/>
          <w:rFonts w:ascii="黑体" w:hAnsi="黑体" w:hint="eastAsia"/>
        </w:rPr>
        <w:t>监狱企业的证明文件（如有）</w:t>
      </w:r>
      <w:r>
        <w:rPr>
          <w:rStyle w:val="Hyperlink"/>
        </w:rPr>
        <w:tab/>
      </w:r>
      <w:r>
        <w:fldChar w:fldCharType="begin"/>
      </w:r>
      <w:r>
        <w:rPr>
          <w:rStyle w:val="Hyperlink"/>
        </w:rPr>
        <w:instrText xml:space="preserve"> PAGEREF _Toc256000027 \h </w:instrText>
      </w:r>
      <w:r>
        <w:fldChar w:fldCharType="separate"/>
      </w:r>
      <w:r>
        <w:rPr>
          <w:rStyle w:val="Hyperlink"/>
        </w:rPr>
        <w:t>53</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"_Toc256000028" </w:instrText>
      </w:r>
      <w:r>
        <w:fldChar w:fldCharType="separate"/>
      </w:r>
      <w:r>
        <w:rPr>
          <w:rStyle w:val="Hyperlink"/>
          <w:rFonts w:hint="eastAsia"/>
        </w:rPr>
        <w:t>（七）</w:t>
      </w:r>
      <w:r>
        <w:rPr>
          <w:rStyle w:val="Hyperlink"/>
          <w:rFonts w:asciiTheme="minorHAnsi" w:hAnsiTheme="minorHAnsi"/>
          <w:noProof/>
          <w:sz w:val="22"/>
        </w:rPr>
        <w:tab/>
      </w:r>
      <w:r>
        <w:rPr>
          <w:rStyle w:val="Hyperlink"/>
          <w:rFonts w:ascii="黑体" w:hAnsi="黑体" w:hint="eastAsia"/>
        </w:rPr>
        <w:t>政策功能情况（如有）</w:t>
      </w:r>
      <w:r>
        <w:rPr>
          <w:rStyle w:val="Hyperlink"/>
        </w:rPr>
        <w:tab/>
      </w:r>
      <w:r>
        <w:fldChar w:fldCharType="begin"/>
      </w:r>
      <w:r>
        <w:rPr>
          <w:rStyle w:val="Hyperlink"/>
        </w:rPr>
        <w:instrText xml:space="preserve"> PAGEREF _Toc256000028 \h </w:instrText>
      </w:r>
      <w:r>
        <w:fldChar w:fldCharType="separate"/>
      </w:r>
      <w:r>
        <w:rPr>
          <w:rStyle w:val="Hyperlink"/>
        </w:rPr>
        <w:t>54</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"_Toc256000029" </w:instrText>
      </w:r>
      <w:r>
        <w:fldChar w:fldCharType="separate"/>
      </w:r>
      <w:r>
        <w:rPr>
          <w:rStyle w:val="Hyperlink"/>
          <w:rFonts w:hint="eastAsia"/>
        </w:rPr>
        <w:t>（八）</w:t>
      </w:r>
      <w:r>
        <w:rPr>
          <w:rStyle w:val="Hyperlink"/>
          <w:rFonts w:asciiTheme="minorHAnsi" w:hAnsiTheme="minorHAnsi"/>
          <w:noProof/>
          <w:sz w:val="22"/>
        </w:rPr>
        <w:tab/>
      </w:r>
      <w:r>
        <w:rPr>
          <w:rStyle w:val="Hyperlink"/>
          <w:rFonts w:hint="eastAsia"/>
        </w:rPr>
        <w:t>投 标 函</w:t>
      </w:r>
      <w:r>
        <w:rPr>
          <w:rStyle w:val="Hyperlink"/>
        </w:rPr>
        <w:tab/>
      </w:r>
      <w:r>
        <w:fldChar w:fldCharType="begin"/>
      </w:r>
      <w:r>
        <w:rPr>
          <w:rStyle w:val="Hyperlink"/>
        </w:rPr>
        <w:instrText xml:space="preserve"> PAGEREF _Toc256000029 \h </w:instrText>
      </w:r>
      <w:r>
        <w:fldChar w:fldCharType="separate"/>
      </w:r>
      <w:r>
        <w:rPr>
          <w:rStyle w:val="Hyperlink"/>
        </w:rPr>
        <w:t>55</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"_Toc256000030" </w:instrText>
      </w:r>
      <w:r>
        <w:fldChar w:fldCharType="separate"/>
      </w:r>
      <w:r>
        <w:rPr>
          <w:rStyle w:val="Hyperlink"/>
          <w:rFonts w:hint="eastAsia"/>
        </w:rPr>
        <w:t>（九）</w:t>
      </w:r>
      <w:r>
        <w:rPr>
          <w:rStyle w:val="Hyperlink"/>
          <w:rFonts w:asciiTheme="minorHAnsi" w:hAnsiTheme="minorHAnsi"/>
          <w:noProof/>
          <w:sz w:val="22"/>
        </w:rPr>
        <w:tab/>
      </w:r>
      <w:r>
        <w:rPr>
          <w:rStyle w:val="Hyperlink"/>
          <w:rFonts w:hint="eastAsia"/>
        </w:rPr>
        <w:t>政府采购投标及履约承诺函</w:t>
      </w:r>
      <w:r>
        <w:rPr>
          <w:rStyle w:val="Hyperlink"/>
        </w:rPr>
        <w:tab/>
      </w:r>
      <w:r>
        <w:fldChar w:fldCharType="begin"/>
      </w:r>
      <w:r>
        <w:rPr>
          <w:rStyle w:val="Hyperlink"/>
        </w:rPr>
        <w:instrText xml:space="preserve"> PAGEREF _Toc256000030 \h </w:instrText>
      </w:r>
      <w:r>
        <w:fldChar w:fldCharType="separate"/>
      </w:r>
      <w:r>
        <w:rPr>
          <w:rStyle w:val="Hyperlink"/>
        </w:rPr>
        <w:t>57</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"_Toc256000031" </w:instrText>
      </w:r>
      <w:r>
        <w:fldChar w:fldCharType="separate"/>
      </w:r>
      <w:r>
        <w:rPr>
          <w:rStyle w:val="Hyperlink"/>
          <w:rFonts w:hint="eastAsia"/>
        </w:rPr>
        <w:t>（十）</w:t>
      </w:r>
      <w:r>
        <w:rPr>
          <w:rStyle w:val="Hyperlink"/>
          <w:rFonts w:asciiTheme="minorHAnsi" w:hAnsiTheme="minorHAnsi"/>
          <w:noProof/>
          <w:sz w:val="22"/>
        </w:rPr>
        <w:tab/>
      </w:r>
      <w:r>
        <w:rPr>
          <w:rStyle w:val="Hyperlink"/>
          <w:rFonts w:hint="eastAsia"/>
        </w:rPr>
        <w:t>公章对投标专用章授权说明（如有）</w:t>
      </w:r>
      <w:r>
        <w:rPr>
          <w:rStyle w:val="Hyperlink"/>
        </w:rPr>
        <w:tab/>
      </w:r>
      <w:r>
        <w:fldChar w:fldCharType="begin"/>
      </w:r>
      <w:r>
        <w:rPr>
          <w:rStyle w:val="Hyperlink"/>
        </w:rPr>
        <w:instrText xml:space="preserve"> PAGEREF _Toc256000031 \h </w:instrText>
      </w:r>
      <w:r>
        <w:fldChar w:fldCharType="separate"/>
      </w:r>
      <w:r>
        <w:rPr>
          <w:rStyle w:val="Hyperlink"/>
        </w:rPr>
        <w:t>58</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"_Toc256000032" </w:instrText>
      </w:r>
      <w:r>
        <w:fldChar w:fldCharType="separate"/>
      </w:r>
      <w:r>
        <w:rPr>
          <w:rStyle w:val="Hyperlink"/>
          <w:rFonts w:hint="eastAsia"/>
        </w:rPr>
        <w:t>（十一）</w:t>
      </w:r>
      <w:r>
        <w:rPr>
          <w:rStyle w:val="Hyperlink"/>
          <w:rFonts w:asciiTheme="minorHAnsi" w:hAnsiTheme="minorHAnsi"/>
          <w:noProof/>
          <w:sz w:val="22"/>
        </w:rPr>
        <w:tab/>
      </w:r>
      <w:r>
        <w:rPr>
          <w:rStyle w:val="Hyperlink"/>
          <w:rFonts w:hint="eastAsia"/>
        </w:rPr>
        <w:t>主要股东或出资人信息</w:t>
      </w:r>
      <w:r>
        <w:rPr>
          <w:rStyle w:val="Hyperlink"/>
        </w:rPr>
        <w:tab/>
      </w:r>
      <w:r>
        <w:fldChar w:fldCharType="begin"/>
      </w:r>
      <w:r>
        <w:rPr>
          <w:rStyle w:val="Hyperlink"/>
        </w:rPr>
        <w:instrText xml:space="preserve"> PAGEREF _Toc256000032 \h </w:instrText>
      </w:r>
      <w:r>
        <w:fldChar w:fldCharType="separate"/>
      </w:r>
      <w:r>
        <w:rPr>
          <w:rStyle w:val="Hyperlink"/>
        </w:rPr>
        <w:t>58</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"_Toc256000033" </w:instrText>
      </w:r>
      <w:r>
        <w:fldChar w:fldCharType="separate"/>
      </w:r>
      <w:r>
        <w:rPr>
          <w:rStyle w:val="Hyperlink"/>
          <w:rFonts w:hint="eastAsia"/>
        </w:rPr>
        <w:t>（十二）</w:t>
      </w:r>
      <w:r>
        <w:rPr>
          <w:rStyle w:val="Hyperlink"/>
          <w:rFonts w:asciiTheme="minorHAnsi" w:hAnsiTheme="minorHAnsi"/>
          <w:noProof/>
          <w:sz w:val="22"/>
        </w:rPr>
        <w:tab/>
      </w:r>
      <w:r>
        <w:rPr>
          <w:rStyle w:val="Hyperlink"/>
          <w:rFonts w:ascii="宋体" w:hAnsi="宋体" w:hint="eastAsia"/>
        </w:rPr>
        <w:t>声明函</w:t>
      </w:r>
      <w:r>
        <w:rPr>
          <w:rStyle w:val="Hyperlink"/>
        </w:rPr>
        <w:tab/>
      </w:r>
      <w:r>
        <w:fldChar w:fldCharType="begin"/>
      </w:r>
      <w:r>
        <w:rPr>
          <w:rStyle w:val="Hyperlink"/>
        </w:rPr>
        <w:instrText xml:space="preserve"> PAGEREF _Toc256000033 \h </w:instrText>
      </w:r>
      <w:r>
        <w:fldChar w:fldCharType="separate"/>
      </w:r>
      <w:r>
        <w:rPr>
          <w:rStyle w:val="Hyperlink"/>
        </w:rPr>
        <w:t>60</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"_Toc256000034" </w:instrText>
      </w:r>
      <w:r>
        <w:fldChar w:fldCharType="separate"/>
      </w:r>
      <w:r>
        <w:rPr>
          <w:rStyle w:val="Hyperlink"/>
          <w:rFonts w:hint="eastAsia"/>
        </w:rPr>
        <w:t>（十三）</w:t>
      </w:r>
      <w:r>
        <w:rPr>
          <w:rStyle w:val="Hyperlink"/>
          <w:rFonts w:asciiTheme="minorHAnsi" w:hAnsiTheme="minorHAnsi"/>
          <w:noProof/>
          <w:sz w:val="22"/>
        </w:rPr>
        <w:tab/>
      </w:r>
      <w:r>
        <w:rPr>
          <w:rStyle w:val="Hyperlink"/>
          <w:rFonts w:hint="eastAsia"/>
        </w:rPr>
        <w:t>投标人近三年同类业绩（以合同签订时间为准，截止日为本项目投标截止日）</w:t>
      </w:r>
      <w:r>
        <w:rPr>
          <w:rStyle w:val="Hyperlink"/>
        </w:rPr>
        <w:tab/>
      </w:r>
      <w:r>
        <w:fldChar w:fldCharType="begin"/>
      </w:r>
      <w:r>
        <w:rPr>
          <w:rStyle w:val="Hyperlink"/>
        </w:rPr>
        <w:instrText xml:space="preserve"> PAGEREF _Toc256000034 \h </w:instrText>
      </w:r>
      <w:r>
        <w:fldChar w:fldCharType="separate"/>
      </w:r>
      <w:r>
        <w:rPr>
          <w:rStyle w:val="Hyperlink"/>
        </w:rPr>
        <w:t>61</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"_Toc256000035" </w:instrText>
      </w:r>
      <w:r>
        <w:fldChar w:fldCharType="separate"/>
      </w:r>
      <w:r>
        <w:rPr>
          <w:rStyle w:val="Hyperlink"/>
          <w:rFonts w:hint="eastAsia"/>
        </w:rPr>
        <w:t>（十四）</w:t>
      </w:r>
      <w:r>
        <w:rPr>
          <w:rStyle w:val="Hyperlink"/>
          <w:rFonts w:asciiTheme="minorHAnsi" w:hAnsiTheme="minorHAnsi"/>
          <w:noProof/>
          <w:sz w:val="22"/>
        </w:rPr>
        <w:tab/>
      </w:r>
      <w:r>
        <w:rPr>
          <w:rStyle w:val="Hyperlink"/>
          <w:rFonts w:hint="eastAsia"/>
        </w:rPr>
        <w:t>开票资料说明函</w:t>
      </w:r>
      <w:r>
        <w:rPr>
          <w:rStyle w:val="Hyperlink"/>
        </w:rPr>
        <w:tab/>
      </w:r>
      <w:r>
        <w:fldChar w:fldCharType="begin"/>
      </w:r>
      <w:r>
        <w:rPr>
          <w:rStyle w:val="Hyperlink"/>
        </w:rPr>
        <w:instrText xml:space="preserve"> PAGEREF _Toc256000035 \h </w:instrText>
      </w:r>
      <w:r>
        <w:fldChar w:fldCharType="separate"/>
      </w:r>
      <w:r>
        <w:rPr>
          <w:rStyle w:val="Hyperlink"/>
        </w:rPr>
        <w:t>62</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"_Toc256000036" </w:instrText>
      </w:r>
      <w:r>
        <w:fldChar w:fldCharType="separate"/>
      </w:r>
      <w:r>
        <w:rPr>
          <w:rStyle w:val="Hyperlink"/>
          <w:rFonts w:hint="eastAsia"/>
        </w:rPr>
        <w:t>（十五）</w:t>
      </w:r>
      <w:r>
        <w:rPr>
          <w:rStyle w:val="Hyperlink"/>
          <w:rFonts w:asciiTheme="minorHAnsi" w:hAnsiTheme="minorHAnsi"/>
          <w:noProof/>
          <w:sz w:val="22"/>
        </w:rPr>
        <w:tab/>
      </w:r>
      <w:r>
        <w:rPr>
          <w:rStyle w:val="Hyperlink"/>
          <w:rFonts w:hint="eastAsia"/>
        </w:rPr>
        <w:t>投标人认为需要加以说明的其他内容</w:t>
      </w:r>
      <w:r>
        <w:rPr>
          <w:rStyle w:val="Hyperlink"/>
        </w:rPr>
        <w:tab/>
      </w:r>
      <w:r>
        <w:fldChar w:fldCharType="begin"/>
      </w:r>
      <w:r>
        <w:rPr>
          <w:rStyle w:val="Hyperlink"/>
        </w:rPr>
        <w:instrText xml:space="preserve"> PAGEREF _Toc256000036 \h </w:instrText>
      </w:r>
      <w:r>
        <w:fldChar w:fldCharType="separate"/>
      </w:r>
      <w:r>
        <w:rPr>
          <w:rStyle w:val="Hyperlink"/>
        </w:rPr>
        <w:t>63</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"_Toc256000037" </w:instrText>
      </w:r>
      <w:r>
        <w:fldChar w:fldCharType="separate"/>
      </w:r>
      <w:r>
        <w:rPr>
          <w:rStyle w:val="Hyperlink"/>
          <w:rFonts w:hint="eastAsia"/>
        </w:rPr>
        <w:t>（十六）</w:t>
      </w:r>
      <w:r>
        <w:rPr>
          <w:rStyle w:val="Hyperlink"/>
          <w:rFonts w:asciiTheme="minorHAnsi" w:hAnsiTheme="minorHAnsi"/>
          <w:noProof/>
          <w:sz w:val="22"/>
        </w:rPr>
        <w:tab/>
      </w:r>
      <w:r>
        <w:rPr>
          <w:rStyle w:val="Hyperlink"/>
          <w:rFonts w:hint="eastAsia"/>
        </w:rPr>
        <w:t>法定代表人证明书</w:t>
      </w:r>
      <w:r>
        <w:rPr>
          <w:rStyle w:val="Hyperlink"/>
        </w:rPr>
        <w:tab/>
      </w:r>
      <w:r>
        <w:fldChar w:fldCharType="begin"/>
      </w:r>
      <w:r>
        <w:rPr>
          <w:rStyle w:val="Hyperlink"/>
        </w:rPr>
        <w:instrText xml:space="preserve"> PAGEREF _Toc256000037 \h </w:instrText>
      </w:r>
      <w:r>
        <w:fldChar w:fldCharType="separate"/>
      </w:r>
      <w:r>
        <w:rPr>
          <w:rStyle w:val="Hyperlink"/>
        </w:rPr>
        <w:t>64</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"_Toc256000038" </w:instrText>
      </w:r>
      <w:r>
        <w:fldChar w:fldCharType="separate"/>
      </w:r>
      <w:r>
        <w:rPr>
          <w:rStyle w:val="Hyperlink"/>
          <w:rFonts w:hint="eastAsia"/>
        </w:rPr>
        <w:t>（十七）</w:t>
      </w:r>
      <w:r>
        <w:rPr>
          <w:rStyle w:val="Hyperlink"/>
          <w:rFonts w:asciiTheme="minorHAnsi" w:hAnsiTheme="minorHAnsi"/>
          <w:noProof/>
          <w:sz w:val="22"/>
        </w:rPr>
        <w:tab/>
      </w:r>
      <w:r>
        <w:rPr>
          <w:rStyle w:val="Hyperlink"/>
          <w:rFonts w:hint="eastAsia"/>
        </w:rPr>
        <w:t>法定代表人授权委托书</w:t>
      </w:r>
      <w:r>
        <w:rPr>
          <w:rStyle w:val="Hyperlink"/>
        </w:rPr>
        <w:tab/>
      </w:r>
      <w:r>
        <w:fldChar w:fldCharType="begin"/>
      </w:r>
      <w:r>
        <w:rPr>
          <w:rStyle w:val="Hyperlink"/>
        </w:rPr>
        <w:instrText xml:space="preserve"> PAGEREF _Toc256000038 \h </w:instrText>
      </w:r>
      <w:r>
        <w:fldChar w:fldCharType="separate"/>
      </w:r>
      <w:r>
        <w:rPr>
          <w:rStyle w:val="Hyperlink"/>
        </w:rPr>
        <w:t>65</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"_Toc256000039" </w:instrText>
      </w:r>
      <w:r>
        <w:fldChar w:fldCharType="separate"/>
      </w:r>
      <w:r>
        <w:rPr>
          <w:rStyle w:val="Hyperlink"/>
          <w:rFonts w:hint="eastAsia"/>
        </w:rPr>
        <w:t>（十八）</w:t>
      </w:r>
      <w:r>
        <w:rPr>
          <w:rStyle w:val="Hyperlink"/>
          <w:rFonts w:asciiTheme="minorHAnsi" w:hAnsiTheme="minorHAnsi"/>
          <w:noProof/>
          <w:sz w:val="22"/>
        </w:rPr>
        <w:tab/>
      </w:r>
      <w:r>
        <w:rPr>
          <w:rStyle w:val="Hyperlink"/>
          <w:rFonts w:hint="eastAsia"/>
        </w:rPr>
        <w:t>实质性条款响应情况表</w:t>
      </w:r>
      <w:r>
        <w:rPr>
          <w:rStyle w:val="Hyperlink"/>
        </w:rPr>
        <w:tab/>
      </w:r>
      <w:r>
        <w:fldChar w:fldCharType="begin"/>
      </w:r>
      <w:r>
        <w:rPr>
          <w:rStyle w:val="Hyperlink"/>
        </w:rPr>
        <w:instrText xml:space="preserve"> PAGEREF _Toc256000039 \h </w:instrText>
      </w:r>
      <w:r>
        <w:fldChar w:fldCharType="separate"/>
      </w:r>
      <w:r>
        <w:rPr>
          <w:rStyle w:val="Hyperlink"/>
        </w:rPr>
        <w:t>66</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"_Toc256000040" </w:instrText>
      </w:r>
      <w:r>
        <w:fldChar w:fldCharType="separate"/>
      </w:r>
      <w:r>
        <w:rPr>
          <w:rStyle w:val="Hyperlink"/>
          <w:rFonts w:hint="eastAsia"/>
        </w:rPr>
        <w:t>（十九）</w:t>
      </w:r>
      <w:r>
        <w:rPr>
          <w:rStyle w:val="Hyperlink"/>
          <w:rFonts w:asciiTheme="minorHAnsi" w:hAnsiTheme="minorHAnsi"/>
          <w:noProof/>
          <w:sz w:val="22"/>
        </w:rPr>
        <w:tab/>
      </w:r>
      <w:r>
        <w:rPr>
          <w:rStyle w:val="Hyperlink"/>
          <w:rFonts w:hint="eastAsia"/>
        </w:rPr>
        <w:t>技术要求偏离表</w:t>
      </w:r>
      <w:r>
        <w:rPr>
          <w:rStyle w:val="Hyperlink"/>
        </w:rPr>
        <w:tab/>
      </w:r>
      <w:r>
        <w:fldChar w:fldCharType="begin"/>
      </w:r>
      <w:r>
        <w:rPr>
          <w:rStyle w:val="Hyperlink"/>
        </w:rPr>
        <w:instrText xml:space="preserve"> PAGEREF _Toc256000040 \h </w:instrText>
      </w:r>
      <w:r>
        <w:fldChar w:fldCharType="separate"/>
      </w:r>
      <w:r>
        <w:rPr>
          <w:rStyle w:val="Hyperlink"/>
        </w:rPr>
        <w:t>69</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"_Toc256000041" </w:instrText>
      </w:r>
      <w:r>
        <w:fldChar w:fldCharType="separate"/>
      </w:r>
      <w:r>
        <w:rPr>
          <w:rStyle w:val="Hyperlink"/>
          <w:rFonts w:hint="eastAsia"/>
        </w:rPr>
        <w:t>（二十）</w:t>
      </w:r>
      <w:r>
        <w:rPr>
          <w:rStyle w:val="Hyperlink"/>
          <w:rFonts w:asciiTheme="minorHAnsi" w:hAnsiTheme="minorHAnsi"/>
          <w:noProof/>
          <w:sz w:val="22"/>
        </w:rPr>
        <w:tab/>
      </w:r>
      <w:r>
        <w:rPr>
          <w:rStyle w:val="Hyperlink"/>
          <w:rFonts w:hint="eastAsia"/>
        </w:rPr>
        <w:t>商务要求偏离表</w:t>
      </w:r>
      <w:r>
        <w:rPr>
          <w:rStyle w:val="Hyperlink"/>
        </w:rPr>
        <w:tab/>
      </w:r>
      <w:r>
        <w:fldChar w:fldCharType="begin"/>
      </w:r>
      <w:r>
        <w:rPr>
          <w:rStyle w:val="Hyperlink"/>
        </w:rPr>
        <w:instrText xml:space="preserve"> PAGEREF _Toc256000041 \h </w:instrText>
      </w:r>
      <w:r>
        <w:fldChar w:fldCharType="separate"/>
      </w:r>
      <w:r>
        <w:rPr>
          <w:rStyle w:val="Hyperlink"/>
        </w:rPr>
        <w:t>70</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"_Toc256000042" </w:instrText>
      </w:r>
      <w:r>
        <w:fldChar w:fldCharType="separate"/>
      </w:r>
      <w:r>
        <w:rPr>
          <w:rStyle w:val="Hyperlink"/>
          <w:rFonts w:hint="eastAsia"/>
        </w:rPr>
        <w:t>（二十一）</w:t>
      </w:r>
      <w:r>
        <w:rPr>
          <w:rStyle w:val="Hyperlink"/>
          <w:rFonts w:asciiTheme="minorHAnsi" w:hAnsiTheme="minorHAnsi"/>
          <w:noProof/>
          <w:sz w:val="22"/>
        </w:rPr>
        <w:tab/>
      </w:r>
      <w:r>
        <w:rPr>
          <w:rStyle w:val="Hyperlink"/>
          <w:rFonts w:hint="eastAsia"/>
        </w:rPr>
        <w:t>政府采购违法行为风险知悉确认书</w:t>
      </w:r>
      <w:r>
        <w:rPr>
          <w:rStyle w:val="Hyperlink"/>
        </w:rPr>
        <w:tab/>
      </w:r>
      <w:r>
        <w:fldChar w:fldCharType="begin"/>
      </w:r>
      <w:r>
        <w:rPr>
          <w:rStyle w:val="Hyperlink"/>
        </w:rPr>
        <w:instrText xml:space="preserve"> PAGEREF _Toc256000042 \h </w:instrText>
      </w:r>
      <w:r>
        <w:fldChar w:fldCharType="separate"/>
      </w:r>
      <w:r>
        <w:rPr>
          <w:rStyle w:val="Hyperlink"/>
        </w:rPr>
        <w:t>71</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"_Toc256000043" </w:instrText>
      </w:r>
      <w:r>
        <w:fldChar w:fldCharType="separate"/>
      </w:r>
      <w:r>
        <w:rPr>
          <w:rStyle w:val="Hyperlink"/>
          <w:rFonts w:hint="eastAsia"/>
        </w:rPr>
        <w:t>（二十二）</w:t>
      </w:r>
      <w:r>
        <w:rPr>
          <w:rStyle w:val="Hyperlink"/>
          <w:rFonts w:asciiTheme="minorHAnsi" w:hAnsiTheme="minorHAnsi"/>
          <w:noProof/>
          <w:sz w:val="22"/>
        </w:rPr>
        <w:tab/>
      </w:r>
      <w:r>
        <w:rPr>
          <w:rStyle w:val="Hyperlink"/>
          <w:rFonts w:hint="eastAsia"/>
        </w:rPr>
        <w:t>《</w:t>
      </w:r>
      <w:r>
        <w:rPr>
          <w:rStyle w:val="Hyperlink"/>
          <w:rFonts w:hint="eastAsia"/>
        </w:rPr>
        <w:t>政府采购违法行为风险知悉确认书</w:t>
      </w:r>
      <w:r>
        <w:rPr>
          <w:rStyle w:val="Hyperlink"/>
          <w:rFonts w:hint="eastAsia"/>
        </w:rPr>
        <w:t>》</w:t>
      </w:r>
      <w:r>
        <w:rPr>
          <w:rStyle w:val="Hyperlink"/>
          <w:rFonts w:hint="eastAsia"/>
        </w:rPr>
        <w:t>附件</w:t>
      </w:r>
      <w:r>
        <w:rPr>
          <w:rStyle w:val="Hyperlink"/>
        </w:rPr>
        <w:tab/>
      </w:r>
      <w:r>
        <w:fldChar w:fldCharType="begin"/>
      </w:r>
      <w:r>
        <w:rPr>
          <w:rStyle w:val="Hyperlink"/>
        </w:rPr>
        <w:instrText xml:space="preserve"> PAGEREF _Toc256000043 \h </w:instrText>
      </w:r>
      <w:r>
        <w:fldChar w:fldCharType="separate"/>
      </w:r>
      <w:r>
        <w:rPr>
          <w:rStyle w:val="Hyperlink"/>
        </w:rPr>
        <w:t>73</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"_Toc256000044" </w:instrText>
      </w:r>
      <w:r>
        <w:fldChar w:fldCharType="separate"/>
      </w:r>
      <w:r>
        <w:rPr>
          <w:rStyle w:val="Hyperlink"/>
          <w:rFonts w:hint="eastAsia"/>
        </w:rPr>
        <w:t>（二十三）</w:t>
      </w:r>
      <w:r>
        <w:rPr>
          <w:rStyle w:val="Hyperlink"/>
          <w:rFonts w:asciiTheme="minorHAnsi" w:hAnsiTheme="minorHAnsi"/>
          <w:noProof/>
          <w:sz w:val="22"/>
        </w:rPr>
        <w:tab/>
      </w:r>
      <w:r>
        <w:rPr>
          <w:rStyle w:val="Hyperlink"/>
          <w:rFonts w:hint="eastAsia"/>
        </w:rPr>
        <w:t>采购代理服务费承诺书</w:t>
      </w:r>
      <w:r>
        <w:rPr>
          <w:rStyle w:val="Hyperlink"/>
        </w:rPr>
        <w:tab/>
      </w:r>
      <w:r>
        <w:fldChar w:fldCharType="begin"/>
      </w:r>
      <w:r>
        <w:rPr>
          <w:rStyle w:val="Hyperlink"/>
        </w:rPr>
        <w:instrText xml:space="preserve"> PAGEREF _Toc256000044 \h </w:instrText>
      </w:r>
      <w:r>
        <w:fldChar w:fldCharType="separate"/>
      </w:r>
      <w:r>
        <w:rPr>
          <w:rStyle w:val="Hyperlink"/>
        </w:rPr>
        <w:t>74</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"_Toc256000045" </w:instrText>
      </w:r>
      <w:r>
        <w:fldChar w:fldCharType="separate"/>
      </w:r>
      <w:r>
        <w:rPr>
          <w:rStyle w:val="Hyperlink"/>
          <w:rFonts w:hint="eastAsia"/>
        </w:rPr>
        <w:t>（二十四）</w:t>
      </w:r>
      <w:r>
        <w:rPr>
          <w:rStyle w:val="Hyperlink"/>
          <w:rFonts w:asciiTheme="minorHAnsi" w:hAnsiTheme="minorHAnsi"/>
          <w:noProof/>
          <w:sz w:val="22"/>
        </w:rPr>
        <w:tab/>
      </w:r>
      <w:r>
        <w:rPr>
          <w:rStyle w:val="Hyperlink"/>
          <w:rFonts w:hint="eastAsia"/>
        </w:rPr>
        <w:t>技术保障措施</w:t>
      </w:r>
      <w:r>
        <w:rPr>
          <w:rStyle w:val="Hyperlink"/>
        </w:rPr>
        <w:tab/>
      </w:r>
      <w:r>
        <w:fldChar w:fldCharType="begin"/>
      </w:r>
      <w:r>
        <w:rPr>
          <w:rStyle w:val="Hyperlink"/>
        </w:rPr>
        <w:instrText xml:space="preserve"> PAGEREF _Toc256000045 \h </w:instrText>
      </w:r>
      <w:r>
        <w:fldChar w:fldCharType="separate"/>
      </w:r>
      <w:r>
        <w:rPr>
          <w:rStyle w:val="Hyperlink"/>
        </w:rPr>
        <w:t>75</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"_Toc256000046" </w:instrText>
      </w:r>
      <w:r>
        <w:fldChar w:fldCharType="separate"/>
      </w:r>
      <w:r>
        <w:rPr>
          <w:rStyle w:val="Hyperlink"/>
          <w:rFonts w:hint="eastAsia"/>
        </w:rPr>
        <w:t>（二十五）</w:t>
      </w:r>
      <w:r>
        <w:rPr>
          <w:rStyle w:val="Hyperlink"/>
          <w:rFonts w:asciiTheme="minorHAnsi" w:hAnsiTheme="minorHAnsi"/>
          <w:noProof/>
          <w:sz w:val="22"/>
        </w:rPr>
        <w:tab/>
      </w:r>
      <w:r>
        <w:rPr>
          <w:rStyle w:val="Hyperlink"/>
          <w:rFonts w:hint="eastAsia"/>
        </w:rPr>
        <w:t>售后服务方案</w:t>
      </w:r>
      <w:r>
        <w:rPr>
          <w:rStyle w:val="Hyperlink"/>
        </w:rPr>
        <w:tab/>
      </w:r>
      <w:r>
        <w:fldChar w:fldCharType="begin"/>
      </w:r>
      <w:r>
        <w:rPr>
          <w:rStyle w:val="Hyperlink"/>
        </w:rPr>
        <w:instrText xml:space="preserve"> PAGEREF _Toc256000046 \h </w:instrText>
      </w:r>
      <w:r>
        <w:fldChar w:fldCharType="separate"/>
      </w:r>
      <w:r>
        <w:rPr>
          <w:rStyle w:val="Hyperlink"/>
        </w:rPr>
        <w:t>76</w:t>
      </w:r>
      <w:r>
        <w:fldChar w:fldCharType="end"/>
      </w:r>
      <w:r>
        <w:fldChar w:fldCharType="end"/>
      </w:r>
    </w:p>
    <w:p>
      <w:pPr>
        <w:jc w:val="center"/>
        <w:rPr>
          <w:rFonts w:asciiTheme="minorEastAsia" w:eastAsiaTheme="minorEastAsia" w:hAnsiTheme="minorEastAsia" w:cs="Calibri"/>
          <w:bCs/>
          <w:caps/>
          <w:szCs w:val="28"/>
        </w:rPr>
      </w:pPr>
      <w:r>
        <w:rPr>
          <w:rFonts w:asciiTheme="minorEastAsia" w:eastAsiaTheme="minorEastAsia" w:hAnsiTheme="minorEastAsia" w:cs="Calibri"/>
          <w:bCs/>
          <w:caps/>
          <w:szCs w:val="28"/>
        </w:rPr>
        <w:fldChar w:fldCharType="end"/>
      </w:r>
    </w:p>
    <w:p>
      <w:pPr>
        <w:widowControl/>
        <w:jc w:val="left"/>
        <w:rPr>
          <w:b/>
          <w:bCs/>
          <w:sz w:val="28"/>
          <w:szCs w:val="28"/>
        </w:rPr>
      </w:pPr>
      <w:bookmarkStart w:id="6" w:name="_Toc13067016"/>
      <w:r>
        <w:rPr>
          <w:b/>
          <w:bCs/>
          <w:sz w:val="28"/>
          <w:szCs w:val="28"/>
        </w:rPr>
        <w:br w:type="page"/>
      </w:r>
    </w:p>
    <w:p>
      <w:pPr>
        <w:widowControl/>
        <w:jc w:val="center"/>
        <w:outlineLvl w:val="0"/>
        <w:rPr>
          <w:rFonts w:asciiTheme="minorEastAsia" w:eastAsiaTheme="minorEastAsia" w:hAnsiTheme="minorEastAsia"/>
          <w:sz w:val="24"/>
        </w:rPr>
      </w:pPr>
      <w:bookmarkStart w:id="7" w:name="_Toc28279"/>
      <w:bookmarkStart w:id="8" w:name="_Toc256000000"/>
      <w:r>
        <w:rPr>
          <w:rFonts w:hint="eastAsia"/>
          <w:b/>
          <w:bCs/>
          <w:sz w:val="28"/>
          <w:szCs w:val="28"/>
        </w:rPr>
        <w:t>第一</w:t>
      </w:r>
      <w:r>
        <w:rPr>
          <w:b/>
          <w:bCs/>
          <w:sz w:val="28"/>
          <w:szCs w:val="28"/>
        </w:rPr>
        <w:t>章</w:t>
      </w:r>
      <w:r>
        <w:rPr>
          <w:rFonts w:hint="eastAsia"/>
          <w:b/>
          <w:bCs/>
          <w:sz w:val="28"/>
          <w:szCs w:val="28"/>
        </w:rPr>
        <w:t xml:space="preserve"> </w:t>
      </w:r>
      <w:r>
        <w:rPr>
          <w:b/>
          <w:bCs/>
          <w:sz w:val="28"/>
          <w:szCs w:val="28"/>
        </w:rPr>
        <w:t>投标邀请</w:t>
      </w:r>
      <w:bookmarkEnd w:id="8"/>
      <w:bookmarkEnd w:id="3"/>
      <w:bookmarkEnd w:id="4"/>
      <w:bookmarkEnd w:id="6"/>
      <w:bookmarkEnd w:id="7"/>
      <w:bookmarkStart w:id="9" w:name="_Hlk43747761"/>
    </w:p>
    <w:p>
      <w:pPr>
        <w:spacing w:line="360" w:lineRule="auto"/>
        <w:rPr>
          <w:rFonts w:asciiTheme="minorEastAsia" w:eastAsiaTheme="minorEastAsia" w:hAnsiTheme="minorEastAsia"/>
          <w:color w:val="595959" w:themeColor="text1" w:themeTint="A6"/>
          <w:sz w:val="24"/>
          <w14:textFill>
            <w14:solidFill>
              <w14:schemeClr w14:val="tx1">
                <w14:lumMod w14:val="65000"/>
                <w14:lumOff w14:val="35000"/>
              </w14:schemeClr>
            </w14:solidFill>
          </w14:textFill>
        </w:rPr>
      </w:pPr>
      <w:r>
        <w:rPr>
          <w:rFonts w:asciiTheme="minorEastAsia" w:eastAsiaTheme="minorEastAsia" w:hAnsiTheme="minorEastAsia" w:hint="eastAsia"/>
          <w:sz w:val="24"/>
        </w:rPr>
        <w:t>项目概况</w:t>
      </w:r>
    </w:p>
    <w:p>
      <w:pPr>
        <w:spacing w:line="360" w:lineRule="auto"/>
        <w:ind w:firstLine="315" w:firstLineChars="150"/>
        <w:rPr>
          <w:rFonts w:asciiTheme="minorEastAsia" w:eastAsiaTheme="minorEastAsia" w:hAnsiTheme="minorEastAsia"/>
          <w:color w:val="auto"/>
          <w:sz w:val="24"/>
        </w:rPr>
      </w:pPr>
      <w:r>
        <w:rPr>
          <w:rFonts w:asciiTheme="minorEastAsia" w:eastAsiaTheme="minorEastAsia" w:hAnsiTheme="minorEastAsia" w:hint="eastAsia"/>
          <w:color w:val="auto"/>
          <w:sz w:val="24"/>
          <w:lang w:eastAsia="zh-CN"/>
        </w:rPr>
        <w:t>智能计算与系统-高级白盒可编程路由器</w:t>
      </w:r>
      <w:r>
        <w:rPr>
          <w:rFonts w:asciiTheme="minorEastAsia" w:eastAsiaTheme="minorEastAsia" w:hAnsiTheme="minorEastAsia" w:hint="eastAsia"/>
          <w:color w:val="auto"/>
          <w:sz w:val="24"/>
        </w:rPr>
        <w:t>的潜在投标人应在（</w:t>
      </w:r>
      <w:r>
        <w:rPr>
          <w:rFonts w:asciiTheme="minorEastAsia" w:eastAsiaTheme="minorEastAsia" w:hAnsiTheme="minorEastAsia" w:hint="eastAsia"/>
          <w:i/>
          <w:color w:val="auto"/>
          <w:sz w:val="24"/>
        </w:rPr>
        <w:t>本公告附件中</w:t>
      </w:r>
      <w:r>
        <w:rPr>
          <w:rFonts w:asciiTheme="minorEastAsia" w:eastAsiaTheme="minorEastAsia" w:hAnsiTheme="minorEastAsia" w:hint="eastAsia"/>
          <w:color w:val="auto"/>
          <w:sz w:val="24"/>
        </w:rPr>
        <w:t>）获取招标文件，并于</w:t>
      </w:r>
      <w:r>
        <w:rPr>
          <w:rFonts w:asciiTheme="minorEastAsia" w:eastAsiaTheme="minorEastAsia" w:hAnsiTheme="minorEastAsia" w:hint="eastAsia"/>
          <w:color w:val="auto"/>
          <w:sz w:val="24"/>
          <w:lang w:val="en-US" w:eastAsia="zh-CN"/>
        </w:rPr>
        <w:t>2023</w:t>
      </w:r>
      <w:r>
        <w:rPr>
          <w:rFonts w:asciiTheme="minorEastAsia" w:eastAsiaTheme="minorEastAsia" w:hAnsiTheme="minorEastAsia" w:hint="eastAsia"/>
          <w:bCs/>
          <w:color w:val="auto"/>
          <w:sz w:val="24"/>
        </w:rPr>
        <w:t>年</w:t>
      </w:r>
      <w:r>
        <w:rPr>
          <w:rFonts w:asciiTheme="minorEastAsia" w:eastAsiaTheme="minorEastAsia" w:hAnsiTheme="minorEastAsia" w:hint="eastAsia"/>
          <w:bCs/>
          <w:color w:val="auto"/>
          <w:sz w:val="24"/>
          <w:lang w:val="en-US" w:eastAsia="zh-CN"/>
        </w:rPr>
        <w:t>10</w:t>
      </w:r>
      <w:r>
        <w:rPr>
          <w:rFonts w:asciiTheme="minorEastAsia" w:eastAsiaTheme="minorEastAsia" w:hAnsiTheme="minorEastAsia" w:hint="eastAsia"/>
          <w:bCs/>
          <w:color w:val="auto"/>
          <w:sz w:val="24"/>
        </w:rPr>
        <w:t>月</w:t>
      </w:r>
      <w:r>
        <w:rPr>
          <w:rFonts w:asciiTheme="minorEastAsia" w:eastAsiaTheme="minorEastAsia" w:hAnsiTheme="minorEastAsia" w:hint="eastAsia"/>
          <w:bCs/>
          <w:color w:val="auto"/>
          <w:sz w:val="24"/>
          <w:lang w:val="en-US" w:eastAsia="zh-CN"/>
        </w:rPr>
        <w:t>8</w:t>
      </w:r>
      <w:r>
        <w:rPr>
          <w:rFonts w:asciiTheme="minorEastAsia" w:eastAsiaTheme="minorEastAsia" w:hAnsiTheme="minorEastAsia" w:hint="eastAsia"/>
          <w:bCs/>
          <w:color w:val="auto"/>
          <w:sz w:val="24"/>
        </w:rPr>
        <w:t>日</w:t>
      </w:r>
      <w:r>
        <w:rPr>
          <w:rFonts w:asciiTheme="minorEastAsia" w:eastAsiaTheme="minorEastAsia" w:hAnsiTheme="minorEastAsia" w:hint="eastAsia"/>
          <w:bCs/>
          <w:color w:val="auto"/>
          <w:sz w:val="24"/>
          <w:lang w:val="en-US" w:eastAsia="zh-CN"/>
        </w:rPr>
        <w:t>9</w:t>
      </w:r>
      <w:r>
        <w:rPr>
          <w:rFonts w:asciiTheme="minorEastAsia" w:eastAsiaTheme="minorEastAsia" w:hAnsiTheme="minorEastAsia" w:hint="eastAsia"/>
          <w:bCs/>
          <w:color w:val="auto"/>
          <w:sz w:val="24"/>
        </w:rPr>
        <w:t>：</w:t>
      </w:r>
      <w:r>
        <w:rPr>
          <w:rFonts w:asciiTheme="minorEastAsia" w:eastAsiaTheme="minorEastAsia" w:hAnsiTheme="minorEastAsia" w:hint="eastAsia"/>
          <w:bCs/>
          <w:color w:val="auto"/>
          <w:sz w:val="24"/>
          <w:lang w:val="en-US" w:eastAsia="zh-CN"/>
        </w:rPr>
        <w:t>30</w:t>
      </w:r>
      <w:r>
        <w:rPr>
          <w:rFonts w:asciiTheme="minorEastAsia" w:eastAsiaTheme="minorEastAsia" w:hAnsiTheme="minorEastAsia" w:hint="eastAsia"/>
          <w:bCs/>
          <w:color w:val="auto"/>
          <w:sz w:val="24"/>
        </w:rPr>
        <w:t>（北京时间）前网上递交投标</w:t>
      </w:r>
      <w:r>
        <w:rPr>
          <w:rFonts w:asciiTheme="minorEastAsia" w:eastAsiaTheme="minorEastAsia" w:hAnsiTheme="minorEastAsia"/>
          <w:bCs/>
          <w:color w:val="auto"/>
          <w:sz w:val="24"/>
        </w:rPr>
        <w:t>文件</w:t>
      </w:r>
      <w:r>
        <w:rPr>
          <w:rFonts w:asciiTheme="minorEastAsia" w:eastAsiaTheme="minorEastAsia" w:hAnsiTheme="minorEastAsia" w:hint="eastAsia"/>
          <w:bCs/>
          <w:color w:val="auto"/>
          <w:sz w:val="24"/>
        </w:rPr>
        <w:t>。</w:t>
      </w:r>
    </w:p>
    <w:p>
      <w:pPr>
        <w:pStyle w:val="Heading2"/>
        <w:spacing w:line="360" w:lineRule="auto"/>
        <w:rPr>
          <w:rFonts w:asciiTheme="minorEastAsia" w:eastAsiaTheme="minorEastAsia" w:hAnsiTheme="minorEastAsia" w:cs="宋体"/>
          <w:b w:val="0"/>
          <w:color w:val="auto"/>
          <w:sz w:val="24"/>
          <w:szCs w:val="24"/>
        </w:rPr>
      </w:pPr>
      <w:bookmarkStart w:id="10" w:name="_Toc35393790"/>
      <w:bookmarkStart w:id="11" w:name="_Toc35393621"/>
      <w:bookmarkStart w:id="12" w:name="_Toc28359002"/>
      <w:bookmarkStart w:id="13" w:name="_Toc28359079"/>
      <w:bookmarkStart w:id="14" w:name="_Toc23009"/>
      <w:bookmarkStart w:id="15" w:name="_Hlk24379207"/>
      <w:bookmarkStart w:id="16" w:name="_Toc256000001"/>
      <w:r>
        <w:rPr>
          <w:rFonts w:asciiTheme="minorEastAsia" w:eastAsiaTheme="minorEastAsia" w:hAnsiTheme="minorEastAsia" w:cs="宋体" w:hint="eastAsia"/>
          <w:b w:val="0"/>
          <w:color w:val="auto"/>
          <w:sz w:val="24"/>
          <w:szCs w:val="24"/>
        </w:rPr>
        <w:t>一、项目基本情况</w:t>
      </w:r>
      <w:bookmarkEnd w:id="16"/>
      <w:bookmarkEnd w:id="10"/>
      <w:bookmarkEnd w:id="11"/>
      <w:bookmarkEnd w:id="12"/>
      <w:bookmarkEnd w:id="13"/>
      <w:bookmarkEnd w:id="14"/>
    </w:p>
    <w:p>
      <w:pPr>
        <w:spacing w:line="360" w:lineRule="auto"/>
        <w:ind w:firstLine="420" w:firstLineChars="200"/>
        <w:rPr>
          <w:rFonts w:asciiTheme="minorEastAsia" w:eastAsiaTheme="minorEastAsia" w:hAnsiTheme="minorEastAsia" w:hint="eastAsia"/>
          <w:color w:val="auto"/>
          <w:sz w:val="24"/>
          <w:lang w:eastAsia="zh-CN"/>
        </w:rPr>
      </w:pPr>
      <w:r>
        <w:rPr>
          <w:rFonts w:asciiTheme="minorEastAsia" w:eastAsiaTheme="minorEastAsia" w:hAnsiTheme="minorEastAsia" w:hint="eastAsia"/>
          <w:color w:val="auto"/>
          <w:sz w:val="24"/>
          <w:lang w:eastAsia="zh-CN"/>
        </w:rPr>
        <w:t>（一）</w:t>
      </w:r>
      <w:r>
        <w:rPr>
          <w:rFonts w:asciiTheme="minorEastAsia" w:eastAsiaTheme="minorEastAsia" w:hAnsiTheme="minorEastAsia" w:hint="eastAsia"/>
          <w:color w:val="auto"/>
          <w:sz w:val="24"/>
        </w:rPr>
        <w:t>项目编号：</w:t>
      </w:r>
      <w:r>
        <w:rPr>
          <w:rFonts w:asciiTheme="minorEastAsia" w:eastAsiaTheme="minorEastAsia" w:hAnsiTheme="minorEastAsia" w:hint="eastAsia"/>
          <w:color w:val="auto"/>
          <w:sz w:val="24"/>
          <w:lang w:eastAsia="zh-CN"/>
        </w:rPr>
        <w:t>SZDL2023001961（CLF0123SZ17ZC27）</w:t>
      </w:r>
    </w:p>
    <w:p>
      <w:pPr>
        <w:spacing w:line="360" w:lineRule="auto"/>
        <w:ind w:firstLine="420" w:firstLineChars="200"/>
        <w:rPr>
          <w:rFonts w:asciiTheme="minorEastAsia" w:eastAsiaTheme="minorEastAsia" w:hAnsiTheme="minorEastAsia" w:hint="eastAsia"/>
          <w:color w:val="auto"/>
          <w:sz w:val="24"/>
          <w:lang w:eastAsia="zh-CN"/>
        </w:rPr>
      </w:pPr>
      <w:r>
        <w:rPr>
          <w:rFonts w:asciiTheme="minorEastAsia" w:eastAsiaTheme="minorEastAsia" w:hAnsiTheme="minorEastAsia" w:hint="eastAsia"/>
          <w:color w:val="auto"/>
          <w:sz w:val="24"/>
          <w:lang w:eastAsia="zh-CN"/>
        </w:rPr>
        <w:t>（二）</w:t>
      </w:r>
      <w:r>
        <w:rPr>
          <w:rFonts w:asciiTheme="minorEastAsia" w:eastAsiaTheme="minorEastAsia" w:hAnsiTheme="minorEastAsia" w:hint="eastAsia"/>
          <w:color w:val="auto"/>
          <w:sz w:val="24"/>
        </w:rPr>
        <w:t>项目名称：</w:t>
      </w:r>
      <w:r>
        <w:rPr>
          <w:rFonts w:asciiTheme="minorEastAsia" w:eastAsiaTheme="minorEastAsia" w:hAnsiTheme="minorEastAsia" w:hint="eastAsia"/>
          <w:color w:val="auto"/>
          <w:sz w:val="24"/>
          <w:lang w:eastAsia="zh-CN"/>
        </w:rPr>
        <w:t>智能计算与系统-高级白盒可编程路由器</w:t>
      </w:r>
    </w:p>
    <w:p>
      <w:pPr>
        <w:spacing w:line="360" w:lineRule="auto"/>
        <w:ind w:firstLine="420" w:firstLineChars="200"/>
        <w:rPr>
          <w:rFonts w:asciiTheme="minorEastAsia" w:eastAsiaTheme="minorEastAsia" w:hAnsiTheme="minorEastAsia"/>
          <w:sz w:val="24"/>
        </w:rPr>
      </w:pPr>
      <w:bookmarkEnd w:id="15"/>
      <w:r>
        <w:rPr>
          <w:rFonts w:asciiTheme="minorEastAsia" w:eastAsiaTheme="minorEastAsia" w:hAnsiTheme="minorEastAsia" w:hint="eastAsia"/>
          <w:sz w:val="24"/>
          <w:lang w:eastAsia="zh-CN"/>
        </w:rPr>
        <w:t>（三）</w:t>
      </w:r>
      <w:r>
        <w:rPr>
          <w:rFonts w:asciiTheme="minorEastAsia" w:eastAsiaTheme="minorEastAsia" w:hAnsiTheme="minorEastAsia" w:hint="eastAsia"/>
          <w:sz w:val="24"/>
        </w:rPr>
        <w:t>预算金额：</w:t>
      </w:r>
      <w:r>
        <w:rPr>
          <w:rFonts w:asciiTheme="minorEastAsia" w:eastAsiaTheme="minorEastAsia" w:hAnsiTheme="minorEastAsia" w:hint="eastAsia"/>
          <w:color w:val="auto"/>
          <w:sz w:val="24"/>
        </w:rPr>
        <w:t>人民币</w:t>
      </w:r>
      <w:r>
        <w:rPr>
          <w:rFonts w:asciiTheme="minorEastAsia" w:eastAsiaTheme="minorEastAsia" w:hAnsiTheme="minorEastAsia" w:hint="eastAsia"/>
          <w:color w:val="auto"/>
          <w:sz w:val="24"/>
          <w:lang w:val="en-US" w:eastAsia="zh-CN"/>
        </w:rPr>
        <w:t>129</w:t>
      </w:r>
      <w:r>
        <w:rPr>
          <w:rFonts w:asciiTheme="minorEastAsia" w:eastAsiaTheme="minorEastAsia" w:hAnsiTheme="minorEastAsia" w:hint="eastAsia"/>
          <w:color w:val="auto"/>
          <w:sz w:val="24"/>
        </w:rPr>
        <w:t>.</w:t>
      </w:r>
      <w:r>
        <w:rPr>
          <w:rFonts w:asciiTheme="minorEastAsia" w:eastAsiaTheme="minorEastAsia" w:hAnsiTheme="minorEastAsia" w:hint="eastAsia"/>
          <w:color w:val="auto"/>
          <w:sz w:val="24"/>
          <w:lang w:val="en-US" w:eastAsia="zh-CN"/>
        </w:rPr>
        <w:t>6</w:t>
      </w:r>
      <w:r>
        <w:rPr>
          <w:rFonts w:asciiTheme="minorEastAsia" w:eastAsiaTheme="minorEastAsia" w:hAnsiTheme="minorEastAsia" w:hint="eastAsia"/>
          <w:color w:val="auto"/>
          <w:sz w:val="24"/>
        </w:rPr>
        <w:t>0万元</w:t>
      </w:r>
    </w:p>
    <w:p>
      <w:pPr>
        <w:spacing w:line="360" w:lineRule="auto"/>
        <w:ind w:firstLine="420" w:firstLineChars="200"/>
        <w:rPr>
          <w:rFonts w:asciiTheme="minorEastAsia" w:eastAsiaTheme="minorEastAsia" w:hAnsiTheme="minorEastAsia"/>
          <w:color w:val="auto"/>
          <w:sz w:val="24"/>
        </w:rPr>
      </w:pPr>
      <w:r>
        <w:rPr>
          <w:rFonts w:asciiTheme="minorEastAsia" w:eastAsiaTheme="minorEastAsia" w:hAnsiTheme="minorEastAsia" w:hint="eastAsia"/>
          <w:sz w:val="24"/>
          <w:lang w:eastAsia="zh-CN"/>
        </w:rPr>
        <w:t>（四）</w:t>
      </w:r>
      <w:r>
        <w:rPr>
          <w:rFonts w:asciiTheme="minorEastAsia" w:eastAsiaTheme="minorEastAsia" w:hAnsiTheme="minorEastAsia" w:hint="eastAsia"/>
          <w:sz w:val="24"/>
        </w:rPr>
        <w:t>最高限价：</w:t>
      </w:r>
      <w:r>
        <w:rPr>
          <w:rFonts w:asciiTheme="minorEastAsia" w:eastAsiaTheme="minorEastAsia" w:hAnsiTheme="minorEastAsia" w:hint="eastAsia"/>
          <w:color w:val="auto"/>
          <w:sz w:val="24"/>
        </w:rPr>
        <w:t>人民币</w:t>
      </w:r>
      <w:r>
        <w:rPr>
          <w:rFonts w:asciiTheme="minorEastAsia" w:eastAsiaTheme="minorEastAsia" w:hAnsiTheme="minorEastAsia" w:hint="eastAsia"/>
          <w:color w:val="auto"/>
          <w:sz w:val="24"/>
          <w:lang w:val="en-US" w:eastAsia="zh-CN"/>
        </w:rPr>
        <w:t>129</w:t>
      </w:r>
      <w:r>
        <w:rPr>
          <w:rFonts w:asciiTheme="minorEastAsia" w:eastAsiaTheme="minorEastAsia" w:hAnsiTheme="minorEastAsia" w:hint="eastAsia"/>
          <w:color w:val="auto"/>
          <w:sz w:val="24"/>
        </w:rPr>
        <w:t>.</w:t>
      </w:r>
      <w:r>
        <w:rPr>
          <w:rFonts w:asciiTheme="minorEastAsia" w:eastAsiaTheme="minorEastAsia" w:hAnsiTheme="minorEastAsia" w:hint="eastAsia"/>
          <w:color w:val="auto"/>
          <w:sz w:val="24"/>
          <w:lang w:val="en-US" w:eastAsia="zh-CN"/>
        </w:rPr>
        <w:t>6</w:t>
      </w:r>
      <w:r>
        <w:rPr>
          <w:rFonts w:asciiTheme="minorEastAsia" w:eastAsiaTheme="minorEastAsia" w:hAnsiTheme="minorEastAsia" w:hint="eastAsia"/>
          <w:color w:val="auto"/>
          <w:sz w:val="24"/>
        </w:rPr>
        <w:t>0万元</w:t>
      </w:r>
    </w:p>
    <w:p>
      <w:pPr>
        <w:spacing w:line="360" w:lineRule="auto"/>
        <w:ind w:firstLine="420" w:firstLineChars="200"/>
        <w:rPr>
          <w:rFonts w:asciiTheme="minorEastAsia" w:eastAsiaTheme="minorEastAsia" w:hAnsiTheme="minorEastAsia"/>
          <w:color w:val="auto"/>
          <w:sz w:val="24"/>
        </w:rPr>
      </w:pPr>
      <w:r>
        <w:rPr>
          <w:rFonts w:asciiTheme="minorEastAsia" w:eastAsiaTheme="minorEastAsia" w:hAnsiTheme="minorEastAsia" w:hint="eastAsia"/>
          <w:color w:val="auto"/>
          <w:sz w:val="24"/>
          <w:lang w:eastAsia="zh-CN"/>
        </w:rPr>
        <w:t>（五）</w:t>
      </w:r>
      <w:r>
        <w:rPr>
          <w:rFonts w:ascii="宋体" w:hAnsi="宋体" w:hint="eastAsia"/>
          <w:color w:val="auto"/>
          <w:sz w:val="24"/>
        </w:rPr>
        <w:t>采购需求：</w:t>
      </w:r>
      <w:r>
        <w:rPr>
          <w:rFonts w:asciiTheme="minorEastAsia" w:eastAsiaTheme="minorEastAsia" w:hAnsiTheme="minorEastAsia" w:hint="eastAsia"/>
          <w:color w:val="auto"/>
          <w:sz w:val="24"/>
          <w:lang w:eastAsia="zh-CN"/>
        </w:rPr>
        <w:t>高级白盒可编程路由器，</w:t>
      </w:r>
      <w:r>
        <w:rPr>
          <w:rFonts w:ascii="宋体" w:hAnsi="宋体" w:hint="eastAsia"/>
          <w:color w:val="auto"/>
          <w:sz w:val="24"/>
        </w:rPr>
        <w:t>详见招标文件</w:t>
      </w:r>
    </w:p>
    <w:p>
      <w:pPr>
        <w:spacing w:line="360" w:lineRule="auto"/>
        <w:ind w:firstLine="420" w:firstLineChars="200"/>
        <w:rPr>
          <w:rFonts w:asciiTheme="minorEastAsia" w:eastAsiaTheme="minorEastAsia" w:hAnsiTheme="minorEastAsia"/>
          <w:color w:val="FF0000"/>
          <w:sz w:val="24"/>
        </w:rPr>
      </w:pPr>
      <w:r>
        <w:rPr>
          <w:rFonts w:asciiTheme="minorEastAsia" w:eastAsiaTheme="minorEastAsia" w:hAnsiTheme="minorEastAsia" w:hint="eastAsia"/>
          <w:sz w:val="24"/>
          <w:lang w:eastAsia="zh-CN"/>
        </w:rPr>
        <w:t>（六）</w:t>
      </w:r>
      <w:r>
        <w:rPr>
          <w:rFonts w:asciiTheme="minorEastAsia" w:eastAsiaTheme="minorEastAsia" w:hAnsiTheme="minorEastAsia" w:hint="eastAsia"/>
          <w:sz w:val="24"/>
        </w:rPr>
        <w:t>合同履行期限：签订合同后15天（日历日）内。中标人将全部货物运抵、安装调试完成并验收合格，正式交付用户使用所需的时间。</w:t>
      </w:r>
    </w:p>
    <w:p>
      <w:pPr>
        <w:spacing w:line="360" w:lineRule="auto"/>
        <w:ind w:firstLine="420" w:firstLineChars="200"/>
        <w:rPr>
          <w:rFonts w:asciiTheme="minorEastAsia" w:eastAsiaTheme="minorEastAsia" w:hAnsiTheme="minorEastAsia"/>
          <w:color w:val="auto"/>
          <w:sz w:val="24"/>
        </w:rPr>
      </w:pPr>
      <w:r>
        <w:rPr>
          <w:rFonts w:asciiTheme="minorEastAsia" w:eastAsiaTheme="minorEastAsia" w:hAnsiTheme="minorEastAsia" w:hint="eastAsia"/>
          <w:sz w:val="24"/>
          <w:lang w:eastAsia="zh-CN"/>
        </w:rPr>
        <w:t>（七）</w:t>
      </w:r>
      <w:r>
        <w:rPr>
          <w:rFonts w:asciiTheme="minorEastAsia" w:eastAsiaTheme="minorEastAsia" w:hAnsiTheme="minorEastAsia" w:hint="eastAsia"/>
          <w:sz w:val="24"/>
        </w:rPr>
        <w:t>本</w:t>
      </w:r>
      <w:r>
        <w:rPr>
          <w:rFonts w:asciiTheme="minorEastAsia" w:eastAsiaTheme="minorEastAsia" w:hAnsiTheme="minorEastAsia" w:hint="eastAsia"/>
          <w:color w:val="auto"/>
          <w:sz w:val="24"/>
        </w:rPr>
        <w:t>项目不接受联合体投标。</w:t>
      </w:r>
    </w:p>
    <w:p>
      <w:pPr>
        <w:spacing w:line="360" w:lineRule="auto"/>
        <w:ind w:firstLine="420" w:firstLineChars="200"/>
        <w:rPr>
          <w:rFonts w:ascii="宋体" w:hAnsi="宋体" w:cs="宋体"/>
          <w:color w:val="auto"/>
          <w:kern w:val="0"/>
          <w:sz w:val="24"/>
        </w:rPr>
      </w:pPr>
      <w:r>
        <w:rPr>
          <w:rFonts w:asciiTheme="minorEastAsia" w:eastAsiaTheme="minorEastAsia" w:hAnsiTheme="minorEastAsia" w:hint="eastAsia"/>
          <w:color w:val="auto"/>
          <w:sz w:val="24"/>
          <w:lang w:eastAsia="zh-CN"/>
        </w:rPr>
        <w:t>（八）</w:t>
      </w:r>
      <w:r>
        <w:rPr>
          <w:rFonts w:asciiTheme="minorEastAsia" w:eastAsiaTheme="minorEastAsia" w:hAnsiTheme="minorEastAsia" w:hint="eastAsia"/>
          <w:color w:val="auto"/>
          <w:sz w:val="24"/>
        </w:rPr>
        <w:t>不</w:t>
      </w:r>
      <w:r>
        <w:rPr>
          <w:rFonts w:ascii="宋体" w:hAnsi="宋体" w:cs="宋体" w:hint="eastAsia"/>
          <w:color w:val="auto"/>
          <w:kern w:val="0"/>
          <w:sz w:val="24"/>
        </w:rPr>
        <w:t>接受投标人选用进口/服务产品参与投标。</w:t>
      </w:r>
      <w:bookmarkStart w:id="17" w:name="_Hlk50363506"/>
    </w:p>
    <w:p>
      <w:pPr>
        <w:spacing w:line="360" w:lineRule="auto"/>
        <w:ind w:firstLine="420" w:firstLineChars="200"/>
        <w:rPr>
          <w:rFonts w:ascii="宋体"/>
          <w:bCs/>
          <w:color w:val="auto"/>
          <w:sz w:val="24"/>
        </w:rPr>
      </w:pPr>
      <w:r>
        <w:rPr>
          <w:rFonts w:asciiTheme="minorEastAsia" w:eastAsiaTheme="minorEastAsia" w:hAnsiTheme="minorEastAsia" w:hint="eastAsia"/>
          <w:color w:val="auto"/>
          <w:sz w:val="24"/>
          <w:lang w:eastAsia="zh-CN"/>
        </w:rPr>
        <w:t>（九）</w:t>
      </w:r>
      <w:r>
        <w:rPr>
          <w:rFonts w:ascii="宋体" w:hAnsi="宋体" w:hint="eastAsia"/>
          <w:bCs/>
          <w:color w:val="auto"/>
          <w:sz w:val="24"/>
        </w:rPr>
        <w:t>其他：政府采购监督管理部门为</w:t>
      </w:r>
      <w:r>
        <w:rPr>
          <w:rFonts w:ascii="宋体" w:hint="eastAsia"/>
          <w:bCs/>
          <w:color w:val="auto"/>
          <w:sz w:val="24"/>
        </w:rPr>
        <w:t>深圳市财政局</w:t>
      </w:r>
      <w:bookmarkEnd w:id="17"/>
      <w:r>
        <w:rPr>
          <w:rFonts w:ascii="宋体" w:hint="eastAsia"/>
          <w:bCs/>
          <w:color w:val="auto"/>
          <w:sz w:val="24"/>
        </w:rPr>
        <w:t>。</w:t>
      </w:r>
      <w:bookmarkEnd w:id="9"/>
      <w:bookmarkStart w:id="18" w:name="_Hlk65850659"/>
      <w:bookmarkStart w:id="19" w:name="_Toc35393622"/>
      <w:bookmarkStart w:id="20" w:name="_Toc28359080"/>
      <w:bookmarkStart w:id="21" w:name="_Toc35393791"/>
      <w:bookmarkStart w:id="22" w:name="_Toc28359003"/>
    </w:p>
    <w:p>
      <w:pPr>
        <w:pStyle w:val="Heading2"/>
        <w:adjustRightInd w:val="0"/>
        <w:snapToGrid w:val="0"/>
        <w:spacing w:line="360" w:lineRule="auto"/>
        <w:rPr>
          <w:rFonts w:asciiTheme="minorEastAsia" w:eastAsiaTheme="minorEastAsia" w:hAnsiTheme="minorEastAsia" w:cs="宋体"/>
          <w:b w:val="0"/>
          <w:sz w:val="24"/>
          <w:szCs w:val="24"/>
        </w:rPr>
      </w:pPr>
      <w:bookmarkEnd w:id="18"/>
      <w:bookmarkStart w:id="23" w:name="_Toc13314"/>
      <w:bookmarkStart w:id="24" w:name="_Toc256000002"/>
      <w:r>
        <w:rPr>
          <w:rFonts w:asciiTheme="minorEastAsia" w:eastAsiaTheme="minorEastAsia" w:hAnsiTheme="minorEastAsia" w:cs="宋体" w:hint="eastAsia"/>
          <w:b w:val="0"/>
          <w:sz w:val="24"/>
          <w:szCs w:val="24"/>
        </w:rPr>
        <w:t>二、供应商的资格要求</w:t>
      </w:r>
      <w:bookmarkEnd w:id="24"/>
      <w:bookmarkEnd w:id="19"/>
      <w:bookmarkEnd w:id="20"/>
      <w:bookmarkEnd w:id="21"/>
      <w:bookmarkEnd w:id="22"/>
      <w:bookmarkEnd w:id="23"/>
    </w:p>
    <w:p>
      <w:pPr>
        <w:adjustRightInd w:val="0"/>
        <w:snapToGrid w:val="0"/>
        <w:spacing w:line="360" w:lineRule="auto"/>
        <w:ind w:firstLine="420" w:firstLineChars="200"/>
        <w:rPr>
          <w:rFonts w:asciiTheme="minorEastAsia" w:eastAsiaTheme="minorEastAsia" w:hAnsiTheme="minorEastAsia"/>
          <w:color w:val="auto"/>
          <w:sz w:val="24"/>
          <w:highlight w:val="none"/>
        </w:rPr>
      </w:pPr>
      <w:r>
        <w:rPr>
          <w:rFonts w:asciiTheme="minorEastAsia" w:eastAsiaTheme="minorEastAsia" w:hAnsiTheme="minorEastAsia" w:hint="eastAsia"/>
          <w:sz w:val="24"/>
          <w:lang w:eastAsia="zh-CN"/>
        </w:rPr>
        <w:t>（一）</w:t>
      </w:r>
      <w:r>
        <w:rPr>
          <w:rFonts w:asciiTheme="minorEastAsia" w:eastAsiaTheme="minorEastAsia" w:hAnsiTheme="minorEastAsia" w:hint="eastAsia"/>
          <w:sz w:val="24"/>
        </w:rPr>
        <w:t>满足《中华人民共和国政府采购法》第二十二条规定（要求投标人提供营业执照或事业单位法人证等法人证明扫描件以及《</w:t>
      </w:r>
      <w:r>
        <w:rPr>
          <w:rFonts w:asciiTheme="minorEastAsia" w:eastAsiaTheme="minorEastAsia" w:hAnsiTheme="minorEastAsia" w:hint="eastAsia"/>
          <w:color w:val="auto"/>
          <w:sz w:val="24"/>
          <w:highlight w:val="none"/>
        </w:rPr>
        <w:t>政府采购投标及履约承诺函》）。</w:t>
      </w:r>
    </w:p>
    <w:p>
      <w:pPr>
        <w:adjustRightInd w:val="0"/>
        <w:snapToGrid w:val="0"/>
        <w:spacing w:line="360" w:lineRule="auto"/>
        <w:ind w:firstLine="420" w:firstLineChars="200"/>
        <w:rPr>
          <w:rFonts w:ascii="宋体" w:hAnsi="宋体" w:cs="仿宋_GB2312"/>
          <w:color w:val="auto"/>
          <w:sz w:val="24"/>
          <w:highlight w:val="none"/>
        </w:rPr>
      </w:pPr>
      <w:bookmarkStart w:id="25" w:name="_Toc28359004"/>
      <w:bookmarkStart w:id="26" w:name="_Toc28359081"/>
      <w:r>
        <w:rPr>
          <w:rFonts w:asciiTheme="minorEastAsia" w:eastAsiaTheme="minorEastAsia" w:hAnsiTheme="minorEastAsia" w:hint="eastAsia"/>
          <w:color w:val="auto"/>
          <w:sz w:val="24"/>
          <w:highlight w:val="none"/>
          <w:lang w:eastAsia="zh-CN"/>
        </w:rPr>
        <w:t>（二）</w:t>
      </w:r>
      <w:r>
        <w:rPr>
          <w:rFonts w:ascii="宋体" w:hAnsi="宋体" w:cs="仿宋_GB2312" w:hint="eastAsia"/>
          <w:color w:val="auto"/>
          <w:sz w:val="24"/>
          <w:highlight w:val="none"/>
        </w:rPr>
        <w:t>落实政府采购政策需满足的资格要求</w:t>
      </w:r>
      <w:r>
        <w:rPr>
          <w:rFonts w:asciiTheme="minorEastAsia" w:eastAsiaTheme="minorEastAsia" w:hAnsiTheme="minorEastAsia" w:hint="eastAsia"/>
          <w:color w:val="auto"/>
          <w:sz w:val="24"/>
          <w:highlight w:val="none"/>
        </w:rPr>
        <w:t>：</w:t>
      </w:r>
      <w:r>
        <w:rPr>
          <w:rFonts w:ascii="宋体" w:hAnsi="宋体" w:cs="仿宋_GB2312" w:hint="eastAsia"/>
          <w:color w:val="auto"/>
          <w:sz w:val="24"/>
          <w:highlight w:val="none"/>
        </w:rPr>
        <w:t>无</w:t>
      </w:r>
      <w:r>
        <w:rPr>
          <w:rFonts w:ascii="宋体" w:hAnsi="宋体" w:cs="仿宋_GB2312"/>
          <w:color w:val="auto"/>
          <w:sz w:val="24"/>
          <w:highlight w:val="none"/>
        </w:rPr>
        <w:t>。</w:t>
      </w:r>
    </w:p>
    <w:p>
      <w:pPr>
        <w:adjustRightInd w:val="0"/>
        <w:snapToGrid w:val="0"/>
        <w:spacing w:line="360" w:lineRule="auto"/>
        <w:ind w:firstLine="420" w:firstLineChars="200"/>
        <w:rPr>
          <w:rFonts w:asciiTheme="minorEastAsia" w:eastAsiaTheme="minorEastAsia" w:hAnsiTheme="minorEastAsia"/>
          <w:i/>
          <w:iCs/>
          <w:color w:val="auto"/>
          <w:sz w:val="24"/>
          <w:highlight w:val="none"/>
          <w:u w:val="single"/>
        </w:rPr>
      </w:pPr>
      <w:r>
        <w:rPr>
          <w:rFonts w:asciiTheme="minorEastAsia" w:eastAsiaTheme="minorEastAsia" w:hAnsiTheme="minorEastAsia" w:hint="eastAsia"/>
          <w:color w:val="auto"/>
          <w:sz w:val="24"/>
          <w:highlight w:val="none"/>
          <w:lang w:eastAsia="zh-CN"/>
        </w:rPr>
        <w:t>（三）</w:t>
      </w:r>
      <w:r>
        <w:rPr>
          <w:rFonts w:asciiTheme="minorEastAsia" w:eastAsiaTheme="minorEastAsia" w:hAnsiTheme="minorEastAsia" w:hint="eastAsia"/>
          <w:color w:val="auto"/>
          <w:sz w:val="24"/>
          <w:highlight w:val="none"/>
        </w:rPr>
        <w:t>本项目的特定资格要求：</w:t>
      </w:r>
      <w:bookmarkStart w:id="27" w:name="_Hlk41992228"/>
      <w:r>
        <w:rPr>
          <w:rFonts w:asciiTheme="minorEastAsia" w:eastAsiaTheme="minorEastAsia" w:hAnsiTheme="minorEastAsia" w:hint="eastAsia"/>
          <w:color w:val="auto"/>
          <w:sz w:val="24"/>
          <w:highlight w:val="none"/>
        </w:rPr>
        <w:t>无</w:t>
      </w:r>
      <w:r>
        <w:rPr>
          <w:rStyle w:val="CommentReference"/>
          <w:rFonts w:asciiTheme="minorHAnsi" w:eastAsiaTheme="minorEastAsia" w:hAnsiTheme="minorHAnsi" w:cstheme="minorBidi" w:hint="eastAsia"/>
          <w:color w:val="auto"/>
          <w:highlight w:val="none"/>
        </w:rPr>
        <w:t>。</w:t>
      </w:r>
      <w:bookmarkEnd w:id="27"/>
    </w:p>
    <w:p>
      <w:pPr>
        <w:adjustRightInd w:val="0"/>
        <w:snapToGrid w:val="0"/>
        <w:spacing w:line="360" w:lineRule="auto"/>
        <w:ind w:firstLine="420" w:firstLineChars="200"/>
        <w:rPr>
          <w:rFonts w:asciiTheme="minorEastAsia" w:eastAsiaTheme="minorEastAsia" w:hAnsiTheme="minorEastAsia"/>
          <w:color w:val="auto"/>
          <w:sz w:val="24"/>
          <w:highlight w:val="none"/>
        </w:rPr>
      </w:pPr>
      <w:r>
        <w:rPr>
          <w:rFonts w:asciiTheme="minorEastAsia" w:eastAsiaTheme="minorEastAsia" w:hAnsiTheme="minorEastAsia" w:hint="eastAsia"/>
          <w:color w:val="auto"/>
          <w:sz w:val="24"/>
          <w:highlight w:val="none"/>
          <w:lang w:eastAsia="zh-CN"/>
        </w:rPr>
        <w:t>（四）</w:t>
      </w:r>
      <w:r>
        <w:rPr>
          <w:rFonts w:asciiTheme="minorEastAsia" w:eastAsiaTheme="minorEastAsia" w:hAnsiTheme="minorEastAsia" w:hint="eastAsia"/>
          <w:color w:val="auto"/>
          <w:sz w:val="24"/>
          <w:highlight w:val="none"/>
        </w:rPr>
        <w:t>参与本项目投标前三年内，在经营活动中没有重大违法记录（由供应商在《政府采购投标及履约承诺函》中作出声明）（</w:t>
      </w:r>
      <w:r>
        <w:rPr>
          <w:rFonts w:ascii="宋体" w:hAnsi="宋体" w:cs="宋体"/>
          <w:color w:val="auto"/>
          <w:sz w:val="24"/>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asciiTheme="minorEastAsia" w:eastAsiaTheme="minorEastAsia" w:hAnsiTheme="minorEastAsia" w:hint="eastAsia"/>
          <w:color w:val="auto"/>
          <w:sz w:val="24"/>
          <w:highlight w:val="none"/>
        </w:rPr>
        <w:t>））。</w:t>
      </w:r>
    </w:p>
    <w:p>
      <w:pPr>
        <w:adjustRightInd w:val="0"/>
        <w:snapToGrid w:val="0"/>
        <w:spacing w:line="360" w:lineRule="auto"/>
        <w:ind w:firstLine="420" w:firstLineChars="200"/>
        <w:rPr>
          <w:rFonts w:asciiTheme="minorEastAsia" w:eastAsiaTheme="minorEastAsia" w:hAnsiTheme="minorEastAsia"/>
          <w:sz w:val="24"/>
        </w:rPr>
      </w:pPr>
      <w:bookmarkStart w:id="28" w:name="_Hlk50363588"/>
      <w:r>
        <w:rPr>
          <w:rFonts w:asciiTheme="minorEastAsia" w:eastAsiaTheme="minorEastAsia" w:hAnsiTheme="minorEastAsia" w:hint="eastAsia"/>
          <w:sz w:val="24"/>
          <w:lang w:eastAsia="zh-CN"/>
        </w:rPr>
        <w:t>（五）</w:t>
      </w:r>
      <w:r>
        <w:rPr>
          <w:rFonts w:asciiTheme="minorEastAsia" w:eastAsiaTheme="minorEastAsia" w:hAnsiTheme="minorEastAsia" w:hint="eastAsia"/>
          <w:sz w:val="24"/>
        </w:rPr>
        <w:t>参与本项目政府采购活动时不存在被有关部门禁止参与政府采购活动且在有效期内的情况（由供应商在《政府采购投标及履约承诺函》中作出声明）。</w:t>
      </w:r>
    </w:p>
    <w:p>
      <w:pPr>
        <w:adjustRightInd w:val="0"/>
        <w:snapToGrid w:val="0"/>
        <w:spacing w:line="360" w:lineRule="auto"/>
        <w:ind w:firstLine="420" w:firstLineChars="200"/>
        <w:rPr>
          <w:rFonts w:ascii="宋体" w:hAnsi="宋体"/>
          <w:sz w:val="24"/>
        </w:rPr>
      </w:pPr>
      <w:bookmarkStart w:id="29" w:name="_Hlk50362743"/>
      <w:r>
        <w:rPr>
          <w:rFonts w:asciiTheme="minorEastAsia" w:eastAsiaTheme="minorEastAsia" w:hAnsiTheme="minorEastAsia" w:hint="eastAsia"/>
          <w:sz w:val="24"/>
          <w:lang w:eastAsia="zh-CN"/>
        </w:rPr>
        <w:t>（六）</w:t>
      </w:r>
      <w:r>
        <w:rPr>
          <w:rFonts w:ascii="宋体" w:hAnsi="宋体" w:hint="eastAsia"/>
          <w:bCs/>
          <w:sz w:val="24"/>
        </w:rPr>
        <w:t>为采购项目提供整体设计、规范编制或者项目管理、监理、检测等服务的供应商，不得再参加该采购项目</w:t>
      </w:r>
      <w:r>
        <w:rPr>
          <w:rFonts w:hint="eastAsia"/>
          <w:bCs/>
          <w:sz w:val="24"/>
        </w:rPr>
        <w:t>同一合同项下</w:t>
      </w:r>
      <w:r>
        <w:rPr>
          <w:rFonts w:ascii="宋体" w:hAnsi="宋体" w:hint="eastAsia"/>
          <w:bCs/>
          <w:sz w:val="24"/>
        </w:rPr>
        <w:t>的其他采购活动</w:t>
      </w:r>
      <w:r>
        <w:rPr>
          <w:rFonts w:ascii="宋体" w:hAnsi="宋体" w:hint="eastAsia"/>
          <w:bCs/>
          <w:sz w:val="24"/>
          <w:szCs w:val="20"/>
        </w:rPr>
        <w:t>（</w:t>
      </w:r>
      <w:r>
        <w:rPr>
          <w:rFonts w:asciiTheme="minorEastAsia" w:eastAsiaTheme="minorEastAsia" w:hAnsiTheme="minorEastAsia" w:hint="eastAsia"/>
          <w:sz w:val="24"/>
        </w:rPr>
        <w:t>由供应商在《政府采购投标及履约承诺函》中作出声明</w:t>
      </w:r>
      <w:r>
        <w:rPr>
          <w:rFonts w:ascii="宋体" w:hAnsi="宋体" w:hint="eastAsia"/>
          <w:bCs/>
          <w:sz w:val="24"/>
          <w:szCs w:val="20"/>
        </w:rPr>
        <w:t>）</w:t>
      </w:r>
      <w:r>
        <w:rPr>
          <w:rFonts w:ascii="宋体" w:hAnsi="宋体" w:hint="eastAsia"/>
          <w:bCs/>
          <w:sz w:val="24"/>
        </w:rPr>
        <w:t>。</w:t>
      </w:r>
    </w:p>
    <w:p>
      <w:pPr>
        <w:adjustRightInd w:val="0"/>
        <w:snapToGrid w:val="0"/>
        <w:spacing w:line="360" w:lineRule="auto"/>
        <w:ind w:firstLine="420" w:firstLineChars="200"/>
        <w:rPr>
          <w:rFonts w:ascii="宋体" w:hAnsi="宋体"/>
          <w:bCs/>
          <w:sz w:val="24"/>
        </w:rPr>
      </w:pPr>
      <w:r>
        <w:rPr>
          <w:rFonts w:asciiTheme="minorEastAsia" w:eastAsiaTheme="minorEastAsia" w:hAnsiTheme="minorEastAsia" w:hint="eastAsia"/>
          <w:sz w:val="24"/>
          <w:lang w:eastAsia="zh-CN"/>
        </w:rPr>
        <w:t>（七）</w:t>
      </w:r>
      <w:r>
        <w:rPr>
          <w:rFonts w:ascii="宋体" w:hAnsi="宋体" w:hint="eastAsia"/>
          <w:bCs/>
          <w:sz w:val="24"/>
        </w:rPr>
        <w:t>单位负责人为同一人或者存在直接控股、管理关系的不同供应商，不得参加同一合同项下的政府采购活动</w:t>
      </w:r>
      <w:r>
        <w:rPr>
          <w:rFonts w:ascii="宋体" w:hAnsi="宋体" w:hint="eastAsia"/>
          <w:bCs/>
          <w:sz w:val="24"/>
          <w:szCs w:val="20"/>
        </w:rPr>
        <w:t>（</w:t>
      </w:r>
      <w:r>
        <w:rPr>
          <w:rFonts w:asciiTheme="minorEastAsia" w:eastAsiaTheme="minorEastAsia" w:hAnsiTheme="minorEastAsia" w:hint="eastAsia"/>
          <w:sz w:val="24"/>
        </w:rPr>
        <w:t>由供应商在《政府采购投标及履约承诺函》中作出声明</w:t>
      </w:r>
      <w:r>
        <w:rPr>
          <w:rFonts w:ascii="宋体" w:hAnsi="宋体" w:hint="eastAsia"/>
          <w:bCs/>
          <w:sz w:val="24"/>
          <w:szCs w:val="20"/>
        </w:rPr>
        <w:t>）</w:t>
      </w:r>
      <w:r>
        <w:rPr>
          <w:rFonts w:ascii="宋体" w:hAnsi="宋体" w:hint="eastAsia"/>
          <w:bCs/>
          <w:sz w:val="24"/>
        </w:rPr>
        <w:t>。</w:t>
      </w:r>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lang w:eastAsia="zh-CN"/>
        </w:rPr>
        <w:t>（八）</w:t>
      </w:r>
      <w:r>
        <w:rPr>
          <w:rFonts w:asciiTheme="minorEastAsia" w:eastAsiaTheme="minorEastAsia" w:hAnsiTheme="minorEastAsia" w:hint="eastAsia"/>
          <w:sz w:val="24"/>
        </w:rPr>
        <w:t>未</w:t>
      </w:r>
      <w:bookmarkStart w:id="30" w:name="_Hlk41992259"/>
      <w:r>
        <w:rPr>
          <w:rFonts w:asciiTheme="minorEastAsia" w:eastAsiaTheme="minorEastAsia" w:hAnsiTheme="minorEastAsia" w:hint="eastAsia"/>
          <w:sz w:val="24"/>
        </w:rPr>
        <w:t>被列入失信被执行人、</w:t>
      </w:r>
      <w:r>
        <w:rPr>
          <w:rFonts w:asciiTheme="minorEastAsia" w:eastAsiaTheme="minorEastAsia" w:hAnsiTheme="minorEastAsia"/>
          <w:sz w:val="24"/>
        </w:rPr>
        <w:t>重大税收违法案件当事人名单（税收违法黑名单）</w:t>
      </w:r>
      <w:r>
        <w:rPr>
          <w:rFonts w:asciiTheme="minorEastAsia" w:eastAsiaTheme="minorEastAsia" w:hAnsiTheme="minorEastAsia" w:hint="eastAsia"/>
          <w:sz w:val="24"/>
        </w:rPr>
        <w:t>、政府采购严重违法失信行为记录名单（由供应商在《政府采购投标及履约承诺函》中作出声明）。注：“信用中国”、“中国政府采购网”、“深圳信用网”以及“深圳市政府采购监管网”为供应商信用信息的查询渠道，相关信息以开标当日的查询结果为准。</w:t>
      </w:r>
      <w:bookmarkEnd w:id="30"/>
    </w:p>
    <w:p>
      <w:pPr>
        <w:pStyle w:val="Heading2"/>
        <w:adjustRightInd w:val="0"/>
        <w:snapToGrid w:val="0"/>
        <w:spacing w:line="360" w:lineRule="auto"/>
        <w:rPr>
          <w:rFonts w:asciiTheme="minorEastAsia" w:eastAsiaTheme="minorEastAsia" w:hAnsiTheme="minorEastAsia" w:cs="宋体"/>
          <w:b w:val="0"/>
          <w:sz w:val="24"/>
          <w:szCs w:val="24"/>
        </w:rPr>
      </w:pPr>
      <w:bookmarkEnd w:id="28"/>
      <w:bookmarkEnd w:id="29"/>
      <w:bookmarkStart w:id="31" w:name="_Toc35393623"/>
      <w:bookmarkStart w:id="32" w:name="_Toc35393792"/>
      <w:bookmarkStart w:id="33" w:name="_Toc12534"/>
      <w:bookmarkStart w:id="34" w:name="_Toc256000003"/>
      <w:r>
        <w:rPr>
          <w:rFonts w:asciiTheme="minorEastAsia" w:eastAsiaTheme="minorEastAsia" w:hAnsiTheme="minorEastAsia" w:cs="宋体" w:hint="eastAsia"/>
          <w:b w:val="0"/>
          <w:sz w:val="24"/>
          <w:szCs w:val="24"/>
        </w:rPr>
        <w:t>三、获取招标文件</w:t>
      </w:r>
      <w:bookmarkEnd w:id="34"/>
      <w:bookmarkEnd w:id="25"/>
      <w:bookmarkEnd w:id="26"/>
      <w:bookmarkEnd w:id="31"/>
      <w:bookmarkEnd w:id="32"/>
      <w:bookmarkEnd w:id="33"/>
    </w:p>
    <w:p>
      <w:pPr>
        <w:adjustRightInd w:val="0"/>
        <w:snapToGrid w:val="0"/>
        <w:spacing w:line="360" w:lineRule="auto"/>
        <w:ind w:firstLine="540"/>
        <w:jc w:val="left"/>
        <w:rPr>
          <w:rFonts w:asciiTheme="minorEastAsia" w:eastAsiaTheme="minorEastAsia" w:hAnsiTheme="minorEastAsia"/>
          <w:color w:val="auto"/>
          <w:sz w:val="24"/>
        </w:rPr>
      </w:pPr>
      <w:bookmarkStart w:id="35" w:name="_Toc28359082"/>
      <w:bookmarkStart w:id="36" w:name="_Toc28359005"/>
      <w:bookmarkStart w:id="37" w:name="_Toc35393624"/>
      <w:bookmarkStart w:id="38" w:name="_Toc35393793"/>
      <w:r>
        <w:rPr>
          <w:rFonts w:asciiTheme="minorEastAsia" w:eastAsiaTheme="minorEastAsia" w:hAnsiTheme="minorEastAsia" w:hint="eastAsia"/>
          <w:color w:val="auto"/>
          <w:sz w:val="24"/>
        </w:rPr>
        <w:t>时间：</w:t>
      </w:r>
      <w:r>
        <w:rPr>
          <w:rFonts w:asciiTheme="minorEastAsia" w:eastAsiaTheme="minorEastAsia" w:hAnsiTheme="minorEastAsia" w:hint="eastAsia"/>
          <w:color w:val="auto"/>
          <w:sz w:val="24"/>
          <w:lang w:val="en-US" w:eastAsia="zh-CN"/>
        </w:rPr>
        <w:t>2023</w:t>
      </w:r>
      <w:r>
        <w:rPr>
          <w:rFonts w:asciiTheme="minorEastAsia" w:eastAsiaTheme="minorEastAsia" w:hAnsiTheme="minorEastAsia" w:hint="eastAsia"/>
          <w:color w:val="auto"/>
          <w:sz w:val="24"/>
        </w:rPr>
        <w:t>年</w:t>
      </w:r>
      <w:r>
        <w:rPr>
          <w:rFonts w:asciiTheme="minorEastAsia" w:eastAsiaTheme="minorEastAsia" w:hAnsiTheme="minorEastAsia" w:hint="eastAsia"/>
          <w:color w:val="auto"/>
          <w:sz w:val="24"/>
          <w:lang w:val="en-US" w:eastAsia="zh-CN"/>
        </w:rPr>
        <w:t>9</w:t>
      </w:r>
      <w:r>
        <w:rPr>
          <w:rFonts w:asciiTheme="minorEastAsia" w:eastAsiaTheme="minorEastAsia" w:hAnsiTheme="minorEastAsia" w:hint="eastAsia"/>
          <w:color w:val="auto"/>
          <w:sz w:val="24"/>
        </w:rPr>
        <w:t>月</w:t>
      </w:r>
      <w:r>
        <w:rPr>
          <w:rFonts w:asciiTheme="minorEastAsia" w:eastAsiaTheme="minorEastAsia" w:hAnsiTheme="minorEastAsia" w:hint="eastAsia"/>
          <w:color w:val="auto"/>
          <w:sz w:val="24"/>
          <w:lang w:val="en-US" w:eastAsia="zh-CN"/>
        </w:rPr>
        <w:t>20</w:t>
      </w:r>
      <w:r>
        <w:rPr>
          <w:rFonts w:asciiTheme="minorEastAsia" w:eastAsiaTheme="minorEastAsia" w:hAnsiTheme="minorEastAsia" w:hint="eastAsia"/>
          <w:color w:val="auto"/>
          <w:sz w:val="24"/>
        </w:rPr>
        <w:t>日至</w:t>
      </w:r>
      <w:r>
        <w:rPr>
          <w:rFonts w:asciiTheme="minorEastAsia" w:eastAsiaTheme="minorEastAsia" w:hAnsiTheme="minorEastAsia" w:hint="eastAsia"/>
          <w:color w:val="auto"/>
          <w:sz w:val="24"/>
          <w:lang w:val="en-US" w:eastAsia="zh-CN"/>
        </w:rPr>
        <w:t>2023</w:t>
      </w:r>
      <w:r>
        <w:rPr>
          <w:rFonts w:asciiTheme="minorEastAsia" w:eastAsiaTheme="minorEastAsia" w:hAnsiTheme="minorEastAsia" w:hint="eastAsia"/>
          <w:bCs/>
          <w:color w:val="auto"/>
          <w:sz w:val="24"/>
        </w:rPr>
        <w:t>年</w:t>
      </w:r>
      <w:r>
        <w:rPr>
          <w:rFonts w:asciiTheme="minorEastAsia" w:eastAsiaTheme="minorEastAsia" w:hAnsiTheme="minorEastAsia" w:hint="eastAsia"/>
          <w:bCs/>
          <w:color w:val="auto"/>
          <w:sz w:val="24"/>
          <w:lang w:val="en-US" w:eastAsia="zh-CN"/>
        </w:rPr>
        <w:t>10</w:t>
      </w:r>
      <w:r>
        <w:rPr>
          <w:rFonts w:asciiTheme="minorEastAsia" w:eastAsiaTheme="minorEastAsia" w:hAnsiTheme="minorEastAsia" w:hint="eastAsia"/>
          <w:bCs/>
          <w:color w:val="auto"/>
          <w:sz w:val="24"/>
        </w:rPr>
        <w:t>月</w:t>
      </w:r>
      <w:r>
        <w:rPr>
          <w:rFonts w:asciiTheme="minorEastAsia" w:eastAsiaTheme="minorEastAsia" w:hAnsiTheme="minorEastAsia" w:hint="eastAsia"/>
          <w:bCs/>
          <w:color w:val="auto"/>
          <w:sz w:val="24"/>
          <w:lang w:val="en-US" w:eastAsia="zh-CN"/>
        </w:rPr>
        <w:t>8</w:t>
      </w:r>
      <w:r>
        <w:rPr>
          <w:rFonts w:asciiTheme="minorEastAsia" w:eastAsiaTheme="minorEastAsia" w:hAnsiTheme="minorEastAsia" w:hint="eastAsia"/>
          <w:bCs/>
          <w:color w:val="auto"/>
          <w:sz w:val="24"/>
        </w:rPr>
        <w:t>日</w:t>
      </w:r>
      <w:r>
        <w:rPr>
          <w:rFonts w:asciiTheme="minorEastAsia" w:eastAsiaTheme="minorEastAsia" w:hAnsiTheme="minorEastAsia" w:hint="eastAsia"/>
          <w:bCs/>
          <w:color w:val="auto"/>
          <w:sz w:val="24"/>
          <w:lang w:val="en-US" w:eastAsia="zh-CN"/>
        </w:rPr>
        <w:t>9</w:t>
      </w:r>
      <w:r>
        <w:rPr>
          <w:rFonts w:asciiTheme="minorEastAsia" w:eastAsiaTheme="minorEastAsia" w:hAnsiTheme="minorEastAsia" w:hint="eastAsia"/>
          <w:bCs/>
          <w:color w:val="auto"/>
          <w:sz w:val="24"/>
        </w:rPr>
        <w:t>：</w:t>
      </w:r>
      <w:r>
        <w:rPr>
          <w:rFonts w:asciiTheme="minorEastAsia" w:eastAsiaTheme="minorEastAsia" w:hAnsiTheme="minorEastAsia" w:hint="eastAsia"/>
          <w:bCs/>
          <w:color w:val="auto"/>
          <w:sz w:val="24"/>
          <w:lang w:val="en-US" w:eastAsia="zh-CN"/>
        </w:rPr>
        <w:t>30</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color w:val="auto"/>
          <w:sz w:val="24"/>
        </w:rPr>
        <w:t>地点</w:t>
      </w:r>
      <w:r>
        <w:rPr>
          <w:rFonts w:asciiTheme="minorEastAsia" w:eastAsiaTheme="minorEastAsia" w:hAnsiTheme="minorEastAsia" w:hint="eastAsia"/>
          <w:sz w:val="24"/>
        </w:rPr>
        <w:t>：登录深圳政府采购智慧平台（http://zfcg.szggzy.com:8081/）下载本项目的招标文件。</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方式：在线下载。</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售价：免费。</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凡已注册的深圳市网上政府采购供应商，按照授予的操作权限，可于</w:t>
      </w:r>
      <w:r>
        <w:rPr>
          <w:rFonts w:asciiTheme="minorEastAsia" w:eastAsiaTheme="minorEastAsia" w:hAnsiTheme="minorEastAsia" w:hint="eastAsia"/>
          <w:color w:val="auto"/>
          <w:sz w:val="24"/>
          <w:lang w:val="en-US" w:eastAsia="zh-CN"/>
        </w:rPr>
        <w:t>2023</w:t>
      </w:r>
      <w:r>
        <w:rPr>
          <w:rFonts w:asciiTheme="minorEastAsia" w:eastAsiaTheme="minorEastAsia" w:hAnsiTheme="minorEastAsia" w:hint="eastAsia"/>
          <w:color w:val="auto"/>
          <w:sz w:val="24"/>
        </w:rPr>
        <w:t>年</w:t>
      </w:r>
      <w:r>
        <w:rPr>
          <w:rFonts w:asciiTheme="minorEastAsia" w:eastAsiaTheme="minorEastAsia" w:hAnsiTheme="minorEastAsia" w:hint="eastAsia"/>
          <w:color w:val="auto"/>
          <w:sz w:val="24"/>
          <w:lang w:val="en-US" w:eastAsia="zh-CN"/>
        </w:rPr>
        <w:t>9</w:t>
      </w:r>
      <w:r>
        <w:rPr>
          <w:rFonts w:asciiTheme="minorEastAsia" w:eastAsiaTheme="minorEastAsia" w:hAnsiTheme="minorEastAsia" w:hint="eastAsia"/>
          <w:color w:val="auto"/>
          <w:sz w:val="24"/>
        </w:rPr>
        <w:t>月</w:t>
      </w:r>
      <w:r>
        <w:rPr>
          <w:rFonts w:asciiTheme="minorEastAsia" w:eastAsiaTheme="minorEastAsia" w:hAnsiTheme="minorEastAsia" w:hint="eastAsia"/>
          <w:color w:val="auto"/>
          <w:sz w:val="24"/>
          <w:lang w:val="en-US" w:eastAsia="zh-CN"/>
        </w:rPr>
        <w:t>20</w:t>
      </w:r>
      <w:r>
        <w:rPr>
          <w:rFonts w:asciiTheme="minorEastAsia" w:eastAsiaTheme="minorEastAsia" w:hAnsiTheme="minorEastAsia" w:hint="eastAsia"/>
          <w:color w:val="auto"/>
          <w:sz w:val="24"/>
        </w:rPr>
        <w:t>日至</w:t>
      </w:r>
      <w:r>
        <w:rPr>
          <w:rFonts w:asciiTheme="minorEastAsia" w:eastAsiaTheme="minorEastAsia" w:hAnsiTheme="minorEastAsia" w:hint="eastAsia"/>
          <w:color w:val="auto"/>
          <w:sz w:val="24"/>
          <w:lang w:val="en-US" w:eastAsia="zh-CN"/>
        </w:rPr>
        <w:t>2023</w:t>
      </w:r>
      <w:r>
        <w:rPr>
          <w:rFonts w:asciiTheme="minorEastAsia" w:eastAsiaTheme="minorEastAsia" w:hAnsiTheme="minorEastAsia" w:hint="eastAsia"/>
          <w:bCs/>
          <w:color w:val="auto"/>
          <w:sz w:val="24"/>
        </w:rPr>
        <w:t>年</w:t>
      </w:r>
      <w:r>
        <w:rPr>
          <w:rFonts w:asciiTheme="minorEastAsia" w:eastAsiaTheme="minorEastAsia" w:hAnsiTheme="minorEastAsia" w:hint="eastAsia"/>
          <w:bCs/>
          <w:color w:val="auto"/>
          <w:sz w:val="24"/>
          <w:lang w:val="en-US" w:eastAsia="zh-CN"/>
        </w:rPr>
        <w:t>10</w:t>
      </w:r>
      <w:r>
        <w:rPr>
          <w:rFonts w:asciiTheme="minorEastAsia" w:eastAsiaTheme="minorEastAsia" w:hAnsiTheme="minorEastAsia" w:hint="eastAsia"/>
          <w:bCs/>
          <w:color w:val="auto"/>
          <w:sz w:val="24"/>
        </w:rPr>
        <w:t>月</w:t>
      </w:r>
      <w:r>
        <w:rPr>
          <w:rFonts w:asciiTheme="minorEastAsia" w:eastAsiaTheme="minorEastAsia" w:hAnsiTheme="minorEastAsia" w:hint="eastAsia"/>
          <w:bCs/>
          <w:color w:val="auto"/>
          <w:sz w:val="24"/>
          <w:lang w:val="en-US" w:eastAsia="zh-CN"/>
        </w:rPr>
        <w:t>8</w:t>
      </w:r>
      <w:r>
        <w:rPr>
          <w:rFonts w:asciiTheme="minorEastAsia" w:eastAsiaTheme="minorEastAsia" w:hAnsiTheme="minorEastAsia" w:hint="eastAsia"/>
          <w:bCs/>
          <w:color w:val="auto"/>
          <w:sz w:val="24"/>
        </w:rPr>
        <w:t>日</w:t>
      </w:r>
      <w:r>
        <w:rPr>
          <w:rFonts w:asciiTheme="minorEastAsia" w:eastAsiaTheme="minorEastAsia" w:hAnsiTheme="minorEastAsia" w:hint="eastAsia"/>
          <w:bCs/>
          <w:color w:val="auto"/>
          <w:sz w:val="24"/>
          <w:lang w:val="en-US" w:eastAsia="zh-CN"/>
        </w:rPr>
        <w:t>9</w:t>
      </w:r>
      <w:r>
        <w:rPr>
          <w:rFonts w:asciiTheme="minorEastAsia" w:eastAsiaTheme="minorEastAsia" w:hAnsiTheme="minorEastAsia" w:hint="eastAsia"/>
          <w:bCs/>
          <w:color w:val="auto"/>
          <w:sz w:val="24"/>
        </w:rPr>
        <w:t>：</w:t>
      </w:r>
      <w:r>
        <w:rPr>
          <w:rFonts w:asciiTheme="minorEastAsia" w:eastAsiaTheme="minorEastAsia" w:hAnsiTheme="minorEastAsia" w:hint="eastAsia"/>
          <w:bCs/>
          <w:color w:val="auto"/>
          <w:sz w:val="24"/>
          <w:lang w:val="en-US" w:eastAsia="zh-CN"/>
        </w:rPr>
        <w:t>30</w:t>
      </w:r>
      <w:r>
        <w:rPr>
          <w:rFonts w:asciiTheme="minorEastAsia" w:eastAsiaTheme="minorEastAsia" w:hAnsiTheme="minorEastAsia" w:hint="eastAsia"/>
          <w:sz w:val="24"/>
        </w:rPr>
        <w:t>期间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并前往深圳公共资源交易中心（深圳交易集团有限公司政府采购业务分公司）绑定深圳政府采购智慧平台用户（地址：深圳市南山区沙河西路3157号南山智谷A座（深圳交易集团总部大楼）27楼前台；电子密钥办理咨询电话：0755-83948165），再进行投标报名。在网上报名后，点击“【我的项目】→【项目流程】→【采购文件下载】”进行招标文件的下载。</w:t>
      </w:r>
    </w:p>
    <w:p>
      <w:pPr>
        <w:pStyle w:val="Heading2"/>
        <w:adjustRightInd w:val="0"/>
        <w:snapToGrid w:val="0"/>
        <w:spacing w:line="360" w:lineRule="auto"/>
        <w:rPr>
          <w:rFonts w:asciiTheme="minorEastAsia" w:eastAsiaTheme="minorEastAsia" w:hAnsiTheme="minorEastAsia" w:cs="宋体"/>
          <w:b w:val="0"/>
          <w:sz w:val="24"/>
          <w:szCs w:val="24"/>
        </w:rPr>
      </w:pPr>
      <w:bookmarkStart w:id="39" w:name="_Toc14018"/>
      <w:bookmarkStart w:id="40" w:name="_Toc256000004"/>
      <w:r>
        <w:rPr>
          <w:rFonts w:asciiTheme="minorEastAsia" w:eastAsiaTheme="minorEastAsia" w:hAnsiTheme="minorEastAsia" w:cs="宋体" w:hint="eastAsia"/>
          <w:b w:val="0"/>
          <w:sz w:val="24"/>
          <w:szCs w:val="24"/>
        </w:rPr>
        <w:t>四、提交投标文件</w:t>
      </w:r>
      <w:bookmarkEnd w:id="35"/>
      <w:bookmarkEnd w:id="36"/>
      <w:r>
        <w:rPr>
          <w:rFonts w:asciiTheme="minorEastAsia" w:eastAsiaTheme="minorEastAsia" w:hAnsiTheme="minorEastAsia" w:cs="宋体" w:hint="eastAsia"/>
          <w:b w:val="0"/>
          <w:sz w:val="24"/>
          <w:szCs w:val="24"/>
        </w:rPr>
        <w:t>截止时间、开标时间和地点</w:t>
      </w:r>
      <w:bookmarkEnd w:id="40"/>
      <w:bookmarkEnd w:id="37"/>
      <w:bookmarkEnd w:id="38"/>
      <w:bookmarkEnd w:id="39"/>
    </w:p>
    <w:p>
      <w:pPr>
        <w:adjustRightInd w:val="0"/>
        <w:snapToGrid w:val="0"/>
        <w:spacing w:line="360" w:lineRule="auto"/>
        <w:ind w:firstLine="420" w:firstLineChars="200"/>
        <w:jc w:val="left"/>
        <w:rPr>
          <w:rFonts w:asciiTheme="minorEastAsia" w:eastAsiaTheme="minorEastAsia" w:hAnsiTheme="minorEastAsia" w:cs="宋体"/>
          <w:kern w:val="0"/>
          <w:sz w:val="24"/>
        </w:rPr>
      </w:pPr>
      <w:r>
        <w:rPr>
          <w:rFonts w:asciiTheme="minorEastAsia" w:eastAsiaTheme="minorEastAsia" w:hAnsiTheme="minorEastAsia" w:hint="eastAsia"/>
          <w:sz w:val="24"/>
          <w:lang w:eastAsia="zh-CN"/>
        </w:rPr>
        <w:t>（一）</w:t>
      </w:r>
      <w:r>
        <w:rPr>
          <w:rFonts w:asciiTheme="minorEastAsia" w:eastAsiaTheme="minorEastAsia" w:hAnsiTheme="minorEastAsia" w:cs="宋体" w:hint="eastAsia"/>
          <w:kern w:val="0"/>
          <w:sz w:val="24"/>
        </w:rPr>
        <w:t>投标截止时间：所有投标文件应于</w:t>
      </w:r>
      <w:r>
        <w:rPr>
          <w:rFonts w:asciiTheme="minorEastAsia" w:eastAsiaTheme="minorEastAsia" w:hAnsiTheme="minorEastAsia" w:hint="eastAsia"/>
          <w:color w:val="auto"/>
          <w:sz w:val="24"/>
          <w:lang w:val="en-US" w:eastAsia="zh-CN"/>
        </w:rPr>
        <w:t>2023</w:t>
      </w:r>
      <w:r>
        <w:rPr>
          <w:rFonts w:asciiTheme="minorEastAsia" w:eastAsiaTheme="minorEastAsia" w:hAnsiTheme="minorEastAsia" w:hint="eastAsia"/>
          <w:bCs/>
          <w:color w:val="auto"/>
          <w:sz w:val="24"/>
        </w:rPr>
        <w:t>年</w:t>
      </w:r>
      <w:r>
        <w:rPr>
          <w:rFonts w:asciiTheme="minorEastAsia" w:eastAsiaTheme="minorEastAsia" w:hAnsiTheme="minorEastAsia" w:hint="eastAsia"/>
          <w:bCs/>
          <w:color w:val="auto"/>
          <w:sz w:val="24"/>
          <w:lang w:val="en-US" w:eastAsia="zh-CN"/>
        </w:rPr>
        <w:t>10</w:t>
      </w:r>
      <w:r>
        <w:rPr>
          <w:rFonts w:asciiTheme="minorEastAsia" w:eastAsiaTheme="minorEastAsia" w:hAnsiTheme="minorEastAsia" w:hint="eastAsia"/>
          <w:bCs/>
          <w:color w:val="auto"/>
          <w:sz w:val="24"/>
        </w:rPr>
        <w:t>月</w:t>
      </w:r>
      <w:r>
        <w:rPr>
          <w:rFonts w:asciiTheme="minorEastAsia" w:eastAsiaTheme="minorEastAsia" w:hAnsiTheme="minorEastAsia" w:hint="eastAsia"/>
          <w:bCs/>
          <w:color w:val="auto"/>
          <w:sz w:val="24"/>
          <w:lang w:val="en-US" w:eastAsia="zh-CN"/>
        </w:rPr>
        <w:t>8</w:t>
      </w:r>
      <w:r>
        <w:rPr>
          <w:rFonts w:asciiTheme="minorEastAsia" w:eastAsiaTheme="minorEastAsia" w:hAnsiTheme="minorEastAsia" w:hint="eastAsia"/>
          <w:bCs/>
          <w:color w:val="auto"/>
          <w:sz w:val="24"/>
        </w:rPr>
        <w:t>日</w:t>
      </w:r>
      <w:r>
        <w:rPr>
          <w:rFonts w:asciiTheme="minorEastAsia" w:eastAsiaTheme="minorEastAsia" w:hAnsiTheme="minorEastAsia" w:hint="eastAsia"/>
          <w:bCs/>
          <w:color w:val="auto"/>
          <w:sz w:val="24"/>
          <w:lang w:val="en-US" w:eastAsia="zh-CN"/>
        </w:rPr>
        <w:t>9</w:t>
      </w:r>
      <w:r>
        <w:rPr>
          <w:rFonts w:asciiTheme="minorEastAsia" w:eastAsiaTheme="minorEastAsia" w:hAnsiTheme="minorEastAsia" w:hint="eastAsia"/>
          <w:bCs/>
          <w:color w:val="auto"/>
          <w:sz w:val="24"/>
        </w:rPr>
        <w:t>：</w:t>
      </w:r>
      <w:r>
        <w:rPr>
          <w:rFonts w:asciiTheme="minorEastAsia" w:eastAsiaTheme="minorEastAsia" w:hAnsiTheme="minorEastAsia" w:hint="eastAsia"/>
          <w:bCs/>
          <w:color w:val="auto"/>
          <w:sz w:val="24"/>
          <w:lang w:val="en-US" w:eastAsia="zh-CN"/>
        </w:rPr>
        <w:t>30</w:t>
      </w:r>
      <w:r>
        <w:rPr>
          <w:rFonts w:asciiTheme="minorEastAsia" w:eastAsiaTheme="minorEastAsia" w:hAnsiTheme="minorEastAsia" w:cs="宋体" w:hint="eastAsia"/>
          <w:kern w:val="0"/>
          <w:sz w:val="24"/>
        </w:rPr>
        <w:t>（北京时间）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w:t>
      </w:r>
    </w:p>
    <w:p>
      <w:pPr>
        <w:adjustRightInd w:val="0"/>
        <w:snapToGrid w:val="0"/>
        <w:spacing w:line="360" w:lineRule="auto"/>
        <w:ind w:firstLine="420" w:firstLineChars="200"/>
        <w:jc w:val="left"/>
        <w:rPr>
          <w:rFonts w:asciiTheme="minorEastAsia" w:eastAsiaTheme="minorEastAsia" w:hAnsiTheme="minorEastAsia" w:cs="宋体"/>
          <w:kern w:val="0"/>
          <w:sz w:val="24"/>
        </w:rPr>
      </w:pPr>
      <w:r>
        <w:rPr>
          <w:rFonts w:asciiTheme="minorEastAsia" w:eastAsiaTheme="minorEastAsia" w:hAnsiTheme="minorEastAsia" w:hint="eastAsia"/>
          <w:sz w:val="24"/>
          <w:lang w:eastAsia="zh-CN"/>
        </w:rPr>
        <w:t>（二）</w:t>
      </w:r>
      <w:r>
        <w:rPr>
          <w:rFonts w:asciiTheme="minorEastAsia" w:eastAsiaTheme="minorEastAsia" w:hAnsiTheme="minorEastAsia" w:cs="宋体" w:hint="eastAsia"/>
          <w:kern w:val="0"/>
          <w:sz w:val="24"/>
        </w:rPr>
        <w:t>开标时间和地点：定于</w:t>
      </w:r>
      <w:r>
        <w:rPr>
          <w:rFonts w:asciiTheme="minorEastAsia" w:eastAsiaTheme="minorEastAsia" w:hAnsiTheme="minorEastAsia" w:hint="eastAsia"/>
          <w:color w:val="auto"/>
          <w:sz w:val="24"/>
          <w:lang w:val="en-US" w:eastAsia="zh-CN"/>
        </w:rPr>
        <w:t>2023</w:t>
      </w:r>
      <w:r>
        <w:rPr>
          <w:rFonts w:asciiTheme="minorEastAsia" w:eastAsiaTheme="minorEastAsia" w:hAnsiTheme="minorEastAsia" w:hint="eastAsia"/>
          <w:bCs/>
          <w:color w:val="auto"/>
          <w:sz w:val="24"/>
        </w:rPr>
        <w:t>年</w:t>
      </w:r>
      <w:r>
        <w:rPr>
          <w:rFonts w:asciiTheme="minorEastAsia" w:eastAsiaTheme="minorEastAsia" w:hAnsiTheme="minorEastAsia" w:hint="eastAsia"/>
          <w:bCs/>
          <w:color w:val="auto"/>
          <w:sz w:val="24"/>
          <w:lang w:val="en-US" w:eastAsia="zh-CN"/>
        </w:rPr>
        <w:t>10</w:t>
      </w:r>
      <w:r>
        <w:rPr>
          <w:rFonts w:asciiTheme="minorEastAsia" w:eastAsiaTheme="minorEastAsia" w:hAnsiTheme="minorEastAsia" w:hint="eastAsia"/>
          <w:bCs/>
          <w:color w:val="auto"/>
          <w:sz w:val="24"/>
        </w:rPr>
        <w:t>月</w:t>
      </w:r>
      <w:r>
        <w:rPr>
          <w:rFonts w:asciiTheme="minorEastAsia" w:eastAsiaTheme="minorEastAsia" w:hAnsiTheme="minorEastAsia" w:hint="eastAsia"/>
          <w:bCs/>
          <w:color w:val="auto"/>
          <w:sz w:val="24"/>
          <w:lang w:val="en-US" w:eastAsia="zh-CN"/>
        </w:rPr>
        <w:t>8</w:t>
      </w:r>
      <w:r>
        <w:rPr>
          <w:rFonts w:asciiTheme="minorEastAsia" w:eastAsiaTheme="minorEastAsia" w:hAnsiTheme="minorEastAsia" w:hint="eastAsia"/>
          <w:bCs/>
          <w:color w:val="auto"/>
          <w:sz w:val="24"/>
        </w:rPr>
        <w:t>日</w:t>
      </w:r>
      <w:r>
        <w:rPr>
          <w:rFonts w:asciiTheme="minorEastAsia" w:eastAsiaTheme="minorEastAsia" w:hAnsiTheme="minorEastAsia" w:hint="eastAsia"/>
          <w:bCs/>
          <w:color w:val="auto"/>
          <w:sz w:val="24"/>
          <w:lang w:val="en-US" w:eastAsia="zh-CN"/>
        </w:rPr>
        <w:t>9</w:t>
      </w:r>
      <w:r>
        <w:rPr>
          <w:rFonts w:asciiTheme="minorEastAsia" w:eastAsiaTheme="minorEastAsia" w:hAnsiTheme="minorEastAsia" w:hint="eastAsia"/>
          <w:bCs/>
          <w:color w:val="auto"/>
          <w:sz w:val="24"/>
        </w:rPr>
        <w:t>：</w:t>
      </w:r>
      <w:r>
        <w:rPr>
          <w:rFonts w:asciiTheme="minorEastAsia" w:eastAsiaTheme="minorEastAsia" w:hAnsiTheme="minorEastAsia" w:hint="eastAsia"/>
          <w:bCs/>
          <w:color w:val="auto"/>
          <w:sz w:val="24"/>
          <w:lang w:val="en-US" w:eastAsia="zh-CN"/>
        </w:rPr>
        <w:t>30</w:t>
      </w:r>
      <w:r>
        <w:rPr>
          <w:rFonts w:asciiTheme="minorEastAsia" w:eastAsiaTheme="minorEastAsia" w:hAnsiTheme="minorEastAsia" w:cs="宋体" w:hint="eastAsia"/>
          <w:kern w:val="0"/>
          <w:sz w:val="24"/>
        </w:rPr>
        <w:t>（北京时间），在</w:t>
      </w:r>
      <w:r>
        <w:rPr>
          <w:rFonts w:asciiTheme="minorEastAsia" w:eastAsiaTheme="minorEastAsia" w:hAnsiTheme="minorEastAsia" w:cs="宋体" w:hint="eastAsia"/>
          <w:color w:val="auto"/>
          <w:kern w:val="0"/>
          <w:sz w:val="24"/>
          <w:highlight w:val="none"/>
        </w:rPr>
        <w:t>深圳市福田区竹子林中国经贸大厦10</w:t>
      </w:r>
      <w:r>
        <w:rPr>
          <w:rFonts w:asciiTheme="minorEastAsia" w:eastAsiaTheme="minorEastAsia" w:hAnsiTheme="minorEastAsia" w:cs="宋体" w:hint="eastAsia"/>
          <w:color w:val="auto"/>
          <w:kern w:val="0"/>
          <w:sz w:val="24"/>
          <w:highlight w:val="none"/>
          <w:lang w:eastAsia="zh-CN"/>
        </w:rPr>
        <w:t>楼</w:t>
      </w:r>
      <w:r>
        <w:rPr>
          <w:rFonts w:asciiTheme="minorEastAsia" w:eastAsiaTheme="minorEastAsia" w:hAnsiTheme="minorEastAsia" w:cs="宋体" w:hint="eastAsia"/>
          <w:color w:val="auto"/>
          <w:kern w:val="0"/>
          <w:sz w:val="24"/>
          <w:highlight w:val="none"/>
        </w:rPr>
        <w:t>采联国际招标采购集团有限公司深圳分公司会议室公</w:t>
      </w:r>
      <w:r>
        <w:rPr>
          <w:rFonts w:asciiTheme="minorEastAsia" w:eastAsiaTheme="minorEastAsia" w:hAnsiTheme="minorEastAsia" w:cs="宋体" w:hint="eastAsia"/>
          <w:kern w:val="0"/>
          <w:sz w:val="24"/>
        </w:rPr>
        <w:t>开开标。供应商可以登录“深圳政府采购智慧平台用户网上办事子系统（http://zfcg.szggzy.com:8081/TPBidder/memberLogin）”，在“【我的项目】→【项目流程】→【开标及解密】”进行在线解密、查询开标情况。</w:t>
      </w:r>
    </w:p>
    <w:p>
      <w:pPr>
        <w:adjustRightInd w:val="0"/>
        <w:snapToGrid w:val="0"/>
        <w:spacing w:line="360" w:lineRule="auto"/>
        <w:ind w:firstLine="420" w:firstLineChars="200"/>
        <w:rPr>
          <w:rFonts w:asciiTheme="minorEastAsia" w:eastAsiaTheme="minorEastAsia" w:hAnsiTheme="minorEastAsia" w:cs="宋体"/>
          <w:kern w:val="0"/>
          <w:sz w:val="24"/>
        </w:rPr>
      </w:pPr>
      <w:r>
        <w:rPr>
          <w:rFonts w:asciiTheme="minorEastAsia" w:eastAsiaTheme="minorEastAsia" w:hAnsiTheme="minorEastAsia" w:hint="eastAsia"/>
          <w:sz w:val="24"/>
          <w:lang w:eastAsia="zh-CN"/>
        </w:rPr>
        <w:t>（三）</w:t>
      </w:r>
      <w:r>
        <w:rPr>
          <w:rFonts w:asciiTheme="minorEastAsia" w:eastAsiaTheme="minorEastAsia" w:hAnsiTheme="minorEastAsia" w:cs="宋体" w:hint="eastAsia"/>
          <w:kern w:val="0"/>
          <w:sz w:val="24"/>
        </w:rPr>
        <w:t>在线解密：投标人须在开标当</w:t>
      </w:r>
      <w:r>
        <w:rPr>
          <w:rFonts w:asciiTheme="minorEastAsia" w:eastAsiaTheme="minorEastAsia" w:hAnsiTheme="minorEastAsia" w:cs="宋体" w:hint="eastAsia"/>
          <w:color w:val="auto"/>
          <w:kern w:val="0"/>
          <w:sz w:val="24"/>
        </w:rPr>
        <w:t>日09:30-10:00期间进</w:t>
      </w:r>
      <w:r>
        <w:rPr>
          <w:rFonts w:asciiTheme="minorEastAsia" w:eastAsiaTheme="minorEastAsia" w:hAnsiTheme="minorEastAsia" w:cs="宋体" w:hint="eastAsia"/>
          <w:kern w:val="0"/>
          <w:sz w:val="24"/>
        </w:rPr>
        <w:t>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pStyle w:val="Heading2"/>
        <w:adjustRightInd w:val="0"/>
        <w:snapToGrid w:val="0"/>
        <w:spacing w:line="360" w:lineRule="auto"/>
        <w:rPr>
          <w:rFonts w:asciiTheme="minorEastAsia" w:eastAsiaTheme="minorEastAsia" w:hAnsiTheme="minorEastAsia" w:cs="宋体"/>
          <w:b w:val="0"/>
          <w:bCs w:val="0"/>
          <w:sz w:val="24"/>
          <w:szCs w:val="24"/>
        </w:rPr>
      </w:pPr>
      <w:bookmarkStart w:id="41" w:name="_Toc28359007"/>
      <w:bookmarkStart w:id="42" w:name="_Toc35393625"/>
      <w:bookmarkStart w:id="43" w:name="_Toc35393794"/>
      <w:bookmarkStart w:id="44" w:name="_Toc28359084"/>
      <w:bookmarkStart w:id="45" w:name="_Toc4950"/>
      <w:bookmarkStart w:id="46" w:name="_Toc256000005"/>
      <w:r>
        <w:rPr>
          <w:rFonts w:asciiTheme="minorEastAsia" w:eastAsiaTheme="minorEastAsia" w:hAnsiTheme="minorEastAsia" w:cs="宋体" w:hint="eastAsia"/>
          <w:b w:val="0"/>
          <w:bCs w:val="0"/>
          <w:sz w:val="24"/>
          <w:szCs w:val="24"/>
        </w:rPr>
        <w:t>五、公告期限</w:t>
      </w:r>
      <w:bookmarkEnd w:id="46"/>
      <w:bookmarkEnd w:id="41"/>
      <w:bookmarkEnd w:id="42"/>
      <w:bookmarkEnd w:id="43"/>
      <w:bookmarkEnd w:id="44"/>
      <w:bookmarkEnd w:id="45"/>
    </w:p>
    <w:p>
      <w:pPr>
        <w:adjustRightInd w:val="0"/>
        <w:snapToGrid w:val="0"/>
        <w:spacing w:line="360" w:lineRule="auto"/>
        <w:ind w:firstLine="420" w:firstLineChars="20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自本公告发布之日起5个工作日。</w:t>
      </w:r>
    </w:p>
    <w:p>
      <w:pPr>
        <w:pStyle w:val="Heading2"/>
        <w:adjustRightInd w:val="0"/>
        <w:snapToGrid w:val="0"/>
        <w:spacing w:line="360" w:lineRule="auto"/>
        <w:rPr>
          <w:rFonts w:asciiTheme="minorEastAsia" w:eastAsiaTheme="minorEastAsia" w:hAnsiTheme="minorEastAsia" w:cs="宋体"/>
          <w:b w:val="0"/>
          <w:sz w:val="24"/>
          <w:szCs w:val="24"/>
        </w:rPr>
      </w:pPr>
      <w:bookmarkStart w:id="47" w:name="_Toc35393626"/>
      <w:bookmarkStart w:id="48" w:name="_Toc35393795"/>
      <w:bookmarkStart w:id="49" w:name="_Toc18403"/>
      <w:bookmarkStart w:id="50" w:name="_Toc256000006"/>
      <w:r>
        <w:rPr>
          <w:rFonts w:asciiTheme="minorEastAsia" w:eastAsiaTheme="minorEastAsia" w:hAnsiTheme="minorEastAsia" w:cs="宋体" w:hint="eastAsia"/>
          <w:b w:val="0"/>
          <w:sz w:val="24"/>
          <w:szCs w:val="24"/>
        </w:rPr>
        <w:t>六、其他补充事宜</w:t>
      </w:r>
      <w:bookmarkEnd w:id="50"/>
      <w:bookmarkEnd w:id="47"/>
      <w:bookmarkEnd w:id="48"/>
      <w:bookmarkEnd w:id="49"/>
    </w:p>
    <w:p>
      <w:pPr>
        <w:adjustRightInd w:val="0"/>
        <w:snapToGri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hint="eastAsia"/>
          <w:sz w:val="24"/>
          <w:lang w:eastAsia="zh-CN"/>
        </w:rPr>
        <w:t>（一）</w:t>
      </w:r>
      <w:r>
        <w:rPr>
          <w:rFonts w:asciiTheme="minorEastAsia" w:eastAsiaTheme="minorEastAsia" w:hAnsiTheme="minorEastAsia" w:cs="宋体"/>
          <w:sz w:val="24"/>
        </w:rPr>
        <w:t>本项目实行网上投标，采用电子投标文件。</w:t>
      </w:r>
    </w:p>
    <w:p>
      <w:pPr>
        <w:adjustRightInd w:val="0"/>
        <w:snapToGrid w:val="0"/>
        <w:spacing w:line="360" w:lineRule="auto"/>
        <w:ind w:firstLine="420" w:firstLineChars="200"/>
        <w:rPr>
          <w:rFonts w:asciiTheme="minorEastAsia" w:eastAsiaTheme="minorEastAsia" w:hAnsiTheme="minorEastAsia" w:cs="宋体"/>
          <w:sz w:val="24"/>
        </w:rPr>
      </w:pPr>
      <w:r>
        <w:rPr>
          <w:rFonts w:asciiTheme="minorEastAsia" w:eastAsiaTheme="minorEastAsia" w:hAnsiTheme="minorEastAsia" w:hint="eastAsia"/>
          <w:sz w:val="24"/>
          <w:lang w:eastAsia="zh-CN"/>
        </w:rPr>
        <w:t>（二）</w:t>
      </w:r>
      <w:r>
        <w:rPr>
          <w:rFonts w:asciiTheme="minorEastAsia" w:eastAsiaTheme="minorEastAsia" w:hAnsiTheme="minorEastAsia" w:cs="宋体" w:hint="eastAsia"/>
          <w:sz w:val="24"/>
        </w:rPr>
        <w:t>采购文件澄清/修改事项</w:t>
      </w:r>
      <w:r>
        <w:rPr>
          <w:rFonts w:asciiTheme="minorEastAsia" w:eastAsiaTheme="minorEastAsia" w:hAnsiTheme="minorEastAsia" w:cs="宋体" w:hint="eastAsia"/>
          <w:color w:val="auto"/>
          <w:sz w:val="24"/>
        </w:rPr>
        <w:t>：2023年</w:t>
      </w:r>
      <w:r>
        <w:rPr>
          <w:rFonts w:asciiTheme="minorEastAsia" w:eastAsiaTheme="minorEastAsia" w:hAnsiTheme="minorEastAsia" w:cs="宋体" w:hint="eastAsia"/>
          <w:color w:val="auto"/>
          <w:sz w:val="24"/>
          <w:lang w:val="en-US" w:eastAsia="zh-CN"/>
        </w:rPr>
        <w:t>10</w:t>
      </w:r>
      <w:r>
        <w:rPr>
          <w:rFonts w:asciiTheme="minorEastAsia" w:eastAsiaTheme="minorEastAsia" w:hAnsiTheme="minorEastAsia" w:cs="宋体" w:hint="eastAsia"/>
          <w:color w:val="auto"/>
          <w:sz w:val="24"/>
        </w:rPr>
        <w:t>月</w:t>
      </w:r>
      <w:r>
        <w:rPr>
          <w:rFonts w:asciiTheme="minorEastAsia" w:eastAsiaTheme="minorEastAsia" w:hAnsiTheme="minorEastAsia" w:cs="宋体" w:hint="eastAsia"/>
          <w:color w:val="auto"/>
          <w:sz w:val="24"/>
          <w:lang w:val="en-US" w:eastAsia="zh-CN"/>
        </w:rPr>
        <w:t>2</w:t>
      </w:r>
      <w:r>
        <w:rPr>
          <w:rFonts w:asciiTheme="minorEastAsia" w:eastAsiaTheme="minorEastAsia" w:hAnsiTheme="minorEastAsia" w:cs="宋体" w:hint="eastAsia"/>
          <w:color w:val="auto"/>
          <w:sz w:val="24"/>
        </w:rPr>
        <w:t>日18:00（北</w:t>
      </w:r>
      <w:r>
        <w:rPr>
          <w:rFonts w:asciiTheme="minorEastAsia" w:eastAsiaTheme="minorEastAsia" w:hAnsiTheme="minorEastAsia" w:cs="宋体" w:hint="eastAsia"/>
          <w:sz w:val="24"/>
        </w:rPr>
        <w:t>京时间）前，投标人如果认为采购文件存在不明确、不清晰和前后不一致等问题，可登录</w:t>
      </w:r>
      <w:r>
        <w:rPr>
          <w:rFonts w:asciiTheme="minorEastAsia" w:eastAsiaTheme="minorEastAsia" w:hAnsiTheme="minorEastAsia" w:hint="eastAsia"/>
          <w:sz w:val="24"/>
        </w:rPr>
        <w:t>深圳政府采购智慧平台（http://zfcg.szggzy.com:8081/）</w:t>
      </w:r>
      <w:r>
        <w:rPr>
          <w:rFonts w:asciiTheme="minorEastAsia" w:eastAsiaTheme="minorEastAsia" w:hAnsiTheme="minorEastAsia" w:cs="宋体" w:hint="eastAsia"/>
          <w:sz w:val="24"/>
        </w:rPr>
        <w:t>→“深圳政府采购智慧平台用户网上办事子系统（http://zfcg.szggzy.com:8081/TPBidder/memberLogin）”，在“【我的项目】→【项目流程】→【提问】”功能点中填写需澄清内容。</w:t>
      </w:r>
      <w:r>
        <w:rPr>
          <w:rFonts w:asciiTheme="minorEastAsia" w:eastAsiaTheme="minorEastAsia" w:hAnsiTheme="minorEastAsia" w:cs="宋体" w:hint="eastAsia"/>
          <w:color w:val="auto"/>
          <w:sz w:val="24"/>
        </w:rPr>
        <w:t>2023年</w:t>
      </w:r>
      <w:r>
        <w:rPr>
          <w:rFonts w:asciiTheme="minorEastAsia" w:eastAsiaTheme="minorEastAsia" w:hAnsiTheme="minorEastAsia" w:cs="宋体" w:hint="eastAsia"/>
          <w:color w:val="auto"/>
          <w:sz w:val="24"/>
          <w:lang w:val="en-US" w:eastAsia="zh-CN"/>
        </w:rPr>
        <w:t>10</w:t>
      </w:r>
      <w:r>
        <w:rPr>
          <w:rFonts w:asciiTheme="minorEastAsia" w:eastAsiaTheme="minorEastAsia" w:hAnsiTheme="minorEastAsia" w:cs="宋体" w:hint="eastAsia"/>
          <w:color w:val="auto"/>
          <w:sz w:val="24"/>
        </w:rPr>
        <w:t>月</w:t>
      </w:r>
      <w:r>
        <w:rPr>
          <w:rFonts w:asciiTheme="minorEastAsia" w:eastAsiaTheme="minorEastAsia" w:hAnsiTheme="minorEastAsia" w:cs="宋体" w:hint="eastAsia"/>
          <w:color w:val="auto"/>
          <w:sz w:val="24"/>
          <w:lang w:val="en-US" w:eastAsia="zh-CN"/>
        </w:rPr>
        <w:t>4</w:t>
      </w:r>
      <w:r>
        <w:rPr>
          <w:rFonts w:asciiTheme="minorEastAsia" w:eastAsiaTheme="minorEastAsia" w:hAnsiTheme="minorEastAsia" w:cs="宋体" w:hint="eastAsia"/>
          <w:color w:val="auto"/>
          <w:sz w:val="24"/>
        </w:rPr>
        <w:t>日18:00</w:t>
      </w:r>
      <w:r>
        <w:rPr>
          <w:rFonts w:asciiTheme="minorEastAsia" w:eastAsiaTheme="minorEastAsia" w:hAnsiTheme="minorEastAsia" w:cs="宋体" w:hint="eastAsia"/>
          <w:sz w:val="24"/>
        </w:rPr>
        <w:t>（北京时间）前将采购文件澄清/修改情况在“【我的项目】→【项目流程】→【答疑澄清文件下载】”中公布，望投标人予以关注。</w:t>
      </w:r>
    </w:p>
    <w:p>
      <w:pPr>
        <w:adjustRightInd w:val="0"/>
        <w:snapToGrid w:val="0"/>
        <w:spacing w:line="360" w:lineRule="auto"/>
        <w:ind w:firstLine="496" w:firstLineChars="236"/>
        <w:rPr>
          <w:rFonts w:asciiTheme="minorEastAsia" w:eastAsiaTheme="minorEastAsia" w:hAnsiTheme="minorEastAsia" w:cs="宋体"/>
          <w:sz w:val="24"/>
          <w:highlight w:val="none"/>
        </w:rPr>
      </w:pPr>
      <w:r>
        <w:rPr>
          <w:rFonts w:asciiTheme="minorEastAsia" w:eastAsiaTheme="minorEastAsia" w:hAnsiTheme="minorEastAsia" w:cs="宋体" w:hint="eastAsia"/>
          <w:sz w:val="24"/>
        </w:rPr>
        <w:t>（重要提示：“提出采购文件澄清要求”不等同于“对采购文件质疑”，供应商提出的澄清要求内容如出现“</w:t>
      </w:r>
      <w:r>
        <w:rPr>
          <w:rFonts w:asciiTheme="minorEastAsia" w:eastAsiaTheme="minorEastAsia" w:hAnsiTheme="minorEastAsia" w:cs="宋体" w:hint="eastAsia"/>
          <w:sz w:val="24"/>
          <w:highlight w:val="none"/>
        </w:rPr>
        <w:t>质疑”字眼，将予以退回。供应商如认为采购文件存在限制性、倾向性、其权益受到损害，应当自知道或者应当知道其权益受到损害之日</w:t>
      </w:r>
      <w:r>
        <w:rPr>
          <w:rFonts w:asciiTheme="minorEastAsia" w:eastAsiaTheme="minorEastAsia" w:hAnsiTheme="minorEastAsia" w:cs="宋体" w:hint="eastAsia"/>
          <w:sz w:val="24"/>
          <w:highlight w:val="none"/>
          <w:lang w:eastAsia="zh-CN"/>
        </w:rPr>
        <w:t>（应当知道其权益受到损害之日是指对招标文件的质疑，为招标文件公布之日）</w:t>
      </w:r>
      <w:r>
        <w:rPr>
          <w:rFonts w:asciiTheme="minorEastAsia" w:eastAsiaTheme="minorEastAsia" w:hAnsiTheme="minorEastAsia" w:cs="宋体" w:hint="eastAsia"/>
          <w:sz w:val="24"/>
          <w:highlight w:val="none"/>
        </w:rPr>
        <w:t>起七个工作日内以书面形式提出质疑。根据《深圳经济特区政府采购条例》第四十二条“供应商投诉的事项应当是经过质疑的事项”的规定，未经正式质疑的，将影响供应商行使向财政部门提起投诉的权利。）</w:t>
      </w:r>
    </w:p>
    <w:p>
      <w:pPr>
        <w:adjustRightInd w:val="0"/>
        <w:snapToGri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hint="eastAsia"/>
          <w:sz w:val="24"/>
          <w:lang w:eastAsia="zh-CN"/>
        </w:rPr>
        <w:t>（三）</w:t>
      </w:r>
      <w:r>
        <w:rPr>
          <w:rFonts w:asciiTheme="minorEastAsia" w:eastAsiaTheme="minorEastAsia" w:hAnsiTheme="minorEastAsia" w:cs="宋体" w:hint="eastAsia"/>
          <w:sz w:val="24"/>
        </w:rPr>
        <w:t>采购人及采购代理机构</w:t>
      </w:r>
      <w:r>
        <w:rPr>
          <w:rFonts w:asciiTheme="minorEastAsia" w:eastAsiaTheme="minorEastAsia" w:hAnsiTheme="minorEastAsia" w:cs="宋体"/>
          <w:sz w:val="24"/>
        </w:rPr>
        <w:t>有权对中标</w:t>
      </w:r>
      <w:r>
        <w:rPr>
          <w:rFonts w:asciiTheme="minorEastAsia" w:eastAsiaTheme="minorEastAsia" w:hAnsiTheme="minorEastAsia" w:cs="宋体" w:hint="eastAsia"/>
          <w:sz w:val="24"/>
        </w:rPr>
        <w:t>人</w:t>
      </w:r>
      <w:r>
        <w:rPr>
          <w:rFonts w:asciiTheme="minorEastAsia" w:eastAsiaTheme="minorEastAsia" w:hAnsiTheme="minorEastAsia" w:cs="宋体"/>
          <w:sz w:val="24"/>
        </w:rPr>
        <w:t xml:space="preserve">就本项目要求提供的相关证明资料（原件）进行审查。供应商提供虚假资料被查实的，则可能面临被取消本项目中标资格、列入不良行为记录名单和三年内禁止参与深圳市政府采购活动的风险。 </w:t>
      </w:r>
    </w:p>
    <w:p>
      <w:pPr>
        <w:adjustRightInd w:val="0"/>
        <w:snapToGrid w:val="0"/>
        <w:spacing w:line="360" w:lineRule="auto"/>
        <w:ind w:firstLine="480"/>
        <w:rPr>
          <w:rFonts w:asciiTheme="minorEastAsia" w:eastAsiaTheme="minorEastAsia" w:hAnsiTheme="minorEastAsia" w:cs="宋体" w:hint="eastAsia"/>
          <w:sz w:val="24"/>
        </w:rPr>
      </w:pPr>
      <w:r>
        <w:rPr>
          <w:rFonts w:asciiTheme="minorEastAsia" w:eastAsiaTheme="minorEastAsia" w:hAnsiTheme="minorEastAsia" w:hint="eastAsia"/>
          <w:sz w:val="24"/>
          <w:lang w:eastAsia="zh-CN"/>
        </w:rPr>
        <w:t>（四）</w:t>
      </w:r>
      <w:r>
        <w:rPr>
          <w:rFonts w:asciiTheme="minorEastAsia" w:eastAsiaTheme="minorEastAsia" w:hAnsiTheme="minorEastAsia" w:cs="宋体" w:hint="eastAsia"/>
          <w:sz w:val="24"/>
        </w:rPr>
        <w:t>本招标公告及本项目招标文件所涉及的时间一律为北京时间。投标人有义务在招标活动期间浏览</w:t>
      </w:r>
      <w:r>
        <w:rPr>
          <w:rFonts w:asciiTheme="minorEastAsia" w:eastAsiaTheme="minorEastAsia" w:hAnsiTheme="minorEastAsia" w:hint="eastAsia"/>
          <w:sz w:val="24"/>
        </w:rPr>
        <w:t>深圳政府采购智慧平台（http://zfcg.szggzy.com:8081/）</w:t>
      </w:r>
      <w:r>
        <w:rPr>
          <w:rFonts w:asciiTheme="minorEastAsia" w:eastAsiaTheme="minorEastAsia" w:hAnsiTheme="minorEastAsia" w:cs="宋体" w:hint="eastAsia"/>
          <w:sz w:val="24"/>
        </w:rPr>
        <w:t>，在</w:t>
      </w:r>
      <w:r>
        <w:rPr>
          <w:rFonts w:asciiTheme="minorEastAsia" w:eastAsiaTheme="minorEastAsia" w:hAnsiTheme="minorEastAsia" w:hint="eastAsia"/>
          <w:sz w:val="24"/>
        </w:rPr>
        <w:t>深圳政府采购智慧平台</w:t>
      </w:r>
      <w:r>
        <w:rPr>
          <w:rFonts w:asciiTheme="minorEastAsia" w:eastAsiaTheme="minorEastAsia" w:hAnsiTheme="minorEastAsia" w:cs="宋体" w:hint="eastAsia"/>
          <w:sz w:val="24"/>
        </w:rPr>
        <w:t>网上公布的与本次招标项目有关的信息视为已送达各投标人。</w:t>
      </w:r>
    </w:p>
    <w:p>
      <w:pPr>
        <w:adjustRightInd w:val="0"/>
        <w:snapToGrid w:val="0"/>
        <w:spacing w:line="360" w:lineRule="auto"/>
        <w:ind w:firstLine="420" w:firstLineChars="200"/>
        <w:rPr>
          <w:rFonts w:ascii="宋体" w:hAnsi="宋体"/>
          <w:bCs/>
          <w:sz w:val="24"/>
        </w:rPr>
      </w:pPr>
      <w:r>
        <w:rPr>
          <w:rFonts w:asciiTheme="minorEastAsia" w:eastAsiaTheme="minorEastAsia" w:hAnsiTheme="minorEastAsia" w:hint="eastAsia"/>
          <w:sz w:val="24"/>
          <w:lang w:eastAsia="zh-CN"/>
        </w:rPr>
        <w:t>（五）</w:t>
      </w:r>
      <w:r>
        <w:rPr>
          <w:rFonts w:ascii="宋体" w:hAnsi="宋体" w:hint="eastAsia"/>
          <w:bCs/>
          <w:sz w:val="24"/>
        </w:rPr>
        <w:t>本项目相关公告在以下媒体发布</w:t>
      </w:r>
    </w:p>
    <w:p>
      <w:pPr>
        <w:wordWrap w:val="0"/>
        <w:snapToGrid w:val="0"/>
        <w:spacing w:line="360" w:lineRule="auto"/>
        <w:ind w:firstLine="420" w:firstLineChars="200"/>
        <w:rPr>
          <w:rFonts w:ascii="宋体" w:hAnsi="宋体" w:hint="eastAsia"/>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1、法定媒体：深圳政府采购智慧平台（http://zfcg.szggzy.com:8081/）。相关公告在法定媒体上公布之日即视为有效送达，不再另行通知。</w:t>
      </w:r>
    </w:p>
    <w:p>
      <w:pPr>
        <w:wordWrap w:val="0"/>
        <w:snapToGrid w:val="0"/>
        <w:spacing w:line="360" w:lineRule="auto"/>
        <w:ind w:firstLine="420" w:firstLineChars="200"/>
        <w:rPr>
          <w:rFonts w:ascii="宋体" w:hAnsi="宋体" w:hint="eastAsia"/>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2、采购代理机构网站（www.chinapsp.cn）</w:t>
      </w:r>
    </w:p>
    <w:p>
      <w:pPr>
        <w:wordWrap w:val="0"/>
        <w:snapToGrid w:val="0"/>
        <w:spacing w:line="360" w:lineRule="auto"/>
        <w:ind w:firstLine="420" w:firstLineChars="200"/>
        <w:rPr>
          <w:rFonts w:ascii="宋体" w:hAnsi="宋体" w:hint="eastAsia"/>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3、清华大学深圳国际研究生院官网（https://www.sigs.tsinghua.edu.cn/）。</w:t>
      </w:r>
    </w:p>
    <w:p>
      <w:pPr>
        <w:wordWrap w:val="0"/>
        <w:snapToGrid w:val="0"/>
        <w:spacing w:line="360" w:lineRule="auto"/>
        <w:ind w:firstLine="420" w:firstLineChars="200"/>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4、以上媒体公告内容不一致的，以深圳政府采购智慧平台（http://zfcg.szggzy.com:8081/）的公告内容为准。</w:t>
      </w:r>
    </w:p>
    <w:p>
      <w:pPr>
        <w:adjustRightInd w:val="0"/>
        <w:snapToGrid w:val="0"/>
        <w:spacing w:line="360" w:lineRule="auto"/>
        <w:ind w:firstLine="480"/>
        <w:rPr>
          <w:rFonts w:asciiTheme="minorEastAsia" w:eastAsiaTheme="minorEastAsia" w:hAnsiTheme="minorEastAsia" w:cs="宋体"/>
          <w:sz w:val="24"/>
        </w:rPr>
      </w:pPr>
      <w:r>
        <w:rPr>
          <w:rFonts w:asciiTheme="minorEastAsia" w:eastAsiaTheme="minorEastAsia" w:hAnsiTheme="minorEastAsia" w:hint="eastAsia"/>
          <w:sz w:val="24"/>
          <w:lang w:eastAsia="zh-CN"/>
        </w:rPr>
        <w:t>（六）</w:t>
      </w:r>
      <w:r>
        <w:rPr>
          <w:rFonts w:asciiTheme="minorEastAsia" w:eastAsiaTheme="minorEastAsia" w:hAnsiTheme="minorEastAsia" w:cs="宋体" w:hint="eastAsia"/>
          <w:sz w:val="24"/>
        </w:rPr>
        <w:t>本项目不需要投标保证金。</w:t>
      </w:r>
      <w:bookmarkStart w:id="51" w:name="_Toc28359008"/>
      <w:bookmarkStart w:id="52" w:name="_Toc35393627"/>
      <w:bookmarkStart w:id="53" w:name="_Toc28359085"/>
      <w:bookmarkStart w:id="54" w:name="_Toc35393796"/>
    </w:p>
    <w:p>
      <w:pPr>
        <w:adjustRightInd w:val="0"/>
        <w:snapToGrid w:val="0"/>
        <w:spacing w:line="360" w:lineRule="auto"/>
        <w:ind w:firstLine="480"/>
        <w:rPr>
          <w:rFonts w:asciiTheme="minorEastAsia" w:eastAsiaTheme="minorEastAsia" w:hAnsiTheme="minorEastAsia" w:cs="宋体"/>
          <w:sz w:val="24"/>
        </w:rPr>
      </w:pPr>
      <w:bookmarkStart w:id="55" w:name="_Hlk41992292"/>
      <w:r>
        <w:rPr>
          <w:rFonts w:asciiTheme="minorEastAsia" w:eastAsiaTheme="minorEastAsia" w:hAnsiTheme="minorEastAsia" w:hint="eastAsia"/>
          <w:sz w:val="24"/>
          <w:lang w:eastAsia="zh-CN"/>
        </w:rPr>
        <w:t>（七）</w:t>
      </w:r>
      <w:r>
        <w:rPr>
          <w:rFonts w:asciiTheme="minorEastAsia" w:eastAsiaTheme="minorEastAsia" w:hAnsiTheme="minorEastAsia" w:cs="宋体" w:hint="eastAsia"/>
          <w:sz w:val="24"/>
        </w:rPr>
        <w:t>需要落实的政府采购政策：</w:t>
      </w:r>
      <w:r>
        <w:rPr>
          <w:rFonts w:ascii="宋体" w:hAnsi="宋体" w:hint="eastAsia"/>
          <w:bCs/>
          <w:sz w:val="24"/>
        </w:rPr>
        <w:t>《政府采购促进中小企业发展管理办法》（财库〔2020〕46号）</w:t>
      </w:r>
      <w:r>
        <w:rPr>
          <w:rFonts w:asciiTheme="minorEastAsia" w:eastAsiaTheme="minorEastAsia" w:hAnsiTheme="minorEastAsia" w:cs="宋体" w:hint="eastAsia"/>
          <w:sz w:val="24"/>
        </w:rPr>
        <w:t>、《关于政府采购支持监狱企业发展有关问题的通知》(财库〔2014〕68号)、《关于促进残疾人就业政府采购政策的通知》（财库〔2017〕141号)、《关于环境标志产品政府采购实施的意见》（财库〔2006〕90号）、《节能产品政府采购实施意见》的通知（财库〔2004〕185号）</w:t>
      </w:r>
      <w:r>
        <w:rPr>
          <w:rFonts w:asciiTheme="minorEastAsia" w:eastAsiaTheme="minorEastAsia" w:hAnsiTheme="minorEastAsia" w:cs="宋体"/>
          <w:sz w:val="24"/>
        </w:rPr>
        <w:t>、《关于调整优化节能产品、环境标志产品政府采购执行机制的通知》（财库〔2019〕9号）、</w:t>
      </w:r>
      <w:bookmarkEnd w:id="55"/>
      <w:r>
        <w:rPr>
          <w:rFonts w:asciiTheme="minorEastAsia" w:eastAsiaTheme="minorEastAsia" w:hAnsiTheme="minorEastAsia" w:cs="宋体" w:hint="eastAsia"/>
          <w:sz w:val="24"/>
        </w:rPr>
        <w:t>《快递包装政府采购需求标准（试行）》（财办库〔2020〕123号）</w:t>
      </w:r>
      <w:r>
        <w:rPr>
          <w:rFonts w:asciiTheme="minorEastAsia" w:eastAsiaTheme="minorEastAsia" w:hAnsiTheme="minorEastAsia" w:cs="宋体"/>
          <w:sz w:val="24"/>
        </w:rPr>
        <w:t>等</w:t>
      </w:r>
      <w:r>
        <w:rPr>
          <w:rFonts w:asciiTheme="minorEastAsia" w:eastAsiaTheme="minorEastAsia" w:hAnsiTheme="minorEastAsia" w:cs="宋体" w:hint="eastAsia"/>
          <w:sz w:val="24"/>
        </w:rPr>
        <w:t>。</w:t>
      </w:r>
    </w:p>
    <w:p>
      <w:pPr>
        <w:pStyle w:val="Heading2"/>
        <w:adjustRightInd w:val="0"/>
        <w:snapToGrid w:val="0"/>
        <w:spacing w:line="360" w:lineRule="auto"/>
        <w:rPr>
          <w:rFonts w:asciiTheme="minorEastAsia" w:eastAsiaTheme="minorEastAsia" w:hAnsiTheme="minorEastAsia" w:cs="宋体"/>
          <w:b w:val="0"/>
          <w:sz w:val="24"/>
          <w:szCs w:val="24"/>
        </w:rPr>
      </w:pPr>
      <w:bookmarkStart w:id="56" w:name="_Toc20174"/>
      <w:bookmarkStart w:id="57" w:name="_Toc256000007"/>
      <w:r>
        <w:rPr>
          <w:rFonts w:asciiTheme="minorEastAsia" w:eastAsiaTheme="minorEastAsia" w:hAnsiTheme="minorEastAsia" w:cs="宋体" w:hint="eastAsia"/>
          <w:b w:val="0"/>
          <w:sz w:val="24"/>
          <w:szCs w:val="24"/>
        </w:rPr>
        <w:t>七、对本次采购提出询问，请按</w:t>
      </w:r>
      <w:r>
        <w:rPr>
          <w:rFonts w:asciiTheme="minorEastAsia" w:eastAsiaTheme="minorEastAsia" w:hAnsiTheme="minorEastAsia" w:cs="宋体"/>
          <w:b w:val="0"/>
          <w:sz w:val="24"/>
          <w:szCs w:val="24"/>
        </w:rPr>
        <w:t>以下方式</w:t>
      </w:r>
      <w:r>
        <w:rPr>
          <w:rFonts w:asciiTheme="minorEastAsia" w:eastAsiaTheme="minorEastAsia" w:hAnsiTheme="minorEastAsia" w:cs="宋体" w:hint="eastAsia"/>
          <w:b w:val="0"/>
          <w:sz w:val="24"/>
          <w:szCs w:val="24"/>
        </w:rPr>
        <w:t>联系。</w:t>
      </w:r>
      <w:bookmarkEnd w:id="57"/>
      <w:bookmarkEnd w:id="51"/>
      <w:bookmarkEnd w:id="52"/>
      <w:bookmarkEnd w:id="53"/>
      <w:bookmarkEnd w:id="54"/>
      <w:bookmarkEnd w:id="56"/>
    </w:p>
    <w:p>
      <w:pPr>
        <w:widowControl/>
        <w:adjustRightInd w:val="0"/>
        <w:snapToGrid w:val="0"/>
        <w:spacing w:line="360" w:lineRule="auto"/>
        <w:ind w:firstLine="420" w:firstLineChars="200"/>
        <w:jc w:val="left"/>
        <w:rPr>
          <w:rFonts w:asciiTheme="minorEastAsia" w:eastAsiaTheme="minorEastAsia" w:hAnsiTheme="minorEastAsia"/>
          <w:sz w:val="24"/>
        </w:rPr>
      </w:pPr>
      <w:r>
        <w:rPr>
          <w:rFonts w:asciiTheme="minorEastAsia" w:eastAsiaTheme="minorEastAsia" w:hAnsiTheme="minorEastAsia" w:hint="eastAsia"/>
          <w:sz w:val="24"/>
          <w:lang w:eastAsia="zh-CN"/>
        </w:rPr>
        <w:t>（一）</w:t>
      </w:r>
      <w:r>
        <w:rPr>
          <w:rFonts w:asciiTheme="minorEastAsia" w:eastAsiaTheme="minorEastAsia" w:hAnsiTheme="minorEastAsia" w:cs="宋体" w:hint="eastAsia"/>
          <w:sz w:val="24"/>
        </w:rPr>
        <w:t>采购人信息</w:t>
      </w:r>
    </w:p>
    <w:p>
      <w:pPr>
        <w:adjustRightInd w:val="0"/>
        <w:snapToGrid w:val="0"/>
        <w:spacing w:line="360" w:lineRule="auto"/>
        <w:ind w:firstLine="420" w:firstLineChars="200"/>
        <w:jc w:val="left"/>
        <w:rPr>
          <w:rFonts w:asciiTheme="minorEastAsia" w:eastAsiaTheme="minorEastAsia" w:hAnsiTheme="minorEastAsia" w:hint="eastAsia"/>
          <w:color w:val="auto"/>
          <w:sz w:val="24"/>
          <w:lang w:eastAsia="zh-CN"/>
        </w:rPr>
      </w:pPr>
      <w:r>
        <w:rPr>
          <w:rFonts w:asciiTheme="minorEastAsia" w:eastAsiaTheme="minorEastAsia" w:hAnsiTheme="minorEastAsia" w:hint="eastAsia"/>
          <w:color w:val="auto"/>
          <w:sz w:val="24"/>
        </w:rPr>
        <w:t>名称：</w:t>
      </w:r>
      <w:r>
        <w:rPr>
          <w:rFonts w:asciiTheme="minorEastAsia" w:eastAsiaTheme="minorEastAsia" w:hAnsiTheme="minorEastAsia" w:cs="宋体" w:hint="eastAsia"/>
          <w:bCs/>
          <w:color w:val="auto"/>
          <w:kern w:val="0"/>
          <w:sz w:val="24"/>
          <w:lang w:eastAsia="zh-CN"/>
        </w:rPr>
        <w:t>清华大学深圳国际研究生院</w:t>
      </w:r>
    </w:p>
    <w:p>
      <w:pPr>
        <w:adjustRightInd w:val="0"/>
        <w:snapToGrid w:val="0"/>
        <w:spacing w:line="360" w:lineRule="auto"/>
        <w:ind w:firstLine="420" w:firstLineChars="200"/>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地址：深圳市南山区西丽大学城清华校区A栋2楼</w:t>
      </w:r>
    </w:p>
    <w:p>
      <w:pPr>
        <w:adjustRightInd w:val="0"/>
        <w:snapToGrid w:val="0"/>
        <w:spacing w:line="360" w:lineRule="auto"/>
        <w:ind w:firstLine="420" w:firstLineChars="200"/>
        <w:jc w:val="left"/>
        <w:rPr>
          <w:rFonts w:asciiTheme="minorEastAsia" w:eastAsiaTheme="minorEastAsia" w:hAnsiTheme="minorEastAsia"/>
          <w:color w:val="auto"/>
          <w:sz w:val="24"/>
          <w:u w:val="single"/>
        </w:rPr>
      </w:pPr>
      <w:r>
        <w:rPr>
          <w:rFonts w:asciiTheme="minorEastAsia" w:eastAsiaTheme="minorEastAsia" w:hAnsiTheme="minorEastAsia" w:hint="eastAsia"/>
          <w:color w:val="auto"/>
          <w:sz w:val="24"/>
        </w:rPr>
        <w:t>联系方式：</w:t>
      </w:r>
      <w:bookmarkStart w:id="58" w:name="_Toc28359086"/>
      <w:bookmarkStart w:id="59" w:name="_Toc28359009"/>
      <w:r>
        <w:rPr>
          <w:rFonts w:asciiTheme="minorEastAsia" w:eastAsiaTheme="minorEastAsia" w:hAnsiTheme="minorEastAsia" w:hint="eastAsia"/>
          <w:color w:val="auto"/>
          <w:sz w:val="24"/>
        </w:rPr>
        <w:t>刘老师0755-26036029</w:t>
      </w:r>
    </w:p>
    <w:p>
      <w:pPr>
        <w:adjustRightInd w:val="0"/>
        <w:snapToGrid w:val="0"/>
        <w:spacing w:line="360" w:lineRule="auto"/>
        <w:ind w:firstLine="420" w:firstLineChars="200"/>
        <w:jc w:val="left"/>
        <w:rPr>
          <w:rFonts w:asciiTheme="minorEastAsia" w:eastAsiaTheme="minorEastAsia" w:hAnsiTheme="minorEastAsia"/>
          <w:sz w:val="24"/>
        </w:rPr>
      </w:pPr>
      <w:r>
        <w:rPr>
          <w:rFonts w:asciiTheme="minorEastAsia" w:eastAsiaTheme="minorEastAsia" w:hAnsiTheme="minorEastAsia" w:hint="eastAsia"/>
          <w:sz w:val="24"/>
          <w:lang w:eastAsia="zh-CN"/>
        </w:rPr>
        <w:t>（二）</w:t>
      </w:r>
      <w:r>
        <w:rPr>
          <w:rFonts w:asciiTheme="minorEastAsia" w:eastAsiaTheme="minorEastAsia" w:hAnsiTheme="minorEastAsia" w:cs="宋体" w:hint="eastAsia"/>
          <w:sz w:val="24"/>
        </w:rPr>
        <w:t>采购代理机构</w:t>
      </w:r>
      <w:bookmarkEnd w:id="58"/>
      <w:bookmarkEnd w:id="59"/>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名称：</w:t>
      </w:r>
      <w:r>
        <w:rPr>
          <w:rFonts w:asciiTheme="minorEastAsia" w:eastAsiaTheme="minorEastAsia" w:hAnsiTheme="minorEastAsia" w:cs="宋体" w:hint="eastAsia"/>
          <w:sz w:val="24"/>
        </w:rPr>
        <w:t>采联国际招标采购集团有限公司</w:t>
      </w:r>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地址：</w:t>
      </w:r>
      <w:r>
        <w:rPr>
          <w:rFonts w:asciiTheme="minorEastAsia" w:eastAsiaTheme="minorEastAsia" w:hAnsiTheme="minorEastAsia" w:cs="宋体" w:hint="eastAsia"/>
          <w:color w:val="000000"/>
          <w:sz w:val="24"/>
        </w:rPr>
        <w:t>深圳市福田区竹子林中国经贸大厦10</w:t>
      </w:r>
      <w:r>
        <w:rPr>
          <w:rFonts w:asciiTheme="minorEastAsia" w:eastAsiaTheme="minorEastAsia" w:hAnsiTheme="minorEastAsia" w:cs="宋体" w:hint="eastAsia"/>
          <w:color w:val="000000"/>
          <w:sz w:val="24"/>
          <w:lang w:eastAsia="zh-CN"/>
        </w:rPr>
        <w:t>楼</w:t>
      </w:r>
      <w:r>
        <w:rPr>
          <w:rFonts w:asciiTheme="minorEastAsia" w:eastAsiaTheme="minorEastAsia" w:hAnsiTheme="minorEastAsia" w:cs="宋体" w:hint="eastAsia"/>
          <w:color w:val="000000"/>
          <w:sz w:val="24"/>
        </w:rPr>
        <w:t>采联国际招标采购集团有限公司深圳分公司</w:t>
      </w:r>
    </w:p>
    <w:p>
      <w:pPr>
        <w:adjustRightInd w:val="0"/>
        <w:snapToGrid w:val="0"/>
        <w:spacing w:line="360" w:lineRule="auto"/>
        <w:ind w:firstLine="420" w:firstLineChars="200"/>
        <w:rPr>
          <w:rFonts w:asciiTheme="minorEastAsia" w:eastAsiaTheme="minorEastAsia" w:hAnsiTheme="minorEastAsia"/>
          <w:sz w:val="24"/>
          <w:u w:val="single"/>
        </w:rPr>
      </w:pPr>
      <w:bookmarkStart w:id="60" w:name="_Toc28359010"/>
      <w:bookmarkStart w:id="61" w:name="_Toc28359087"/>
      <w:r>
        <w:rPr>
          <w:rFonts w:asciiTheme="minorEastAsia" w:eastAsiaTheme="minorEastAsia" w:hAnsiTheme="minorEastAsia" w:hint="eastAsia"/>
          <w:sz w:val="24"/>
          <w:lang w:eastAsia="zh-CN"/>
        </w:rPr>
        <w:t>（三）</w:t>
      </w:r>
      <w:r>
        <w:rPr>
          <w:rFonts w:asciiTheme="minorEastAsia" w:eastAsiaTheme="minorEastAsia" w:hAnsiTheme="minorEastAsia" w:cs="宋体" w:hint="eastAsia"/>
          <w:sz w:val="24"/>
        </w:rPr>
        <w:t>项目</w:t>
      </w:r>
      <w:r>
        <w:rPr>
          <w:rFonts w:asciiTheme="minorEastAsia" w:eastAsiaTheme="minorEastAsia" w:hAnsiTheme="minorEastAsia" w:cs="宋体"/>
          <w:sz w:val="24"/>
        </w:rPr>
        <w:t>联系方式</w:t>
      </w:r>
      <w:bookmarkEnd w:id="60"/>
      <w:bookmarkEnd w:id="61"/>
    </w:p>
    <w:p>
      <w:pPr>
        <w:pStyle w:val="PlainText"/>
        <w:adjustRightInd w:val="0"/>
        <w:snapToGrid w:val="0"/>
        <w:spacing w:line="360" w:lineRule="auto"/>
        <w:ind w:firstLine="420" w:firstLineChars="200"/>
        <w:rPr>
          <w:rFonts w:asciiTheme="minorEastAsia" w:hAnsiTheme="minorEastAsia"/>
          <w:color w:val="auto"/>
          <w:sz w:val="24"/>
          <w:szCs w:val="24"/>
        </w:rPr>
      </w:pPr>
      <w:r>
        <w:rPr>
          <w:rFonts w:asciiTheme="minorEastAsia" w:hAnsiTheme="minorEastAsia" w:hint="eastAsia"/>
          <w:sz w:val="24"/>
          <w:szCs w:val="24"/>
        </w:rPr>
        <w:t>项目联系人：</w:t>
      </w:r>
      <w:r>
        <w:rPr>
          <w:rFonts w:asciiTheme="minorEastAsia" w:hAnsiTheme="minorEastAsia" w:hint="eastAsia"/>
          <w:color w:val="auto"/>
          <w:sz w:val="24"/>
          <w:szCs w:val="24"/>
          <w:lang w:val="en-US" w:eastAsia="zh-CN"/>
        </w:rPr>
        <w:t>朱</w:t>
      </w:r>
      <w:r>
        <w:rPr>
          <w:rFonts w:asciiTheme="minorEastAsia" w:hAnsiTheme="minorEastAsia" w:cs="宋体" w:hint="eastAsia"/>
          <w:color w:val="auto"/>
          <w:sz w:val="24"/>
          <w:szCs w:val="24"/>
        </w:rPr>
        <w:t>小姐</w:t>
      </w:r>
    </w:p>
    <w:p>
      <w:pPr>
        <w:adjustRightInd w:val="0"/>
        <w:snapToGrid w:val="0"/>
        <w:spacing w:line="360" w:lineRule="auto"/>
        <w:ind w:firstLine="420" w:firstLineChars="200"/>
        <w:rPr>
          <w:rFonts w:asciiTheme="minorEastAsia" w:eastAsiaTheme="minorEastAsia" w:hAnsiTheme="minorEastAsia" w:hint="default"/>
          <w:color w:val="auto"/>
          <w:sz w:val="24"/>
          <w:u w:val="single"/>
          <w:lang w:val="en-US" w:eastAsia="zh-CN"/>
        </w:rPr>
      </w:pPr>
      <w:r>
        <w:rPr>
          <w:rFonts w:asciiTheme="minorEastAsia" w:eastAsiaTheme="minorEastAsia" w:hAnsiTheme="minorEastAsia" w:hint="eastAsia"/>
          <w:color w:val="auto"/>
          <w:sz w:val="24"/>
        </w:rPr>
        <w:t>电话：0755-8837 7571或7572转</w:t>
      </w:r>
      <w:r>
        <w:rPr>
          <w:rFonts w:asciiTheme="minorEastAsia" w:eastAsiaTheme="minorEastAsia" w:hAnsiTheme="minorEastAsia" w:hint="eastAsia"/>
          <w:color w:val="auto"/>
          <w:sz w:val="24"/>
          <w:lang w:val="en-US" w:eastAsia="zh-CN"/>
        </w:rPr>
        <w:t>2314</w:t>
      </w:r>
    </w:p>
    <w:p>
      <w:pPr>
        <w:adjustRightInd w:val="0"/>
        <w:snapToGrid w:val="0"/>
        <w:spacing w:line="360" w:lineRule="auto"/>
        <w:ind w:firstLine="420" w:firstLineChars="200"/>
        <w:rPr>
          <w:rFonts w:asciiTheme="minorEastAsia" w:eastAsiaTheme="minorEastAsia" w:hAnsiTheme="minorEastAsia" w:hint="eastAsia"/>
          <w:sz w:val="24"/>
        </w:rPr>
      </w:pPr>
      <w:r>
        <w:rPr>
          <w:rFonts w:asciiTheme="minorEastAsia" w:eastAsiaTheme="minorEastAsia" w:hAnsiTheme="minorEastAsia" w:hint="eastAsia"/>
          <w:sz w:val="24"/>
        </w:rPr>
        <w:t>邮编：518040</w:t>
      </w:r>
    </w:p>
    <w:p>
      <w:pPr>
        <w:adjustRightInd w:val="0"/>
        <w:snapToGrid w:val="0"/>
        <w:spacing w:line="360" w:lineRule="auto"/>
        <w:ind w:firstLine="420" w:firstLineChars="200"/>
        <w:rPr>
          <w:rFonts w:asciiTheme="minorEastAsia" w:eastAsiaTheme="minorEastAsia" w:hAnsiTheme="minorEastAsia"/>
          <w:b/>
          <w:color w:val="595959" w:themeColor="text1" w:themeTint="A6"/>
          <w:sz w:val="24"/>
          <w:u w:val="single"/>
          <w14:textFill>
            <w14:solidFill>
              <w14:schemeClr w14:val="tx1">
                <w14:lumMod w14:val="65000"/>
                <w14:lumOff w14:val="35000"/>
              </w14:schemeClr>
            </w14:solidFill>
          </w14:textFill>
        </w:rPr>
      </w:pPr>
      <w:r>
        <w:rPr>
          <w:rFonts w:asciiTheme="minorEastAsia" w:eastAsiaTheme="minorEastAsia" w:hAnsiTheme="minorEastAsia" w:hint="eastAsia"/>
          <w:sz w:val="24"/>
        </w:rPr>
        <w:t>邮箱：cailiansz@126.com</w:t>
      </w:r>
      <w:bookmarkStart w:id="62" w:name="_Toc435514843"/>
      <w:bookmarkStart w:id="63" w:name="_Toc435115052"/>
    </w:p>
    <w:p>
      <w:pPr>
        <w:pStyle w:val="Heading2"/>
        <w:adjustRightInd w:val="0"/>
        <w:snapToGrid w:val="0"/>
        <w:spacing w:line="360" w:lineRule="auto"/>
        <w:rPr>
          <w:rFonts w:asciiTheme="minorEastAsia" w:eastAsiaTheme="minorEastAsia" w:hAnsiTheme="minorEastAsia" w:cs="宋体"/>
          <w:b w:val="0"/>
          <w:sz w:val="24"/>
          <w:szCs w:val="24"/>
        </w:rPr>
      </w:pPr>
      <w:bookmarkStart w:id="64" w:name="_Toc519"/>
      <w:bookmarkStart w:id="65" w:name="_Toc256000008"/>
      <w:r>
        <w:rPr>
          <w:rFonts w:asciiTheme="minorEastAsia" w:eastAsiaTheme="minorEastAsia" w:hAnsiTheme="minorEastAsia" w:cs="宋体" w:hint="eastAsia"/>
          <w:b w:val="0"/>
          <w:sz w:val="24"/>
          <w:szCs w:val="24"/>
        </w:rPr>
        <w:t>八、招标文件</w:t>
      </w:r>
      <w:bookmarkEnd w:id="65"/>
      <w:bookmarkEnd w:id="64"/>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采购文件szczf：-详见后面附件-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采购文件PDF：-详见后面附件-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采购文件DOC：-详见后面附件-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采购文件附件：（如工程类项目，还包括图纸和工程量清单）-详见后面附件-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通用附件：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1、请下载并使用相应的深圳智慧采购平台投标文件制作专用软件打开招标文件（.szczf格式）。</w:t>
      </w:r>
    </w:p>
    <w:p>
      <w:pPr>
        <w:tabs>
          <w:tab w:val="right" w:pos="9180"/>
        </w:tabs>
        <w:adjustRightInd w:val="0"/>
        <w:snapToGrid w:val="0"/>
        <w:spacing w:line="360" w:lineRule="auto"/>
        <w:ind w:firstLine="435"/>
        <w:jc w:val="left"/>
        <w:rPr>
          <w:rFonts w:asciiTheme="minorEastAsia" w:eastAsiaTheme="minorEastAsia" w:hAnsiTheme="minorEastAsia"/>
          <w:b/>
          <w:color w:val="595959" w:themeColor="text1" w:themeTint="A6"/>
          <w:sz w:val="24"/>
          <w:u w:val="single"/>
          <w14:textFill>
            <w14:solidFill>
              <w14:schemeClr w14:val="tx1">
                <w14:lumMod w14:val="65000"/>
                <w14:lumOff w14:val="35000"/>
              </w14:schemeClr>
            </w14:solidFill>
          </w14:textFill>
        </w:rPr>
      </w:pPr>
      <w:r>
        <w:rPr>
          <w:rFonts w:asciiTheme="minorEastAsia" w:eastAsiaTheme="minorEastAsia" w:hAnsiTheme="minorEastAsia" w:hint="eastAsia"/>
          <w:color w:val="000000"/>
          <w:sz w:val="24"/>
        </w:rPr>
        <w:t>2、供应商端操作手册。</w:t>
      </w:r>
    </w:p>
    <w:p>
      <w:pPr>
        <w:tabs>
          <w:tab w:val="right" w:pos="9180"/>
        </w:tabs>
        <w:adjustRightInd w:val="0"/>
        <w:snapToGrid w:val="0"/>
        <w:spacing w:line="360" w:lineRule="auto"/>
        <w:ind w:firstLine="435"/>
        <w:jc w:val="right"/>
        <w:rPr>
          <w:rFonts w:asciiTheme="minorEastAsia" w:eastAsiaTheme="minorEastAsia" w:hAnsiTheme="minorEastAsia"/>
          <w:b/>
          <w:sz w:val="24"/>
        </w:rPr>
      </w:pPr>
      <w:r>
        <w:rPr>
          <w:rFonts w:asciiTheme="minorEastAsia" w:eastAsiaTheme="minorEastAsia" w:hAnsiTheme="minorEastAsia" w:hint="eastAsia"/>
          <w:b/>
          <w:sz w:val="24"/>
        </w:rPr>
        <w:t>采联国际招标采购集团有限公司</w:t>
      </w:r>
    </w:p>
    <w:p>
      <w:pPr>
        <w:adjustRightInd w:val="0"/>
        <w:snapToGrid w:val="0"/>
        <w:spacing w:line="360" w:lineRule="auto"/>
        <w:ind w:firstLine="435"/>
        <w:jc w:val="righ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z w:val="24"/>
          <w:lang w:val="en-US" w:eastAsia="zh-CN"/>
        </w:rPr>
        <w:t>2023</w:t>
      </w:r>
      <w:r>
        <w:rPr>
          <w:rFonts w:asciiTheme="minorEastAsia" w:eastAsiaTheme="minorEastAsia" w:hAnsiTheme="minorEastAsia" w:hint="eastAsia"/>
          <w:b/>
          <w:sz w:val="24"/>
        </w:rPr>
        <w:t>年</w:t>
      </w:r>
      <w:r>
        <w:rPr>
          <w:rFonts w:asciiTheme="minorEastAsia" w:eastAsiaTheme="minorEastAsia" w:hAnsiTheme="minorEastAsia" w:hint="eastAsia"/>
          <w:b/>
          <w:sz w:val="24"/>
          <w:lang w:val="en-US" w:eastAsia="zh-CN"/>
        </w:rPr>
        <w:t>9</w:t>
      </w:r>
      <w:r>
        <w:rPr>
          <w:rFonts w:asciiTheme="minorEastAsia" w:eastAsiaTheme="minorEastAsia" w:hAnsiTheme="minorEastAsia" w:hint="eastAsia"/>
          <w:b/>
          <w:sz w:val="24"/>
        </w:rPr>
        <w:t>月</w:t>
      </w:r>
      <w:r>
        <w:rPr>
          <w:rFonts w:asciiTheme="minorEastAsia" w:eastAsiaTheme="minorEastAsia" w:hAnsiTheme="minorEastAsia" w:hint="eastAsia"/>
          <w:b/>
          <w:sz w:val="24"/>
          <w:lang w:val="en-US" w:eastAsia="zh-CN"/>
        </w:rPr>
        <w:t>20</w:t>
      </w:r>
      <w:r>
        <w:rPr>
          <w:rFonts w:asciiTheme="minorEastAsia" w:eastAsiaTheme="minorEastAsia" w:hAnsiTheme="minorEastAsia" w:hint="eastAsia"/>
          <w:b/>
          <w:sz w:val="24"/>
        </w:rPr>
        <w:t>日</w:t>
      </w:r>
    </w:p>
    <w:p>
      <w:pPr>
        <w:adjustRightInd w:val="0"/>
        <w:snapToGrid w:val="0"/>
        <w:spacing w:line="360" w:lineRule="auto"/>
        <w:ind w:firstLine="435"/>
        <w:jc w:val="right"/>
        <w:rPr>
          <w:rFonts w:asciiTheme="minorEastAsia" w:eastAsiaTheme="minorEastAsia" w:hAnsiTheme="minorEastAsia"/>
          <w:b/>
          <w:sz w:val="24"/>
        </w:rPr>
      </w:pPr>
    </w:p>
    <w:tbl>
      <w:tblPr>
        <w:tblStyle w:val="TableNormal"/>
        <w:tblW w:w="7382" w:type="dxa"/>
        <w:jc w:val="center"/>
        <w:tblCellSpacing w:w="0" w:type="dxa"/>
        <w:tblLayout w:type="fixed"/>
        <w:tblCellMar>
          <w:top w:w="24" w:type="dxa"/>
          <w:left w:w="24" w:type="dxa"/>
          <w:bottom w:w="24" w:type="dxa"/>
          <w:right w:w="24" w:type="dxa"/>
        </w:tblCellMar>
      </w:tblPr>
      <w:tblGrid>
        <w:gridCol w:w="7382"/>
      </w:tblGrid>
      <w:tr>
        <w:tblPrEx>
          <w:tblW w:w="7382" w:type="dxa"/>
          <w:jc w:val="center"/>
          <w:tblCellSpacing w:w="0" w:type="dxa"/>
          <w:tblLayout w:type="fixed"/>
          <w:tblCellMar>
            <w:top w:w="24" w:type="dxa"/>
            <w:left w:w="24" w:type="dxa"/>
            <w:bottom w:w="24" w:type="dxa"/>
            <w:right w:w="24" w:type="dxa"/>
          </w:tblCellMar>
        </w:tblPrEx>
        <w:trPr>
          <w:tblCellSpacing w:w="0" w:type="dxa"/>
          <w:jc w:val="center"/>
        </w:trPr>
        <w:tc>
          <w:tcPr>
            <w:tcW w:w="7382" w:type="dxa"/>
          </w:tcPr>
          <w:p>
            <w:pPr>
              <w:keepNext w:val="0"/>
              <w:keepLines w:val="0"/>
              <w:widowControl/>
              <w:suppressLineNumbers w:val="0"/>
              <w:spacing w:before="100" w:beforeAutospacing="1" w:after="100" w:afterAutospacing="1"/>
              <w:ind w:left="0" w:right="0"/>
              <w:jc w:val="center"/>
              <w:rPr>
                <w:rFonts w:ascii="仿宋" w:eastAsia="仿宋" w:hAnsi="仿宋" w:cstheme="minorBidi" w:hint="default"/>
                <w:sz w:val="28"/>
                <w:szCs w:val="28"/>
              </w:rPr>
            </w:pPr>
            <w:r>
              <w:rPr>
                <w:rFonts w:ascii="SourceHanSansCN-Regular" w:eastAsia="SourceHanSansCN-Regular" w:hAnsi="SourceHanSansCN-Regular" w:cs="SourceHanSansCN-Regular" w:hint="default"/>
                <w:color w:val="333333"/>
                <w:sz w:val="14"/>
                <w:szCs w:val="14"/>
              </w:rPr>
              <w:drawing>
                <wp:inline distT="0" distB="0" distL="114300" distR="114300">
                  <wp:extent cx="304800" cy="304800"/>
                  <wp:effectExtent l="0" t="0" r="0" b="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xmlns:r="http://schemas.openxmlformats.org/officeDocument/2006/relationships" r:embed="rId10" cstate="print"/>
                          <a:stretch>
                            <a:fillRect/>
                          </a:stretch>
                        </pic:blipFill>
                        <pic:spPr>
                          <a:xfrm>
                            <a:off x="0" y="0"/>
                            <a:ext cx="304800" cy="304800"/>
                          </a:xfrm>
                          <a:prstGeom prst="rect">
                            <a:avLst/>
                          </a:prstGeom>
                          <a:noFill/>
                          <a:ln w="9525">
                            <a:noFill/>
                          </a:ln>
                        </pic:spPr>
                      </pic:pic>
                    </a:graphicData>
                  </a:graphic>
                </wp:inline>
              </w:drawing>
            </w:r>
            <w:r>
              <w:rPr>
                <w:rFonts w:ascii="SourceHanSansCN-Regular" w:eastAsia="SourceHanSansCN-Regular" w:hAnsi="SourceHanSansCN-Regular" w:cs="SourceHanSansCN-Regular" w:hint="default"/>
                <w:color w:val="333333"/>
                <w:sz w:val="14"/>
                <w:szCs w:val="14"/>
              </w:rPr>
              <w:drawing>
                <wp:inline distT="0" distB="0" distL="114300" distR="114300">
                  <wp:extent cx="304800" cy="304800"/>
                  <wp:effectExtent l="0" t="0" r="0" b="0"/>
                  <wp:docPr id="1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xmlns:r="http://schemas.openxmlformats.org/officeDocument/2006/relationships" r:embed="rId10" cstate="print"/>
                          <a:stretch>
                            <a:fillRect/>
                          </a:stretch>
                        </pic:blipFill>
                        <pic:spPr>
                          <a:xfrm>
                            <a:off x="0" y="0"/>
                            <a:ext cx="304800" cy="304800"/>
                          </a:xfrm>
                          <a:prstGeom prst="rect">
                            <a:avLst/>
                          </a:prstGeom>
                          <a:noFill/>
                          <a:ln w="9525">
                            <a:noFill/>
                          </a:ln>
                        </pic:spPr>
                      </pic:pic>
                    </a:graphicData>
                  </a:graphic>
                </wp:inline>
              </w:drawing>
            </w:r>
            <w:r>
              <w:rPr>
                <w:rFonts w:hint="default"/>
              </w:rPr>
              <w:drawing>
                <wp:inline distT="0" distB="0" distL="0" distR="0">
                  <wp:extent cx="3171825" cy="3200400"/>
                  <wp:effectExtent l="0" t="0" r="9525" b="0"/>
                  <wp:docPr id="12" name="图片 12"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QR 代码&#10;&#10;描述已自动生成"/>
                          <pic:cNvPicPr>
                            <a:picLocks noChangeAspect="1"/>
                          </pic:cNvPicPr>
                        </pic:nvPicPr>
                        <pic:blipFill>
                          <a:blip xmlns:r="http://schemas.openxmlformats.org/officeDocument/2006/relationships" r:embed="rId11" cstate="print"/>
                          <a:stretch>
                            <a:fillRect/>
                          </a:stretch>
                        </pic:blipFill>
                        <pic:spPr>
                          <a:xfrm>
                            <a:off x="0" y="0"/>
                            <a:ext cx="3171825" cy="3200400"/>
                          </a:xfrm>
                          <a:prstGeom prst="rect">
                            <a:avLst/>
                          </a:prstGeom>
                        </pic:spPr>
                      </pic:pic>
                    </a:graphicData>
                  </a:graphic>
                </wp:inline>
              </w:drawing>
            </w:r>
          </w:p>
        </w:tc>
      </w:tr>
    </w:tbl>
    <w:p>
      <w:pPr>
        <w:adjustRightInd w:val="0"/>
        <w:snapToGrid w:val="0"/>
        <w:spacing w:line="360" w:lineRule="auto"/>
        <w:ind w:firstLine="435"/>
        <w:jc w:val="right"/>
        <w:rPr>
          <w:rFonts w:asciiTheme="minorEastAsia" w:eastAsiaTheme="minorEastAsia" w:hAnsiTheme="minorEastAsia"/>
          <w:b/>
          <w:bCs/>
          <w:sz w:val="24"/>
        </w:rPr>
      </w:pPr>
      <w:r>
        <w:rPr>
          <w:rFonts w:asciiTheme="minorEastAsia" w:eastAsiaTheme="minorEastAsia" w:hAnsiTheme="minorEastAsia"/>
          <w:b/>
          <w:bCs/>
          <w:sz w:val="24"/>
        </w:rPr>
        <w:br w:type="page"/>
      </w:r>
    </w:p>
    <w:p>
      <w:pPr>
        <w:spacing w:before="156" w:beforeLines="50" w:after="156" w:afterLines="50" w:line="360" w:lineRule="auto"/>
        <w:jc w:val="center"/>
        <w:outlineLvl w:val="0"/>
        <w:rPr>
          <w:color w:val="FF0000"/>
        </w:rPr>
      </w:pPr>
      <w:bookmarkEnd w:id="62"/>
      <w:bookmarkEnd w:id="63"/>
      <w:bookmarkStart w:id="66" w:name="_Toc13067020"/>
      <w:bookmarkStart w:id="67" w:name="_Toc435514849"/>
      <w:bookmarkStart w:id="68" w:name="_Toc435115054"/>
      <w:bookmarkStart w:id="69" w:name="_Toc12124"/>
      <w:bookmarkStart w:id="70" w:name="_Toc256000009"/>
      <w:r>
        <w:rPr>
          <w:rFonts w:hint="eastAsia"/>
          <w:b/>
          <w:bCs/>
          <w:sz w:val="28"/>
          <w:szCs w:val="28"/>
        </w:rPr>
        <w:t>第二章 用户需求书</w:t>
      </w:r>
      <w:bookmarkEnd w:id="70"/>
      <w:bookmarkEnd w:id="66"/>
      <w:bookmarkEnd w:id="67"/>
      <w:bookmarkEnd w:id="68"/>
      <w:bookmarkEnd w:id="69"/>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r>
        <w:rPr>
          <w:rFonts w:asciiTheme="minorEastAsia" w:hAnsiTheme="minorEastAsia" w:hint="eastAsia"/>
          <w:b/>
          <w:sz w:val="24"/>
          <w:szCs w:val="24"/>
        </w:rPr>
        <w:t>有关说明：</w:t>
      </w:r>
    </w:p>
    <w:p>
      <w:pPr>
        <w:numPr>
          <w:ilvl w:val="0"/>
          <w:numId w:val="3"/>
        </w:numPr>
        <w:snapToGrid w:val="0"/>
        <w:spacing w:line="360" w:lineRule="auto"/>
        <w:ind w:left="567" w:hanging="567"/>
        <w:rPr>
          <w:rFonts w:asciiTheme="minorEastAsia" w:eastAsiaTheme="minorEastAsia" w:hAnsiTheme="minorEastAsia" w:cs="宋体"/>
          <w:sz w:val="24"/>
          <w:lang w:eastAsia="zh-TW"/>
        </w:rPr>
      </w:pPr>
      <w:r>
        <w:rPr>
          <w:rFonts w:asciiTheme="minorEastAsia" w:eastAsiaTheme="minorEastAsia" w:hAnsiTheme="minorEastAsia" w:hint="eastAsia"/>
          <w:bCs/>
          <w:sz w:val="24"/>
        </w:rPr>
        <w:t>投标人须对本项目的采购标的进行整体投标，任何只对本项目采购标的其中一部分内容、数量进行的投标都被视为无效投标。</w:t>
      </w:r>
    </w:p>
    <w:p>
      <w:pPr>
        <w:numPr>
          <w:ilvl w:val="0"/>
          <w:numId w:val="3"/>
        </w:numPr>
        <w:snapToGrid w:val="0"/>
        <w:spacing w:line="360" w:lineRule="auto"/>
        <w:ind w:left="567" w:hanging="567"/>
        <w:rPr>
          <w:rFonts w:asciiTheme="minorEastAsia" w:eastAsiaTheme="minorEastAsia" w:hAnsiTheme="minorEastAsia"/>
          <w:bCs/>
          <w:sz w:val="24"/>
        </w:rPr>
      </w:pPr>
      <w:r>
        <w:rPr>
          <w:rFonts w:asciiTheme="minorEastAsia" w:eastAsiaTheme="minorEastAsia" w:hAnsiTheme="minorEastAsia" w:hint="eastAsia"/>
          <w:bCs/>
          <w:sz w:val="24"/>
        </w:rPr>
        <w:t>用户需求书中标注</w:t>
      </w:r>
      <w:r>
        <w:rPr>
          <w:rFonts w:asciiTheme="minorEastAsia" w:eastAsiaTheme="minorEastAsia" w:hAnsiTheme="minorEastAsia"/>
          <w:bCs/>
          <w:sz w:val="24"/>
        </w:rPr>
        <w:t>“</w:t>
      </w:r>
      <w:r>
        <w:rPr>
          <w:rFonts w:asciiTheme="minorEastAsia" w:eastAsiaTheme="minorEastAsia" w:hAnsiTheme="minorEastAsia" w:hint="eastAsia"/>
          <w:bCs/>
          <w:sz w:val="24"/>
        </w:rPr>
        <w:t>★</w:t>
      </w:r>
      <w:r>
        <w:rPr>
          <w:rFonts w:asciiTheme="minorEastAsia" w:eastAsiaTheme="minorEastAsia" w:hAnsiTheme="minorEastAsia"/>
          <w:bCs/>
          <w:sz w:val="24"/>
        </w:rPr>
        <w:t>”</w:t>
      </w:r>
      <w:r>
        <w:rPr>
          <w:rFonts w:asciiTheme="minorEastAsia" w:eastAsiaTheme="minorEastAsia" w:hAnsiTheme="minorEastAsia" w:hint="eastAsia"/>
          <w:bCs/>
          <w:sz w:val="24"/>
        </w:rPr>
        <w:t>号条款为实质性条款，必须逐条进行响应，有任何一条负偏离的，将导致无效投标。</w:t>
      </w:r>
    </w:p>
    <w:p>
      <w:pPr>
        <w:numPr>
          <w:ilvl w:val="0"/>
          <w:numId w:val="3"/>
        </w:numPr>
        <w:snapToGrid w:val="0"/>
        <w:spacing w:line="360" w:lineRule="auto"/>
        <w:ind w:left="567" w:hanging="567"/>
        <w:rPr>
          <w:rFonts w:asciiTheme="minorEastAsia" w:eastAsiaTheme="minorEastAsia" w:hAnsiTheme="minorEastAsia" w:cs="Times New Roman" w:hint="eastAsia"/>
          <w:bCs/>
          <w:sz w:val="24"/>
        </w:rPr>
      </w:pPr>
      <w:r>
        <w:rPr>
          <w:rFonts w:asciiTheme="minorEastAsia" w:eastAsiaTheme="minorEastAsia" w:hAnsiTheme="minorEastAsia" w:cs="Times New Roman" w:hint="eastAsia"/>
          <w:bCs/>
          <w:sz w:val="24"/>
        </w:rPr>
        <w:t>用户需求书中标注“▲”号条款为重要技术参数，但不作为无效投标条款。</w:t>
      </w:r>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bookmarkStart w:id="71" w:name="_Hlk17135609"/>
      <w:r>
        <w:rPr>
          <w:rFonts w:asciiTheme="minorEastAsia" w:hAnsiTheme="minorEastAsia" w:hint="eastAsia"/>
          <w:b/>
          <w:sz w:val="24"/>
          <w:szCs w:val="24"/>
        </w:rPr>
        <w:t>采购项目清单：</w:t>
      </w:r>
    </w:p>
    <w:tbl>
      <w:tblPr>
        <w:tblStyle w:val="TableNormal"/>
        <w:tblW w:w="4995"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86"/>
        <w:gridCol w:w="908"/>
        <w:gridCol w:w="1567"/>
        <w:gridCol w:w="1657"/>
        <w:gridCol w:w="1531"/>
        <w:gridCol w:w="917"/>
        <w:gridCol w:w="1421"/>
      </w:tblGrid>
      <w:tr>
        <w:tblPrEx>
          <w:tblW w:w="4995"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01"/>
        </w:trPr>
        <w:tc>
          <w:tcPr>
            <w:tcW w:w="738" w:type="pct"/>
            <w:tcBorders>
              <w:top w:val="single" w:sz="4" w:space="0" w:color="auto"/>
              <w:left w:val="single" w:sz="4" w:space="0" w:color="auto"/>
              <w:right w:val="single" w:sz="4" w:space="0" w:color="auto"/>
            </w:tcBorders>
            <w:shd w:val="clear" w:color="auto" w:fill="EEECE1"/>
            <w:vAlign w:val="center"/>
          </w:tcPr>
          <w:p>
            <w:pPr>
              <w:keepNext w:val="0"/>
              <w:keepLines w:val="0"/>
              <w:suppressLineNumbers w:val="0"/>
              <w:snapToGrid w:val="0"/>
              <w:spacing w:before="0" w:beforeAutospacing="0" w:after="0" w:afterAutospacing="0"/>
              <w:ind w:left="0" w:right="0"/>
              <w:jc w:val="center"/>
              <w:rPr>
                <w:rFonts w:ascii="宋体" w:hint="default"/>
                <w:b/>
                <w:sz w:val="24"/>
              </w:rPr>
            </w:pPr>
            <w:r>
              <w:rPr>
                <w:rFonts w:ascii="宋体" w:hint="eastAsia"/>
                <w:b/>
                <w:sz w:val="24"/>
              </w:rPr>
              <w:t>采购内容</w:t>
            </w:r>
          </w:p>
        </w:tc>
        <w:tc>
          <w:tcPr>
            <w:tcW w:w="483" w:type="pct"/>
            <w:tcBorders>
              <w:top w:val="single" w:sz="4" w:space="0" w:color="auto"/>
              <w:left w:val="single" w:sz="4" w:space="0" w:color="auto"/>
              <w:right w:val="single" w:sz="4" w:space="0" w:color="auto"/>
            </w:tcBorders>
            <w:shd w:val="clear" w:color="auto" w:fill="EEECE1"/>
            <w:vAlign w:val="center"/>
          </w:tcPr>
          <w:p>
            <w:pPr>
              <w:keepNext w:val="0"/>
              <w:keepLines w:val="0"/>
              <w:suppressLineNumbers w:val="0"/>
              <w:snapToGrid w:val="0"/>
              <w:spacing w:before="0" w:beforeAutospacing="0" w:after="0" w:afterAutospacing="0"/>
              <w:ind w:left="0" w:right="0"/>
              <w:jc w:val="center"/>
              <w:rPr>
                <w:rFonts w:ascii="宋体" w:eastAsia="宋体" w:hint="default"/>
                <w:b/>
                <w:sz w:val="24"/>
                <w:lang w:val="en-US" w:eastAsia="zh-CN"/>
              </w:rPr>
            </w:pPr>
            <w:r>
              <w:rPr>
                <w:rFonts w:ascii="宋体" w:hint="eastAsia"/>
                <w:b/>
                <w:sz w:val="24"/>
              </w:rPr>
              <w:t>数量</w:t>
            </w:r>
            <w:r>
              <w:rPr>
                <w:rFonts w:ascii="宋体" w:hint="eastAsia"/>
                <w:b/>
                <w:sz w:val="24"/>
                <w:lang w:val="en-US" w:eastAsia="zh-CN"/>
              </w:rPr>
              <w:t>/单位</w:t>
            </w:r>
          </w:p>
        </w:tc>
        <w:tc>
          <w:tcPr>
            <w:tcW w:w="834" w:type="pct"/>
            <w:tcBorders>
              <w:top w:val="single" w:sz="4" w:space="0" w:color="auto"/>
              <w:left w:val="single" w:sz="4" w:space="0" w:color="auto"/>
              <w:right w:val="single" w:sz="4" w:space="0" w:color="auto"/>
            </w:tcBorders>
            <w:shd w:val="clear" w:color="auto" w:fill="EEECE1"/>
            <w:vAlign w:val="center"/>
          </w:tcPr>
          <w:p>
            <w:pPr>
              <w:keepNext w:val="0"/>
              <w:keepLines w:val="0"/>
              <w:suppressLineNumbers w:val="0"/>
              <w:snapToGrid w:val="0"/>
              <w:spacing w:before="0" w:beforeAutospacing="0" w:after="0" w:afterAutospacing="0"/>
              <w:ind w:left="0" w:right="0"/>
              <w:jc w:val="center"/>
              <w:rPr>
                <w:rFonts w:ascii="宋体" w:hint="default"/>
                <w:b/>
                <w:sz w:val="24"/>
              </w:rPr>
            </w:pPr>
            <w:r>
              <w:rPr>
                <w:rFonts w:ascii="宋体" w:hAnsi="宋体" w:hint="eastAsia"/>
                <w:b/>
                <w:color w:val="000000" w:themeColor="text1"/>
                <w:sz w:val="24"/>
                <w14:textFill>
                  <w14:solidFill>
                    <w14:schemeClr w14:val="tx1"/>
                  </w14:solidFill>
                </w14:textFill>
              </w:rPr>
              <w:t>预算金额</w:t>
            </w:r>
          </w:p>
        </w:tc>
        <w:tc>
          <w:tcPr>
            <w:tcW w:w="882" w:type="pct"/>
            <w:tcBorders>
              <w:top w:val="single" w:sz="4" w:space="0" w:color="auto"/>
              <w:left w:val="single" w:sz="4" w:space="0" w:color="auto"/>
              <w:right w:val="single" w:sz="4" w:space="0" w:color="auto"/>
            </w:tcBorders>
            <w:shd w:val="clear" w:color="auto" w:fill="EEECE1"/>
            <w:vAlign w:val="center"/>
          </w:tcPr>
          <w:p>
            <w:pPr>
              <w:keepNext w:val="0"/>
              <w:keepLines w:val="0"/>
              <w:suppressLineNumbers w:val="0"/>
              <w:snapToGrid w:val="0"/>
              <w:spacing w:before="0" w:beforeAutospacing="0" w:after="0" w:afterAutospacing="0"/>
              <w:ind w:left="0" w:right="0"/>
              <w:jc w:val="center"/>
              <w:rPr>
                <w:rFonts w:ascii="宋体" w:hint="default"/>
                <w:b/>
                <w:sz w:val="24"/>
              </w:rPr>
            </w:pPr>
            <w:r>
              <w:rPr>
                <w:rFonts w:ascii="宋体" w:hint="eastAsia"/>
                <w:b/>
                <w:sz w:val="24"/>
              </w:rPr>
              <w:t>最高限价</w:t>
            </w:r>
          </w:p>
        </w:tc>
        <w:tc>
          <w:tcPr>
            <w:tcW w:w="815" w:type="pct"/>
            <w:tcBorders>
              <w:top w:val="single" w:sz="4" w:space="0" w:color="auto"/>
              <w:left w:val="single" w:sz="4" w:space="0" w:color="auto"/>
              <w:right w:val="single" w:sz="4" w:space="0" w:color="auto"/>
            </w:tcBorders>
            <w:shd w:val="clear" w:color="auto" w:fill="EEECE1"/>
            <w:vAlign w:val="center"/>
          </w:tcPr>
          <w:p>
            <w:pPr>
              <w:keepNext w:val="0"/>
              <w:keepLines w:val="0"/>
              <w:suppressLineNumbers w:val="0"/>
              <w:snapToGrid w:val="0"/>
              <w:spacing w:before="0" w:beforeAutospacing="0" w:after="0" w:afterAutospacing="0"/>
              <w:ind w:left="0" w:right="0"/>
              <w:jc w:val="center"/>
              <w:rPr>
                <w:rFonts w:ascii="宋体" w:hint="default"/>
                <w:b/>
                <w:sz w:val="24"/>
              </w:rPr>
            </w:pPr>
            <w:r>
              <w:rPr>
                <w:rFonts w:ascii="宋体" w:hint="eastAsia"/>
                <w:b/>
                <w:sz w:val="24"/>
              </w:rPr>
              <w:t>主要标的</w:t>
            </w:r>
          </w:p>
        </w:tc>
        <w:tc>
          <w:tcPr>
            <w:tcW w:w="488" w:type="pct"/>
            <w:tcBorders>
              <w:top w:val="single" w:sz="4" w:space="0" w:color="auto"/>
              <w:left w:val="single" w:sz="4" w:space="0" w:color="auto"/>
              <w:right w:val="single" w:sz="4" w:space="0" w:color="auto"/>
            </w:tcBorders>
            <w:shd w:val="clear" w:color="auto" w:fill="EEECE1"/>
            <w:vAlign w:val="center"/>
          </w:tcPr>
          <w:p>
            <w:pPr>
              <w:keepNext w:val="0"/>
              <w:keepLines w:val="0"/>
              <w:suppressLineNumbers w:val="0"/>
              <w:snapToGrid w:val="0"/>
              <w:spacing w:before="0" w:beforeAutospacing="0" w:after="0" w:afterAutospacing="0"/>
              <w:ind w:left="0" w:right="0"/>
              <w:jc w:val="center"/>
              <w:rPr>
                <w:rFonts w:asciiTheme="minorEastAsia" w:eastAsiaTheme="minorEastAsia" w:hAnsiTheme="minorEastAsia" w:hint="default"/>
                <w:b/>
                <w:bCs/>
                <w:sz w:val="24"/>
              </w:rPr>
            </w:pPr>
            <w:r>
              <w:rPr>
                <w:rFonts w:ascii="宋体" w:hAnsi="宋体" w:hint="eastAsia"/>
                <w:b/>
                <w:color w:val="000000" w:themeColor="text1"/>
                <w:sz w:val="24"/>
                <w14:textFill>
                  <w14:solidFill>
                    <w14:schemeClr w14:val="tx1"/>
                  </w14:solidFill>
                </w14:textFill>
              </w:rPr>
              <w:t>所属行业</w:t>
            </w:r>
          </w:p>
        </w:tc>
        <w:tc>
          <w:tcPr>
            <w:tcW w:w="756" w:type="pct"/>
            <w:tcBorders>
              <w:top w:val="single" w:sz="4" w:space="0" w:color="auto"/>
              <w:left w:val="single" w:sz="4" w:space="0" w:color="auto"/>
              <w:right w:val="single" w:sz="4" w:space="0" w:color="auto"/>
            </w:tcBorders>
            <w:shd w:val="clear" w:color="auto" w:fill="EEECE1"/>
            <w:vAlign w:val="center"/>
          </w:tcPr>
          <w:p>
            <w:pPr>
              <w:keepNext w:val="0"/>
              <w:keepLines w:val="0"/>
              <w:suppressLineNumbers w:val="0"/>
              <w:snapToGrid w:val="0"/>
              <w:spacing w:before="0" w:beforeAutospacing="0" w:after="0" w:afterAutospacing="0"/>
              <w:ind w:left="0" w:right="0"/>
              <w:jc w:val="center"/>
              <w:rPr>
                <w:rFonts w:asciiTheme="minorEastAsia" w:eastAsiaTheme="minorEastAsia" w:hAnsiTheme="minorEastAsia" w:hint="default"/>
                <w:b/>
                <w:bCs/>
                <w:sz w:val="24"/>
              </w:rPr>
            </w:pPr>
            <w:r>
              <w:rPr>
                <w:rFonts w:asciiTheme="minorEastAsia" w:eastAsiaTheme="minorEastAsia" w:hAnsiTheme="minorEastAsia" w:hint="eastAsia"/>
                <w:b/>
                <w:bCs/>
                <w:sz w:val="24"/>
              </w:rPr>
              <w:t>允许采购</w:t>
            </w:r>
          </w:p>
          <w:p>
            <w:pPr>
              <w:keepNext w:val="0"/>
              <w:keepLines w:val="0"/>
              <w:suppressLineNumbers w:val="0"/>
              <w:snapToGrid w:val="0"/>
              <w:spacing w:before="0" w:beforeAutospacing="0" w:after="0" w:afterAutospacing="0"/>
              <w:ind w:left="0" w:right="0"/>
              <w:jc w:val="center"/>
              <w:rPr>
                <w:rFonts w:ascii="宋体" w:hint="default"/>
                <w:b/>
                <w:sz w:val="24"/>
              </w:rPr>
            </w:pPr>
            <w:r>
              <w:rPr>
                <w:rFonts w:asciiTheme="minorEastAsia" w:eastAsiaTheme="minorEastAsia" w:hAnsiTheme="minorEastAsia" w:hint="eastAsia"/>
                <w:b/>
                <w:bCs/>
                <w:sz w:val="24"/>
              </w:rPr>
              <w:t>进口产品</w:t>
            </w:r>
          </w:p>
        </w:tc>
      </w:tr>
      <w:tr>
        <w:tblPrEx>
          <w:tblW w:w="4995" w:type="pct"/>
          <w:tblInd w:w="0" w:type="dxa"/>
          <w:tblLayout w:type="fixed"/>
          <w:tblCellMar>
            <w:top w:w="0" w:type="dxa"/>
            <w:left w:w="108" w:type="dxa"/>
            <w:bottom w:w="0" w:type="dxa"/>
            <w:right w:w="108" w:type="dxa"/>
          </w:tblCellMar>
        </w:tblPrEx>
        <w:trPr>
          <w:cantSplit/>
          <w:trHeight w:val="691"/>
        </w:trPr>
        <w:tc>
          <w:tcPr>
            <w:tcW w:w="738" w:type="pct"/>
            <w:tcBorders>
              <w:left w:val="single" w:sz="4" w:space="0" w:color="auto"/>
              <w:right w:val="single" w:sz="4" w:space="0" w:color="auto"/>
            </w:tcBorders>
            <w:vAlign w:val="center"/>
          </w:tcPr>
          <w:p>
            <w:pPr>
              <w:keepNext w:val="0"/>
              <w:keepLines w:val="0"/>
              <w:suppressLineNumbers w:val="0"/>
              <w:snapToGrid w:val="0"/>
              <w:spacing w:before="0" w:beforeAutospacing="0" w:after="0" w:afterAutospacing="0"/>
              <w:ind w:left="0" w:right="0"/>
              <w:jc w:val="center"/>
              <w:rPr>
                <w:rFonts w:ascii="宋体" w:eastAsia="宋体" w:hint="eastAsia"/>
                <w:bCs/>
                <w:sz w:val="24"/>
                <w:lang w:eastAsia="zh-CN"/>
              </w:rPr>
            </w:pPr>
            <w:r>
              <w:rPr>
                <w:rFonts w:ascii="宋体" w:hint="eastAsia"/>
                <w:bCs/>
                <w:sz w:val="24"/>
                <w:lang w:eastAsia="zh-CN"/>
              </w:rPr>
              <w:t>高级白盒可编程路由器</w:t>
            </w:r>
          </w:p>
        </w:tc>
        <w:tc>
          <w:tcPr>
            <w:tcW w:w="483" w:type="pct"/>
            <w:tcBorders>
              <w:left w:val="single" w:sz="4" w:space="0" w:color="auto"/>
              <w:right w:val="single" w:sz="4" w:space="0" w:color="auto"/>
            </w:tcBorders>
            <w:vAlign w:val="center"/>
          </w:tcPr>
          <w:p>
            <w:pPr>
              <w:keepNext w:val="0"/>
              <w:keepLines w:val="0"/>
              <w:suppressLineNumbers w:val="0"/>
              <w:snapToGrid w:val="0"/>
              <w:spacing w:before="0" w:beforeAutospacing="0" w:after="0" w:afterAutospacing="0"/>
              <w:ind w:left="0" w:right="0"/>
              <w:jc w:val="center"/>
              <w:rPr>
                <w:rFonts w:ascii="宋体" w:eastAsia="宋体" w:hint="default"/>
                <w:bCs/>
                <w:sz w:val="24"/>
                <w:lang w:val="en-US" w:eastAsia="zh-CN"/>
              </w:rPr>
            </w:pPr>
            <w:r>
              <w:rPr>
                <w:rFonts w:ascii="宋体" w:hint="eastAsia"/>
                <w:bCs/>
                <w:sz w:val="24"/>
                <w:lang w:val="en-US" w:eastAsia="zh-CN"/>
              </w:rPr>
              <w:t>5台</w:t>
            </w:r>
          </w:p>
        </w:tc>
        <w:tc>
          <w:tcPr>
            <w:tcW w:w="834" w:type="pct"/>
            <w:tcBorders>
              <w:left w:val="single" w:sz="4" w:space="0" w:color="auto"/>
              <w:right w:val="single" w:sz="4" w:space="0" w:color="auto"/>
            </w:tcBorders>
            <w:vAlign w:val="center"/>
          </w:tcPr>
          <w:p>
            <w:pPr>
              <w:pStyle w:val="a0"/>
              <w:keepLines w:val="0"/>
              <w:suppressLineNumbers w:val="0"/>
              <w:snapToGrid w:val="0"/>
              <w:spacing w:before="0" w:beforeAutospacing="0" w:after="0" w:afterAutospacing="0" w:line="240" w:lineRule="auto"/>
              <w:ind w:left="0" w:right="0"/>
              <w:rPr>
                <w:rFonts w:ascii="宋体" w:eastAsia="宋体" w:hAnsi="宋体" w:hint="default"/>
                <w:snapToGrid/>
                <w:spacing w:val="0"/>
                <w:kern w:val="2"/>
                <w:szCs w:val="24"/>
                <w:lang w:val="en-US" w:eastAsia="zh-CN"/>
              </w:rPr>
            </w:pPr>
            <w:r>
              <w:rPr>
                <w:rFonts w:ascii="宋体" w:eastAsia="宋体" w:hAnsi="宋体" w:cs="宋体" w:hint="eastAsia"/>
                <w:b w:val="0"/>
                <w:bCs w:val="0"/>
                <w:color w:val="auto"/>
                <w:sz w:val="24"/>
                <w:szCs w:val="24"/>
              </w:rPr>
              <w:t>人民币</w:t>
            </w:r>
            <w:r>
              <w:rPr>
                <w:rFonts w:ascii="宋体" w:hAnsi="宋体" w:hint="eastAsia"/>
                <w:snapToGrid/>
                <w:spacing w:val="0"/>
                <w:kern w:val="2"/>
                <w:szCs w:val="24"/>
                <w:lang w:val="en-US" w:eastAsia="zh-CN"/>
              </w:rPr>
              <w:t>1296000.00</w:t>
            </w:r>
            <w:r>
              <w:rPr>
                <w:rFonts w:ascii="宋体" w:eastAsia="宋体" w:hAnsi="宋体" w:cs="宋体" w:hint="eastAsia"/>
                <w:b w:val="0"/>
                <w:bCs w:val="0"/>
                <w:color w:val="auto"/>
                <w:sz w:val="24"/>
                <w:szCs w:val="24"/>
              </w:rPr>
              <w:t>元</w:t>
            </w:r>
          </w:p>
        </w:tc>
        <w:tc>
          <w:tcPr>
            <w:tcW w:w="882" w:type="pct"/>
            <w:tcBorders>
              <w:left w:val="single" w:sz="4" w:space="0" w:color="auto"/>
              <w:right w:val="single" w:sz="4" w:space="0" w:color="auto"/>
            </w:tcBorders>
            <w:vAlign w:val="center"/>
          </w:tcPr>
          <w:p>
            <w:pPr>
              <w:pStyle w:val="a0"/>
              <w:keepLines w:val="0"/>
              <w:suppressLineNumbers w:val="0"/>
              <w:snapToGrid w:val="0"/>
              <w:spacing w:before="0" w:beforeAutospacing="0" w:after="0" w:afterAutospacing="0" w:line="240" w:lineRule="auto"/>
              <w:ind w:left="0" w:right="0"/>
              <w:rPr>
                <w:rFonts w:ascii="宋体" w:hAnsi="宋体" w:hint="default"/>
                <w:snapToGrid/>
                <w:spacing w:val="0"/>
                <w:kern w:val="2"/>
                <w:szCs w:val="24"/>
              </w:rPr>
            </w:pPr>
            <w:r>
              <w:rPr>
                <w:rFonts w:ascii="宋体" w:eastAsia="宋体" w:hAnsi="宋体" w:cs="宋体" w:hint="eastAsia"/>
                <w:b w:val="0"/>
                <w:bCs w:val="0"/>
                <w:color w:val="auto"/>
                <w:sz w:val="24"/>
                <w:szCs w:val="24"/>
              </w:rPr>
              <w:t>人民币</w:t>
            </w:r>
            <w:r>
              <w:rPr>
                <w:rFonts w:ascii="宋体" w:hAnsi="宋体" w:hint="eastAsia"/>
                <w:snapToGrid/>
                <w:spacing w:val="0"/>
                <w:kern w:val="2"/>
                <w:szCs w:val="24"/>
                <w:lang w:val="en-US" w:eastAsia="zh-CN"/>
              </w:rPr>
              <w:t>1296000.00</w:t>
            </w:r>
            <w:r>
              <w:rPr>
                <w:rFonts w:ascii="宋体" w:eastAsia="宋体" w:hAnsi="宋体" w:cs="宋体" w:hint="eastAsia"/>
                <w:b w:val="0"/>
                <w:bCs w:val="0"/>
                <w:color w:val="auto"/>
                <w:sz w:val="24"/>
                <w:szCs w:val="24"/>
              </w:rPr>
              <w:t>元</w:t>
            </w:r>
          </w:p>
        </w:tc>
        <w:tc>
          <w:tcPr>
            <w:tcW w:w="815" w:type="pct"/>
            <w:tcBorders>
              <w:left w:val="single" w:sz="4" w:space="0" w:color="auto"/>
              <w:right w:val="single" w:sz="4" w:space="0" w:color="auto"/>
            </w:tcBorders>
            <w:vAlign w:val="center"/>
          </w:tcPr>
          <w:p>
            <w:pPr>
              <w:pStyle w:val="a0"/>
              <w:keepLines w:val="0"/>
              <w:suppressLineNumbers w:val="0"/>
              <w:snapToGrid w:val="0"/>
              <w:spacing w:before="0" w:beforeAutospacing="0" w:after="0" w:afterAutospacing="0" w:line="240" w:lineRule="auto"/>
              <w:ind w:left="0" w:right="0"/>
              <w:jc w:val="center"/>
              <w:rPr>
                <w:rFonts w:ascii="宋体" w:hAnsi="宋体" w:hint="default"/>
                <w:snapToGrid/>
                <w:spacing w:val="0"/>
                <w:kern w:val="2"/>
                <w:szCs w:val="24"/>
              </w:rPr>
            </w:pPr>
            <w:r>
              <w:rPr>
                <w:rFonts w:ascii="宋体" w:hint="eastAsia"/>
                <w:bCs/>
                <w:sz w:val="24"/>
                <w:lang w:eastAsia="zh-CN"/>
              </w:rPr>
              <w:t>高级白盒可编程路由器</w:t>
            </w:r>
          </w:p>
        </w:tc>
        <w:tc>
          <w:tcPr>
            <w:tcW w:w="488" w:type="pct"/>
            <w:tcBorders>
              <w:left w:val="single" w:sz="4" w:space="0" w:color="auto"/>
              <w:right w:val="single" w:sz="4" w:space="0" w:color="auto"/>
            </w:tcBorders>
            <w:vAlign w:val="center"/>
          </w:tcPr>
          <w:p>
            <w:pPr>
              <w:pStyle w:val="a0"/>
              <w:keepLines w:val="0"/>
              <w:suppressLineNumbers w:val="0"/>
              <w:snapToGrid w:val="0"/>
              <w:spacing w:before="0" w:beforeAutospacing="0" w:after="0" w:afterAutospacing="0" w:line="240" w:lineRule="auto"/>
              <w:ind w:left="0" w:right="0"/>
              <w:jc w:val="center"/>
              <w:rPr>
                <w:rFonts w:ascii="宋体" w:hAnsi="Times New Roman" w:cs="Times New Roman" w:hint="eastAsia"/>
                <w:bCs/>
                <w:sz w:val="24"/>
                <w:lang w:val="en-US" w:eastAsia="zh-CN"/>
              </w:rPr>
            </w:pPr>
            <w:r>
              <w:rPr>
                <w:rFonts w:ascii="宋体" w:hAnsi="Times New Roman" w:cs="Times New Roman" w:hint="eastAsia"/>
                <w:bCs/>
                <w:sz w:val="24"/>
                <w:lang w:val="en-US" w:eastAsia="zh-CN"/>
              </w:rPr>
              <w:t>工业</w:t>
            </w:r>
          </w:p>
        </w:tc>
        <w:tc>
          <w:tcPr>
            <w:tcW w:w="756" w:type="pct"/>
            <w:tcBorders>
              <w:left w:val="single" w:sz="4" w:space="0" w:color="auto"/>
              <w:right w:val="single" w:sz="4" w:space="0" w:color="auto"/>
            </w:tcBorders>
            <w:vAlign w:val="center"/>
          </w:tcPr>
          <w:p>
            <w:pPr>
              <w:pStyle w:val="a0"/>
              <w:keepLines w:val="0"/>
              <w:suppressLineNumbers w:val="0"/>
              <w:snapToGrid w:val="0"/>
              <w:spacing w:before="0" w:beforeAutospacing="0" w:after="0" w:afterAutospacing="0" w:line="240" w:lineRule="auto"/>
              <w:ind w:left="0" w:right="0"/>
              <w:jc w:val="center"/>
              <w:rPr>
                <w:rFonts w:ascii="宋体" w:eastAsia="宋体" w:hAnsi="Times New Roman" w:cs="Times New Roman" w:hint="eastAsia"/>
                <w:bCs/>
                <w:sz w:val="24"/>
                <w:lang w:val="en-US" w:eastAsia="zh-CN"/>
              </w:rPr>
            </w:pPr>
            <w:r>
              <w:rPr>
                <w:rFonts w:ascii="宋体" w:hAnsi="Times New Roman" w:cs="Times New Roman" w:hint="eastAsia"/>
                <w:bCs/>
                <w:sz w:val="24"/>
                <w:lang w:val="en-US" w:eastAsia="zh-CN"/>
              </w:rPr>
              <w:t>否</w:t>
            </w:r>
          </w:p>
        </w:tc>
      </w:tr>
    </w:tbl>
    <w:p>
      <w:pPr>
        <w:pStyle w:val="PlainText"/>
        <w:adjustRightInd w:val="0"/>
        <w:snapToGrid w:val="0"/>
        <w:spacing w:line="360" w:lineRule="auto"/>
        <w:rPr>
          <w:rFonts w:asciiTheme="minorEastAsia" w:hAnsiTheme="minorEastAsia"/>
          <w:bCs/>
          <w:sz w:val="24"/>
        </w:rPr>
      </w:pPr>
      <w:r>
        <w:rPr>
          <w:rFonts w:asciiTheme="minorEastAsia" w:hAnsiTheme="minorEastAsia" w:hint="eastAsia"/>
          <w:bCs/>
          <w:sz w:val="24"/>
        </w:rPr>
        <w:t>备注：</w:t>
      </w:r>
    </w:p>
    <w:p>
      <w:pPr>
        <w:numPr>
          <w:ilvl w:val="0"/>
          <w:numId w:val="4"/>
        </w:numPr>
        <w:snapToGrid w:val="0"/>
        <w:spacing w:line="360" w:lineRule="auto"/>
        <w:ind w:left="590"/>
        <w:rPr>
          <w:rFonts w:asciiTheme="minorEastAsia" w:eastAsiaTheme="minorEastAsia" w:hAnsiTheme="minorEastAsia" w:cs="宋体"/>
          <w:sz w:val="24"/>
          <w:lang w:eastAsia="zh-TW"/>
        </w:rPr>
      </w:pPr>
      <w:r>
        <w:rPr>
          <w:rFonts w:asciiTheme="minorEastAsia" w:eastAsiaTheme="minorEastAsia" w:hAnsiTheme="minorEastAsia" w:cs="宋体" w:hint="eastAsia"/>
          <w:sz w:val="24"/>
          <w:lang w:eastAsia="zh-TW"/>
        </w:rPr>
        <w:t>投标人投标时，采购的主要标的应</w:t>
      </w:r>
      <w:r>
        <w:rPr>
          <w:rFonts w:asciiTheme="minorEastAsia" w:eastAsiaTheme="minorEastAsia" w:hAnsiTheme="minorEastAsia" w:cs="宋体" w:hint="eastAsia"/>
          <w:sz w:val="24"/>
        </w:rPr>
        <w:t>在《开标一览表》或</w:t>
      </w:r>
      <w:r>
        <w:rPr>
          <w:rFonts w:asciiTheme="minorEastAsia" w:eastAsiaTheme="minorEastAsia" w:hAnsiTheme="minorEastAsia" w:cs="宋体" w:hint="eastAsia"/>
          <w:sz w:val="24"/>
          <w:lang w:eastAsia="zh-TW"/>
        </w:rPr>
        <w:t>《投标分项报价表》清晰列明“产品名称、规格型号、单价、数量”。</w:t>
      </w:r>
    </w:p>
    <w:p>
      <w:pPr>
        <w:numPr>
          <w:ilvl w:val="0"/>
          <w:numId w:val="4"/>
        </w:numPr>
        <w:snapToGrid w:val="0"/>
        <w:spacing w:line="360" w:lineRule="auto"/>
        <w:ind w:left="590"/>
        <w:rPr>
          <w:rFonts w:asciiTheme="minorEastAsia" w:eastAsiaTheme="minorEastAsia" w:hAnsiTheme="minorEastAsia" w:cs="宋体"/>
          <w:color w:val="auto"/>
          <w:sz w:val="24"/>
          <w:lang w:eastAsia="zh-TW"/>
        </w:rPr>
      </w:pPr>
      <w:r>
        <w:rPr>
          <w:rFonts w:asciiTheme="minorEastAsia" w:eastAsiaTheme="minorEastAsia" w:hAnsiTheme="minorEastAsia" w:cs="宋体" w:hint="eastAsia"/>
          <w:sz w:val="24"/>
          <w:lang w:eastAsia="zh-TW"/>
        </w:rPr>
        <w:t>投标人投标时，</w:t>
      </w:r>
      <w:r>
        <w:rPr>
          <w:rFonts w:asciiTheme="minorEastAsia" w:eastAsiaTheme="minorEastAsia" w:hAnsiTheme="minorEastAsia" w:cs="宋体" w:hint="eastAsia"/>
          <w:sz w:val="24"/>
        </w:rPr>
        <w:t>采购的核心产品</w:t>
      </w:r>
      <w:r>
        <w:rPr>
          <w:rFonts w:asciiTheme="minorEastAsia" w:eastAsiaTheme="minorEastAsia" w:hAnsiTheme="minorEastAsia" w:cs="宋体" w:hint="eastAsia"/>
          <w:sz w:val="24"/>
          <w:lang w:eastAsia="zh-TW"/>
        </w:rPr>
        <w:t>应在</w:t>
      </w:r>
      <w:r>
        <w:rPr>
          <w:rFonts w:asciiTheme="minorEastAsia" w:eastAsiaTheme="minorEastAsia" w:hAnsiTheme="minorEastAsia" w:cs="宋体" w:hint="eastAsia"/>
          <w:sz w:val="24"/>
        </w:rPr>
        <w:t>《开标一览表》或</w:t>
      </w:r>
      <w:r>
        <w:rPr>
          <w:rFonts w:asciiTheme="minorEastAsia" w:eastAsiaTheme="minorEastAsia" w:hAnsiTheme="minorEastAsia" w:cs="宋体" w:hint="eastAsia"/>
          <w:sz w:val="24"/>
          <w:lang w:eastAsia="zh-TW"/>
        </w:rPr>
        <w:t>《投标分项报价表》中清晰列明“产品</w:t>
      </w:r>
      <w:r>
        <w:rPr>
          <w:rFonts w:asciiTheme="minorEastAsia" w:eastAsiaTheme="minorEastAsia" w:hAnsiTheme="minorEastAsia" w:cs="宋体" w:hint="eastAsia"/>
          <w:color w:val="auto"/>
          <w:sz w:val="24"/>
          <w:lang w:eastAsia="zh-TW"/>
        </w:rPr>
        <w:t>名称、品牌”</w:t>
      </w:r>
      <w:r>
        <w:rPr>
          <w:rFonts w:asciiTheme="minorEastAsia" w:eastAsiaTheme="minorEastAsia" w:hAnsiTheme="minorEastAsia" w:cs="宋体" w:hint="eastAsia"/>
          <w:color w:val="auto"/>
          <w:sz w:val="24"/>
        </w:rPr>
        <w:t>，</w:t>
      </w:r>
      <w:r>
        <w:rPr>
          <w:rFonts w:asciiTheme="minorEastAsia" w:eastAsiaTheme="minorEastAsia" w:hAnsiTheme="minorEastAsia" w:cs="宋体" w:hint="eastAsia"/>
          <w:color w:val="auto"/>
          <w:sz w:val="24"/>
          <w:lang w:eastAsia="zh-TW"/>
        </w:rPr>
        <w:t>否则，视为无效投标。</w:t>
      </w:r>
      <w:bookmarkEnd w:id="71"/>
    </w:p>
    <w:p>
      <w:pPr>
        <w:pStyle w:val="PlainText"/>
        <w:numPr>
          <w:ilvl w:val="0"/>
          <w:numId w:val="2"/>
        </w:numPr>
        <w:tabs>
          <w:tab w:val="left" w:pos="540"/>
        </w:tabs>
        <w:adjustRightInd w:val="0"/>
        <w:snapToGrid w:val="0"/>
        <w:spacing w:line="360" w:lineRule="auto"/>
        <w:rPr>
          <w:rFonts w:hAnsi="宋体"/>
          <w:b/>
          <w:color w:val="auto"/>
          <w:sz w:val="24"/>
          <w:szCs w:val="24"/>
        </w:rPr>
      </w:pPr>
      <w:bookmarkStart w:id="72" w:name="_Hlk17136717"/>
      <w:r>
        <w:rPr>
          <w:rFonts w:hAnsi="宋体" w:hint="eastAsia"/>
          <w:b/>
          <w:color w:val="auto"/>
          <w:sz w:val="24"/>
          <w:szCs w:val="24"/>
        </w:rPr>
        <w:t>技术</w:t>
      </w:r>
      <w:bookmarkStart w:id="73" w:name="_Hlk30666195"/>
      <w:r>
        <w:rPr>
          <w:rFonts w:hAnsi="宋体" w:hint="eastAsia"/>
          <w:b/>
          <w:color w:val="auto"/>
          <w:sz w:val="24"/>
          <w:szCs w:val="24"/>
          <w:lang w:val="en-US" w:eastAsia="zh-CN"/>
        </w:rPr>
        <w:t>要求：</w:t>
      </w:r>
    </w:p>
    <w:p>
      <w:pPr>
        <w:pStyle w:val="PlainText"/>
        <w:numPr>
          <w:ilvl w:val="0"/>
          <w:numId w:val="5"/>
        </w:numPr>
        <w:tabs>
          <w:tab w:val="clear" w:pos="312"/>
          <w:tab w:val="left" w:pos="540"/>
        </w:tabs>
        <w:adjustRightInd w:val="0"/>
        <w:snapToGrid w:val="0"/>
        <w:spacing w:line="360" w:lineRule="auto"/>
        <w:ind w:leftChars="0"/>
        <w:rPr>
          <w:rFonts w:asciiTheme="minorEastAsia" w:hAnsiTheme="minorEastAsia" w:hint="eastAsia"/>
          <w:b/>
          <w:color w:val="auto"/>
          <w:sz w:val="24"/>
          <w:szCs w:val="24"/>
        </w:rPr>
      </w:pPr>
      <w:r>
        <w:rPr>
          <w:rFonts w:asciiTheme="minorEastAsia" w:hAnsiTheme="minorEastAsia" w:hint="eastAsia"/>
          <w:b/>
          <w:color w:val="auto"/>
          <w:sz w:val="24"/>
          <w:szCs w:val="24"/>
        </w:rPr>
        <w:t>货物需求一览表</w:t>
      </w:r>
    </w:p>
    <w:tbl>
      <w:tblPr>
        <w:tblStyle w:val="TableNormal"/>
        <w:tblW w:w="49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2634"/>
        <w:gridCol w:w="1174"/>
        <w:gridCol w:w="895"/>
        <w:gridCol w:w="2240"/>
        <w:gridCol w:w="2242"/>
      </w:tblGrid>
      <w:tr>
        <w:tblPrEx>
          <w:tblW w:w="499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570"/>
          <w:tblHeader/>
        </w:trPr>
        <w:tc>
          <w:tcPr>
            <w:tcW w:w="1433" w:type="pct"/>
            <w:noWrap/>
            <w:tcMar>
              <w:top w:w="15" w:type="dxa"/>
              <w:left w:w="15" w:type="dxa"/>
              <w:bottom w:w="0" w:type="dxa"/>
              <w:right w:w="15" w:type="dxa"/>
            </w:tcMar>
            <w:vAlign w:val="center"/>
          </w:tcPr>
          <w:p>
            <w:pPr>
              <w:jc w:val="center"/>
              <w:rPr>
                <w:rFonts w:ascii="宋体" w:eastAsia="宋体" w:hAnsi="宋体" w:cs="宋体" w:hint="eastAsia"/>
                <w:b/>
                <w:bCs/>
                <w:sz w:val="24"/>
                <w:szCs w:val="24"/>
              </w:rPr>
            </w:pPr>
            <w:r>
              <w:rPr>
                <w:rFonts w:ascii="宋体" w:eastAsia="宋体" w:hAnsi="宋体" w:cs="宋体" w:hint="eastAsia"/>
                <w:b/>
                <w:bCs/>
                <w:sz w:val="24"/>
                <w:szCs w:val="24"/>
              </w:rPr>
              <w:t>货物名称</w:t>
            </w:r>
          </w:p>
        </w:tc>
        <w:tc>
          <w:tcPr>
            <w:tcW w:w="639" w:type="pct"/>
            <w:vAlign w:val="center"/>
          </w:tcPr>
          <w:p>
            <w:pPr>
              <w:jc w:val="center"/>
              <w:rPr>
                <w:rFonts w:ascii="宋体" w:eastAsia="宋体" w:hAnsi="宋体" w:cs="宋体" w:hint="eastAsia"/>
                <w:b/>
                <w:bCs/>
                <w:sz w:val="24"/>
                <w:szCs w:val="24"/>
              </w:rPr>
            </w:pPr>
            <w:r>
              <w:rPr>
                <w:rFonts w:ascii="宋体" w:eastAsia="宋体" w:hAnsi="宋体" w:cs="宋体" w:hint="eastAsia"/>
                <w:b/>
                <w:bCs/>
                <w:sz w:val="24"/>
                <w:szCs w:val="24"/>
              </w:rPr>
              <w:t>数量</w:t>
            </w:r>
          </w:p>
        </w:tc>
        <w:tc>
          <w:tcPr>
            <w:tcW w:w="487" w:type="pct"/>
            <w:vAlign w:val="center"/>
          </w:tcPr>
          <w:p>
            <w:pPr>
              <w:jc w:val="center"/>
              <w:rPr>
                <w:rFonts w:ascii="宋体" w:eastAsia="宋体" w:hAnsi="宋体" w:cs="宋体" w:hint="eastAsia"/>
                <w:b/>
                <w:bCs/>
                <w:sz w:val="24"/>
                <w:szCs w:val="24"/>
              </w:rPr>
            </w:pPr>
            <w:r>
              <w:rPr>
                <w:rFonts w:ascii="宋体" w:eastAsia="宋体" w:hAnsi="宋体" w:cs="宋体" w:hint="eastAsia"/>
                <w:b/>
                <w:bCs/>
                <w:sz w:val="24"/>
                <w:szCs w:val="24"/>
              </w:rPr>
              <w:t>单位</w:t>
            </w:r>
          </w:p>
        </w:tc>
        <w:tc>
          <w:tcPr>
            <w:tcW w:w="1219" w:type="pct"/>
            <w:vAlign w:val="center"/>
          </w:tcPr>
          <w:p>
            <w:pPr>
              <w:jc w:val="center"/>
              <w:rPr>
                <w:rFonts w:ascii="宋体" w:eastAsia="宋体" w:hAnsi="宋体" w:cs="宋体" w:hint="eastAsia"/>
                <w:b/>
                <w:bCs/>
                <w:sz w:val="24"/>
                <w:szCs w:val="24"/>
              </w:rPr>
            </w:pPr>
            <w:r>
              <w:rPr>
                <w:rFonts w:ascii="宋体" w:eastAsia="宋体" w:hAnsi="宋体" w:cs="宋体" w:hint="eastAsia"/>
                <w:b/>
                <w:bCs/>
                <w:sz w:val="24"/>
                <w:szCs w:val="24"/>
              </w:rPr>
              <w:t>最高单价限价</w:t>
            </w:r>
          </w:p>
        </w:tc>
        <w:tc>
          <w:tcPr>
            <w:tcW w:w="1220" w:type="pct"/>
            <w:vAlign w:val="center"/>
          </w:tcPr>
          <w:p>
            <w:pPr>
              <w:jc w:val="center"/>
              <w:rPr>
                <w:rFonts w:ascii="宋体" w:eastAsia="宋体" w:hAnsi="宋体" w:cs="宋体" w:hint="eastAsia"/>
                <w:b/>
                <w:bCs/>
                <w:sz w:val="24"/>
                <w:szCs w:val="24"/>
              </w:rPr>
            </w:pPr>
            <w:r>
              <w:rPr>
                <w:rFonts w:ascii="宋体" w:eastAsia="宋体" w:hAnsi="宋体" w:cs="宋体" w:hint="eastAsia"/>
                <w:b/>
                <w:bCs/>
                <w:sz w:val="24"/>
                <w:szCs w:val="24"/>
              </w:rPr>
              <w:t>备注</w:t>
            </w:r>
          </w:p>
        </w:tc>
      </w:tr>
      <w:tr>
        <w:tblPrEx>
          <w:tblW w:w="4992" w:type="pct"/>
          <w:tblInd w:w="0" w:type="dxa"/>
          <w:tblCellMar>
            <w:top w:w="0" w:type="dxa"/>
            <w:left w:w="0" w:type="dxa"/>
            <w:bottom w:w="0" w:type="dxa"/>
            <w:right w:w="0" w:type="dxa"/>
          </w:tblCellMar>
        </w:tblPrEx>
        <w:trPr>
          <w:trHeight w:val="90"/>
        </w:trPr>
        <w:tc>
          <w:tcPr>
            <w:tcW w:w="1433" w:type="pct"/>
            <w:tcMar>
              <w:top w:w="15" w:type="dxa"/>
              <w:left w:w="15" w:type="dxa"/>
              <w:bottom w:w="0" w:type="dxa"/>
              <w:right w:w="15" w:type="dxa"/>
            </w:tcMar>
            <w:vAlign w:val="center"/>
          </w:tcPr>
          <w:p>
            <w:pPr>
              <w:pStyle w:val="TOC1"/>
              <w:jc w:val="center"/>
              <w:rPr>
                <w:rFonts w:ascii="宋体" w:eastAsia="宋体" w:hAnsi="宋体" w:cs="宋体" w:hint="eastAsia"/>
                <w:b w:val="0"/>
                <w:bCs w:val="0"/>
                <w:color w:val="auto"/>
                <w:sz w:val="24"/>
                <w:szCs w:val="24"/>
                <w:lang w:eastAsia="zh-CN"/>
              </w:rPr>
            </w:pPr>
            <w:r>
              <w:rPr>
                <w:rFonts w:ascii="宋体" w:hAnsi="宋体" w:cs="宋体" w:hint="eastAsia"/>
                <w:b w:val="0"/>
                <w:bCs w:val="0"/>
                <w:color w:val="auto"/>
                <w:sz w:val="24"/>
                <w:szCs w:val="24"/>
                <w:lang w:eastAsia="zh-CN"/>
              </w:rPr>
              <w:t>高级白盒可编程路由器</w:t>
            </w:r>
          </w:p>
        </w:tc>
        <w:tc>
          <w:tcPr>
            <w:tcW w:w="639" w:type="pct"/>
            <w:vAlign w:val="center"/>
          </w:tcPr>
          <w:p>
            <w:pPr>
              <w:pStyle w:val="Date"/>
              <w:spacing w:line="360" w:lineRule="auto"/>
              <w:jc w:val="center"/>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5</w:t>
            </w:r>
          </w:p>
        </w:tc>
        <w:tc>
          <w:tcPr>
            <w:tcW w:w="487" w:type="pct"/>
            <w:vAlign w:val="center"/>
          </w:tcPr>
          <w:p>
            <w:pPr>
              <w:spacing w:line="360" w:lineRule="auto"/>
              <w:jc w:val="center"/>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台</w:t>
            </w:r>
          </w:p>
        </w:tc>
        <w:tc>
          <w:tcPr>
            <w:tcW w:w="1219" w:type="pct"/>
            <w:vAlign w:val="center"/>
          </w:tcPr>
          <w:p>
            <w:pPr>
              <w:pStyle w:val="TOC1"/>
              <w:jc w:val="center"/>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人民币</w:t>
            </w:r>
            <w:r>
              <w:rPr>
                <w:rFonts w:ascii="宋体" w:hAnsi="宋体" w:cs="宋体" w:hint="eastAsia"/>
                <w:b w:val="0"/>
                <w:bCs w:val="0"/>
                <w:color w:val="auto"/>
                <w:sz w:val="24"/>
                <w:szCs w:val="24"/>
                <w:lang w:val="en-US" w:eastAsia="zh-CN"/>
              </w:rPr>
              <w:t>2592</w:t>
            </w:r>
            <w:r>
              <w:rPr>
                <w:rFonts w:ascii="宋体" w:eastAsia="宋体" w:hAnsi="宋体" w:cs="宋体" w:hint="eastAsia"/>
                <w:b w:val="0"/>
                <w:bCs w:val="0"/>
                <w:color w:val="auto"/>
                <w:sz w:val="24"/>
                <w:szCs w:val="24"/>
              </w:rPr>
              <w:t>00.00元</w:t>
            </w:r>
          </w:p>
        </w:tc>
        <w:tc>
          <w:tcPr>
            <w:tcW w:w="1220" w:type="pct"/>
            <w:vAlign w:val="center"/>
          </w:tcPr>
          <w:p>
            <w:pPr>
              <w:pStyle w:val="TOC1"/>
              <w:jc w:val="center"/>
              <w:rPr>
                <w:rFonts w:ascii="宋体" w:eastAsia="宋体" w:hAnsi="宋体" w:cs="宋体" w:hint="eastAsia"/>
                <w:b w:val="0"/>
                <w:bCs w:val="0"/>
                <w:color w:val="auto"/>
                <w:sz w:val="24"/>
                <w:szCs w:val="24"/>
              </w:rPr>
            </w:pPr>
          </w:p>
        </w:tc>
      </w:tr>
    </w:tbl>
    <w:p>
      <w:pPr>
        <w:pStyle w:val="PlainText"/>
        <w:numPr>
          <w:ilvl w:val="0"/>
          <w:numId w:val="5"/>
        </w:numPr>
        <w:tabs>
          <w:tab w:val="clear" w:pos="312"/>
          <w:tab w:val="left" w:pos="540"/>
        </w:tabs>
        <w:adjustRightInd w:val="0"/>
        <w:snapToGrid w:val="0"/>
        <w:spacing w:line="360" w:lineRule="auto"/>
        <w:ind w:leftChars="0"/>
        <w:rPr>
          <w:rFonts w:asciiTheme="minorEastAsia" w:hAnsiTheme="minorEastAsia"/>
          <w:b/>
          <w:color w:val="auto"/>
          <w:sz w:val="24"/>
          <w:szCs w:val="24"/>
        </w:rPr>
      </w:pPr>
      <w:r>
        <w:rPr>
          <w:rFonts w:asciiTheme="minorEastAsia" w:hAnsiTheme="minorEastAsia" w:hint="eastAsia"/>
          <w:b/>
          <w:color w:val="auto"/>
          <w:sz w:val="24"/>
          <w:szCs w:val="24"/>
        </w:rPr>
        <w:t>技术参数</w:t>
      </w:r>
    </w:p>
    <w:tbl>
      <w:tblPr>
        <w:tblStyle w:val="TableNormal"/>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08"/>
        <w:gridCol w:w="7684"/>
      </w:tblGrid>
      <w:tr>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53"/>
          <w:jc w:val="center"/>
        </w:trPr>
        <w:tc>
          <w:tcPr>
            <w:tcW w:w="909" w:type="pct"/>
            <w:vMerge w:val="restart"/>
            <w:vAlign w:val="center"/>
          </w:tcPr>
          <w:p>
            <w:pPr>
              <w:adjustRightInd w:val="0"/>
              <w:snapToGrid w:val="0"/>
              <w:rPr>
                <w:rFonts w:ascii="宋体" w:eastAsia="宋体" w:hAnsi="宋体" w:cs="宋体" w:hint="eastAsia"/>
                <w:sz w:val="24"/>
                <w:szCs w:val="24"/>
              </w:rPr>
            </w:pPr>
          </w:p>
          <w:p>
            <w:pPr>
              <w:adjustRightInd w:val="0"/>
              <w:snapToGrid w:val="0"/>
              <w:jc w:val="center"/>
              <w:rPr>
                <w:rFonts w:ascii="宋体" w:eastAsia="宋体" w:hAnsi="宋体" w:cs="宋体" w:hint="eastAsia"/>
                <w:sz w:val="24"/>
                <w:szCs w:val="24"/>
              </w:rPr>
            </w:pPr>
            <w:r>
              <w:rPr>
                <w:rFonts w:ascii="宋体" w:eastAsia="宋体" w:hAnsi="宋体" w:cs="宋体" w:hint="eastAsia"/>
                <w:sz w:val="24"/>
                <w:szCs w:val="24"/>
              </w:rPr>
              <w:t>高级白盒可编程路由器</w:t>
            </w:r>
          </w:p>
        </w:tc>
        <w:tc>
          <w:tcPr>
            <w:tcW w:w="4090" w:type="pct"/>
            <w:vAlign w:val="center"/>
          </w:tcPr>
          <w:p>
            <w:pPr>
              <w:widowControl/>
              <w:spacing w:line="300" w:lineRule="auto"/>
              <w:jc w:val="left"/>
              <w:textAlignment w:val="baseline"/>
              <w:rPr>
                <w:rFonts w:ascii="宋体" w:eastAsia="宋体" w:hAnsi="宋体" w:cs="宋体" w:hint="eastAsia"/>
                <w:bCs/>
                <w:sz w:val="24"/>
                <w:szCs w:val="24"/>
              </w:rPr>
            </w:pPr>
            <w:r>
              <w:rPr>
                <w:rFonts w:ascii="宋体" w:eastAsia="宋体" w:hAnsi="宋体" w:cs="宋体" w:hint="eastAsia"/>
                <w:bCs/>
                <w:sz w:val="24"/>
                <w:szCs w:val="24"/>
              </w:rPr>
              <w:t>2.1  核心参数：</w:t>
            </w:r>
          </w:p>
          <w:p>
            <w:pPr>
              <w:widowControl/>
              <w:spacing w:line="300" w:lineRule="auto"/>
              <w:jc w:val="left"/>
              <w:textAlignment w:val="baseline"/>
              <w:rPr>
                <w:rFonts w:ascii="宋体" w:eastAsia="宋体" w:hAnsi="宋体" w:cs="宋体" w:hint="eastAsia"/>
                <w:bCs/>
                <w:sz w:val="24"/>
                <w:szCs w:val="24"/>
              </w:rPr>
            </w:pPr>
            <w:r>
              <w:rPr>
                <w:rFonts w:ascii="宋体" w:eastAsia="宋体" w:hAnsi="宋体" w:cs="宋体" w:hint="eastAsia"/>
                <w:b w:val="0"/>
                <w:bCs/>
                <w:sz w:val="24"/>
                <w:szCs w:val="24"/>
              </w:rPr>
              <w:t>★</w:t>
            </w:r>
            <w:r>
              <w:rPr>
                <w:rFonts w:ascii="宋体" w:eastAsia="宋体" w:hAnsi="宋体" w:cs="宋体" w:hint="eastAsia"/>
                <w:bCs/>
                <w:sz w:val="24"/>
                <w:szCs w:val="24"/>
              </w:rPr>
              <w:t xml:space="preserve">2.1.1.≥40 x 100GE QSFP28 网络接口(NIF) </w:t>
            </w:r>
            <w:r>
              <w:rPr>
                <w:rFonts w:ascii="宋体" w:eastAsia="宋体" w:hAnsi="宋体" w:cs="宋体" w:hint="eastAsia"/>
                <w:b/>
                <w:bCs w:val="0"/>
                <w:sz w:val="24"/>
                <w:szCs w:val="24"/>
                <w:lang w:eastAsia="zh-CN"/>
              </w:rPr>
              <w:t>（</w:t>
            </w:r>
            <w:r>
              <w:rPr>
                <w:rFonts w:ascii="宋体" w:eastAsia="宋体" w:hAnsi="宋体" w:cs="宋体" w:hint="eastAsia"/>
                <w:b/>
                <w:bCs w:val="0"/>
                <w:sz w:val="24"/>
                <w:szCs w:val="24"/>
                <w:lang w:val="en-US" w:eastAsia="zh-CN"/>
              </w:rPr>
              <w:t>提供官网技术资料截图或公开发行的技术彩页证明扫描件，原件备查。</w:t>
            </w:r>
            <w:r>
              <w:rPr>
                <w:rFonts w:ascii="宋体" w:eastAsia="宋体" w:hAnsi="宋体" w:cs="宋体" w:hint="eastAsia"/>
                <w:b/>
                <w:bCs w:val="0"/>
                <w:sz w:val="24"/>
                <w:szCs w:val="24"/>
                <w:lang w:eastAsia="zh-CN"/>
              </w:rPr>
              <w:t>）</w:t>
            </w:r>
          </w:p>
        </w:tc>
      </w:tr>
      <w:tr>
        <w:tblPrEx>
          <w:tblW w:w="4998" w:type="pct"/>
          <w:jc w:val="center"/>
          <w:tblCellMar>
            <w:top w:w="0" w:type="dxa"/>
            <w:left w:w="108" w:type="dxa"/>
            <w:bottom w:w="0" w:type="dxa"/>
            <w:right w:w="108" w:type="dxa"/>
          </w:tblCellMar>
        </w:tblPrEx>
        <w:trPr>
          <w:trHeight w:val="953"/>
          <w:jc w:val="center"/>
        </w:trPr>
        <w:tc>
          <w:tcPr>
            <w:tcW w:w="909" w:type="pct"/>
            <w:vMerge/>
            <w:vAlign w:val="center"/>
          </w:tcPr>
          <w:p>
            <w:pPr>
              <w:adjustRightInd w:val="0"/>
              <w:snapToGrid w:val="0"/>
              <w:jc w:val="center"/>
              <w:rPr>
                <w:rFonts w:ascii="宋体" w:eastAsia="宋体" w:hAnsi="宋体" w:cs="宋体" w:hint="eastAsia"/>
                <w:sz w:val="24"/>
                <w:szCs w:val="24"/>
              </w:rPr>
            </w:pPr>
          </w:p>
        </w:tc>
        <w:tc>
          <w:tcPr>
            <w:tcW w:w="4090" w:type="pct"/>
            <w:vAlign w:val="center"/>
          </w:tcPr>
          <w:p>
            <w:pPr>
              <w:widowControl/>
              <w:spacing w:line="300" w:lineRule="auto"/>
              <w:jc w:val="left"/>
              <w:textAlignment w:val="baseline"/>
              <w:rPr>
                <w:rFonts w:ascii="宋体" w:eastAsia="宋体" w:hAnsi="宋体" w:cs="宋体" w:hint="eastAsia"/>
                <w:b w:val="0"/>
                <w:bCs/>
                <w:sz w:val="24"/>
                <w:szCs w:val="24"/>
              </w:rPr>
            </w:pPr>
            <w:r>
              <w:rPr>
                <w:rFonts w:ascii="宋体" w:eastAsia="宋体" w:hAnsi="宋体" w:cs="宋体" w:hint="eastAsia"/>
                <w:b w:val="0"/>
                <w:bCs/>
                <w:sz w:val="24"/>
                <w:szCs w:val="24"/>
              </w:rPr>
              <w:t>★</w:t>
            </w:r>
            <w:r>
              <w:rPr>
                <w:rFonts w:ascii="宋体" w:eastAsia="宋体" w:hAnsi="宋体" w:cs="宋体" w:hint="eastAsia"/>
                <w:bCs/>
                <w:sz w:val="24"/>
                <w:szCs w:val="24"/>
              </w:rPr>
              <w:t xml:space="preserve">2.1.2.≥13 x 400GE QSFP-DD 光纤接口 (FIF) </w:t>
            </w:r>
            <w:r>
              <w:rPr>
                <w:rFonts w:ascii="宋体" w:eastAsia="宋体" w:hAnsi="宋体" w:cs="宋体" w:hint="eastAsia"/>
                <w:b/>
                <w:bCs w:val="0"/>
                <w:sz w:val="24"/>
                <w:szCs w:val="24"/>
                <w:lang w:eastAsia="zh-CN"/>
              </w:rPr>
              <w:t>（</w:t>
            </w:r>
            <w:r>
              <w:rPr>
                <w:rFonts w:ascii="宋体" w:eastAsia="宋体" w:hAnsi="宋体" w:cs="宋体" w:hint="eastAsia"/>
                <w:b/>
                <w:bCs w:val="0"/>
                <w:sz w:val="24"/>
                <w:szCs w:val="24"/>
                <w:lang w:val="en-US" w:eastAsia="zh-CN"/>
              </w:rPr>
              <w:t>提供官网技术资料截图或公开发行的技术彩页证明扫描件，原件备查。</w:t>
            </w:r>
            <w:r>
              <w:rPr>
                <w:rFonts w:ascii="宋体" w:eastAsia="宋体" w:hAnsi="宋体" w:cs="宋体" w:hint="eastAsia"/>
                <w:b/>
                <w:bCs w:val="0"/>
                <w:sz w:val="24"/>
                <w:szCs w:val="24"/>
                <w:lang w:eastAsia="zh-CN"/>
              </w:rPr>
              <w:t>）</w:t>
            </w:r>
          </w:p>
        </w:tc>
      </w:tr>
      <w:tr>
        <w:tblPrEx>
          <w:tblW w:w="4998" w:type="pct"/>
          <w:jc w:val="center"/>
          <w:tblCellMar>
            <w:top w:w="0" w:type="dxa"/>
            <w:left w:w="108" w:type="dxa"/>
            <w:bottom w:w="0" w:type="dxa"/>
            <w:right w:w="108" w:type="dxa"/>
          </w:tblCellMar>
        </w:tblPrEx>
        <w:trPr>
          <w:trHeight w:val="510"/>
          <w:jc w:val="center"/>
        </w:trPr>
        <w:tc>
          <w:tcPr>
            <w:tcW w:w="909" w:type="pct"/>
            <w:vMerge/>
          </w:tcPr>
          <w:p>
            <w:pPr>
              <w:adjustRightInd w:val="0"/>
              <w:snapToGrid w:val="0"/>
              <w:rPr>
                <w:rFonts w:ascii="宋体" w:eastAsia="宋体" w:hAnsi="宋体" w:cs="宋体" w:hint="eastAsia"/>
                <w:sz w:val="24"/>
                <w:szCs w:val="24"/>
              </w:rPr>
            </w:pPr>
          </w:p>
        </w:tc>
        <w:tc>
          <w:tcPr>
            <w:tcW w:w="4090" w:type="pct"/>
            <w:vAlign w:val="center"/>
          </w:tcPr>
          <w:p>
            <w:pPr>
              <w:widowControl/>
              <w:spacing w:line="300" w:lineRule="auto"/>
              <w:jc w:val="left"/>
              <w:textAlignment w:val="baseline"/>
              <w:rPr>
                <w:rFonts w:ascii="宋体" w:eastAsia="宋体" w:hAnsi="宋体" w:cs="宋体" w:hint="eastAsia"/>
                <w:b w:val="0"/>
                <w:bCs/>
                <w:sz w:val="24"/>
                <w:szCs w:val="24"/>
              </w:rPr>
            </w:pPr>
            <w:r>
              <w:rPr>
                <w:rFonts w:ascii="宋体" w:eastAsia="宋体" w:hAnsi="宋体" w:cs="宋体" w:hint="eastAsia"/>
                <w:bCs/>
                <w:sz w:val="24"/>
                <w:szCs w:val="24"/>
              </w:rPr>
              <w:t>▲2.1.3.可与Ramon背板组建分布式机箱架构（DDC）</w:t>
            </w:r>
            <w:r>
              <w:rPr>
                <w:rFonts w:ascii="宋体" w:eastAsia="宋体" w:hAnsi="宋体" w:cs="宋体" w:hint="eastAsia"/>
                <w:b/>
                <w:bCs w:val="0"/>
                <w:sz w:val="24"/>
                <w:szCs w:val="24"/>
                <w:lang w:eastAsia="zh-CN"/>
              </w:rPr>
              <w:t>（</w:t>
            </w:r>
            <w:r>
              <w:rPr>
                <w:rFonts w:ascii="宋体" w:eastAsia="宋体" w:hAnsi="宋体" w:cs="宋体" w:hint="eastAsia"/>
                <w:b/>
                <w:bCs w:val="0"/>
                <w:sz w:val="24"/>
                <w:szCs w:val="24"/>
                <w:lang w:val="en-US" w:eastAsia="zh-CN"/>
              </w:rPr>
              <w:t>提供官网技术资料截图或公开发行的技术彩页证明扫描件，原件备查。</w:t>
            </w:r>
            <w:r>
              <w:rPr>
                <w:rFonts w:ascii="宋体" w:eastAsia="宋体" w:hAnsi="宋体" w:cs="宋体" w:hint="eastAsia"/>
                <w:b/>
                <w:bCs w:val="0"/>
                <w:sz w:val="24"/>
                <w:szCs w:val="24"/>
                <w:lang w:eastAsia="zh-CN"/>
              </w:rPr>
              <w:t>）</w:t>
            </w:r>
          </w:p>
        </w:tc>
      </w:tr>
      <w:tr>
        <w:tblPrEx>
          <w:tblW w:w="4998" w:type="pct"/>
          <w:jc w:val="center"/>
          <w:tblCellMar>
            <w:top w:w="0" w:type="dxa"/>
            <w:left w:w="108" w:type="dxa"/>
            <w:bottom w:w="0" w:type="dxa"/>
            <w:right w:w="108" w:type="dxa"/>
          </w:tblCellMar>
        </w:tblPrEx>
        <w:trPr>
          <w:trHeight w:val="510"/>
          <w:jc w:val="center"/>
        </w:trPr>
        <w:tc>
          <w:tcPr>
            <w:tcW w:w="909" w:type="pct"/>
            <w:vMerge/>
          </w:tcPr>
          <w:p>
            <w:pPr>
              <w:adjustRightInd w:val="0"/>
              <w:snapToGrid w:val="0"/>
              <w:rPr>
                <w:rFonts w:ascii="宋体" w:eastAsia="宋体" w:hAnsi="宋体" w:cs="宋体" w:hint="eastAsia"/>
                <w:sz w:val="24"/>
                <w:szCs w:val="24"/>
              </w:rPr>
            </w:pPr>
          </w:p>
        </w:tc>
        <w:tc>
          <w:tcPr>
            <w:tcW w:w="4090" w:type="pct"/>
            <w:vAlign w:val="center"/>
          </w:tcPr>
          <w:p>
            <w:pPr>
              <w:adjustRightInd w:val="0"/>
              <w:snapToGrid w:val="0"/>
              <w:rPr>
                <w:rFonts w:ascii="宋体" w:eastAsia="宋体" w:hAnsi="宋体" w:cs="宋体" w:hint="eastAsia"/>
                <w:b w:val="0"/>
                <w:bCs/>
                <w:sz w:val="24"/>
                <w:szCs w:val="24"/>
              </w:rPr>
            </w:pPr>
            <w:r>
              <w:rPr>
                <w:rFonts w:ascii="宋体" w:eastAsia="宋体" w:hAnsi="宋体" w:cs="宋体" w:hint="eastAsia"/>
                <w:bCs/>
                <w:sz w:val="24"/>
                <w:szCs w:val="24"/>
              </w:rPr>
              <w:t>▲</w:t>
            </w:r>
            <w:r>
              <w:rPr>
                <w:rFonts w:ascii="宋体" w:eastAsia="宋体" w:hAnsi="宋体" w:cs="宋体" w:hint="eastAsia"/>
                <w:bCs/>
                <w:sz w:val="24"/>
                <w:szCs w:val="24"/>
                <w:lang w:val="en-US" w:eastAsia="zh-CN"/>
              </w:rPr>
              <w:t>2.1.4</w:t>
            </w:r>
            <w:r>
              <w:rPr>
                <w:rFonts w:ascii="宋体" w:eastAsia="宋体" w:hAnsi="宋体" w:cs="宋体" w:hint="eastAsia"/>
                <w:bCs/>
                <w:sz w:val="24"/>
                <w:szCs w:val="24"/>
              </w:rPr>
              <w:t>采用 2RU 外形</w:t>
            </w:r>
            <w:r>
              <w:rPr>
                <w:rFonts w:ascii="宋体" w:eastAsia="宋体" w:hAnsi="宋体" w:cs="宋体" w:hint="eastAsia"/>
                <w:b/>
                <w:bCs w:val="0"/>
                <w:sz w:val="24"/>
                <w:szCs w:val="24"/>
                <w:lang w:eastAsia="zh-CN"/>
              </w:rPr>
              <w:t>（</w:t>
            </w:r>
            <w:r>
              <w:rPr>
                <w:rFonts w:ascii="宋体" w:eastAsia="宋体" w:hAnsi="宋体" w:cs="宋体" w:hint="eastAsia"/>
                <w:b/>
                <w:bCs w:val="0"/>
                <w:sz w:val="24"/>
                <w:szCs w:val="24"/>
                <w:lang w:val="en-US" w:eastAsia="zh-CN"/>
              </w:rPr>
              <w:t>提供官网技术资料截图或公开发行的技术彩页证明扫描件，原件备查。</w:t>
            </w:r>
            <w:r>
              <w:rPr>
                <w:rFonts w:ascii="宋体" w:eastAsia="宋体" w:hAnsi="宋体" w:cs="宋体" w:hint="eastAsia"/>
                <w:b/>
                <w:bCs w:val="0"/>
                <w:sz w:val="24"/>
                <w:szCs w:val="24"/>
                <w:lang w:eastAsia="zh-CN"/>
              </w:rPr>
              <w:t>）</w:t>
            </w:r>
          </w:p>
        </w:tc>
      </w:tr>
      <w:tr>
        <w:tblPrEx>
          <w:tblW w:w="4998" w:type="pct"/>
          <w:jc w:val="center"/>
          <w:tblCellMar>
            <w:top w:w="0" w:type="dxa"/>
            <w:left w:w="108" w:type="dxa"/>
            <w:bottom w:w="0" w:type="dxa"/>
            <w:right w:w="108" w:type="dxa"/>
          </w:tblCellMar>
        </w:tblPrEx>
        <w:trPr>
          <w:trHeight w:val="510"/>
          <w:jc w:val="center"/>
        </w:trPr>
        <w:tc>
          <w:tcPr>
            <w:tcW w:w="909" w:type="pct"/>
            <w:vMerge/>
          </w:tcPr>
          <w:p>
            <w:pPr>
              <w:adjustRightInd w:val="0"/>
              <w:snapToGrid w:val="0"/>
              <w:rPr>
                <w:rFonts w:ascii="宋体" w:eastAsia="宋体" w:hAnsi="宋体" w:cs="宋体" w:hint="eastAsia"/>
                <w:sz w:val="24"/>
                <w:szCs w:val="24"/>
              </w:rPr>
            </w:pPr>
          </w:p>
        </w:tc>
        <w:tc>
          <w:tcPr>
            <w:tcW w:w="4090" w:type="pct"/>
            <w:vAlign w:val="center"/>
          </w:tcPr>
          <w:p>
            <w:pPr>
              <w:widowControl/>
              <w:adjustRightInd w:val="0"/>
              <w:snapToGrid w:val="0"/>
              <w:jc w:val="left"/>
              <w:rPr>
                <w:rFonts w:ascii="宋体" w:eastAsia="宋体" w:hAnsi="宋体" w:cs="宋体" w:hint="eastAsia"/>
                <w:bCs/>
                <w:sz w:val="24"/>
                <w:szCs w:val="24"/>
                <w:lang w:val="en-US" w:eastAsia="zh-CN"/>
              </w:rPr>
            </w:pPr>
            <w:r>
              <w:rPr>
                <w:rFonts w:ascii="宋体" w:eastAsia="宋体" w:hAnsi="宋体" w:cs="宋体" w:hint="eastAsia"/>
                <w:bCs/>
                <w:sz w:val="24"/>
                <w:szCs w:val="24"/>
              </w:rPr>
              <w:t>2.2</w:t>
            </w:r>
            <w:r>
              <w:rPr>
                <w:rFonts w:ascii="宋体" w:eastAsia="宋体" w:hAnsi="宋体" w:cs="宋体" w:hint="eastAsia"/>
                <w:bCs/>
                <w:sz w:val="24"/>
                <w:szCs w:val="24"/>
                <w:lang w:val="en-US" w:eastAsia="zh-CN"/>
              </w:rPr>
              <w:t>软件</w:t>
            </w:r>
          </w:p>
          <w:p>
            <w:pPr>
              <w:widowControl/>
              <w:adjustRightInd w:val="0"/>
              <w:snapToGrid w:val="0"/>
              <w:jc w:val="left"/>
              <w:rPr>
                <w:rFonts w:ascii="宋体" w:eastAsia="宋体" w:hAnsi="宋体" w:cs="宋体" w:hint="eastAsia"/>
                <w:b w:val="0"/>
                <w:bCs/>
                <w:sz w:val="24"/>
                <w:szCs w:val="24"/>
              </w:rPr>
            </w:pPr>
            <w:r>
              <w:rPr>
                <w:rFonts w:ascii="宋体" w:eastAsia="宋体" w:hAnsi="宋体" w:cs="宋体" w:hint="eastAsia"/>
                <w:bCs/>
                <w:sz w:val="24"/>
                <w:szCs w:val="24"/>
              </w:rPr>
              <w:t>▲</w:t>
            </w:r>
            <w:r>
              <w:rPr>
                <w:rFonts w:ascii="宋体" w:eastAsia="宋体" w:hAnsi="宋体" w:cs="宋体" w:hint="eastAsia"/>
                <w:bCs/>
                <w:sz w:val="24"/>
                <w:szCs w:val="24"/>
                <w:lang w:val="en-US" w:eastAsia="zh-CN"/>
              </w:rPr>
              <w:t xml:space="preserve">2.21 </w:t>
            </w:r>
            <w:r>
              <w:rPr>
                <w:rFonts w:ascii="宋体" w:eastAsia="宋体" w:hAnsi="宋体" w:cs="宋体" w:hint="eastAsia"/>
                <w:sz w:val="24"/>
                <w:szCs w:val="24"/>
              </w:rPr>
              <w:t xml:space="preserve">交换机预装了诊断和开放网络安装环境 (ONIE)，用于自动加载兼容的开源和商业 NOS 产品 </w:t>
            </w:r>
            <w:r>
              <w:rPr>
                <w:rFonts w:ascii="宋体" w:eastAsia="宋体" w:hAnsi="宋体" w:cs="宋体" w:hint="eastAsia"/>
                <w:bCs/>
                <w:sz w:val="24"/>
                <w:szCs w:val="24"/>
              </w:rPr>
              <w:t>。</w:t>
            </w:r>
            <w:r>
              <w:rPr>
                <w:rFonts w:ascii="宋体" w:eastAsia="宋体" w:hAnsi="宋体" w:cs="宋体" w:hint="eastAsia"/>
                <w:b/>
                <w:bCs w:val="0"/>
                <w:sz w:val="24"/>
                <w:szCs w:val="24"/>
                <w:lang w:eastAsia="zh-CN"/>
              </w:rPr>
              <w:t>（</w:t>
            </w:r>
            <w:r>
              <w:rPr>
                <w:rFonts w:ascii="宋体" w:eastAsia="宋体" w:hAnsi="宋体" w:cs="宋体" w:hint="eastAsia"/>
                <w:b/>
                <w:bCs w:val="0"/>
                <w:sz w:val="24"/>
                <w:szCs w:val="24"/>
                <w:lang w:val="en-US" w:eastAsia="zh-CN"/>
              </w:rPr>
              <w:t>提供官网技术资料截图或公开发行的技术彩页证明扫描件，原件备查。</w:t>
            </w:r>
            <w:r>
              <w:rPr>
                <w:rFonts w:ascii="宋体" w:eastAsia="宋体" w:hAnsi="宋体" w:cs="宋体" w:hint="eastAsia"/>
                <w:b/>
                <w:bCs w:val="0"/>
                <w:sz w:val="24"/>
                <w:szCs w:val="24"/>
                <w:lang w:eastAsia="zh-CN"/>
              </w:rPr>
              <w:t>）</w:t>
            </w:r>
          </w:p>
        </w:tc>
      </w:tr>
      <w:tr>
        <w:tblPrEx>
          <w:tblW w:w="4998" w:type="pct"/>
          <w:jc w:val="center"/>
          <w:tblCellMar>
            <w:top w:w="0" w:type="dxa"/>
            <w:left w:w="108" w:type="dxa"/>
            <w:bottom w:w="0" w:type="dxa"/>
            <w:right w:w="108" w:type="dxa"/>
          </w:tblCellMar>
        </w:tblPrEx>
        <w:trPr>
          <w:trHeight w:val="510"/>
          <w:jc w:val="center"/>
        </w:trPr>
        <w:tc>
          <w:tcPr>
            <w:tcW w:w="909" w:type="pct"/>
            <w:vMerge/>
          </w:tcPr>
          <w:p>
            <w:pPr>
              <w:adjustRightInd w:val="0"/>
              <w:snapToGrid w:val="0"/>
              <w:rPr>
                <w:rFonts w:ascii="宋体" w:eastAsia="宋体" w:hAnsi="宋体" w:cs="宋体" w:hint="eastAsia"/>
                <w:sz w:val="24"/>
                <w:szCs w:val="24"/>
              </w:rPr>
            </w:pPr>
          </w:p>
        </w:tc>
        <w:tc>
          <w:tcPr>
            <w:tcW w:w="4090" w:type="pct"/>
            <w:vAlign w:val="center"/>
          </w:tcPr>
          <w:p>
            <w:pPr>
              <w:adjustRightInd w:val="0"/>
              <w:snapToGrid w:val="0"/>
              <w:rPr>
                <w:rFonts w:ascii="宋体" w:eastAsia="宋体" w:hAnsi="宋体" w:cs="宋体" w:hint="eastAsia"/>
                <w:b w:val="0"/>
                <w:bCs/>
                <w:sz w:val="24"/>
                <w:szCs w:val="24"/>
              </w:rPr>
            </w:pPr>
            <w:r>
              <w:rPr>
                <w:rFonts w:ascii="宋体" w:eastAsia="宋体" w:hAnsi="宋体" w:cs="宋体" w:hint="eastAsia"/>
                <w:b w:val="0"/>
                <w:bCs/>
                <w:sz w:val="24"/>
                <w:szCs w:val="24"/>
              </w:rPr>
              <w:t>★</w:t>
            </w:r>
            <w:r>
              <w:rPr>
                <w:rFonts w:ascii="宋体" w:eastAsia="宋体" w:hAnsi="宋体" w:cs="宋体" w:hint="eastAsia"/>
                <w:bCs/>
                <w:sz w:val="24"/>
                <w:szCs w:val="24"/>
                <w:lang w:val="en-US" w:eastAsia="zh-CN"/>
              </w:rPr>
              <w:t>2.2.2预装了分布式Sonic操作系统</w:t>
            </w:r>
            <w:r>
              <w:rPr>
                <w:rFonts w:ascii="宋体" w:eastAsia="宋体" w:hAnsi="宋体" w:cs="宋体" w:hint="eastAsia"/>
                <w:b/>
                <w:bCs w:val="0"/>
                <w:sz w:val="24"/>
                <w:szCs w:val="24"/>
                <w:lang w:eastAsia="zh-CN"/>
              </w:rPr>
              <w:t>（</w:t>
            </w:r>
            <w:r>
              <w:rPr>
                <w:rFonts w:ascii="宋体" w:eastAsia="宋体" w:hAnsi="宋体" w:cs="宋体" w:hint="eastAsia"/>
                <w:b/>
                <w:bCs w:val="0"/>
                <w:sz w:val="24"/>
                <w:szCs w:val="24"/>
                <w:lang w:val="en-US" w:eastAsia="zh-CN"/>
              </w:rPr>
              <w:t>提供官网技术资料截图或公开发行的技术彩页证明扫描件，原件备查。</w:t>
            </w:r>
            <w:r>
              <w:rPr>
                <w:rFonts w:ascii="宋体" w:eastAsia="宋体" w:hAnsi="宋体" w:cs="宋体" w:hint="eastAsia"/>
                <w:b/>
                <w:bCs w:val="0"/>
                <w:sz w:val="24"/>
                <w:szCs w:val="24"/>
                <w:lang w:eastAsia="zh-CN"/>
              </w:rPr>
              <w:t>）</w:t>
            </w:r>
          </w:p>
        </w:tc>
      </w:tr>
      <w:tr>
        <w:tblPrEx>
          <w:tblW w:w="4998" w:type="pct"/>
          <w:jc w:val="center"/>
          <w:tblCellMar>
            <w:top w:w="0" w:type="dxa"/>
            <w:left w:w="108" w:type="dxa"/>
            <w:bottom w:w="0" w:type="dxa"/>
            <w:right w:w="108" w:type="dxa"/>
          </w:tblCellMar>
        </w:tblPrEx>
        <w:trPr>
          <w:trHeight w:val="510"/>
          <w:jc w:val="center"/>
        </w:trPr>
        <w:tc>
          <w:tcPr>
            <w:tcW w:w="909" w:type="pct"/>
            <w:vMerge/>
          </w:tcPr>
          <w:p>
            <w:pPr>
              <w:adjustRightInd w:val="0"/>
              <w:snapToGrid w:val="0"/>
              <w:rPr>
                <w:rFonts w:ascii="宋体" w:eastAsia="宋体" w:hAnsi="宋体" w:cs="宋体" w:hint="eastAsia"/>
                <w:sz w:val="24"/>
                <w:szCs w:val="24"/>
              </w:rPr>
            </w:pPr>
          </w:p>
        </w:tc>
        <w:tc>
          <w:tcPr>
            <w:tcW w:w="4090" w:type="pct"/>
            <w:vAlign w:val="center"/>
          </w:tcPr>
          <w:p>
            <w:pPr>
              <w:keepNext w:val="0"/>
              <w:keepLines w:val="0"/>
              <w:widowControl/>
              <w:suppressLineNumbers w:val="0"/>
              <w:jc w:val="left"/>
              <w:rPr>
                <w:rFonts w:ascii="宋体" w:eastAsia="宋体" w:hAnsi="宋体" w:cs="宋体" w:hint="eastAsia"/>
                <w:sz w:val="24"/>
                <w:szCs w:val="24"/>
              </w:rPr>
            </w:pPr>
            <w:r>
              <w:rPr>
                <w:rFonts w:ascii="宋体" w:eastAsia="宋体" w:hAnsi="宋体" w:cs="宋体" w:hint="eastAsia"/>
                <w:bCs/>
                <w:kern w:val="2"/>
                <w:sz w:val="24"/>
                <w:szCs w:val="24"/>
                <w:lang w:val="en-US" w:eastAsia="zh-CN"/>
              </w:rPr>
              <w:t>2.3</w:t>
            </w:r>
            <w:r>
              <w:rPr>
                <w:rFonts w:ascii="宋体" w:eastAsia="宋体" w:hAnsi="宋体" w:cs="宋体" w:hint="eastAsia"/>
                <w:color w:val="231F20"/>
                <w:kern w:val="0"/>
                <w:sz w:val="24"/>
                <w:szCs w:val="24"/>
                <w:lang w:val="en-US" w:eastAsia="zh-CN"/>
              </w:rPr>
              <w:t xml:space="preserve">端口侧管理端口： </w:t>
            </w:r>
          </w:p>
          <w:p>
            <w:pPr>
              <w:adjustRightInd w:val="0"/>
              <w:snapToGrid w:val="0"/>
              <w:rPr>
                <w:rFonts w:ascii="宋体" w:eastAsia="宋体" w:hAnsi="宋体" w:cs="宋体" w:hint="eastAsia"/>
                <w:b w:val="0"/>
                <w:bCs/>
                <w:sz w:val="24"/>
                <w:szCs w:val="24"/>
              </w:rPr>
            </w:pPr>
            <w:r>
              <w:rPr>
                <w:rFonts w:ascii="宋体" w:eastAsia="宋体" w:hAnsi="宋体" w:cs="宋体" w:hint="eastAsia"/>
                <w:color w:val="231F20"/>
                <w:kern w:val="0"/>
                <w:sz w:val="24"/>
                <w:szCs w:val="24"/>
                <w:lang w:val="en-US" w:eastAsia="zh-CN"/>
              </w:rPr>
              <w:t>2.3.1 1 x RJ-45 串行控制台端口</w:t>
            </w:r>
          </w:p>
        </w:tc>
      </w:tr>
      <w:tr>
        <w:tblPrEx>
          <w:tblW w:w="4998" w:type="pct"/>
          <w:jc w:val="center"/>
          <w:tblCellMar>
            <w:top w:w="0" w:type="dxa"/>
            <w:left w:w="108" w:type="dxa"/>
            <w:bottom w:w="0" w:type="dxa"/>
            <w:right w:w="108" w:type="dxa"/>
          </w:tblCellMar>
        </w:tblPrEx>
        <w:trPr>
          <w:trHeight w:val="510"/>
          <w:jc w:val="center"/>
        </w:trPr>
        <w:tc>
          <w:tcPr>
            <w:tcW w:w="909" w:type="pct"/>
            <w:vMerge/>
          </w:tcPr>
          <w:p>
            <w:pPr>
              <w:adjustRightInd w:val="0"/>
              <w:snapToGrid w:val="0"/>
              <w:rPr>
                <w:rFonts w:ascii="宋体" w:eastAsia="宋体" w:hAnsi="宋体" w:cs="宋体" w:hint="eastAsia"/>
                <w:sz w:val="24"/>
                <w:szCs w:val="24"/>
              </w:rPr>
            </w:pPr>
          </w:p>
        </w:tc>
        <w:tc>
          <w:tcPr>
            <w:tcW w:w="4090" w:type="pct"/>
            <w:vAlign w:val="center"/>
          </w:tcPr>
          <w:p>
            <w:pPr>
              <w:adjustRightInd w:val="0"/>
              <w:snapToGrid w:val="0"/>
              <w:rPr>
                <w:rFonts w:ascii="宋体" w:eastAsia="宋体" w:hAnsi="宋体" w:cs="宋体" w:hint="eastAsia"/>
                <w:b w:val="0"/>
                <w:bCs/>
                <w:sz w:val="24"/>
                <w:szCs w:val="24"/>
              </w:rPr>
            </w:pPr>
            <w:r>
              <w:rPr>
                <w:rFonts w:ascii="宋体" w:eastAsia="宋体" w:hAnsi="宋体" w:cs="宋体" w:hint="eastAsia"/>
                <w:color w:val="231F20"/>
                <w:kern w:val="0"/>
                <w:sz w:val="24"/>
                <w:szCs w:val="24"/>
                <w:lang w:val="en-US" w:eastAsia="zh-CN"/>
              </w:rPr>
              <w:t>2.3.2 1 x RJ-45 10/100/1000BASE-T 管理端口</w:t>
            </w:r>
          </w:p>
        </w:tc>
      </w:tr>
      <w:tr>
        <w:tblPrEx>
          <w:tblW w:w="4998" w:type="pct"/>
          <w:jc w:val="center"/>
          <w:tblCellMar>
            <w:top w:w="0" w:type="dxa"/>
            <w:left w:w="108" w:type="dxa"/>
            <w:bottom w:w="0" w:type="dxa"/>
            <w:right w:w="108" w:type="dxa"/>
          </w:tblCellMar>
        </w:tblPrEx>
        <w:trPr>
          <w:trHeight w:val="510"/>
          <w:jc w:val="center"/>
        </w:trPr>
        <w:tc>
          <w:tcPr>
            <w:tcW w:w="909" w:type="pct"/>
            <w:vMerge/>
          </w:tcPr>
          <w:p>
            <w:pPr>
              <w:adjustRightInd w:val="0"/>
              <w:snapToGrid w:val="0"/>
              <w:rPr>
                <w:rFonts w:ascii="宋体" w:eastAsia="宋体" w:hAnsi="宋体" w:cs="宋体" w:hint="eastAsia"/>
                <w:sz w:val="24"/>
                <w:szCs w:val="24"/>
              </w:rPr>
            </w:pPr>
          </w:p>
        </w:tc>
        <w:tc>
          <w:tcPr>
            <w:tcW w:w="4090" w:type="pct"/>
            <w:vAlign w:val="center"/>
          </w:tcPr>
          <w:p>
            <w:pPr>
              <w:adjustRightInd w:val="0"/>
              <w:snapToGrid w:val="0"/>
              <w:rPr>
                <w:rFonts w:ascii="宋体" w:eastAsia="宋体" w:hAnsi="宋体" w:cs="宋体" w:hint="eastAsia"/>
                <w:b w:val="0"/>
                <w:bCs/>
                <w:sz w:val="24"/>
                <w:szCs w:val="24"/>
              </w:rPr>
            </w:pPr>
            <w:r>
              <w:rPr>
                <w:rFonts w:ascii="宋体" w:eastAsia="宋体" w:hAnsi="宋体" w:cs="宋体" w:hint="eastAsia"/>
                <w:color w:val="231F20"/>
                <w:kern w:val="0"/>
                <w:sz w:val="24"/>
                <w:szCs w:val="24"/>
                <w:lang w:val="en-US" w:eastAsia="zh-CN"/>
              </w:rPr>
              <w:t>2.3.3 2 x RJ-45 PPS/ToD 端口</w:t>
            </w:r>
          </w:p>
        </w:tc>
      </w:tr>
      <w:tr>
        <w:tblPrEx>
          <w:tblW w:w="4998" w:type="pct"/>
          <w:jc w:val="center"/>
          <w:tblCellMar>
            <w:top w:w="0" w:type="dxa"/>
            <w:left w:w="108" w:type="dxa"/>
            <w:bottom w:w="0" w:type="dxa"/>
            <w:right w:w="108" w:type="dxa"/>
          </w:tblCellMar>
        </w:tblPrEx>
        <w:trPr>
          <w:trHeight w:val="510"/>
          <w:jc w:val="center"/>
        </w:trPr>
        <w:tc>
          <w:tcPr>
            <w:tcW w:w="909" w:type="pct"/>
            <w:vMerge/>
          </w:tcPr>
          <w:p>
            <w:pPr>
              <w:adjustRightInd w:val="0"/>
              <w:snapToGrid w:val="0"/>
              <w:rPr>
                <w:rFonts w:ascii="宋体" w:eastAsia="宋体" w:hAnsi="宋体" w:cs="宋体" w:hint="eastAsia"/>
                <w:sz w:val="24"/>
                <w:szCs w:val="24"/>
              </w:rPr>
            </w:pPr>
          </w:p>
        </w:tc>
        <w:tc>
          <w:tcPr>
            <w:tcW w:w="4090" w:type="pct"/>
            <w:vAlign w:val="center"/>
          </w:tcPr>
          <w:p>
            <w:pPr>
              <w:adjustRightInd w:val="0"/>
              <w:snapToGrid w:val="0"/>
              <w:rPr>
                <w:rFonts w:ascii="宋体" w:eastAsia="宋体" w:hAnsi="宋体" w:cs="宋体" w:hint="eastAsia"/>
                <w:b w:val="0"/>
                <w:bCs/>
                <w:sz w:val="24"/>
                <w:szCs w:val="24"/>
              </w:rPr>
            </w:pPr>
            <w:r>
              <w:rPr>
                <w:rFonts w:ascii="宋体" w:eastAsia="宋体" w:hAnsi="宋体" w:cs="宋体" w:hint="eastAsia"/>
                <w:color w:val="231F20"/>
                <w:kern w:val="0"/>
                <w:sz w:val="24"/>
                <w:szCs w:val="24"/>
                <w:lang w:val="en-US" w:eastAsia="zh-CN"/>
              </w:rPr>
              <w:t>2.3.4 2 x RJ-45 堆叠同步端口</w:t>
            </w:r>
          </w:p>
        </w:tc>
      </w:tr>
      <w:tr>
        <w:tblPrEx>
          <w:tblW w:w="4998" w:type="pct"/>
          <w:jc w:val="center"/>
          <w:tblCellMar>
            <w:top w:w="0" w:type="dxa"/>
            <w:left w:w="108" w:type="dxa"/>
            <w:bottom w:w="0" w:type="dxa"/>
            <w:right w:w="108" w:type="dxa"/>
          </w:tblCellMar>
        </w:tblPrEx>
        <w:trPr>
          <w:trHeight w:val="510"/>
          <w:jc w:val="center"/>
        </w:trPr>
        <w:tc>
          <w:tcPr>
            <w:tcW w:w="909" w:type="pct"/>
            <w:vMerge/>
          </w:tcPr>
          <w:p>
            <w:pPr>
              <w:adjustRightInd w:val="0"/>
              <w:snapToGrid w:val="0"/>
              <w:rPr>
                <w:rFonts w:ascii="宋体" w:eastAsia="宋体" w:hAnsi="宋体" w:cs="宋体" w:hint="eastAsia"/>
                <w:sz w:val="24"/>
                <w:szCs w:val="24"/>
              </w:rPr>
            </w:pPr>
          </w:p>
        </w:tc>
        <w:tc>
          <w:tcPr>
            <w:tcW w:w="4090" w:type="pct"/>
            <w:vAlign w:val="center"/>
          </w:tcPr>
          <w:p>
            <w:pPr>
              <w:adjustRightInd w:val="0"/>
              <w:snapToGrid w:val="0"/>
              <w:rPr>
                <w:rFonts w:ascii="宋体" w:eastAsia="宋体" w:hAnsi="宋体" w:cs="宋体" w:hint="eastAsia"/>
                <w:b w:val="0"/>
                <w:bCs/>
                <w:sz w:val="24"/>
                <w:szCs w:val="24"/>
              </w:rPr>
            </w:pPr>
            <w:r>
              <w:rPr>
                <w:rFonts w:ascii="宋体" w:eastAsia="宋体" w:hAnsi="宋体" w:cs="宋体" w:hint="eastAsia"/>
                <w:color w:val="231F20"/>
                <w:kern w:val="0"/>
                <w:sz w:val="24"/>
                <w:szCs w:val="24"/>
                <w:lang w:val="en-US" w:eastAsia="zh-CN"/>
              </w:rPr>
              <w:t>2.3.5 2 x OOB SFP+ 10G 管理端口</w:t>
            </w:r>
          </w:p>
        </w:tc>
      </w:tr>
      <w:tr>
        <w:tblPrEx>
          <w:tblW w:w="4998" w:type="pct"/>
          <w:jc w:val="center"/>
          <w:tblCellMar>
            <w:top w:w="0" w:type="dxa"/>
            <w:left w:w="108" w:type="dxa"/>
            <w:bottom w:w="0" w:type="dxa"/>
            <w:right w:w="108" w:type="dxa"/>
          </w:tblCellMar>
        </w:tblPrEx>
        <w:trPr>
          <w:trHeight w:val="510"/>
          <w:jc w:val="center"/>
        </w:trPr>
        <w:tc>
          <w:tcPr>
            <w:tcW w:w="909" w:type="pct"/>
            <w:vMerge/>
          </w:tcPr>
          <w:p>
            <w:pPr>
              <w:adjustRightInd w:val="0"/>
              <w:snapToGrid w:val="0"/>
              <w:rPr>
                <w:rFonts w:ascii="宋体" w:eastAsia="宋体" w:hAnsi="宋体" w:cs="宋体" w:hint="eastAsia"/>
                <w:sz w:val="24"/>
                <w:szCs w:val="24"/>
              </w:rPr>
            </w:pPr>
          </w:p>
        </w:tc>
        <w:tc>
          <w:tcPr>
            <w:tcW w:w="4090" w:type="pct"/>
            <w:vAlign w:val="center"/>
          </w:tcPr>
          <w:p>
            <w:pPr>
              <w:adjustRightInd w:val="0"/>
              <w:snapToGrid w:val="0"/>
              <w:rPr>
                <w:rFonts w:ascii="宋体" w:eastAsia="宋体" w:hAnsi="宋体" w:cs="宋体" w:hint="eastAsia"/>
                <w:bCs/>
                <w:sz w:val="24"/>
                <w:szCs w:val="24"/>
                <w:lang w:val="en-US" w:eastAsia="zh-CN"/>
              </w:rPr>
            </w:pPr>
            <w:r>
              <w:rPr>
                <w:rFonts w:ascii="宋体" w:eastAsia="宋体" w:hAnsi="宋体" w:cs="宋体" w:hint="eastAsia"/>
                <w:color w:val="231F20"/>
                <w:kern w:val="0"/>
                <w:sz w:val="24"/>
                <w:szCs w:val="24"/>
                <w:lang w:val="en-US" w:eastAsia="zh-CN"/>
              </w:rPr>
              <w:t>2.3.6 1x USB 2.0 A 型端口</w:t>
            </w:r>
          </w:p>
        </w:tc>
      </w:tr>
      <w:tr>
        <w:tblPrEx>
          <w:tblW w:w="4998" w:type="pct"/>
          <w:jc w:val="center"/>
          <w:tblCellMar>
            <w:top w:w="0" w:type="dxa"/>
            <w:left w:w="108" w:type="dxa"/>
            <w:bottom w:w="0" w:type="dxa"/>
            <w:right w:w="108" w:type="dxa"/>
          </w:tblCellMar>
        </w:tblPrEx>
        <w:trPr>
          <w:trHeight w:val="510"/>
          <w:jc w:val="center"/>
        </w:trPr>
        <w:tc>
          <w:tcPr>
            <w:tcW w:w="909" w:type="pct"/>
            <w:vMerge/>
          </w:tcPr>
          <w:p>
            <w:pPr>
              <w:adjustRightInd w:val="0"/>
              <w:snapToGrid w:val="0"/>
              <w:rPr>
                <w:rFonts w:ascii="宋体" w:eastAsia="宋体" w:hAnsi="宋体" w:cs="宋体" w:hint="eastAsia"/>
                <w:sz w:val="24"/>
                <w:szCs w:val="24"/>
              </w:rPr>
            </w:pPr>
          </w:p>
        </w:tc>
        <w:tc>
          <w:tcPr>
            <w:tcW w:w="4090" w:type="pct"/>
            <w:vAlign w:val="center"/>
          </w:tcPr>
          <w:p>
            <w:pPr>
              <w:widowControl/>
              <w:adjustRightInd/>
              <w:snapToGrid/>
              <w:jc w:val="left"/>
              <w:rPr>
                <w:rFonts w:ascii="宋体" w:eastAsia="宋体" w:hAnsi="宋体" w:cs="宋体" w:hint="eastAsia"/>
                <w:bCs/>
                <w:sz w:val="24"/>
                <w:szCs w:val="24"/>
              </w:rPr>
            </w:pPr>
            <w:r>
              <w:rPr>
                <w:rFonts w:ascii="宋体" w:eastAsia="宋体" w:hAnsi="宋体" w:cs="宋体" w:hint="eastAsia"/>
                <w:color w:val="231F20"/>
                <w:kern w:val="0"/>
                <w:sz w:val="24"/>
                <w:szCs w:val="24"/>
                <w:lang w:val="en-US" w:eastAsia="zh-CN"/>
              </w:rPr>
              <w:t>2.3.7 1 x Micro USB 控制台端口</w:t>
            </w:r>
          </w:p>
        </w:tc>
      </w:tr>
      <w:tr>
        <w:tblPrEx>
          <w:tblW w:w="4998" w:type="pct"/>
          <w:jc w:val="center"/>
          <w:tblCellMar>
            <w:top w:w="0" w:type="dxa"/>
            <w:left w:w="108" w:type="dxa"/>
            <w:bottom w:w="0" w:type="dxa"/>
            <w:right w:w="108" w:type="dxa"/>
          </w:tblCellMar>
        </w:tblPrEx>
        <w:trPr>
          <w:trHeight w:val="510"/>
          <w:jc w:val="center"/>
        </w:trPr>
        <w:tc>
          <w:tcPr>
            <w:tcW w:w="909" w:type="pct"/>
            <w:vMerge/>
          </w:tcPr>
          <w:p>
            <w:pPr>
              <w:adjustRightInd w:val="0"/>
              <w:snapToGrid w:val="0"/>
              <w:rPr>
                <w:rFonts w:ascii="宋体" w:eastAsia="宋体" w:hAnsi="宋体" w:cs="宋体" w:hint="eastAsia"/>
                <w:sz w:val="24"/>
                <w:szCs w:val="24"/>
              </w:rPr>
            </w:pPr>
          </w:p>
        </w:tc>
        <w:tc>
          <w:tcPr>
            <w:tcW w:w="4090" w:type="pct"/>
            <w:vAlign w:val="center"/>
          </w:tcPr>
          <w:p>
            <w:pPr>
              <w:widowControl/>
              <w:numPr>
                <w:ilvl w:val="255"/>
                <w:numId w:val="0"/>
              </w:numPr>
              <w:spacing w:line="300" w:lineRule="auto"/>
              <w:jc w:val="left"/>
              <w:textAlignment w:val="baseline"/>
              <w:rPr>
                <w:rFonts w:ascii="宋体" w:eastAsia="宋体" w:hAnsi="宋体" w:cs="宋体" w:hint="eastAsia"/>
                <w:sz w:val="24"/>
                <w:szCs w:val="24"/>
              </w:rPr>
            </w:pPr>
            <w:r>
              <w:rPr>
                <w:rFonts w:ascii="宋体" w:eastAsia="宋体" w:hAnsi="宋体" w:cs="宋体" w:hint="eastAsia"/>
                <w:sz w:val="24"/>
                <w:szCs w:val="24"/>
              </w:rPr>
              <w:t xml:space="preserve">2.4 关键硬件参数：  </w:t>
            </w:r>
          </w:p>
          <w:p>
            <w:pPr>
              <w:widowControl/>
              <w:numPr>
                <w:ilvl w:val="255"/>
                <w:numId w:val="0"/>
              </w:numPr>
              <w:spacing w:line="300" w:lineRule="auto"/>
              <w:jc w:val="left"/>
              <w:textAlignment w:val="baseline"/>
              <w:rPr>
                <w:rFonts w:ascii="宋体" w:eastAsia="宋体" w:hAnsi="宋体" w:cs="宋体" w:hint="eastAsia"/>
                <w:bCs/>
                <w:sz w:val="24"/>
                <w:szCs w:val="24"/>
              </w:rPr>
            </w:pPr>
            <w:r>
              <w:rPr>
                <w:rFonts w:ascii="宋体" w:eastAsia="宋体" w:hAnsi="宋体" w:cs="宋体" w:hint="eastAsia"/>
                <w:b/>
                <w:sz w:val="24"/>
                <w:szCs w:val="24"/>
              </w:rPr>
              <w:t>★</w:t>
            </w:r>
            <w:r>
              <w:rPr>
                <w:rFonts w:ascii="宋体" w:eastAsia="宋体" w:hAnsi="宋体" w:cs="宋体" w:hint="eastAsia"/>
                <w:b/>
                <w:sz w:val="24"/>
                <w:szCs w:val="24"/>
                <w:lang w:val="en-US" w:eastAsia="zh-CN"/>
              </w:rPr>
              <w:t>2.4.1</w:t>
            </w:r>
            <w:r>
              <w:rPr>
                <w:rFonts w:ascii="宋体" w:eastAsia="宋体" w:hAnsi="宋体" w:cs="宋体" w:hint="eastAsia"/>
                <w:sz w:val="24"/>
                <w:szCs w:val="24"/>
              </w:rPr>
              <w:t>交换机芯片：性能大于等于4.0Tbps</w:t>
            </w:r>
          </w:p>
        </w:tc>
      </w:tr>
      <w:tr>
        <w:tblPrEx>
          <w:tblW w:w="4998" w:type="pct"/>
          <w:jc w:val="center"/>
          <w:tblCellMar>
            <w:top w:w="0" w:type="dxa"/>
            <w:left w:w="108" w:type="dxa"/>
            <w:bottom w:w="0" w:type="dxa"/>
            <w:right w:w="108" w:type="dxa"/>
          </w:tblCellMar>
        </w:tblPrEx>
        <w:trPr>
          <w:trHeight w:val="510"/>
          <w:jc w:val="center"/>
        </w:trPr>
        <w:tc>
          <w:tcPr>
            <w:tcW w:w="909" w:type="pct"/>
            <w:vMerge/>
          </w:tcPr>
          <w:p>
            <w:pPr>
              <w:adjustRightInd w:val="0"/>
              <w:snapToGrid w:val="0"/>
              <w:rPr>
                <w:rFonts w:ascii="宋体" w:eastAsia="宋体" w:hAnsi="宋体" w:cs="宋体" w:hint="eastAsia"/>
                <w:sz w:val="24"/>
                <w:szCs w:val="24"/>
              </w:rPr>
            </w:pPr>
          </w:p>
        </w:tc>
        <w:tc>
          <w:tcPr>
            <w:tcW w:w="4090" w:type="pct"/>
            <w:vAlign w:val="center"/>
          </w:tcPr>
          <w:p>
            <w:pPr>
              <w:widowControl/>
              <w:numPr>
                <w:ilvl w:val="255"/>
                <w:numId w:val="0"/>
              </w:numPr>
              <w:spacing w:line="300" w:lineRule="auto"/>
              <w:jc w:val="left"/>
              <w:textAlignment w:val="baseline"/>
              <w:rPr>
                <w:rFonts w:ascii="宋体" w:eastAsia="宋体" w:hAnsi="宋体" w:cs="宋体" w:hint="eastAsia"/>
                <w:bCs/>
                <w:sz w:val="24"/>
                <w:szCs w:val="24"/>
              </w:rPr>
            </w:pPr>
            <w:r>
              <w:rPr>
                <w:rFonts w:ascii="宋体" w:eastAsia="宋体" w:hAnsi="宋体" w:cs="宋体" w:hint="eastAsia"/>
                <w:sz w:val="24"/>
                <w:szCs w:val="24"/>
                <w:lang w:val="en-US" w:eastAsia="zh-CN"/>
              </w:rPr>
              <w:t>2.4.2</w:t>
            </w:r>
            <w:r>
              <w:rPr>
                <w:rFonts w:ascii="宋体" w:hAnsi="宋体" w:cs="宋体" w:hint="eastAsia"/>
                <w:sz w:val="24"/>
                <w:szCs w:val="24"/>
                <w:lang w:val="en-US" w:eastAsia="zh-CN"/>
              </w:rPr>
              <w:t xml:space="preserve"> </w:t>
            </w:r>
            <w:r>
              <w:rPr>
                <w:rFonts w:ascii="宋体" w:eastAsia="宋体" w:hAnsi="宋体" w:cs="宋体" w:hint="eastAsia"/>
                <w:sz w:val="24"/>
                <w:szCs w:val="24"/>
              </w:rPr>
              <w:t>CPU 模块：</w:t>
            </w:r>
            <w:r>
              <w:rPr>
                <w:rFonts w:ascii="宋体" w:eastAsia="宋体" w:hAnsi="宋体" w:cs="宋体" w:hint="eastAsia"/>
                <w:sz w:val="24"/>
                <w:szCs w:val="24"/>
                <w:lang w:val="en-US"/>
              </w:rPr>
              <w:t>X86</w:t>
            </w:r>
            <w:r>
              <w:rPr>
                <w:rFonts w:ascii="宋体" w:eastAsia="宋体" w:hAnsi="宋体" w:cs="宋体" w:hint="eastAsia"/>
                <w:sz w:val="24"/>
                <w:szCs w:val="24"/>
              </w:rPr>
              <w:t xml:space="preserve">处理器 </w:t>
            </w:r>
            <w:r>
              <w:rPr>
                <w:rFonts w:ascii="宋体" w:eastAsia="宋体" w:hAnsi="宋体" w:cs="宋体" w:hint="eastAsia"/>
                <w:sz w:val="24"/>
                <w:szCs w:val="24"/>
                <w:lang w:val="en-US" w:eastAsia="zh-CN"/>
              </w:rPr>
              <w:t>4核或以上</w:t>
            </w:r>
            <w:r>
              <w:rPr>
                <w:rFonts w:ascii="宋体" w:eastAsia="宋体" w:hAnsi="宋体" w:cs="宋体" w:hint="eastAsia"/>
                <w:sz w:val="24"/>
                <w:szCs w:val="24"/>
              </w:rPr>
              <w:t xml:space="preserve"> </w:t>
            </w:r>
          </w:p>
        </w:tc>
      </w:tr>
      <w:tr>
        <w:tblPrEx>
          <w:tblW w:w="4998" w:type="pct"/>
          <w:jc w:val="center"/>
          <w:tblCellMar>
            <w:top w:w="0" w:type="dxa"/>
            <w:left w:w="108" w:type="dxa"/>
            <w:bottom w:w="0" w:type="dxa"/>
            <w:right w:w="108" w:type="dxa"/>
          </w:tblCellMar>
        </w:tblPrEx>
        <w:trPr>
          <w:trHeight w:val="510"/>
          <w:jc w:val="center"/>
        </w:trPr>
        <w:tc>
          <w:tcPr>
            <w:tcW w:w="909" w:type="pct"/>
            <w:vMerge/>
          </w:tcPr>
          <w:p>
            <w:pPr>
              <w:adjustRightInd w:val="0"/>
              <w:snapToGrid w:val="0"/>
              <w:rPr>
                <w:rFonts w:ascii="宋体" w:eastAsia="宋体" w:hAnsi="宋体" w:cs="宋体" w:hint="eastAsia"/>
                <w:sz w:val="24"/>
                <w:szCs w:val="24"/>
              </w:rPr>
            </w:pPr>
          </w:p>
        </w:tc>
        <w:tc>
          <w:tcPr>
            <w:tcW w:w="4090" w:type="pct"/>
            <w:vAlign w:val="center"/>
          </w:tcPr>
          <w:p>
            <w:pPr>
              <w:widowControl/>
              <w:numPr>
                <w:ilvl w:val="255"/>
                <w:numId w:val="0"/>
              </w:numPr>
              <w:spacing w:line="300" w:lineRule="auto"/>
              <w:jc w:val="left"/>
              <w:textAlignment w:val="baseline"/>
              <w:rPr>
                <w:rFonts w:ascii="宋体" w:eastAsia="宋体" w:hAnsi="宋体" w:cs="宋体" w:hint="eastAsia"/>
                <w:bCs/>
                <w:sz w:val="24"/>
                <w:szCs w:val="24"/>
              </w:rPr>
            </w:pPr>
            <w:r>
              <w:rPr>
                <w:rFonts w:ascii="宋体" w:eastAsia="宋体" w:hAnsi="宋体" w:cs="宋体" w:hint="eastAsia"/>
                <w:sz w:val="24"/>
                <w:szCs w:val="24"/>
                <w:lang w:val="en-US" w:eastAsia="zh-CN"/>
              </w:rPr>
              <w:t>2.4.3</w:t>
            </w:r>
            <w:r>
              <w:rPr>
                <w:rFonts w:ascii="宋体" w:hAnsi="宋体" w:cs="宋体" w:hint="eastAsia"/>
                <w:sz w:val="24"/>
                <w:szCs w:val="24"/>
                <w:lang w:val="en-US" w:eastAsia="zh-CN"/>
              </w:rPr>
              <w:t xml:space="preserve"> </w:t>
            </w:r>
            <w:r>
              <w:rPr>
                <w:rFonts w:ascii="宋体" w:eastAsia="宋体" w:hAnsi="宋体" w:cs="宋体" w:hint="eastAsia"/>
                <w:sz w:val="24"/>
                <w:szCs w:val="24"/>
              </w:rPr>
              <w:t>SDRAM DDR4 32 GB</w:t>
            </w:r>
            <w:r>
              <w:rPr>
                <w:rFonts w:ascii="宋体" w:eastAsia="宋体" w:hAnsi="宋体" w:cs="宋体" w:hint="eastAsia"/>
                <w:sz w:val="24"/>
                <w:szCs w:val="24"/>
                <w:lang w:val="en-US" w:eastAsia="zh-CN"/>
              </w:rPr>
              <w:t>或以上</w:t>
            </w:r>
          </w:p>
        </w:tc>
      </w:tr>
      <w:tr>
        <w:tblPrEx>
          <w:tblW w:w="4998" w:type="pct"/>
          <w:jc w:val="center"/>
          <w:tblCellMar>
            <w:top w:w="0" w:type="dxa"/>
            <w:left w:w="108" w:type="dxa"/>
            <w:bottom w:w="0" w:type="dxa"/>
            <w:right w:w="108" w:type="dxa"/>
          </w:tblCellMar>
        </w:tblPrEx>
        <w:trPr>
          <w:trHeight w:val="510"/>
          <w:jc w:val="center"/>
        </w:trPr>
        <w:tc>
          <w:tcPr>
            <w:tcW w:w="909" w:type="pct"/>
            <w:vMerge/>
          </w:tcPr>
          <w:p>
            <w:pPr>
              <w:adjustRightInd w:val="0"/>
              <w:snapToGrid w:val="0"/>
              <w:rPr>
                <w:rFonts w:ascii="宋体" w:eastAsia="宋体" w:hAnsi="宋体" w:cs="宋体" w:hint="eastAsia"/>
                <w:sz w:val="24"/>
                <w:szCs w:val="24"/>
              </w:rPr>
            </w:pPr>
          </w:p>
        </w:tc>
        <w:tc>
          <w:tcPr>
            <w:tcW w:w="4090" w:type="pct"/>
            <w:vAlign w:val="center"/>
          </w:tcPr>
          <w:p>
            <w:pPr>
              <w:widowControl/>
              <w:adjustRightInd/>
              <w:snapToGrid/>
              <w:spacing w:line="240" w:lineRule="auto"/>
              <w:jc w:val="left"/>
              <w:textAlignment w:val="auto"/>
              <w:rPr>
                <w:rFonts w:ascii="宋体" w:eastAsia="宋体" w:hAnsi="宋体" w:cs="宋体" w:hint="eastAsia"/>
                <w:bCs/>
                <w:sz w:val="24"/>
                <w:szCs w:val="24"/>
              </w:rPr>
            </w:pPr>
            <w:r>
              <w:rPr>
                <w:rFonts w:ascii="宋体" w:eastAsia="宋体" w:hAnsi="宋体" w:cs="宋体" w:hint="eastAsia"/>
                <w:sz w:val="24"/>
                <w:szCs w:val="24"/>
                <w:lang w:val="en-US" w:eastAsia="zh-CN"/>
              </w:rPr>
              <w:t>2.4.4</w:t>
            </w:r>
            <w:r>
              <w:rPr>
                <w:rFonts w:ascii="宋体" w:eastAsia="宋体" w:hAnsi="宋体" w:cs="宋体" w:hint="eastAsia"/>
                <w:sz w:val="24"/>
                <w:szCs w:val="24"/>
              </w:rPr>
              <w:t>硬盘：</w:t>
            </w:r>
            <w:r>
              <w:rPr>
                <w:rFonts w:ascii="宋体" w:eastAsia="宋体" w:hAnsi="宋体" w:cs="宋体" w:hint="eastAsia"/>
                <w:sz w:val="24"/>
                <w:szCs w:val="24"/>
                <w:lang w:val="en-US" w:eastAsia="zh-CN"/>
              </w:rPr>
              <w:t>固态盘</w:t>
            </w:r>
            <w:r>
              <w:rPr>
                <w:rFonts w:ascii="宋体" w:eastAsia="宋体" w:hAnsi="宋体" w:cs="宋体" w:hint="eastAsia"/>
                <w:sz w:val="24"/>
                <w:szCs w:val="24"/>
              </w:rPr>
              <w:t>128 GB</w:t>
            </w:r>
            <w:r>
              <w:rPr>
                <w:rFonts w:ascii="宋体" w:eastAsia="宋体" w:hAnsi="宋体" w:cs="宋体" w:hint="eastAsia"/>
                <w:sz w:val="24"/>
                <w:szCs w:val="24"/>
                <w:lang w:val="en-US" w:eastAsia="zh-CN"/>
              </w:rPr>
              <w:t>或以上</w:t>
            </w:r>
            <w:r>
              <w:rPr>
                <w:rFonts w:ascii="宋体" w:eastAsia="宋体" w:hAnsi="宋体" w:cs="宋体" w:hint="eastAsia"/>
                <w:sz w:val="24"/>
                <w:szCs w:val="24"/>
              </w:rPr>
              <w:t xml:space="preserve"> </w:t>
            </w:r>
          </w:p>
        </w:tc>
      </w:tr>
      <w:tr>
        <w:tblPrEx>
          <w:tblW w:w="4998" w:type="pct"/>
          <w:jc w:val="center"/>
          <w:tblCellMar>
            <w:top w:w="0" w:type="dxa"/>
            <w:left w:w="108" w:type="dxa"/>
            <w:bottom w:w="0" w:type="dxa"/>
            <w:right w:w="108" w:type="dxa"/>
          </w:tblCellMar>
        </w:tblPrEx>
        <w:trPr>
          <w:trHeight w:val="510"/>
          <w:jc w:val="center"/>
        </w:trPr>
        <w:tc>
          <w:tcPr>
            <w:tcW w:w="909" w:type="pct"/>
            <w:vMerge/>
          </w:tcPr>
          <w:p>
            <w:pPr>
              <w:adjustRightInd w:val="0"/>
              <w:snapToGrid w:val="0"/>
              <w:rPr>
                <w:rFonts w:ascii="宋体" w:eastAsia="宋体" w:hAnsi="宋体" w:cs="宋体" w:hint="eastAsia"/>
                <w:sz w:val="24"/>
                <w:szCs w:val="24"/>
              </w:rPr>
            </w:pPr>
          </w:p>
        </w:tc>
        <w:tc>
          <w:tcPr>
            <w:tcW w:w="4090" w:type="pct"/>
            <w:vAlign w:val="center"/>
          </w:tcPr>
          <w:p>
            <w:pPr>
              <w:widowControl/>
              <w:adjustRightInd/>
              <w:snapToGrid/>
              <w:spacing w:line="240" w:lineRule="auto"/>
              <w:jc w:val="left"/>
              <w:textAlignment w:val="auto"/>
              <w:rPr>
                <w:rFonts w:ascii="宋体" w:eastAsia="宋体" w:hAnsi="宋体" w:cs="宋体" w:hint="eastAsia"/>
                <w:bCs/>
                <w:sz w:val="24"/>
                <w:szCs w:val="24"/>
                <w:lang w:val="en-US" w:eastAsia="zh-CN"/>
              </w:rPr>
            </w:pPr>
            <w:r>
              <w:rPr>
                <w:rFonts w:ascii="宋体" w:eastAsia="宋体" w:hAnsi="宋体" w:cs="宋体" w:hint="eastAsia"/>
                <w:bCs/>
                <w:sz w:val="24"/>
                <w:szCs w:val="24"/>
                <w:lang w:val="en-US" w:eastAsia="zh-CN"/>
              </w:rPr>
              <w:t>2.5性能</w:t>
            </w:r>
          </w:p>
          <w:p>
            <w:pPr>
              <w:keepNext w:val="0"/>
              <w:keepLines w:val="0"/>
              <w:widowControl/>
              <w:suppressLineNumbers w:val="0"/>
              <w:jc w:val="left"/>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bCs/>
                <w:sz w:val="24"/>
                <w:szCs w:val="24"/>
                <w:lang w:val="en-US" w:eastAsia="zh-CN"/>
              </w:rPr>
              <w:t>2.5.1</w:t>
            </w:r>
            <w:r>
              <w:rPr>
                <w:rFonts w:ascii="宋体" w:eastAsia="宋体" w:hAnsi="宋体" w:cs="宋体" w:hint="eastAsia"/>
                <w:color w:val="231F20"/>
                <w:kern w:val="0"/>
                <w:sz w:val="24"/>
                <w:szCs w:val="24"/>
                <w:lang w:val="en-US" w:eastAsia="zh-CN"/>
              </w:rPr>
              <w:t>交换能力</w:t>
            </w:r>
            <w:r>
              <w:rPr>
                <w:rFonts w:ascii="宋体" w:eastAsia="宋体" w:hAnsi="宋体" w:cs="宋体" w:hint="eastAsia"/>
                <w:bCs/>
                <w:sz w:val="24"/>
                <w:szCs w:val="24"/>
              </w:rPr>
              <w:t>≥</w:t>
            </w:r>
            <w:r>
              <w:rPr>
                <w:rFonts w:ascii="宋体" w:eastAsia="宋体" w:hAnsi="宋体" w:cs="宋体" w:hint="eastAsia"/>
                <w:color w:val="231F20"/>
                <w:kern w:val="0"/>
                <w:sz w:val="24"/>
                <w:szCs w:val="24"/>
                <w:lang w:val="en-US" w:eastAsia="zh-CN"/>
              </w:rPr>
              <w:t>4.0 Tbps</w:t>
            </w:r>
          </w:p>
        </w:tc>
      </w:tr>
      <w:tr>
        <w:tblPrEx>
          <w:tblW w:w="4998" w:type="pct"/>
          <w:jc w:val="center"/>
          <w:tblCellMar>
            <w:top w:w="0" w:type="dxa"/>
            <w:left w:w="108" w:type="dxa"/>
            <w:bottom w:w="0" w:type="dxa"/>
            <w:right w:w="108" w:type="dxa"/>
          </w:tblCellMar>
        </w:tblPrEx>
        <w:trPr>
          <w:trHeight w:val="510"/>
          <w:jc w:val="center"/>
        </w:trPr>
        <w:tc>
          <w:tcPr>
            <w:tcW w:w="909" w:type="pct"/>
            <w:vMerge/>
          </w:tcPr>
          <w:p>
            <w:pPr>
              <w:adjustRightInd w:val="0"/>
              <w:snapToGrid w:val="0"/>
              <w:rPr>
                <w:rFonts w:ascii="宋体" w:eastAsia="宋体" w:hAnsi="宋体" w:cs="宋体" w:hint="eastAsia"/>
                <w:sz w:val="24"/>
                <w:szCs w:val="24"/>
              </w:rPr>
            </w:pPr>
          </w:p>
        </w:tc>
        <w:tc>
          <w:tcPr>
            <w:tcW w:w="4090" w:type="pct"/>
            <w:vAlign w:val="center"/>
          </w:tcPr>
          <w:p>
            <w:pPr>
              <w:widowControl/>
              <w:adjustRightInd/>
              <w:snapToGrid/>
              <w:spacing w:line="240" w:lineRule="auto"/>
              <w:jc w:val="left"/>
              <w:textAlignment w:val="auto"/>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color w:val="231F20"/>
                <w:kern w:val="0"/>
                <w:sz w:val="24"/>
                <w:szCs w:val="24"/>
                <w:lang w:val="en-US" w:eastAsia="zh-CN"/>
              </w:rPr>
              <w:t>2.5.2用于扩展表大小和统计的高容量外部 TCAM (BC-M16K)</w:t>
            </w:r>
            <w:r>
              <w:rPr>
                <w:rFonts w:ascii="宋体" w:eastAsia="宋体" w:hAnsi="宋体" w:cs="宋体" w:hint="eastAsia"/>
                <w:b/>
                <w:bCs w:val="0"/>
                <w:sz w:val="24"/>
                <w:szCs w:val="24"/>
                <w:lang w:eastAsia="zh-CN"/>
              </w:rPr>
              <w:t>（</w:t>
            </w:r>
            <w:r>
              <w:rPr>
                <w:rFonts w:ascii="宋体" w:eastAsia="宋体" w:hAnsi="宋体" w:cs="宋体" w:hint="eastAsia"/>
                <w:b/>
                <w:bCs w:val="0"/>
                <w:sz w:val="24"/>
                <w:szCs w:val="24"/>
                <w:lang w:val="en-US" w:eastAsia="zh-CN"/>
              </w:rPr>
              <w:t>提供官网技术资料截图或公开发行的技术彩页证明扫描件，原件备查。</w:t>
            </w:r>
            <w:r>
              <w:rPr>
                <w:rFonts w:ascii="宋体" w:eastAsia="宋体" w:hAnsi="宋体" w:cs="宋体" w:hint="eastAsia"/>
                <w:b/>
                <w:bCs w:val="0"/>
                <w:sz w:val="24"/>
                <w:szCs w:val="24"/>
                <w:lang w:eastAsia="zh-CN"/>
              </w:rPr>
              <w:t>）</w:t>
            </w:r>
          </w:p>
        </w:tc>
      </w:tr>
      <w:tr>
        <w:tblPrEx>
          <w:tblW w:w="4998" w:type="pct"/>
          <w:jc w:val="center"/>
          <w:tblCellMar>
            <w:top w:w="0" w:type="dxa"/>
            <w:left w:w="108" w:type="dxa"/>
            <w:bottom w:w="0" w:type="dxa"/>
            <w:right w:w="108" w:type="dxa"/>
          </w:tblCellMar>
        </w:tblPrEx>
        <w:trPr>
          <w:trHeight w:val="510"/>
          <w:jc w:val="center"/>
        </w:trPr>
        <w:tc>
          <w:tcPr>
            <w:tcW w:w="909" w:type="pct"/>
            <w:vMerge/>
          </w:tcPr>
          <w:p>
            <w:pPr>
              <w:adjustRightInd w:val="0"/>
              <w:snapToGrid w:val="0"/>
              <w:rPr>
                <w:rFonts w:ascii="宋体" w:eastAsia="宋体" w:hAnsi="宋体" w:cs="宋体" w:hint="eastAsia"/>
                <w:sz w:val="24"/>
                <w:szCs w:val="24"/>
              </w:rPr>
            </w:pPr>
          </w:p>
        </w:tc>
        <w:tc>
          <w:tcPr>
            <w:tcW w:w="4090" w:type="pct"/>
            <w:vAlign w:val="center"/>
          </w:tcPr>
          <w:p>
            <w:pPr>
              <w:widowControl/>
              <w:adjustRightInd w:val="0"/>
              <w:snapToGrid w:val="0"/>
              <w:spacing w:line="240" w:lineRule="auto"/>
              <w:jc w:val="left"/>
              <w:textAlignment w:val="auto"/>
              <w:rPr>
                <w:rFonts w:ascii="宋体" w:eastAsia="宋体" w:hAnsi="宋体" w:cs="宋体" w:hint="eastAsia"/>
                <w:bCs/>
                <w:sz w:val="24"/>
                <w:szCs w:val="24"/>
                <w:lang w:val="en-US" w:eastAsia="zh-CN"/>
              </w:rPr>
            </w:pPr>
            <w:r>
              <w:rPr>
                <w:rFonts w:ascii="宋体" w:eastAsia="宋体" w:hAnsi="宋体" w:cs="宋体" w:hint="eastAsia"/>
                <w:bCs/>
                <w:sz w:val="24"/>
                <w:szCs w:val="24"/>
                <w:lang w:val="en-US" w:eastAsia="zh-CN"/>
              </w:rPr>
              <w:t>2.6电源</w:t>
            </w:r>
          </w:p>
          <w:p>
            <w:pPr>
              <w:widowControl/>
              <w:jc w:val="left"/>
              <w:rPr>
                <w:rFonts w:ascii="宋体" w:eastAsia="宋体" w:hAnsi="宋体" w:cs="宋体" w:hint="eastAsia"/>
                <w:bCs/>
                <w:sz w:val="24"/>
                <w:szCs w:val="24"/>
              </w:rPr>
            </w:pPr>
            <w:r>
              <w:rPr>
                <w:rFonts w:ascii="宋体" w:eastAsia="宋体" w:hAnsi="宋体" w:cs="宋体" w:hint="eastAsia"/>
                <w:bCs/>
                <w:sz w:val="24"/>
                <w:szCs w:val="24"/>
                <w:lang w:val="en-US" w:eastAsia="zh-CN"/>
              </w:rPr>
              <w:t xml:space="preserve">2.6.1 </w:t>
            </w:r>
            <w:r>
              <w:rPr>
                <w:rFonts w:ascii="宋体" w:eastAsia="宋体" w:hAnsi="宋体" w:cs="宋体" w:hint="eastAsia"/>
                <w:color w:val="231F20"/>
                <w:kern w:val="0"/>
                <w:sz w:val="24"/>
                <w:szCs w:val="24"/>
                <w:lang w:val="en-US" w:eastAsia="zh-CN"/>
              </w:rPr>
              <w:t>1+1 冗余、负载共享和热插拔电源</w:t>
            </w:r>
          </w:p>
        </w:tc>
      </w:tr>
      <w:tr>
        <w:tblPrEx>
          <w:tblW w:w="4998" w:type="pct"/>
          <w:jc w:val="center"/>
          <w:tblCellMar>
            <w:top w:w="0" w:type="dxa"/>
            <w:left w:w="108" w:type="dxa"/>
            <w:bottom w:w="0" w:type="dxa"/>
            <w:right w:w="108" w:type="dxa"/>
          </w:tblCellMar>
        </w:tblPrEx>
        <w:trPr>
          <w:trHeight w:val="510"/>
          <w:jc w:val="center"/>
        </w:trPr>
        <w:tc>
          <w:tcPr>
            <w:tcW w:w="909" w:type="pct"/>
            <w:vMerge/>
          </w:tcPr>
          <w:p>
            <w:pPr>
              <w:adjustRightInd w:val="0"/>
              <w:snapToGrid w:val="0"/>
              <w:rPr>
                <w:rFonts w:ascii="宋体" w:eastAsia="宋体" w:hAnsi="宋体" w:cs="宋体" w:hint="eastAsia"/>
                <w:sz w:val="24"/>
                <w:szCs w:val="24"/>
              </w:rPr>
            </w:pPr>
          </w:p>
        </w:tc>
        <w:tc>
          <w:tcPr>
            <w:tcW w:w="4090" w:type="pct"/>
            <w:vAlign w:val="center"/>
          </w:tcPr>
          <w:p>
            <w:pPr>
              <w:widowControl/>
              <w:jc w:val="left"/>
              <w:rPr>
                <w:rFonts w:ascii="宋体" w:eastAsia="宋体" w:hAnsi="宋体" w:cs="宋体" w:hint="eastAsia"/>
                <w:bCs/>
                <w:sz w:val="24"/>
                <w:szCs w:val="24"/>
              </w:rPr>
            </w:pPr>
            <w:r>
              <w:rPr>
                <w:rFonts w:ascii="宋体" w:eastAsia="宋体" w:hAnsi="宋体" w:cs="宋体" w:hint="eastAsia"/>
                <w:bCs/>
                <w:sz w:val="24"/>
                <w:szCs w:val="24"/>
              </w:rPr>
              <w:t>▲</w:t>
            </w:r>
            <w:r>
              <w:rPr>
                <w:rFonts w:ascii="宋体" w:eastAsia="宋体" w:hAnsi="宋体" w:cs="宋体" w:hint="eastAsia"/>
                <w:color w:val="231F20"/>
                <w:kern w:val="0"/>
                <w:sz w:val="24"/>
                <w:szCs w:val="24"/>
                <w:lang w:val="en-US" w:eastAsia="zh-CN"/>
              </w:rPr>
              <w:t>2.6.2功耗范围满足：不高于1400W</w:t>
            </w:r>
            <w:r>
              <w:rPr>
                <w:rFonts w:ascii="宋体" w:eastAsia="宋体" w:hAnsi="宋体" w:cs="宋体" w:hint="eastAsia"/>
                <w:b/>
                <w:bCs w:val="0"/>
                <w:sz w:val="24"/>
                <w:szCs w:val="24"/>
                <w:lang w:eastAsia="zh-CN"/>
              </w:rPr>
              <w:t>（</w:t>
            </w:r>
            <w:r>
              <w:rPr>
                <w:rFonts w:ascii="宋体" w:eastAsia="宋体" w:hAnsi="宋体" w:cs="宋体" w:hint="eastAsia"/>
                <w:b/>
                <w:bCs w:val="0"/>
                <w:sz w:val="24"/>
                <w:szCs w:val="24"/>
                <w:lang w:val="en-US" w:eastAsia="zh-CN"/>
              </w:rPr>
              <w:t>提供官网技术资料截图或公开发行的技术彩页证明扫描件，原件备查。</w:t>
            </w:r>
            <w:r>
              <w:rPr>
                <w:rFonts w:ascii="宋体" w:eastAsia="宋体" w:hAnsi="宋体" w:cs="宋体" w:hint="eastAsia"/>
                <w:b/>
                <w:bCs w:val="0"/>
                <w:sz w:val="24"/>
                <w:szCs w:val="24"/>
                <w:lang w:eastAsia="zh-CN"/>
              </w:rPr>
              <w:t>）</w:t>
            </w:r>
          </w:p>
        </w:tc>
      </w:tr>
      <w:tr>
        <w:tblPrEx>
          <w:tblW w:w="4998" w:type="pct"/>
          <w:jc w:val="center"/>
          <w:tblCellMar>
            <w:top w:w="0" w:type="dxa"/>
            <w:left w:w="108" w:type="dxa"/>
            <w:bottom w:w="0" w:type="dxa"/>
            <w:right w:w="108" w:type="dxa"/>
          </w:tblCellMar>
        </w:tblPrEx>
        <w:trPr>
          <w:trHeight w:val="510"/>
          <w:jc w:val="center"/>
        </w:trPr>
        <w:tc>
          <w:tcPr>
            <w:tcW w:w="909" w:type="pct"/>
            <w:vMerge/>
          </w:tcPr>
          <w:p>
            <w:pPr>
              <w:adjustRightInd w:val="0"/>
              <w:snapToGrid w:val="0"/>
              <w:rPr>
                <w:rFonts w:ascii="宋体" w:eastAsia="宋体" w:hAnsi="宋体" w:cs="宋体" w:hint="eastAsia"/>
                <w:sz w:val="24"/>
                <w:szCs w:val="24"/>
              </w:rPr>
            </w:pPr>
          </w:p>
        </w:tc>
        <w:tc>
          <w:tcPr>
            <w:tcW w:w="4090" w:type="pct"/>
            <w:vAlign w:val="center"/>
          </w:tcPr>
          <w:p>
            <w:pPr>
              <w:keepNext w:val="0"/>
              <w:keepLines w:val="0"/>
              <w:widowControl/>
              <w:suppressLineNumbers w:val="0"/>
              <w:jc w:val="left"/>
              <w:rPr>
                <w:rFonts w:ascii="宋体" w:eastAsia="宋体" w:hAnsi="宋体" w:cs="宋体" w:hint="eastAsia"/>
                <w:color w:val="231F20"/>
                <w:kern w:val="0"/>
                <w:sz w:val="24"/>
                <w:szCs w:val="24"/>
                <w:lang w:val="en-US" w:eastAsia="zh-CN"/>
              </w:rPr>
            </w:pPr>
            <w:r>
              <w:rPr>
                <w:rFonts w:ascii="宋体" w:eastAsia="宋体" w:hAnsi="宋体" w:cs="宋体" w:hint="eastAsia"/>
                <w:color w:val="231F20"/>
                <w:kern w:val="0"/>
                <w:sz w:val="24"/>
                <w:szCs w:val="24"/>
                <w:lang w:val="en-US" w:eastAsia="zh-CN"/>
              </w:rPr>
              <w:t>2.7设备工作环境</w:t>
            </w:r>
          </w:p>
          <w:p>
            <w:pPr>
              <w:widowControl/>
              <w:jc w:val="left"/>
              <w:rPr>
                <w:rFonts w:ascii="宋体" w:eastAsia="宋体" w:hAnsi="宋体" w:cs="宋体" w:hint="eastAsia"/>
                <w:bCs/>
                <w:sz w:val="24"/>
                <w:szCs w:val="24"/>
              </w:rPr>
            </w:pPr>
            <w:r>
              <w:rPr>
                <w:rFonts w:ascii="宋体" w:eastAsia="宋体" w:hAnsi="宋体" w:cs="宋体" w:hint="eastAsia"/>
                <w:color w:val="231F20"/>
                <w:kern w:val="0"/>
                <w:sz w:val="24"/>
                <w:szCs w:val="24"/>
                <w:lang w:val="en-US" w:eastAsia="zh-CN"/>
              </w:rPr>
              <w:t>2.7.1 风扇支持：热插拔4+1冗余风扇或以上</w:t>
            </w:r>
          </w:p>
        </w:tc>
      </w:tr>
      <w:tr>
        <w:tblPrEx>
          <w:tblW w:w="4998" w:type="pct"/>
          <w:jc w:val="center"/>
          <w:tblCellMar>
            <w:top w:w="0" w:type="dxa"/>
            <w:left w:w="108" w:type="dxa"/>
            <w:bottom w:w="0" w:type="dxa"/>
            <w:right w:w="108" w:type="dxa"/>
          </w:tblCellMar>
        </w:tblPrEx>
        <w:trPr>
          <w:trHeight w:val="510"/>
          <w:jc w:val="center"/>
        </w:trPr>
        <w:tc>
          <w:tcPr>
            <w:tcW w:w="909" w:type="pct"/>
            <w:vMerge/>
          </w:tcPr>
          <w:p>
            <w:pPr>
              <w:adjustRightInd w:val="0"/>
              <w:snapToGrid w:val="0"/>
              <w:rPr>
                <w:rFonts w:ascii="宋体" w:eastAsia="宋体" w:hAnsi="宋体" w:cs="宋体" w:hint="eastAsia"/>
                <w:sz w:val="24"/>
                <w:szCs w:val="24"/>
              </w:rPr>
            </w:pPr>
          </w:p>
        </w:tc>
        <w:tc>
          <w:tcPr>
            <w:tcW w:w="4090" w:type="pct"/>
            <w:vAlign w:val="center"/>
          </w:tcPr>
          <w:p>
            <w:pPr>
              <w:keepNext w:val="0"/>
              <w:keepLines w:val="0"/>
              <w:widowControl/>
              <w:suppressLineNumbers w:val="0"/>
              <w:jc w:val="left"/>
              <w:rPr>
                <w:rFonts w:ascii="宋体" w:eastAsia="宋体" w:hAnsi="宋体" w:cs="宋体" w:hint="eastAsia"/>
                <w:bCs/>
                <w:sz w:val="24"/>
                <w:szCs w:val="24"/>
              </w:rPr>
            </w:pPr>
            <w:r>
              <w:rPr>
                <w:rFonts w:ascii="宋体" w:eastAsia="宋体" w:hAnsi="宋体" w:cs="宋体" w:hint="eastAsia"/>
                <w:color w:val="231F20"/>
                <w:kern w:val="0"/>
                <w:sz w:val="24"/>
                <w:szCs w:val="24"/>
                <w:lang w:val="en-US" w:eastAsia="zh-CN"/>
              </w:rPr>
              <w:t xml:space="preserve">2.7.2工作温度范围支持：0°C 至 55°C </w:t>
            </w:r>
          </w:p>
        </w:tc>
      </w:tr>
      <w:tr>
        <w:tblPrEx>
          <w:tblW w:w="4998" w:type="pct"/>
          <w:jc w:val="center"/>
          <w:tblCellMar>
            <w:top w:w="0" w:type="dxa"/>
            <w:left w:w="108" w:type="dxa"/>
            <w:bottom w:w="0" w:type="dxa"/>
            <w:right w:w="108" w:type="dxa"/>
          </w:tblCellMar>
        </w:tblPrEx>
        <w:trPr>
          <w:trHeight w:val="510"/>
          <w:jc w:val="center"/>
        </w:trPr>
        <w:tc>
          <w:tcPr>
            <w:tcW w:w="909" w:type="pct"/>
            <w:vMerge/>
          </w:tcPr>
          <w:p>
            <w:pPr>
              <w:adjustRightInd w:val="0"/>
              <w:snapToGrid w:val="0"/>
              <w:rPr>
                <w:rFonts w:ascii="宋体" w:eastAsia="宋体" w:hAnsi="宋体" w:cs="宋体" w:hint="eastAsia"/>
                <w:sz w:val="24"/>
                <w:szCs w:val="24"/>
              </w:rPr>
            </w:pPr>
          </w:p>
        </w:tc>
        <w:tc>
          <w:tcPr>
            <w:tcW w:w="4090" w:type="pct"/>
            <w:vAlign w:val="center"/>
          </w:tcPr>
          <w:p>
            <w:pPr>
              <w:keepNext w:val="0"/>
              <w:keepLines w:val="0"/>
              <w:widowControl/>
              <w:suppressLineNumbers w:val="0"/>
              <w:jc w:val="left"/>
              <w:rPr>
                <w:rFonts w:ascii="宋体" w:eastAsia="宋体" w:hAnsi="宋体" w:cs="宋体" w:hint="eastAsia"/>
                <w:bCs/>
                <w:sz w:val="24"/>
                <w:szCs w:val="24"/>
              </w:rPr>
            </w:pPr>
            <w:r>
              <w:rPr>
                <w:rFonts w:ascii="宋体" w:eastAsia="宋体" w:hAnsi="宋体" w:cs="宋体" w:hint="eastAsia"/>
                <w:color w:val="231F20"/>
                <w:kern w:val="0"/>
                <w:sz w:val="24"/>
                <w:szCs w:val="24"/>
                <w:lang w:val="en-US" w:eastAsia="zh-CN"/>
              </w:rPr>
              <w:t>2.7.3工作湿度范围最高支持 90%</w:t>
            </w:r>
          </w:p>
        </w:tc>
      </w:tr>
    </w:tbl>
    <w:p>
      <w:pPr>
        <w:pStyle w:val="PlainText"/>
        <w:numPr>
          <w:ilvl w:val="0"/>
          <w:numId w:val="2"/>
        </w:numPr>
        <w:tabs>
          <w:tab w:val="left" w:pos="540"/>
        </w:tabs>
        <w:adjustRightInd w:val="0"/>
        <w:snapToGrid w:val="0"/>
        <w:spacing w:line="360" w:lineRule="auto"/>
        <w:rPr>
          <w:rFonts w:asciiTheme="minorEastAsia" w:hAnsiTheme="minorEastAsia"/>
          <w:b/>
          <w:color w:val="FF0000"/>
          <w:sz w:val="24"/>
          <w:szCs w:val="24"/>
        </w:rPr>
      </w:pPr>
      <w:r>
        <w:rPr>
          <w:rFonts w:asciiTheme="minorEastAsia" w:hAnsiTheme="minorEastAsia" w:hint="eastAsia"/>
          <w:b/>
          <w:color w:val="auto"/>
          <w:sz w:val="24"/>
          <w:szCs w:val="24"/>
        </w:rPr>
        <w:t>商务要求：</w:t>
      </w:r>
      <w:r>
        <w:rPr>
          <w:rFonts w:asciiTheme="minorEastAsia" w:hAnsiTheme="minorEastAsia"/>
          <w:b/>
          <w:color w:val="FF0000"/>
          <w:sz w:val="24"/>
          <w:szCs w:val="24"/>
        </w:rPr>
        <w:t xml:space="preserve"> </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118"/>
        <w:gridCol w:w="2015"/>
        <w:gridCol w:w="626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7"/>
        </w:trPr>
        <w:tc>
          <w:tcPr>
            <w:tcW w:w="595" w:type="pct"/>
            <w:vAlign w:val="center"/>
          </w:tcPr>
          <w:p>
            <w:pPr>
              <w:widowControl/>
              <w:adjustRightInd w:val="0"/>
              <w:snapToGrid w:val="0"/>
              <w:jc w:val="left"/>
              <w:rPr>
                <w:rFonts w:ascii="宋体" w:eastAsia="宋体" w:hAnsi="宋体" w:cs="宋体" w:hint="eastAsia"/>
                <w:b/>
                <w:sz w:val="24"/>
                <w:szCs w:val="24"/>
              </w:rPr>
            </w:pPr>
            <w:r>
              <w:rPr>
                <w:rFonts w:ascii="宋体" w:eastAsia="宋体" w:hAnsi="宋体" w:cs="宋体" w:hint="eastAsia"/>
                <w:b/>
                <w:sz w:val="24"/>
                <w:szCs w:val="24"/>
              </w:rPr>
              <w:t>序号</w:t>
            </w:r>
          </w:p>
        </w:tc>
        <w:tc>
          <w:tcPr>
            <w:tcW w:w="1072" w:type="pct"/>
            <w:vAlign w:val="center"/>
          </w:tcPr>
          <w:p>
            <w:pPr>
              <w:widowControl/>
              <w:adjustRightInd w:val="0"/>
              <w:snapToGrid w:val="0"/>
              <w:jc w:val="left"/>
              <w:rPr>
                <w:rFonts w:ascii="宋体" w:eastAsia="宋体" w:hAnsi="宋体" w:cs="宋体" w:hint="eastAsia"/>
                <w:b/>
                <w:sz w:val="24"/>
                <w:szCs w:val="24"/>
              </w:rPr>
            </w:pPr>
            <w:r>
              <w:rPr>
                <w:rFonts w:ascii="宋体" w:eastAsia="宋体" w:hAnsi="宋体" w:cs="宋体" w:hint="eastAsia"/>
                <w:b/>
                <w:sz w:val="24"/>
                <w:szCs w:val="24"/>
              </w:rPr>
              <w:t>目录</w:t>
            </w:r>
          </w:p>
        </w:tc>
        <w:tc>
          <w:tcPr>
            <w:tcW w:w="3331" w:type="pct"/>
            <w:vAlign w:val="center"/>
          </w:tcPr>
          <w:p>
            <w:pPr>
              <w:widowControl/>
              <w:adjustRightInd w:val="0"/>
              <w:snapToGrid w:val="0"/>
              <w:jc w:val="left"/>
              <w:rPr>
                <w:rFonts w:ascii="宋体" w:eastAsia="宋体" w:hAnsi="宋体" w:cs="宋体" w:hint="eastAsia"/>
                <w:b/>
                <w:sz w:val="24"/>
                <w:szCs w:val="24"/>
              </w:rPr>
            </w:pPr>
            <w:r>
              <w:rPr>
                <w:rFonts w:ascii="宋体" w:eastAsia="宋体" w:hAnsi="宋体" w:cs="宋体" w:hint="eastAsia"/>
                <w:b/>
                <w:sz w:val="24"/>
                <w:szCs w:val="24"/>
              </w:rPr>
              <w:t>招标商务需求</w:t>
            </w:r>
          </w:p>
        </w:tc>
      </w:tr>
      <w:tr>
        <w:tblPrEx>
          <w:tblW w:w="5000" w:type="pct"/>
          <w:tblInd w:w="0" w:type="dxa"/>
          <w:tblCellMar>
            <w:top w:w="0" w:type="dxa"/>
            <w:left w:w="108" w:type="dxa"/>
            <w:bottom w:w="0" w:type="dxa"/>
            <w:right w:w="108" w:type="dxa"/>
          </w:tblCellMar>
        </w:tblPrEx>
        <w:trPr>
          <w:trHeight w:val="280"/>
        </w:trPr>
        <w:tc>
          <w:tcPr>
            <w:tcW w:w="5000" w:type="pct"/>
            <w:gridSpan w:val="3"/>
          </w:tcPr>
          <w:p>
            <w:pPr>
              <w:widowControl/>
              <w:adjustRightInd w:val="0"/>
              <w:snapToGrid w:val="0"/>
              <w:jc w:val="left"/>
              <w:rPr>
                <w:rFonts w:ascii="宋体" w:eastAsia="宋体" w:hAnsi="宋体" w:cs="宋体" w:hint="eastAsia"/>
                <w:b/>
                <w:sz w:val="24"/>
                <w:szCs w:val="24"/>
              </w:rPr>
            </w:pPr>
            <w:r>
              <w:rPr>
                <w:rFonts w:ascii="宋体" w:eastAsia="宋体" w:hAnsi="宋体" w:cs="宋体" w:hint="eastAsia"/>
                <w:b/>
                <w:sz w:val="24"/>
                <w:szCs w:val="24"/>
              </w:rPr>
              <w:t>（一）免费保修期内售后服务要求</w:t>
            </w:r>
          </w:p>
        </w:tc>
      </w:tr>
      <w:tr>
        <w:tblPrEx>
          <w:tblW w:w="5000" w:type="pct"/>
          <w:tblInd w:w="0" w:type="dxa"/>
          <w:tblCellMar>
            <w:top w:w="0" w:type="dxa"/>
            <w:left w:w="108" w:type="dxa"/>
            <w:bottom w:w="0" w:type="dxa"/>
            <w:right w:w="108" w:type="dxa"/>
          </w:tblCellMar>
        </w:tblPrEx>
        <w:trPr>
          <w:trHeight w:val="150"/>
        </w:trPr>
        <w:tc>
          <w:tcPr>
            <w:tcW w:w="595" w:type="pct"/>
          </w:tcPr>
          <w:p>
            <w:pPr>
              <w:widowControl/>
              <w:adjustRightInd w:val="0"/>
              <w:snapToGrid w:val="0"/>
              <w:rPr>
                <w:rFonts w:ascii="宋体" w:eastAsia="宋体" w:hAnsi="宋体" w:cs="宋体" w:hint="eastAsia"/>
                <w:b w:val="0"/>
                <w:bCs/>
                <w:sz w:val="24"/>
                <w:szCs w:val="24"/>
              </w:rPr>
            </w:pPr>
            <w:r>
              <w:rPr>
                <w:rFonts w:ascii="宋体" w:eastAsia="宋体" w:hAnsi="宋体" w:cs="宋体" w:hint="eastAsia"/>
                <w:b w:val="0"/>
                <w:bCs/>
                <w:sz w:val="24"/>
                <w:szCs w:val="24"/>
              </w:rPr>
              <w:t>1</w:t>
            </w:r>
          </w:p>
        </w:tc>
        <w:tc>
          <w:tcPr>
            <w:tcW w:w="1072" w:type="pct"/>
          </w:tcPr>
          <w:p>
            <w:pPr>
              <w:widowControl/>
              <w:adjustRightInd w:val="0"/>
              <w:snapToGrid w:val="0"/>
              <w:rPr>
                <w:rFonts w:ascii="宋体" w:eastAsia="宋体" w:hAnsi="宋体" w:cs="宋体" w:hint="eastAsia"/>
                <w:sz w:val="24"/>
                <w:szCs w:val="24"/>
              </w:rPr>
            </w:pPr>
            <w:r>
              <w:rPr>
                <w:rFonts w:ascii="宋体" w:eastAsia="宋体" w:hAnsi="宋体" w:cs="宋体" w:hint="eastAsia"/>
                <w:sz w:val="24"/>
                <w:szCs w:val="24"/>
              </w:rPr>
              <w:t>★免费保修期</w:t>
            </w:r>
          </w:p>
        </w:tc>
        <w:tc>
          <w:tcPr>
            <w:tcW w:w="3331" w:type="pct"/>
          </w:tcPr>
          <w:p>
            <w:pPr>
              <w:widowControl/>
              <w:adjustRightInd w:val="0"/>
              <w:snapToGrid w:val="0"/>
              <w:jc w:val="left"/>
              <w:rPr>
                <w:rFonts w:ascii="宋体" w:eastAsia="宋体" w:hAnsi="宋体" w:cs="宋体" w:hint="eastAsia"/>
                <w:b/>
                <w:sz w:val="24"/>
                <w:szCs w:val="24"/>
              </w:rPr>
            </w:pPr>
            <w:r>
              <w:rPr>
                <w:rFonts w:ascii="宋体" w:eastAsia="宋体" w:hAnsi="宋体" w:cs="宋体" w:hint="eastAsia"/>
                <w:bCs/>
                <w:sz w:val="24"/>
                <w:szCs w:val="24"/>
              </w:rPr>
              <w:t>货物免费保修期</w:t>
            </w:r>
            <w:r>
              <w:rPr>
                <w:rFonts w:ascii="宋体" w:eastAsia="宋体" w:hAnsi="宋体" w:cs="宋体" w:hint="eastAsia"/>
                <w:bCs/>
                <w:sz w:val="24"/>
                <w:szCs w:val="24"/>
                <w:u w:val="single"/>
              </w:rPr>
              <w:t>3</w:t>
            </w:r>
            <w:r>
              <w:rPr>
                <w:rFonts w:ascii="宋体" w:eastAsia="宋体" w:hAnsi="宋体" w:cs="宋体" w:hint="eastAsia"/>
                <w:bCs/>
                <w:sz w:val="24"/>
                <w:szCs w:val="24"/>
              </w:rPr>
              <w:t>年，时间自最终验收合格并交付使用之日起计算。</w:t>
            </w:r>
            <w:r>
              <w:rPr>
                <w:rFonts w:ascii="宋体" w:eastAsia="宋体" w:hAnsi="宋体" w:cs="宋体" w:hint="eastAsia"/>
                <w:sz w:val="24"/>
                <w:szCs w:val="24"/>
              </w:rPr>
              <w:t>保修期内产生的一切费用均由</w:t>
            </w:r>
            <w:r>
              <w:rPr>
                <w:rFonts w:ascii="宋体" w:eastAsia="宋体" w:hAnsi="宋体" w:cs="宋体" w:hint="eastAsia"/>
                <w:bCs/>
                <w:sz w:val="24"/>
                <w:szCs w:val="24"/>
              </w:rPr>
              <w:t>中标人</w:t>
            </w:r>
            <w:r>
              <w:rPr>
                <w:rFonts w:ascii="宋体" w:eastAsia="宋体" w:hAnsi="宋体" w:cs="宋体" w:hint="eastAsia"/>
                <w:sz w:val="24"/>
                <w:szCs w:val="24"/>
              </w:rPr>
              <w:t>承担（含需要返原厂修理的所有费用）。</w:t>
            </w:r>
            <w:r>
              <w:rPr>
                <w:rFonts w:ascii="宋体" w:eastAsia="宋体" w:hAnsi="宋体" w:cs="宋体" w:hint="eastAsia"/>
                <w:bCs/>
                <w:sz w:val="24"/>
                <w:szCs w:val="24"/>
              </w:rPr>
              <w:t>中标人</w:t>
            </w:r>
            <w:r>
              <w:rPr>
                <w:rFonts w:ascii="宋体" w:eastAsia="宋体" w:hAnsi="宋体" w:cs="宋体" w:hint="eastAsia"/>
                <w:sz w:val="24"/>
                <w:szCs w:val="24"/>
              </w:rPr>
              <w:t>如在合理时间或本合同约定的时间内不能修复或不能调换，经采购人催告后仍无法交货的，采购人有权选择退货，</w:t>
            </w:r>
            <w:r>
              <w:rPr>
                <w:rFonts w:ascii="宋体" w:eastAsia="宋体" w:hAnsi="宋体" w:cs="宋体" w:hint="eastAsia"/>
                <w:bCs/>
                <w:sz w:val="24"/>
                <w:szCs w:val="24"/>
              </w:rPr>
              <w:t>中标人</w:t>
            </w:r>
            <w:r>
              <w:rPr>
                <w:rFonts w:ascii="宋体" w:eastAsia="宋体" w:hAnsi="宋体" w:cs="宋体" w:hint="eastAsia"/>
                <w:sz w:val="24"/>
                <w:szCs w:val="24"/>
              </w:rPr>
              <w:t>应按不能交货赔偿采购人。（保修期限自验收合格签字之日起算。）保修期内的检修期应相应延长相应免费保修期。</w:t>
            </w:r>
          </w:p>
        </w:tc>
      </w:tr>
      <w:tr>
        <w:tblPrEx>
          <w:tblW w:w="5000" w:type="pct"/>
          <w:tblInd w:w="0" w:type="dxa"/>
          <w:tblCellMar>
            <w:top w:w="0" w:type="dxa"/>
            <w:left w:w="108" w:type="dxa"/>
            <w:bottom w:w="0" w:type="dxa"/>
            <w:right w:w="108" w:type="dxa"/>
          </w:tblCellMar>
        </w:tblPrEx>
        <w:trPr>
          <w:trHeight w:val="320"/>
        </w:trPr>
        <w:tc>
          <w:tcPr>
            <w:tcW w:w="595" w:type="pct"/>
          </w:tcPr>
          <w:p>
            <w:pPr>
              <w:widowControl/>
              <w:adjustRightInd w:val="0"/>
              <w:snapToGrid w:val="0"/>
              <w:rPr>
                <w:rFonts w:ascii="宋体" w:eastAsia="宋体" w:hAnsi="宋体" w:cs="宋体" w:hint="eastAsia"/>
                <w:b w:val="0"/>
                <w:bCs/>
                <w:sz w:val="24"/>
                <w:szCs w:val="24"/>
              </w:rPr>
            </w:pPr>
            <w:r>
              <w:rPr>
                <w:rFonts w:ascii="宋体" w:eastAsia="宋体" w:hAnsi="宋体" w:cs="宋体" w:hint="eastAsia"/>
                <w:b w:val="0"/>
                <w:bCs/>
                <w:sz w:val="24"/>
                <w:szCs w:val="24"/>
              </w:rPr>
              <w:t>2</w:t>
            </w:r>
          </w:p>
        </w:tc>
        <w:tc>
          <w:tcPr>
            <w:tcW w:w="1072" w:type="pct"/>
          </w:tcPr>
          <w:p>
            <w:pPr>
              <w:widowControl/>
              <w:adjustRightInd w:val="0"/>
              <w:snapToGrid w:val="0"/>
              <w:rPr>
                <w:rFonts w:ascii="宋体" w:eastAsia="宋体" w:hAnsi="宋体" w:cs="宋体" w:hint="eastAsia"/>
                <w:sz w:val="24"/>
                <w:szCs w:val="24"/>
              </w:rPr>
            </w:pPr>
            <w:r>
              <w:rPr>
                <w:rFonts w:ascii="宋体" w:eastAsia="宋体" w:hAnsi="宋体" w:cs="宋体" w:hint="eastAsia"/>
                <w:sz w:val="24"/>
                <w:szCs w:val="24"/>
              </w:rPr>
              <w:t>维修响应及故障解决时间</w:t>
            </w:r>
          </w:p>
        </w:tc>
        <w:tc>
          <w:tcPr>
            <w:tcW w:w="3331" w:type="pct"/>
          </w:tcPr>
          <w:p>
            <w:pPr>
              <w:widowControl/>
              <w:adjustRightInd w:val="0"/>
              <w:snapToGrid w:val="0"/>
              <w:jc w:val="left"/>
              <w:rPr>
                <w:rFonts w:ascii="宋体" w:eastAsia="宋体" w:hAnsi="宋体" w:cs="宋体" w:hint="eastAsia"/>
                <w:b/>
                <w:sz w:val="24"/>
                <w:szCs w:val="24"/>
              </w:rPr>
            </w:pPr>
            <w:r>
              <w:rPr>
                <w:rFonts w:ascii="宋体" w:eastAsia="宋体" w:hAnsi="宋体" w:cs="宋体" w:hint="eastAsia"/>
                <w:bCs/>
                <w:sz w:val="24"/>
                <w:szCs w:val="24"/>
              </w:rPr>
              <w:t>在保修期内，一旦发生质量问题，中标人保证在接到通知24小时内赶到现场进行修理或更换。</w:t>
            </w:r>
            <w:r>
              <w:rPr>
                <w:rFonts w:ascii="宋体" w:eastAsia="宋体" w:hAnsi="宋体" w:cs="宋体" w:hint="eastAsia"/>
                <w:sz w:val="24"/>
                <w:szCs w:val="24"/>
              </w:rPr>
              <w:t>并提供维修所需的零配件，只收取材料成本费用。验收合格后，</w:t>
            </w:r>
            <w:r>
              <w:rPr>
                <w:rFonts w:ascii="宋体" w:eastAsia="宋体" w:hAnsi="宋体" w:cs="宋体" w:hint="eastAsia"/>
                <w:bCs/>
                <w:sz w:val="24"/>
                <w:szCs w:val="24"/>
              </w:rPr>
              <w:t>中</w:t>
            </w:r>
            <w:r>
              <w:rPr>
                <w:rFonts w:ascii="宋体" w:eastAsia="宋体" w:hAnsi="宋体" w:cs="宋体" w:hint="eastAsia"/>
                <w:sz w:val="24"/>
                <w:szCs w:val="24"/>
              </w:rPr>
              <w:t>标人免费提供软件升级服务（以官方发布时间为准）</w:t>
            </w:r>
          </w:p>
        </w:tc>
      </w:tr>
      <w:tr>
        <w:tblPrEx>
          <w:tblW w:w="5000" w:type="pct"/>
          <w:tblInd w:w="0" w:type="dxa"/>
          <w:tblCellMar>
            <w:top w:w="0" w:type="dxa"/>
            <w:left w:w="108" w:type="dxa"/>
            <w:bottom w:w="0" w:type="dxa"/>
            <w:right w:w="108" w:type="dxa"/>
          </w:tblCellMar>
        </w:tblPrEx>
        <w:trPr>
          <w:trHeight w:val="523"/>
        </w:trPr>
        <w:tc>
          <w:tcPr>
            <w:tcW w:w="595" w:type="pct"/>
          </w:tcPr>
          <w:p>
            <w:pPr>
              <w:widowControl/>
              <w:adjustRightInd w:val="0"/>
              <w:snapToGrid w:val="0"/>
              <w:rPr>
                <w:rFonts w:ascii="宋体" w:eastAsia="宋体" w:hAnsi="宋体" w:cs="宋体" w:hint="eastAsia"/>
                <w:b w:val="0"/>
                <w:bCs/>
                <w:sz w:val="24"/>
                <w:szCs w:val="24"/>
              </w:rPr>
            </w:pPr>
            <w:r>
              <w:rPr>
                <w:rFonts w:ascii="宋体" w:eastAsia="宋体" w:hAnsi="宋体" w:cs="宋体" w:hint="eastAsia"/>
                <w:b w:val="0"/>
                <w:bCs/>
                <w:sz w:val="24"/>
                <w:szCs w:val="24"/>
              </w:rPr>
              <w:t>3</w:t>
            </w:r>
          </w:p>
        </w:tc>
        <w:tc>
          <w:tcPr>
            <w:tcW w:w="1072" w:type="pct"/>
          </w:tcPr>
          <w:p>
            <w:pPr>
              <w:widowControl/>
              <w:adjustRightInd w:val="0"/>
              <w:snapToGrid w:val="0"/>
              <w:rPr>
                <w:rFonts w:ascii="宋体" w:eastAsia="宋体" w:hAnsi="宋体" w:cs="宋体" w:hint="eastAsia"/>
                <w:b/>
                <w:sz w:val="24"/>
                <w:szCs w:val="24"/>
              </w:rPr>
            </w:pPr>
            <w:r>
              <w:rPr>
                <w:rFonts w:ascii="宋体" w:eastAsia="宋体" w:hAnsi="宋体" w:cs="宋体" w:hint="eastAsia"/>
                <w:sz w:val="24"/>
                <w:szCs w:val="24"/>
              </w:rPr>
              <w:t>其他</w:t>
            </w:r>
          </w:p>
        </w:tc>
        <w:tc>
          <w:tcPr>
            <w:tcW w:w="3331" w:type="pct"/>
            <w:vAlign w:val="center"/>
          </w:tcPr>
          <w:p>
            <w:pPr>
              <w:widowControl/>
              <w:adjustRightInd w:val="0"/>
              <w:snapToGrid w:val="0"/>
              <w:jc w:val="left"/>
              <w:rPr>
                <w:rFonts w:ascii="宋体" w:eastAsia="宋体" w:hAnsi="宋体" w:cs="宋体" w:hint="eastAsia"/>
                <w:b/>
                <w:sz w:val="24"/>
                <w:szCs w:val="24"/>
              </w:rPr>
            </w:pPr>
            <w:r>
              <w:rPr>
                <w:rFonts w:ascii="宋体" w:eastAsia="宋体" w:hAnsi="宋体" w:cs="宋体" w:hint="eastAsia"/>
                <w:bCs/>
                <w:sz w:val="24"/>
                <w:szCs w:val="24"/>
              </w:rPr>
              <w:t>提供售后培训服务。</w:t>
            </w:r>
          </w:p>
        </w:tc>
      </w:tr>
      <w:tr>
        <w:tblPrEx>
          <w:tblW w:w="5000" w:type="pct"/>
          <w:tblInd w:w="0" w:type="dxa"/>
          <w:tblCellMar>
            <w:top w:w="0" w:type="dxa"/>
            <w:left w:w="108" w:type="dxa"/>
            <w:bottom w:w="0" w:type="dxa"/>
            <w:right w:w="108" w:type="dxa"/>
          </w:tblCellMar>
        </w:tblPrEx>
        <w:trPr>
          <w:trHeight w:val="280"/>
        </w:trPr>
        <w:tc>
          <w:tcPr>
            <w:tcW w:w="5000" w:type="pct"/>
            <w:gridSpan w:val="3"/>
          </w:tcPr>
          <w:p>
            <w:pPr>
              <w:widowControl/>
              <w:adjustRightInd w:val="0"/>
              <w:snapToGrid w:val="0"/>
              <w:jc w:val="left"/>
              <w:rPr>
                <w:rFonts w:ascii="宋体" w:eastAsia="宋体" w:hAnsi="宋体" w:cs="宋体" w:hint="eastAsia"/>
                <w:b/>
                <w:sz w:val="24"/>
                <w:szCs w:val="24"/>
              </w:rPr>
            </w:pPr>
            <w:r>
              <w:rPr>
                <w:rFonts w:ascii="宋体" w:eastAsia="宋体" w:hAnsi="宋体" w:cs="宋体" w:hint="eastAsia"/>
                <w:b/>
                <w:sz w:val="24"/>
                <w:szCs w:val="24"/>
              </w:rPr>
              <w:t>（二）免费保修期外售后服务要求</w:t>
            </w:r>
          </w:p>
        </w:tc>
      </w:tr>
      <w:tr>
        <w:tblPrEx>
          <w:tblW w:w="5000" w:type="pct"/>
          <w:tblInd w:w="0" w:type="dxa"/>
          <w:tblCellMar>
            <w:top w:w="0" w:type="dxa"/>
            <w:left w:w="108" w:type="dxa"/>
            <w:bottom w:w="0" w:type="dxa"/>
            <w:right w:w="108" w:type="dxa"/>
          </w:tblCellMar>
        </w:tblPrEx>
        <w:trPr>
          <w:trHeight w:val="350"/>
        </w:trPr>
        <w:tc>
          <w:tcPr>
            <w:tcW w:w="595" w:type="pct"/>
          </w:tcPr>
          <w:p>
            <w:pPr>
              <w:widowControl/>
              <w:adjustRightInd w:val="0"/>
              <w:snapToGrid w:val="0"/>
              <w:rPr>
                <w:rFonts w:ascii="宋体" w:eastAsia="宋体" w:hAnsi="宋体" w:cs="宋体" w:hint="eastAsia"/>
                <w:b w:val="0"/>
                <w:bCs/>
                <w:sz w:val="24"/>
                <w:szCs w:val="24"/>
              </w:rPr>
            </w:pPr>
            <w:r>
              <w:rPr>
                <w:rFonts w:ascii="宋体" w:eastAsia="宋体" w:hAnsi="宋体" w:cs="宋体" w:hint="eastAsia"/>
                <w:b w:val="0"/>
                <w:bCs/>
                <w:sz w:val="24"/>
                <w:szCs w:val="24"/>
              </w:rPr>
              <w:t>1</w:t>
            </w:r>
          </w:p>
        </w:tc>
        <w:tc>
          <w:tcPr>
            <w:tcW w:w="1072" w:type="pct"/>
          </w:tcPr>
          <w:p>
            <w:pPr>
              <w:widowControl/>
              <w:adjustRightInd w:val="0"/>
              <w:snapToGrid w:val="0"/>
              <w:rPr>
                <w:rFonts w:ascii="宋体" w:eastAsia="宋体" w:hAnsi="宋体" w:cs="宋体" w:hint="eastAsia"/>
                <w:sz w:val="24"/>
                <w:szCs w:val="24"/>
              </w:rPr>
            </w:pPr>
            <w:r>
              <w:rPr>
                <w:rFonts w:ascii="宋体" w:eastAsia="宋体" w:hAnsi="宋体" w:cs="宋体" w:hint="eastAsia"/>
                <w:sz w:val="24"/>
                <w:szCs w:val="24"/>
              </w:rPr>
              <w:t>免费保修期</w:t>
            </w:r>
          </w:p>
        </w:tc>
        <w:tc>
          <w:tcPr>
            <w:tcW w:w="3331" w:type="pct"/>
          </w:tcPr>
          <w:p>
            <w:pPr>
              <w:widowControl/>
              <w:adjustRightInd w:val="0"/>
              <w:snapToGrid w:val="0"/>
              <w:jc w:val="left"/>
              <w:rPr>
                <w:rFonts w:ascii="宋体" w:eastAsia="宋体" w:hAnsi="宋体" w:cs="宋体" w:hint="eastAsia"/>
                <w:b/>
                <w:sz w:val="24"/>
                <w:szCs w:val="24"/>
              </w:rPr>
            </w:pPr>
            <w:r>
              <w:rPr>
                <w:rFonts w:ascii="宋体" w:eastAsia="宋体" w:hAnsi="宋体" w:cs="宋体" w:hint="eastAsia"/>
                <w:sz w:val="24"/>
                <w:szCs w:val="24"/>
              </w:rPr>
              <w:t>质保期内免收一切费用，质保期外中标人应终身保证配件供应，更换配件费用以成本计算。</w:t>
            </w:r>
          </w:p>
        </w:tc>
      </w:tr>
      <w:tr>
        <w:tblPrEx>
          <w:tblW w:w="5000" w:type="pct"/>
          <w:tblInd w:w="0" w:type="dxa"/>
          <w:tblCellMar>
            <w:top w:w="0" w:type="dxa"/>
            <w:left w:w="108" w:type="dxa"/>
            <w:bottom w:w="0" w:type="dxa"/>
            <w:right w:w="108" w:type="dxa"/>
          </w:tblCellMar>
        </w:tblPrEx>
        <w:trPr>
          <w:trHeight w:val="350"/>
        </w:trPr>
        <w:tc>
          <w:tcPr>
            <w:tcW w:w="595" w:type="pct"/>
          </w:tcPr>
          <w:p>
            <w:pPr>
              <w:widowControl/>
              <w:adjustRightInd w:val="0"/>
              <w:snapToGrid w:val="0"/>
              <w:rPr>
                <w:rFonts w:ascii="宋体" w:eastAsia="宋体" w:hAnsi="宋体" w:cs="宋体" w:hint="eastAsia"/>
                <w:b w:val="0"/>
                <w:bCs/>
                <w:sz w:val="24"/>
                <w:szCs w:val="24"/>
              </w:rPr>
            </w:pPr>
            <w:r>
              <w:rPr>
                <w:rFonts w:ascii="宋体" w:eastAsia="宋体" w:hAnsi="宋体" w:cs="宋体" w:hint="eastAsia"/>
                <w:b w:val="0"/>
                <w:bCs/>
                <w:sz w:val="24"/>
                <w:szCs w:val="24"/>
              </w:rPr>
              <w:t>2</w:t>
            </w:r>
          </w:p>
        </w:tc>
        <w:tc>
          <w:tcPr>
            <w:tcW w:w="1072" w:type="pct"/>
          </w:tcPr>
          <w:p>
            <w:pPr>
              <w:widowControl/>
              <w:adjustRightInd w:val="0"/>
              <w:snapToGrid w:val="0"/>
              <w:rPr>
                <w:rFonts w:ascii="宋体" w:eastAsia="宋体" w:hAnsi="宋体" w:cs="宋体" w:hint="eastAsia"/>
                <w:sz w:val="24"/>
                <w:szCs w:val="24"/>
              </w:rPr>
            </w:pPr>
            <w:r>
              <w:rPr>
                <w:rFonts w:ascii="宋体" w:eastAsia="宋体" w:hAnsi="宋体" w:cs="宋体" w:hint="eastAsia"/>
                <w:sz w:val="24"/>
                <w:szCs w:val="24"/>
              </w:rPr>
              <w:t>软件管理</w:t>
            </w:r>
          </w:p>
        </w:tc>
        <w:tc>
          <w:tcPr>
            <w:tcW w:w="3331" w:type="pct"/>
          </w:tcPr>
          <w:p>
            <w:pPr>
              <w:widowControl/>
              <w:adjustRightInd w:val="0"/>
              <w:snapToGrid w:val="0"/>
              <w:jc w:val="left"/>
              <w:rPr>
                <w:rFonts w:ascii="宋体" w:eastAsia="宋体" w:hAnsi="宋体" w:cs="宋体" w:hint="eastAsia"/>
                <w:b/>
                <w:sz w:val="24"/>
                <w:szCs w:val="24"/>
              </w:rPr>
            </w:pPr>
            <w:r>
              <w:rPr>
                <w:rFonts w:ascii="宋体" w:eastAsia="宋体" w:hAnsi="宋体" w:cs="宋体" w:hint="eastAsia"/>
                <w:sz w:val="24"/>
                <w:szCs w:val="24"/>
              </w:rPr>
              <w:t>须提供终身软件升级管理服务，不额外收费。</w:t>
            </w:r>
          </w:p>
        </w:tc>
      </w:tr>
      <w:tr>
        <w:tblPrEx>
          <w:tblW w:w="5000" w:type="pct"/>
          <w:tblInd w:w="0" w:type="dxa"/>
          <w:tblCellMar>
            <w:top w:w="0" w:type="dxa"/>
            <w:left w:w="108" w:type="dxa"/>
            <w:bottom w:w="0" w:type="dxa"/>
            <w:right w:w="108" w:type="dxa"/>
          </w:tblCellMar>
        </w:tblPrEx>
        <w:trPr>
          <w:trHeight w:val="350"/>
        </w:trPr>
        <w:tc>
          <w:tcPr>
            <w:tcW w:w="595" w:type="pct"/>
          </w:tcPr>
          <w:p>
            <w:pPr>
              <w:widowControl/>
              <w:adjustRightInd w:val="0"/>
              <w:snapToGrid w:val="0"/>
              <w:rPr>
                <w:rFonts w:ascii="宋体" w:eastAsia="宋体" w:hAnsi="宋体" w:cs="宋体" w:hint="eastAsia"/>
                <w:b w:val="0"/>
                <w:bCs/>
                <w:sz w:val="24"/>
                <w:szCs w:val="24"/>
              </w:rPr>
            </w:pPr>
            <w:r>
              <w:rPr>
                <w:rFonts w:ascii="宋体" w:eastAsia="宋体" w:hAnsi="宋体" w:cs="宋体" w:hint="eastAsia"/>
                <w:b w:val="0"/>
                <w:bCs/>
                <w:sz w:val="24"/>
                <w:szCs w:val="24"/>
              </w:rPr>
              <w:t>3</w:t>
            </w:r>
          </w:p>
        </w:tc>
        <w:tc>
          <w:tcPr>
            <w:tcW w:w="1072" w:type="pct"/>
          </w:tcPr>
          <w:p>
            <w:pPr>
              <w:widowControl/>
              <w:adjustRightInd w:val="0"/>
              <w:snapToGrid w:val="0"/>
              <w:rPr>
                <w:rFonts w:ascii="宋体" w:eastAsia="宋体" w:hAnsi="宋体" w:cs="宋体" w:hint="eastAsia"/>
                <w:b/>
                <w:sz w:val="24"/>
                <w:szCs w:val="24"/>
              </w:rPr>
            </w:pPr>
            <w:r>
              <w:rPr>
                <w:rFonts w:ascii="宋体" w:eastAsia="宋体" w:hAnsi="宋体" w:cs="宋体" w:hint="eastAsia"/>
                <w:sz w:val="24"/>
                <w:szCs w:val="24"/>
              </w:rPr>
              <w:t>维修响应及故障解决时间</w:t>
            </w:r>
          </w:p>
        </w:tc>
        <w:tc>
          <w:tcPr>
            <w:tcW w:w="3331" w:type="pct"/>
          </w:tcPr>
          <w:p>
            <w:pPr>
              <w:widowControl/>
              <w:adjustRightInd w:val="0"/>
              <w:snapToGrid w:val="0"/>
              <w:jc w:val="left"/>
              <w:rPr>
                <w:rFonts w:ascii="宋体" w:eastAsia="宋体" w:hAnsi="宋体" w:cs="宋体" w:hint="eastAsia"/>
                <w:b/>
                <w:sz w:val="24"/>
                <w:szCs w:val="24"/>
              </w:rPr>
            </w:pPr>
            <w:r>
              <w:rPr>
                <w:rFonts w:ascii="宋体" w:eastAsia="宋体" w:hAnsi="宋体" w:cs="宋体" w:hint="eastAsia"/>
                <w:sz w:val="24"/>
                <w:szCs w:val="24"/>
              </w:rPr>
              <w:t>在保修期外，一旦发生质量问题，</w:t>
            </w:r>
            <w:r>
              <w:rPr>
                <w:rFonts w:ascii="宋体" w:eastAsia="宋体" w:hAnsi="宋体" w:cs="宋体" w:hint="eastAsia"/>
                <w:bCs/>
                <w:sz w:val="24"/>
                <w:szCs w:val="24"/>
              </w:rPr>
              <w:t>中</w:t>
            </w:r>
            <w:r>
              <w:rPr>
                <w:rFonts w:ascii="宋体" w:eastAsia="宋体" w:hAnsi="宋体" w:cs="宋体" w:hint="eastAsia"/>
                <w:sz w:val="24"/>
                <w:szCs w:val="24"/>
              </w:rPr>
              <w:t>标人保证在接到通知24小时做出应答，3个工作日内赶到现场进行修理或更换。</w:t>
            </w:r>
          </w:p>
        </w:tc>
      </w:tr>
      <w:tr>
        <w:tblPrEx>
          <w:tblW w:w="5000" w:type="pct"/>
          <w:tblInd w:w="0" w:type="dxa"/>
          <w:tblCellMar>
            <w:top w:w="0" w:type="dxa"/>
            <w:left w:w="108" w:type="dxa"/>
            <w:bottom w:w="0" w:type="dxa"/>
            <w:right w:w="108" w:type="dxa"/>
          </w:tblCellMar>
        </w:tblPrEx>
        <w:trPr>
          <w:trHeight w:val="350"/>
        </w:trPr>
        <w:tc>
          <w:tcPr>
            <w:tcW w:w="5000" w:type="pct"/>
            <w:gridSpan w:val="3"/>
          </w:tcPr>
          <w:p>
            <w:pPr>
              <w:widowControl/>
              <w:adjustRightInd w:val="0"/>
              <w:snapToGrid w:val="0"/>
              <w:jc w:val="left"/>
              <w:rPr>
                <w:rFonts w:ascii="宋体" w:eastAsia="宋体" w:hAnsi="宋体" w:cs="宋体" w:hint="eastAsia"/>
                <w:b/>
                <w:sz w:val="24"/>
                <w:szCs w:val="24"/>
              </w:rPr>
            </w:pPr>
            <w:r>
              <w:rPr>
                <w:rFonts w:ascii="宋体" w:eastAsia="宋体" w:hAnsi="宋体" w:cs="宋体" w:hint="eastAsia"/>
                <w:b/>
                <w:sz w:val="24"/>
                <w:szCs w:val="24"/>
              </w:rPr>
              <w:t>（三）其他商务要求</w:t>
            </w:r>
          </w:p>
        </w:tc>
      </w:tr>
      <w:tr>
        <w:tblPrEx>
          <w:tblW w:w="5000" w:type="pct"/>
          <w:tblInd w:w="0" w:type="dxa"/>
          <w:tblCellMar>
            <w:top w:w="0" w:type="dxa"/>
            <w:left w:w="108" w:type="dxa"/>
            <w:bottom w:w="0" w:type="dxa"/>
            <w:right w:w="108" w:type="dxa"/>
          </w:tblCellMar>
        </w:tblPrEx>
        <w:trPr>
          <w:trHeight w:val="350"/>
        </w:trPr>
        <w:tc>
          <w:tcPr>
            <w:tcW w:w="595" w:type="pct"/>
            <w:vMerge w:val="restart"/>
          </w:tcPr>
          <w:p>
            <w:pPr>
              <w:widowControl/>
              <w:adjustRightInd w:val="0"/>
              <w:snapToGrid w:val="0"/>
              <w:rPr>
                <w:rFonts w:ascii="宋体" w:eastAsia="宋体" w:hAnsi="宋体" w:cs="宋体" w:hint="eastAsia"/>
                <w:b w:val="0"/>
                <w:bCs/>
                <w:sz w:val="24"/>
                <w:szCs w:val="24"/>
              </w:rPr>
            </w:pPr>
            <w:r>
              <w:rPr>
                <w:rFonts w:ascii="宋体" w:eastAsia="宋体" w:hAnsi="宋体" w:cs="宋体" w:hint="eastAsia"/>
                <w:b w:val="0"/>
                <w:bCs/>
                <w:sz w:val="24"/>
                <w:szCs w:val="24"/>
              </w:rPr>
              <w:t>1</w:t>
            </w:r>
          </w:p>
        </w:tc>
        <w:tc>
          <w:tcPr>
            <w:tcW w:w="1072" w:type="pct"/>
            <w:vMerge w:val="restart"/>
          </w:tcPr>
          <w:p>
            <w:pPr>
              <w:widowControl/>
              <w:adjustRightInd w:val="0"/>
              <w:snapToGrid w:val="0"/>
              <w:rPr>
                <w:rFonts w:ascii="宋体" w:eastAsia="宋体" w:hAnsi="宋体" w:cs="宋体" w:hint="eastAsia"/>
                <w:sz w:val="24"/>
                <w:szCs w:val="24"/>
              </w:rPr>
            </w:pPr>
            <w:r>
              <w:rPr>
                <w:rFonts w:ascii="宋体" w:eastAsia="宋体" w:hAnsi="宋体" w:cs="宋体" w:hint="eastAsia"/>
                <w:sz w:val="24"/>
                <w:szCs w:val="24"/>
              </w:rPr>
              <w:t>关于交货</w:t>
            </w:r>
          </w:p>
        </w:tc>
        <w:tc>
          <w:tcPr>
            <w:tcW w:w="3331" w:type="pct"/>
          </w:tcPr>
          <w:p>
            <w:pPr>
              <w:widowControl/>
              <w:adjustRightInd w:val="0"/>
              <w:snapToGrid w:val="0"/>
              <w:jc w:val="left"/>
              <w:rPr>
                <w:rFonts w:ascii="宋体" w:eastAsia="宋体" w:hAnsi="宋体" w:cs="宋体" w:hint="eastAsia"/>
                <w:b/>
                <w:sz w:val="24"/>
                <w:szCs w:val="24"/>
              </w:rPr>
            </w:pPr>
            <w:r>
              <w:rPr>
                <w:rFonts w:ascii="宋体" w:eastAsia="宋体" w:hAnsi="宋体" w:cs="宋体" w:hint="eastAsia"/>
                <w:b/>
                <w:sz w:val="24"/>
                <w:szCs w:val="24"/>
              </w:rPr>
              <w:t>★</w:t>
            </w:r>
            <w:r>
              <w:rPr>
                <w:rFonts w:ascii="宋体" w:eastAsia="宋体" w:hAnsi="宋体" w:cs="宋体" w:hint="eastAsia"/>
                <w:bCs/>
                <w:sz w:val="24"/>
                <w:szCs w:val="24"/>
              </w:rPr>
              <w:t>1.1签订合同后</w:t>
            </w:r>
            <w:r>
              <w:rPr>
                <w:rFonts w:ascii="宋体" w:eastAsia="宋体" w:hAnsi="宋体" w:cs="宋体" w:hint="eastAsia"/>
                <w:bCs/>
                <w:sz w:val="24"/>
                <w:szCs w:val="24"/>
                <w:u w:val="single"/>
              </w:rPr>
              <w:t>15</w:t>
            </w:r>
            <w:r>
              <w:rPr>
                <w:rFonts w:ascii="宋体" w:eastAsia="宋体" w:hAnsi="宋体" w:cs="宋体" w:hint="eastAsia"/>
                <w:bCs/>
                <w:sz w:val="24"/>
                <w:szCs w:val="24"/>
              </w:rPr>
              <w:t>天（日历日）内。中标人将全部货物运抵、安装调试完成并验收合格，正式交付用户使用所需的时间。</w:t>
            </w:r>
          </w:p>
        </w:tc>
      </w:tr>
      <w:tr>
        <w:tblPrEx>
          <w:tblW w:w="5000" w:type="pct"/>
          <w:tblInd w:w="0" w:type="dxa"/>
          <w:tblCellMar>
            <w:top w:w="0" w:type="dxa"/>
            <w:left w:w="108" w:type="dxa"/>
            <w:bottom w:w="0" w:type="dxa"/>
            <w:right w:w="108" w:type="dxa"/>
          </w:tblCellMar>
        </w:tblPrEx>
        <w:trPr>
          <w:trHeight w:val="451"/>
        </w:trPr>
        <w:tc>
          <w:tcPr>
            <w:tcW w:w="595" w:type="pct"/>
            <w:vMerge/>
          </w:tcPr>
          <w:p>
            <w:pPr>
              <w:widowControl/>
              <w:adjustRightInd w:val="0"/>
              <w:snapToGrid w:val="0"/>
              <w:rPr>
                <w:rFonts w:ascii="宋体" w:eastAsia="宋体" w:hAnsi="宋体" w:cs="宋体" w:hint="eastAsia"/>
                <w:b w:val="0"/>
                <w:bCs/>
                <w:sz w:val="24"/>
                <w:szCs w:val="24"/>
              </w:rPr>
            </w:pPr>
          </w:p>
        </w:tc>
        <w:tc>
          <w:tcPr>
            <w:tcW w:w="1072" w:type="pct"/>
            <w:vMerge/>
          </w:tcPr>
          <w:p>
            <w:pPr>
              <w:widowControl/>
              <w:adjustRightInd w:val="0"/>
              <w:snapToGrid w:val="0"/>
              <w:rPr>
                <w:rFonts w:ascii="宋体" w:eastAsia="宋体" w:hAnsi="宋体" w:cs="宋体" w:hint="eastAsia"/>
                <w:sz w:val="24"/>
                <w:szCs w:val="24"/>
              </w:rPr>
            </w:pPr>
          </w:p>
        </w:tc>
        <w:tc>
          <w:tcPr>
            <w:tcW w:w="3331" w:type="pct"/>
          </w:tcPr>
          <w:p>
            <w:pPr>
              <w:widowControl/>
              <w:adjustRightInd w:val="0"/>
              <w:snapToGrid w:val="0"/>
              <w:jc w:val="left"/>
              <w:rPr>
                <w:rFonts w:ascii="宋体" w:eastAsia="宋体" w:hAnsi="宋体" w:cs="宋体" w:hint="eastAsia"/>
                <w:bCs/>
                <w:sz w:val="24"/>
                <w:szCs w:val="24"/>
              </w:rPr>
            </w:pPr>
            <w:r>
              <w:rPr>
                <w:rFonts w:ascii="宋体" w:eastAsia="宋体" w:hAnsi="宋体" w:cs="宋体" w:hint="eastAsia"/>
                <w:bCs/>
                <w:sz w:val="24"/>
                <w:szCs w:val="24"/>
              </w:rPr>
              <w:t>1.2中标人必须承担的设备运输、安装调试、验收检测和提供设备操作说明书、维护手册等其他类似的义务。</w:t>
            </w:r>
          </w:p>
        </w:tc>
      </w:tr>
      <w:tr>
        <w:tblPrEx>
          <w:tblW w:w="5000" w:type="pct"/>
          <w:tblInd w:w="0" w:type="dxa"/>
          <w:tblCellMar>
            <w:top w:w="0" w:type="dxa"/>
            <w:left w:w="108" w:type="dxa"/>
            <w:bottom w:w="0" w:type="dxa"/>
            <w:right w:w="108" w:type="dxa"/>
          </w:tblCellMar>
        </w:tblPrEx>
        <w:trPr>
          <w:trHeight w:val="451"/>
        </w:trPr>
        <w:tc>
          <w:tcPr>
            <w:tcW w:w="595" w:type="pct"/>
            <w:vMerge/>
          </w:tcPr>
          <w:p>
            <w:pPr>
              <w:widowControl/>
              <w:adjustRightInd w:val="0"/>
              <w:snapToGrid w:val="0"/>
              <w:rPr>
                <w:rFonts w:ascii="宋体" w:eastAsia="宋体" w:hAnsi="宋体" w:cs="宋体" w:hint="eastAsia"/>
                <w:b w:val="0"/>
                <w:bCs/>
                <w:sz w:val="24"/>
                <w:szCs w:val="24"/>
              </w:rPr>
            </w:pPr>
          </w:p>
        </w:tc>
        <w:tc>
          <w:tcPr>
            <w:tcW w:w="1072" w:type="pct"/>
            <w:vMerge/>
          </w:tcPr>
          <w:p>
            <w:pPr>
              <w:widowControl/>
              <w:adjustRightInd w:val="0"/>
              <w:snapToGrid w:val="0"/>
              <w:rPr>
                <w:rFonts w:ascii="宋体" w:eastAsia="宋体" w:hAnsi="宋体" w:cs="宋体" w:hint="eastAsia"/>
                <w:sz w:val="24"/>
                <w:szCs w:val="24"/>
              </w:rPr>
            </w:pPr>
          </w:p>
        </w:tc>
        <w:tc>
          <w:tcPr>
            <w:tcW w:w="3331" w:type="pct"/>
          </w:tcPr>
          <w:p>
            <w:pPr>
              <w:widowControl/>
              <w:adjustRightInd w:val="0"/>
              <w:snapToGrid w:val="0"/>
              <w:jc w:val="left"/>
              <w:rPr>
                <w:rFonts w:ascii="宋体" w:eastAsia="宋体" w:hAnsi="宋体" w:cs="宋体" w:hint="eastAsia"/>
                <w:bCs/>
                <w:sz w:val="24"/>
                <w:szCs w:val="24"/>
              </w:rPr>
            </w:pPr>
            <w:r>
              <w:rPr>
                <w:rFonts w:ascii="宋体" w:eastAsia="宋体" w:hAnsi="宋体" w:cs="宋体" w:hint="eastAsia"/>
                <w:bCs/>
                <w:sz w:val="24"/>
                <w:szCs w:val="24"/>
              </w:rPr>
              <w:t>1.3</w:t>
            </w:r>
            <w:r>
              <w:rPr>
                <w:rFonts w:ascii="宋体" w:eastAsia="宋体" w:hAnsi="宋体" w:cs="宋体" w:hint="eastAsia"/>
                <w:sz w:val="24"/>
                <w:szCs w:val="24"/>
              </w:rPr>
              <w:t>交货地点：用户指定地点（清华大学深圳国际研究生院能源环境大楼4楼）</w:t>
            </w:r>
          </w:p>
        </w:tc>
      </w:tr>
      <w:tr>
        <w:tblPrEx>
          <w:tblW w:w="5000" w:type="pct"/>
          <w:tblInd w:w="0" w:type="dxa"/>
          <w:tblCellMar>
            <w:top w:w="0" w:type="dxa"/>
            <w:left w:w="108" w:type="dxa"/>
            <w:bottom w:w="0" w:type="dxa"/>
            <w:right w:w="108" w:type="dxa"/>
          </w:tblCellMar>
        </w:tblPrEx>
        <w:trPr>
          <w:trHeight w:val="350"/>
        </w:trPr>
        <w:tc>
          <w:tcPr>
            <w:tcW w:w="595" w:type="pct"/>
            <w:vMerge w:val="restart"/>
          </w:tcPr>
          <w:p>
            <w:pPr>
              <w:widowControl/>
              <w:adjustRightInd w:val="0"/>
              <w:snapToGrid w:val="0"/>
              <w:rPr>
                <w:rFonts w:ascii="宋体" w:eastAsia="宋体" w:hAnsi="宋体" w:cs="宋体" w:hint="eastAsia"/>
                <w:b w:val="0"/>
                <w:bCs/>
                <w:sz w:val="24"/>
                <w:szCs w:val="24"/>
              </w:rPr>
            </w:pPr>
            <w:r>
              <w:rPr>
                <w:rFonts w:ascii="宋体" w:eastAsia="宋体" w:hAnsi="宋体" w:cs="宋体" w:hint="eastAsia"/>
                <w:b w:val="0"/>
                <w:bCs/>
                <w:sz w:val="24"/>
                <w:szCs w:val="24"/>
              </w:rPr>
              <w:t>2</w:t>
            </w:r>
          </w:p>
        </w:tc>
        <w:tc>
          <w:tcPr>
            <w:tcW w:w="1072" w:type="pct"/>
            <w:vMerge w:val="restart"/>
          </w:tcPr>
          <w:p>
            <w:pPr>
              <w:widowControl/>
              <w:adjustRightInd w:val="0"/>
              <w:snapToGrid w:val="0"/>
              <w:rPr>
                <w:rFonts w:ascii="宋体" w:eastAsia="宋体" w:hAnsi="宋体" w:cs="宋体" w:hint="eastAsia"/>
                <w:sz w:val="24"/>
                <w:szCs w:val="24"/>
              </w:rPr>
            </w:pPr>
            <w:r>
              <w:rPr>
                <w:rFonts w:ascii="宋体" w:eastAsia="宋体" w:hAnsi="宋体" w:cs="宋体" w:hint="eastAsia"/>
                <w:sz w:val="24"/>
                <w:szCs w:val="24"/>
              </w:rPr>
              <w:t>关于验收</w:t>
            </w:r>
          </w:p>
        </w:tc>
        <w:tc>
          <w:tcPr>
            <w:tcW w:w="3331" w:type="pct"/>
          </w:tcPr>
          <w:p>
            <w:pPr>
              <w:widowControl/>
              <w:adjustRightInd w:val="0"/>
              <w:snapToGrid w:val="0"/>
              <w:jc w:val="left"/>
              <w:rPr>
                <w:rFonts w:ascii="宋体" w:eastAsia="宋体" w:hAnsi="宋体" w:cs="宋体" w:hint="eastAsia"/>
                <w:bCs/>
                <w:sz w:val="24"/>
                <w:szCs w:val="24"/>
              </w:rPr>
            </w:pPr>
            <w:r>
              <w:rPr>
                <w:rFonts w:ascii="宋体" w:eastAsia="宋体" w:hAnsi="宋体" w:cs="宋体" w:hint="eastAsia"/>
                <w:bCs/>
                <w:sz w:val="24"/>
                <w:szCs w:val="24"/>
              </w:rPr>
              <w:t>2.1中标人货物经过双方检验认可后，签署验收报告，产品保修期自验收合格之日起算，由中标人提供产品保修文件。</w:t>
            </w:r>
          </w:p>
        </w:tc>
      </w:tr>
      <w:tr>
        <w:tblPrEx>
          <w:tblW w:w="5000" w:type="pct"/>
          <w:tblInd w:w="0" w:type="dxa"/>
          <w:tblCellMar>
            <w:top w:w="0" w:type="dxa"/>
            <w:left w:w="108" w:type="dxa"/>
            <w:bottom w:w="0" w:type="dxa"/>
            <w:right w:w="108" w:type="dxa"/>
          </w:tblCellMar>
        </w:tblPrEx>
        <w:trPr>
          <w:trHeight w:val="350"/>
        </w:trPr>
        <w:tc>
          <w:tcPr>
            <w:tcW w:w="595" w:type="pct"/>
            <w:vMerge/>
          </w:tcPr>
          <w:p>
            <w:pPr>
              <w:widowControl/>
              <w:adjustRightInd w:val="0"/>
              <w:snapToGrid w:val="0"/>
              <w:rPr>
                <w:rFonts w:ascii="宋体" w:eastAsia="宋体" w:hAnsi="宋体" w:cs="宋体" w:hint="eastAsia"/>
                <w:b/>
                <w:sz w:val="24"/>
                <w:szCs w:val="24"/>
              </w:rPr>
            </w:pPr>
          </w:p>
        </w:tc>
        <w:tc>
          <w:tcPr>
            <w:tcW w:w="1072" w:type="pct"/>
            <w:vMerge/>
          </w:tcPr>
          <w:p>
            <w:pPr>
              <w:widowControl/>
              <w:adjustRightInd w:val="0"/>
              <w:snapToGrid w:val="0"/>
              <w:rPr>
                <w:rFonts w:ascii="宋体" w:eastAsia="宋体" w:hAnsi="宋体" w:cs="宋体" w:hint="eastAsia"/>
                <w:b/>
                <w:sz w:val="24"/>
                <w:szCs w:val="24"/>
              </w:rPr>
            </w:pPr>
          </w:p>
        </w:tc>
        <w:tc>
          <w:tcPr>
            <w:tcW w:w="3331" w:type="pct"/>
          </w:tcPr>
          <w:p>
            <w:pPr>
              <w:widowControl/>
              <w:adjustRightInd w:val="0"/>
              <w:snapToGrid w:val="0"/>
              <w:jc w:val="left"/>
              <w:rPr>
                <w:rFonts w:ascii="宋体" w:eastAsia="宋体" w:hAnsi="宋体" w:cs="宋体" w:hint="eastAsia"/>
                <w:bCs/>
                <w:sz w:val="24"/>
                <w:szCs w:val="24"/>
              </w:rPr>
            </w:pPr>
            <w:r>
              <w:rPr>
                <w:rFonts w:ascii="宋体" w:eastAsia="宋体" w:hAnsi="宋体" w:cs="宋体" w:hint="eastAsia"/>
                <w:bCs/>
                <w:sz w:val="24"/>
                <w:szCs w:val="24"/>
              </w:rPr>
              <w:t>2.2当满足以下条件时，采购人才向中标人签发货物验收报告：</w:t>
            </w:r>
          </w:p>
          <w:p>
            <w:pPr>
              <w:widowControl/>
              <w:adjustRightInd w:val="0"/>
              <w:snapToGrid w:val="0"/>
              <w:jc w:val="left"/>
              <w:rPr>
                <w:rFonts w:ascii="宋体" w:eastAsia="宋体" w:hAnsi="宋体" w:cs="宋体" w:hint="eastAsia"/>
                <w:bCs/>
                <w:sz w:val="24"/>
                <w:szCs w:val="24"/>
              </w:rPr>
            </w:pPr>
            <w:r>
              <w:rPr>
                <w:rFonts w:ascii="宋体" w:eastAsia="宋体" w:hAnsi="宋体" w:cs="宋体" w:hint="eastAsia"/>
                <w:bCs/>
                <w:sz w:val="24"/>
                <w:szCs w:val="24"/>
              </w:rPr>
              <w:t>a、中标人已按照合同规定提供了全部产品及完整的技术资料。</w:t>
            </w:r>
          </w:p>
          <w:p>
            <w:pPr>
              <w:widowControl/>
              <w:adjustRightInd w:val="0"/>
              <w:snapToGrid w:val="0"/>
              <w:jc w:val="left"/>
              <w:rPr>
                <w:rFonts w:ascii="宋体" w:eastAsia="宋体" w:hAnsi="宋体" w:cs="宋体" w:hint="eastAsia"/>
                <w:bCs/>
                <w:sz w:val="24"/>
                <w:szCs w:val="24"/>
              </w:rPr>
            </w:pPr>
            <w:r>
              <w:rPr>
                <w:rFonts w:ascii="宋体" w:eastAsia="宋体" w:hAnsi="宋体" w:cs="宋体" w:hint="eastAsia"/>
                <w:bCs/>
                <w:sz w:val="24"/>
                <w:szCs w:val="24"/>
              </w:rPr>
              <w:t>b、货物符合招标文件、投标文件技术要求，性能满足要求。</w:t>
            </w:r>
          </w:p>
          <w:p>
            <w:pPr>
              <w:widowControl/>
              <w:adjustRightInd w:val="0"/>
              <w:snapToGrid w:val="0"/>
              <w:jc w:val="left"/>
              <w:rPr>
                <w:rFonts w:ascii="宋体" w:eastAsia="宋体" w:hAnsi="宋体" w:cs="宋体" w:hint="eastAsia"/>
                <w:bCs/>
                <w:sz w:val="24"/>
                <w:szCs w:val="24"/>
              </w:rPr>
            </w:pPr>
            <w:r>
              <w:rPr>
                <w:rFonts w:ascii="宋体" w:eastAsia="宋体" w:hAnsi="宋体" w:cs="宋体" w:hint="eastAsia"/>
                <w:bCs/>
                <w:sz w:val="24"/>
                <w:szCs w:val="24"/>
              </w:rPr>
              <w:t>c、货物具备产品合格证。</w:t>
            </w:r>
          </w:p>
        </w:tc>
      </w:tr>
      <w:tr>
        <w:tblPrEx>
          <w:tblW w:w="5000" w:type="pct"/>
          <w:tblInd w:w="0" w:type="dxa"/>
          <w:tblCellMar>
            <w:top w:w="0" w:type="dxa"/>
            <w:left w:w="108" w:type="dxa"/>
            <w:bottom w:w="0" w:type="dxa"/>
            <w:right w:w="108" w:type="dxa"/>
          </w:tblCellMar>
        </w:tblPrEx>
        <w:trPr>
          <w:trHeight w:val="350"/>
        </w:trPr>
        <w:tc>
          <w:tcPr>
            <w:tcW w:w="595" w:type="pct"/>
          </w:tcPr>
          <w:p>
            <w:pPr>
              <w:widowControl/>
              <w:adjustRightInd w:val="0"/>
              <w:snapToGrid w:val="0"/>
              <w:rPr>
                <w:rFonts w:ascii="宋体" w:eastAsia="宋体" w:hAnsi="宋体" w:cs="宋体" w:hint="eastAsia"/>
                <w:b w:val="0"/>
                <w:bCs/>
                <w:sz w:val="24"/>
                <w:szCs w:val="24"/>
              </w:rPr>
            </w:pPr>
            <w:r>
              <w:rPr>
                <w:rFonts w:ascii="宋体" w:eastAsia="宋体" w:hAnsi="宋体" w:cs="宋体" w:hint="eastAsia"/>
                <w:b w:val="0"/>
                <w:bCs/>
                <w:sz w:val="24"/>
                <w:szCs w:val="24"/>
              </w:rPr>
              <w:t>3</w:t>
            </w:r>
          </w:p>
        </w:tc>
        <w:tc>
          <w:tcPr>
            <w:tcW w:w="1072" w:type="pct"/>
          </w:tcPr>
          <w:p>
            <w:pPr>
              <w:widowControl/>
              <w:adjustRightInd w:val="0"/>
              <w:snapToGrid w:val="0"/>
              <w:rPr>
                <w:rFonts w:ascii="宋体" w:eastAsia="宋体" w:hAnsi="宋体" w:cs="宋体" w:hint="eastAsia"/>
                <w:b/>
                <w:sz w:val="24"/>
                <w:szCs w:val="24"/>
              </w:rPr>
            </w:pPr>
            <w:r>
              <w:rPr>
                <w:rFonts w:ascii="宋体" w:eastAsia="宋体" w:hAnsi="宋体" w:cs="宋体" w:hint="eastAsia"/>
                <w:sz w:val="24"/>
                <w:szCs w:val="24"/>
              </w:rPr>
              <w:t>关于质量</w:t>
            </w:r>
          </w:p>
        </w:tc>
        <w:tc>
          <w:tcPr>
            <w:tcW w:w="3331" w:type="pct"/>
          </w:tcPr>
          <w:p>
            <w:pPr>
              <w:widowControl/>
              <w:adjustRightInd w:val="0"/>
              <w:snapToGrid w:val="0"/>
              <w:jc w:val="left"/>
              <w:rPr>
                <w:rFonts w:ascii="宋体" w:eastAsia="宋体" w:hAnsi="宋体" w:cs="宋体" w:hint="eastAsia"/>
                <w:b/>
                <w:sz w:val="24"/>
                <w:szCs w:val="24"/>
              </w:rPr>
            </w:pPr>
            <w:r>
              <w:rPr>
                <w:rFonts w:ascii="宋体" w:eastAsia="宋体" w:hAnsi="宋体" w:cs="宋体" w:hint="eastAsia"/>
                <w:bCs/>
                <w:sz w:val="24"/>
                <w:szCs w:val="24"/>
              </w:rPr>
              <w:t>中</w:t>
            </w:r>
            <w:r>
              <w:rPr>
                <w:rFonts w:ascii="宋体" w:eastAsia="宋体" w:hAnsi="宋体" w:cs="宋体" w:hint="eastAsia"/>
                <w:sz w:val="24"/>
                <w:szCs w:val="24"/>
              </w:rPr>
              <w:t>标人保证所供货物系最好材料、最好的工艺制造，货物应是新的和未用过的，并且其品质和规格完全符合本合同规定。品质保证期为自货物验收合格日起3年。</w:t>
            </w:r>
          </w:p>
        </w:tc>
      </w:tr>
      <w:tr>
        <w:tblPrEx>
          <w:tblW w:w="5000" w:type="pct"/>
          <w:tblInd w:w="0" w:type="dxa"/>
          <w:tblCellMar>
            <w:top w:w="0" w:type="dxa"/>
            <w:left w:w="108" w:type="dxa"/>
            <w:bottom w:w="0" w:type="dxa"/>
            <w:right w:w="108" w:type="dxa"/>
          </w:tblCellMar>
        </w:tblPrEx>
        <w:trPr>
          <w:trHeight w:val="705"/>
        </w:trPr>
        <w:tc>
          <w:tcPr>
            <w:tcW w:w="595" w:type="pct"/>
          </w:tcPr>
          <w:p>
            <w:pPr>
              <w:widowControl/>
              <w:adjustRightInd w:val="0"/>
              <w:snapToGrid w:val="0"/>
              <w:rPr>
                <w:rFonts w:ascii="宋体" w:eastAsia="宋体" w:hAnsi="宋体" w:cs="宋体" w:hint="eastAsia"/>
                <w:b w:val="0"/>
                <w:bCs/>
                <w:sz w:val="24"/>
                <w:szCs w:val="24"/>
              </w:rPr>
            </w:pPr>
            <w:r>
              <w:rPr>
                <w:rFonts w:ascii="宋体" w:eastAsia="宋体" w:hAnsi="宋体" w:cs="宋体" w:hint="eastAsia"/>
                <w:b w:val="0"/>
                <w:bCs/>
                <w:sz w:val="24"/>
                <w:szCs w:val="24"/>
              </w:rPr>
              <w:t>4</w:t>
            </w:r>
          </w:p>
        </w:tc>
        <w:tc>
          <w:tcPr>
            <w:tcW w:w="1072" w:type="pct"/>
          </w:tcPr>
          <w:p>
            <w:pPr>
              <w:widowControl/>
              <w:adjustRightInd w:val="0"/>
              <w:snapToGrid w:val="0"/>
              <w:rPr>
                <w:rFonts w:ascii="宋体" w:eastAsia="宋体" w:hAnsi="宋体" w:cs="宋体" w:hint="eastAsia"/>
                <w:b/>
                <w:sz w:val="24"/>
                <w:szCs w:val="24"/>
              </w:rPr>
            </w:pPr>
            <w:r>
              <w:rPr>
                <w:rFonts w:ascii="宋体" w:eastAsia="宋体" w:hAnsi="宋体" w:cs="宋体" w:hint="eastAsia"/>
                <w:sz w:val="24"/>
                <w:szCs w:val="24"/>
              </w:rPr>
              <w:t>★付款方式</w:t>
            </w:r>
          </w:p>
        </w:tc>
        <w:tc>
          <w:tcPr>
            <w:tcW w:w="3331" w:type="pct"/>
          </w:tcPr>
          <w:p>
            <w:pPr>
              <w:pStyle w:val="ListParagraph"/>
              <w:widowControl/>
              <w:numPr>
                <w:ilvl w:val="0"/>
                <w:numId w:val="0"/>
              </w:numPr>
              <w:ind w:leftChars="0"/>
              <w:jc w:val="left"/>
              <w:rPr>
                <w:rFonts w:ascii="宋体" w:eastAsia="宋体" w:hAnsi="宋体" w:cs="宋体" w:hint="eastAsia"/>
                <w:kern w:val="0"/>
                <w:sz w:val="24"/>
                <w:szCs w:val="24"/>
              </w:rPr>
            </w:pPr>
            <w:r>
              <w:rPr>
                <w:rFonts w:ascii="宋体" w:eastAsia="宋体" w:hAnsi="宋体" w:cs="宋体" w:hint="eastAsia"/>
                <w:sz w:val="24"/>
                <w:szCs w:val="24"/>
              </w:rPr>
              <w:t>①签订合同后支付</w:t>
            </w:r>
            <w:r>
              <w:rPr>
                <w:rFonts w:ascii="宋体" w:eastAsia="宋体" w:hAnsi="宋体" w:cs="宋体" w:hint="eastAsia"/>
                <w:sz w:val="24"/>
                <w:szCs w:val="24"/>
                <w:lang w:val="en-US" w:eastAsia="zh-CN"/>
              </w:rPr>
              <w:t>65</w:t>
            </w:r>
            <w:r>
              <w:rPr>
                <w:rFonts w:ascii="宋体" w:eastAsia="宋体" w:hAnsi="宋体" w:cs="宋体" w:hint="eastAsia"/>
                <w:sz w:val="24"/>
                <w:szCs w:val="24"/>
              </w:rPr>
              <w:t>%货款；② 设备到货安装验收合格后，凭验收报告支付</w:t>
            </w:r>
            <w:r>
              <w:rPr>
                <w:rFonts w:ascii="宋体" w:eastAsia="宋体" w:hAnsi="宋体" w:cs="宋体" w:hint="eastAsia"/>
                <w:sz w:val="24"/>
                <w:szCs w:val="24"/>
                <w:lang w:val="en-US" w:eastAsia="zh-CN"/>
              </w:rPr>
              <w:t>35</w:t>
            </w:r>
            <w:r>
              <w:rPr>
                <w:rFonts w:ascii="宋体" w:eastAsia="宋体" w:hAnsi="宋体" w:cs="宋体" w:hint="eastAsia"/>
                <w:sz w:val="24"/>
                <w:szCs w:val="24"/>
              </w:rPr>
              <w:t>%货款。</w:t>
            </w:r>
          </w:p>
        </w:tc>
      </w:tr>
      <w:tr>
        <w:tblPrEx>
          <w:tblW w:w="5000" w:type="pct"/>
          <w:tblInd w:w="0" w:type="dxa"/>
          <w:tblCellMar>
            <w:top w:w="0" w:type="dxa"/>
            <w:left w:w="108" w:type="dxa"/>
            <w:bottom w:w="0" w:type="dxa"/>
            <w:right w:w="108" w:type="dxa"/>
          </w:tblCellMar>
        </w:tblPrEx>
        <w:trPr>
          <w:trHeight w:val="1065"/>
        </w:trPr>
        <w:tc>
          <w:tcPr>
            <w:tcW w:w="595" w:type="pct"/>
            <w:vMerge w:val="restart"/>
          </w:tcPr>
          <w:p>
            <w:pPr>
              <w:widowControl/>
              <w:adjustRightInd w:val="0"/>
              <w:snapToGrid w:val="0"/>
              <w:rPr>
                <w:rFonts w:ascii="宋体" w:eastAsia="宋体" w:hAnsi="宋体" w:cs="宋体" w:hint="eastAsia"/>
                <w:b w:val="0"/>
                <w:bCs/>
                <w:sz w:val="24"/>
                <w:szCs w:val="24"/>
              </w:rPr>
            </w:pPr>
            <w:r>
              <w:rPr>
                <w:rFonts w:ascii="宋体" w:eastAsia="宋体" w:hAnsi="宋体" w:cs="宋体" w:hint="eastAsia"/>
                <w:b w:val="0"/>
                <w:bCs/>
                <w:sz w:val="24"/>
                <w:szCs w:val="24"/>
              </w:rPr>
              <w:t>5</w:t>
            </w:r>
          </w:p>
        </w:tc>
        <w:tc>
          <w:tcPr>
            <w:tcW w:w="1072" w:type="pct"/>
            <w:vMerge w:val="restart"/>
          </w:tcPr>
          <w:p>
            <w:pPr>
              <w:widowControl/>
              <w:adjustRightInd w:val="0"/>
              <w:snapToGrid w:val="0"/>
              <w:rPr>
                <w:rFonts w:ascii="宋体" w:eastAsia="宋体" w:hAnsi="宋体" w:cs="宋体" w:hint="eastAsia"/>
                <w:sz w:val="24"/>
                <w:szCs w:val="24"/>
              </w:rPr>
            </w:pPr>
            <w:r>
              <w:rPr>
                <w:rFonts w:ascii="宋体" w:eastAsia="宋体" w:hAnsi="宋体" w:cs="宋体" w:hint="eastAsia"/>
                <w:b w:val="0"/>
                <w:bCs/>
                <w:sz w:val="24"/>
                <w:szCs w:val="24"/>
              </w:rPr>
              <w:t>★</w:t>
            </w:r>
            <w:r>
              <w:rPr>
                <w:rFonts w:ascii="宋体" w:eastAsia="宋体" w:hAnsi="宋体" w:cs="宋体" w:hint="eastAsia"/>
                <w:sz w:val="24"/>
                <w:szCs w:val="24"/>
              </w:rPr>
              <w:t>报价方式及要求</w:t>
            </w:r>
          </w:p>
        </w:tc>
        <w:tc>
          <w:tcPr>
            <w:tcW w:w="3331" w:type="pct"/>
          </w:tcPr>
          <w:p>
            <w:pPr>
              <w:pStyle w:val="PlainText"/>
              <w:widowControl/>
              <w:numPr>
                <w:ilvl w:val="255"/>
                <w:numId w:val="0"/>
              </w:numPr>
              <w:jc w:val="left"/>
              <w:rPr>
                <w:rFonts w:ascii="宋体" w:eastAsia="宋体" w:hAnsi="宋体" w:cs="宋体" w:hint="eastAsia"/>
                <w:sz w:val="24"/>
                <w:szCs w:val="24"/>
              </w:rPr>
            </w:pPr>
            <w:r>
              <w:rPr>
                <w:rFonts w:ascii="宋体" w:eastAsia="宋体" w:hAnsi="宋体" w:cs="宋体" w:hint="eastAsia"/>
                <w:sz w:val="24"/>
                <w:szCs w:val="24"/>
              </w:rPr>
              <w:t>5.1人民币报价，投标价包含仪器设备的价款、税费、包装、运输、装卸、安装、调试、技术指导、培训、咨询、服务、保险、检测、验收合格交付使用之前以及技术和售后服务、质保期退运返修等其他所有费用。</w:t>
            </w:r>
          </w:p>
        </w:tc>
      </w:tr>
      <w:tr>
        <w:tblPrEx>
          <w:tblW w:w="5000" w:type="pct"/>
          <w:tblInd w:w="0" w:type="dxa"/>
          <w:tblCellMar>
            <w:top w:w="0" w:type="dxa"/>
            <w:left w:w="108" w:type="dxa"/>
            <w:bottom w:w="0" w:type="dxa"/>
            <w:right w:w="108" w:type="dxa"/>
          </w:tblCellMar>
        </w:tblPrEx>
        <w:trPr>
          <w:trHeight w:val="1065"/>
        </w:trPr>
        <w:tc>
          <w:tcPr>
            <w:tcW w:w="595" w:type="pct"/>
            <w:vMerge/>
          </w:tcPr>
          <w:p>
            <w:pPr>
              <w:widowControl/>
              <w:adjustRightInd w:val="0"/>
              <w:snapToGrid w:val="0"/>
              <w:rPr>
                <w:rFonts w:ascii="宋体" w:eastAsia="宋体" w:hAnsi="宋体" w:cs="宋体" w:hint="eastAsia"/>
                <w:b/>
                <w:sz w:val="24"/>
                <w:szCs w:val="24"/>
              </w:rPr>
            </w:pPr>
          </w:p>
        </w:tc>
        <w:tc>
          <w:tcPr>
            <w:tcW w:w="1072" w:type="pct"/>
            <w:vMerge/>
          </w:tcPr>
          <w:p>
            <w:pPr>
              <w:widowControl/>
              <w:adjustRightInd w:val="0"/>
              <w:snapToGrid w:val="0"/>
              <w:rPr>
                <w:rFonts w:ascii="宋体" w:eastAsia="宋体" w:hAnsi="宋体" w:cs="宋体" w:hint="eastAsia"/>
                <w:b/>
                <w:sz w:val="24"/>
                <w:szCs w:val="24"/>
              </w:rPr>
            </w:pPr>
          </w:p>
        </w:tc>
        <w:tc>
          <w:tcPr>
            <w:tcW w:w="3331" w:type="pct"/>
          </w:tcPr>
          <w:p>
            <w:pPr>
              <w:pStyle w:val="PlainText"/>
              <w:rPr>
                <w:rFonts w:ascii="宋体" w:eastAsia="宋体" w:hAnsi="宋体" w:cs="宋体" w:hint="eastAsia"/>
                <w:sz w:val="24"/>
                <w:szCs w:val="24"/>
              </w:rPr>
            </w:pPr>
            <w:r>
              <w:rPr>
                <w:rFonts w:ascii="宋体" w:eastAsia="宋体" w:hAnsi="宋体" w:cs="宋体" w:hint="eastAsia"/>
                <w:sz w:val="24"/>
                <w:szCs w:val="24"/>
              </w:rPr>
              <w:t>5.2</w:t>
            </w:r>
            <w:r>
              <w:rPr>
                <w:rFonts w:ascii="宋体" w:eastAsia="宋体" w:hAnsi="宋体" w:cs="宋体" w:hint="eastAsia"/>
                <w:bCs/>
                <w:sz w:val="24"/>
                <w:szCs w:val="24"/>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r>
    </w:tbl>
    <w:p>
      <w:pPr>
        <w:pStyle w:val="PlainText"/>
        <w:numPr>
          <w:ilvl w:val="0"/>
          <w:numId w:val="0"/>
        </w:numPr>
        <w:tabs>
          <w:tab w:val="left" w:pos="540"/>
        </w:tabs>
        <w:adjustRightInd w:val="0"/>
        <w:snapToGrid w:val="0"/>
        <w:spacing w:line="360" w:lineRule="auto"/>
        <w:ind w:leftChars="0"/>
        <w:rPr>
          <w:rFonts w:asciiTheme="minorEastAsia" w:hAnsiTheme="minorEastAsia" w:cs="宋体" w:hint="eastAsia"/>
          <w:b/>
          <w:color w:val="FF0000"/>
          <w:sz w:val="24"/>
          <w:szCs w:val="24"/>
        </w:rPr>
      </w:pPr>
    </w:p>
    <w:p>
      <w:pPr>
        <w:pStyle w:val="PlainText"/>
        <w:tabs>
          <w:tab w:val="left" w:pos="540"/>
        </w:tabs>
        <w:adjustRightInd w:val="0"/>
        <w:snapToGrid w:val="0"/>
        <w:spacing w:line="360" w:lineRule="auto"/>
        <w:ind w:left="420"/>
        <w:rPr>
          <w:rFonts w:hAnsi="宋体"/>
          <w:b/>
          <w:sz w:val="24"/>
          <w:szCs w:val="24"/>
        </w:rPr>
      </w:pPr>
    </w:p>
    <w:p>
      <w:pPr>
        <w:rPr>
          <w:rFonts w:hint="eastAsia"/>
          <w:b/>
          <w:bCs/>
          <w:sz w:val="28"/>
          <w:szCs w:val="28"/>
        </w:rPr>
      </w:pPr>
      <w:bookmarkEnd w:id="72"/>
      <w:bookmarkEnd w:id="73"/>
      <w:bookmarkStart w:id="74" w:name="_Toc13067019"/>
      <w:bookmarkStart w:id="75" w:name="_Toc13067017"/>
      <w:bookmarkStart w:id="76" w:name="_Toc435109306"/>
      <w:bookmarkStart w:id="77" w:name="_Toc13067022"/>
      <w:bookmarkStart w:id="78" w:name="_Toc435514850"/>
      <w:bookmarkStart w:id="79" w:name="_Toc435115055"/>
      <w:r>
        <w:rPr>
          <w:rFonts w:hint="eastAsia"/>
          <w:b/>
          <w:bCs/>
          <w:sz w:val="28"/>
          <w:szCs w:val="28"/>
        </w:rPr>
        <w:br w:type="page"/>
      </w:r>
    </w:p>
    <w:p>
      <w:pPr>
        <w:adjustRightInd w:val="0"/>
        <w:snapToGrid w:val="0"/>
        <w:spacing w:line="360" w:lineRule="auto"/>
        <w:jc w:val="center"/>
        <w:outlineLvl w:val="0"/>
        <w:rPr>
          <w:b/>
          <w:bCs/>
          <w:sz w:val="28"/>
          <w:szCs w:val="28"/>
          <w:highlight w:val="yellow"/>
        </w:rPr>
      </w:pPr>
      <w:bookmarkStart w:id="80" w:name="_Toc13712"/>
      <w:bookmarkStart w:id="81" w:name="_Toc256000010"/>
      <w:r>
        <w:rPr>
          <w:rFonts w:hint="eastAsia"/>
          <w:b/>
          <w:bCs/>
          <w:sz w:val="28"/>
          <w:szCs w:val="28"/>
        </w:rPr>
        <w:t>第三章 评标方法</w:t>
      </w:r>
      <w:bookmarkEnd w:id="74"/>
      <w:r>
        <w:rPr>
          <w:rFonts w:hint="eastAsia"/>
          <w:b/>
          <w:bCs/>
          <w:sz w:val="28"/>
          <w:szCs w:val="28"/>
        </w:rPr>
        <w:t>和标准</w:t>
      </w:r>
      <w:bookmarkEnd w:id="81"/>
      <w:bookmarkEnd w:id="80"/>
    </w:p>
    <w:p>
      <w:pPr>
        <w:pStyle w:val="ListParagraph"/>
        <w:numPr>
          <w:ilvl w:val="0"/>
          <w:numId w:val="6"/>
        </w:numPr>
        <w:tabs>
          <w:tab w:val="left" w:pos="420"/>
          <w:tab w:val="left" w:pos="630"/>
        </w:tabs>
        <w:autoSpaceDE w:val="0"/>
        <w:autoSpaceDN w:val="0"/>
        <w:adjustRightInd w:val="0"/>
        <w:snapToGrid w:val="0"/>
        <w:spacing w:line="360" w:lineRule="auto"/>
        <w:ind w:firstLineChars="0"/>
        <w:rPr>
          <w:rFonts w:ascii="宋体" w:hAnsi="宋体"/>
          <w:b/>
          <w:color w:val="000000" w:themeColor="text1"/>
          <w:sz w:val="24"/>
          <w14:textFill>
            <w14:solidFill>
              <w14:schemeClr w14:val="tx1"/>
            </w14:solidFill>
          </w14:textFill>
        </w:rPr>
      </w:pPr>
      <w:r>
        <w:rPr>
          <w:rFonts w:ascii="宋体" w:hAnsi="宋体" w:hint="eastAsia"/>
          <w:b/>
          <w:color w:val="000000" w:themeColor="text1"/>
          <w:sz w:val="24"/>
          <w14:textFill>
            <w14:solidFill>
              <w14:schemeClr w14:val="tx1"/>
            </w14:solidFill>
          </w14:textFill>
        </w:rPr>
        <w:t>说明：</w:t>
      </w:r>
    </w:p>
    <w:p>
      <w:pPr>
        <w:pStyle w:val="ListParagraph"/>
        <w:numPr>
          <w:ilvl w:val="0"/>
          <w:numId w:val="7"/>
        </w:numPr>
        <w:tabs>
          <w:tab w:val="left" w:pos="630"/>
        </w:tabs>
        <w:autoSpaceDE w:val="0"/>
        <w:autoSpaceDN w:val="0"/>
        <w:adjustRightInd w:val="0"/>
        <w:snapToGrid w:val="0"/>
        <w:spacing w:line="360" w:lineRule="auto"/>
        <w:ind w:left="567" w:hanging="567" w:firstLineChars="0"/>
        <w:rPr>
          <w:rFonts w:ascii="宋体" w:hAnsi="宋体"/>
          <w:color w:val="FF0000"/>
          <w:sz w:val="24"/>
        </w:rPr>
      </w:pPr>
      <w:r>
        <w:rPr>
          <w:rFonts w:ascii="宋体" w:hAnsi="宋体" w:hint="eastAsia"/>
          <w:color w:val="000000" w:themeColor="text1"/>
          <w:sz w:val="24"/>
          <w14:textFill>
            <w14:solidFill>
              <w14:schemeClr w14:val="tx1"/>
            </w14:solidFill>
          </w14:textFill>
        </w:rPr>
        <w:t>投标人必须严格按照《资格性审查表》、《符合性审查表》的评审内容的要求如实提供证明材料，若投标人不满足《资格性审查表》、《符合性审查表》中任何情形之一的，则其投标无效。</w:t>
      </w:r>
    </w:p>
    <w:p>
      <w:pPr>
        <w:pStyle w:val="ListParagraph"/>
        <w:numPr>
          <w:ilvl w:val="0"/>
          <w:numId w:val="7"/>
        </w:numPr>
        <w:tabs>
          <w:tab w:val="left" w:pos="630"/>
        </w:tabs>
        <w:autoSpaceDE w:val="0"/>
        <w:autoSpaceDN w:val="0"/>
        <w:adjustRightInd w:val="0"/>
        <w:snapToGrid w:val="0"/>
        <w:spacing w:line="360" w:lineRule="auto"/>
        <w:ind w:left="567" w:hanging="567" w:firstLineChars="0"/>
        <w:rPr>
          <w:rFonts w:ascii="宋体" w:hAnsi="宋体"/>
          <w:strike/>
          <w:color w:val="00B0F0"/>
          <w:sz w:val="24"/>
        </w:rPr>
      </w:pPr>
      <w:r>
        <w:rPr>
          <w:rFonts w:ascii="宋体" w:hAnsi="宋体" w:hint="eastAsia"/>
          <w:sz w:val="24"/>
        </w:rPr>
        <w:t>资格性、符合性审查内容详见《资格性审查表》、《符合性审查表》。</w:t>
      </w:r>
    </w:p>
    <w:p>
      <w:pPr>
        <w:pStyle w:val="ListParagraph"/>
        <w:numPr>
          <w:ilvl w:val="0"/>
          <w:numId w:val="7"/>
        </w:numPr>
        <w:tabs>
          <w:tab w:val="left" w:pos="630"/>
        </w:tabs>
        <w:autoSpaceDE w:val="0"/>
        <w:autoSpaceDN w:val="0"/>
        <w:adjustRightInd w:val="0"/>
        <w:snapToGrid w:val="0"/>
        <w:spacing w:line="360" w:lineRule="auto"/>
        <w:ind w:left="567" w:hanging="567" w:firstLineChars="0"/>
        <w:rPr>
          <w:rFonts w:ascii="宋体" w:hAnsi="宋体"/>
          <w:sz w:val="24"/>
        </w:rPr>
      </w:pPr>
      <w:r>
        <w:rPr>
          <w:rFonts w:ascii="宋体" w:hAnsi="宋体" w:hint="eastAsia"/>
          <w:sz w:val="24"/>
        </w:rPr>
        <w:t>技术、商务评分：评审委员会各成员分值的算术平均值（四舍五入后，小数点后保留两位有效数）。</w:t>
      </w:r>
    </w:p>
    <w:p>
      <w:pPr>
        <w:pStyle w:val="ListParagraph"/>
        <w:numPr>
          <w:ilvl w:val="0"/>
          <w:numId w:val="7"/>
        </w:numPr>
        <w:tabs>
          <w:tab w:val="left" w:pos="630"/>
        </w:tabs>
        <w:autoSpaceDE w:val="0"/>
        <w:autoSpaceDN w:val="0"/>
        <w:adjustRightInd w:val="0"/>
        <w:snapToGrid w:val="0"/>
        <w:spacing w:line="360" w:lineRule="auto"/>
        <w:ind w:left="567" w:hanging="567" w:firstLineChars="0"/>
        <w:rPr>
          <w:rFonts w:ascii="宋体" w:hAnsi="宋体"/>
          <w:sz w:val="24"/>
        </w:rPr>
      </w:pPr>
      <w:r>
        <w:rPr>
          <w:rFonts w:ascii="宋体" w:hAnsi="宋体" w:hint="eastAsia"/>
          <w:sz w:val="24"/>
        </w:rPr>
        <w:t>投标人应如实提交《综合评分表》要求提交的相关各类证明、资料等，投标人如未按要求提交的，该项评分为零分。</w:t>
      </w:r>
    </w:p>
    <w:p>
      <w:pPr>
        <w:widowControl/>
        <w:jc w:val="left"/>
        <w:rPr>
          <w:rFonts w:ascii="黑体" w:eastAsia="黑体" w:hAnsi="宋体" w:cs="宋体"/>
          <w:sz w:val="28"/>
          <w:szCs w:val="28"/>
        </w:rPr>
      </w:pPr>
      <w:bookmarkStart w:id="82" w:name="_Toc435514846"/>
      <w:r>
        <w:rPr>
          <w:rFonts w:ascii="黑体" w:eastAsia="黑体" w:hAnsi="宋体" w:cs="宋体"/>
          <w:sz w:val="28"/>
          <w:szCs w:val="28"/>
        </w:rPr>
        <w:br w:type="page"/>
      </w:r>
    </w:p>
    <w:p>
      <w:pPr>
        <w:jc w:val="center"/>
        <w:outlineLvl w:val="3"/>
        <w:rPr>
          <w:rFonts w:eastAsia="宋体" w:hint="eastAsia"/>
          <w:b/>
          <w:bCs/>
          <w:color w:val="FF0000"/>
          <w:sz w:val="28"/>
          <w:szCs w:val="28"/>
          <w:lang w:eastAsia="zh-CN"/>
        </w:rPr>
      </w:pPr>
      <w:bookmarkEnd w:id="82"/>
      <w:bookmarkStart w:id="83" w:name="_Toc30664355"/>
      <w:bookmarkStart w:id="84" w:name="_Toc435514848"/>
      <w:r>
        <w:rPr>
          <w:rFonts w:hint="eastAsia"/>
          <w:b/>
          <w:bCs/>
          <w:sz w:val="28"/>
          <w:szCs w:val="28"/>
        </w:rPr>
        <w:t>投标文件初审</w:t>
      </w:r>
      <w:bookmarkEnd w:id="83"/>
    </w:p>
    <w:tbl>
      <w:tblPr>
        <w:tblStyle w:val="TableNormal"/>
        <w:tblW w:w="939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079"/>
        <w:gridCol w:w="8317"/>
      </w:tblGrid>
      <w:tr>
        <w:tblPrEx>
          <w:tblW w:w="939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578"/>
        </w:trPr>
        <w:tc>
          <w:tcPr>
            <w:tcW w:w="1079" w:type="dxa"/>
            <w:vAlign w:val="center"/>
          </w:tcPr>
          <w:p>
            <w:pPr>
              <w:keepNext w:val="0"/>
              <w:keepLines w:val="0"/>
              <w:suppressLineNumbers w:val="0"/>
              <w:snapToGrid w:val="0"/>
              <w:spacing w:before="0" w:beforeAutospacing="0" w:after="0" w:afterAutospacing="0" w:line="288" w:lineRule="auto"/>
              <w:ind w:left="0" w:right="0"/>
              <w:jc w:val="center"/>
              <w:rPr>
                <w:rFonts w:asciiTheme="minorEastAsia" w:eastAsiaTheme="minorEastAsia" w:hAnsiTheme="minorEastAsia" w:cs="宋体" w:hint="default"/>
                <w:b/>
                <w:sz w:val="24"/>
              </w:rPr>
            </w:pPr>
            <w:r>
              <w:rPr>
                <w:rFonts w:asciiTheme="minorEastAsia" w:eastAsiaTheme="minorEastAsia" w:hAnsiTheme="minorEastAsia" w:cs="宋体" w:hint="eastAsia"/>
                <w:b/>
                <w:sz w:val="24"/>
              </w:rPr>
              <w:t>序号</w:t>
            </w:r>
          </w:p>
        </w:tc>
        <w:tc>
          <w:tcPr>
            <w:tcW w:w="8317" w:type="dxa"/>
            <w:vAlign w:val="center"/>
          </w:tcPr>
          <w:p>
            <w:pPr>
              <w:keepNext w:val="0"/>
              <w:keepLines w:val="0"/>
              <w:suppressLineNumbers w:val="0"/>
              <w:snapToGrid w:val="0"/>
              <w:spacing w:before="0" w:beforeAutospacing="0" w:after="0" w:afterAutospacing="0" w:line="288" w:lineRule="auto"/>
              <w:ind w:left="0" w:right="0"/>
              <w:jc w:val="center"/>
              <w:rPr>
                <w:rFonts w:asciiTheme="minorEastAsia" w:eastAsiaTheme="minorEastAsia" w:hAnsiTheme="minorEastAsia" w:cs="宋体" w:hint="default"/>
                <w:b/>
                <w:sz w:val="24"/>
              </w:rPr>
            </w:pPr>
            <w:r>
              <w:rPr>
                <w:rFonts w:asciiTheme="minorEastAsia" w:eastAsiaTheme="minorEastAsia" w:hAnsiTheme="minorEastAsia" w:cs="宋体" w:hint="eastAsia"/>
                <w:b/>
                <w:sz w:val="24"/>
              </w:rPr>
              <w:t>资格性审查</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keepNext w:val="0"/>
              <w:keepLines w:val="0"/>
              <w:numPr>
                <w:ilvl w:val="0"/>
                <w:numId w:val="8"/>
              </w:numPr>
              <w:suppressLineNumbers w:val="0"/>
              <w:adjustRightInd w:val="0"/>
              <w:snapToGrid w:val="0"/>
              <w:spacing w:before="0" w:beforeAutospacing="0" w:after="0" w:afterAutospacing="0" w:line="288" w:lineRule="auto"/>
              <w:ind w:left="149" w:right="0" w:firstLine="0" w:leftChars="71" w:firstLineChars="0"/>
              <w:textAlignment w:val="baseline"/>
              <w:rPr>
                <w:rFonts w:asciiTheme="minorEastAsia" w:eastAsiaTheme="minorEastAsia" w:hAnsiTheme="minorEastAsia" w:cs="宋体" w:hint="default"/>
                <w:sz w:val="24"/>
              </w:rPr>
            </w:pPr>
          </w:p>
        </w:tc>
        <w:tc>
          <w:tcPr>
            <w:tcW w:w="8317" w:type="dxa"/>
            <w:vAlign w:val="center"/>
          </w:tcPr>
          <w:p>
            <w:pPr>
              <w:keepNext w:val="0"/>
              <w:keepLines w:val="0"/>
              <w:suppressLineNumbers w:val="0"/>
              <w:tabs>
                <w:tab w:val="left" w:pos="612"/>
              </w:tabs>
              <w:snapToGrid w:val="0"/>
              <w:spacing w:before="0" w:beforeAutospacing="0" w:after="0" w:afterAutospacing="0" w:line="288" w:lineRule="auto"/>
              <w:ind w:left="0" w:right="0"/>
              <w:rPr>
                <w:rFonts w:asciiTheme="minorEastAsia" w:eastAsiaTheme="minorEastAsia" w:hAnsiTheme="minorEastAsia" w:cs="宋体" w:hint="default"/>
                <w:sz w:val="24"/>
              </w:rPr>
            </w:pPr>
            <w:r>
              <w:rPr>
                <w:rFonts w:asciiTheme="minorEastAsia" w:eastAsiaTheme="minorEastAsia" w:hAnsiTheme="minorEastAsia" w:hint="eastAsia"/>
                <w:bCs/>
                <w:sz w:val="24"/>
              </w:rPr>
              <w:t>具备《中华人民共和国政府采购法》第二十二条规定的条件</w:t>
            </w:r>
            <w:r>
              <w:rPr>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keepNext w:val="0"/>
              <w:keepLines w:val="0"/>
              <w:numPr>
                <w:ilvl w:val="0"/>
                <w:numId w:val="9"/>
              </w:numPr>
              <w:suppressLineNumbers w:val="0"/>
              <w:tabs>
                <w:tab w:val="left" w:pos="176"/>
                <w:tab w:val="left" w:pos="612"/>
              </w:tabs>
              <w:adjustRightInd w:val="0"/>
              <w:snapToGrid w:val="0"/>
              <w:spacing w:before="0" w:beforeAutospacing="0" w:after="0" w:afterAutospacing="0" w:line="288" w:lineRule="auto"/>
              <w:ind w:right="0"/>
              <w:jc w:val="center"/>
              <w:textAlignment w:val="baseline"/>
              <w:rPr>
                <w:rFonts w:asciiTheme="minorEastAsia" w:eastAsiaTheme="minorEastAsia" w:hAnsiTheme="minorEastAsia" w:cs="宋体" w:hint="default"/>
                <w:sz w:val="24"/>
              </w:rPr>
            </w:pPr>
          </w:p>
        </w:tc>
        <w:tc>
          <w:tcPr>
            <w:tcW w:w="8317" w:type="dxa"/>
            <w:vAlign w:val="center"/>
          </w:tcPr>
          <w:p>
            <w:pPr>
              <w:keepNext w:val="0"/>
              <w:keepLines w:val="0"/>
              <w:suppressLineNumbers w:val="0"/>
              <w:tabs>
                <w:tab w:val="left" w:pos="612"/>
              </w:tabs>
              <w:snapToGrid w:val="0"/>
              <w:spacing w:before="0" w:beforeAutospacing="0" w:after="0" w:afterAutospacing="0" w:line="288" w:lineRule="auto"/>
              <w:ind w:left="0" w:right="0"/>
              <w:rPr>
                <w:rFonts w:asciiTheme="minorEastAsia" w:eastAsiaTheme="minorEastAsia" w:hAnsiTheme="minorEastAsia" w:cs="宋体" w:hint="default"/>
                <w:sz w:val="24"/>
              </w:rPr>
            </w:pPr>
            <w:r>
              <w:rPr>
                <w:rFonts w:asciiTheme="minorEastAsia" w:eastAsiaTheme="minorEastAsia" w:hAnsiTheme="minorEastAsia" w:hint="eastAsia"/>
                <w:sz w:val="24"/>
              </w:rPr>
              <w:t>提供在中华人民共和国境内注册的法人或其他组织的营业执照或事业单位法人证书或社会团体法人登记证书</w:t>
            </w:r>
            <w:r>
              <w:rPr>
                <w:rFonts w:asciiTheme="minorEastAsia" w:eastAsiaTheme="minorEastAsia" w:hAnsiTheme="minorEastAsia" w:cs="黑体" w:hint="eastAsia"/>
                <w:sz w:val="24"/>
              </w:rPr>
              <w:t>扫描件</w:t>
            </w:r>
            <w:r>
              <w:rPr>
                <w:rFonts w:asciiTheme="minorEastAsia" w:eastAsiaTheme="minorEastAsia" w:hAnsiTheme="minorEastAsia" w:hint="eastAsia"/>
                <w:sz w:val="24"/>
              </w:rPr>
              <w:t>，如投标人为自然人的提供自然人身份证明</w:t>
            </w:r>
            <w:r>
              <w:rPr>
                <w:rFonts w:asciiTheme="minorEastAsia" w:eastAsiaTheme="minorEastAsia" w:hAnsiTheme="minorEastAsia" w:cs="黑体" w:hint="eastAsia"/>
                <w:sz w:val="24"/>
              </w:rPr>
              <w:t>扫描件</w:t>
            </w:r>
            <w:r>
              <w:rPr>
                <w:rFonts w:asciiTheme="minorEastAsia" w:eastAsiaTheme="minorEastAsia" w:hAnsiTheme="minorEastAsia" w:hint="eastAsia"/>
                <w:bCs/>
                <w:sz w:val="24"/>
              </w:rPr>
              <w:t>；</w:t>
            </w:r>
            <w:r>
              <w:rPr>
                <w:rFonts w:asciiTheme="minorEastAsia" w:eastAsiaTheme="minorEastAsia" w:hAnsiTheme="minorEastAsia" w:hint="eastAsia"/>
                <w:sz w:val="24"/>
              </w:rPr>
              <w:t>如国家另有规定的，则从其规定。（</w:t>
            </w:r>
            <w:r>
              <w:rPr>
                <w:rFonts w:asciiTheme="minorEastAsia" w:eastAsiaTheme="minorEastAsia" w:hAnsiTheme="minorEastAsia" w:cs="宋体" w:hint="eastAsia"/>
                <w:sz w:val="24"/>
              </w:rPr>
              <w:t>分支机构投标，须取得</w:t>
            </w:r>
            <w:r>
              <w:rPr>
                <w:rFonts w:asciiTheme="minorEastAsia" w:eastAsiaTheme="minorEastAsia" w:hAnsiTheme="minorEastAsia" w:cs="黑体" w:hint="eastAsia"/>
                <w:sz w:val="24"/>
              </w:rPr>
              <w:t>具有法人资格的总公司</w:t>
            </w:r>
            <w:r>
              <w:rPr>
                <w:rStyle w:val="p141"/>
                <w:rFonts w:asciiTheme="minorEastAsia" w:eastAsiaTheme="minorEastAsia" w:hAnsiTheme="minorEastAsia" w:hint="eastAsia"/>
                <w:sz w:val="24"/>
              </w:rPr>
              <w:t>（总所）</w:t>
            </w:r>
            <w:r>
              <w:rPr>
                <w:rFonts w:asciiTheme="minorEastAsia" w:eastAsiaTheme="minorEastAsia" w:hAnsiTheme="minorEastAsia" w:cs="黑体" w:hint="eastAsia"/>
                <w:sz w:val="24"/>
              </w:rPr>
              <w:t>出具给分支机构的授权书，并提供总公司</w:t>
            </w:r>
            <w:r>
              <w:rPr>
                <w:rStyle w:val="p141"/>
                <w:rFonts w:asciiTheme="minorEastAsia" w:eastAsiaTheme="minorEastAsia" w:hAnsiTheme="minorEastAsia" w:hint="eastAsia"/>
                <w:sz w:val="24"/>
              </w:rPr>
              <w:t>（总所）</w:t>
            </w:r>
            <w:r>
              <w:rPr>
                <w:rFonts w:asciiTheme="minorEastAsia" w:eastAsiaTheme="minorEastAsia" w:hAnsiTheme="minorEastAsia" w:cs="黑体" w:hint="eastAsia"/>
                <w:sz w:val="24"/>
              </w:rPr>
              <w:t>和分支机构的营业执照（执业许可证）扫描件。</w:t>
            </w:r>
            <w:r>
              <w:rPr>
                <w:rStyle w:val="p141"/>
                <w:rFonts w:asciiTheme="minorEastAsia" w:eastAsiaTheme="minorEastAsia" w:hAnsiTheme="minorEastAsia" w:hint="eastAsia"/>
                <w:sz w:val="24"/>
              </w:rPr>
              <w:t>已由总公司（总所）授权的，总公司（总所）取</w:t>
            </w:r>
            <w:r>
              <w:rPr>
                <w:rStyle w:val="p141"/>
                <w:rFonts w:asciiTheme="minorEastAsia" w:eastAsiaTheme="minorEastAsia" w:hAnsiTheme="minorEastAsia" w:hint="eastAsia"/>
                <w:sz w:val="24"/>
                <w:highlight w:val="white"/>
              </w:rPr>
              <w:t>得的相关资质证书对分支机构有效，法律法规或者行业另有规定的除外</w:t>
            </w:r>
            <w:r>
              <w:rPr>
                <w:rStyle w:val="p141"/>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keepNext w:val="0"/>
              <w:keepLines w:val="0"/>
              <w:numPr>
                <w:ilvl w:val="0"/>
                <w:numId w:val="9"/>
              </w:numPr>
              <w:suppressLineNumbers w:val="0"/>
              <w:tabs>
                <w:tab w:val="left" w:pos="176"/>
                <w:tab w:val="left" w:pos="612"/>
              </w:tabs>
              <w:adjustRightInd w:val="0"/>
              <w:snapToGrid w:val="0"/>
              <w:spacing w:before="0" w:beforeAutospacing="0" w:after="0" w:afterAutospacing="0" w:line="288" w:lineRule="auto"/>
              <w:ind w:right="0"/>
              <w:jc w:val="center"/>
              <w:textAlignment w:val="baseline"/>
              <w:rPr>
                <w:rFonts w:asciiTheme="minorEastAsia" w:eastAsiaTheme="minorEastAsia" w:hAnsiTheme="minorEastAsia" w:cs="宋体" w:hint="default"/>
                <w:sz w:val="24"/>
              </w:rPr>
            </w:pPr>
          </w:p>
        </w:tc>
        <w:tc>
          <w:tcPr>
            <w:tcW w:w="8317" w:type="dxa"/>
            <w:vAlign w:val="center"/>
          </w:tcPr>
          <w:p>
            <w:pPr>
              <w:keepNext w:val="0"/>
              <w:keepLines w:val="0"/>
              <w:suppressLineNumbers w:val="0"/>
              <w:tabs>
                <w:tab w:val="left" w:pos="612"/>
              </w:tabs>
              <w:snapToGrid w:val="0"/>
              <w:spacing w:before="0" w:beforeAutospacing="0" w:after="0" w:afterAutospacing="0" w:line="288" w:lineRule="auto"/>
              <w:ind w:left="0" w:right="0"/>
              <w:rPr>
                <w:rFonts w:asciiTheme="minorEastAsia" w:eastAsiaTheme="minorEastAsia" w:hAnsiTheme="minorEastAsia" w:hint="default"/>
                <w:sz w:val="24"/>
              </w:rPr>
            </w:pPr>
            <w:r>
              <w:rPr>
                <w:rFonts w:asciiTheme="minorEastAsia" w:eastAsiaTheme="minorEastAsia" w:hAnsiTheme="minorEastAsia" w:hint="eastAsia"/>
                <w:bCs/>
                <w:sz w:val="24"/>
              </w:rPr>
              <w:t>提供履行合同所必需的设备和专业技术能力的书面声明；（提供《政府采购投标及履约承诺函》）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keepNext w:val="0"/>
              <w:keepLines w:val="0"/>
              <w:numPr>
                <w:ilvl w:val="0"/>
                <w:numId w:val="9"/>
              </w:numPr>
              <w:suppressLineNumbers w:val="0"/>
              <w:tabs>
                <w:tab w:val="left" w:pos="176"/>
                <w:tab w:val="left" w:pos="612"/>
              </w:tabs>
              <w:adjustRightInd w:val="0"/>
              <w:snapToGrid w:val="0"/>
              <w:spacing w:before="0" w:beforeAutospacing="0" w:after="0" w:afterAutospacing="0" w:line="288" w:lineRule="auto"/>
              <w:ind w:right="0"/>
              <w:jc w:val="center"/>
              <w:textAlignment w:val="baseline"/>
              <w:rPr>
                <w:rFonts w:asciiTheme="minorEastAsia" w:eastAsiaTheme="minorEastAsia" w:hAnsiTheme="minorEastAsia" w:cs="宋体" w:hint="default"/>
                <w:sz w:val="24"/>
                <w:highlight w:val="none"/>
              </w:rPr>
            </w:pPr>
          </w:p>
        </w:tc>
        <w:tc>
          <w:tcPr>
            <w:tcW w:w="8317" w:type="dxa"/>
            <w:vAlign w:val="center"/>
          </w:tcPr>
          <w:p>
            <w:pPr>
              <w:keepNext w:val="0"/>
              <w:keepLines w:val="0"/>
              <w:suppressLineNumbers w:val="0"/>
              <w:tabs>
                <w:tab w:val="left" w:pos="612"/>
              </w:tabs>
              <w:snapToGrid w:val="0"/>
              <w:spacing w:before="0" w:beforeAutospacing="0" w:after="0" w:afterAutospacing="0" w:line="288" w:lineRule="auto"/>
              <w:ind w:left="0" w:right="0"/>
              <w:rPr>
                <w:rFonts w:asciiTheme="minorEastAsia" w:eastAsiaTheme="minorEastAsia" w:hAnsiTheme="minorEastAsia" w:hint="default"/>
                <w:sz w:val="24"/>
                <w:highlight w:val="none"/>
              </w:rPr>
            </w:pPr>
            <w:r>
              <w:rPr>
                <w:rFonts w:asciiTheme="minorEastAsia" w:eastAsiaTheme="minorEastAsia" w:hAnsiTheme="minorEastAsia" w:hint="eastAsia"/>
                <w:sz w:val="24"/>
                <w:highlight w:val="none"/>
              </w:rPr>
              <w:t>参与本项目投标前三年内，在经营活动中没有重大违法记录</w:t>
            </w:r>
            <w:r>
              <w:rPr>
                <w:rFonts w:asciiTheme="minorEastAsia" w:eastAsiaTheme="minorEastAsia" w:hAnsiTheme="minorEastAsia" w:hint="eastAsia"/>
                <w:bCs/>
                <w:sz w:val="24"/>
                <w:highlight w:val="none"/>
              </w:rPr>
              <w:t>（提供《政府采购投标及履约承诺函》）</w:t>
            </w:r>
            <w:r>
              <w:rPr>
                <w:rFonts w:asciiTheme="minorEastAsia" w:eastAsiaTheme="minorEastAsia" w:hAnsiTheme="minorEastAsia" w:hint="eastAsia"/>
                <w:sz w:val="24"/>
                <w:highlight w:val="none"/>
              </w:rPr>
              <w:t>（</w:t>
            </w:r>
            <w:r>
              <w:rPr>
                <w:rFonts w:ascii="宋体" w:hAnsi="宋体" w:cs="宋体" w:hint="default"/>
                <w:sz w:val="24"/>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asciiTheme="minorEastAsia" w:eastAsiaTheme="minorEastAsia" w:hAnsiTheme="minorEastAsia" w:hint="eastAsia"/>
                <w:sz w:val="24"/>
                <w:highlight w:val="none"/>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keepNext w:val="0"/>
              <w:keepLines w:val="0"/>
              <w:numPr>
                <w:ilvl w:val="0"/>
                <w:numId w:val="9"/>
              </w:numPr>
              <w:suppressLineNumbers w:val="0"/>
              <w:tabs>
                <w:tab w:val="left" w:pos="176"/>
                <w:tab w:val="left" w:pos="612"/>
              </w:tabs>
              <w:adjustRightInd w:val="0"/>
              <w:snapToGrid w:val="0"/>
              <w:spacing w:before="0" w:beforeAutospacing="0" w:after="0" w:afterAutospacing="0" w:line="288" w:lineRule="auto"/>
              <w:ind w:right="0"/>
              <w:jc w:val="center"/>
              <w:textAlignment w:val="baseline"/>
              <w:rPr>
                <w:rFonts w:asciiTheme="minorEastAsia" w:eastAsiaTheme="minorEastAsia" w:hAnsiTheme="minorEastAsia" w:cs="宋体" w:hint="default"/>
                <w:sz w:val="24"/>
              </w:rPr>
            </w:pPr>
          </w:p>
        </w:tc>
        <w:tc>
          <w:tcPr>
            <w:tcW w:w="8317" w:type="dxa"/>
            <w:vAlign w:val="center"/>
          </w:tcPr>
          <w:p>
            <w:pPr>
              <w:keepNext w:val="0"/>
              <w:keepLines w:val="0"/>
              <w:suppressLineNumbers w:val="0"/>
              <w:tabs>
                <w:tab w:val="left" w:pos="612"/>
              </w:tabs>
              <w:snapToGrid w:val="0"/>
              <w:spacing w:before="0" w:beforeAutospacing="0" w:after="0" w:afterAutospacing="0" w:line="288" w:lineRule="auto"/>
              <w:ind w:left="0" w:right="0"/>
              <w:rPr>
                <w:rFonts w:asciiTheme="minorEastAsia" w:eastAsiaTheme="minorEastAsia" w:hAnsiTheme="minorEastAsia" w:hint="default"/>
                <w:bCs/>
                <w:sz w:val="24"/>
              </w:rPr>
            </w:pPr>
            <w:r>
              <w:rPr>
                <w:rFonts w:asciiTheme="minorEastAsia" w:eastAsiaTheme="minorEastAsia" w:hAnsiTheme="minorEastAsia" w:hint="eastAsia"/>
                <w:sz w:val="24"/>
              </w:rPr>
              <w:t>参与本项目政府采购活动时不存在被有关部门禁止参与政府采购活动且在有效期内的情况</w:t>
            </w:r>
            <w:r>
              <w:rPr>
                <w:rFonts w:asciiTheme="minorEastAsia" w:eastAsiaTheme="minorEastAsia" w:hAnsiTheme="minorEastAsia" w:hint="eastAsia"/>
                <w:bCs/>
                <w:sz w:val="24"/>
              </w:rPr>
              <w:t>（提供《政府采购投标及履约承诺函》）</w:t>
            </w:r>
            <w:r>
              <w:rPr>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keepNext w:val="0"/>
              <w:keepLines w:val="0"/>
              <w:numPr>
                <w:ilvl w:val="0"/>
                <w:numId w:val="9"/>
              </w:numPr>
              <w:suppressLineNumbers w:val="0"/>
              <w:tabs>
                <w:tab w:val="left" w:pos="176"/>
                <w:tab w:val="left" w:pos="612"/>
              </w:tabs>
              <w:adjustRightInd w:val="0"/>
              <w:snapToGrid w:val="0"/>
              <w:spacing w:before="0" w:beforeAutospacing="0" w:after="0" w:afterAutospacing="0" w:line="288" w:lineRule="auto"/>
              <w:ind w:right="0"/>
              <w:jc w:val="center"/>
              <w:textAlignment w:val="baseline"/>
              <w:rPr>
                <w:rFonts w:asciiTheme="minorEastAsia" w:eastAsiaTheme="minorEastAsia" w:hAnsiTheme="minorEastAsia" w:cs="宋体" w:hint="default"/>
                <w:sz w:val="24"/>
              </w:rPr>
            </w:pPr>
          </w:p>
        </w:tc>
        <w:tc>
          <w:tcPr>
            <w:tcW w:w="8317" w:type="dxa"/>
            <w:vAlign w:val="center"/>
          </w:tcPr>
          <w:p>
            <w:pPr>
              <w:keepNext w:val="0"/>
              <w:keepLines w:val="0"/>
              <w:suppressLineNumbers w:val="0"/>
              <w:tabs>
                <w:tab w:val="left" w:pos="612"/>
              </w:tabs>
              <w:snapToGrid w:val="0"/>
              <w:spacing w:before="0" w:beforeAutospacing="0" w:after="0" w:afterAutospacing="0" w:line="288" w:lineRule="auto"/>
              <w:ind w:left="0" w:right="0"/>
              <w:rPr>
                <w:rFonts w:asciiTheme="minorEastAsia" w:eastAsiaTheme="minorEastAsia" w:hAnsiTheme="minorEastAsia" w:hint="default"/>
                <w:bCs/>
                <w:sz w:val="24"/>
              </w:rPr>
            </w:pPr>
            <w:r>
              <w:rPr>
                <w:rFonts w:asciiTheme="minorEastAsia" w:eastAsiaTheme="minorEastAsia" w:hAnsiTheme="minorEastAsia" w:hint="eastAsia"/>
                <w:bCs/>
                <w:sz w:val="24"/>
              </w:rPr>
              <w:t>法律、行政法规规定的其他条件（提供《政府采购投标及履约承诺函》）。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keepNext w:val="0"/>
              <w:keepLines w:val="0"/>
              <w:numPr>
                <w:ilvl w:val="0"/>
                <w:numId w:val="8"/>
              </w:numPr>
              <w:suppressLineNumbers w:val="0"/>
              <w:adjustRightInd w:val="0"/>
              <w:snapToGrid w:val="0"/>
              <w:spacing w:before="0" w:beforeAutospacing="0" w:after="0" w:afterAutospacing="0" w:line="288" w:lineRule="auto"/>
              <w:ind w:left="149" w:right="0" w:firstLine="0" w:leftChars="71" w:firstLineChars="0"/>
              <w:textAlignment w:val="baseline"/>
              <w:rPr>
                <w:rFonts w:asciiTheme="minorEastAsia" w:eastAsiaTheme="minorEastAsia" w:hAnsiTheme="minorEastAsia" w:cs="宋体" w:hint="default"/>
                <w:sz w:val="24"/>
              </w:rPr>
            </w:pPr>
          </w:p>
        </w:tc>
        <w:tc>
          <w:tcPr>
            <w:tcW w:w="8317" w:type="dxa"/>
            <w:vAlign w:val="center"/>
          </w:tcPr>
          <w:p>
            <w:pPr>
              <w:keepNext w:val="0"/>
              <w:keepLines w:val="0"/>
              <w:suppressLineNumbers w:val="0"/>
              <w:snapToGrid w:val="0"/>
              <w:spacing w:before="0" w:beforeAutospacing="0" w:after="0" w:afterAutospacing="0" w:line="288" w:lineRule="auto"/>
              <w:ind w:left="0" w:right="0"/>
              <w:rPr>
                <w:rFonts w:asciiTheme="minorEastAsia" w:eastAsiaTheme="minorEastAsia" w:hAnsiTheme="minorEastAsia" w:hint="default"/>
                <w:sz w:val="24"/>
              </w:rPr>
            </w:pPr>
            <w:r>
              <w:rPr>
                <w:rFonts w:ascii="宋体" w:hAnsi="宋体" w:hint="eastAsia"/>
                <w:bCs/>
                <w:sz w:val="24"/>
              </w:rPr>
              <w:t>为采购项目提供整体设计、规范编制或者项目管理、监理、检测等服务的供应商，不得再参加该采购项目</w:t>
            </w:r>
            <w:r>
              <w:rPr>
                <w:rFonts w:hint="eastAsia"/>
                <w:bCs/>
                <w:sz w:val="24"/>
              </w:rPr>
              <w:t>同一合同项下</w:t>
            </w:r>
            <w:r>
              <w:rPr>
                <w:rFonts w:ascii="宋体" w:hAnsi="宋体" w:hint="eastAsia"/>
                <w:bCs/>
                <w:sz w:val="24"/>
              </w:rPr>
              <w:t>的其他采购活动</w:t>
            </w:r>
            <w:r>
              <w:rPr>
                <w:rFonts w:asciiTheme="minorEastAsia" w:eastAsiaTheme="minorEastAsia" w:hAnsiTheme="minorEastAsia" w:hint="eastAsia"/>
                <w:bCs/>
                <w:sz w:val="24"/>
              </w:rPr>
              <w:t>（提供《政府采购投标及履约承诺函》）。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keepNext w:val="0"/>
              <w:keepLines w:val="0"/>
              <w:numPr>
                <w:ilvl w:val="0"/>
                <w:numId w:val="8"/>
              </w:numPr>
              <w:suppressLineNumbers w:val="0"/>
              <w:adjustRightInd w:val="0"/>
              <w:snapToGrid w:val="0"/>
              <w:spacing w:before="0" w:beforeAutospacing="0" w:after="0" w:afterAutospacing="0" w:line="288" w:lineRule="auto"/>
              <w:ind w:left="149" w:right="0" w:firstLine="0" w:leftChars="71" w:firstLineChars="0"/>
              <w:textAlignment w:val="baseline"/>
              <w:rPr>
                <w:rFonts w:asciiTheme="minorEastAsia" w:eastAsiaTheme="minorEastAsia" w:hAnsiTheme="minorEastAsia" w:cs="宋体" w:hint="default"/>
                <w:sz w:val="24"/>
              </w:rPr>
            </w:pPr>
          </w:p>
        </w:tc>
        <w:tc>
          <w:tcPr>
            <w:tcW w:w="8317" w:type="dxa"/>
            <w:vAlign w:val="center"/>
          </w:tcPr>
          <w:p>
            <w:pPr>
              <w:keepNext w:val="0"/>
              <w:keepLines w:val="0"/>
              <w:suppressLineNumbers w:val="0"/>
              <w:snapToGrid w:val="0"/>
              <w:spacing w:before="0" w:beforeAutospacing="0" w:after="0" w:afterAutospacing="0" w:line="288" w:lineRule="auto"/>
              <w:ind w:left="0" w:right="0"/>
              <w:rPr>
                <w:rFonts w:asciiTheme="minorEastAsia" w:eastAsiaTheme="minorEastAsia" w:hAnsiTheme="minorEastAsia" w:hint="default"/>
                <w:bCs/>
                <w:sz w:val="24"/>
              </w:rPr>
            </w:pPr>
            <w:r>
              <w:rPr>
                <w:rFonts w:ascii="宋体" w:hAnsi="宋体" w:hint="eastAsia"/>
                <w:bCs/>
                <w:sz w:val="24"/>
              </w:rPr>
              <w:t>单位负责人为同一人或者存在直接控股、管理关系的不同供应商，不得参加同一合同项下的政府采购活动</w:t>
            </w:r>
            <w:r>
              <w:rPr>
                <w:rFonts w:asciiTheme="minorEastAsia" w:eastAsiaTheme="minorEastAsia" w:hAnsiTheme="minorEastAsia" w:hint="eastAsia"/>
                <w:bCs/>
                <w:sz w:val="24"/>
              </w:rPr>
              <w:t>（提供《政府采购投标及履约承诺函》）。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keepNext w:val="0"/>
              <w:keepLines w:val="0"/>
              <w:numPr>
                <w:ilvl w:val="0"/>
                <w:numId w:val="8"/>
              </w:numPr>
              <w:suppressLineNumbers w:val="0"/>
              <w:adjustRightInd w:val="0"/>
              <w:snapToGrid w:val="0"/>
              <w:spacing w:before="0" w:beforeAutospacing="0" w:after="0" w:afterAutospacing="0" w:line="288" w:lineRule="auto"/>
              <w:ind w:left="149" w:right="0" w:firstLine="0" w:leftChars="71" w:firstLineChars="0"/>
              <w:textAlignment w:val="baseline"/>
              <w:rPr>
                <w:rFonts w:asciiTheme="minorEastAsia" w:eastAsiaTheme="minorEastAsia" w:hAnsiTheme="minorEastAsia" w:cs="宋体" w:hint="default"/>
                <w:sz w:val="24"/>
              </w:rPr>
            </w:pPr>
          </w:p>
        </w:tc>
        <w:tc>
          <w:tcPr>
            <w:tcW w:w="8317" w:type="dxa"/>
            <w:vAlign w:val="center"/>
          </w:tcPr>
          <w:p>
            <w:pPr>
              <w:keepNext w:val="0"/>
              <w:keepLines w:val="0"/>
              <w:suppressLineNumbers w:val="0"/>
              <w:snapToGrid w:val="0"/>
              <w:spacing w:before="0" w:beforeAutospacing="0" w:after="0" w:afterAutospacing="0" w:line="288" w:lineRule="auto"/>
              <w:ind w:left="0" w:right="0"/>
              <w:rPr>
                <w:rFonts w:asciiTheme="minorEastAsia" w:eastAsiaTheme="minorEastAsia" w:hAnsiTheme="minorEastAsia" w:hint="default"/>
                <w:bCs/>
                <w:sz w:val="24"/>
              </w:rPr>
            </w:pPr>
            <w:r>
              <w:rPr>
                <w:rFonts w:asciiTheme="minorEastAsia" w:eastAsiaTheme="minorEastAsia" w:hAnsiTheme="minorEastAsia" w:hint="eastAsia"/>
                <w:bCs/>
                <w:sz w:val="24"/>
              </w:rPr>
              <w:t>参与政府采购项目投标的供应商未被列入失信被执行人、</w:t>
            </w:r>
            <w:r>
              <w:rPr>
                <w:rFonts w:asciiTheme="minorEastAsia" w:eastAsiaTheme="minorEastAsia" w:hAnsiTheme="minorEastAsia" w:hint="default"/>
                <w:bCs/>
                <w:sz w:val="24"/>
              </w:rPr>
              <w:t>重大税收违法案件当事人名单（税收违法黑名单）</w:t>
            </w:r>
            <w:r>
              <w:rPr>
                <w:rFonts w:asciiTheme="minorEastAsia" w:eastAsiaTheme="minorEastAsia" w:hAnsiTheme="minorEastAsia" w:hint="eastAsia"/>
                <w:bCs/>
                <w:sz w:val="24"/>
              </w:rPr>
              <w:t>、政府采购严重违法失信行为记录名单（提供《政府采购投标及履约承诺函》）。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keepNext w:val="0"/>
              <w:keepLines w:val="0"/>
              <w:numPr>
                <w:ilvl w:val="0"/>
                <w:numId w:val="8"/>
              </w:numPr>
              <w:suppressLineNumbers w:val="0"/>
              <w:adjustRightInd w:val="0"/>
              <w:snapToGrid w:val="0"/>
              <w:spacing w:before="0" w:beforeAutospacing="0" w:after="0" w:afterAutospacing="0" w:line="288" w:lineRule="auto"/>
              <w:ind w:left="149" w:right="0" w:firstLine="0" w:leftChars="71" w:firstLineChars="0"/>
              <w:textAlignment w:val="baseline"/>
              <w:rPr>
                <w:rFonts w:asciiTheme="minorEastAsia" w:eastAsiaTheme="minorEastAsia" w:hAnsiTheme="minorEastAsia" w:cs="宋体" w:hint="default"/>
                <w:color w:val="auto"/>
                <w:sz w:val="24"/>
              </w:rPr>
            </w:pPr>
          </w:p>
        </w:tc>
        <w:tc>
          <w:tcPr>
            <w:tcW w:w="8317" w:type="dxa"/>
            <w:vAlign w:val="center"/>
          </w:tcPr>
          <w:p>
            <w:pPr>
              <w:keepNext w:val="0"/>
              <w:keepLines w:val="0"/>
              <w:suppressLineNumbers w:val="0"/>
              <w:tabs>
                <w:tab w:val="left" w:pos="567"/>
              </w:tabs>
              <w:snapToGrid w:val="0"/>
              <w:spacing w:before="0" w:beforeAutospacing="0" w:after="0" w:afterAutospacing="0" w:line="288" w:lineRule="auto"/>
              <w:ind w:left="0" w:right="0"/>
              <w:rPr>
                <w:rFonts w:asciiTheme="minorEastAsia" w:eastAsiaTheme="minorEastAsia" w:hAnsiTheme="minorEastAsia" w:hint="eastAsia"/>
                <w:bCs/>
                <w:color w:val="auto"/>
                <w:sz w:val="24"/>
                <w:lang w:eastAsia="zh-CN"/>
              </w:rPr>
            </w:pPr>
            <w:r>
              <w:rPr>
                <w:rFonts w:asciiTheme="minorEastAsia" w:eastAsiaTheme="minorEastAsia" w:hAnsiTheme="minorEastAsia" w:hint="eastAsia"/>
                <w:bCs/>
                <w:color w:val="auto"/>
                <w:sz w:val="24"/>
              </w:rPr>
              <w:t>本项目的特定资格要求：</w:t>
            </w:r>
            <w:r>
              <w:rPr>
                <w:rFonts w:asciiTheme="minorEastAsia" w:eastAsiaTheme="minorEastAsia" w:hAnsiTheme="minorEastAsia" w:hint="eastAsia"/>
                <w:bCs/>
                <w:color w:val="auto"/>
                <w:sz w:val="24"/>
                <w:lang w:val="en-US" w:eastAsia="zh-CN"/>
              </w:rPr>
              <w:t>无</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keepNext w:val="0"/>
              <w:keepLines w:val="0"/>
              <w:numPr>
                <w:ilvl w:val="0"/>
                <w:numId w:val="8"/>
              </w:numPr>
              <w:suppressLineNumbers w:val="0"/>
              <w:adjustRightInd w:val="0"/>
              <w:snapToGrid w:val="0"/>
              <w:spacing w:before="0" w:beforeAutospacing="0" w:after="0" w:afterAutospacing="0" w:line="288" w:lineRule="auto"/>
              <w:ind w:left="149" w:right="0" w:firstLine="0" w:leftChars="71" w:firstLineChars="0"/>
              <w:textAlignment w:val="baseline"/>
              <w:rPr>
                <w:rFonts w:asciiTheme="minorEastAsia" w:eastAsiaTheme="minorEastAsia" w:hAnsiTheme="minorEastAsia" w:cs="宋体" w:hint="default"/>
                <w:color w:val="auto"/>
                <w:sz w:val="24"/>
              </w:rPr>
            </w:pPr>
          </w:p>
        </w:tc>
        <w:tc>
          <w:tcPr>
            <w:tcW w:w="8317" w:type="dxa"/>
            <w:vAlign w:val="center"/>
          </w:tcPr>
          <w:p>
            <w:pPr>
              <w:keepNext w:val="0"/>
              <w:keepLines w:val="0"/>
              <w:suppressLineNumbers w:val="0"/>
              <w:tabs>
                <w:tab w:val="left" w:pos="612"/>
              </w:tabs>
              <w:snapToGrid w:val="0"/>
              <w:spacing w:before="0" w:beforeAutospacing="0" w:after="0" w:afterAutospacing="0" w:line="288" w:lineRule="auto"/>
              <w:ind w:left="0" w:right="0"/>
              <w:rPr>
                <w:rFonts w:asciiTheme="minorEastAsia" w:eastAsiaTheme="minorEastAsia" w:hAnsiTheme="minorEastAsia" w:hint="default"/>
                <w:bCs/>
                <w:color w:val="auto"/>
                <w:sz w:val="24"/>
              </w:rPr>
            </w:pPr>
            <w:r>
              <w:rPr>
                <w:rFonts w:asciiTheme="minorEastAsia" w:eastAsiaTheme="minorEastAsia" w:hAnsiTheme="minorEastAsia" w:hint="eastAsia"/>
                <w:bCs/>
                <w:color w:val="auto"/>
                <w:sz w:val="24"/>
              </w:rPr>
              <w:t>本项目不接受联合体投标。</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keepNext w:val="0"/>
              <w:keepLines w:val="0"/>
              <w:numPr>
                <w:ilvl w:val="0"/>
                <w:numId w:val="8"/>
              </w:numPr>
              <w:suppressLineNumbers w:val="0"/>
              <w:adjustRightInd w:val="0"/>
              <w:snapToGrid w:val="0"/>
              <w:spacing w:before="0" w:beforeAutospacing="0" w:after="0" w:afterAutospacing="0" w:line="288" w:lineRule="auto"/>
              <w:ind w:left="149" w:right="0" w:firstLine="0" w:leftChars="71" w:firstLineChars="0"/>
              <w:textAlignment w:val="baseline"/>
              <w:rPr>
                <w:rFonts w:asciiTheme="minorEastAsia" w:eastAsiaTheme="minorEastAsia" w:hAnsiTheme="minorEastAsia" w:cs="宋体" w:hint="default"/>
                <w:sz w:val="24"/>
              </w:rPr>
            </w:pPr>
          </w:p>
        </w:tc>
        <w:tc>
          <w:tcPr>
            <w:tcW w:w="8317" w:type="dxa"/>
            <w:vAlign w:val="center"/>
          </w:tcPr>
          <w:p>
            <w:pPr>
              <w:keepNext w:val="0"/>
              <w:keepLines w:val="0"/>
              <w:suppressLineNumbers w:val="0"/>
              <w:tabs>
                <w:tab w:val="left" w:pos="612"/>
              </w:tabs>
              <w:snapToGrid w:val="0"/>
              <w:spacing w:before="0" w:beforeAutospacing="0" w:after="0" w:afterAutospacing="0" w:line="288" w:lineRule="auto"/>
              <w:ind w:left="0" w:right="0"/>
              <w:rPr>
                <w:rFonts w:asciiTheme="minorEastAsia" w:eastAsiaTheme="minorEastAsia" w:hAnsiTheme="minorEastAsia" w:cs="宋体" w:hint="default"/>
                <w:sz w:val="24"/>
              </w:rPr>
            </w:pPr>
            <w:r>
              <w:rPr>
                <w:rFonts w:asciiTheme="minorEastAsia" w:eastAsiaTheme="minorEastAsia" w:hAnsiTheme="minorEastAsia" w:cs="宋体" w:hint="eastAsia"/>
                <w:sz w:val="24"/>
              </w:rPr>
              <w:t>《政府采购投标及履约承诺函》已提交并符合招标文件要求的。</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keepNext w:val="0"/>
              <w:keepLines w:val="0"/>
              <w:numPr>
                <w:ilvl w:val="0"/>
                <w:numId w:val="8"/>
              </w:numPr>
              <w:suppressLineNumbers w:val="0"/>
              <w:adjustRightInd w:val="0"/>
              <w:snapToGrid w:val="0"/>
              <w:spacing w:before="0" w:beforeAutospacing="0" w:after="0" w:afterAutospacing="0" w:line="288" w:lineRule="auto"/>
              <w:ind w:left="149" w:right="0" w:firstLine="0" w:leftChars="71" w:firstLineChars="0"/>
              <w:textAlignment w:val="baseline"/>
              <w:rPr>
                <w:rFonts w:asciiTheme="minorEastAsia" w:eastAsiaTheme="minorEastAsia" w:hAnsiTheme="minorEastAsia" w:cs="宋体" w:hint="default"/>
                <w:color w:val="auto"/>
                <w:sz w:val="24"/>
              </w:rPr>
            </w:pPr>
          </w:p>
        </w:tc>
        <w:tc>
          <w:tcPr>
            <w:tcW w:w="8317" w:type="dxa"/>
            <w:vAlign w:val="center"/>
          </w:tcPr>
          <w:p>
            <w:pPr>
              <w:keepNext w:val="0"/>
              <w:keepLines w:val="0"/>
              <w:suppressLineNumbers w:val="0"/>
              <w:snapToGrid w:val="0"/>
              <w:spacing w:before="0" w:beforeAutospacing="0" w:after="0" w:afterAutospacing="0"/>
              <w:ind w:left="0" w:right="0"/>
              <w:rPr>
                <w:rFonts w:asciiTheme="minorEastAsia" w:eastAsiaTheme="minorEastAsia" w:hAnsiTheme="minorEastAsia" w:cs="宋体" w:hint="default"/>
                <w:color w:val="auto"/>
                <w:sz w:val="24"/>
              </w:rPr>
            </w:pPr>
            <w:r>
              <w:rPr>
                <w:rFonts w:ascii="宋体" w:hAnsi="宋体" w:cs="仿宋_GB2312" w:hint="eastAsia"/>
                <w:color w:val="auto"/>
                <w:sz w:val="24"/>
              </w:rPr>
              <w:t>落实政府采购政策需满足的资格要求：无</w:t>
            </w:r>
            <w:r>
              <w:rPr>
                <w:rFonts w:ascii="宋体" w:hAnsi="宋体" w:cs="仿宋_GB2312" w:hint="default"/>
                <w:color w:val="auto"/>
                <w:sz w:val="24"/>
              </w:rPr>
              <w:t>。</w:t>
            </w:r>
          </w:p>
        </w:tc>
      </w:tr>
    </w:tbl>
    <w:p/>
    <w:tbl>
      <w:tblPr>
        <w:tblStyle w:val="TableNormal"/>
        <w:tblW w:w="930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833"/>
        <w:gridCol w:w="8470"/>
      </w:tblGrid>
      <w:tr>
        <w:tblPrEx>
          <w:tblW w:w="930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642"/>
        </w:trPr>
        <w:tc>
          <w:tcPr>
            <w:tcW w:w="833" w:type="dxa"/>
            <w:vAlign w:val="center"/>
          </w:tcPr>
          <w:p>
            <w:pPr>
              <w:keepNext w:val="0"/>
              <w:keepLines w:val="0"/>
              <w:suppressLineNumbers w:val="0"/>
              <w:spacing w:before="0" w:beforeAutospacing="0" w:after="0" w:afterAutospacing="0"/>
              <w:ind w:left="0" w:right="0"/>
              <w:jc w:val="center"/>
              <w:rPr>
                <w:rFonts w:ascii="宋体" w:cs="宋体" w:hint="default"/>
                <w:b/>
                <w:sz w:val="24"/>
              </w:rPr>
            </w:pPr>
            <w:r>
              <w:rPr>
                <w:rFonts w:ascii="宋体" w:cs="宋体" w:hint="eastAsia"/>
                <w:b/>
                <w:sz w:val="24"/>
              </w:rPr>
              <w:t>序号</w:t>
            </w:r>
          </w:p>
        </w:tc>
        <w:tc>
          <w:tcPr>
            <w:tcW w:w="8470" w:type="dxa"/>
            <w:vAlign w:val="center"/>
          </w:tcPr>
          <w:p>
            <w:pPr>
              <w:keepNext w:val="0"/>
              <w:keepLines w:val="0"/>
              <w:suppressLineNumbers w:val="0"/>
              <w:spacing w:before="0" w:beforeAutospacing="0" w:after="0" w:afterAutospacing="0"/>
              <w:ind w:left="0" w:right="0"/>
              <w:jc w:val="center"/>
              <w:rPr>
                <w:rFonts w:ascii="宋体" w:hAnsi="宋体" w:cs="宋体" w:hint="default"/>
                <w:b/>
                <w:sz w:val="24"/>
              </w:rPr>
            </w:pPr>
            <w:bookmarkStart w:id="85" w:name="_Hlk34398339"/>
            <w:r>
              <w:rPr>
                <w:rFonts w:ascii="宋体" w:hAnsi="宋体" w:cs="宋体" w:hint="eastAsia"/>
                <w:b/>
                <w:sz w:val="24"/>
              </w:rPr>
              <w:t>符合性审查</w:t>
            </w:r>
            <w:bookmarkEnd w:id="85"/>
          </w:p>
        </w:tc>
      </w:tr>
      <w:tr>
        <w:tblPrEx>
          <w:tblW w:w="9303" w:type="dxa"/>
          <w:tblInd w:w="108" w:type="dxa"/>
          <w:tblLayout w:type="fixed"/>
          <w:tblCellMar>
            <w:top w:w="0" w:type="dxa"/>
            <w:left w:w="108" w:type="dxa"/>
            <w:bottom w:w="0" w:type="dxa"/>
            <w:right w:w="108" w:type="dxa"/>
          </w:tblCellMar>
        </w:tblPrEx>
        <w:trPr>
          <w:cantSplit/>
          <w:trHeight w:val="676"/>
        </w:trPr>
        <w:tc>
          <w:tcPr>
            <w:tcW w:w="833" w:type="dxa"/>
            <w:vAlign w:val="center"/>
          </w:tcPr>
          <w:p>
            <w:pPr>
              <w:keepNext w:val="0"/>
              <w:keepLines w:val="0"/>
              <w:numPr>
                <w:ilvl w:val="0"/>
                <w:numId w:val="10"/>
              </w:numPr>
              <w:suppressLineNumbers w:val="0"/>
              <w:tabs>
                <w:tab w:val="left" w:pos="176"/>
                <w:tab w:val="left" w:pos="612"/>
              </w:tabs>
              <w:spacing w:before="0" w:beforeAutospacing="0" w:after="0" w:afterAutospacing="0"/>
              <w:ind w:right="0"/>
              <w:jc w:val="center"/>
              <w:rPr>
                <w:rFonts w:ascii="宋体" w:hAnsi="宋体" w:cs="宋体" w:hint="default"/>
                <w:sz w:val="24"/>
              </w:rPr>
            </w:pPr>
          </w:p>
        </w:tc>
        <w:tc>
          <w:tcPr>
            <w:tcW w:w="8470" w:type="dxa"/>
            <w:vAlign w:val="center"/>
          </w:tcPr>
          <w:p>
            <w:pPr>
              <w:keepNext w:val="0"/>
              <w:keepLines w:val="0"/>
              <w:suppressLineNumbers w:val="0"/>
              <w:tabs>
                <w:tab w:val="left" w:pos="612"/>
              </w:tabs>
              <w:spacing w:before="0" w:beforeAutospacing="0" w:after="0" w:afterAutospacing="0"/>
              <w:ind w:left="0" w:right="0"/>
              <w:rPr>
                <w:rFonts w:ascii="宋体" w:hAnsi="宋体" w:cs="宋体" w:hint="default"/>
                <w:sz w:val="24"/>
              </w:rPr>
            </w:pPr>
            <w:r>
              <w:rPr>
                <w:rFonts w:ascii="宋体" w:hAnsi="宋体" w:cs="宋体" w:hint="eastAsia"/>
                <w:sz w:val="24"/>
              </w:rPr>
              <w:t>投标函已提交并符合招标文件要求的，且</w:t>
            </w:r>
            <w:r>
              <w:rPr>
                <w:rFonts w:ascii="宋体" w:hAnsi="宋体" w:hint="eastAsia"/>
                <w:sz w:val="24"/>
              </w:rPr>
              <w:t>投标有效期不少于招标文件中载明的投标有效期；</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keepNext w:val="0"/>
              <w:keepLines w:val="0"/>
              <w:numPr>
                <w:ilvl w:val="0"/>
                <w:numId w:val="10"/>
              </w:numPr>
              <w:suppressLineNumbers w:val="0"/>
              <w:tabs>
                <w:tab w:val="left" w:pos="176"/>
                <w:tab w:val="left" w:pos="612"/>
              </w:tabs>
              <w:spacing w:before="0" w:beforeAutospacing="0" w:after="0" w:afterAutospacing="0"/>
              <w:ind w:right="0"/>
              <w:jc w:val="center"/>
              <w:rPr>
                <w:rFonts w:ascii="宋体" w:hAnsi="宋体" w:cs="宋体" w:hint="default"/>
                <w:color w:val="auto"/>
                <w:sz w:val="24"/>
              </w:rPr>
            </w:pPr>
          </w:p>
        </w:tc>
        <w:tc>
          <w:tcPr>
            <w:tcW w:w="8470" w:type="dxa"/>
            <w:vAlign w:val="center"/>
          </w:tcPr>
          <w:p>
            <w:pPr>
              <w:keepNext w:val="0"/>
              <w:keepLines w:val="0"/>
              <w:suppressLineNumbers w:val="0"/>
              <w:spacing w:before="0" w:beforeAutospacing="0" w:after="0" w:afterAutospacing="0"/>
              <w:ind w:left="0" w:right="0"/>
              <w:rPr>
                <w:rFonts w:ascii="宋体" w:hAnsi="宋体" w:cs="宋体" w:hint="default"/>
                <w:color w:val="auto"/>
                <w:sz w:val="24"/>
              </w:rPr>
            </w:pPr>
            <w:r>
              <w:rPr>
                <w:rFonts w:ascii="宋体" w:hAnsi="宋体" w:cs="宋体" w:hint="default"/>
                <w:color w:val="auto"/>
                <w:sz w:val="24"/>
              </w:rPr>
              <w:t>投标报价未超过本项目最高限价及最高单价限价的；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keepNext w:val="0"/>
              <w:keepLines w:val="0"/>
              <w:numPr>
                <w:ilvl w:val="0"/>
                <w:numId w:val="10"/>
              </w:numPr>
              <w:suppressLineNumbers w:val="0"/>
              <w:tabs>
                <w:tab w:val="left" w:pos="176"/>
                <w:tab w:val="left" w:pos="612"/>
              </w:tabs>
              <w:spacing w:before="0" w:beforeAutospacing="0" w:after="0" w:afterAutospacing="0"/>
              <w:ind w:right="0"/>
              <w:jc w:val="center"/>
              <w:rPr>
                <w:rFonts w:ascii="宋体" w:hAnsi="宋体" w:cs="宋体" w:hint="default"/>
                <w:sz w:val="24"/>
              </w:rPr>
            </w:pPr>
          </w:p>
        </w:tc>
        <w:tc>
          <w:tcPr>
            <w:tcW w:w="8470" w:type="dxa"/>
            <w:vAlign w:val="center"/>
          </w:tcPr>
          <w:p>
            <w:pPr>
              <w:keepNext w:val="0"/>
              <w:keepLines w:val="0"/>
              <w:suppressLineNumbers w:val="0"/>
              <w:spacing w:before="0" w:beforeAutospacing="0" w:after="0" w:afterAutospacing="0"/>
              <w:ind w:left="0" w:right="0"/>
              <w:rPr>
                <w:rFonts w:ascii="宋体" w:hAnsi="宋体" w:cs="宋体" w:hint="default"/>
                <w:sz w:val="24"/>
              </w:rPr>
            </w:pPr>
            <w:r>
              <w:rPr>
                <w:rFonts w:ascii="宋体" w:hAnsi="宋体" w:cs="宋体" w:hint="eastAsia"/>
                <w:color w:val="000000" w:themeColor="text1"/>
                <w:sz w:val="24"/>
                <w14:textFill>
                  <w14:solidFill>
                    <w14:schemeClr w14:val="tx1"/>
                  </w14:solidFill>
                </w14:textFill>
              </w:rPr>
              <w:t>投标报价按照招标文件要求进行报价，没有删除品种、缺项、漏项（数量不符合将被视为漏项）的；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keepNext w:val="0"/>
              <w:keepLines w:val="0"/>
              <w:numPr>
                <w:ilvl w:val="0"/>
                <w:numId w:val="10"/>
              </w:numPr>
              <w:suppressLineNumbers w:val="0"/>
              <w:tabs>
                <w:tab w:val="left" w:pos="176"/>
                <w:tab w:val="left" w:pos="612"/>
              </w:tabs>
              <w:spacing w:before="0" w:beforeAutospacing="0" w:after="0" w:afterAutospacing="0"/>
              <w:ind w:right="0"/>
              <w:jc w:val="center"/>
              <w:rPr>
                <w:rFonts w:ascii="宋体" w:hAnsi="宋体" w:cs="宋体" w:hint="default"/>
                <w:sz w:val="24"/>
              </w:rPr>
            </w:pPr>
          </w:p>
        </w:tc>
        <w:tc>
          <w:tcPr>
            <w:tcW w:w="8470" w:type="dxa"/>
            <w:vAlign w:val="center"/>
          </w:tcPr>
          <w:p>
            <w:pPr>
              <w:keepNext w:val="0"/>
              <w:keepLines w:val="0"/>
              <w:suppressLineNumbers w:val="0"/>
              <w:spacing w:before="0" w:beforeAutospacing="0" w:after="0" w:afterAutospacing="0"/>
              <w:ind w:left="0" w:right="0"/>
              <w:rPr>
                <w:rFonts w:ascii="宋体" w:hAnsi="宋体" w:cs="宋体" w:hint="default"/>
                <w:sz w:val="24"/>
              </w:rPr>
            </w:pPr>
            <w:r>
              <w:rPr>
                <w:rFonts w:ascii="宋体" w:hAnsi="宋体" w:cs="宋体" w:hint="eastAsia"/>
                <w:sz w:val="24"/>
              </w:rPr>
              <w:t>投标文件未出现选择性报价或有附加条件报价的情形；</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keepNext w:val="0"/>
              <w:keepLines w:val="0"/>
              <w:numPr>
                <w:ilvl w:val="0"/>
                <w:numId w:val="10"/>
              </w:numPr>
              <w:suppressLineNumbers w:val="0"/>
              <w:tabs>
                <w:tab w:val="left" w:pos="176"/>
                <w:tab w:val="left" w:pos="612"/>
              </w:tabs>
              <w:spacing w:before="0" w:beforeAutospacing="0" w:after="0" w:afterAutospacing="0"/>
              <w:ind w:right="0"/>
              <w:jc w:val="center"/>
              <w:rPr>
                <w:rFonts w:ascii="宋体" w:hAnsi="宋体" w:cs="宋体" w:hint="default"/>
                <w:color w:val="auto"/>
                <w:sz w:val="24"/>
                <w:highlight w:val="none"/>
              </w:rPr>
            </w:pPr>
          </w:p>
        </w:tc>
        <w:tc>
          <w:tcPr>
            <w:tcW w:w="8470" w:type="dxa"/>
            <w:vAlign w:val="center"/>
          </w:tcPr>
          <w:p>
            <w:pPr>
              <w:keepNext w:val="0"/>
              <w:keepLines w:val="0"/>
              <w:suppressLineNumbers w:val="0"/>
              <w:spacing w:before="0" w:beforeAutospacing="0" w:after="0" w:afterAutospacing="0"/>
              <w:ind w:left="0" w:right="0"/>
              <w:rPr>
                <w:rFonts w:ascii="宋体" w:hAnsi="宋体" w:cs="宋体" w:hint="default"/>
                <w:color w:val="auto"/>
                <w:sz w:val="24"/>
                <w:highlight w:val="none"/>
              </w:rPr>
            </w:pPr>
            <w:r>
              <w:rPr>
                <w:rFonts w:ascii="宋体" w:hAnsi="宋体" w:cs="宋体" w:hint="eastAsia"/>
                <w:color w:val="auto"/>
                <w:sz w:val="24"/>
                <w:highlight w:val="none"/>
              </w:rPr>
              <w:t>投标文件完全满足招标文件的实质性条款（即标注★号条款）无负偏离的；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keepNext w:val="0"/>
              <w:keepLines w:val="0"/>
              <w:numPr>
                <w:ilvl w:val="0"/>
                <w:numId w:val="10"/>
              </w:numPr>
              <w:suppressLineNumbers w:val="0"/>
              <w:tabs>
                <w:tab w:val="left" w:pos="176"/>
                <w:tab w:val="left" w:pos="612"/>
              </w:tabs>
              <w:spacing w:before="0" w:beforeAutospacing="0" w:after="0" w:afterAutospacing="0"/>
              <w:ind w:right="0"/>
              <w:jc w:val="center"/>
              <w:rPr>
                <w:rFonts w:ascii="宋体" w:hAnsi="宋体" w:cs="宋体" w:hint="default"/>
                <w:color w:val="auto"/>
                <w:sz w:val="24"/>
                <w:highlight w:val="none"/>
              </w:rPr>
            </w:pPr>
          </w:p>
        </w:tc>
        <w:tc>
          <w:tcPr>
            <w:tcW w:w="8470" w:type="dxa"/>
            <w:vAlign w:val="center"/>
          </w:tcPr>
          <w:p>
            <w:pPr>
              <w:keepNext w:val="0"/>
              <w:keepLines w:val="0"/>
              <w:suppressLineNumbers w:val="0"/>
              <w:spacing w:before="0" w:beforeAutospacing="0" w:after="0" w:afterAutospacing="0"/>
              <w:ind w:left="0" w:right="0"/>
              <w:rPr>
                <w:rFonts w:ascii="宋体" w:hAnsi="宋体" w:cs="宋体" w:hint="default"/>
                <w:color w:val="auto"/>
                <w:sz w:val="24"/>
                <w:highlight w:val="none"/>
              </w:rPr>
            </w:pPr>
            <w:r>
              <w:rPr>
                <w:rFonts w:ascii="宋体" w:hint="eastAsia"/>
                <w:bCs/>
                <w:color w:val="auto"/>
                <w:sz w:val="24"/>
                <w:highlight w:val="none"/>
              </w:rPr>
              <w:t>投标人按招标文件要求提供本国产品\服务</w:t>
            </w:r>
            <w:r>
              <w:rPr>
                <w:rStyle w:val="CommentReference"/>
                <w:rFonts w:asciiTheme="minorHAnsi" w:eastAsiaTheme="minorEastAsia" w:hAnsiTheme="minorHAnsi" w:cstheme="minorBidi" w:hint="eastAsia"/>
                <w:color w:val="auto"/>
                <w:sz w:val="24"/>
                <w:szCs w:val="24"/>
                <w:highlight w:val="none"/>
              </w:rPr>
              <w:t>；</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keepNext w:val="0"/>
              <w:keepLines w:val="0"/>
              <w:numPr>
                <w:ilvl w:val="0"/>
                <w:numId w:val="10"/>
              </w:numPr>
              <w:suppressLineNumbers w:val="0"/>
              <w:tabs>
                <w:tab w:val="left" w:pos="176"/>
                <w:tab w:val="left" w:pos="612"/>
              </w:tabs>
              <w:spacing w:before="0" w:beforeAutospacing="0" w:after="0" w:afterAutospacing="0"/>
              <w:ind w:right="0"/>
              <w:jc w:val="center"/>
              <w:rPr>
                <w:rFonts w:ascii="宋体" w:hAnsi="宋体" w:cs="宋体" w:hint="default"/>
                <w:color w:val="auto"/>
                <w:sz w:val="24"/>
                <w:highlight w:val="none"/>
              </w:rPr>
            </w:pPr>
          </w:p>
        </w:tc>
        <w:tc>
          <w:tcPr>
            <w:tcW w:w="8470" w:type="dxa"/>
            <w:vAlign w:val="center"/>
          </w:tcPr>
          <w:p>
            <w:pPr>
              <w:keepNext w:val="0"/>
              <w:keepLines w:val="0"/>
              <w:suppressLineNumbers w:val="0"/>
              <w:spacing w:before="0" w:beforeAutospacing="0" w:after="0" w:afterAutospacing="0"/>
              <w:ind w:left="0" w:right="0"/>
              <w:rPr>
                <w:rFonts w:ascii="宋体" w:hAnsi="宋体" w:cs="宋体" w:hint="default"/>
                <w:color w:val="auto"/>
                <w:sz w:val="24"/>
                <w:highlight w:val="none"/>
              </w:rPr>
            </w:pPr>
            <w:r>
              <w:rPr>
                <w:rFonts w:asciiTheme="minorEastAsia" w:eastAsiaTheme="minorEastAsia" w:hAnsiTheme="minorEastAsia" w:hint="default"/>
                <w:color w:val="auto"/>
                <w:sz w:val="24"/>
                <w:highlight w:val="none"/>
              </w:rPr>
              <w:t>投标文件</w:t>
            </w:r>
            <w:r>
              <w:rPr>
                <w:rFonts w:asciiTheme="minorEastAsia" w:eastAsiaTheme="minorEastAsia" w:hAnsiTheme="minorEastAsia" w:hint="eastAsia"/>
                <w:color w:val="auto"/>
                <w:sz w:val="24"/>
                <w:highlight w:val="none"/>
              </w:rPr>
              <w:t>不</w:t>
            </w:r>
            <w:r>
              <w:rPr>
                <w:rFonts w:asciiTheme="minorEastAsia" w:eastAsiaTheme="minorEastAsia" w:hAnsiTheme="minorEastAsia" w:hint="default"/>
                <w:color w:val="auto"/>
                <w:sz w:val="24"/>
                <w:highlight w:val="none"/>
              </w:rPr>
              <w:t>存在</w:t>
            </w:r>
            <w:r>
              <w:rPr>
                <w:rFonts w:asciiTheme="minorEastAsia" w:eastAsiaTheme="minorEastAsia" w:hAnsiTheme="minorEastAsia" w:hint="eastAsia"/>
                <w:color w:val="auto"/>
                <w:sz w:val="24"/>
                <w:highlight w:val="none"/>
              </w:rPr>
              <w:t>列放位置错误，导致属于信息公开内容没有被公开的</w:t>
            </w:r>
            <w:r>
              <w:rPr>
                <w:rFonts w:asciiTheme="minorEastAsia" w:eastAsiaTheme="minorEastAsia" w:hAnsiTheme="minorEastAsia" w:hint="default"/>
                <w:color w:val="auto"/>
                <w:sz w:val="24"/>
                <w:highlight w:val="none"/>
              </w:rPr>
              <w:t>；</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keepNext w:val="0"/>
              <w:keepLines w:val="0"/>
              <w:numPr>
                <w:ilvl w:val="0"/>
                <w:numId w:val="10"/>
              </w:numPr>
              <w:suppressLineNumbers w:val="0"/>
              <w:tabs>
                <w:tab w:val="left" w:pos="176"/>
                <w:tab w:val="left" w:pos="612"/>
              </w:tabs>
              <w:spacing w:before="0" w:beforeAutospacing="0" w:after="0" w:afterAutospacing="0"/>
              <w:ind w:right="0"/>
              <w:jc w:val="center"/>
              <w:rPr>
                <w:rFonts w:ascii="宋体" w:hAnsi="宋体" w:cs="宋体" w:hint="default"/>
                <w:color w:val="auto"/>
                <w:sz w:val="24"/>
                <w:highlight w:val="none"/>
              </w:rPr>
            </w:pPr>
          </w:p>
        </w:tc>
        <w:tc>
          <w:tcPr>
            <w:tcW w:w="8470" w:type="dxa"/>
            <w:vAlign w:val="center"/>
          </w:tcPr>
          <w:p>
            <w:pPr>
              <w:keepNext w:val="0"/>
              <w:keepLines w:val="0"/>
              <w:suppressLineNumbers w:val="0"/>
              <w:spacing w:before="0" w:beforeAutospacing="0" w:after="0" w:afterAutospacing="0"/>
              <w:ind w:left="0" w:right="0"/>
              <w:rPr>
                <w:rFonts w:ascii="宋体" w:hAnsi="宋体" w:cs="宋体" w:hint="default"/>
                <w:color w:val="auto"/>
                <w:sz w:val="24"/>
                <w:highlight w:val="none"/>
              </w:rPr>
            </w:pPr>
            <w:r>
              <w:rPr>
                <w:rFonts w:asciiTheme="minorEastAsia" w:eastAsiaTheme="minorEastAsia" w:hAnsiTheme="minorEastAsia" w:hint="default"/>
                <w:color w:val="auto"/>
                <w:sz w:val="24"/>
                <w:highlight w:val="none"/>
              </w:rPr>
              <w:t>投标文件电子文档</w:t>
            </w:r>
            <w:r>
              <w:rPr>
                <w:rFonts w:asciiTheme="minorEastAsia" w:eastAsiaTheme="minorEastAsia" w:hAnsiTheme="minorEastAsia" w:hint="eastAsia"/>
                <w:color w:val="auto"/>
                <w:sz w:val="24"/>
                <w:highlight w:val="none"/>
              </w:rPr>
              <w:t>未</w:t>
            </w:r>
            <w:r>
              <w:rPr>
                <w:rFonts w:asciiTheme="minorEastAsia" w:eastAsiaTheme="minorEastAsia" w:hAnsiTheme="minorEastAsia" w:hint="default"/>
                <w:color w:val="auto"/>
                <w:sz w:val="24"/>
                <w:highlight w:val="none"/>
              </w:rPr>
              <w:t>带病毒；</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keepNext w:val="0"/>
              <w:keepLines w:val="0"/>
              <w:numPr>
                <w:ilvl w:val="0"/>
                <w:numId w:val="10"/>
              </w:numPr>
              <w:suppressLineNumbers w:val="0"/>
              <w:tabs>
                <w:tab w:val="left" w:pos="176"/>
                <w:tab w:val="left" w:pos="612"/>
              </w:tabs>
              <w:spacing w:before="0" w:beforeAutospacing="0" w:after="0" w:afterAutospacing="0"/>
              <w:ind w:right="0"/>
              <w:jc w:val="center"/>
              <w:rPr>
                <w:rFonts w:ascii="宋体" w:hAnsi="宋体" w:cs="宋体" w:hint="default"/>
                <w:color w:val="auto"/>
                <w:sz w:val="24"/>
                <w:highlight w:val="none"/>
              </w:rPr>
            </w:pPr>
          </w:p>
        </w:tc>
        <w:tc>
          <w:tcPr>
            <w:tcW w:w="8470" w:type="dxa"/>
            <w:vAlign w:val="center"/>
          </w:tcPr>
          <w:p>
            <w:pPr>
              <w:keepNext w:val="0"/>
              <w:keepLines w:val="0"/>
              <w:suppressLineNumbers w:val="0"/>
              <w:spacing w:before="0" w:beforeAutospacing="0" w:after="0" w:afterAutospacing="0"/>
              <w:ind w:left="0" w:right="0"/>
              <w:rPr>
                <w:rFonts w:ascii="宋体" w:hAnsi="宋体" w:cs="宋体" w:hint="default"/>
                <w:color w:val="auto"/>
                <w:sz w:val="24"/>
                <w:highlight w:val="none"/>
              </w:rPr>
            </w:pPr>
            <w:r>
              <w:rPr>
                <w:rFonts w:asciiTheme="minorEastAsia" w:eastAsiaTheme="minorEastAsia" w:hAnsiTheme="minorEastAsia" w:hint="default"/>
                <w:color w:val="auto"/>
                <w:sz w:val="24"/>
                <w:highlight w:val="none"/>
              </w:rPr>
              <w:t>投标文件</w:t>
            </w:r>
            <w:r>
              <w:rPr>
                <w:rFonts w:asciiTheme="minorEastAsia" w:eastAsiaTheme="minorEastAsia" w:hAnsiTheme="minorEastAsia" w:hint="eastAsia"/>
                <w:color w:val="auto"/>
                <w:sz w:val="24"/>
                <w:highlight w:val="none"/>
              </w:rPr>
              <w:t>未</w:t>
            </w:r>
            <w:r>
              <w:rPr>
                <w:rFonts w:asciiTheme="minorEastAsia" w:eastAsiaTheme="minorEastAsia" w:hAnsiTheme="minorEastAsia" w:hint="default"/>
                <w:color w:val="auto"/>
                <w:sz w:val="24"/>
                <w:highlight w:val="none"/>
              </w:rPr>
              <w:t>用不属于本公司的电子密钥进行加密的；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keepNext w:val="0"/>
              <w:keepLines w:val="0"/>
              <w:numPr>
                <w:ilvl w:val="0"/>
                <w:numId w:val="10"/>
              </w:numPr>
              <w:suppressLineNumbers w:val="0"/>
              <w:tabs>
                <w:tab w:val="left" w:pos="176"/>
                <w:tab w:val="left" w:pos="612"/>
              </w:tabs>
              <w:spacing w:before="0" w:beforeAutospacing="0" w:after="0" w:afterAutospacing="0"/>
              <w:ind w:right="0"/>
              <w:jc w:val="center"/>
              <w:rPr>
                <w:rFonts w:ascii="宋体" w:hAnsi="宋体" w:cs="宋体" w:hint="default"/>
                <w:color w:val="auto"/>
                <w:sz w:val="24"/>
                <w:highlight w:val="none"/>
              </w:rPr>
            </w:pPr>
          </w:p>
        </w:tc>
        <w:tc>
          <w:tcPr>
            <w:tcW w:w="8470" w:type="dxa"/>
            <w:vAlign w:val="center"/>
          </w:tcPr>
          <w:p>
            <w:pPr>
              <w:keepNext w:val="0"/>
              <w:keepLines w:val="0"/>
              <w:suppressLineNumbers w:val="0"/>
              <w:spacing w:before="0" w:beforeAutospacing="0" w:after="0" w:afterAutospacing="0"/>
              <w:ind w:left="0" w:right="0"/>
              <w:rPr>
                <w:rFonts w:ascii="宋体" w:hAnsi="宋体" w:cs="宋体" w:hint="default"/>
                <w:color w:val="auto"/>
                <w:sz w:val="24"/>
                <w:highlight w:val="none"/>
              </w:rPr>
            </w:pPr>
            <w:r>
              <w:rPr>
                <w:rFonts w:asciiTheme="minorEastAsia" w:eastAsiaTheme="minorEastAsia" w:hAnsiTheme="minorEastAsia" w:cs="宋体" w:hint="eastAsia"/>
                <w:color w:val="auto"/>
                <w:sz w:val="24"/>
                <w:highlight w:val="none"/>
              </w:rPr>
              <w:t>投标文件没有招标文件中规定的其它无效投标条款的；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keepNext w:val="0"/>
              <w:keepLines w:val="0"/>
              <w:numPr>
                <w:ilvl w:val="0"/>
                <w:numId w:val="10"/>
              </w:numPr>
              <w:suppressLineNumbers w:val="0"/>
              <w:tabs>
                <w:tab w:val="left" w:pos="176"/>
                <w:tab w:val="left" w:pos="612"/>
              </w:tabs>
              <w:spacing w:before="0" w:beforeAutospacing="0" w:after="0" w:afterAutospacing="0"/>
              <w:ind w:right="0"/>
              <w:jc w:val="center"/>
              <w:rPr>
                <w:rFonts w:ascii="宋体" w:hAnsi="宋体" w:cs="宋体" w:hint="default"/>
                <w:color w:val="auto"/>
                <w:sz w:val="24"/>
                <w:highlight w:val="none"/>
              </w:rPr>
            </w:pPr>
          </w:p>
        </w:tc>
        <w:tc>
          <w:tcPr>
            <w:tcW w:w="8470" w:type="dxa"/>
            <w:vAlign w:val="center"/>
          </w:tcPr>
          <w:p>
            <w:pPr>
              <w:keepNext w:val="0"/>
              <w:keepLines w:val="0"/>
              <w:suppressLineNumbers w:val="0"/>
              <w:spacing w:before="0" w:beforeAutospacing="0" w:after="0" w:afterAutospacing="0"/>
              <w:ind w:left="0" w:right="0"/>
              <w:rPr>
                <w:rFonts w:ascii="宋体" w:hAnsi="宋体" w:eastAsiaTheme="minorEastAsia" w:cs="宋体" w:hint="default"/>
                <w:color w:val="auto"/>
                <w:sz w:val="24"/>
                <w:highlight w:val="none"/>
              </w:rPr>
            </w:pPr>
            <w:r>
              <w:rPr>
                <w:rFonts w:asciiTheme="minorEastAsia" w:eastAsiaTheme="minorEastAsia" w:hAnsiTheme="minorEastAsia" w:cs="宋体" w:hint="eastAsia"/>
                <w:color w:val="auto"/>
                <w:sz w:val="24"/>
                <w:highlight w:val="none"/>
              </w:rPr>
              <w:t>按有关法律、法规、规章不属于投标无效的；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keepNext w:val="0"/>
              <w:keepLines w:val="0"/>
              <w:numPr>
                <w:ilvl w:val="0"/>
                <w:numId w:val="10"/>
              </w:numPr>
              <w:suppressLineNumbers w:val="0"/>
              <w:tabs>
                <w:tab w:val="left" w:pos="176"/>
                <w:tab w:val="left" w:pos="612"/>
              </w:tabs>
              <w:spacing w:before="0" w:beforeAutospacing="0" w:after="0" w:afterAutospacing="0"/>
              <w:ind w:right="0"/>
              <w:jc w:val="center"/>
              <w:rPr>
                <w:rFonts w:ascii="宋体" w:hAnsi="宋体" w:cs="宋体" w:hint="default"/>
                <w:color w:val="auto"/>
                <w:sz w:val="24"/>
                <w:highlight w:val="none"/>
              </w:rPr>
            </w:pPr>
          </w:p>
        </w:tc>
        <w:tc>
          <w:tcPr>
            <w:tcW w:w="8470" w:type="dxa"/>
            <w:vAlign w:val="center"/>
          </w:tcPr>
          <w:p>
            <w:pPr>
              <w:keepNext w:val="0"/>
              <w:keepLines w:val="0"/>
              <w:suppressLineNumbers w:val="0"/>
              <w:spacing w:before="0" w:beforeAutospacing="0" w:after="0" w:afterAutospacing="0"/>
              <w:ind w:left="0" w:right="0"/>
              <w:rPr>
                <w:rFonts w:asciiTheme="minorEastAsia" w:hAnsiTheme="minorEastAsia" w:cs="宋体" w:hint="default"/>
                <w:color w:val="auto"/>
                <w:sz w:val="24"/>
                <w:highlight w:val="none"/>
              </w:rPr>
            </w:pPr>
            <w:r>
              <w:rPr>
                <w:rFonts w:asciiTheme="minorEastAsia" w:eastAsiaTheme="minorEastAsia" w:hAnsiTheme="minorEastAsia" w:cs="宋体" w:hint="eastAsia"/>
                <w:color w:val="auto"/>
                <w:sz w:val="24"/>
                <w:highlight w:val="none"/>
              </w:rPr>
              <w:t>供应商上传投标文件的</w:t>
            </w:r>
            <w:r>
              <w:rPr>
                <w:rFonts w:ascii="宋体" w:eastAsia="宋体" w:hAnsi="宋体" w:cs="宋体" w:hint="eastAsia"/>
                <w:color w:val="auto"/>
                <w:kern w:val="2"/>
                <w:sz w:val="24"/>
                <w:szCs w:val="24"/>
                <w:highlight w:val="none"/>
                <w:lang w:val="en-US" w:eastAsia="zh-CN" w:bidi="ar-SA"/>
              </w:rPr>
              <w:t>文件制作机器码</w:t>
            </w:r>
            <w:r>
              <w:rPr>
                <w:rFonts w:asciiTheme="minorEastAsia" w:eastAsiaTheme="minorEastAsia" w:hAnsiTheme="minorEastAsia" w:cs="宋体" w:hint="eastAsia"/>
                <w:color w:val="auto"/>
                <w:sz w:val="24"/>
                <w:highlight w:val="none"/>
              </w:rPr>
              <w:t>或</w:t>
            </w:r>
            <w:r>
              <w:rPr>
                <w:rFonts w:ascii="宋体" w:eastAsia="宋体" w:hAnsi="宋体" w:cs="宋体" w:hint="eastAsia"/>
                <w:color w:val="auto"/>
                <w:kern w:val="2"/>
                <w:sz w:val="24"/>
                <w:szCs w:val="24"/>
                <w:highlight w:val="none"/>
                <w:lang w:val="en-US" w:eastAsia="zh-CN" w:bidi="ar-SA"/>
              </w:rPr>
              <w:t>文件创建标识码</w:t>
            </w:r>
            <w:r>
              <w:rPr>
                <w:rFonts w:ascii="宋体" w:hAnsi="宋体" w:cs="宋体" w:hint="eastAsia"/>
                <w:color w:val="auto"/>
                <w:kern w:val="2"/>
                <w:sz w:val="24"/>
                <w:szCs w:val="24"/>
                <w:highlight w:val="none"/>
                <w:lang w:val="en-US" w:eastAsia="zh-CN" w:bidi="ar-SA"/>
              </w:rPr>
              <w:t>或</w:t>
            </w:r>
            <w:r>
              <w:rPr>
                <w:rFonts w:ascii="宋体" w:eastAsia="宋体" w:hAnsi="宋体" w:cs="宋体" w:hint="eastAsia"/>
                <w:color w:val="auto"/>
                <w:sz w:val="24"/>
                <w:highlight w:val="none"/>
              </w:rPr>
              <w:t>I</w:t>
            </w:r>
            <w:r>
              <w:rPr>
                <w:rFonts w:asciiTheme="minorEastAsia" w:eastAsiaTheme="minorEastAsia" w:hAnsiTheme="minorEastAsia" w:cs="宋体" w:hint="eastAsia"/>
                <w:color w:val="auto"/>
                <w:sz w:val="24"/>
                <w:highlight w:val="none"/>
              </w:rPr>
              <w:t>P地址相同的。</w:t>
            </w:r>
          </w:p>
        </w:tc>
      </w:tr>
    </w:tbl>
    <w:p>
      <w:pPr>
        <w:tabs>
          <w:tab w:val="left" w:pos="420"/>
          <w:tab w:val="left" w:pos="630"/>
        </w:tabs>
        <w:autoSpaceDE w:val="0"/>
        <w:autoSpaceDN w:val="0"/>
        <w:adjustRightInd w:val="0"/>
        <w:spacing w:line="360" w:lineRule="auto"/>
        <w:rPr>
          <w:rFonts w:asciiTheme="minorEastAsia" w:eastAsiaTheme="minorEastAsia" w:hAnsiTheme="minorEastAsia"/>
          <w:b/>
          <w:bCs/>
          <w:color w:val="000000" w:themeColor="text1"/>
          <w:sz w:val="24"/>
          <w14:textFill>
            <w14:solidFill>
              <w14:schemeClr w14:val="tx1"/>
            </w14:solidFill>
          </w14:textFill>
        </w:rPr>
      </w:pPr>
      <w:r>
        <w:rPr>
          <w:rFonts w:asciiTheme="minorEastAsia" w:eastAsiaTheme="minorEastAsia" w:hAnsiTheme="minorEastAsia" w:hint="eastAsia"/>
          <w:color w:val="000000" w:themeColor="text1"/>
          <w:sz w:val="24"/>
          <w14:textFill>
            <w14:solidFill>
              <w14:schemeClr w14:val="tx1"/>
            </w14:solidFill>
          </w14:textFill>
        </w:rPr>
        <w:t>说</w:t>
      </w:r>
      <w:r>
        <w:rPr>
          <w:rFonts w:asciiTheme="minorEastAsia" w:eastAsiaTheme="minorEastAsia" w:hAnsiTheme="minorEastAsia" w:hint="eastAsia"/>
          <w:sz w:val="24"/>
        </w:rPr>
        <w:t>明：投标人必须严格按照《投标文件初审》的评审内容的要求如实提供证明材料</w:t>
      </w:r>
      <w:r>
        <w:rPr>
          <w:rFonts w:asciiTheme="minorEastAsia" w:eastAsiaTheme="minorEastAsia" w:hAnsiTheme="minorEastAsia" w:hint="eastAsia"/>
          <w:bCs/>
          <w:sz w:val="24"/>
        </w:rPr>
        <w:t>,</w:t>
      </w:r>
      <w:r>
        <w:rPr>
          <w:rFonts w:asciiTheme="minorEastAsia" w:eastAsiaTheme="minorEastAsia" w:hAnsiTheme="minorEastAsia" w:hint="eastAsia"/>
          <w:sz w:val="24"/>
        </w:rPr>
        <w:t>对缺漏或不符合项将直接导致无效投标</w:t>
      </w:r>
      <w:r>
        <w:rPr>
          <w:rFonts w:asciiTheme="minorEastAsia" w:eastAsiaTheme="minorEastAsia" w:hAnsiTheme="minorEastAsia" w:cs="宋体" w:hint="eastAsia"/>
          <w:sz w:val="24"/>
        </w:rPr>
        <w:t>。</w:t>
      </w:r>
    </w:p>
    <w:p>
      <w:pPr>
        <w:widowControl/>
        <w:jc w:val="left"/>
        <w:rPr>
          <w:rFonts w:ascii="黑体" w:eastAsia="黑体" w:hAnsi="宋体" w:cs="宋体"/>
          <w:sz w:val="28"/>
          <w:szCs w:val="28"/>
        </w:rPr>
      </w:pPr>
      <w:r>
        <w:rPr>
          <w:rFonts w:ascii="黑体" w:eastAsia="黑体" w:hAnsi="宋体" w:cs="宋体"/>
          <w:sz w:val="28"/>
          <w:szCs w:val="28"/>
        </w:rPr>
        <w:br w:type="page"/>
      </w:r>
    </w:p>
    <w:p>
      <w:pPr>
        <w:widowControl/>
        <w:jc w:val="center"/>
        <w:outlineLvl w:val="3"/>
        <w:rPr>
          <w:rFonts w:ascii="黑体" w:eastAsia="黑体" w:hAnsi="宋体" w:cs="宋体" w:hint="eastAsia"/>
          <w:color w:val="FF0000"/>
          <w:sz w:val="28"/>
          <w:szCs w:val="28"/>
          <w:lang w:eastAsia="zh-CN"/>
        </w:rPr>
      </w:pPr>
      <w:r>
        <w:rPr>
          <w:rFonts w:ascii="黑体" w:eastAsia="黑体" w:hAnsi="宋体" w:cs="宋体" w:hint="eastAsia"/>
          <w:sz w:val="28"/>
          <w:szCs w:val="28"/>
        </w:rPr>
        <w:t>综合评分表</w:t>
      </w:r>
    </w:p>
    <w:tbl>
      <w:tblPr>
        <w:tblStyle w:val="TableNormal"/>
        <w:tblW w:w="9242"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680"/>
        <w:gridCol w:w="1355"/>
        <w:gridCol w:w="5730"/>
        <w:gridCol w:w="685"/>
        <w:gridCol w:w="792"/>
      </w:tblGrid>
      <w:tr>
        <w:tblPrEx>
          <w:tblW w:w="9242"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788"/>
        </w:trPr>
        <w:tc>
          <w:tcPr>
            <w:tcW w:w="680" w:type="dxa"/>
            <w:vAlign w:val="center"/>
          </w:tcPr>
          <w:p>
            <w:pPr>
              <w:keepNext w:val="0"/>
              <w:keepLines w:val="0"/>
              <w:suppressLineNumbers w:val="0"/>
              <w:spacing w:before="0" w:beforeAutospacing="0" w:after="0" w:afterAutospacing="0"/>
              <w:ind w:left="-78" w:right="-74" w:leftChars="-37" w:rightChars="-35"/>
              <w:jc w:val="center"/>
              <w:rPr>
                <w:rFonts w:asciiTheme="minorEastAsia" w:eastAsiaTheme="minorEastAsia" w:hAnsiTheme="minorEastAsia" w:cs="宋体" w:hint="default"/>
                <w:b/>
                <w:sz w:val="24"/>
              </w:rPr>
            </w:pPr>
            <w:r>
              <w:rPr>
                <w:rFonts w:asciiTheme="minorEastAsia" w:eastAsiaTheme="minorEastAsia" w:hAnsiTheme="minorEastAsia" w:cs="宋体" w:hint="eastAsia"/>
                <w:b/>
                <w:sz w:val="24"/>
              </w:rPr>
              <w:t>评审部分</w:t>
            </w:r>
          </w:p>
        </w:tc>
        <w:tc>
          <w:tcPr>
            <w:tcW w:w="1355" w:type="dxa"/>
            <w:vAlign w:val="center"/>
          </w:tcPr>
          <w:p>
            <w:pPr>
              <w:keepNext w:val="0"/>
              <w:keepLines w:val="0"/>
              <w:suppressLineNumbers w:val="0"/>
              <w:spacing w:before="0" w:beforeAutospacing="0" w:after="0" w:afterAutospacing="0"/>
              <w:ind w:left="-78" w:right="-74" w:leftChars="-37" w:rightChars="-35"/>
              <w:jc w:val="center"/>
              <w:rPr>
                <w:rFonts w:asciiTheme="minorEastAsia" w:eastAsiaTheme="minorEastAsia" w:hAnsiTheme="minorEastAsia" w:cs="宋体" w:hint="default"/>
                <w:b/>
                <w:sz w:val="24"/>
              </w:rPr>
            </w:pPr>
            <w:r>
              <w:rPr>
                <w:rFonts w:asciiTheme="minorEastAsia" w:eastAsiaTheme="minorEastAsia" w:hAnsiTheme="minorEastAsia" w:cs="宋体" w:hint="eastAsia"/>
                <w:b/>
                <w:sz w:val="24"/>
              </w:rPr>
              <w:t>评审因素</w:t>
            </w:r>
          </w:p>
        </w:tc>
        <w:tc>
          <w:tcPr>
            <w:tcW w:w="5730" w:type="dxa"/>
            <w:vAlign w:val="center"/>
          </w:tcPr>
          <w:p>
            <w:pPr>
              <w:keepNext w:val="0"/>
              <w:keepLines w:val="0"/>
              <w:suppressLineNumbers w:val="0"/>
              <w:spacing w:before="0" w:beforeAutospacing="0" w:after="0" w:afterAutospacing="0"/>
              <w:ind w:left="-78" w:right="-74" w:leftChars="-37" w:rightChars="-35"/>
              <w:jc w:val="center"/>
              <w:rPr>
                <w:rFonts w:asciiTheme="minorEastAsia" w:eastAsiaTheme="minorEastAsia" w:hAnsiTheme="minorEastAsia" w:cs="宋体" w:hint="default"/>
                <w:b/>
                <w:sz w:val="24"/>
              </w:rPr>
            </w:pPr>
            <w:r>
              <w:rPr>
                <w:rFonts w:asciiTheme="minorEastAsia" w:eastAsiaTheme="minorEastAsia" w:hAnsiTheme="minorEastAsia" w:cs="宋体" w:hint="eastAsia"/>
                <w:b/>
                <w:sz w:val="24"/>
              </w:rPr>
              <w:t>评分细则</w:t>
            </w:r>
          </w:p>
        </w:tc>
        <w:tc>
          <w:tcPr>
            <w:tcW w:w="685" w:type="dxa"/>
            <w:tcBorders>
              <w:right w:val="single" w:sz="4" w:space="0" w:color="auto"/>
            </w:tcBorders>
            <w:vAlign w:val="center"/>
          </w:tcPr>
          <w:p>
            <w:pPr>
              <w:keepNext w:val="0"/>
              <w:keepLines w:val="0"/>
              <w:suppressLineNumbers w:val="0"/>
              <w:spacing w:before="0" w:beforeAutospacing="0" w:after="0" w:afterAutospacing="0"/>
              <w:ind w:left="-78" w:right="-74" w:leftChars="-37" w:rightChars="-35"/>
              <w:jc w:val="center"/>
              <w:rPr>
                <w:rFonts w:asciiTheme="minorEastAsia" w:eastAsiaTheme="minorEastAsia" w:hAnsiTheme="minorEastAsia" w:cs="宋体" w:hint="default"/>
                <w:b/>
                <w:sz w:val="24"/>
              </w:rPr>
            </w:pPr>
            <w:r>
              <w:rPr>
                <w:rFonts w:asciiTheme="minorEastAsia" w:eastAsiaTheme="minorEastAsia" w:hAnsiTheme="minorEastAsia" w:cs="宋体" w:hint="eastAsia"/>
                <w:b/>
                <w:sz w:val="24"/>
              </w:rPr>
              <w:t>权重（%）</w:t>
            </w:r>
          </w:p>
        </w:tc>
        <w:tc>
          <w:tcPr>
            <w:tcW w:w="792" w:type="dxa"/>
            <w:tcBorders>
              <w:left w:val="single" w:sz="4" w:space="0" w:color="auto"/>
            </w:tcBorders>
            <w:vAlign w:val="center"/>
          </w:tcPr>
          <w:p>
            <w:pPr>
              <w:keepNext w:val="0"/>
              <w:keepLines w:val="0"/>
              <w:suppressLineNumbers w:val="0"/>
              <w:spacing w:before="0" w:beforeAutospacing="0" w:after="0" w:afterAutospacing="0"/>
              <w:ind w:left="-78" w:right="-74" w:leftChars="-37" w:rightChars="-35"/>
              <w:jc w:val="center"/>
              <w:rPr>
                <w:rFonts w:asciiTheme="minorEastAsia" w:eastAsiaTheme="minorEastAsia" w:hAnsiTheme="minorEastAsia" w:cs="宋体" w:hint="default"/>
                <w:b/>
                <w:sz w:val="24"/>
              </w:rPr>
            </w:pPr>
            <w:r>
              <w:rPr>
                <w:rFonts w:asciiTheme="minorEastAsia" w:eastAsiaTheme="minorEastAsia" w:hAnsiTheme="minorEastAsia" w:cs="宋体" w:hint="eastAsia"/>
                <w:b/>
                <w:sz w:val="24"/>
              </w:rPr>
              <w:t>分值（分）</w:t>
            </w:r>
          </w:p>
        </w:tc>
      </w:tr>
      <w:tr>
        <w:tblPrEx>
          <w:tblW w:w="9242" w:type="dxa"/>
          <w:tblInd w:w="93" w:type="dxa"/>
          <w:tblLayout w:type="fixed"/>
          <w:tblCellMar>
            <w:top w:w="0" w:type="dxa"/>
            <w:left w:w="108" w:type="dxa"/>
            <w:bottom w:w="0" w:type="dxa"/>
            <w:right w:w="108" w:type="dxa"/>
          </w:tblCellMar>
        </w:tblPrEx>
        <w:trPr>
          <w:trHeight w:val="441"/>
        </w:trPr>
        <w:tc>
          <w:tcPr>
            <w:tcW w:w="680" w:type="dxa"/>
            <w:vAlign w:val="center"/>
          </w:tcPr>
          <w:p>
            <w:pPr>
              <w:keepNext w:val="0"/>
              <w:keepLines w:val="0"/>
              <w:suppressLineNumbers w:val="0"/>
              <w:spacing w:before="0" w:beforeAutospacing="0" w:after="0" w:afterAutospacing="0"/>
              <w:ind w:left="-78" w:right="-74" w:leftChars="-37" w:rightChars="-35"/>
              <w:jc w:val="center"/>
              <w:rPr>
                <w:rFonts w:asciiTheme="minorEastAsia" w:eastAsiaTheme="minorEastAsia" w:hAnsiTheme="minorEastAsia" w:cs="宋体" w:hint="default"/>
                <w:b/>
                <w:color w:val="auto"/>
                <w:sz w:val="24"/>
              </w:rPr>
            </w:pPr>
            <w:r>
              <w:rPr>
                <w:rFonts w:asciiTheme="minorEastAsia" w:eastAsiaTheme="minorEastAsia" w:hAnsiTheme="minorEastAsia" w:cs="宋体" w:hint="eastAsia"/>
                <w:b/>
                <w:color w:val="auto"/>
                <w:sz w:val="24"/>
              </w:rPr>
              <w:t>一</w:t>
            </w:r>
          </w:p>
        </w:tc>
        <w:tc>
          <w:tcPr>
            <w:tcW w:w="8562" w:type="dxa"/>
            <w:gridSpan w:val="4"/>
            <w:vAlign w:val="center"/>
          </w:tcPr>
          <w:p>
            <w:pPr>
              <w:keepNext w:val="0"/>
              <w:keepLines w:val="0"/>
              <w:suppressLineNumbers w:val="0"/>
              <w:spacing w:before="0" w:beforeAutospacing="0" w:after="0" w:afterAutospacing="0"/>
              <w:ind w:left="-78" w:right="-74" w:leftChars="-37" w:rightChars="-35"/>
              <w:jc w:val="center"/>
              <w:rPr>
                <w:rFonts w:asciiTheme="minorEastAsia" w:eastAsiaTheme="minorEastAsia" w:hAnsiTheme="minorEastAsia" w:cs="宋体" w:hint="default"/>
                <w:b/>
                <w:color w:val="auto"/>
                <w:sz w:val="24"/>
              </w:rPr>
            </w:pPr>
            <w:r>
              <w:rPr>
                <w:rFonts w:asciiTheme="minorEastAsia" w:eastAsiaTheme="minorEastAsia" w:hAnsiTheme="minorEastAsia" w:hint="eastAsia"/>
                <w:b/>
                <w:color w:val="auto"/>
                <w:sz w:val="24"/>
              </w:rPr>
              <w:t>技术部分（</w:t>
            </w:r>
            <w:r>
              <w:rPr>
                <w:rFonts w:ascii="宋体" w:hAnsi="宋体" w:hint="eastAsia"/>
                <w:b/>
                <w:color w:val="auto"/>
                <w:sz w:val="24"/>
              </w:rPr>
              <w:t>合计</w:t>
            </w:r>
            <w:r>
              <w:rPr>
                <w:rFonts w:ascii="宋体" w:hAnsi="宋体" w:hint="eastAsia"/>
                <w:b/>
                <w:color w:val="auto"/>
                <w:sz w:val="24"/>
                <w:lang w:val="en-US" w:eastAsia="zh-CN"/>
              </w:rPr>
              <w:t>54</w:t>
            </w:r>
            <w:r>
              <w:rPr>
                <w:rFonts w:ascii="宋体" w:hAnsi="宋体" w:hint="eastAsia"/>
                <w:b/>
                <w:color w:val="auto"/>
                <w:sz w:val="24"/>
              </w:rPr>
              <w:t>分</w:t>
            </w:r>
            <w:r>
              <w:rPr>
                <w:rFonts w:asciiTheme="minorEastAsia" w:eastAsiaTheme="minorEastAsia" w:hAnsiTheme="minorEastAsia" w:hint="eastAsia"/>
                <w:b/>
                <w:color w:val="auto"/>
                <w:sz w:val="24"/>
              </w:rPr>
              <w:t>）</w:t>
            </w:r>
          </w:p>
        </w:tc>
      </w:tr>
      <w:tr>
        <w:tblPrEx>
          <w:tblW w:w="9242" w:type="dxa"/>
          <w:tblInd w:w="93" w:type="dxa"/>
          <w:tblLayout w:type="fixed"/>
          <w:tblCellMar>
            <w:top w:w="0" w:type="dxa"/>
            <w:left w:w="108" w:type="dxa"/>
            <w:bottom w:w="0" w:type="dxa"/>
            <w:right w:w="108" w:type="dxa"/>
          </w:tblCellMar>
        </w:tblPrEx>
        <w:trPr>
          <w:trHeight w:val="883"/>
        </w:trPr>
        <w:tc>
          <w:tcPr>
            <w:tcW w:w="680" w:type="dxa"/>
            <w:tcBorders>
              <w:bottom w:val="single" w:sz="4" w:space="0" w:color="auto"/>
            </w:tcBorders>
            <w:vAlign w:val="center"/>
          </w:tcPr>
          <w:p>
            <w:pPr>
              <w:pStyle w:val="1"/>
              <w:keepNext w:val="0"/>
              <w:keepLines w:val="0"/>
              <w:numPr>
                <w:ilvl w:val="0"/>
                <w:numId w:val="11"/>
              </w:numPr>
              <w:suppressLineNumbers w:val="0"/>
              <w:spacing w:before="0" w:beforeAutospacing="0" w:after="0" w:afterAutospacing="0"/>
              <w:ind w:right="0" w:firstLineChars="0"/>
              <w:jc w:val="right"/>
              <w:rPr>
                <w:rFonts w:asciiTheme="minorEastAsia" w:eastAsiaTheme="minorEastAsia" w:hAnsiTheme="minorEastAsia" w:hint="default"/>
                <w:color w:val="auto"/>
                <w:sz w:val="24"/>
              </w:rPr>
            </w:pPr>
          </w:p>
        </w:tc>
        <w:tc>
          <w:tcPr>
            <w:tcW w:w="1355"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宋体" w:hint="default"/>
                <w:color w:val="auto"/>
                <w:sz w:val="24"/>
              </w:rPr>
            </w:pPr>
            <w:r>
              <w:rPr>
                <w:rFonts w:asciiTheme="minorEastAsia" w:eastAsiaTheme="minorEastAsia" w:hAnsiTheme="minorEastAsia" w:cs="宋体" w:hint="default"/>
                <w:color w:val="auto"/>
                <w:sz w:val="24"/>
              </w:rPr>
              <w:t>技术保障措施</w:t>
            </w:r>
          </w:p>
        </w:tc>
        <w:tc>
          <w:tcPr>
            <w:tcW w:w="5730" w:type="dxa"/>
            <w:vAlign w:val="center"/>
          </w:tcPr>
          <w:p>
            <w:pPr>
              <w:keepNext w:val="0"/>
              <w:keepLines w:val="0"/>
              <w:suppressLineNumbers w:val="0"/>
              <w:spacing w:before="0" w:beforeAutospacing="0" w:after="0" w:afterAutospacing="0"/>
              <w:ind w:left="-78" w:right="-74" w:leftChars="-37" w:rightChars="-35"/>
              <w:jc w:val="left"/>
              <w:rPr>
                <w:rFonts w:asciiTheme="minorEastAsia" w:eastAsiaTheme="minorEastAsia" w:hAnsiTheme="minorEastAsia" w:cs="宋体" w:hint="default"/>
                <w:color w:val="auto"/>
                <w:sz w:val="24"/>
              </w:rPr>
            </w:pPr>
            <w:r>
              <w:rPr>
                <w:rFonts w:asciiTheme="minorEastAsia" w:eastAsiaTheme="minorEastAsia" w:hAnsiTheme="minorEastAsia" w:cs="宋体" w:hint="default"/>
                <w:color w:val="auto"/>
                <w:sz w:val="24"/>
              </w:rPr>
              <w:t>（一）评</w:t>
            </w:r>
            <w:r>
              <w:rPr>
                <w:rFonts w:asciiTheme="minorEastAsia" w:eastAsiaTheme="minorEastAsia" w:hAnsiTheme="minorEastAsia" w:cs="宋体" w:hint="eastAsia"/>
                <w:color w:val="auto"/>
                <w:sz w:val="24"/>
                <w:lang w:val="en-US" w:eastAsia="zh-CN"/>
              </w:rPr>
              <w:t>分</w:t>
            </w:r>
            <w:r>
              <w:rPr>
                <w:rFonts w:asciiTheme="minorEastAsia" w:eastAsiaTheme="minorEastAsia" w:hAnsiTheme="minorEastAsia" w:cs="宋体" w:hint="default"/>
                <w:color w:val="auto"/>
                <w:sz w:val="24"/>
              </w:rPr>
              <w:t>内容：</w:t>
            </w:r>
          </w:p>
          <w:p>
            <w:pPr>
              <w:keepNext w:val="0"/>
              <w:keepLines w:val="0"/>
              <w:suppressLineNumbers w:val="0"/>
              <w:spacing w:before="0" w:beforeAutospacing="0" w:after="0" w:afterAutospacing="0"/>
              <w:ind w:left="-78" w:right="-74" w:leftChars="-37" w:rightChars="-35"/>
              <w:jc w:val="left"/>
              <w:rPr>
                <w:rFonts w:asciiTheme="minorEastAsia" w:eastAsiaTheme="minorEastAsia" w:hAnsiTheme="minorEastAsia" w:cs="宋体" w:hint="default"/>
                <w:color w:val="auto"/>
                <w:sz w:val="24"/>
              </w:rPr>
            </w:pPr>
            <w:r>
              <w:rPr>
                <w:rFonts w:asciiTheme="minorEastAsia" w:eastAsiaTheme="minorEastAsia" w:hAnsiTheme="minorEastAsia" w:cs="宋体" w:hint="default"/>
                <w:color w:val="auto"/>
                <w:sz w:val="24"/>
              </w:rPr>
              <w:t>投标人结合本项目实际提供项目技术保障措施，应包括内容：1、投标产品的质量可靠性和先进性说明；2、供货和安装进度计划；3、供货时间节点和步骤；4、人员安排和分工；5、突发情况应对措施。</w:t>
            </w:r>
          </w:p>
          <w:p>
            <w:pPr>
              <w:keepNext w:val="0"/>
              <w:keepLines w:val="0"/>
              <w:suppressLineNumbers w:val="0"/>
              <w:spacing w:before="0" w:beforeAutospacing="0" w:after="0" w:afterAutospacing="0"/>
              <w:ind w:left="-78" w:right="-74" w:leftChars="-37" w:rightChars="-35"/>
              <w:jc w:val="left"/>
              <w:rPr>
                <w:rFonts w:asciiTheme="minorEastAsia" w:eastAsiaTheme="minorEastAsia" w:hAnsiTheme="minorEastAsia" w:cs="宋体" w:hint="default"/>
                <w:color w:val="auto"/>
                <w:sz w:val="24"/>
              </w:rPr>
            </w:pPr>
            <w:r>
              <w:rPr>
                <w:rFonts w:asciiTheme="minorEastAsia" w:eastAsiaTheme="minorEastAsia" w:hAnsiTheme="minorEastAsia" w:cs="宋体" w:hint="default"/>
                <w:color w:val="auto"/>
                <w:sz w:val="24"/>
              </w:rPr>
              <w:t xml:space="preserve">（二）评分依据： </w:t>
            </w:r>
          </w:p>
          <w:p>
            <w:pPr>
              <w:keepNext w:val="0"/>
              <w:keepLines w:val="0"/>
              <w:suppressLineNumbers w:val="0"/>
              <w:spacing w:before="0" w:beforeAutospacing="0" w:after="0" w:afterAutospacing="0"/>
              <w:ind w:left="-78" w:right="-74" w:leftChars="-37" w:rightChars="-35"/>
              <w:jc w:val="left"/>
              <w:rPr>
                <w:rFonts w:asciiTheme="minorEastAsia" w:eastAsiaTheme="minorEastAsia" w:hAnsiTheme="minorEastAsia" w:cs="宋体" w:hint="default"/>
                <w:color w:val="auto"/>
                <w:sz w:val="24"/>
              </w:rPr>
            </w:pPr>
            <w:r>
              <w:rPr>
                <w:rFonts w:asciiTheme="minorEastAsia" w:eastAsiaTheme="minorEastAsia" w:hAnsiTheme="minorEastAsia" w:cs="宋体" w:hint="default"/>
                <w:color w:val="auto"/>
                <w:sz w:val="24"/>
              </w:rPr>
              <w:t>每满足一点得10分，满分50分。在此基础上，专家根据各供应商的具体响应内容按照评审因素指标进一步评审:</w:t>
            </w:r>
          </w:p>
          <w:p>
            <w:pPr>
              <w:keepNext w:val="0"/>
              <w:keepLines w:val="0"/>
              <w:suppressLineNumbers w:val="0"/>
              <w:spacing w:before="0" w:beforeAutospacing="0" w:after="0" w:afterAutospacing="0"/>
              <w:ind w:left="-78" w:right="-74" w:leftChars="-37" w:rightChars="-35"/>
              <w:jc w:val="left"/>
              <w:rPr>
                <w:rFonts w:asciiTheme="minorEastAsia" w:eastAsiaTheme="minorEastAsia" w:hAnsiTheme="minorEastAsia" w:cs="宋体" w:hint="default"/>
                <w:color w:val="auto"/>
                <w:sz w:val="24"/>
              </w:rPr>
            </w:pPr>
            <w:r>
              <w:rPr>
                <w:rFonts w:asciiTheme="minorEastAsia" w:eastAsiaTheme="minorEastAsia" w:hAnsiTheme="minorEastAsia" w:cs="宋体" w:hint="default"/>
                <w:color w:val="auto"/>
                <w:sz w:val="24"/>
              </w:rPr>
              <w:t>1</w:t>
            </w:r>
            <w:r>
              <w:rPr>
                <w:rFonts w:asciiTheme="minorEastAsia" w:eastAsiaTheme="minorEastAsia" w:hAnsiTheme="minorEastAsia" w:cs="宋体" w:hint="eastAsia"/>
                <w:color w:val="auto"/>
                <w:sz w:val="24"/>
                <w:lang w:val="en-US" w:eastAsia="zh-CN"/>
              </w:rPr>
              <w:t>.</w:t>
            </w:r>
            <w:r>
              <w:rPr>
                <w:rFonts w:asciiTheme="minorEastAsia" w:eastAsiaTheme="minorEastAsia" w:hAnsiTheme="minorEastAsia" w:cs="宋体" w:hint="default"/>
                <w:color w:val="auto"/>
                <w:sz w:val="24"/>
              </w:rPr>
              <w:t>项目技术保障措施思路清晰明确；</w:t>
            </w:r>
          </w:p>
          <w:p>
            <w:pPr>
              <w:keepNext w:val="0"/>
              <w:keepLines w:val="0"/>
              <w:suppressLineNumbers w:val="0"/>
              <w:spacing w:before="0" w:beforeAutospacing="0" w:after="0" w:afterAutospacing="0"/>
              <w:ind w:left="-78" w:right="-74" w:leftChars="-37" w:rightChars="-35"/>
              <w:jc w:val="left"/>
              <w:rPr>
                <w:rFonts w:asciiTheme="minorEastAsia" w:eastAsiaTheme="minorEastAsia" w:hAnsiTheme="minorEastAsia" w:cs="宋体" w:hint="default"/>
                <w:color w:val="auto"/>
                <w:sz w:val="24"/>
              </w:rPr>
            </w:pPr>
            <w:r>
              <w:rPr>
                <w:rFonts w:asciiTheme="minorEastAsia" w:eastAsiaTheme="minorEastAsia" w:hAnsiTheme="minorEastAsia" w:cs="宋体" w:hint="default"/>
                <w:color w:val="auto"/>
                <w:sz w:val="24"/>
              </w:rPr>
              <w:t>2</w:t>
            </w:r>
            <w:r>
              <w:rPr>
                <w:rFonts w:asciiTheme="minorEastAsia" w:eastAsiaTheme="minorEastAsia" w:hAnsiTheme="minorEastAsia" w:cs="宋体" w:hint="eastAsia"/>
                <w:color w:val="auto"/>
                <w:sz w:val="24"/>
                <w:lang w:val="en-US" w:eastAsia="zh-CN"/>
              </w:rPr>
              <w:t>.</w:t>
            </w:r>
            <w:r>
              <w:rPr>
                <w:rFonts w:asciiTheme="minorEastAsia" w:eastAsiaTheme="minorEastAsia" w:hAnsiTheme="minorEastAsia" w:cs="宋体" w:hint="default"/>
                <w:color w:val="auto"/>
                <w:sz w:val="24"/>
              </w:rPr>
              <w:t>方案合理可行；</w:t>
            </w:r>
          </w:p>
          <w:p>
            <w:pPr>
              <w:keepNext w:val="0"/>
              <w:keepLines w:val="0"/>
              <w:suppressLineNumbers w:val="0"/>
              <w:spacing w:before="0" w:beforeAutospacing="0" w:after="0" w:afterAutospacing="0"/>
              <w:ind w:left="-78" w:right="-74" w:leftChars="-37" w:rightChars="-35"/>
              <w:jc w:val="left"/>
              <w:rPr>
                <w:rFonts w:asciiTheme="minorEastAsia" w:eastAsiaTheme="minorEastAsia" w:hAnsiTheme="minorEastAsia" w:cs="宋体" w:hint="default"/>
                <w:color w:val="auto"/>
                <w:sz w:val="24"/>
              </w:rPr>
            </w:pPr>
            <w:r>
              <w:rPr>
                <w:rFonts w:asciiTheme="minorEastAsia" w:eastAsiaTheme="minorEastAsia" w:hAnsiTheme="minorEastAsia" w:cs="宋体" w:hint="default"/>
                <w:color w:val="auto"/>
                <w:sz w:val="24"/>
              </w:rPr>
              <w:t>3.满足服务要求；</w:t>
            </w:r>
          </w:p>
          <w:p>
            <w:pPr>
              <w:keepNext w:val="0"/>
              <w:keepLines w:val="0"/>
              <w:suppressLineNumbers w:val="0"/>
              <w:spacing w:before="0" w:beforeAutospacing="0" w:after="0" w:afterAutospacing="0"/>
              <w:ind w:left="-78" w:right="-74" w:leftChars="-37" w:rightChars="-35"/>
              <w:jc w:val="left"/>
              <w:rPr>
                <w:rFonts w:asciiTheme="minorEastAsia" w:eastAsiaTheme="minorEastAsia" w:hAnsiTheme="minorEastAsia" w:cs="宋体" w:hint="default"/>
                <w:color w:val="auto"/>
                <w:sz w:val="24"/>
              </w:rPr>
            </w:pPr>
            <w:r>
              <w:rPr>
                <w:rFonts w:asciiTheme="minorEastAsia" w:eastAsiaTheme="minorEastAsia" w:hAnsiTheme="minorEastAsia" w:cs="宋体" w:hint="default"/>
                <w:color w:val="auto"/>
                <w:sz w:val="24"/>
              </w:rPr>
              <w:t xml:space="preserve">满足以上3项要求评分标准为优得50分； </w:t>
            </w:r>
          </w:p>
          <w:p>
            <w:pPr>
              <w:keepNext w:val="0"/>
              <w:keepLines w:val="0"/>
              <w:suppressLineNumbers w:val="0"/>
              <w:spacing w:before="0" w:beforeAutospacing="0" w:after="0" w:afterAutospacing="0"/>
              <w:ind w:left="-78" w:right="-74" w:leftChars="-37" w:rightChars="-35"/>
              <w:jc w:val="left"/>
              <w:rPr>
                <w:rFonts w:asciiTheme="minorEastAsia" w:eastAsiaTheme="minorEastAsia" w:hAnsiTheme="minorEastAsia" w:cs="宋体" w:hint="default"/>
                <w:color w:val="auto"/>
                <w:sz w:val="24"/>
              </w:rPr>
            </w:pPr>
            <w:r>
              <w:rPr>
                <w:rFonts w:asciiTheme="minorEastAsia" w:eastAsiaTheme="minorEastAsia" w:hAnsiTheme="minorEastAsia" w:cs="宋体" w:hint="default"/>
                <w:color w:val="auto"/>
                <w:sz w:val="24"/>
              </w:rPr>
              <w:t xml:space="preserve">满足以上任意2项要求评分标准为良得30分； </w:t>
            </w:r>
          </w:p>
          <w:p>
            <w:pPr>
              <w:keepNext w:val="0"/>
              <w:keepLines w:val="0"/>
              <w:suppressLineNumbers w:val="0"/>
              <w:spacing w:before="0" w:beforeAutospacing="0" w:after="0" w:afterAutospacing="0"/>
              <w:ind w:left="-78" w:right="-74" w:leftChars="-37" w:rightChars="-35"/>
              <w:jc w:val="left"/>
              <w:rPr>
                <w:rFonts w:asciiTheme="minorEastAsia" w:eastAsiaTheme="minorEastAsia" w:hAnsiTheme="minorEastAsia" w:cs="宋体" w:hint="default"/>
                <w:color w:val="auto"/>
                <w:sz w:val="24"/>
              </w:rPr>
            </w:pPr>
            <w:r>
              <w:rPr>
                <w:rFonts w:asciiTheme="minorEastAsia" w:eastAsiaTheme="minorEastAsia" w:hAnsiTheme="minorEastAsia" w:cs="宋体" w:hint="default"/>
                <w:color w:val="auto"/>
                <w:sz w:val="24"/>
              </w:rPr>
              <w:t xml:space="preserve">满足以上任意1项要求评分标准为中得10分； </w:t>
            </w:r>
          </w:p>
          <w:p>
            <w:pPr>
              <w:keepNext w:val="0"/>
              <w:keepLines w:val="0"/>
              <w:suppressLineNumbers w:val="0"/>
              <w:spacing w:before="0" w:beforeAutospacing="0" w:after="0" w:afterAutospacing="0"/>
              <w:ind w:left="-78" w:right="-74" w:leftChars="-37" w:rightChars="-35"/>
              <w:jc w:val="left"/>
              <w:rPr>
                <w:rFonts w:asciiTheme="minorEastAsia" w:eastAsiaTheme="minorEastAsia" w:hAnsiTheme="minorEastAsia" w:cs="宋体" w:hint="default"/>
                <w:color w:val="auto"/>
                <w:sz w:val="24"/>
              </w:rPr>
            </w:pPr>
            <w:r>
              <w:rPr>
                <w:rFonts w:asciiTheme="minorEastAsia" w:eastAsiaTheme="minorEastAsia" w:hAnsiTheme="minorEastAsia" w:cs="宋体" w:hint="default"/>
                <w:color w:val="auto"/>
                <w:sz w:val="24"/>
              </w:rPr>
              <w:t>均不满足评分标准为差不得分。如果评审为差，要求专家书面说明理由，并记录在档。</w:t>
            </w:r>
          </w:p>
        </w:tc>
        <w:tc>
          <w:tcPr>
            <w:tcW w:w="685" w:type="dxa"/>
            <w:tcBorders>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宋体" w:hint="eastAsia"/>
                <w:color w:val="auto"/>
                <w:sz w:val="24"/>
                <w:lang w:eastAsia="zh-CN"/>
              </w:rPr>
            </w:pPr>
            <w:r>
              <w:rPr>
                <w:rFonts w:asciiTheme="minorEastAsia" w:eastAsiaTheme="minorEastAsia" w:hAnsiTheme="minorEastAsia" w:cs="宋体" w:hint="eastAsia"/>
                <w:color w:val="auto"/>
                <w:sz w:val="24"/>
                <w:lang w:val="en-US" w:eastAsia="zh-CN"/>
              </w:rPr>
              <w:t>6</w:t>
            </w:r>
          </w:p>
        </w:tc>
        <w:tc>
          <w:tcPr>
            <w:tcW w:w="792" w:type="dxa"/>
            <w:tcBorders>
              <w:lef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宋体" w:hint="eastAsia"/>
                <w:color w:val="auto"/>
                <w:sz w:val="24"/>
                <w:lang w:eastAsia="zh-CN"/>
              </w:rPr>
            </w:pPr>
            <w:r>
              <w:rPr>
                <w:rFonts w:asciiTheme="minorEastAsia" w:eastAsiaTheme="minorEastAsia" w:hAnsiTheme="minorEastAsia" w:cs="宋体" w:hint="eastAsia"/>
                <w:color w:val="auto"/>
                <w:sz w:val="24"/>
                <w:lang w:val="en-US" w:eastAsia="zh-CN"/>
              </w:rPr>
              <w:t>6</w:t>
            </w:r>
          </w:p>
        </w:tc>
      </w:tr>
      <w:tr>
        <w:tblPrEx>
          <w:tblW w:w="9242" w:type="dxa"/>
          <w:tblInd w:w="93" w:type="dxa"/>
          <w:tblLayout w:type="fixed"/>
          <w:tblCellMar>
            <w:top w:w="0" w:type="dxa"/>
            <w:left w:w="108" w:type="dxa"/>
            <w:bottom w:w="0" w:type="dxa"/>
            <w:right w:w="108" w:type="dxa"/>
          </w:tblCellMar>
        </w:tblPrEx>
        <w:trPr>
          <w:trHeight w:val="883"/>
        </w:trPr>
        <w:tc>
          <w:tcPr>
            <w:tcW w:w="680" w:type="dxa"/>
            <w:tcBorders>
              <w:bottom w:val="single" w:sz="4" w:space="0" w:color="auto"/>
            </w:tcBorders>
            <w:vAlign w:val="center"/>
          </w:tcPr>
          <w:p>
            <w:pPr>
              <w:pStyle w:val="1"/>
              <w:keepNext w:val="0"/>
              <w:keepLines w:val="0"/>
              <w:numPr>
                <w:ilvl w:val="0"/>
                <w:numId w:val="11"/>
              </w:numPr>
              <w:suppressLineNumbers w:val="0"/>
              <w:spacing w:before="0" w:beforeAutospacing="0" w:after="0" w:afterAutospacing="0"/>
              <w:ind w:right="0" w:firstLineChars="0"/>
              <w:jc w:val="right"/>
              <w:rPr>
                <w:rFonts w:asciiTheme="minorEastAsia" w:eastAsiaTheme="minorEastAsia" w:hAnsiTheme="minorEastAsia" w:hint="default"/>
                <w:color w:val="auto"/>
                <w:sz w:val="24"/>
                <w:highlight w:val="none"/>
              </w:rPr>
            </w:pPr>
          </w:p>
        </w:tc>
        <w:tc>
          <w:tcPr>
            <w:tcW w:w="1355"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宋体" w:hint="default"/>
                <w:color w:val="auto"/>
                <w:sz w:val="24"/>
                <w:highlight w:val="none"/>
              </w:rPr>
            </w:pPr>
            <w:r>
              <w:rPr>
                <w:rFonts w:asciiTheme="minorEastAsia" w:eastAsiaTheme="minorEastAsia" w:hAnsiTheme="minorEastAsia" w:cs="宋体" w:hint="default"/>
                <w:color w:val="auto"/>
                <w:sz w:val="24"/>
                <w:highlight w:val="none"/>
              </w:rPr>
              <w:t>技术要求偏离情况</w:t>
            </w:r>
          </w:p>
        </w:tc>
        <w:tc>
          <w:tcPr>
            <w:tcW w:w="5730" w:type="dxa"/>
            <w:vAlign w:val="center"/>
          </w:tcPr>
          <w:p>
            <w:pPr>
              <w:keepNext w:val="0"/>
              <w:keepLines w:val="0"/>
              <w:suppressLineNumbers w:val="0"/>
              <w:spacing w:before="0" w:beforeAutospacing="0" w:after="0" w:afterAutospacing="0"/>
              <w:ind w:left="-78" w:right="-74" w:leftChars="-37" w:rightChars="-35"/>
              <w:jc w:val="left"/>
              <w:rPr>
                <w:rFonts w:asciiTheme="minorEastAsia" w:eastAsiaTheme="minorEastAsia" w:hAnsiTheme="minorEastAsia" w:cs="宋体" w:hint="default"/>
                <w:color w:val="auto"/>
                <w:sz w:val="24"/>
                <w:highlight w:val="none"/>
              </w:rPr>
            </w:pPr>
            <w:r>
              <w:rPr>
                <w:rFonts w:asciiTheme="minorEastAsia" w:eastAsiaTheme="minorEastAsia" w:hAnsiTheme="minorEastAsia" w:cs="宋体" w:hint="default"/>
                <w:color w:val="auto"/>
                <w:sz w:val="24"/>
                <w:highlight w:val="none"/>
              </w:rPr>
              <w:t>投标人应如实填写《技术要求偏离表》，评审委员会根据</w:t>
            </w:r>
            <w:r>
              <w:rPr>
                <w:rFonts w:asciiTheme="minorEastAsia" w:eastAsiaTheme="minorEastAsia" w:hAnsiTheme="minorEastAsia" w:cs="宋体" w:hint="default"/>
                <w:color w:val="auto"/>
                <w:sz w:val="24"/>
                <w:highlight w:val="none"/>
                <w:lang w:val="en-US" w:eastAsia="zh-CN"/>
              </w:rPr>
              <w:t>招标文件第</w:t>
            </w:r>
            <w:r>
              <w:rPr>
                <w:rFonts w:asciiTheme="minorEastAsia" w:eastAsiaTheme="minorEastAsia" w:hAnsiTheme="minorEastAsia" w:cs="宋体" w:hint="eastAsia"/>
                <w:color w:val="auto"/>
                <w:sz w:val="24"/>
                <w:highlight w:val="none"/>
                <w:lang w:val="en-US" w:eastAsia="zh-CN"/>
              </w:rPr>
              <w:t>二</w:t>
            </w:r>
            <w:r>
              <w:rPr>
                <w:rFonts w:asciiTheme="minorEastAsia" w:eastAsiaTheme="minorEastAsia" w:hAnsiTheme="minorEastAsia" w:cs="宋体" w:hint="default"/>
                <w:color w:val="auto"/>
                <w:sz w:val="24"/>
                <w:highlight w:val="none"/>
                <w:lang w:val="en-US" w:eastAsia="zh-CN"/>
              </w:rPr>
              <w:t>章 用户需求书</w:t>
            </w:r>
            <w:r>
              <w:rPr>
                <w:rFonts w:asciiTheme="minorEastAsia" w:eastAsiaTheme="minorEastAsia" w:hAnsiTheme="minorEastAsia" w:cs="宋体" w:hint="eastAsia"/>
                <w:color w:val="auto"/>
                <w:sz w:val="24"/>
                <w:highlight w:val="none"/>
                <w:lang w:val="en-US" w:eastAsia="zh-CN"/>
              </w:rPr>
              <w:t>三</w:t>
            </w:r>
            <w:r>
              <w:rPr>
                <w:rFonts w:asciiTheme="minorEastAsia" w:eastAsiaTheme="minorEastAsia" w:hAnsiTheme="minorEastAsia" w:cs="宋体" w:hint="default"/>
                <w:color w:val="auto"/>
                <w:sz w:val="24"/>
                <w:highlight w:val="none"/>
                <w:lang w:val="en-US" w:eastAsia="zh-CN"/>
              </w:rPr>
              <w:t>、技术要求2</w:t>
            </w:r>
            <w:r>
              <w:rPr>
                <w:rFonts w:asciiTheme="minorEastAsia" w:eastAsiaTheme="minorEastAsia" w:hAnsiTheme="minorEastAsia" w:cs="宋体" w:hint="default"/>
                <w:color w:val="auto"/>
                <w:sz w:val="24"/>
                <w:highlight w:val="none"/>
              </w:rPr>
              <w:t>．技术</w:t>
            </w:r>
            <w:r>
              <w:rPr>
                <w:rFonts w:asciiTheme="minorEastAsia" w:eastAsiaTheme="minorEastAsia" w:hAnsiTheme="minorEastAsia" w:cs="宋体" w:hint="default"/>
                <w:color w:val="auto"/>
                <w:sz w:val="24"/>
                <w:highlight w:val="none"/>
                <w:lang w:val="en-US" w:eastAsia="zh-CN"/>
              </w:rPr>
              <w:t>参数</w:t>
            </w:r>
            <w:r>
              <w:rPr>
                <w:rFonts w:asciiTheme="minorEastAsia" w:eastAsiaTheme="minorEastAsia" w:hAnsiTheme="minorEastAsia" w:cs="宋体" w:hint="default"/>
                <w:color w:val="auto"/>
                <w:sz w:val="24"/>
                <w:highlight w:val="none"/>
              </w:rPr>
              <w:t>响应情况进行打分，各项技术参数指标及要求全部满足的得100分</w:t>
            </w:r>
            <w:r>
              <w:rPr>
                <w:rFonts w:asciiTheme="minorEastAsia" w:eastAsiaTheme="minorEastAsia" w:hAnsiTheme="minorEastAsia" w:cs="宋体" w:hint="eastAsia"/>
                <w:color w:val="auto"/>
                <w:sz w:val="24"/>
                <w:highlight w:val="none"/>
                <w:lang w:eastAsia="zh-CN"/>
              </w:rPr>
              <w:t>。</w:t>
            </w:r>
            <w:r>
              <w:rPr>
                <w:rFonts w:asciiTheme="minorEastAsia" w:eastAsiaTheme="minorEastAsia" w:hAnsiTheme="minorEastAsia" w:cs="宋体" w:hint="default"/>
                <w:color w:val="auto"/>
                <w:sz w:val="24"/>
                <w:highlight w:val="none"/>
              </w:rPr>
              <w:t>所有标注“▲”的重要参数</w:t>
            </w:r>
            <w:r>
              <w:rPr>
                <w:rFonts w:asciiTheme="minorEastAsia" w:eastAsiaTheme="minorEastAsia" w:hAnsiTheme="minorEastAsia" w:cs="宋体" w:hint="eastAsia"/>
                <w:color w:val="auto"/>
                <w:sz w:val="24"/>
                <w:highlight w:val="none"/>
                <w:lang w:val="en-US" w:eastAsia="zh-CN"/>
              </w:rPr>
              <w:t>总分48分，</w:t>
            </w:r>
            <w:r>
              <w:rPr>
                <w:rFonts w:asciiTheme="minorEastAsia" w:eastAsiaTheme="minorEastAsia" w:hAnsiTheme="minorEastAsia" w:cs="宋体" w:hint="default"/>
                <w:color w:val="auto"/>
                <w:sz w:val="24"/>
                <w:highlight w:val="none"/>
              </w:rPr>
              <w:t>每项负偏离扣8分，</w:t>
            </w:r>
            <w:r>
              <w:rPr>
                <w:rFonts w:asciiTheme="minorEastAsia" w:eastAsiaTheme="minorEastAsia" w:hAnsiTheme="minorEastAsia" w:cs="宋体" w:hint="eastAsia"/>
                <w:color w:val="auto"/>
                <w:sz w:val="24"/>
                <w:highlight w:val="none"/>
                <w:lang w:val="en-US" w:eastAsia="zh-CN"/>
              </w:rPr>
              <w:t>负偏离达6项本小项不得分；</w:t>
            </w:r>
            <w:r>
              <w:rPr>
                <w:rFonts w:asciiTheme="minorEastAsia" w:eastAsiaTheme="minorEastAsia" w:hAnsiTheme="minorEastAsia" w:cs="宋体" w:hint="default"/>
                <w:color w:val="auto"/>
                <w:sz w:val="24"/>
                <w:highlight w:val="none"/>
              </w:rPr>
              <w:t>一般参数</w:t>
            </w:r>
            <w:r>
              <w:rPr>
                <w:rFonts w:asciiTheme="minorEastAsia" w:eastAsiaTheme="minorEastAsia" w:hAnsiTheme="minorEastAsia" w:cs="宋体" w:hint="eastAsia"/>
                <w:color w:val="auto"/>
                <w:sz w:val="24"/>
                <w:highlight w:val="none"/>
                <w:lang w:val="en-US" w:eastAsia="zh-CN"/>
              </w:rPr>
              <w:t>总分52分，</w:t>
            </w:r>
            <w:r>
              <w:rPr>
                <w:rFonts w:asciiTheme="minorEastAsia" w:eastAsiaTheme="minorEastAsia" w:hAnsiTheme="minorEastAsia" w:cs="宋体" w:hint="default"/>
                <w:color w:val="auto"/>
                <w:sz w:val="24"/>
                <w:highlight w:val="none"/>
              </w:rPr>
              <w:t>每项负偏离扣3.</w:t>
            </w:r>
            <w:r>
              <w:rPr>
                <w:rFonts w:asciiTheme="minorEastAsia" w:eastAsiaTheme="minorEastAsia" w:hAnsiTheme="minorEastAsia" w:cs="宋体" w:hint="eastAsia"/>
                <w:color w:val="auto"/>
                <w:sz w:val="24"/>
                <w:highlight w:val="none"/>
                <w:lang w:val="en-US" w:eastAsia="zh-CN"/>
              </w:rPr>
              <w:t>72</w:t>
            </w:r>
            <w:r>
              <w:rPr>
                <w:rFonts w:asciiTheme="minorEastAsia" w:eastAsiaTheme="minorEastAsia" w:hAnsiTheme="minorEastAsia" w:cs="宋体" w:hint="default"/>
                <w:color w:val="auto"/>
                <w:sz w:val="24"/>
                <w:highlight w:val="none"/>
              </w:rPr>
              <w:t>分</w:t>
            </w:r>
            <w:r>
              <w:rPr>
                <w:rFonts w:asciiTheme="minorEastAsia" w:eastAsiaTheme="minorEastAsia" w:hAnsiTheme="minorEastAsia" w:cs="宋体" w:hint="eastAsia"/>
                <w:color w:val="auto"/>
                <w:sz w:val="24"/>
                <w:highlight w:val="none"/>
                <w:lang w:eastAsia="zh-CN"/>
              </w:rPr>
              <w:t>，</w:t>
            </w:r>
            <w:r>
              <w:rPr>
                <w:rFonts w:asciiTheme="minorEastAsia" w:eastAsiaTheme="minorEastAsia" w:hAnsiTheme="minorEastAsia" w:cs="宋体" w:hint="eastAsia"/>
                <w:color w:val="auto"/>
                <w:sz w:val="24"/>
                <w:highlight w:val="none"/>
                <w:lang w:val="en-US" w:eastAsia="zh-CN"/>
              </w:rPr>
              <w:t>负偏离达14项本小项不得分</w:t>
            </w:r>
            <w:r>
              <w:rPr>
                <w:rFonts w:asciiTheme="minorEastAsia" w:eastAsiaTheme="minorEastAsia" w:hAnsiTheme="minorEastAsia" w:cs="宋体" w:hint="default"/>
                <w:color w:val="auto"/>
                <w:sz w:val="24"/>
                <w:highlight w:val="none"/>
              </w:rPr>
              <w:t>。</w:t>
            </w:r>
          </w:p>
        </w:tc>
        <w:tc>
          <w:tcPr>
            <w:tcW w:w="685" w:type="dxa"/>
            <w:tcBorders>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宋体" w:hint="default"/>
                <w:color w:val="auto"/>
                <w:sz w:val="24"/>
                <w:highlight w:val="none"/>
                <w:lang w:val="en-US" w:eastAsia="zh-CN"/>
              </w:rPr>
            </w:pPr>
            <w:r>
              <w:rPr>
                <w:rFonts w:asciiTheme="minorEastAsia" w:eastAsiaTheme="minorEastAsia" w:hAnsiTheme="minorEastAsia" w:cs="宋体" w:hint="eastAsia"/>
                <w:color w:val="auto"/>
                <w:sz w:val="24"/>
                <w:highlight w:val="none"/>
                <w:lang w:val="en-US" w:eastAsia="zh-CN"/>
              </w:rPr>
              <w:t>40</w:t>
            </w:r>
          </w:p>
        </w:tc>
        <w:tc>
          <w:tcPr>
            <w:tcW w:w="792" w:type="dxa"/>
            <w:tcBorders>
              <w:lef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宋体" w:hint="default"/>
                <w:color w:val="auto"/>
                <w:sz w:val="24"/>
                <w:highlight w:val="none"/>
                <w:lang w:val="en-US" w:eastAsia="zh-CN"/>
              </w:rPr>
            </w:pPr>
            <w:r>
              <w:rPr>
                <w:rFonts w:asciiTheme="minorEastAsia" w:eastAsiaTheme="minorEastAsia" w:hAnsiTheme="minorEastAsia" w:cs="宋体" w:hint="eastAsia"/>
                <w:color w:val="auto"/>
                <w:sz w:val="24"/>
                <w:highlight w:val="none"/>
                <w:lang w:val="en-US" w:eastAsia="zh-CN"/>
              </w:rPr>
              <w:t>40</w:t>
            </w:r>
          </w:p>
        </w:tc>
      </w:tr>
      <w:tr>
        <w:tblPrEx>
          <w:tblW w:w="9242" w:type="dxa"/>
          <w:tblInd w:w="93" w:type="dxa"/>
          <w:tblLayout w:type="fixed"/>
          <w:tblCellMar>
            <w:top w:w="0" w:type="dxa"/>
            <w:left w:w="108" w:type="dxa"/>
            <w:bottom w:w="0" w:type="dxa"/>
            <w:right w:w="108" w:type="dxa"/>
          </w:tblCellMar>
        </w:tblPrEx>
        <w:trPr>
          <w:trHeight w:val="883"/>
        </w:trPr>
        <w:tc>
          <w:tcPr>
            <w:tcW w:w="680" w:type="dxa"/>
            <w:tcBorders>
              <w:top w:val="single" w:sz="4" w:space="0" w:color="auto"/>
              <w:bottom w:val="single" w:sz="4" w:space="0" w:color="auto"/>
            </w:tcBorders>
            <w:vAlign w:val="center"/>
          </w:tcPr>
          <w:p>
            <w:pPr>
              <w:pStyle w:val="1"/>
              <w:keepNext w:val="0"/>
              <w:keepLines w:val="0"/>
              <w:numPr>
                <w:ilvl w:val="0"/>
                <w:numId w:val="11"/>
              </w:numPr>
              <w:suppressLineNumbers w:val="0"/>
              <w:spacing w:before="0" w:beforeAutospacing="0" w:after="0" w:afterAutospacing="0"/>
              <w:ind w:right="0" w:firstLineChars="0"/>
              <w:jc w:val="right"/>
              <w:rPr>
                <w:rFonts w:asciiTheme="minorEastAsia" w:eastAsiaTheme="minorEastAsia" w:hAnsiTheme="minorEastAsia" w:hint="default"/>
                <w:color w:val="auto"/>
                <w:sz w:val="24"/>
                <w:highlight w:val="none"/>
              </w:rPr>
            </w:pPr>
          </w:p>
        </w:tc>
        <w:tc>
          <w:tcPr>
            <w:tcW w:w="1355"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color w:val="auto"/>
                <w:sz w:val="24"/>
                <w:highlight w:val="none"/>
              </w:rPr>
            </w:pPr>
            <w:r>
              <w:rPr>
                <w:rFonts w:asciiTheme="minorEastAsia" w:eastAsiaTheme="minorEastAsia" w:hAnsiTheme="minorEastAsia" w:hint="default"/>
                <w:color w:val="auto"/>
                <w:sz w:val="24"/>
                <w:highlight w:val="none"/>
              </w:rPr>
              <w:t>售后服务方案</w:t>
            </w:r>
          </w:p>
        </w:tc>
        <w:tc>
          <w:tcPr>
            <w:tcW w:w="5730" w:type="dxa"/>
            <w:vAlign w:val="center"/>
          </w:tcPr>
          <w:p>
            <w:pPr>
              <w:keepNext w:val="0"/>
              <w:keepLines w:val="0"/>
              <w:suppressLineNumbers w:val="0"/>
              <w:tabs>
                <w:tab w:val="left" w:pos="1774"/>
              </w:tabs>
              <w:spacing w:before="0" w:beforeAutospacing="0" w:after="0" w:afterAutospacing="0"/>
              <w:ind w:left="-78" w:right="-74" w:leftChars="-37" w:rightChars="-35"/>
              <w:jc w:val="left"/>
              <w:rPr>
                <w:rFonts w:asciiTheme="minorEastAsia" w:eastAsiaTheme="minorEastAsia" w:hAnsiTheme="minorEastAsia" w:cs="宋体" w:hint="default"/>
                <w:color w:val="auto"/>
                <w:sz w:val="24"/>
                <w:highlight w:val="none"/>
              </w:rPr>
            </w:pPr>
            <w:r>
              <w:rPr>
                <w:rFonts w:asciiTheme="minorEastAsia" w:eastAsiaTheme="minorEastAsia" w:hAnsiTheme="minorEastAsia" w:cs="宋体" w:hint="default"/>
                <w:color w:val="auto"/>
                <w:sz w:val="24"/>
                <w:highlight w:val="none"/>
              </w:rPr>
              <w:t>（一）评分内容：</w:t>
            </w:r>
          </w:p>
          <w:p>
            <w:pPr>
              <w:keepNext w:val="0"/>
              <w:keepLines w:val="0"/>
              <w:suppressLineNumbers w:val="0"/>
              <w:tabs>
                <w:tab w:val="left" w:pos="1774"/>
              </w:tabs>
              <w:spacing w:before="0" w:beforeAutospacing="0" w:after="0" w:afterAutospacing="0"/>
              <w:ind w:left="-78" w:right="-74" w:leftChars="-37" w:rightChars="-35"/>
              <w:jc w:val="left"/>
              <w:rPr>
                <w:rFonts w:asciiTheme="minorEastAsia" w:eastAsiaTheme="minorEastAsia" w:hAnsiTheme="minorEastAsia" w:cs="宋体" w:hint="default"/>
                <w:color w:val="auto"/>
                <w:sz w:val="24"/>
                <w:highlight w:val="none"/>
              </w:rPr>
            </w:pPr>
            <w:r>
              <w:rPr>
                <w:rFonts w:asciiTheme="minorEastAsia" w:eastAsiaTheme="minorEastAsia" w:hAnsiTheme="minorEastAsia" w:cs="宋体" w:hint="default"/>
                <w:color w:val="auto"/>
                <w:sz w:val="24"/>
                <w:highlight w:val="none"/>
              </w:rPr>
              <w:t>投标人须针对本项目需求提供售后服务方案，包括下述内容：</w:t>
            </w:r>
          </w:p>
          <w:p>
            <w:pPr>
              <w:keepNext w:val="0"/>
              <w:keepLines w:val="0"/>
              <w:suppressLineNumbers w:val="0"/>
              <w:tabs>
                <w:tab w:val="left" w:pos="1774"/>
              </w:tabs>
              <w:spacing w:before="0" w:beforeAutospacing="0" w:after="0" w:afterAutospacing="0"/>
              <w:ind w:left="-78" w:right="-74" w:leftChars="-37" w:rightChars="-35"/>
              <w:jc w:val="left"/>
              <w:rPr>
                <w:rFonts w:asciiTheme="minorEastAsia" w:eastAsiaTheme="minorEastAsia" w:hAnsiTheme="minorEastAsia" w:cs="宋体" w:hint="default"/>
                <w:color w:val="auto"/>
                <w:sz w:val="24"/>
                <w:highlight w:val="none"/>
              </w:rPr>
            </w:pPr>
            <w:r>
              <w:rPr>
                <w:rFonts w:asciiTheme="minorEastAsia" w:eastAsiaTheme="minorEastAsia" w:hAnsiTheme="minorEastAsia" w:cs="宋体" w:hint="default"/>
                <w:color w:val="auto"/>
                <w:sz w:val="24"/>
                <w:highlight w:val="none"/>
              </w:rPr>
              <w:t>1. 保修期；</w:t>
            </w:r>
          </w:p>
          <w:p>
            <w:pPr>
              <w:keepNext w:val="0"/>
              <w:keepLines w:val="0"/>
              <w:suppressLineNumbers w:val="0"/>
              <w:tabs>
                <w:tab w:val="left" w:pos="1774"/>
              </w:tabs>
              <w:spacing w:before="0" w:beforeAutospacing="0" w:after="0" w:afterAutospacing="0"/>
              <w:ind w:left="-78" w:right="-74" w:leftChars="-37" w:rightChars="-35"/>
              <w:jc w:val="left"/>
              <w:rPr>
                <w:rFonts w:asciiTheme="minorEastAsia" w:eastAsiaTheme="minorEastAsia" w:hAnsiTheme="minorEastAsia" w:cs="宋体" w:hint="default"/>
                <w:color w:val="auto"/>
                <w:sz w:val="24"/>
                <w:highlight w:val="none"/>
              </w:rPr>
            </w:pPr>
            <w:r>
              <w:rPr>
                <w:rFonts w:asciiTheme="minorEastAsia" w:eastAsiaTheme="minorEastAsia" w:hAnsiTheme="minorEastAsia" w:cs="宋体" w:hint="default"/>
                <w:color w:val="auto"/>
                <w:sz w:val="24"/>
                <w:highlight w:val="none"/>
              </w:rPr>
              <w:t>2. 交货计划；</w:t>
            </w:r>
          </w:p>
          <w:p>
            <w:pPr>
              <w:keepNext w:val="0"/>
              <w:keepLines w:val="0"/>
              <w:suppressLineNumbers w:val="0"/>
              <w:tabs>
                <w:tab w:val="left" w:pos="1774"/>
              </w:tabs>
              <w:spacing w:before="0" w:beforeAutospacing="0" w:after="0" w:afterAutospacing="0"/>
              <w:ind w:left="-78" w:right="-74" w:leftChars="-37" w:rightChars="-35"/>
              <w:jc w:val="left"/>
              <w:rPr>
                <w:rFonts w:asciiTheme="minorEastAsia" w:eastAsiaTheme="minorEastAsia" w:hAnsiTheme="minorEastAsia" w:cs="宋体" w:hint="default"/>
                <w:color w:val="auto"/>
                <w:sz w:val="24"/>
                <w:highlight w:val="none"/>
              </w:rPr>
            </w:pPr>
            <w:r>
              <w:rPr>
                <w:rFonts w:asciiTheme="minorEastAsia" w:eastAsiaTheme="minorEastAsia" w:hAnsiTheme="minorEastAsia" w:cs="宋体" w:hint="default"/>
                <w:color w:val="auto"/>
                <w:sz w:val="24"/>
                <w:highlight w:val="none"/>
              </w:rPr>
              <w:t>3. 应急维修时间安排；</w:t>
            </w:r>
          </w:p>
          <w:p>
            <w:pPr>
              <w:keepNext w:val="0"/>
              <w:keepLines w:val="0"/>
              <w:suppressLineNumbers w:val="0"/>
              <w:tabs>
                <w:tab w:val="left" w:pos="1774"/>
              </w:tabs>
              <w:spacing w:before="0" w:beforeAutospacing="0" w:after="0" w:afterAutospacing="0"/>
              <w:ind w:left="-78" w:right="-74" w:leftChars="-37" w:rightChars="-35"/>
              <w:jc w:val="left"/>
              <w:rPr>
                <w:rFonts w:asciiTheme="minorEastAsia" w:eastAsiaTheme="minorEastAsia" w:hAnsiTheme="minorEastAsia" w:cs="宋体" w:hint="default"/>
                <w:color w:val="auto"/>
                <w:sz w:val="24"/>
                <w:highlight w:val="none"/>
              </w:rPr>
            </w:pPr>
            <w:r>
              <w:rPr>
                <w:rFonts w:asciiTheme="minorEastAsia" w:eastAsiaTheme="minorEastAsia" w:hAnsiTheme="minorEastAsia" w:cs="宋体" w:hint="default"/>
                <w:color w:val="auto"/>
                <w:sz w:val="24"/>
                <w:highlight w:val="none"/>
              </w:rPr>
              <w:t>4. 质保期外的维修服务收费标准；</w:t>
            </w:r>
          </w:p>
          <w:p>
            <w:pPr>
              <w:keepNext w:val="0"/>
              <w:keepLines w:val="0"/>
              <w:suppressLineNumbers w:val="0"/>
              <w:tabs>
                <w:tab w:val="left" w:pos="1774"/>
              </w:tabs>
              <w:spacing w:before="0" w:beforeAutospacing="0" w:after="0" w:afterAutospacing="0"/>
              <w:ind w:left="-78" w:right="-74" w:leftChars="-37" w:rightChars="-35"/>
              <w:jc w:val="left"/>
              <w:rPr>
                <w:rFonts w:asciiTheme="minorEastAsia" w:eastAsiaTheme="minorEastAsia" w:hAnsiTheme="minorEastAsia" w:cs="宋体" w:hint="default"/>
                <w:color w:val="auto"/>
                <w:sz w:val="24"/>
                <w:highlight w:val="none"/>
              </w:rPr>
            </w:pPr>
            <w:r>
              <w:rPr>
                <w:rFonts w:asciiTheme="minorEastAsia" w:eastAsiaTheme="minorEastAsia" w:hAnsiTheme="minorEastAsia" w:cs="宋体" w:hint="default"/>
                <w:color w:val="auto"/>
                <w:sz w:val="24"/>
                <w:highlight w:val="none"/>
              </w:rPr>
              <w:t>5. 其它服务承诺。</w:t>
            </w:r>
          </w:p>
          <w:p>
            <w:pPr>
              <w:keepNext w:val="0"/>
              <w:keepLines w:val="0"/>
              <w:suppressLineNumbers w:val="0"/>
              <w:tabs>
                <w:tab w:val="left" w:pos="1774"/>
              </w:tabs>
              <w:spacing w:before="0" w:beforeAutospacing="0" w:after="0" w:afterAutospacing="0"/>
              <w:ind w:left="-78" w:right="-74" w:leftChars="-37" w:rightChars="-35"/>
              <w:jc w:val="left"/>
              <w:rPr>
                <w:rFonts w:asciiTheme="minorEastAsia" w:eastAsiaTheme="minorEastAsia" w:hAnsiTheme="minorEastAsia" w:cs="宋体" w:hint="default"/>
                <w:color w:val="auto"/>
                <w:sz w:val="24"/>
                <w:highlight w:val="none"/>
              </w:rPr>
            </w:pPr>
            <w:r>
              <w:rPr>
                <w:rFonts w:asciiTheme="minorEastAsia" w:eastAsiaTheme="minorEastAsia" w:hAnsiTheme="minorEastAsia" w:cs="宋体" w:hint="default"/>
                <w:color w:val="auto"/>
                <w:sz w:val="24"/>
                <w:highlight w:val="none"/>
              </w:rPr>
              <w:t>满足以上5项要求得50分，满足以上4项要求得40分，满足以上3项要求得30分，其他不得分。</w:t>
            </w:r>
          </w:p>
          <w:p>
            <w:pPr>
              <w:keepNext w:val="0"/>
              <w:keepLines w:val="0"/>
              <w:suppressLineNumbers w:val="0"/>
              <w:tabs>
                <w:tab w:val="left" w:pos="1774"/>
              </w:tabs>
              <w:spacing w:before="0" w:beforeAutospacing="0" w:after="0" w:afterAutospacing="0"/>
              <w:ind w:left="-78" w:right="-74" w:leftChars="-37" w:rightChars="-35"/>
              <w:jc w:val="left"/>
              <w:rPr>
                <w:rFonts w:asciiTheme="minorEastAsia" w:eastAsiaTheme="minorEastAsia" w:hAnsiTheme="minorEastAsia" w:cs="宋体" w:hint="default"/>
                <w:color w:val="auto"/>
                <w:sz w:val="24"/>
                <w:highlight w:val="none"/>
              </w:rPr>
            </w:pPr>
            <w:r>
              <w:rPr>
                <w:rFonts w:asciiTheme="minorEastAsia" w:eastAsiaTheme="minorEastAsia" w:hAnsiTheme="minorEastAsia" w:cs="宋体" w:hint="default"/>
                <w:color w:val="auto"/>
                <w:sz w:val="24"/>
                <w:highlight w:val="none"/>
              </w:rPr>
              <w:t>在满足上述所有内容的基础上，按照下列要求进行加分：</w:t>
            </w:r>
          </w:p>
          <w:p>
            <w:pPr>
              <w:keepNext w:val="0"/>
              <w:keepLines w:val="0"/>
              <w:suppressLineNumbers w:val="0"/>
              <w:tabs>
                <w:tab w:val="left" w:pos="1774"/>
              </w:tabs>
              <w:spacing w:before="0" w:beforeAutospacing="0" w:after="0" w:afterAutospacing="0"/>
              <w:ind w:left="-78" w:right="-74" w:leftChars="-37" w:rightChars="-35"/>
              <w:jc w:val="left"/>
              <w:rPr>
                <w:rFonts w:asciiTheme="minorEastAsia" w:eastAsiaTheme="minorEastAsia" w:hAnsiTheme="minorEastAsia" w:cs="宋体" w:hint="default"/>
                <w:color w:val="auto"/>
                <w:sz w:val="24"/>
                <w:highlight w:val="none"/>
              </w:rPr>
            </w:pPr>
            <w:r>
              <w:rPr>
                <w:rFonts w:asciiTheme="minorEastAsia" w:eastAsiaTheme="minorEastAsia" w:hAnsiTheme="minorEastAsia" w:cs="宋体" w:hint="default"/>
                <w:color w:val="auto"/>
                <w:sz w:val="24"/>
                <w:highlight w:val="none"/>
              </w:rPr>
              <w:t>1.有具体的培训课件、培训讲师等安排；</w:t>
            </w:r>
          </w:p>
          <w:p>
            <w:pPr>
              <w:keepNext w:val="0"/>
              <w:keepLines w:val="0"/>
              <w:suppressLineNumbers w:val="0"/>
              <w:tabs>
                <w:tab w:val="left" w:pos="1774"/>
              </w:tabs>
              <w:spacing w:before="0" w:beforeAutospacing="0" w:after="0" w:afterAutospacing="0"/>
              <w:ind w:left="-78" w:right="-74" w:leftChars="-37" w:rightChars="-35"/>
              <w:jc w:val="left"/>
              <w:rPr>
                <w:rFonts w:asciiTheme="minorEastAsia" w:eastAsiaTheme="minorEastAsia" w:hAnsiTheme="minorEastAsia" w:cs="宋体" w:hint="default"/>
                <w:color w:val="auto"/>
                <w:sz w:val="24"/>
                <w:highlight w:val="none"/>
              </w:rPr>
            </w:pPr>
            <w:r>
              <w:rPr>
                <w:rFonts w:asciiTheme="minorEastAsia" w:eastAsiaTheme="minorEastAsia" w:hAnsiTheme="minorEastAsia" w:cs="宋体" w:hint="default"/>
                <w:color w:val="auto"/>
                <w:sz w:val="24"/>
                <w:highlight w:val="none"/>
              </w:rPr>
              <w:t>2.有服务热线、专业的维修人员等内容；</w:t>
            </w:r>
          </w:p>
          <w:p>
            <w:pPr>
              <w:keepNext w:val="0"/>
              <w:keepLines w:val="0"/>
              <w:suppressLineNumbers w:val="0"/>
              <w:tabs>
                <w:tab w:val="left" w:pos="1774"/>
              </w:tabs>
              <w:spacing w:before="0" w:beforeAutospacing="0" w:after="0" w:afterAutospacing="0"/>
              <w:ind w:left="-78" w:right="-74" w:leftChars="-37" w:rightChars="-35"/>
              <w:jc w:val="left"/>
              <w:rPr>
                <w:rFonts w:asciiTheme="minorEastAsia" w:eastAsiaTheme="minorEastAsia" w:hAnsiTheme="minorEastAsia" w:cs="宋体" w:hint="default"/>
                <w:color w:val="auto"/>
                <w:sz w:val="24"/>
                <w:highlight w:val="none"/>
              </w:rPr>
            </w:pPr>
            <w:r>
              <w:rPr>
                <w:rFonts w:asciiTheme="minorEastAsia" w:eastAsiaTheme="minorEastAsia" w:hAnsiTheme="minorEastAsia" w:cs="宋体" w:hint="default"/>
                <w:color w:val="auto"/>
                <w:sz w:val="24"/>
                <w:highlight w:val="none"/>
              </w:rPr>
              <w:t>3.有量化的响应时间、固定对接人员等内容。</w:t>
            </w:r>
          </w:p>
          <w:p>
            <w:pPr>
              <w:keepNext w:val="0"/>
              <w:keepLines w:val="0"/>
              <w:suppressLineNumbers w:val="0"/>
              <w:tabs>
                <w:tab w:val="left" w:pos="1774"/>
              </w:tabs>
              <w:spacing w:before="0" w:beforeAutospacing="0" w:after="0" w:afterAutospacing="0"/>
              <w:ind w:left="-78" w:right="-74" w:leftChars="-37" w:rightChars="-35"/>
              <w:jc w:val="left"/>
              <w:rPr>
                <w:rFonts w:asciiTheme="minorEastAsia" w:eastAsiaTheme="minorEastAsia" w:hAnsiTheme="minorEastAsia" w:cs="宋体" w:hint="default"/>
                <w:color w:val="auto"/>
                <w:sz w:val="24"/>
                <w:highlight w:val="none"/>
              </w:rPr>
            </w:pPr>
            <w:r>
              <w:rPr>
                <w:rFonts w:asciiTheme="minorEastAsia" w:eastAsiaTheme="minorEastAsia" w:hAnsiTheme="minorEastAsia" w:cs="宋体" w:hint="default"/>
                <w:color w:val="auto"/>
                <w:sz w:val="24"/>
                <w:highlight w:val="none"/>
              </w:rPr>
              <w:t>每体现一点内容加16.7分，最多加50分。</w:t>
            </w:r>
          </w:p>
        </w:tc>
        <w:tc>
          <w:tcPr>
            <w:tcW w:w="685" w:type="dxa"/>
            <w:tcBorders>
              <w:right w:val="single" w:sz="4" w:space="0" w:color="auto"/>
            </w:tcBorders>
            <w:vAlign w:val="center"/>
          </w:tcPr>
          <w:p>
            <w:pPr>
              <w:keepNext w:val="0"/>
              <w:keepLines w:val="0"/>
              <w:suppressLineNumbers w:val="0"/>
              <w:spacing w:before="0" w:beforeAutospacing="0" w:after="0" w:afterAutospacing="0"/>
              <w:ind w:left="-78" w:right="-74" w:leftChars="-37" w:rightChars="-35"/>
              <w:jc w:val="center"/>
              <w:rPr>
                <w:rFonts w:asciiTheme="minorEastAsia" w:eastAsiaTheme="minorEastAsia" w:hAnsiTheme="minorEastAsia" w:cs="宋体" w:hint="eastAsia"/>
                <w:color w:val="auto"/>
                <w:sz w:val="24"/>
                <w:highlight w:val="none"/>
                <w:lang w:val="en-US" w:eastAsia="zh-CN"/>
              </w:rPr>
            </w:pPr>
            <w:r>
              <w:rPr>
                <w:rFonts w:asciiTheme="minorEastAsia" w:eastAsiaTheme="minorEastAsia" w:hAnsiTheme="minorEastAsia" w:cs="宋体" w:hint="eastAsia"/>
                <w:color w:val="auto"/>
                <w:sz w:val="24"/>
                <w:highlight w:val="none"/>
                <w:lang w:val="en-US" w:eastAsia="zh-CN"/>
              </w:rPr>
              <w:t>8</w:t>
            </w:r>
          </w:p>
        </w:tc>
        <w:tc>
          <w:tcPr>
            <w:tcW w:w="792" w:type="dxa"/>
            <w:tcBorders>
              <w:left w:val="single" w:sz="4" w:space="0" w:color="auto"/>
            </w:tcBorders>
            <w:vAlign w:val="center"/>
          </w:tcPr>
          <w:p>
            <w:pPr>
              <w:keepNext w:val="0"/>
              <w:keepLines w:val="0"/>
              <w:suppressLineNumbers w:val="0"/>
              <w:spacing w:before="0" w:beforeAutospacing="0" w:after="0" w:afterAutospacing="0"/>
              <w:ind w:left="-78" w:right="-74" w:leftChars="-37" w:rightChars="-35"/>
              <w:jc w:val="center"/>
              <w:rPr>
                <w:rFonts w:asciiTheme="minorEastAsia" w:eastAsiaTheme="minorEastAsia" w:hAnsiTheme="minorEastAsia" w:cs="宋体" w:hint="eastAsia"/>
                <w:color w:val="auto"/>
                <w:sz w:val="24"/>
                <w:highlight w:val="none"/>
                <w:lang w:val="en-US" w:eastAsia="zh-CN"/>
              </w:rPr>
            </w:pPr>
            <w:r>
              <w:rPr>
                <w:rFonts w:asciiTheme="minorEastAsia" w:eastAsiaTheme="minorEastAsia" w:hAnsiTheme="minorEastAsia" w:cs="宋体" w:hint="eastAsia"/>
                <w:color w:val="auto"/>
                <w:sz w:val="24"/>
                <w:highlight w:val="none"/>
                <w:lang w:val="en-US" w:eastAsia="zh-CN"/>
              </w:rPr>
              <w:t>8</w:t>
            </w:r>
          </w:p>
        </w:tc>
      </w:tr>
      <w:tr>
        <w:tblPrEx>
          <w:tblW w:w="9242" w:type="dxa"/>
          <w:tblInd w:w="93" w:type="dxa"/>
          <w:tblLayout w:type="fixed"/>
          <w:tblCellMar>
            <w:top w:w="0" w:type="dxa"/>
            <w:left w:w="108" w:type="dxa"/>
            <w:bottom w:w="0" w:type="dxa"/>
            <w:right w:w="108" w:type="dxa"/>
          </w:tblCellMar>
        </w:tblPrEx>
        <w:trPr>
          <w:trHeight w:val="387"/>
        </w:trPr>
        <w:tc>
          <w:tcPr>
            <w:tcW w:w="680" w:type="dxa"/>
            <w:tcBorders>
              <w:top w:val="single" w:sz="4" w:space="0" w:color="auto"/>
            </w:tcBorders>
            <w:vAlign w:val="center"/>
          </w:tcPr>
          <w:p>
            <w:pPr>
              <w:keepNext w:val="0"/>
              <w:keepLines w:val="0"/>
              <w:suppressLineNumbers w:val="0"/>
              <w:spacing w:before="0" w:beforeAutospacing="0" w:after="0" w:afterAutospacing="0"/>
              <w:ind w:left="-78" w:right="-74" w:leftChars="-37" w:rightChars="-35"/>
              <w:jc w:val="center"/>
              <w:rPr>
                <w:rFonts w:asciiTheme="minorEastAsia" w:eastAsiaTheme="minorEastAsia" w:hAnsiTheme="minorEastAsia" w:cs="宋体" w:hint="default"/>
                <w:b/>
                <w:color w:val="auto"/>
                <w:sz w:val="24"/>
              </w:rPr>
            </w:pPr>
            <w:r>
              <w:rPr>
                <w:rFonts w:asciiTheme="minorEastAsia" w:eastAsiaTheme="minorEastAsia" w:hAnsiTheme="minorEastAsia" w:cs="宋体" w:hint="eastAsia"/>
                <w:b/>
                <w:color w:val="auto"/>
                <w:sz w:val="24"/>
              </w:rPr>
              <w:t>二</w:t>
            </w:r>
          </w:p>
        </w:tc>
        <w:tc>
          <w:tcPr>
            <w:tcW w:w="8562" w:type="dxa"/>
            <w:gridSpan w:val="4"/>
            <w:vAlign w:val="center"/>
          </w:tcPr>
          <w:p>
            <w:pPr>
              <w:keepNext w:val="0"/>
              <w:keepLines w:val="0"/>
              <w:suppressLineNumbers w:val="0"/>
              <w:spacing w:before="0" w:beforeAutospacing="0" w:after="0" w:afterAutospacing="0"/>
              <w:ind w:left="-78" w:right="-74" w:leftChars="-37" w:rightChars="-35"/>
              <w:jc w:val="center"/>
              <w:rPr>
                <w:rFonts w:asciiTheme="minorEastAsia" w:eastAsiaTheme="minorEastAsia" w:hAnsiTheme="minorEastAsia" w:cs="宋体" w:hint="default"/>
                <w:b/>
                <w:color w:val="auto"/>
                <w:sz w:val="24"/>
              </w:rPr>
            </w:pPr>
            <w:r>
              <w:rPr>
                <w:rFonts w:asciiTheme="minorEastAsia" w:eastAsiaTheme="minorEastAsia" w:hAnsiTheme="minorEastAsia" w:cs="宋体" w:hint="eastAsia"/>
                <w:b/>
                <w:color w:val="auto"/>
                <w:sz w:val="24"/>
              </w:rPr>
              <w:t>商务部分</w:t>
            </w:r>
            <w:r>
              <w:rPr>
                <w:rFonts w:asciiTheme="minorEastAsia" w:eastAsiaTheme="minorEastAsia" w:hAnsiTheme="minorEastAsia" w:hint="eastAsia"/>
                <w:b/>
                <w:color w:val="auto"/>
                <w:sz w:val="24"/>
              </w:rPr>
              <w:t>（</w:t>
            </w:r>
            <w:r>
              <w:rPr>
                <w:rFonts w:ascii="宋体" w:hAnsi="宋体" w:hint="eastAsia"/>
                <w:b/>
                <w:color w:val="auto"/>
                <w:sz w:val="24"/>
              </w:rPr>
              <w:t>合计</w:t>
            </w:r>
            <w:r>
              <w:rPr>
                <w:rFonts w:ascii="宋体" w:hAnsi="宋体" w:hint="eastAsia"/>
                <w:b/>
                <w:color w:val="auto"/>
                <w:sz w:val="24"/>
                <w:lang w:val="en-US" w:eastAsia="zh-CN"/>
              </w:rPr>
              <w:t>16</w:t>
            </w:r>
            <w:r>
              <w:rPr>
                <w:rFonts w:ascii="宋体" w:hAnsi="宋体" w:hint="eastAsia"/>
                <w:b/>
                <w:color w:val="auto"/>
                <w:sz w:val="24"/>
              </w:rPr>
              <w:t>分</w:t>
            </w:r>
            <w:r>
              <w:rPr>
                <w:rFonts w:asciiTheme="minorEastAsia" w:eastAsiaTheme="minorEastAsia" w:hAnsiTheme="minorEastAsia" w:hint="eastAsia"/>
                <w:b/>
                <w:color w:val="auto"/>
                <w:sz w:val="24"/>
              </w:rPr>
              <w:t>）</w:t>
            </w:r>
          </w:p>
        </w:tc>
      </w:tr>
      <w:tr>
        <w:tblPrEx>
          <w:tblW w:w="9242" w:type="dxa"/>
          <w:tblInd w:w="93" w:type="dxa"/>
          <w:tblLayout w:type="fixed"/>
          <w:tblCellMar>
            <w:top w:w="0" w:type="dxa"/>
            <w:left w:w="108" w:type="dxa"/>
            <w:bottom w:w="0" w:type="dxa"/>
            <w:right w:w="108" w:type="dxa"/>
          </w:tblCellMar>
        </w:tblPrEx>
        <w:trPr>
          <w:trHeight w:val="883"/>
        </w:trPr>
        <w:tc>
          <w:tcPr>
            <w:tcW w:w="680" w:type="dxa"/>
            <w:tcBorders>
              <w:bottom w:val="single" w:sz="4" w:space="0" w:color="auto"/>
            </w:tcBorders>
            <w:vAlign w:val="center"/>
          </w:tcPr>
          <w:p>
            <w:pPr>
              <w:pStyle w:val="1"/>
              <w:keepNext w:val="0"/>
              <w:keepLines w:val="0"/>
              <w:numPr>
                <w:ilvl w:val="0"/>
                <w:numId w:val="12"/>
              </w:numPr>
              <w:suppressLineNumbers w:val="0"/>
              <w:spacing w:before="0" w:beforeAutospacing="0" w:after="0" w:afterAutospacing="0"/>
              <w:ind w:right="0" w:firstLineChars="0"/>
              <w:jc w:val="right"/>
              <w:rPr>
                <w:rFonts w:asciiTheme="minorEastAsia" w:eastAsiaTheme="minorEastAsia" w:hAnsiTheme="minorEastAsia" w:hint="default"/>
                <w:color w:val="auto"/>
                <w:sz w:val="24"/>
                <w:highlight w:val="none"/>
              </w:rPr>
            </w:pPr>
          </w:p>
        </w:tc>
        <w:tc>
          <w:tcPr>
            <w:tcW w:w="1355" w:type="dxa"/>
            <w:vAlign w:val="center"/>
          </w:tcPr>
          <w:p>
            <w:pPr>
              <w:keepNext w:val="0"/>
              <w:keepLines w:val="0"/>
              <w:suppressLineNumbers w:val="0"/>
              <w:spacing w:before="0" w:beforeAutospacing="0" w:after="0" w:afterAutospacing="0"/>
              <w:ind w:left="-63" w:right="-88" w:leftChars="-30" w:rightChars="-42"/>
              <w:jc w:val="center"/>
              <w:rPr>
                <w:rFonts w:asciiTheme="minorEastAsia" w:eastAsiaTheme="minorEastAsia" w:hAnsiTheme="minorEastAsia" w:cs="宋体" w:hint="default"/>
                <w:color w:val="auto"/>
                <w:sz w:val="24"/>
                <w:highlight w:val="none"/>
              </w:rPr>
            </w:pPr>
            <w:r>
              <w:rPr>
                <w:rFonts w:asciiTheme="minorEastAsia" w:eastAsiaTheme="minorEastAsia" w:hAnsiTheme="minorEastAsia" w:cs="宋体" w:hint="default"/>
                <w:color w:val="auto"/>
                <w:sz w:val="24"/>
                <w:highlight w:val="none"/>
              </w:rPr>
              <w:t>免费保修期内售后服务条款偏离情况</w:t>
            </w:r>
          </w:p>
        </w:tc>
        <w:tc>
          <w:tcPr>
            <w:tcW w:w="5730" w:type="dxa"/>
            <w:vAlign w:val="center"/>
          </w:tcPr>
          <w:p>
            <w:pPr>
              <w:keepNext w:val="0"/>
              <w:keepLines w:val="0"/>
              <w:suppressLineNumbers w:val="0"/>
              <w:spacing w:before="0" w:beforeAutospacing="0" w:after="0" w:afterAutospacing="0"/>
              <w:ind w:left="-63" w:right="-88" w:leftChars="-30" w:rightChars="-42"/>
              <w:jc w:val="left"/>
              <w:rPr>
                <w:rFonts w:asciiTheme="minorEastAsia" w:eastAsiaTheme="minorEastAsia" w:hAnsiTheme="minorEastAsia" w:hint="default"/>
                <w:color w:val="auto"/>
                <w:sz w:val="24"/>
                <w:highlight w:val="none"/>
              </w:rPr>
            </w:pPr>
            <w:r>
              <w:rPr>
                <w:rFonts w:asciiTheme="minorEastAsia" w:eastAsiaTheme="minorEastAsia" w:hAnsiTheme="minorEastAsia" w:hint="default"/>
                <w:color w:val="auto"/>
                <w:sz w:val="24"/>
                <w:highlight w:val="none"/>
              </w:rPr>
              <w:t>投标人应如实填写《商务要求偏离表（免费保修期内售后服务要求）》，评审委员会根据</w:t>
            </w:r>
            <w:r>
              <w:rPr>
                <w:rFonts w:asciiTheme="minorEastAsia" w:eastAsiaTheme="minorEastAsia" w:hAnsiTheme="minorEastAsia" w:hint="default"/>
                <w:color w:val="auto"/>
                <w:sz w:val="24"/>
                <w:highlight w:val="none"/>
                <w:lang w:val="en-US" w:eastAsia="zh-CN"/>
              </w:rPr>
              <w:t>招标文件第</w:t>
            </w:r>
            <w:r>
              <w:rPr>
                <w:rFonts w:asciiTheme="minorEastAsia" w:eastAsiaTheme="minorEastAsia" w:hAnsiTheme="minorEastAsia" w:hint="eastAsia"/>
                <w:color w:val="auto"/>
                <w:sz w:val="24"/>
                <w:highlight w:val="none"/>
                <w:lang w:val="en-US" w:eastAsia="zh-CN"/>
              </w:rPr>
              <w:t>二</w:t>
            </w:r>
            <w:r>
              <w:rPr>
                <w:rFonts w:asciiTheme="minorEastAsia" w:eastAsiaTheme="minorEastAsia" w:hAnsiTheme="minorEastAsia" w:hint="default"/>
                <w:color w:val="auto"/>
                <w:sz w:val="24"/>
                <w:highlight w:val="none"/>
                <w:lang w:val="en-US" w:eastAsia="zh-CN"/>
              </w:rPr>
              <w:t>章 用户需求书</w:t>
            </w:r>
            <w:r>
              <w:rPr>
                <w:rFonts w:asciiTheme="minorEastAsia" w:eastAsiaTheme="minorEastAsia" w:hAnsiTheme="minorEastAsia" w:hint="eastAsia"/>
                <w:color w:val="auto"/>
                <w:sz w:val="24"/>
                <w:highlight w:val="none"/>
                <w:lang w:val="en-US" w:eastAsia="zh-CN"/>
              </w:rPr>
              <w:t>四</w:t>
            </w:r>
            <w:r>
              <w:rPr>
                <w:rFonts w:asciiTheme="minorEastAsia" w:eastAsiaTheme="minorEastAsia" w:hAnsiTheme="minorEastAsia" w:hint="default"/>
                <w:color w:val="auto"/>
                <w:sz w:val="24"/>
                <w:highlight w:val="none"/>
                <w:lang w:val="en-US" w:eastAsia="zh-CN"/>
              </w:rPr>
              <w:t>、商务要求（一）免费保修期内售后服务要求</w:t>
            </w:r>
            <w:r>
              <w:rPr>
                <w:rFonts w:asciiTheme="minorEastAsia" w:eastAsiaTheme="minorEastAsia" w:hAnsiTheme="minorEastAsia" w:hint="default"/>
                <w:color w:val="auto"/>
                <w:sz w:val="24"/>
                <w:highlight w:val="none"/>
              </w:rPr>
              <w:t>响应情况进行打分，全部满足要求的得100分，每负偏离一项扣50分，负偏离达</w:t>
            </w:r>
            <w:r>
              <w:rPr>
                <w:rFonts w:asciiTheme="minorEastAsia" w:eastAsiaTheme="minorEastAsia" w:hAnsiTheme="minorEastAsia" w:hint="eastAsia"/>
                <w:color w:val="auto"/>
                <w:sz w:val="24"/>
                <w:highlight w:val="none"/>
                <w:lang w:val="en-US" w:eastAsia="zh-CN"/>
              </w:rPr>
              <w:t>2</w:t>
            </w:r>
            <w:r>
              <w:rPr>
                <w:rFonts w:asciiTheme="minorEastAsia" w:eastAsiaTheme="minorEastAsia" w:hAnsiTheme="minorEastAsia" w:hint="default"/>
                <w:color w:val="auto"/>
                <w:sz w:val="24"/>
                <w:highlight w:val="none"/>
              </w:rPr>
              <w:t>项本项不得分。</w:t>
            </w:r>
          </w:p>
        </w:tc>
        <w:tc>
          <w:tcPr>
            <w:tcW w:w="685" w:type="dxa"/>
            <w:tcBorders>
              <w:right w:val="single" w:sz="4" w:space="0" w:color="auto"/>
            </w:tcBorders>
            <w:vAlign w:val="center"/>
          </w:tcPr>
          <w:p>
            <w:pPr>
              <w:keepNext w:val="0"/>
              <w:keepLines w:val="0"/>
              <w:suppressLineNumbers w:val="0"/>
              <w:spacing w:before="0" w:beforeAutospacing="0" w:after="0" w:afterAutospacing="0"/>
              <w:ind w:left="-63" w:right="-88" w:leftChars="-30" w:rightChars="-42"/>
              <w:jc w:val="center"/>
              <w:rPr>
                <w:rFonts w:asciiTheme="minorEastAsia" w:eastAsiaTheme="minorEastAsia" w:hAnsiTheme="minorEastAsia" w:hint="eastAsia"/>
                <w:color w:val="auto"/>
                <w:sz w:val="24"/>
                <w:highlight w:val="none"/>
                <w:lang w:eastAsia="zh-CN"/>
              </w:rPr>
            </w:pPr>
            <w:r>
              <w:rPr>
                <w:rFonts w:asciiTheme="minorEastAsia" w:eastAsiaTheme="minorEastAsia" w:hAnsiTheme="minorEastAsia" w:cs="宋体" w:hint="eastAsia"/>
                <w:color w:val="auto"/>
                <w:sz w:val="24"/>
                <w:highlight w:val="none"/>
                <w:lang w:val="en-US" w:eastAsia="zh-CN"/>
              </w:rPr>
              <w:t>3</w:t>
            </w:r>
          </w:p>
        </w:tc>
        <w:tc>
          <w:tcPr>
            <w:tcW w:w="792" w:type="dxa"/>
            <w:tcBorders>
              <w:left w:val="single" w:sz="4" w:space="0" w:color="auto"/>
            </w:tcBorders>
            <w:vAlign w:val="center"/>
          </w:tcPr>
          <w:p>
            <w:pPr>
              <w:keepNext w:val="0"/>
              <w:keepLines w:val="0"/>
              <w:suppressLineNumbers w:val="0"/>
              <w:spacing w:before="0" w:beforeAutospacing="0" w:after="0" w:afterAutospacing="0"/>
              <w:ind w:left="-78" w:right="-74" w:leftChars="-37" w:rightChars="-35"/>
              <w:jc w:val="center"/>
              <w:rPr>
                <w:rFonts w:asciiTheme="minorEastAsia" w:eastAsiaTheme="minorEastAsia" w:hAnsiTheme="minorEastAsia" w:cs="宋体" w:hint="eastAsia"/>
                <w:color w:val="auto"/>
                <w:sz w:val="24"/>
                <w:highlight w:val="none"/>
                <w:lang w:eastAsia="zh-CN"/>
              </w:rPr>
            </w:pPr>
            <w:r>
              <w:rPr>
                <w:rFonts w:asciiTheme="minorEastAsia" w:eastAsiaTheme="minorEastAsia" w:hAnsiTheme="minorEastAsia" w:hint="eastAsia"/>
                <w:color w:val="auto"/>
                <w:sz w:val="24"/>
                <w:highlight w:val="none"/>
                <w:lang w:val="en-US" w:eastAsia="zh-CN"/>
              </w:rPr>
              <w:t>3</w:t>
            </w:r>
          </w:p>
        </w:tc>
      </w:tr>
      <w:tr>
        <w:tblPrEx>
          <w:tblW w:w="9242" w:type="dxa"/>
          <w:tblInd w:w="93" w:type="dxa"/>
          <w:tblLayout w:type="fixed"/>
          <w:tblCellMar>
            <w:top w:w="0" w:type="dxa"/>
            <w:left w:w="108" w:type="dxa"/>
            <w:bottom w:w="0" w:type="dxa"/>
            <w:right w:w="108" w:type="dxa"/>
          </w:tblCellMar>
        </w:tblPrEx>
        <w:trPr>
          <w:trHeight w:val="883"/>
        </w:trPr>
        <w:tc>
          <w:tcPr>
            <w:tcW w:w="680" w:type="dxa"/>
            <w:tcBorders>
              <w:top w:val="single" w:sz="4" w:space="0" w:color="auto"/>
              <w:bottom w:val="single" w:sz="4" w:space="0" w:color="auto"/>
            </w:tcBorders>
            <w:vAlign w:val="center"/>
          </w:tcPr>
          <w:p>
            <w:pPr>
              <w:pStyle w:val="1"/>
              <w:keepNext w:val="0"/>
              <w:keepLines w:val="0"/>
              <w:numPr>
                <w:ilvl w:val="0"/>
                <w:numId w:val="12"/>
              </w:numPr>
              <w:suppressLineNumbers w:val="0"/>
              <w:spacing w:before="0" w:beforeAutospacing="0" w:after="0" w:afterAutospacing="0"/>
              <w:ind w:right="0" w:firstLineChars="0"/>
              <w:jc w:val="right"/>
              <w:rPr>
                <w:rFonts w:asciiTheme="minorEastAsia" w:eastAsiaTheme="minorEastAsia" w:hAnsiTheme="minorEastAsia" w:hint="default"/>
                <w:color w:val="auto"/>
                <w:sz w:val="24"/>
                <w:highlight w:val="none"/>
              </w:rPr>
            </w:pPr>
          </w:p>
        </w:tc>
        <w:tc>
          <w:tcPr>
            <w:tcW w:w="1355"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color w:val="auto"/>
                <w:sz w:val="24"/>
                <w:highlight w:val="none"/>
              </w:rPr>
            </w:pPr>
            <w:r>
              <w:rPr>
                <w:rFonts w:asciiTheme="minorEastAsia" w:eastAsiaTheme="minorEastAsia" w:hAnsiTheme="minorEastAsia" w:hint="default"/>
                <w:color w:val="auto"/>
                <w:sz w:val="24"/>
                <w:highlight w:val="none"/>
              </w:rPr>
              <w:t>免费保修期外售后服务条款偏离情况</w:t>
            </w:r>
          </w:p>
        </w:tc>
        <w:tc>
          <w:tcPr>
            <w:tcW w:w="5730" w:type="dxa"/>
            <w:vAlign w:val="center"/>
          </w:tcPr>
          <w:p>
            <w:pPr>
              <w:keepNext w:val="0"/>
              <w:keepLines w:val="0"/>
              <w:suppressLineNumbers w:val="0"/>
              <w:spacing w:before="0" w:beforeAutospacing="0" w:after="0" w:afterAutospacing="0"/>
              <w:ind w:left="-78" w:right="-74" w:leftChars="-37" w:rightChars="-35"/>
              <w:jc w:val="left"/>
              <w:rPr>
                <w:rFonts w:asciiTheme="minorEastAsia" w:eastAsiaTheme="minorEastAsia" w:hAnsiTheme="minorEastAsia" w:cs="宋体" w:hint="default"/>
                <w:color w:val="auto"/>
                <w:sz w:val="24"/>
                <w:highlight w:val="none"/>
              </w:rPr>
            </w:pPr>
            <w:r>
              <w:rPr>
                <w:rFonts w:asciiTheme="minorEastAsia" w:eastAsiaTheme="minorEastAsia" w:hAnsiTheme="minorEastAsia" w:cs="宋体" w:hint="default"/>
                <w:color w:val="auto"/>
                <w:sz w:val="24"/>
                <w:highlight w:val="none"/>
              </w:rPr>
              <w:t>投标人应如实填写《商务要求偏离表（免费保修期外售后服务要求）》，评审委员会根据招标文件第</w:t>
            </w:r>
            <w:r>
              <w:rPr>
                <w:rFonts w:asciiTheme="minorEastAsia" w:eastAsiaTheme="minorEastAsia" w:hAnsiTheme="minorEastAsia" w:cs="宋体" w:hint="eastAsia"/>
                <w:color w:val="auto"/>
                <w:sz w:val="24"/>
                <w:highlight w:val="none"/>
                <w:lang w:val="en-US" w:eastAsia="zh-CN"/>
              </w:rPr>
              <w:t>二</w:t>
            </w:r>
            <w:r>
              <w:rPr>
                <w:rFonts w:asciiTheme="minorEastAsia" w:eastAsiaTheme="minorEastAsia" w:hAnsiTheme="minorEastAsia" w:cs="宋体" w:hint="default"/>
                <w:color w:val="auto"/>
                <w:sz w:val="24"/>
                <w:highlight w:val="none"/>
              </w:rPr>
              <w:t>章 用户需求书</w:t>
            </w:r>
            <w:r>
              <w:rPr>
                <w:rFonts w:asciiTheme="minorEastAsia" w:eastAsiaTheme="minorEastAsia" w:hAnsiTheme="minorEastAsia" w:cs="宋体" w:hint="eastAsia"/>
                <w:color w:val="auto"/>
                <w:sz w:val="24"/>
                <w:highlight w:val="none"/>
                <w:lang w:val="en-US" w:eastAsia="zh-CN"/>
              </w:rPr>
              <w:t>四</w:t>
            </w:r>
            <w:r>
              <w:rPr>
                <w:rFonts w:asciiTheme="minorEastAsia" w:eastAsiaTheme="minorEastAsia" w:hAnsiTheme="minorEastAsia" w:cs="宋体" w:hint="default"/>
                <w:color w:val="auto"/>
                <w:sz w:val="24"/>
                <w:highlight w:val="none"/>
              </w:rPr>
              <w:t>、商务要求（二）免费保修期外售后服务要求响应情况进行打分，全部满足要求的得100分，每负偏离一项扣34分</w:t>
            </w:r>
            <w:r>
              <w:rPr>
                <w:rFonts w:asciiTheme="minorEastAsia" w:eastAsiaTheme="minorEastAsia" w:hAnsiTheme="minorEastAsia" w:hint="default"/>
                <w:color w:val="auto"/>
                <w:sz w:val="24"/>
                <w:highlight w:val="none"/>
              </w:rPr>
              <w:t>，负偏离达</w:t>
            </w:r>
            <w:r>
              <w:rPr>
                <w:rFonts w:asciiTheme="minorEastAsia" w:eastAsiaTheme="minorEastAsia" w:hAnsiTheme="minorEastAsia" w:hint="eastAsia"/>
                <w:color w:val="auto"/>
                <w:sz w:val="24"/>
                <w:highlight w:val="none"/>
                <w:lang w:val="en-US" w:eastAsia="zh-CN"/>
              </w:rPr>
              <w:t>3</w:t>
            </w:r>
            <w:r>
              <w:rPr>
                <w:rFonts w:asciiTheme="minorEastAsia" w:eastAsiaTheme="minorEastAsia" w:hAnsiTheme="minorEastAsia" w:hint="default"/>
                <w:color w:val="auto"/>
                <w:sz w:val="24"/>
                <w:highlight w:val="none"/>
              </w:rPr>
              <w:t>项本项不得分</w:t>
            </w:r>
            <w:r>
              <w:rPr>
                <w:rFonts w:asciiTheme="minorEastAsia" w:eastAsiaTheme="minorEastAsia" w:hAnsiTheme="minorEastAsia" w:cs="宋体" w:hint="default"/>
                <w:color w:val="auto"/>
                <w:sz w:val="24"/>
                <w:highlight w:val="none"/>
              </w:rPr>
              <w:t>。</w:t>
            </w:r>
          </w:p>
        </w:tc>
        <w:tc>
          <w:tcPr>
            <w:tcW w:w="685" w:type="dxa"/>
            <w:tcBorders>
              <w:right w:val="single" w:sz="4" w:space="0" w:color="auto"/>
            </w:tcBorders>
            <w:vAlign w:val="center"/>
          </w:tcPr>
          <w:p>
            <w:pPr>
              <w:keepNext w:val="0"/>
              <w:keepLines w:val="0"/>
              <w:suppressLineNumbers w:val="0"/>
              <w:spacing w:before="0" w:beforeAutospacing="0" w:after="0" w:afterAutospacing="0"/>
              <w:ind w:left="-63" w:right="-88" w:leftChars="-30" w:rightChars="-42"/>
              <w:jc w:val="center"/>
              <w:rPr>
                <w:rFonts w:asciiTheme="minorEastAsia" w:eastAsiaTheme="minorEastAsia" w:hAnsiTheme="minorEastAsia" w:hint="eastAsia"/>
                <w:color w:val="auto"/>
                <w:sz w:val="24"/>
                <w:highlight w:val="none"/>
                <w:lang w:eastAsia="zh-CN"/>
              </w:rPr>
            </w:pPr>
            <w:r>
              <w:rPr>
                <w:rFonts w:asciiTheme="minorEastAsia" w:eastAsiaTheme="minorEastAsia" w:hAnsiTheme="minorEastAsia" w:cs="宋体" w:hint="eastAsia"/>
                <w:color w:val="auto"/>
                <w:sz w:val="24"/>
                <w:highlight w:val="none"/>
                <w:lang w:val="en-US" w:eastAsia="zh-CN"/>
              </w:rPr>
              <w:t>3</w:t>
            </w:r>
          </w:p>
        </w:tc>
        <w:tc>
          <w:tcPr>
            <w:tcW w:w="792" w:type="dxa"/>
            <w:tcBorders>
              <w:left w:val="single" w:sz="4" w:space="0" w:color="auto"/>
            </w:tcBorders>
            <w:vAlign w:val="center"/>
          </w:tcPr>
          <w:p>
            <w:pPr>
              <w:keepNext w:val="0"/>
              <w:keepLines w:val="0"/>
              <w:suppressLineNumbers w:val="0"/>
              <w:spacing w:before="0" w:beforeAutospacing="0" w:after="0" w:afterAutospacing="0"/>
              <w:ind w:left="-78" w:right="-74" w:leftChars="-37" w:rightChars="-35"/>
              <w:jc w:val="center"/>
              <w:rPr>
                <w:rFonts w:asciiTheme="minorEastAsia" w:eastAsiaTheme="minorEastAsia" w:hAnsiTheme="minorEastAsia" w:cs="宋体" w:hint="eastAsia"/>
                <w:color w:val="auto"/>
                <w:sz w:val="24"/>
                <w:highlight w:val="none"/>
                <w:lang w:eastAsia="zh-CN"/>
              </w:rPr>
            </w:pPr>
            <w:r>
              <w:rPr>
                <w:rFonts w:asciiTheme="minorEastAsia" w:eastAsiaTheme="minorEastAsia" w:hAnsiTheme="minorEastAsia" w:hint="eastAsia"/>
                <w:color w:val="auto"/>
                <w:sz w:val="24"/>
                <w:highlight w:val="none"/>
                <w:lang w:val="en-US" w:eastAsia="zh-CN"/>
              </w:rPr>
              <w:t>3</w:t>
            </w:r>
          </w:p>
        </w:tc>
      </w:tr>
      <w:tr>
        <w:tblPrEx>
          <w:tblW w:w="9242" w:type="dxa"/>
          <w:tblInd w:w="93" w:type="dxa"/>
          <w:tblLayout w:type="fixed"/>
          <w:tblCellMar>
            <w:top w:w="0" w:type="dxa"/>
            <w:left w:w="108" w:type="dxa"/>
            <w:bottom w:w="0" w:type="dxa"/>
            <w:right w:w="108" w:type="dxa"/>
          </w:tblCellMar>
        </w:tblPrEx>
        <w:trPr>
          <w:trHeight w:val="883"/>
        </w:trPr>
        <w:tc>
          <w:tcPr>
            <w:tcW w:w="680" w:type="dxa"/>
            <w:tcBorders>
              <w:top w:val="single" w:sz="4" w:space="0" w:color="auto"/>
              <w:bottom w:val="single" w:sz="4" w:space="0" w:color="auto"/>
            </w:tcBorders>
            <w:vAlign w:val="center"/>
          </w:tcPr>
          <w:p>
            <w:pPr>
              <w:pStyle w:val="1"/>
              <w:keepNext w:val="0"/>
              <w:keepLines w:val="0"/>
              <w:numPr>
                <w:ilvl w:val="0"/>
                <w:numId w:val="12"/>
              </w:numPr>
              <w:suppressLineNumbers w:val="0"/>
              <w:spacing w:before="0" w:beforeAutospacing="0" w:after="0" w:afterAutospacing="0"/>
              <w:ind w:right="0" w:firstLineChars="0"/>
              <w:jc w:val="right"/>
              <w:rPr>
                <w:rFonts w:asciiTheme="minorEastAsia" w:eastAsiaTheme="minorEastAsia" w:hAnsiTheme="minorEastAsia" w:hint="default"/>
                <w:color w:val="auto"/>
                <w:sz w:val="24"/>
                <w:highlight w:val="none"/>
              </w:rPr>
            </w:pPr>
          </w:p>
        </w:tc>
        <w:tc>
          <w:tcPr>
            <w:tcW w:w="1355"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color w:val="auto"/>
                <w:sz w:val="24"/>
                <w:highlight w:val="none"/>
              </w:rPr>
            </w:pPr>
            <w:r>
              <w:rPr>
                <w:rFonts w:asciiTheme="minorEastAsia" w:eastAsiaTheme="minorEastAsia" w:hAnsiTheme="minorEastAsia" w:hint="default"/>
                <w:color w:val="auto"/>
                <w:sz w:val="24"/>
                <w:highlight w:val="none"/>
              </w:rPr>
              <w:t>其他商务条款偏离情况</w:t>
            </w:r>
          </w:p>
        </w:tc>
        <w:tc>
          <w:tcPr>
            <w:tcW w:w="5730" w:type="dxa"/>
            <w:vAlign w:val="center"/>
          </w:tcPr>
          <w:p>
            <w:pPr>
              <w:keepNext w:val="0"/>
              <w:keepLines w:val="0"/>
              <w:suppressLineNumbers w:val="0"/>
              <w:spacing w:before="0" w:beforeAutospacing="0" w:after="0" w:afterAutospacing="0"/>
              <w:ind w:left="-78" w:right="-74" w:leftChars="-37" w:rightChars="-35"/>
              <w:jc w:val="left"/>
              <w:rPr>
                <w:rFonts w:asciiTheme="minorEastAsia" w:eastAsiaTheme="minorEastAsia" w:hAnsiTheme="minorEastAsia" w:cs="宋体" w:hint="default"/>
                <w:color w:val="auto"/>
                <w:sz w:val="24"/>
                <w:highlight w:val="none"/>
              </w:rPr>
            </w:pPr>
            <w:r>
              <w:rPr>
                <w:rFonts w:asciiTheme="minorEastAsia" w:eastAsiaTheme="minorEastAsia" w:hAnsiTheme="minorEastAsia" w:cs="宋体" w:hint="default"/>
                <w:color w:val="auto"/>
                <w:sz w:val="24"/>
                <w:highlight w:val="none"/>
              </w:rPr>
              <w:t>投标人应如实填写《商务要求偏离表（其他商务要求）》，评审委员会根据招标文件第</w:t>
            </w:r>
            <w:r>
              <w:rPr>
                <w:rFonts w:asciiTheme="minorEastAsia" w:eastAsiaTheme="minorEastAsia" w:hAnsiTheme="minorEastAsia" w:cs="宋体" w:hint="eastAsia"/>
                <w:color w:val="auto"/>
                <w:sz w:val="24"/>
                <w:highlight w:val="none"/>
                <w:lang w:val="en-US" w:eastAsia="zh-CN"/>
              </w:rPr>
              <w:t>二</w:t>
            </w:r>
            <w:r>
              <w:rPr>
                <w:rFonts w:asciiTheme="minorEastAsia" w:eastAsiaTheme="minorEastAsia" w:hAnsiTheme="minorEastAsia" w:cs="宋体" w:hint="default"/>
                <w:color w:val="auto"/>
                <w:sz w:val="24"/>
                <w:highlight w:val="none"/>
              </w:rPr>
              <w:t>章 用户需求书</w:t>
            </w:r>
            <w:r>
              <w:rPr>
                <w:rFonts w:asciiTheme="minorEastAsia" w:eastAsiaTheme="minorEastAsia" w:hAnsiTheme="minorEastAsia" w:cs="宋体" w:hint="eastAsia"/>
                <w:color w:val="auto"/>
                <w:sz w:val="24"/>
                <w:highlight w:val="none"/>
                <w:lang w:val="en-US" w:eastAsia="zh-CN"/>
              </w:rPr>
              <w:t>四</w:t>
            </w:r>
            <w:r>
              <w:rPr>
                <w:rFonts w:asciiTheme="minorEastAsia" w:eastAsiaTheme="minorEastAsia" w:hAnsiTheme="minorEastAsia" w:cs="宋体" w:hint="default"/>
                <w:color w:val="auto"/>
                <w:sz w:val="24"/>
                <w:highlight w:val="none"/>
              </w:rPr>
              <w:t>、商务要求（</w:t>
            </w:r>
            <w:r>
              <w:rPr>
                <w:rFonts w:asciiTheme="minorEastAsia" w:eastAsiaTheme="minorEastAsia" w:hAnsiTheme="minorEastAsia" w:cs="宋体" w:hint="eastAsia"/>
                <w:color w:val="auto"/>
                <w:sz w:val="24"/>
                <w:highlight w:val="none"/>
                <w:lang w:val="en-US" w:eastAsia="zh-CN"/>
              </w:rPr>
              <w:t>三</w:t>
            </w:r>
            <w:r>
              <w:rPr>
                <w:rFonts w:asciiTheme="minorEastAsia" w:eastAsiaTheme="minorEastAsia" w:hAnsiTheme="minorEastAsia" w:cs="宋体" w:hint="default"/>
                <w:color w:val="auto"/>
                <w:sz w:val="24"/>
                <w:highlight w:val="none"/>
              </w:rPr>
              <w:t>）其他商务要求响应情况进行打分，全部满足要求的得100分，每负偏离一项扣20分</w:t>
            </w:r>
            <w:r>
              <w:rPr>
                <w:rFonts w:asciiTheme="minorEastAsia" w:eastAsiaTheme="minorEastAsia" w:hAnsiTheme="minorEastAsia" w:hint="default"/>
                <w:color w:val="auto"/>
                <w:sz w:val="24"/>
                <w:highlight w:val="none"/>
              </w:rPr>
              <w:t>，负偏离达</w:t>
            </w:r>
            <w:r>
              <w:rPr>
                <w:rFonts w:asciiTheme="minorEastAsia" w:eastAsiaTheme="minorEastAsia" w:hAnsiTheme="minorEastAsia" w:hint="eastAsia"/>
                <w:color w:val="auto"/>
                <w:sz w:val="24"/>
                <w:highlight w:val="none"/>
                <w:lang w:val="en-US" w:eastAsia="zh-CN"/>
              </w:rPr>
              <w:t>5</w:t>
            </w:r>
            <w:r>
              <w:rPr>
                <w:rFonts w:asciiTheme="minorEastAsia" w:eastAsiaTheme="minorEastAsia" w:hAnsiTheme="minorEastAsia" w:hint="default"/>
                <w:color w:val="auto"/>
                <w:sz w:val="24"/>
                <w:highlight w:val="none"/>
              </w:rPr>
              <w:t>项本项不得分</w:t>
            </w:r>
            <w:r>
              <w:rPr>
                <w:rFonts w:asciiTheme="minorEastAsia" w:eastAsiaTheme="minorEastAsia" w:hAnsiTheme="minorEastAsia" w:cs="宋体" w:hint="default"/>
                <w:color w:val="auto"/>
                <w:sz w:val="24"/>
                <w:highlight w:val="none"/>
              </w:rPr>
              <w:t>。</w:t>
            </w:r>
          </w:p>
        </w:tc>
        <w:tc>
          <w:tcPr>
            <w:tcW w:w="685" w:type="dxa"/>
            <w:tcBorders>
              <w:right w:val="single" w:sz="4" w:space="0" w:color="auto"/>
            </w:tcBorders>
            <w:vAlign w:val="center"/>
          </w:tcPr>
          <w:p>
            <w:pPr>
              <w:keepNext w:val="0"/>
              <w:keepLines w:val="0"/>
              <w:suppressLineNumbers w:val="0"/>
              <w:spacing w:before="0" w:beforeAutospacing="0" w:after="0" w:afterAutospacing="0"/>
              <w:ind w:left="-63" w:right="-88" w:leftChars="-30" w:rightChars="-42"/>
              <w:jc w:val="center"/>
              <w:rPr>
                <w:rFonts w:asciiTheme="minorEastAsia" w:eastAsiaTheme="minorEastAsia" w:hAnsiTheme="minorEastAsia" w:cs="宋体" w:hint="eastAsia"/>
                <w:color w:val="auto"/>
                <w:sz w:val="24"/>
                <w:highlight w:val="none"/>
                <w:lang w:val="en-US" w:eastAsia="zh-CN"/>
              </w:rPr>
            </w:pPr>
            <w:r>
              <w:rPr>
                <w:rFonts w:asciiTheme="minorEastAsia" w:eastAsiaTheme="minorEastAsia" w:hAnsiTheme="minorEastAsia" w:cs="宋体" w:hint="eastAsia"/>
                <w:color w:val="auto"/>
                <w:sz w:val="24"/>
                <w:highlight w:val="none"/>
                <w:lang w:val="en-US" w:eastAsia="zh-CN"/>
              </w:rPr>
              <w:t>2</w:t>
            </w:r>
          </w:p>
        </w:tc>
        <w:tc>
          <w:tcPr>
            <w:tcW w:w="792" w:type="dxa"/>
            <w:tcBorders>
              <w:left w:val="single" w:sz="4" w:space="0" w:color="auto"/>
            </w:tcBorders>
            <w:vAlign w:val="center"/>
          </w:tcPr>
          <w:p>
            <w:pPr>
              <w:keepNext w:val="0"/>
              <w:keepLines w:val="0"/>
              <w:suppressLineNumbers w:val="0"/>
              <w:spacing w:before="0" w:beforeAutospacing="0" w:after="0" w:afterAutospacing="0"/>
              <w:ind w:left="-78" w:right="-74" w:leftChars="-37" w:rightChars="-35"/>
              <w:jc w:val="center"/>
              <w:rPr>
                <w:rFonts w:asciiTheme="minorEastAsia" w:eastAsiaTheme="minorEastAsia" w:hAnsiTheme="minorEastAsia" w:hint="eastAsia"/>
                <w:color w:val="auto"/>
                <w:sz w:val="24"/>
                <w:highlight w:val="none"/>
                <w:lang w:val="en-US" w:eastAsia="zh-CN"/>
              </w:rPr>
            </w:pPr>
            <w:r>
              <w:rPr>
                <w:rFonts w:asciiTheme="minorEastAsia" w:eastAsiaTheme="minorEastAsia" w:hAnsiTheme="minorEastAsia" w:hint="eastAsia"/>
                <w:color w:val="auto"/>
                <w:sz w:val="24"/>
                <w:highlight w:val="none"/>
                <w:lang w:val="en-US" w:eastAsia="zh-CN"/>
              </w:rPr>
              <w:t>2</w:t>
            </w:r>
          </w:p>
        </w:tc>
      </w:tr>
      <w:tr>
        <w:tblPrEx>
          <w:tblW w:w="9242" w:type="dxa"/>
          <w:tblInd w:w="93" w:type="dxa"/>
          <w:tblLayout w:type="fixed"/>
          <w:tblCellMar>
            <w:top w:w="0" w:type="dxa"/>
            <w:left w:w="108" w:type="dxa"/>
            <w:bottom w:w="0" w:type="dxa"/>
            <w:right w:w="108" w:type="dxa"/>
          </w:tblCellMar>
        </w:tblPrEx>
        <w:trPr>
          <w:trHeight w:val="883"/>
        </w:trPr>
        <w:tc>
          <w:tcPr>
            <w:tcW w:w="680" w:type="dxa"/>
            <w:tcBorders>
              <w:top w:val="single" w:sz="4" w:space="0" w:color="auto"/>
            </w:tcBorders>
            <w:vAlign w:val="center"/>
          </w:tcPr>
          <w:p>
            <w:pPr>
              <w:pStyle w:val="1"/>
              <w:keepNext w:val="0"/>
              <w:keepLines w:val="0"/>
              <w:numPr>
                <w:ilvl w:val="0"/>
                <w:numId w:val="12"/>
              </w:numPr>
              <w:suppressLineNumbers w:val="0"/>
              <w:spacing w:before="0" w:beforeAutospacing="0" w:after="0" w:afterAutospacing="0"/>
              <w:ind w:right="0" w:firstLineChars="0"/>
              <w:jc w:val="right"/>
              <w:rPr>
                <w:rFonts w:asciiTheme="minorEastAsia" w:eastAsiaTheme="minorEastAsia" w:hAnsiTheme="minorEastAsia" w:hint="default"/>
                <w:color w:val="auto"/>
                <w:sz w:val="24"/>
                <w:highlight w:val="none"/>
              </w:rPr>
            </w:pPr>
          </w:p>
        </w:tc>
        <w:tc>
          <w:tcPr>
            <w:tcW w:w="1355"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color w:val="auto"/>
                <w:sz w:val="24"/>
                <w:highlight w:val="none"/>
              </w:rPr>
            </w:pPr>
            <w:r>
              <w:rPr>
                <w:rFonts w:asciiTheme="minorEastAsia" w:eastAsiaTheme="minorEastAsia" w:hAnsiTheme="minorEastAsia" w:hint="default"/>
                <w:color w:val="auto"/>
                <w:sz w:val="24"/>
                <w:highlight w:val="none"/>
              </w:rPr>
              <w:t>投标人近三年同类业绩（以合同签订时间为准，截止日为本项目投标截止日）</w:t>
            </w:r>
          </w:p>
        </w:tc>
        <w:tc>
          <w:tcPr>
            <w:tcW w:w="5730" w:type="dxa"/>
            <w:vAlign w:val="center"/>
          </w:tcPr>
          <w:p>
            <w:pPr>
              <w:keepNext w:val="0"/>
              <w:keepLines w:val="0"/>
              <w:suppressLineNumbers w:val="0"/>
              <w:spacing w:before="0" w:beforeAutospacing="0" w:after="0" w:afterAutospacing="0"/>
              <w:ind w:left="0" w:right="-74" w:rightChars="-35"/>
              <w:jc w:val="left"/>
              <w:rPr>
                <w:rFonts w:asciiTheme="minorEastAsia" w:eastAsiaTheme="minorEastAsia" w:hAnsiTheme="minorEastAsia" w:hint="default"/>
                <w:color w:val="auto"/>
                <w:sz w:val="24"/>
                <w:highlight w:val="none"/>
              </w:rPr>
            </w:pPr>
            <w:r>
              <w:rPr>
                <w:rFonts w:asciiTheme="minorEastAsia" w:eastAsiaTheme="minorEastAsia" w:hAnsiTheme="minorEastAsia" w:hint="default"/>
                <w:color w:val="auto"/>
                <w:sz w:val="24"/>
                <w:highlight w:val="none"/>
              </w:rPr>
              <w:t>提供3个路由器</w:t>
            </w:r>
            <w:r>
              <w:rPr>
                <w:rFonts w:asciiTheme="minorEastAsia" w:eastAsiaTheme="minorEastAsia" w:hAnsiTheme="minorEastAsia" w:hint="eastAsia"/>
                <w:color w:val="auto"/>
                <w:sz w:val="24"/>
                <w:highlight w:val="none"/>
                <w:lang w:val="en-US" w:eastAsia="zh-CN"/>
              </w:rPr>
              <w:t>相关</w:t>
            </w:r>
            <w:r>
              <w:rPr>
                <w:rFonts w:asciiTheme="minorEastAsia" w:eastAsiaTheme="minorEastAsia" w:hAnsiTheme="minorEastAsia" w:hint="default"/>
                <w:color w:val="auto"/>
                <w:sz w:val="24"/>
                <w:highlight w:val="none"/>
              </w:rPr>
              <w:t>业绩即得满分，提供2个得70分，提供1个得40分，未提供的不得分。投标人必须在投标文件中提供每一个项目的合同（均加盖合同甲方公章或业务章）扫描件，原件备查，否则不得分。</w:t>
            </w:r>
          </w:p>
        </w:tc>
        <w:tc>
          <w:tcPr>
            <w:tcW w:w="685" w:type="dxa"/>
            <w:tcBorders>
              <w:right w:val="single" w:sz="4" w:space="0" w:color="auto"/>
            </w:tcBorders>
            <w:vAlign w:val="center"/>
          </w:tcPr>
          <w:p>
            <w:pPr>
              <w:keepNext w:val="0"/>
              <w:keepLines w:val="0"/>
              <w:suppressLineNumbers w:val="0"/>
              <w:spacing w:before="0" w:beforeAutospacing="0" w:after="0" w:afterAutospacing="0"/>
              <w:ind w:left="-78" w:right="-74" w:leftChars="-37" w:rightChars="-35"/>
              <w:jc w:val="center"/>
              <w:rPr>
                <w:rFonts w:asciiTheme="minorEastAsia" w:eastAsiaTheme="minorEastAsia" w:hAnsiTheme="minorEastAsia" w:hint="eastAsia"/>
                <w:color w:val="auto"/>
                <w:sz w:val="24"/>
                <w:highlight w:val="none"/>
                <w:lang w:val="en-US" w:eastAsia="zh-CN"/>
              </w:rPr>
            </w:pPr>
            <w:r>
              <w:rPr>
                <w:rFonts w:asciiTheme="minorEastAsia" w:eastAsiaTheme="minorEastAsia" w:hAnsiTheme="minorEastAsia" w:hint="eastAsia"/>
                <w:color w:val="auto"/>
                <w:sz w:val="24"/>
                <w:highlight w:val="none"/>
                <w:lang w:val="en-US" w:eastAsia="zh-CN"/>
              </w:rPr>
              <w:t>3</w:t>
            </w:r>
          </w:p>
        </w:tc>
        <w:tc>
          <w:tcPr>
            <w:tcW w:w="792" w:type="dxa"/>
            <w:tcBorders>
              <w:left w:val="single" w:sz="4" w:space="0" w:color="auto"/>
            </w:tcBorders>
            <w:vAlign w:val="center"/>
          </w:tcPr>
          <w:p>
            <w:pPr>
              <w:keepNext w:val="0"/>
              <w:keepLines w:val="0"/>
              <w:suppressLineNumbers w:val="0"/>
              <w:spacing w:before="0" w:beforeAutospacing="0" w:after="0" w:afterAutospacing="0"/>
              <w:ind w:left="-78" w:right="-74" w:leftChars="-37" w:rightChars="-35"/>
              <w:jc w:val="center"/>
              <w:rPr>
                <w:rFonts w:asciiTheme="minorEastAsia" w:eastAsiaTheme="minorEastAsia" w:hAnsiTheme="minorEastAsia" w:cs="宋体" w:hint="eastAsia"/>
                <w:color w:val="auto"/>
                <w:sz w:val="24"/>
                <w:highlight w:val="none"/>
                <w:lang w:val="en-US" w:eastAsia="zh-CN"/>
              </w:rPr>
            </w:pPr>
            <w:r>
              <w:rPr>
                <w:rFonts w:asciiTheme="minorEastAsia" w:eastAsiaTheme="minorEastAsia" w:hAnsiTheme="minorEastAsia" w:cs="宋体" w:hint="eastAsia"/>
                <w:color w:val="auto"/>
                <w:sz w:val="24"/>
                <w:highlight w:val="none"/>
                <w:lang w:val="en-US" w:eastAsia="zh-CN"/>
              </w:rPr>
              <w:t>3</w:t>
            </w:r>
          </w:p>
        </w:tc>
      </w:tr>
      <w:tr>
        <w:tblPrEx>
          <w:tblW w:w="9242" w:type="dxa"/>
          <w:tblInd w:w="93" w:type="dxa"/>
          <w:tblLayout w:type="fixed"/>
          <w:tblCellMar>
            <w:top w:w="0" w:type="dxa"/>
            <w:left w:w="108" w:type="dxa"/>
            <w:bottom w:w="0" w:type="dxa"/>
            <w:right w:w="108" w:type="dxa"/>
          </w:tblCellMar>
        </w:tblPrEx>
        <w:trPr>
          <w:trHeight w:val="883"/>
        </w:trPr>
        <w:tc>
          <w:tcPr>
            <w:tcW w:w="680" w:type="dxa"/>
            <w:tcBorders>
              <w:top w:val="single" w:sz="4" w:space="0" w:color="auto"/>
            </w:tcBorders>
            <w:vAlign w:val="center"/>
          </w:tcPr>
          <w:p>
            <w:pPr>
              <w:pStyle w:val="1"/>
              <w:keepNext w:val="0"/>
              <w:keepLines w:val="0"/>
              <w:numPr>
                <w:ilvl w:val="0"/>
                <w:numId w:val="12"/>
              </w:numPr>
              <w:suppressLineNumbers w:val="0"/>
              <w:spacing w:before="0" w:beforeAutospacing="0" w:after="0" w:afterAutospacing="0"/>
              <w:ind w:right="0" w:firstLineChars="0"/>
              <w:jc w:val="right"/>
              <w:rPr>
                <w:rFonts w:asciiTheme="minorEastAsia" w:eastAsiaTheme="minorEastAsia" w:hAnsiTheme="minorEastAsia" w:hint="default"/>
                <w:color w:val="auto"/>
                <w:sz w:val="24"/>
                <w:highlight w:val="none"/>
              </w:rPr>
            </w:pPr>
          </w:p>
        </w:tc>
        <w:tc>
          <w:tcPr>
            <w:tcW w:w="1355" w:type="dxa"/>
            <w:vAlign w:val="center"/>
          </w:tcPr>
          <w:p>
            <w:pPr>
              <w:keepNext w:val="0"/>
              <w:keepLines w:val="0"/>
              <w:suppressLineNumbers w:val="0"/>
              <w:spacing w:before="0" w:beforeAutospacing="0" w:after="0" w:afterAutospacing="0"/>
              <w:ind w:left="0" w:right="0"/>
              <w:jc w:val="center"/>
              <w:rPr>
                <w:rFonts w:asciiTheme="minorEastAsia" w:hAnsiTheme="minorEastAsia" w:hint="default"/>
                <w:color w:val="auto"/>
                <w:sz w:val="24"/>
                <w:highlight w:val="none"/>
              </w:rPr>
            </w:pPr>
            <w:r>
              <w:rPr>
                <w:rFonts w:asciiTheme="minorEastAsia" w:eastAsiaTheme="minorEastAsia" w:hAnsiTheme="minorEastAsia" w:cs="宋体" w:hint="eastAsia"/>
                <w:color w:val="auto"/>
                <w:sz w:val="24"/>
                <w:highlight w:val="none"/>
              </w:rPr>
              <w:t>诚信</w:t>
            </w:r>
          </w:p>
        </w:tc>
        <w:tc>
          <w:tcPr>
            <w:tcW w:w="5730" w:type="dxa"/>
            <w:vAlign w:val="center"/>
          </w:tcPr>
          <w:p>
            <w:pPr>
              <w:keepNext w:val="0"/>
              <w:keepLines w:val="0"/>
              <w:suppressLineNumbers w:val="0"/>
              <w:snapToGrid w:val="0"/>
              <w:spacing w:before="0" w:beforeAutospacing="0" w:after="0" w:afterAutospacing="0" w:line="288" w:lineRule="auto"/>
              <w:ind w:left="59" w:right="0" w:leftChars="28"/>
              <w:rPr>
                <w:rFonts w:asciiTheme="minorEastAsia" w:hAnsiTheme="minorEastAsia" w:hint="default"/>
                <w:b/>
                <w:color w:val="auto"/>
                <w:sz w:val="24"/>
                <w:highlight w:val="none"/>
              </w:rPr>
            </w:pPr>
            <w:r>
              <w:rPr>
                <w:rFonts w:asciiTheme="minorEastAsia" w:eastAsiaTheme="minorEastAsia" w:hAnsiTheme="minorEastAsia" w:cs="宋体" w:hint="default"/>
                <w:color w:val="auto"/>
                <w:sz w:val="24"/>
                <w:highlight w:val="none"/>
              </w:rPr>
              <w:t>投标人在参与政府采购活动中存在《深圳市财政局政府采购供应商信⽤信息管理办法》第⼗⼀条诚信相关问题且在主管部门相关处理措施实施期限内的，本项不得分，否则得满分。投标人无需提供任何证明材料，由工作人员查询后向评审委员会提供相关信息。</w:t>
            </w:r>
          </w:p>
        </w:tc>
        <w:tc>
          <w:tcPr>
            <w:tcW w:w="685" w:type="dxa"/>
            <w:tcBorders>
              <w:right w:val="single" w:sz="4" w:space="0" w:color="auto"/>
            </w:tcBorders>
            <w:vAlign w:val="center"/>
          </w:tcPr>
          <w:p>
            <w:pPr>
              <w:keepNext w:val="0"/>
              <w:keepLines w:val="0"/>
              <w:suppressLineNumbers w:val="0"/>
              <w:spacing w:before="0" w:beforeAutospacing="0" w:after="0" w:afterAutospacing="0"/>
              <w:ind w:left="-78" w:right="-74" w:leftChars="-37" w:rightChars="-35"/>
              <w:jc w:val="center"/>
              <w:rPr>
                <w:rFonts w:asciiTheme="minorEastAsia" w:eastAsiaTheme="minorEastAsia" w:hAnsiTheme="minorEastAsia" w:hint="default"/>
                <w:color w:val="auto"/>
                <w:sz w:val="24"/>
                <w:highlight w:val="none"/>
              </w:rPr>
            </w:pPr>
            <w:r>
              <w:rPr>
                <w:rFonts w:asciiTheme="minorEastAsia" w:eastAsiaTheme="minorEastAsia" w:hAnsiTheme="minorEastAsia" w:hint="eastAsia"/>
                <w:color w:val="auto"/>
                <w:sz w:val="24"/>
                <w:highlight w:val="none"/>
              </w:rPr>
              <w:t>5</w:t>
            </w:r>
          </w:p>
        </w:tc>
        <w:tc>
          <w:tcPr>
            <w:tcW w:w="792" w:type="dxa"/>
            <w:tcBorders>
              <w:left w:val="single" w:sz="4" w:space="0" w:color="auto"/>
            </w:tcBorders>
            <w:vAlign w:val="center"/>
          </w:tcPr>
          <w:p>
            <w:pPr>
              <w:keepNext w:val="0"/>
              <w:keepLines w:val="0"/>
              <w:suppressLineNumbers w:val="0"/>
              <w:spacing w:before="0" w:beforeAutospacing="0" w:after="0" w:afterAutospacing="0"/>
              <w:ind w:left="-78" w:right="-74" w:leftChars="-37" w:rightChars="-35"/>
              <w:jc w:val="center"/>
              <w:rPr>
                <w:rFonts w:asciiTheme="minorEastAsia" w:eastAsiaTheme="minorEastAsia" w:hAnsiTheme="minorEastAsia" w:cs="宋体" w:hint="default"/>
                <w:color w:val="auto"/>
                <w:sz w:val="24"/>
                <w:highlight w:val="none"/>
              </w:rPr>
            </w:pPr>
            <w:r>
              <w:rPr>
                <w:rFonts w:asciiTheme="minorEastAsia" w:eastAsiaTheme="minorEastAsia" w:hAnsiTheme="minorEastAsia" w:cs="宋体" w:hint="eastAsia"/>
                <w:color w:val="auto"/>
                <w:sz w:val="24"/>
                <w:highlight w:val="none"/>
              </w:rPr>
              <w:t>5</w:t>
            </w:r>
          </w:p>
        </w:tc>
      </w:tr>
      <w:tr>
        <w:tblPrEx>
          <w:tblW w:w="9242" w:type="dxa"/>
          <w:tblInd w:w="93" w:type="dxa"/>
          <w:tblLayout w:type="fixed"/>
          <w:tblCellMar>
            <w:top w:w="0" w:type="dxa"/>
            <w:left w:w="108" w:type="dxa"/>
            <w:bottom w:w="0" w:type="dxa"/>
            <w:right w:w="108" w:type="dxa"/>
          </w:tblCellMar>
        </w:tblPrEx>
        <w:trPr>
          <w:trHeight w:val="447"/>
        </w:trPr>
        <w:tc>
          <w:tcPr>
            <w:tcW w:w="680" w:type="dxa"/>
            <w:tcBorders>
              <w:top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b/>
                <w:color w:val="auto"/>
                <w:sz w:val="24"/>
              </w:rPr>
            </w:pPr>
            <w:r>
              <w:rPr>
                <w:rFonts w:asciiTheme="minorEastAsia" w:eastAsiaTheme="minorEastAsia" w:hAnsiTheme="minorEastAsia" w:hint="eastAsia"/>
                <w:b/>
                <w:color w:val="auto"/>
                <w:sz w:val="24"/>
              </w:rPr>
              <w:t>三</w:t>
            </w:r>
          </w:p>
        </w:tc>
        <w:tc>
          <w:tcPr>
            <w:tcW w:w="8562" w:type="dxa"/>
            <w:gridSpan w:val="4"/>
            <w:vAlign w:val="center"/>
          </w:tcPr>
          <w:p>
            <w:pPr>
              <w:keepNext w:val="0"/>
              <w:keepLines w:val="0"/>
              <w:suppressLineNumbers w:val="0"/>
              <w:spacing w:before="0" w:beforeAutospacing="0" w:after="0" w:afterAutospacing="0"/>
              <w:ind w:left="-78" w:right="-74" w:leftChars="-37" w:rightChars="-35"/>
              <w:jc w:val="center"/>
              <w:rPr>
                <w:rFonts w:asciiTheme="minorEastAsia" w:eastAsiaTheme="minorEastAsia" w:hAnsiTheme="minorEastAsia" w:cs="宋体" w:hint="default"/>
                <w:b/>
                <w:color w:val="auto"/>
                <w:sz w:val="24"/>
              </w:rPr>
            </w:pPr>
            <w:r>
              <w:rPr>
                <w:rFonts w:asciiTheme="minorEastAsia" w:eastAsiaTheme="minorEastAsia" w:hAnsiTheme="minorEastAsia" w:hint="eastAsia"/>
                <w:b/>
                <w:color w:val="auto"/>
                <w:sz w:val="24"/>
              </w:rPr>
              <w:t>价格部分（</w:t>
            </w:r>
            <w:r>
              <w:rPr>
                <w:rFonts w:ascii="宋体" w:hAnsi="宋体" w:hint="eastAsia"/>
                <w:b/>
                <w:color w:val="auto"/>
                <w:sz w:val="24"/>
              </w:rPr>
              <w:t>合计</w:t>
            </w:r>
            <w:r>
              <w:rPr>
                <w:rFonts w:ascii="宋体" w:hAnsi="宋体" w:hint="eastAsia"/>
                <w:b/>
                <w:color w:val="auto"/>
                <w:sz w:val="24"/>
                <w:lang w:val="en-US" w:eastAsia="zh-CN"/>
              </w:rPr>
              <w:t>30</w:t>
            </w:r>
            <w:r>
              <w:rPr>
                <w:rFonts w:ascii="宋体" w:hAnsi="宋体" w:hint="eastAsia"/>
                <w:b/>
                <w:color w:val="auto"/>
                <w:sz w:val="24"/>
              </w:rPr>
              <w:t>分</w:t>
            </w:r>
            <w:r>
              <w:rPr>
                <w:rFonts w:asciiTheme="minorEastAsia" w:eastAsiaTheme="minorEastAsia" w:hAnsiTheme="minorEastAsia" w:hint="eastAsia"/>
                <w:b/>
                <w:color w:val="auto"/>
                <w:sz w:val="24"/>
              </w:rPr>
              <w:t>）</w:t>
            </w:r>
          </w:p>
        </w:tc>
      </w:tr>
      <w:tr>
        <w:tblPrEx>
          <w:tblW w:w="9242" w:type="dxa"/>
          <w:tblInd w:w="93" w:type="dxa"/>
          <w:tblLayout w:type="fixed"/>
          <w:tblCellMar>
            <w:top w:w="0" w:type="dxa"/>
            <w:left w:w="108" w:type="dxa"/>
            <w:bottom w:w="0" w:type="dxa"/>
            <w:right w:w="108" w:type="dxa"/>
          </w:tblCellMar>
        </w:tblPrEx>
        <w:trPr>
          <w:trHeight w:val="831"/>
        </w:trPr>
        <w:tc>
          <w:tcPr>
            <w:tcW w:w="680" w:type="dxa"/>
            <w:vAlign w:val="center"/>
          </w:tcPr>
          <w:p>
            <w:pPr>
              <w:keepNext w:val="0"/>
              <w:keepLines w:val="0"/>
              <w:suppressLineNumbers w:val="0"/>
              <w:spacing w:before="0" w:beforeAutospacing="0" w:after="0" w:afterAutospacing="0"/>
              <w:ind w:left="0" w:right="0"/>
              <w:jc w:val="both"/>
              <w:rPr>
                <w:rFonts w:asciiTheme="minorEastAsia" w:eastAsiaTheme="minorEastAsia" w:hAnsiTheme="minorEastAsia" w:hint="eastAsia"/>
                <w:color w:val="auto"/>
                <w:sz w:val="24"/>
                <w:lang w:val="en-US" w:eastAsia="zh-CN"/>
              </w:rPr>
            </w:pPr>
            <w:r>
              <w:rPr>
                <w:rFonts w:asciiTheme="minorEastAsia" w:eastAsiaTheme="minorEastAsia" w:hAnsiTheme="minorEastAsia" w:hint="eastAsia"/>
                <w:color w:val="auto"/>
                <w:sz w:val="24"/>
              </w:rPr>
              <w:t>1</w:t>
            </w:r>
            <w:r>
              <w:rPr>
                <w:rFonts w:asciiTheme="minorEastAsia" w:eastAsiaTheme="minorEastAsia" w:hAnsiTheme="minorEastAsia" w:hint="eastAsia"/>
                <w:color w:val="auto"/>
                <w:sz w:val="24"/>
                <w:lang w:val="en-US" w:eastAsia="zh-CN"/>
              </w:rPr>
              <w:t>.</w:t>
            </w:r>
          </w:p>
        </w:tc>
        <w:tc>
          <w:tcPr>
            <w:tcW w:w="1355"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color w:val="auto"/>
                <w:sz w:val="24"/>
              </w:rPr>
            </w:pPr>
            <w:r>
              <w:rPr>
                <w:rFonts w:asciiTheme="minorEastAsia" w:eastAsiaTheme="minorEastAsia" w:hAnsiTheme="minorEastAsia" w:hint="eastAsia"/>
                <w:color w:val="auto"/>
                <w:sz w:val="24"/>
              </w:rPr>
              <w:t>投标报价</w:t>
            </w:r>
          </w:p>
        </w:tc>
        <w:tc>
          <w:tcPr>
            <w:tcW w:w="5730" w:type="dxa"/>
            <w:vAlign w:val="center"/>
          </w:tcPr>
          <w:p>
            <w:pPr>
              <w:keepNext w:val="0"/>
              <w:keepLines w:val="0"/>
              <w:suppressLineNumbers w:val="0"/>
              <w:autoSpaceDE w:val="0"/>
              <w:autoSpaceDN w:val="0"/>
              <w:adjustRightInd w:val="0"/>
              <w:snapToGrid w:val="0"/>
              <w:spacing w:before="0" w:beforeAutospacing="0" w:after="0" w:afterAutospacing="0"/>
              <w:ind w:left="0" w:right="0"/>
              <w:rPr>
                <w:rFonts w:asciiTheme="minorEastAsia" w:eastAsiaTheme="minorEastAsia" w:hAnsiTheme="minorEastAsia" w:cs="宋体" w:hint="default"/>
                <w:color w:val="auto"/>
                <w:kern w:val="0"/>
                <w:sz w:val="24"/>
              </w:rPr>
            </w:pPr>
            <w:r>
              <w:rPr>
                <w:rFonts w:asciiTheme="minorEastAsia" w:eastAsiaTheme="minorEastAsia" w:hAnsiTheme="minorEastAsia" w:cs="宋体" w:hint="default"/>
                <w:color w:val="auto"/>
                <w:kern w:val="0"/>
                <w:sz w:val="24"/>
              </w:rPr>
              <w:t>价格分</w:t>
            </w:r>
            <w:r>
              <w:rPr>
                <w:rFonts w:asciiTheme="minorEastAsia" w:eastAsiaTheme="minorEastAsia" w:hAnsiTheme="minorEastAsia" w:cs="宋体" w:hint="eastAsia"/>
                <w:color w:val="auto"/>
                <w:kern w:val="0"/>
                <w:sz w:val="24"/>
              </w:rPr>
              <w:t>应当采用低价优先法计算，即满足招标文件要求且投标价格最低的投标报价为评标基准价，其价格分为满分。其他投标人的价格分统一按照下列公式计算：</w:t>
            </w:r>
          </w:p>
          <w:p>
            <w:pPr>
              <w:keepNext w:val="0"/>
              <w:keepLines w:val="0"/>
              <w:widowControl/>
              <w:suppressLineNumbers w:val="0"/>
              <w:spacing w:before="0" w:beforeAutospacing="0" w:after="0" w:afterAutospacing="0"/>
              <w:ind w:left="0" w:right="0"/>
              <w:jc w:val="left"/>
              <w:rPr>
                <w:rFonts w:asciiTheme="minorEastAsia" w:eastAsiaTheme="minorEastAsia" w:hAnsiTheme="minorEastAsia" w:cs="宋体" w:hint="default"/>
                <w:color w:val="auto"/>
                <w:kern w:val="0"/>
                <w:sz w:val="24"/>
              </w:rPr>
            </w:pPr>
            <w:r>
              <w:rPr>
                <w:rFonts w:asciiTheme="minorEastAsia" w:eastAsiaTheme="minorEastAsia" w:hAnsiTheme="minorEastAsia" w:cs="宋体" w:hint="eastAsia"/>
                <w:color w:val="auto"/>
                <w:kern w:val="0"/>
                <w:sz w:val="24"/>
              </w:rPr>
              <w:t>投标报价得分=(评标基准价／投标报价)×100×权重</w:t>
            </w:r>
          </w:p>
          <w:p>
            <w:pPr>
              <w:keepNext w:val="0"/>
              <w:keepLines w:val="0"/>
              <w:widowControl/>
              <w:suppressLineNumbers w:val="0"/>
              <w:spacing w:before="0" w:beforeAutospacing="0" w:after="0" w:afterAutospacing="0"/>
              <w:ind w:left="0" w:right="0"/>
              <w:jc w:val="left"/>
              <w:rPr>
                <w:rFonts w:asciiTheme="minorEastAsia" w:eastAsiaTheme="minorEastAsia" w:hAnsiTheme="minorEastAsia" w:hint="default"/>
                <w:bCs/>
                <w:color w:val="auto"/>
                <w:sz w:val="24"/>
              </w:rPr>
            </w:pPr>
            <w:r>
              <w:rPr>
                <w:rFonts w:asciiTheme="minorEastAsia" w:eastAsiaTheme="minorEastAsia" w:hAnsiTheme="minorEastAsia" w:hint="eastAsia"/>
                <w:bCs/>
                <w:color w:val="auto"/>
                <w:sz w:val="24"/>
              </w:rPr>
              <w:t>备注：</w:t>
            </w:r>
          </w:p>
          <w:p>
            <w:pPr>
              <w:keepNext w:val="0"/>
              <w:keepLines w:val="0"/>
              <w:widowControl/>
              <w:suppressLineNumbers w:val="0"/>
              <w:spacing w:before="0" w:beforeAutospacing="0" w:after="0" w:afterAutospacing="0"/>
              <w:ind w:left="0" w:right="0"/>
              <w:jc w:val="left"/>
              <w:rPr>
                <w:rFonts w:asciiTheme="minorEastAsia" w:eastAsiaTheme="minorEastAsia" w:hAnsiTheme="minorEastAsia" w:cs="宋体" w:hint="default"/>
                <w:color w:val="auto"/>
                <w:sz w:val="24"/>
                <w:highlight w:val="yellow"/>
              </w:rPr>
            </w:pPr>
            <w:r>
              <w:rPr>
                <w:rFonts w:asciiTheme="minorEastAsia" w:eastAsiaTheme="minorEastAsia" w:hAnsiTheme="minorEastAsia" w:hint="eastAsia"/>
                <w:bCs/>
                <w:color w:val="auto"/>
                <w:sz w:val="24"/>
              </w:rPr>
              <w:t>1、因落实政府采购政策进行价格调整的，以调整后的价格计算评标基准价和投标报价</w:t>
            </w:r>
            <w:r>
              <w:rPr>
                <w:rFonts w:asciiTheme="minorEastAsia" w:eastAsiaTheme="minorEastAsia" w:hAnsiTheme="minorEastAsia" w:cs="宋体" w:hint="eastAsia"/>
                <w:color w:val="auto"/>
                <w:sz w:val="24"/>
              </w:rPr>
              <w:t>,详见《价格扣除》。</w:t>
            </w:r>
          </w:p>
          <w:p>
            <w:pPr>
              <w:keepNext w:val="0"/>
              <w:keepLines w:val="0"/>
              <w:suppressLineNumbers w:val="0"/>
              <w:spacing w:before="0" w:beforeAutospacing="0" w:after="0" w:afterAutospacing="0"/>
              <w:ind w:left="0" w:right="0"/>
              <w:rPr>
                <w:rFonts w:asciiTheme="minorEastAsia" w:eastAsiaTheme="minorEastAsia" w:hAnsiTheme="minorEastAsia" w:hint="default"/>
                <w:b/>
                <w:bCs/>
                <w:color w:val="auto"/>
                <w:sz w:val="24"/>
                <w:u w:val="double"/>
              </w:rPr>
            </w:pPr>
            <w:r>
              <w:rPr>
                <w:rFonts w:asciiTheme="minorEastAsia" w:eastAsiaTheme="minorEastAsia" w:hAnsiTheme="minorEastAsia" w:hint="eastAsia"/>
                <w:bCs/>
                <w:color w:val="auto"/>
                <w:sz w:val="24"/>
              </w:rPr>
              <w:t>2、投标报价得分四舍五入后，</w:t>
            </w:r>
            <w:r>
              <w:rPr>
                <w:rFonts w:asciiTheme="minorEastAsia" w:eastAsiaTheme="minorEastAsia" w:hAnsiTheme="minorEastAsia" w:cs="Arial" w:hint="eastAsia"/>
                <w:color w:val="auto"/>
                <w:sz w:val="24"/>
              </w:rPr>
              <w:t>小数点后保留两位有效数。</w:t>
            </w:r>
          </w:p>
        </w:tc>
        <w:tc>
          <w:tcPr>
            <w:tcW w:w="685" w:type="dxa"/>
            <w:tcBorders>
              <w:right w:val="single" w:sz="4" w:space="0" w:color="auto"/>
            </w:tcBorders>
            <w:vAlign w:val="center"/>
          </w:tcPr>
          <w:p>
            <w:pPr>
              <w:keepNext w:val="0"/>
              <w:keepLines w:val="0"/>
              <w:suppressLineNumbers w:val="0"/>
              <w:spacing w:before="0" w:beforeAutospacing="0" w:after="0" w:afterAutospacing="0"/>
              <w:ind w:left="-78" w:right="-74" w:leftChars="-37" w:rightChars="-35"/>
              <w:jc w:val="center"/>
              <w:rPr>
                <w:rFonts w:asciiTheme="minorEastAsia" w:eastAsiaTheme="minorEastAsia" w:hAnsiTheme="minorEastAsia" w:cs="宋体" w:hint="default"/>
                <w:color w:val="auto"/>
                <w:sz w:val="24"/>
              </w:rPr>
            </w:pPr>
            <w:r>
              <w:rPr>
                <w:rFonts w:asciiTheme="minorEastAsia" w:eastAsiaTheme="minorEastAsia" w:hAnsiTheme="minorEastAsia" w:cs="宋体" w:hint="eastAsia"/>
                <w:color w:val="auto"/>
                <w:sz w:val="24"/>
                <w:lang w:val="en-US" w:eastAsia="zh-CN"/>
              </w:rPr>
              <w:t>30</w:t>
            </w:r>
            <w:r>
              <w:rPr>
                <w:rFonts w:asciiTheme="minorEastAsia" w:eastAsiaTheme="minorEastAsia" w:hAnsiTheme="minorEastAsia" w:cs="宋体" w:hint="default"/>
                <w:color w:val="auto"/>
                <w:sz w:val="24"/>
              </w:rPr>
              <w:t xml:space="preserve"> </w:t>
            </w:r>
          </w:p>
        </w:tc>
        <w:tc>
          <w:tcPr>
            <w:tcW w:w="792" w:type="dxa"/>
            <w:tcBorders>
              <w:left w:val="single" w:sz="4" w:space="0" w:color="auto"/>
            </w:tcBorders>
            <w:vAlign w:val="center"/>
          </w:tcPr>
          <w:p>
            <w:pPr>
              <w:keepNext w:val="0"/>
              <w:keepLines w:val="0"/>
              <w:suppressLineNumbers w:val="0"/>
              <w:spacing w:before="0" w:beforeAutospacing="0" w:after="0" w:afterAutospacing="0"/>
              <w:ind w:left="-78" w:right="-74" w:leftChars="-37" w:rightChars="-35"/>
              <w:jc w:val="center"/>
              <w:rPr>
                <w:rFonts w:asciiTheme="minorEastAsia" w:eastAsiaTheme="minorEastAsia" w:hAnsiTheme="minorEastAsia" w:cs="宋体" w:hint="default"/>
                <w:color w:val="auto"/>
                <w:sz w:val="24"/>
                <w:lang w:val="en-US" w:eastAsia="zh-CN"/>
              </w:rPr>
            </w:pPr>
            <w:r>
              <w:rPr>
                <w:rFonts w:asciiTheme="minorEastAsia" w:eastAsiaTheme="minorEastAsia" w:hAnsiTheme="minorEastAsia" w:cs="宋体" w:hint="eastAsia"/>
                <w:color w:val="auto"/>
                <w:sz w:val="24"/>
                <w:lang w:val="en-US" w:eastAsia="zh-CN"/>
              </w:rPr>
              <w:t>30</w:t>
            </w:r>
          </w:p>
        </w:tc>
      </w:tr>
      <w:tr>
        <w:tblPrEx>
          <w:tblW w:w="9242" w:type="dxa"/>
          <w:tblInd w:w="93" w:type="dxa"/>
          <w:tblLayout w:type="fixed"/>
          <w:tblCellMar>
            <w:top w:w="0" w:type="dxa"/>
            <w:left w:w="108" w:type="dxa"/>
            <w:bottom w:w="0" w:type="dxa"/>
            <w:right w:w="108" w:type="dxa"/>
          </w:tblCellMar>
        </w:tblPrEx>
        <w:trPr>
          <w:trHeight w:val="523"/>
        </w:trPr>
        <w:tc>
          <w:tcPr>
            <w:tcW w:w="7765" w:type="dxa"/>
            <w:gridSpan w:val="3"/>
            <w:vAlign w:val="center"/>
          </w:tcPr>
          <w:p>
            <w:pPr>
              <w:keepNext w:val="0"/>
              <w:keepLines w:val="0"/>
              <w:suppressLineNumbers w:val="0"/>
              <w:spacing w:before="0" w:beforeAutospacing="0" w:after="0" w:afterAutospacing="0"/>
              <w:ind w:left="-78" w:right="-74" w:leftChars="-37" w:rightChars="-35"/>
              <w:jc w:val="center"/>
              <w:rPr>
                <w:rFonts w:asciiTheme="minorEastAsia" w:eastAsiaTheme="minorEastAsia" w:hAnsiTheme="minorEastAsia" w:cs="宋体" w:hint="default"/>
                <w:color w:val="auto"/>
                <w:sz w:val="24"/>
              </w:rPr>
            </w:pPr>
            <w:r>
              <w:rPr>
                <w:rFonts w:asciiTheme="minorEastAsia" w:eastAsiaTheme="minorEastAsia" w:hAnsiTheme="minorEastAsia" w:hint="eastAsia"/>
                <w:color w:val="auto"/>
                <w:sz w:val="24"/>
              </w:rPr>
              <w:t>合计</w:t>
            </w:r>
          </w:p>
        </w:tc>
        <w:tc>
          <w:tcPr>
            <w:tcW w:w="685" w:type="dxa"/>
            <w:tcBorders>
              <w:right w:val="single" w:sz="4" w:space="0" w:color="auto"/>
            </w:tcBorders>
            <w:vAlign w:val="center"/>
          </w:tcPr>
          <w:p>
            <w:pPr>
              <w:keepNext w:val="0"/>
              <w:keepLines w:val="0"/>
              <w:suppressLineNumbers w:val="0"/>
              <w:spacing w:before="0" w:beforeAutospacing="0" w:after="0" w:afterAutospacing="0"/>
              <w:ind w:left="-78" w:right="-74" w:leftChars="-37" w:rightChars="-35"/>
              <w:jc w:val="center"/>
              <w:rPr>
                <w:rFonts w:asciiTheme="minorEastAsia" w:eastAsiaTheme="minorEastAsia" w:hAnsiTheme="minorEastAsia" w:cs="宋体" w:hint="default"/>
                <w:color w:val="auto"/>
                <w:sz w:val="24"/>
              </w:rPr>
            </w:pPr>
            <w:r>
              <w:rPr>
                <w:rFonts w:asciiTheme="minorEastAsia" w:eastAsiaTheme="minorEastAsia" w:hAnsiTheme="minorEastAsia" w:cs="宋体" w:hint="eastAsia"/>
                <w:color w:val="auto"/>
                <w:sz w:val="24"/>
              </w:rPr>
              <w:t>100</w:t>
            </w:r>
          </w:p>
        </w:tc>
        <w:tc>
          <w:tcPr>
            <w:tcW w:w="792" w:type="dxa"/>
            <w:tcBorders>
              <w:left w:val="single" w:sz="4" w:space="0" w:color="auto"/>
            </w:tcBorders>
            <w:vAlign w:val="center"/>
          </w:tcPr>
          <w:p>
            <w:pPr>
              <w:keepNext w:val="0"/>
              <w:keepLines w:val="0"/>
              <w:suppressLineNumbers w:val="0"/>
              <w:spacing w:before="0" w:beforeAutospacing="0" w:after="0" w:afterAutospacing="0"/>
              <w:ind w:left="-78" w:right="-74" w:leftChars="-37" w:rightChars="-35"/>
              <w:jc w:val="center"/>
              <w:rPr>
                <w:rFonts w:asciiTheme="minorEastAsia" w:eastAsiaTheme="minorEastAsia" w:hAnsiTheme="minorEastAsia" w:cs="宋体" w:hint="default"/>
                <w:color w:val="auto"/>
                <w:sz w:val="24"/>
              </w:rPr>
            </w:pPr>
            <w:r>
              <w:rPr>
                <w:rFonts w:asciiTheme="minorEastAsia" w:eastAsiaTheme="minorEastAsia" w:hAnsiTheme="minorEastAsia" w:cs="宋体" w:hint="eastAsia"/>
                <w:color w:val="auto"/>
                <w:sz w:val="24"/>
              </w:rPr>
              <w:t>100</w:t>
            </w:r>
          </w:p>
        </w:tc>
      </w:tr>
    </w:tbl>
    <w:p>
      <w:pPr>
        <w:spacing w:line="540" w:lineRule="exact"/>
        <w:rPr>
          <w:rFonts w:asciiTheme="minorEastAsia" w:eastAsiaTheme="minorEastAsia" w:hAnsiTheme="minorEastAsia" w:cs="宋体"/>
          <w:color w:val="auto"/>
          <w:kern w:val="0"/>
          <w:sz w:val="24"/>
        </w:rPr>
      </w:pPr>
      <w:r>
        <w:rPr>
          <w:rFonts w:asciiTheme="minorEastAsia" w:eastAsiaTheme="minorEastAsia" w:hAnsiTheme="minorEastAsia" w:hint="eastAsia"/>
          <w:b/>
          <w:color w:val="auto"/>
          <w:sz w:val="24"/>
        </w:rPr>
        <w:t>备注：</w:t>
      </w:r>
      <w:r>
        <w:rPr>
          <w:rFonts w:asciiTheme="minorEastAsia" w:eastAsiaTheme="minorEastAsia" w:hAnsiTheme="minorEastAsia" w:cs="宋体" w:hint="eastAsia"/>
          <w:color w:val="auto"/>
          <w:kern w:val="0"/>
          <w:sz w:val="24"/>
        </w:rPr>
        <w:t>评标信息内评分方法的说明：</w:t>
      </w:r>
    </w:p>
    <w:p>
      <w:pPr>
        <w:spacing w:line="540" w:lineRule="exact"/>
        <w:ind w:firstLine="525" w:firstLineChars="250"/>
        <w:rPr>
          <w:rFonts w:asciiTheme="minorEastAsia" w:eastAsiaTheme="minorEastAsia" w:hAnsiTheme="minorEastAsia" w:cs="宋体"/>
          <w:color w:val="auto"/>
          <w:kern w:val="0"/>
          <w:sz w:val="24"/>
        </w:rPr>
      </w:pPr>
      <w:r>
        <w:rPr>
          <w:rFonts w:asciiTheme="minorEastAsia" w:eastAsiaTheme="minorEastAsia" w:hAnsiTheme="minorEastAsia" w:cs="宋体" w:hint="eastAsia"/>
          <w:color w:val="auto"/>
          <w:kern w:val="0"/>
          <w:sz w:val="24"/>
        </w:rPr>
        <w:t>（1）权重：按百分比进行设置；</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color w:val="auto"/>
          <w:kern w:val="0"/>
          <w:sz w:val="24"/>
        </w:rPr>
        <w:t>（2）评分准</w:t>
      </w:r>
      <w:r>
        <w:rPr>
          <w:rFonts w:asciiTheme="minorEastAsia" w:eastAsiaTheme="minorEastAsia" w:hAnsiTheme="minorEastAsia" w:cs="宋体" w:hint="eastAsia"/>
          <w:kern w:val="0"/>
          <w:sz w:val="24"/>
        </w:rPr>
        <w:t>则：按照评标系统设置要求，每项“评分准则”皆按百分制打分；</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（3）每项“评分因素”的得分=对应“评分准则”的分值×对应权重%。</w:t>
      </w:r>
    </w:p>
    <w:p>
      <w:pPr>
        <w:widowControl/>
        <w:jc w:val="center"/>
        <w:outlineLvl w:val="3"/>
        <w:rPr>
          <w:rFonts w:ascii="黑体" w:eastAsia="黑体" w:hAnsi="宋体" w:cs="宋体"/>
          <w:sz w:val="28"/>
          <w:szCs w:val="28"/>
        </w:rPr>
      </w:pPr>
      <w:r>
        <w:rPr>
          <w:rFonts w:ascii="黑体" w:eastAsia="黑体" w:hAnsi="宋体" w:cs="宋体"/>
          <w:sz w:val="28"/>
          <w:szCs w:val="28"/>
        </w:rPr>
        <w:br w:type="page"/>
      </w:r>
      <w:bookmarkEnd w:id="84"/>
      <w:r>
        <w:rPr>
          <w:rFonts w:ascii="黑体" w:eastAsia="黑体" w:hAnsi="宋体" w:cs="宋体" w:hint="eastAsia"/>
          <w:sz w:val="28"/>
          <w:szCs w:val="28"/>
        </w:rPr>
        <w:t>政策功能</w:t>
      </w:r>
    </w:p>
    <w:p>
      <w:pPr>
        <w:widowControl/>
        <w:jc w:val="center"/>
        <w:outlineLvl w:val="4"/>
        <w:rPr>
          <w:rFonts w:ascii="黑体" w:eastAsia="黑体" w:hAnsi="宋体" w:cs="宋体"/>
          <w:sz w:val="28"/>
          <w:szCs w:val="28"/>
        </w:rPr>
      </w:pPr>
      <w:r>
        <w:rPr>
          <w:rFonts w:ascii="黑体" w:eastAsia="黑体" w:hAnsi="宋体" w:cs="宋体" w:hint="eastAsia"/>
          <w:sz w:val="28"/>
          <w:szCs w:val="28"/>
        </w:rPr>
        <w:t>第一部分 价格扣除</w:t>
      </w:r>
    </w:p>
    <w:p>
      <w:pPr>
        <w:snapToGrid w:val="0"/>
        <w:spacing w:line="360" w:lineRule="auto"/>
        <w:jc w:val="center"/>
        <w:rPr>
          <w:rFonts w:ascii="宋体" w:hAnsi="宋体"/>
          <w:b/>
          <w:bCs/>
          <w:color w:val="FF0000"/>
          <w:sz w:val="24"/>
        </w:rPr>
      </w:pPr>
    </w:p>
    <w:p>
      <w:pPr>
        <w:pStyle w:val="ListParagraph"/>
        <w:numPr>
          <w:ilvl w:val="0"/>
          <w:numId w:val="13"/>
        </w:numPr>
        <w:snapToGrid w:val="0"/>
        <w:spacing w:line="360" w:lineRule="auto"/>
        <w:ind w:firstLineChars="0"/>
        <w:jc w:val="center"/>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小微企业产品价格扣除</w:t>
      </w:r>
    </w:p>
    <w:p>
      <w:pPr>
        <w:numPr>
          <w:ilvl w:val="1"/>
          <w:numId w:val="14"/>
        </w:numPr>
        <w:adjustRightInd w:val="0"/>
        <w:spacing w:line="360" w:lineRule="auto"/>
        <w:textAlignment w:val="baseline"/>
        <w:rPr>
          <w:rFonts w:ascii="宋体" w:hAnsi="宋体" w:cs="宋体"/>
          <w:bCs/>
          <w:color w:val="000000"/>
          <w:kern w:val="0"/>
          <w:sz w:val="24"/>
        </w:rPr>
      </w:pPr>
      <w:r>
        <w:rPr>
          <w:rFonts w:ascii="宋体" w:hAnsi="宋体" w:cs="宋体" w:hint="eastAsia"/>
          <w:bCs/>
          <w:color w:val="000000"/>
          <w:kern w:val="0"/>
          <w:sz w:val="24"/>
        </w:rPr>
        <w:t>根据财政部、工业和信息化部印发的《政府采购促进中小企业发展管理办法》（财库〔2020〕46号）的规定，对小型和微型企业产品的价格给予</w:t>
      </w:r>
      <w:r>
        <w:rPr>
          <w:rFonts w:ascii="宋体" w:hAnsi="宋体" w:cs="宋体" w:hint="eastAsia"/>
          <w:bCs/>
          <w:color w:val="000000"/>
          <w:kern w:val="0"/>
          <w:sz w:val="24"/>
          <w:lang w:val="en-US" w:eastAsia="zh-CN"/>
        </w:rPr>
        <w:t>10%</w:t>
      </w:r>
      <w:r>
        <w:rPr>
          <w:rFonts w:ascii="宋体" w:hAnsi="宋体" w:cs="宋体" w:hint="eastAsia"/>
          <w:bCs/>
          <w:color w:val="000000"/>
          <w:kern w:val="0"/>
          <w:sz w:val="24"/>
        </w:rPr>
        <w:t>的扣除，用扣除后的价格参与评审。</w:t>
      </w:r>
    </w:p>
    <w:p>
      <w:pPr>
        <w:numPr>
          <w:ilvl w:val="1"/>
          <w:numId w:val="14"/>
        </w:numPr>
        <w:adjustRightInd w:val="0"/>
        <w:spacing w:line="360" w:lineRule="auto"/>
        <w:textAlignment w:val="baseline"/>
        <w:rPr>
          <w:rFonts w:ascii="宋体" w:hAnsi="宋体"/>
          <w:bCs/>
          <w:color w:val="000000"/>
          <w:kern w:val="0"/>
          <w:sz w:val="24"/>
        </w:rPr>
      </w:pPr>
      <w:r>
        <w:rPr>
          <w:rFonts w:ascii="宋体" w:hAnsi="宋体" w:cs="宋体" w:hint="eastAsia"/>
          <w:bCs/>
          <w:color w:val="000000"/>
          <w:kern w:val="0"/>
          <w:sz w:val="24"/>
        </w:rPr>
        <w:t>组成联合体（如允许）或者接受分包的小微企业与联合体内其他企业、分包企业之间存在直接控股、管理关系的，不享受价格扣除优惠政策。</w:t>
      </w:r>
    </w:p>
    <w:p>
      <w:pPr>
        <w:numPr>
          <w:ilvl w:val="1"/>
          <w:numId w:val="14"/>
        </w:numPr>
        <w:adjustRightInd w:val="0"/>
        <w:spacing w:line="360" w:lineRule="auto"/>
        <w:textAlignment w:val="baseline"/>
        <w:rPr>
          <w:rFonts w:ascii="宋体" w:hAnsi="宋体"/>
          <w:color w:val="000000"/>
          <w:kern w:val="0"/>
          <w:sz w:val="24"/>
        </w:rPr>
      </w:pPr>
      <w:r>
        <w:rPr>
          <w:rFonts w:ascii="宋体" w:hAnsi="宋体" w:cs="宋体" w:hint="eastAsia"/>
          <w:color w:val="000000"/>
          <w:kern w:val="0"/>
          <w:sz w:val="24"/>
        </w:rPr>
        <w:t>监狱企业产品价格扣除</w:t>
      </w:r>
    </w:p>
    <w:p>
      <w:pPr>
        <w:numPr>
          <w:ilvl w:val="2"/>
          <w:numId w:val="15"/>
        </w:numPr>
        <w:adjustRightInd w:val="0"/>
        <w:spacing w:line="360" w:lineRule="auto"/>
        <w:ind w:left="567" w:hanging="567"/>
        <w:textAlignment w:val="baseline"/>
        <w:rPr>
          <w:rFonts w:ascii="宋体" w:hAnsi="宋体"/>
          <w:color w:val="000000"/>
          <w:kern w:val="0"/>
          <w:sz w:val="24"/>
        </w:rPr>
      </w:pPr>
      <w:r>
        <w:rPr>
          <w:rFonts w:ascii="宋体" w:hAnsi="宋体" w:cs="宋体" w:hint="eastAsia"/>
          <w:color w:val="000000"/>
          <w:kern w:val="0"/>
          <w:sz w:val="24"/>
        </w:rPr>
        <w:t>监狱企业视同小微企业，按上述第（一）条款享受评审中价格扣除。</w:t>
      </w:r>
    </w:p>
    <w:p>
      <w:pPr>
        <w:numPr>
          <w:ilvl w:val="1"/>
          <w:numId w:val="14"/>
        </w:numPr>
        <w:adjustRightInd w:val="0"/>
        <w:spacing w:line="360" w:lineRule="auto"/>
        <w:textAlignment w:val="baseline"/>
        <w:rPr>
          <w:rFonts w:ascii="宋体" w:hAnsi="宋体"/>
          <w:color w:val="000000"/>
          <w:kern w:val="0"/>
          <w:sz w:val="24"/>
        </w:rPr>
      </w:pPr>
      <w:r>
        <w:rPr>
          <w:rFonts w:ascii="宋体" w:hAnsi="宋体" w:cs="宋体" w:hint="eastAsia"/>
          <w:color w:val="000000"/>
          <w:kern w:val="0"/>
          <w:sz w:val="24"/>
        </w:rPr>
        <w:t>残疾人福利性单位产品价格扣除</w:t>
      </w:r>
    </w:p>
    <w:p>
      <w:pPr>
        <w:numPr>
          <w:ilvl w:val="2"/>
          <w:numId w:val="16"/>
        </w:numPr>
        <w:adjustRightInd w:val="0"/>
        <w:spacing w:line="360" w:lineRule="auto"/>
        <w:ind w:left="567" w:hanging="567"/>
        <w:textAlignment w:val="baseline"/>
        <w:rPr>
          <w:rFonts w:ascii="宋体" w:hAnsi="宋体"/>
          <w:color w:val="000000"/>
          <w:kern w:val="0"/>
          <w:sz w:val="24"/>
        </w:rPr>
      </w:pPr>
      <w:r>
        <w:rPr>
          <w:rFonts w:ascii="宋体" w:hAnsi="宋体" w:cs="宋体" w:hint="eastAsia"/>
          <w:color w:val="000000"/>
          <w:kern w:val="0"/>
          <w:sz w:val="24"/>
        </w:rPr>
        <w:t>残疾人福利性单位视同小微企业，按上述第（一）条款享受评审中价格扣除。</w:t>
      </w:r>
    </w:p>
    <w:p>
      <w:pPr>
        <w:snapToGrid w:val="0"/>
        <w:spacing w:line="360" w:lineRule="auto"/>
        <w:rPr>
          <w:rFonts w:ascii="宋体" w:hAnsi="宋体"/>
          <w:color w:val="000000" w:themeColor="text1"/>
          <w:sz w:val="24"/>
          <w14:textFill>
            <w14:solidFill>
              <w14:schemeClr w14:val="tx1"/>
            </w14:solidFill>
          </w14:textFill>
        </w:rPr>
      </w:pPr>
    </w:p>
    <w:p>
      <w:pPr>
        <w:pStyle w:val="ListParagraph"/>
        <w:numPr>
          <w:ilvl w:val="0"/>
          <w:numId w:val="13"/>
        </w:numPr>
        <w:snapToGrid w:val="0"/>
        <w:spacing w:line="360" w:lineRule="auto"/>
        <w:ind w:firstLineChars="0"/>
        <w:jc w:val="center"/>
        <w:rPr>
          <w:rFonts w:ascii="宋体" w:hAnsi="宋体"/>
          <w:b/>
          <w:bCs/>
          <w:color w:val="4472C4"/>
          <w:sz w:val="24"/>
          <w:szCs w:val="22"/>
        </w:rPr>
      </w:pPr>
      <w:r>
        <w:rPr>
          <w:rFonts w:ascii="宋体" w:hAnsi="宋体" w:hint="eastAsia"/>
          <w:b/>
          <w:bCs/>
          <w:color w:val="000000" w:themeColor="text1"/>
          <w:sz w:val="24"/>
          <w:szCs w:val="22"/>
          <w14:textFill>
            <w14:solidFill>
              <w14:schemeClr w14:val="tx1"/>
            </w14:solidFill>
          </w14:textFill>
        </w:rPr>
        <w:t>节能产品、环境标志产品价格扣除</w:t>
      </w:r>
    </w:p>
    <w:p>
      <w:pPr>
        <w:numPr>
          <w:ilvl w:val="1"/>
          <w:numId w:val="17"/>
        </w:numPr>
        <w:snapToGrid w:val="0"/>
        <w:spacing w:line="360" w:lineRule="auto"/>
        <w:rPr>
          <w:rFonts w:ascii="宋体" w:hAnsi="宋体"/>
          <w:sz w:val="24"/>
        </w:rPr>
      </w:pPr>
      <w:r>
        <w:rPr>
          <w:rFonts w:ascii="宋体" w:hAnsi="宋体" w:hint="eastAsia"/>
          <w:sz w:val="24"/>
        </w:rPr>
        <w:t>拟采购产品属于节能产品政府采购品目清单规定必须强制采购的，实行强制采购。</w:t>
      </w:r>
    </w:p>
    <w:p>
      <w:pPr>
        <w:numPr>
          <w:ilvl w:val="1"/>
          <w:numId w:val="17"/>
        </w:numPr>
        <w:snapToGrid w:val="0"/>
        <w:spacing w:line="360" w:lineRule="auto"/>
        <w:rPr>
          <w:rFonts w:ascii="宋体" w:hAnsi="宋体"/>
          <w:color w:val="auto"/>
          <w:sz w:val="24"/>
        </w:rPr>
      </w:pPr>
      <w:r>
        <w:rPr>
          <w:rFonts w:ascii="宋体" w:hAnsi="宋体" w:hint="eastAsia"/>
          <w:sz w:val="24"/>
        </w:rPr>
        <w:t>本次采购产品在财政部、发展改革委、生态环境部等部门最新发布的《节能产品政府采购品目清单》或《</w:t>
      </w:r>
      <w:r>
        <w:rPr>
          <w:rFonts w:ascii="宋体" w:hAnsi="宋体"/>
          <w:sz w:val="24"/>
        </w:rPr>
        <w:t>环境标志产品</w:t>
      </w:r>
      <w:r>
        <w:rPr>
          <w:rFonts w:ascii="宋体" w:hAnsi="宋体" w:hint="eastAsia"/>
          <w:sz w:val="24"/>
        </w:rPr>
        <w:t>政府采购</w:t>
      </w:r>
      <w:r>
        <w:rPr>
          <w:rFonts w:ascii="宋体" w:hAnsi="宋体"/>
          <w:sz w:val="24"/>
        </w:rPr>
        <w:t>品目清单</w:t>
      </w:r>
      <w:r>
        <w:rPr>
          <w:rFonts w:ascii="宋体" w:hAnsi="宋体" w:hint="eastAsia"/>
          <w:sz w:val="24"/>
        </w:rPr>
        <w:t>》的清单范围内优先采购的节能产品、</w:t>
      </w:r>
      <w:r>
        <w:rPr>
          <w:rFonts w:ascii="宋体" w:hAnsi="宋体"/>
          <w:sz w:val="24"/>
        </w:rPr>
        <w:t>环境标志产品类别</w:t>
      </w:r>
      <w:r>
        <w:rPr>
          <w:rFonts w:ascii="宋体" w:hAnsi="宋体" w:hint="eastAsia"/>
          <w:sz w:val="24"/>
        </w:rPr>
        <w:t>，对于具有国家确定的认证机构出具的、处于有效期之内的</w:t>
      </w:r>
      <w:r>
        <w:rPr>
          <w:rFonts w:ascii="宋体" w:hAnsi="宋体" w:hint="eastAsia"/>
          <w:color w:val="auto"/>
          <w:sz w:val="24"/>
        </w:rPr>
        <w:t>节能产品或环境标志产品认证证书的，对节能产品或环境标志产品的价格分别给予</w:t>
      </w:r>
      <w:r>
        <w:rPr>
          <w:rFonts w:ascii="宋体" w:hAnsi="宋体" w:hint="eastAsia"/>
          <w:color w:val="auto"/>
          <w:sz w:val="24"/>
          <w:lang w:val="en-US" w:eastAsia="zh-CN"/>
        </w:rPr>
        <w:t>1</w:t>
      </w:r>
      <w:r>
        <w:rPr>
          <w:rFonts w:ascii="宋体" w:hAnsi="宋体"/>
          <w:color w:val="auto"/>
          <w:sz w:val="24"/>
        </w:rPr>
        <w:t>%</w:t>
      </w:r>
      <w:r>
        <w:rPr>
          <w:rFonts w:ascii="宋体" w:hAnsi="宋体" w:hint="eastAsia"/>
          <w:color w:val="auto"/>
          <w:sz w:val="24"/>
        </w:rPr>
        <w:t>的价格扣除。</w:t>
      </w:r>
    </w:p>
    <w:p>
      <w:pPr>
        <w:numPr>
          <w:ilvl w:val="1"/>
          <w:numId w:val="17"/>
        </w:numPr>
        <w:snapToGrid w:val="0"/>
        <w:spacing w:line="360" w:lineRule="auto"/>
        <w:rPr>
          <w:rFonts w:ascii="宋体" w:hAnsi="宋体"/>
          <w:sz w:val="24"/>
        </w:rPr>
      </w:pPr>
      <w:r>
        <w:rPr>
          <w:rFonts w:ascii="宋体" w:hAnsi="宋体" w:hint="eastAsia"/>
          <w:color w:val="auto"/>
          <w:sz w:val="24"/>
        </w:rPr>
        <w:t>属于品目清单范围</w:t>
      </w:r>
      <w:r>
        <w:rPr>
          <w:rFonts w:ascii="宋体" w:hAnsi="宋体" w:hint="eastAsia"/>
          <w:sz w:val="24"/>
        </w:rPr>
        <w:t>内的节能或环境标志产品，应当提供国家确定的认证机构出具的、处于有效期之内的节能产品或环境标志产品认证证书复印件，并加盖投标人单位的公章。</w:t>
      </w:r>
    </w:p>
    <w:p>
      <w:pPr>
        <w:snapToGrid w:val="0"/>
        <w:spacing w:line="360" w:lineRule="auto"/>
        <w:rPr>
          <w:rFonts w:ascii="宋体" w:hAnsi="宋体"/>
          <w:sz w:val="24"/>
        </w:rPr>
      </w:pPr>
    </w:p>
    <w:p>
      <w:pPr>
        <w:widowControl/>
        <w:jc w:val="center"/>
        <w:outlineLvl w:val="4"/>
        <w:rPr>
          <w:rFonts w:ascii="黑体" w:eastAsia="黑体" w:hAnsi="宋体" w:cs="宋体"/>
          <w:sz w:val="28"/>
          <w:szCs w:val="28"/>
        </w:rPr>
      </w:pPr>
      <w:r>
        <w:rPr>
          <w:rFonts w:ascii="黑体" w:eastAsia="黑体" w:hAnsi="宋体" w:cs="宋体" w:hint="eastAsia"/>
          <w:sz w:val="28"/>
          <w:szCs w:val="28"/>
        </w:rPr>
        <w:t>第二部分 政策功能说明</w:t>
      </w:r>
    </w:p>
    <w:p>
      <w:pPr>
        <w:pStyle w:val="ListParagraph"/>
        <w:numPr>
          <w:ilvl w:val="0"/>
          <w:numId w:val="18"/>
        </w:numPr>
        <w:snapToGrid w:val="0"/>
        <w:spacing w:line="360" w:lineRule="auto"/>
        <w:ind w:firstLineChars="0"/>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中小企业扶持政策</w:t>
      </w:r>
    </w:p>
    <w:p>
      <w:pPr>
        <w:numPr>
          <w:ilvl w:val="1"/>
          <w:numId w:val="19"/>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在采购活动中，供应商提供的货物、工程或者服务符合下列情形的，享受</w:t>
      </w:r>
      <w:r>
        <w:rPr>
          <w:rFonts w:ascii="宋体" w:hAnsi="宋体" w:hint="eastAsia"/>
          <w:bCs/>
          <w:color w:val="000000" w:themeColor="text1"/>
          <w:sz w:val="24"/>
          <w14:textFill>
            <w14:solidFill>
              <w14:schemeClr w14:val="tx1"/>
            </w14:solidFill>
          </w14:textFill>
        </w:rPr>
        <w:t>《政府采购促进中小企业发展管理办法》</w:t>
      </w:r>
      <w:r>
        <w:rPr>
          <w:rFonts w:ascii="宋体" w:hAnsi="宋体" w:hint="eastAsia"/>
          <w:color w:val="000000" w:themeColor="text1"/>
          <w:sz w:val="24"/>
          <w14:textFill>
            <w14:solidFill>
              <w14:schemeClr w14:val="tx1"/>
            </w14:solidFill>
          </w14:textFill>
        </w:rPr>
        <w:t>规定的中小企业扶持政策：</w:t>
      </w:r>
    </w:p>
    <w:p>
      <w:pPr>
        <w:numPr>
          <w:ilvl w:val="0"/>
          <w:numId w:val="20"/>
        </w:numPr>
        <w:snapToGrid w:val="0"/>
        <w:spacing w:line="360" w:lineRule="auto"/>
        <w:ind w:left="567"/>
        <w:rPr>
          <w:rFonts w:ascii="宋体" w:hAnsi="宋体"/>
          <w:b/>
          <w:bCs/>
          <w:color w:val="000000" w:themeColor="text1"/>
          <w:sz w:val="24"/>
          <w:u w:val="double"/>
          <w14:textFill>
            <w14:solidFill>
              <w14:schemeClr w14:val="tx1"/>
            </w14:solidFill>
          </w14:textFill>
        </w:rPr>
      </w:pPr>
      <w:r>
        <w:rPr>
          <w:rFonts w:ascii="宋体" w:hAnsi="宋体" w:hint="eastAsia"/>
          <w:b/>
          <w:bCs/>
          <w:color w:val="000000" w:themeColor="text1"/>
          <w:sz w:val="24"/>
          <w:u w:val="double"/>
          <w14:textFill>
            <w14:solidFill>
              <w14:schemeClr w14:val="tx1"/>
            </w14:solidFill>
          </w14:textFill>
        </w:rPr>
        <w:t>在货物采购项目中，货物由中小企业制造，即货物由中小企业生产且使用该中小企业商号或者注册商标；</w:t>
      </w:r>
    </w:p>
    <w:p>
      <w:pPr>
        <w:numPr>
          <w:ilvl w:val="0"/>
          <w:numId w:val="20"/>
        </w:numPr>
        <w:snapToGrid w:val="0"/>
        <w:spacing w:line="360" w:lineRule="auto"/>
        <w:ind w:left="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在工程采购项目中，工程由中小企业承建，即工程施工单位为中小企业；</w:t>
      </w:r>
    </w:p>
    <w:p>
      <w:pPr>
        <w:numPr>
          <w:ilvl w:val="0"/>
          <w:numId w:val="20"/>
        </w:numPr>
        <w:snapToGrid w:val="0"/>
        <w:spacing w:line="360" w:lineRule="auto"/>
        <w:ind w:left="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在服务采购项目中，服务由中小企业承接，即提供服务的人员为中小企业依照《中华人民共和国劳动合同法》订立劳动合同的从业人员。</w:t>
      </w:r>
    </w:p>
    <w:p>
      <w:pPr>
        <w:snapToGrid w:val="0"/>
        <w:spacing w:line="360" w:lineRule="auto"/>
        <w:ind w:firstLine="372" w:firstLineChars="17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在货物采购项目中，供应商提供的货物既有中小企业制造货物，也有大型企业制造货物的，不享受本办法规定的中小企业扶持政策。</w:t>
      </w:r>
    </w:p>
    <w:p>
      <w:pPr>
        <w:snapToGrid w:val="0"/>
        <w:spacing w:line="360" w:lineRule="auto"/>
        <w:ind w:firstLine="372" w:firstLineChars="177"/>
        <w:rPr>
          <w:rFonts w:ascii="宋体" w:hAnsi="宋体"/>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numPr>
          <w:ilvl w:val="1"/>
          <w:numId w:val="19"/>
        </w:numPr>
        <w:snapToGrid w:val="0"/>
        <w:spacing w:line="360" w:lineRule="auto"/>
        <w:rPr>
          <w:rFonts w:ascii="宋体" w:hAnsi="宋体"/>
          <w:b/>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参加</w:t>
      </w:r>
      <w:r>
        <w:rPr>
          <w:rFonts w:ascii="宋体" w:hAnsi="宋体" w:hint="eastAsia"/>
          <w:bCs/>
          <w:color w:val="000000" w:themeColor="text1"/>
          <w:sz w:val="24"/>
          <w14:textFill>
            <w14:solidFill>
              <w14:schemeClr w14:val="tx1"/>
            </w14:solidFill>
          </w14:textFill>
        </w:rPr>
        <w:t>政府采购活动的中小企业应当提供《中小企业声明函》（格式见第六章投标文件格式）</w:t>
      </w:r>
      <w:r>
        <w:rPr>
          <w:rFonts w:ascii="宋体" w:hAnsi="宋体" w:hint="eastAsia"/>
          <w:color w:val="000000" w:themeColor="text1"/>
          <w:sz w:val="24"/>
          <w14:textFill>
            <w14:solidFill>
              <w14:schemeClr w14:val="tx1"/>
            </w14:solidFill>
          </w14:textFill>
        </w:rPr>
        <w:t>。</w:t>
      </w:r>
    </w:p>
    <w:p>
      <w:pPr>
        <w:numPr>
          <w:ilvl w:val="1"/>
          <w:numId w:val="19"/>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享受扶持政策获得政府采购合同的，小微企业不得将合同分包给大中型企业，中型企业不得将合同分包给大型企业；</w:t>
      </w:r>
    </w:p>
    <w:p>
      <w:pPr>
        <w:numPr>
          <w:ilvl w:val="1"/>
          <w:numId w:val="19"/>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w:t>
      </w:r>
    </w:p>
    <w:p>
      <w:pPr>
        <w:numPr>
          <w:ilvl w:val="2"/>
          <w:numId w:val="19"/>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9"/>
        </w:numPr>
        <w:snapToGrid w:val="0"/>
        <w:spacing w:line="360" w:lineRule="auto"/>
        <w:ind w:left="567" w:hanging="567"/>
        <w:rPr>
          <w:rFonts w:ascii="宋体" w:hAnsi="宋体"/>
          <w:b/>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监狱企业参加政府采购活动时，应当提供由省级以上监狱管理局、戒毒管理局（含新疆生产建设兵团）出具的属于监狱企业的证明文件，</w:t>
      </w:r>
      <w:r>
        <w:rPr>
          <w:rFonts w:ascii="宋体" w:hAnsi="宋体" w:cs="宋体" w:hint="eastAsia"/>
          <w:color w:val="000000" w:themeColor="text1"/>
          <w:sz w:val="24"/>
          <w14:textFill>
            <w14:solidFill>
              <w14:schemeClr w14:val="tx1"/>
            </w14:solidFill>
          </w14:textFill>
        </w:rPr>
        <w:t>否则不予认可</w:t>
      </w:r>
      <w:r>
        <w:rPr>
          <w:rFonts w:ascii="宋体" w:hAnsi="宋体" w:hint="eastAsia"/>
          <w:color w:val="000000" w:themeColor="text1"/>
          <w:sz w:val="24"/>
          <w14:textFill>
            <w14:solidFill>
              <w14:schemeClr w14:val="tx1"/>
            </w14:solidFill>
          </w14:textFill>
        </w:rPr>
        <w:t>。</w:t>
      </w:r>
    </w:p>
    <w:p>
      <w:pPr>
        <w:numPr>
          <w:ilvl w:val="2"/>
          <w:numId w:val="19"/>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在政府采购活动中，监狱企业视同小型、微型企业，享受预留份额、评审中价格扣除等政府采购促进中小企业发展的政府采购政策。</w:t>
      </w:r>
    </w:p>
    <w:p>
      <w:pPr>
        <w:numPr>
          <w:ilvl w:val="1"/>
          <w:numId w:val="19"/>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残疾人福利性单位</w:t>
      </w:r>
    </w:p>
    <w:p>
      <w:pPr>
        <w:numPr>
          <w:ilvl w:val="2"/>
          <w:numId w:val="19"/>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bCs/>
          <w:color w:val="000000" w:themeColor="text1"/>
          <w:sz w:val="24"/>
          <w14:textFill>
            <w14:solidFill>
              <w14:schemeClr w14:val="tx1"/>
            </w14:solidFill>
          </w14:textFill>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ascii="宋体" w:hAnsi="宋体" w:hint="eastAsia"/>
          <w:color w:val="000000" w:themeColor="text1"/>
          <w:sz w:val="24"/>
          <w14:textFill>
            <w14:solidFill>
              <w14:schemeClr w14:val="tx1"/>
            </w14:solidFill>
          </w14:textFill>
        </w:rPr>
        <w:t>声明的真实性负责。一旦中标将在中标公告中公告其声明函，接受社会监督。投标人提供的《残疾人福利性单位声明函》与事实不符的，依照《</w:t>
      </w:r>
      <w:r>
        <w:rPr>
          <w:rFonts w:ascii="宋体" w:hAnsi="宋体" w:hint="eastAsia"/>
          <w:bCs/>
          <w:color w:val="000000" w:themeColor="text1"/>
          <w:sz w:val="24"/>
          <w14:textFill>
            <w14:solidFill>
              <w14:schemeClr w14:val="tx1"/>
            </w14:solidFill>
          </w14:textFill>
        </w:rPr>
        <w:t>中华人民共和国政府采购法</w:t>
      </w:r>
      <w:r>
        <w:rPr>
          <w:rFonts w:ascii="宋体" w:hAnsi="宋体" w:hint="eastAsia"/>
          <w:color w:val="000000" w:themeColor="text1"/>
          <w:sz w:val="24"/>
          <w14:textFill>
            <w14:solidFill>
              <w14:schemeClr w14:val="tx1"/>
            </w14:solidFill>
          </w14:textFill>
        </w:rPr>
        <w:t>》第七十七条第一款的规定追究法律责任。</w:t>
      </w:r>
    </w:p>
    <w:p>
      <w:pPr>
        <w:numPr>
          <w:ilvl w:val="2"/>
          <w:numId w:val="19"/>
        </w:numPr>
        <w:snapToGrid w:val="0"/>
        <w:spacing w:line="360" w:lineRule="auto"/>
        <w:ind w:left="567" w:hanging="567"/>
        <w:rPr>
          <w:rFonts w:ascii="宋体" w:hAnsi="宋体"/>
          <w:bCs/>
          <w:color w:val="000000" w:themeColor="text1"/>
          <w:sz w:val="24"/>
          <w14:textFill>
            <w14:solidFill>
              <w14:schemeClr w14:val="tx1"/>
            </w14:solidFill>
          </w14:textFill>
        </w:rPr>
      </w:pPr>
      <w:r>
        <w:rPr>
          <w:rFonts w:ascii="宋体" w:hAnsi="宋体" w:hint="eastAsia"/>
          <w:bCs/>
          <w:color w:val="000000" w:themeColor="text1"/>
          <w:sz w:val="24"/>
          <w14:textFill>
            <w14:solidFill>
              <w14:schemeClr w14:val="tx1"/>
            </w14:solidFill>
          </w14:textFill>
        </w:rPr>
        <w:t>在政府采购活动中，残疾人福利性单位视同小型、微型企业，享受预留份额、评审中价格扣除等促进中小企业发展的政府采购政策。</w:t>
      </w:r>
    </w:p>
    <w:p>
      <w:pPr>
        <w:pStyle w:val="ListParagraph"/>
        <w:widowControl/>
        <w:ind w:left="425" w:firstLine="0" w:firstLineChars="0"/>
        <w:jc w:val="center"/>
        <w:rPr>
          <w:rFonts w:ascii="黑体" w:eastAsia="黑体" w:hAnsi="宋体" w:cs="宋体"/>
          <w:sz w:val="28"/>
          <w:szCs w:val="28"/>
        </w:rPr>
      </w:pPr>
    </w:p>
    <w:p>
      <w:pPr>
        <w:pStyle w:val="ListParagraph"/>
        <w:numPr>
          <w:ilvl w:val="0"/>
          <w:numId w:val="18"/>
        </w:numPr>
        <w:snapToGrid w:val="0"/>
        <w:spacing w:line="360" w:lineRule="auto"/>
        <w:ind w:firstLineChars="0"/>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商品包装和快递包装</w:t>
      </w:r>
    </w:p>
    <w:p>
      <w:p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hint="eastAsia"/>
          <w:sz w:val="24"/>
        </w:rPr>
        <w:t>本项目如涉及商品包装、快递包装，应当满足以下要求：</w:t>
      </w:r>
    </w:p>
    <w:p>
      <w:pPr>
        <w:numPr>
          <w:ilvl w:val="0"/>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商品包装环保要求</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商品包装层数不得超过3层，空隙率不大于40%；</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商品包装尽可能使用单一材质的包装材料，如因功能需求必需使用不同材质，不同材质间应便于分离；</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商品包装中铅、汞、镉、六价铬的总含量应不大于100mg/kg；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商品包装印刷使用的油墨中挥发性有机化合物(VOCs)含量应不大于5%（以重量计）；</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塑料材质商品包装上呈现的印刷颜色不得超过6色；</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纸质商品包装应使用75%以上的可再生纤维原料生产；</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木质商品包装的原料应来源于可持续性森林。</w:t>
      </w:r>
    </w:p>
    <w:p>
      <w:pPr>
        <w:numPr>
          <w:ilvl w:val="0"/>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商品包装检测方法</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商品包装中重金属（铅、汞、镉、六价铬）总量的检测按照GB/T10004-2008《包装用塑料复合膜、袋干法复合、挤出复合》规定的方法进行。</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商品包装印刷使用的油墨中挥发性有机化合物(VOCs)的检测按照GB/T23986-2009《色漆和清漆挥发性有机化合物(VOC)含量的测定气相色谱法》规定的方法进行。</w:t>
      </w:r>
    </w:p>
    <w:p>
      <w:pPr>
        <w:numPr>
          <w:ilvl w:val="0"/>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快递包装环保要求</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快递包装中重金属（铅、汞、镉、六价铬）总量应不大于100mg/kg；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快递包装印刷使用的油墨中不应添加邻苯二甲酸酯，其挥发性有机化合物(VOCs)含量应不大于5%（以重量计）；</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快递包装中使用纸基材的包装材料，纸基材中的有机氯的含量应不大于150mg/kg；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快递包装中使用塑料基材的包装材料不得使用邻苯二甲酸二异壬酯、邻苯二甲酸二正辛酯、邻苯二甲酸二(2-乙基)己酯、邻苯二甲酸二异癸酯、邻苯二甲酸丁基苄基酯、邻苯二甲酸二丁酯等作为增塑剂；</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快递中使用的塑料包装袋不得使用聚氯乙烯作为原料，且原料应为单一材质制成，生物分解率大于60%；</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快递中使用的充气类填充物不得使用聚氯乙烯作为原料，且原料为单一材质制成，生物分解率大于60%；</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快递中使用的集装袋应为单一材质制成，其重复使用次数应不小于80次；</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快递中应使用幅宽不大于45mm的生物降解胶带；</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快递包装中不得使用溶剂型胶粘剂；</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快递应使用电子面单；</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直接使用商品包装作为快递包装的商品，其商品包装满足《商品包装政府采购需求标准（试行）》即可；</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快递包装产品质量和封装方式应符合相关国家或行业标准技术指标要求。</w:t>
      </w:r>
    </w:p>
    <w:p>
      <w:pPr>
        <w:numPr>
          <w:ilvl w:val="0"/>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 xml:space="preserve">快递包装检测方法 </w:t>
      </w:r>
    </w:p>
    <w:p>
      <w:pPr>
        <w:numPr>
          <w:ilvl w:val="1"/>
          <w:numId w:val="25"/>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快递包装中重金属（铅、汞、镉、六价铬）总量的检测按照GB/T10004-2008《包装用塑料复合膜、袋干法复合、挤出复合》规定的方法进行。</w:t>
      </w:r>
    </w:p>
    <w:p>
      <w:pPr>
        <w:numPr>
          <w:ilvl w:val="1"/>
          <w:numId w:val="25"/>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快递包装印刷使用的油墨中挥发性有机化合物(VOCs)的检测按照GB/T23986-2009《色漆和清漆挥发性有机化合物(VOC)含量的测定气相色谱法》规定的方法进行。</w:t>
      </w:r>
    </w:p>
    <w:p>
      <w:pPr>
        <w:numPr>
          <w:ilvl w:val="1"/>
          <w:numId w:val="25"/>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快递包装所使用的塑料包装的生物降解率的检测按照GB/T20197-2006《降解塑料的定义、分类、标识和降解性能要求》规定的方法进行。</w:t>
      </w:r>
    </w:p>
    <w:p>
      <w:pPr>
        <w:numPr>
          <w:ilvl w:val="1"/>
          <w:numId w:val="25"/>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快递包装使用纸基材的包装材料中有机氯的检测按照GB/T22904-2008《纸浆、纸和纸板总氯和有机氯的检定》规定的方法进行。</w:t>
      </w:r>
    </w:p>
    <w:p>
      <w:pPr>
        <w:numPr>
          <w:ilvl w:val="1"/>
          <w:numId w:val="25"/>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快递包装中使用的生物降解胶带的生物降解率的检测按照GB/T19277.1《受控堆肥条件下材料最终需氧生物分解能力的测定采用测定释放的二氧化碳的方法 第1部分：通用方法》规定的方法进行。</w:t>
      </w:r>
    </w:p>
    <w:p>
      <w:pPr>
        <w:widowControl/>
        <w:jc w:val="left"/>
        <w:rPr>
          <w:b/>
          <w:bCs/>
          <w:sz w:val="28"/>
          <w:szCs w:val="28"/>
        </w:rPr>
      </w:pPr>
      <w:r>
        <w:rPr>
          <w:rFonts w:asciiTheme="minorEastAsia" w:eastAsiaTheme="minorEastAsia" w:hAnsiTheme="minorEastAsia" w:cstheme="minorBidi" w:hint="eastAsia"/>
          <w:sz w:val="24"/>
        </w:rPr>
        <w:t>（五）项目验收时，采购人将根据上述要求对商品包装和快递包装组织验收工作。</w:t>
      </w:r>
    </w:p>
    <w:p>
      <w:pPr>
        <w:widowControl/>
        <w:jc w:val="center"/>
        <w:outlineLvl w:val="3"/>
        <w:rPr>
          <w:b/>
          <w:bCs/>
          <w:sz w:val="28"/>
          <w:szCs w:val="28"/>
        </w:rPr>
      </w:pPr>
      <w:r>
        <w:rPr>
          <w:b/>
          <w:bCs/>
          <w:sz w:val="28"/>
          <w:szCs w:val="28"/>
        </w:rPr>
        <w:br w:type="page"/>
      </w:r>
    </w:p>
    <w:p>
      <w:pPr>
        <w:adjustRightInd w:val="0"/>
        <w:snapToGrid w:val="0"/>
        <w:spacing w:before="156" w:beforeLines="50" w:after="156" w:afterLines="50" w:line="360" w:lineRule="auto"/>
        <w:jc w:val="center"/>
        <w:outlineLvl w:val="0"/>
        <w:rPr>
          <w:b/>
          <w:bCs/>
          <w:sz w:val="28"/>
          <w:szCs w:val="28"/>
        </w:rPr>
      </w:pPr>
      <w:bookmarkStart w:id="86" w:name="_Toc3787"/>
      <w:bookmarkStart w:id="87" w:name="_Toc256000011"/>
      <w:r>
        <w:rPr>
          <w:b/>
          <w:bCs/>
          <w:sz w:val="28"/>
          <w:szCs w:val="28"/>
        </w:rPr>
        <w:t>第</w:t>
      </w:r>
      <w:r>
        <w:rPr>
          <w:rFonts w:hint="eastAsia"/>
          <w:b/>
          <w:bCs/>
          <w:sz w:val="28"/>
          <w:szCs w:val="28"/>
        </w:rPr>
        <w:t>四</w:t>
      </w:r>
      <w:r>
        <w:rPr>
          <w:b/>
          <w:bCs/>
          <w:sz w:val="28"/>
          <w:szCs w:val="28"/>
        </w:rPr>
        <w:t>章</w:t>
      </w:r>
      <w:r>
        <w:rPr>
          <w:rFonts w:hint="eastAsia"/>
          <w:b/>
          <w:bCs/>
          <w:sz w:val="28"/>
          <w:szCs w:val="28"/>
        </w:rPr>
        <w:t xml:space="preserve"> </w:t>
      </w:r>
      <w:r>
        <w:rPr>
          <w:b/>
          <w:bCs/>
          <w:sz w:val="28"/>
          <w:szCs w:val="28"/>
        </w:rPr>
        <w:t>投标人须知</w:t>
      </w:r>
      <w:bookmarkEnd w:id="87"/>
      <w:bookmarkEnd w:id="75"/>
      <w:bookmarkEnd w:id="86"/>
    </w:p>
    <w:p>
      <w:pPr>
        <w:adjustRightInd w:val="0"/>
        <w:snapToGrid w:val="0"/>
        <w:spacing w:before="156" w:beforeLines="50" w:after="156" w:afterLines="50" w:line="360" w:lineRule="auto"/>
        <w:ind w:left="420"/>
        <w:jc w:val="center"/>
        <w:outlineLvl w:val="1"/>
        <w:rPr>
          <w:b/>
          <w:bCs/>
          <w:sz w:val="28"/>
          <w:szCs w:val="28"/>
        </w:rPr>
      </w:pPr>
      <w:bookmarkStart w:id="88" w:name="_Toc15429"/>
      <w:bookmarkStart w:id="89" w:name="_Toc256000012"/>
      <w:r>
        <w:rPr>
          <w:rFonts w:hint="eastAsia"/>
          <w:b/>
          <w:bCs/>
          <w:sz w:val="28"/>
          <w:szCs w:val="28"/>
        </w:rPr>
        <w:t>第一部分 投标人须知前附表</w:t>
      </w:r>
      <w:bookmarkEnd w:id="89"/>
      <w:bookmarkEnd w:id="88"/>
    </w:p>
    <w:p>
      <w:pPr>
        <w:spacing w:line="360" w:lineRule="auto"/>
        <w:ind w:right="-1" w:firstLine="420" w:firstLineChars="200"/>
        <w:rPr>
          <w:rFonts w:asciiTheme="minorEastAsia" w:eastAsiaTheme="minorEastAsia" w:hAnsiTheme="minorEastAsia"/>
          <w:sz w:val="24"/>
        </w:rPr>
      </w:pPr>
      <w:r>
        <w:rPr>
          <w:rFonts w:asciiTheme="minorEastAsia" w:eastAsiaTheme="minorEastAsia" w:hAnsiTheme="minorEastAsia" w:hint="eastAsia"/>
          <w:sz w:val="24"/>
        </w:rPr>
        <w:t>说明：本投标人须知前附表的条款项号与《投标人须知通用条款》的条款项号一一对应，是对《投标人须知通用条款》补充、修改和完善，如果有矛盾之处，应以本投标人须知前附表为准。</w:t>
      </w:r>
    </w:p>
    <w:tbl>
      <w:tblPr>
        <w:tblStyle w:val="TableNormal"/>
        <w:tblW w:w="99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1314"/>
        <w:gridCol w:w="708"/>
        <w:gridCol w:w="1418"/>
        <w:gridCol w:w="6546"/>
      </w:tblGrid>
      <w:tr>
        <w:tblPrEx>
          <w:tblW w:w="99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2022" w:type="dxa"/>
            <w:gridSpan w:val="2"/>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b/>
                <w:sz w:val="24"/>
              </w:rPr>
            </w:pPr>
            <w:r>
              <w:rPr>
                <w:rFonts w:asciiTheme="minorEastAsia" w:eastAsiaTheme="minorEastAsia" w:hAnsiTheme="minorEastAsia" w:hint="default"/>
                <w:b/>
                <w:sz w:val="24"/>
              </w:rPr>
              <w:t>条款</w:t>
            </w:r>
            <w:r>
              <w:rPr>
                <w:rFonts w:asciiTheme="minorEastAsia" w:eastAsiaTheme="minorEastAsia" w:hAnsiTheme="minorEastAsia" w:hint="eastAsia"/>
                <w:b/>
                <w:sz w:val="24"/>
              </w:rPr>
              <w:t>项</w:t>
            </w:r>
            <w:r>
              <w:rPr>
                <w:rFonts w:asciiTheme="minorEastAsia" w:eastAsiaTheme="minorEastAsia" w:hAnsiTheme="minorEastAsia" w:hint="default"/>
                <w:b/>
                <w:sz w:val="24"/>
              </w:rPr>
              <w:t>号</w:t>
            </w:r>
          </w:p>
        </w:tc>
        <w:tc>
          <w:tcPr>
            <w:tcW w:w="1418"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b/>
                <w:sz w:val="24"/>
              </w:rPr>
            </w:pPr>
            <w:r>
              <w:rPr>
                <w:rFonts w:asciiTheme="minorEastAsia" w:eastAsiaTheme="minorEastAsia" w:hAnsiTheme="minorEastAsia" w:hint="eastAsia"/>
                <w:b/>
                <w:sz w:val="24"/>
              </w:rPr>
              <w:t>内容</w:t>
            </w:r>
          </w:p>
        </w:tc>
        <w:tc>
          <w:tcPr>
            <w:tcW w:w="6546"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b/>
                <w:sz w:val="24"/>
              </w:rPr>
            </w:pPr>
            <w:r>
              <w:rPr>
                <w:rFonts w:asciiTheme="minorEastAsia" w:eastAsiaTheme="minorEastAsia" w:hAnsiTheme="minorEastAsia" w:hint="eastAsia"/>
                <w:b/>
                <w:sz w:val="24"/>
              </w:rPr>
              <w:t>说明与要求</w:t>
            </w:r>
          </w:p>
        </w:tc>
      </w:tr>
      <w:tr>
        <w:tblPrEx>
          <w:tblW w:w="9986" w:type="dxa"/>
          <w:jc w:val="center"/>
          <w:tblLayout w:type="fixed"/>
          <w:tblCellMar>
            <w:top w:w="0" w:type="dxa"/>
            <w:left w:w="108" w:type="dxa"/>
            <w:bottom w:w="0" w:type="dxa"/>
            <w:right w:w="108" w:type="dxa"/>
          </w:tblCellMar>
        </w:tblPrEx>
        <w:trPr>
          <w:cantSplit/>
          <w:trHeight w:val="550"/>
          <w:jc w:val="center"/>
        </w:trPr>
        <w:tc>
          <w:tcPr>
            <w:tcW w:w="9986" w:type="dxa"/>
            <w:gridSpan w:val="4"/>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eastAsia"/>
                <w:b/>
                <w:sz w:val="24"/>
              </w:rPr>
              <w:t>二、招标文件</w:t>
            </w:r>
          </w:p>
        </w:tc>
      </w:tr>
      <w:tr>
        <w:tblPrEx>
          <w:tblW w:w="9986" w:type="dxa"/>
          <w:jc w:val="center"/>
          <w:tblLayout w:type="fixed"/>
          <w:tblCellMar>
            <w:top w:w="0" w:type="dxa"/>
            <w:left w:w="108" w:type="dxa"/>
            <w:bottom w:w="0" w:type="dxa"/>
            <w:right w:w="108" w:type="dxa"/>
          </w:tblCellMar>
        </w:tblPrEx>
        <w:trPr>
          <w:cantSplit/>
          <w:trHeight w:val="856"/>
          <w:jc w:val="center"/>
        </w:trPr>
        <w:tc>
          <w:tcPr>
            <w:tcW w:w="1314"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eastAsia"/>
                <w:sz w:val="24"/>
              </w:rPr>
              <w:t>（三）</w:t>
            </w:r>
          </w:p>
        </w:tc>
        <w:tc>
          <w:tcPr>
            <w:tcW w:w="708"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eastAsia"/>
                <w:sz w:val="24"/>
              </w:rPr>
              <w:t>1.</w:t>
            </w:r>
          </w:p>
        </w:tc>
        <w:tc>
          <w:tcPr>
            <w:tcW w:w="1418"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eastAsia"/>
                <w:sz w:val="24"/>
              </w:rPr>
              <w:t>现场考察或答疑会</w:t>
            </w:r>
          </w:p>
        </w:tc>
        <w:tc>
          <w:tcPr>
            <w:tcW w:w="6546" w:type="dxa"/>
            <w:vAlign w:val="center"/>
          </w:tcPr>
          <w:p>
            <w:pPr>
              <w:pStyle w:val="ListParagraph"/>
              <w:keepNext w:val="0"/>
              <w:keepLines w:val="0"/>
              <w:numPr>
                <w:ilvl w:val="0"/>
                <w:numId w:val="0"/>
              </w:numPr>
              <w:suppressLineNumbers w:val="0"/>
              <w:tabs>
                <w:tab w:val="left" w:pos="241"/>
                <w:tab w:val="left" w:pos="601"/>
              </w:tabs>
              <w:adjustRightInd w:val="0"/>
              <w:snapToGrid w:val="0"/>
              <w:spacing w:before="0" w:beforeAutospacing="0" w:after="0" w:afterAutospacing="0"/>
              <w:ind w:right="0" w:leftChars="0" w:rightChars="0"/>
              <w:rPr>
                <w:rFonts w:asciiTheme="minorEastAsia" w:eastAsiaTheme="minorEastAsia" w:hAnsiTheme="minorEastAsia" w:hint="default"/>
                <w:color w:val="FF0000"/>
                <w:sz w:val="24"/>
              </w:rPr>
            </w:pPr>
            <w:r>
              <w:rPr>
                <w:rFonts w:asciiTheme="minorEastAsia" w:eastAsiaTheme="minorEastAsia" w:hAnsiTheme="minorEastAsia" w:hint="eastAsia"/>
                <w:sz w:val="24"/>
              </w:rPr>
              <w:t>不举行</w:t>
            </w:r>
          </w:p>
        </w:tc>
      </w:tr>
      <w:tr>
        <w:tblPrEx>
          <w:tblW w:w="9986" w:type="dxa"/>
          <w:jc w:val="center"/>
          <w:tblLayout w:type="fixed"/>
          <w:tblCellMar>
            <w:top w:w="0" w:type="dxa"/>
            <w:left w:w="108" w:type="dxa"/>
            <w:bottom w:w="0" w:type="dxa"/>
            <w:right w:w="108" w:type="dxa"/>
          </w:tblCellMar>
        </w:tblPrEx>
        <w:trPr>
          <w:cantSplit/>
          <w:trHeight w:val="629"/>
          <w:jc w:val="center"/>
        </w:trPr>
        <w:tc>
          <w:tcPr>
            <w:tcW w:w="9986" w:type="dxa"/>
            <w:gridSpan w:val="4"/>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b/>
                <w:sz w:val="24"/>
              </w:rPr>
            </w:pPr>
            <w:r>
              <w:rPr>
                <w:rFonts w:asciiTheme="minorEastAsia" w:eastAsiaTheme="minorEastAsia" w:hAnsiTheme="minorEastAsia" w:hint="default"/>
                <w:b/>
                <w:sz w:val="24"/>
              </w:rPr>
              <w:t>三、投标文件的编制</w:t>
            </w:r>
          </w:p>
        </w:tc>
      </w:tr>
      <w:tr>
        <w:tblPrEx>
          <w:tblW w:w="9986" w:type="dxa"/>
          <w:jc w:val="center"/>
          <w:tblLayout w:type="fixed"/>
          <w:tblCellMar>
            <w:top w:w="0" w:type="dxa"/>
            <w:left w:w="108" w:type="dxa"/>
            <w:bottom w:w="0" w:type="dxa"/>
            <w:right w:w="108" w:type="dxa"/>
          </w:tblCellMar>
        </w:tblPrEx>
        <w:trPr>
          <w:trHeight w:val="2880"/>
          <w:jc w:val="center"/>
        </w:trPr>
        <w:tc>
          <w:tcPr>
            <w:tcW w:w="1314"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eastAsia"/>
                <w:sz w:val="24"/>
              </w:rPr>
              <w:t>（四）</w:t>
            </w:r>
          </w:p>
        </w:tc>
        <w:tc>
          <w:tcPr>
            <w:tcW w:w="708"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default"/>
                <w:sz w:val="24"/>
              </w:rPr>
              <w:t>1</w:t>
            </w:r>
            <w:r>
              <w:rPr>
                <w:rFonts w:asciiTheme="minorEastAsia" w:eastAsiaTheme="minorEastAsia" w:hAnsiTheme="minorEastAsia" w:hint="eastAsia"/>
                <w:sz w:val="24"/>
              </w:rPr>
              <w:t>.</w:t>
            </w:r>
          </w:p>
        </w:tc>
        <w:tc>
          <w:tcPr>
            <w:tcW w:w="1418"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default"/>
                <w:sz w:val="24"/>
              </w:rPr>
              <w:t>投标文件</w:t>
            </w:r>
            <w:r>
              <w:rPr>
                <w:rFonts w:asciiTheme="minorEastAsia" w:eastAsiaTheme="minorEastAsia" w:hAnsiTheme="minorEastAsia" w:hint="eastAsia"/>
                <w:sz w:val="24"/>
              </w:rPr>
              <w:t>式样</w:t>
            </w:r>
          </w:p>
        </w:tc>
        <w:tc>
          <w:tcPr>
            <w:tcW w:w="6546" w:type="dxa"/>
            <w:vAlign w:val="center"/>
          </w:tcPr>
          <w:p>
            <w:pPr>
              <w:pStyle w:val="ListParagraph"/>
              <w:keepNext w:val="0"/>
              <w:keepLines w:val="0"/>
              <w:suppressLineNumbers w:val="0"/>
              <w:tabs>
                <w:tab w:val="left" w:pos="459"/>
                <w:tab w:val="left" w:pos="601"/>
              </w:tabs>
              <w:adjustRightInd w:val="0"/>
              <w:snapToGrid w:val="0"/>
              <w:spacing w:before="0" w:beforeAutospacing="0" w:after="0" w:afterAutospacing="0"/>
              <w:ind w:left="0" w:right="0" w:firstLine="0" w:firstLineChars="0"/>
              <w:rPr>
                <w:rFonts w:asciiTheme="minorEastAsia" w:eastAsiaTheme="minorEastAsia" w:hAnsiTheme="minorEastAsia" w:cs="宋体" w:hint="default"/>
                <w:sz w:val="24"/>
                <w:lang w:eastAsia="zh-TW"/>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lang w:eastAsia="zh-TW"/>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hint="default"/>
              </w:rPr>
              <w:fldChar w:fldCharType="begin"/>
            </w:r>
            <w:r>
              <w:rPr>
                <w:rFonts w:hint="default"/>
              </w:rPr>
              <w:instrText xml:space="preserve"> HYPERLINK "http://zfcg.szggzy.com/TPBidder/DownLoad/深圳市智慧采购平台投标文件制作专用软件.zip】。" </w:instrText>
            </w:r>
            <w:r>
              <w:rPr>
                <w:rFonts w:hint="default"/>
              </w:rPr>
              <w:fldChar w:fldCharType="separate"/>
            </w:r>
            <w:r>
              <w:rPr>
                <w:rFonts w:asciiTheme="minorEastAsia" w:eastAsiaTheme="minorEastAsia" w:hAnsiTheme="minorEastAsia" w:cs="宋体" w:hint="eastAsia"/>
                <w:sz w:val="24"/>
                <w:lang w:eastAsia="zh-TW"/>
              </w:rPr>
              <w:t>http://zfcg.szggzy.com/TPBidder/DownLoad/深圳市智慧采购平台投标文件制作专用软件.zip】。</w:t>
            </w:r>
            <w:r>
              <w:rPr>
                <w:rFonts w:asciiTheme="minorEastAsia" w:eastAsiaTheme="minorEastAsia" w:hAnsiTheme="minorEastAsia" w:cs="宋体" w:hint="eastAsia"/>
                <w:sz w:val="24"/>
                <w:lang w:eastAsia="zh-TW"/>
              </w:rPr>
              <w:fldChar w:fldCharType="end"/>
            </w:r>
          </w:p>
          <w:p>
            <w:pPr>
              <w:pStyle w:val="ListParagraph"/>
              <w:keepNext w:val="0"/>
              <w:keepLines w:val="0"/>
              <w:suppressLineNumbers w:val="0"/>
              <w:tabs>
                <w:tab w:val="left" w:pos="459"/>
                <w:tab w:val="left" w:pos="601"/>
              </w:tabs>
              <w:adjustRightInd w:val="0"/>
              <w:snapToGrid w:val="0"/>
              <w:spacing w:before="0" w:beforeAutospacing="0" w:after="0" w:afterAutospacing="0"/>
              <w:ind w:left="0" w:right="0" w:firstLine="0" w:firstLineChars="0"/>
              <w:rPr>
                <w:rFonts w:asciiTheme="minorEastAsia" w:eastAsiaTheme="minorEastAsia" w:hAnsiTheme="minorEastAsia" w:cs="宋体" w:hint="default"/>
                <w:sz w:val="24"/>
                <w:lang w:eastAsia="zh-TW"/>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lang w:eastAsia="zh-TW"/>
              </w:rPr>
              <w:t>投标文件必须是通过在</w:t>
            </w:r>
            <w:r>
              <w:rPr>
                <w:rFonts w:asciiTheme="minorEastAsia" w:eastAsiaTheme="minorEastAsia" w:hAnsiTheme="minorEastAsia" w:cs="宋体" w:hint="eastAsia"/>
                <w:sz w:val="24"/>
              </w:rPr>
              <w:t>深圳政府采购智慧平台（http://zfcg.szggzy.com:8081/）</w:t>
            </w:r>
            <w:r>
              <w:rPr>
                <w:rFonts w:asciiTheme="minorEastAsia" w:eastAsiaTheme="minorEastAsia" w:hAnsiTheme="minorEastAsia" w:cs="宋体" w:hint="eastAsia"/>
                <w:sz w:val="24"/>
                <w:lang w:eastAsia="zh-TW"/>
              </w:rPr>
              <w:t>下载的最新版投标文件编制软件制作的，并使用投标人密钥及正确加密规则加密成功的电子档文件；投标人自行承担错误操作投标文件编制软件或使用了旧版本的投标文件编制软件制作投标文件使投标文件无法打开、资料缺失、无法显示等情况导致的扣分、废标等不良后果；不正确加密的投标文件将导致其投标被拒绝。</w:t>
            </w:r>
          </w:p>
        </w:tc>
      </w:tr>
      <w:tr>
        <w:tblPrEx>
          <w:tblW w:w="9986" w:type="dxa"/>
          <w:jc w:val="center"/>
          <w:tblLayout w:type="fixed"/>
          <w:tblCellMar>
            <w:top w:w="0" w:type="dxa"/>
            <w:left w:w="108" w:type="dxa"/>
            <w:bottom w:w="0" w:type="dxa"/>
            <w:right w:w="108" w:type="dxa"/>
          </w:tblCellMar>
        </w:tblPrEx>
        <w:trPr>
          <w:trHeight w:val="1307"/>
          <w:jc w:val="center"/>
        </w:trPr>
        <w:tc>
          <w:tcPr>
            <w:tcW w:w="1314" w:type="dxa"/>
            <w:vMerge w:val="restart"/>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eastAsia"/>
                <w:sz w:val="24"/>
              </w:rPr>
              <w:t>（五）</w:t>
            </w:r>
          </w:p>
        </w:tc>
        <w:tc>
          <w:tcPr>
            <w:tcW w:w="708" w:type="dxa"/>
            <w:vAlign w:val="center"/>
          </w:tcPr>
          <w:p>
            <w:pPr>
              <w:keepNext w:val="0"/>
              <w:keepLines w:val="0"/>
              <w:suppressLineNumbers w:val="0"/>
              <w:spacing w:before="0" w:beforeAutospacing="0" w:after="0" w:afterAutospacing="0"/>
              <w:ind w:left="0" w:right="0"/>
              <w:jc w:val="center"/>
              <w:rPr>
                <w:rFonts w:ascii="宋体" w:hAnsi="宋体" w:cs="宋体" w:hint="default"/>
                <w:sz w:val="24"/>
              </w:rPr>
            </w:pPr>
            <w:r>
              <w:rPr>
                <w:rFonts w:ascii="宋体" w:hAnsi="宋体" w:cs="宋体" w:hint="eastAsia"/>
                <w:sz w:val="24"/>
              </w:rPr>
              <w:t>1.</w:t>
            </w:r>
          </w:p>
        </w:tc>
        <w:tc>
          <w:tcPr>
            <w:tcW w:w="1418" w:type="dxa"/>
            <w:vAlign w:val="center"/>
          </w:tcPr>
          <w:p>
            <w:pPr>
              <w:keepNext w:val="0"/>
              <w:keepLines w:val="0"/>
              <w:suppressLineNumbers w:val="0"/>
              <w:spacing w:before="0" w:beforeAutospacing="0" w:after="0" w:afterAutospacing="0"/>
              <w:ind w:left="0" w:right="0"/>
              <w:jc w:val="center"/>
              <w:rPr>
                <w:rFonts w:ascii="宋体" w:hAnsi="宋体" w:cs="宋体" w:hint="default"/>
                <w:sz w:val="24"/>
              </w:rPr>
            </w:pPr>
            <w:r>
              <w:rPr>
                <w:rFonts w:ascii="宋体" w:hAnsi="宋体" w:cs="宋体" w:hint="eastAsia"/>
                <w:sz w:val="24"/>
              </w:rPr>
              <w:t>投标报价</w:t>
            </w:r>
          </w:p>
        </w:tc>
        <w:tc>
          <w:tcPr>
            <w:tcW w:w="6546" w:type="dxa"/>
            <w:vAlign w:val="center"/>
          </w:tcPr>
          <w:p>
            <w:pPr>
              <w:pStyle w:val="ListParagraph"/>
              <w:keepNext w:val="0"/>
              <w:keepLines w:val="0"/>
              <w:suppressLineNumbers w:val="0"/>
              <w:tabs>
                <w:tab w:val="left" w:pos="459"/>
                <w:tab w:val="left" w:pos="601"/>
              </w:tabs>
              <w:adjustRightInd w:val="0"/>
              <w:snapToGrid w:val="0"/>
              <w:spacing w:before="0" w:beforeAutospacing="0" w:after="0" w:afterAutospacing="0"/>
              <w:ind w:left="0" w:right="0" w:firstLine="0" w:firstLineChars="0"/>
              <w:rPr>
                <w:rFonts w:asciiTheme="minorEastAsia" w:eastAsiaTheme="minorEastAsia" w:hAnsiTheme="minorEastAsia" w:cs="宋体" w:hint="default"/>
                <w:sz w:val="24"/>
              </w:rPr>
            </w:pPr>
            <w:r>
              <w:rPr>
                <w:rFonts w:asciiTheme="minorEastAsia" w:eastAsiaTheme="minorEastAsia" w:hAnsiTheme="minorEastAsia" w:cs="宋体" w:hint="eastAsia"/>
                <w:sz w:val="24"/>
              </w:rPr>
              <w:t>（1）投标报价（总价）中不得包含招标文件要求以外的内容，否则，在评标时不予核减。</w:t>
            </w:r>
          </w:p>
          <w:p>
            <w:pPr>
              <w:pStyle w:val="ListParagraph"/>
              <w:keepNext w:val="0"/>
              <w:keepLines w:val="0"/>
              <w:suppressLineNumbers w:val="0"/>
              <w:tabs>
                <w:tab w:val="left" w:pos="459"/>
                <w:tab w:val="left" w:pos="601"/>
              </w:tabs>
              <w:adjustRightInd w:val="0"/>
              <w:snapToGrid w:val="0"/>
              <w:spacing w:before="0" w:beforeAutospacing="0" w:after="0" w:afterAutospacing="0"/>
              <w:ind w:left="0" w:right="0" w:firstLine="0" w:firstLineChars="0"/>
              <w:rPr>
                <w:rFonts w:ascii="宋体" w:hAnsi="宋体" w:cs="宋体" w:hint="default"/>
                <w:color w:val="00B0F0"/>
                <w:sz w:val="24"/>
              </w:rPr>
            </w:pPr>
            <w:r>
              <w:rPr>
                <w:rFonts w:asciiTheme="minorEastAsia" w:eastAsiaTheme="minorEastAsia" w:hAnsiTheme="minorEastAsia" w:cs="宋体" w:hint="eastAsia"/>
                <w:sz w:val="24"/>
              </w:rPr>
              <w:t>（2）若投标报价有缺漏项的，缺漏项部分的价格视为已包含在投标报价中，中标后不作任何调整。</w:t>
            </w:r>
          </w:p>
        </w:tc>
      </w:tr>
      <w:tr>
        <w:tblPrEx>
          <w:tblW w:w="9986" w:type="dxa"/>
          <w:jc w:val="center"/>
          <w:tblLayout w:type="fixed"/>
          <w:tblCellMar>
            <w:top w:w="0" w:type="dxa"/>
            <w:left w:w="108" w:type="dxa"/>
            <w:bottom w:w="0" w:type="dxa"/>
            <w:right w:w="108" w:type="dxa"/>
          </w:tblCellMar>
        </w:tblPrEx>
        <w:trPr>
          <w:trHeight w:val="2584"/>
          <w:jc w:val="center"/>
        </w:trPr>
        <w:tc>
          <w:tcPr>
            <w:tcW w:w="1314" w:type="dxa"/>
            <w:vMerge/>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p>
        </w:tc>
        <w:tc>
          <w:tcPr>
            <w:tcW w:w="708" w:type="dxa"/>
            <w:vAlign w:val="center"/>
          </w:tcPr>
          <w:p>
            <w:pPr>
              <w:keepNext w:val="0"/>
              <w:keepLines w:val="0"/>
              <w:suppressLineNumbers w:val="0"/>
              <w:spacing w:before="0" w:beforeAutospacing="0" w:after="0" w:afterAutospacing="0"/>
              <w:ind w:left="0" w:right="0"/>
              <w:jc w:val="center"/>
              <w:rPr>
                <w:rFonts w:ascii="宋体" w:hAnsi="宋体" w:cs="宋体" w:hint="default"/>
                <w:color w:val="00B0F0"/>
                <w:sz w:val="24"/>
              </w:rPr>
            </w:pPr>
            <w:r>
              <w:rPr>
                <w:rFonts w:asciiTheme="minorEastAsia" w:eastAsiaTheme="minorEastAsia" w:hAnsiTheme="minorEastAsia" w:hint="eastAsia"/>
                <w:sz w:val="24"/>
              </w:rPr>
              <w:t>2.</w:t>
            </w:r>
          </w:p>
        </w:tc>
        <w:tc>
          <w:tcPr>
            <w:tcW w:w="1418" w:type="dxa"/>
            <w:vAlign w:val="center"/>
          </w:tcPr>
          <w:p>
            <w:pPr>
              <w:keepNext w:val="0"/>
              <w:keepLines w:val="0"/>
              <w:suppressLineNumbers w:val="0"/>
              <w:spacing w:before="0" w:beforeAutospacing="0" w:after="0" w:afterAutospacing="0"/>
              <w:ind w:left="0" w:right="0"/>
              <w:jc w:val="center"/>
              <w:rPr>
                <w:rFonts w:ascii="宋体" w:hAnsi="宋体" w:cs="宋体" w:hint="default"/>
                <w:color w:val="00B0F0"/>
                <w:sz w:val="24"/>
              </w:rPr>
            </w:pPr>
            <w:r>
              <w:rPr>
                <w:rFonts w:ascii="宋体" w:hAnsi="宋体" w:cs="宋体" w:hint="eastAsia"/>
                <w:sz w:val="24"/>
              </w:rPr>
              <w:t>投标分项报价</w:t>
            </w:r>
          </w:p>
        </w:tc>
        <w:tc>
          <w:tcPr>
            <w:tcW w:w="6546" w:type="dxa"/>
            <w:vAlign w:val="center"/>
          </w:tcPr>
          <w:p>
            <w:pPr>
              <w:keepNext w:val="0"/>
              <w:keepLines w:val="0"/>
              <w:suppressLineNumbers w:val="0"/>
              <w:tabs>
                <w:tab w:val="left" w:pos="459"/>
                <w:tab w:val="left" w:pos="601"/>
              </w:tabs>
              <w:adjustRightInd w:val="0"/>
              <w:snapToGrid w:val="0"/>
              <w:spacing w:before="0" w:beforeAutospacing="0" w:after="0" w:afterAutospacing="0"/>
              <w:ind w:left="0" w:right="0"/>
              <w:rPr>
                <w:rFonts w:asciiTheme="minorEastAsia" w:eastAsiaTheme="minorEastAsia" w:hAnsiTheme="minorEastAsia" w:cs="宋体" w:hint="default"/>
                <w:sz w:val="24"/>
              </w:rPr>
            </w:pPr>
            <w:r>
              <w:rPr>
                <w:rFonts w:asciiTheme="minorEastAsia" w:eastAsiaTheme="minorEastAsia" w:hAnsiTheme="minorEastAsia" w:cs="宋体" w:hint="eastAsia"/>
                <w:sz w:val="24"/>
              </w:rPr>
              <w:t>包含但不仅仅限于</w:t>
            </w:r>
          </w:p>
          <w:p>
            <w:pPr>
              <w:keepNext w:val="0"/>
              <w:keepLines w:val="0"/>
              <w:suppressLineNumbers w:val="0"/>
              <w:tabs>
                <w:tab w:val="left" w:pos="459"/>
                <w:tab w:val="left" w:pos="601"/>
              </w:tabs>
              <w:adjustRightInd w:val="0"/>
              <w:snapToGrid w:val="0"/>
              <w:spacing w:before="0" w:beforeAutospacing="0" w:after="0" w:afterAutospacing="0"/>
              <w:ind w:left="0" w:right="0"/>
              <w:rPr>
                <w:rFonts w:ascii="宋体" w:hAnsi="宋体" w:cs="宋体" w:hint="default"/>
                <w:color w:val="00B0F0"/>
                <w:sz w:val="24"/>
              </w:rPr>
            </w:pPr>
            <w:r>
              <w:rPr>
                <w:rFonts w:asciiTheme="minorEastAsia" w:eastAsiaTheme="minorEastAsia" w:hAnsiTheme="minorEastAsia" w:cs="宋体" w:hint="eastAsia"/>
                <w:sz w:val="24"/>
                <w:lang w:val="zh-CN"/>
              </w:rPr>
              <w:t>①全部产品价格、服务价格、应向中华人民共和国政府缴纳的增值税和其它税等全部税费、</w:t>
            </w:r>
            <w:r>
              <w:rPr>
                <w:rFonts w:asciiTheme="minorEastAsia" w:eastAsiaTheme="minorEastAsia" w:hAnsiTheme="minorEastAsia" w:cs="宋体" w:hint="default"/>
                <w:sz w:val="24"/>
                <w:lang w:val="zh-CN"/>
              </w:rPr>
              <w:t>运输、保险、安装、伴随服务、</w:t>
            </w:r>
            <w:r>
              <w:rPr>
                <w:rFonts w:asciiTheme="minorEastAsia" w:eastAsiaTheme="minorEastAsia" w:hAnsiTheme="minorEastAsia" w:cs="宋体" w:hint="eastAsia"/>
                <w:sz w:val="24"/>
                <w:lang w:val="zh-CN"/>
              </w:rPr>
              <w:t>标准附件价、备品备件及专用工具价</w:t>
            </w:r>
            <w:r>
              <w:rPr>
                <w:rFonts w:asciiTheme="minorEastAsia" w:eastAsiaTheme="minorEastAsia" w:hAnsiTheme="minorEastAsia" w:cs="宋体" w:hint="default"/>
                <w:sz w:val="24"/>
                <w:lang w:val="zh-CN"/>
              </w:rPr>
              <w:t>(</w:t>
            </w:r>
            <w:r>
              <w:rPr>
                <w:rFonts w:asciiTheme="minorEastAsia" w:eastAsiaTheme="minorEastAsia" w:hAnsiTheme="minorEastAsia" w:cs="宋体" w:hint="eastAsia"/>
                <w:sz w:val="24"/>
                <w:lang w:val="zh-CN"/>
              </w:rPr>
              <w:t>如有</w:t>
            </w:r>
            <w:r>
              <w:rPr>
                <w:rFonts w:asciiTheme="minorEastAsia" w:eastAsiaTheme="minorEastAsia" w:hAnsiTheme="minorEastAsia" w:cs="宋体" w:hint="default"/>
                <w:sz w:val="24"/>
                <w:lang w:val="zh-CN"/>
              </w:rPr>
              <w:t>)、以及</w:t>
            </w:r>
            <w:r>
              <w:rPr>
                <w:rFonts w:asciiTheme="minorEastAsia" w:eastAsiaTheme="minorEastAsia" w:hAnsiTheme="minorEastAsia" w:cs="宋体" w:hint="eastAsia"/>
                <w:sz w:val="24"/>
                <w:lang w:val="zh-CN"/>
              </w:rPr>
              <w:t>履行合同所需的费用、</w:t>
            </w:r>
            <w:r>
              <w:rPr>
                <w:rFonts w:asciiTheme="minorEastAsia" w:eastAsiaTheme="minorEastAsia" w:hAnsiTheme="minorEastAsia" w:cs="宋体" w:hint="default"/>
                <w:sz w:val="24"/>
                <w:lang w:val="zh-CN"/>
              </w:rPr>
              <w:t>所有风险、责任等</w:t>
            </w:r>
            <w:r>
              <w:rPr>
                <w:rFonts w:asciiTheme="minorEastAsia" w:eastAsiaTheme="minorEastAsia" w:hAnsiTheme="minorEastAsia" w:cs="宋体" w:hint="eastAsia"/>
                <w:sz w:val="24"/>
                <w:lang w:val="zh-CN"/>
              </w:rPr>
              <w:t>其他一切隐含及不可预见的费用</w:t>
            </w:r>
            <w:r>
              <w:rPr>
                <w:rFonts w:asciiTheme="minorEastAsia" w:eastAsiaTheme="minorEastAsia" w:hAnsiTheme="minorEastAsia" w:cs="宋体" w:hint="default"/>
                <w:sz w:val="24"/>
                <w:lang w:val="zh-CN"/>
              </w:rPr>
              <w:t>。如是</w:t>
            </w:r>
            <w:r>
              <w:rPr>
                <w:rFonts w:asciiTheme="minorEastAsia" w:eastAsiaTheme="minorEastAsia" w:hAnsiTheme="minorEastAsia" w:cs="宋体" w:hint="eastAsia"/>
                <w:sz w:val="24"/>
                <w:lang w:val="zh-CN"/>
              </w:rPr>
              <w:t>提供境外的货物，还应包括货物从境外进口己缴纳或应缴纳的全部关税、增值税和其它税、报货物境外离岸价格、国外运输费、国外运输保险费等费用。</w:t>
            </w:r>
          </w:p>
        </w:tc>
      </w:tr>
      <w:tr>
        <w:tblPrEx>
          <w:tblW w:w="9986" w:type="dxa"/>
          <w:jc w:val="center"/>
          <w:tblLayout w:type="fixed"/>
          <w:tblCellMar>
            <w:top w:w="0" w:type="dxa"/>
            <w:left w:w="108" w:type="dxa"/>
            <w:bottom w:w="0" w:type="dxa"/>
            <w:right w:w="108" w:type="dxa"/>
          </w:tblCellMar>
        </w:tblPrEx>
        <w:trPr>
          <w:trHeight w:val="824"/>
          <w:jc w:val="center"/>
        </w:trPr>
        <w:tc>
          <w:tcPr>
            <w:tcW w:w="1314" w:type="dxa"/>
            <w:vMerge/>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p>
        </w:tc>
        <w:tc>
          <w:tcPr>
            <w:tcW w:w="708"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eastAsia"/>
                <w:sz w:val="24"/>
              </w:rPr>
              <w:t>4.</w:t>
            </w:r>
          </w:p>
        </w:tc>
        <w:tc>
          <w:tcPr>
            <w:tcW w:w="1418" w:type="dxa"/>
            <w:vAlign w:val="center"/>
          </w:tcPr>
          <w:p>
            <w:pPr>
              <w:keepNext w:val="0"/>
              <w:keepLines w:val="0"/>
              <w:suppressLineNumbers w:val="0"/>
              <w:spacing w:before="0" w:beforeAutospacing="0" w:after="0" w:afterAutospacing="0"/>
              <w:ind w:left="0" w:right="0"/>
              <w:jc w:val="center"/>
              <w:rPr>
                <w:rFonts w:ascii="宋体" w:hAnsi="宋体" w:cs="宋体" w:hint="default"/>
                <w:sz w:val="24"/>
              </w:rPr>
            </w:pPr>
            <w:r>
              <w:rPr>
                <w:rFonts w:ascii="宋体" w:hAnsi="宋体" w:cs="宋体" w:hint="eastAsia"/>
                <w:sz w:val="24"/>
              </w:rPr>
              <w:t>备选方案</w:t>
            </w:r>
          </w:p>
        </w:tc>
        <w:tc>
          <w:tcPr>
            <w:tcW w:w="6546" w:type="dxa"/>
            <w:vAlign w:val="center"/>
          </w:tcPr>
          <w:p>
            <w:pPr>
              <w:keepNext w:val="0"/>
              <w:keepLines w:val="0"/>
              <w:suppressLineNumbers w:val="0"/>
              <w:tabs>
                <w:tab w:val="left" w:pos="459"/>
                <w:tab w:val="left" w:pos="601"/>
              </w:tabs>
              <w:adjustRightInd w:val="0"/>
              <w:snapToGrid w:val="0"/>
              <w:spacing w:before="0" w:beforeAutospacing="0" w:after="0" w:afterAutospacing="0"/>
              <w:ind w:left="0" w:right="0"/>
              <w:rPr>
                <w:rFonts w:asciiTheme="minorEastAsia" w:eastAsiaTheme="minorEastAsia" w:hAnsiTheme="minorEastAsia" w:cs="宋体" w:hint="default"/>
                <w:sz w:val="24"/>
                <w:lang w:val="zh-CN"/>
              </w:rPr>
            </w:pPr>
            <w:r>
              <w:rPr>
                <w:rFonts w:asciiTheme="minorEastAsia" w:eastAsiaTheme="minorEastAsia" w:hAnsiTheme="minorEastAsia" w:cs="宋体" w:hint="eastAsia"/>
                <w:sz w:val="24"/>
                <w:lang w:val="zh-CN"/>
              </w:rPr>
              <w:t>不允许,每项报价或每种规格货物或每项服务只允许有一个报价，否则将被视为无效投标。</w:t>
            </w:r>
          </w:p>
        </w:tc>
      </w:tr>
      <w:tr>
        <w:tblPrEx>
          <w:tblW w:w="9986" w:type="dxa"/>
          <w:jc w:val="center"/>
          <w:tblLayout w:type="fixed"/>
          <w:tblCellMar>
            <w:top w:w="0" w:type="dxa"/>
            <w:left w:w="108" w:type="dxa"/>
            <w:bottom w:w="0" w:type="dxa"/>
            <w:right w:w="108" w:type="dxa"/>
          </w:tblCellMar>
        </w:tblPrEx>
        <w:trPr>
          <w:trHeight w:val="542"/>
          <w:jc w:val="center"/>
        </w:trPr>
        <w:tc>
          <w:tcPr>
            <w:tcW w:w="1314"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eastAsia"/>
                <w:sz w:val="24"/>
              </w:rPr>
              <w:t>（十一）</w:t>
            </w:r>
          </w:p>
        </w:tc>
        <w:tc>
          <w:tcPr>
            <w:tcW w:w="708"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default"/>
                <w:sz w:val="24"/>
              </w:rPr>
              <w:t>1</w:t>
            </w:r>
            <w:r>
              <w:rPr>
                <w:rFonts w:asciiTheme="minorEastAsia" w:eastAsiaTheme="minorEastAsia" w:hAnsiTheme="minorEastAsia" w:hint="eastAsia"/>
                <w:sz w:val="24"/>
              </w:rPr>
              <w:t>.</w:t>
            </w:r>
          </w:p>
        </w:tc>
        <w:tc>
          <w:tcPr>
            <w:tcW w:w="1418"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default"/>
                <w:sz w:val="24"/>
              </w:rPr>
              <w:t>投标有效期</w:t>
            </w:r>
          </w:p>
        </w:tc>
        <w:tc>
          <w:tcPr>
            <w:tcW w:w="6546"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r>
              <w:rPr>
                <w:rFonts w:asciiTheme="minorEastAsia" w:eastAsiaTheme="minorEastAsia" w:hAnsiTheme="minorEastAsia" w:hint="default"/>
                <w:sz w:val="24"/>
                <w:u w:val="single"/>
              </w:rPr>
              <w:t>90</w:t>
            </w:r>
            <w:r>
              <w:rPr>
                <w:rFonts w:asciiTheme="minorEastAsia" w:eastAsiaTheme="minorEastAsia" w:hAnsiTheme="minorEastAsia" w:hint="eastAsia"/>
                <w:sz w:val="24"/>
              </w:rPr>
              <w:t>日历日。</w:t>
            </w:r>
            <w:r>
              <w:rPr>
                <w:rFonts w:ascii="宋体" w:hAnsi="宋体" w:cs="宋体" w:hint="eastAsia"/>
                <w:sz w:val="24"/>
                <w:lang w:eastAsia="zh-TW"/>
              </w:rPr>
              <w:t>投标有效期不足的投标</w:t>
            </w:r>
            <w:r>
              <w:rPr>
                <w:rFonts w:ascii="宋体" w:hAnsi="宋体" w:cs="宋体" w:hint="eastAsia"/>
                <w:sz w:val="24"/>
              </w:rPr>
              <w:t>，</w:t>
            </w:r>
            <w:r>
              <w:rPr>
                <w:rFonts w:ascii="宋体" w:hAnsi="宋体" w:cs="宋体" w:hint="eastAsia"/>
                <w:sz w:val="24"/>
                <w:lang w:eastAsia="zh-TW"/>
              </w:rPr>
              <w:t>将被</w:t>
            </w:r>
            <w:r>
              <w:rPr>
                <w:rFonts w:ascii="宋体" w:hAnsi="宋体" w:cs="宋体" w:hint="eastAsia"/>
                <w:sz w:val="24"/>
              </w:rPr>
              <w:t>视为</w:t>
            </w:r>
            <w:r>
              <w:rPr>
                <w:rFonts w:ascii="宋体" w:hAnsi="宋体" w:cs="宋体" w:hint="eastAsia"/>
                <w:b/>
                <w:sz w:val="24"/>
              </w:rPr>
              <w:t>无效投标</w:t>
            </w:r>
            <w:r>
              <w:rPr>
                <w:rFonts w:ascii="宋体" w:hAnsi="宋体" w:cs="宋体" w:hint="eastAsia"/>
                <w:sz w:val="24"/>
              </w:rPr>
              <w:t>。</w:t>
            </w:r>
          </w:p>
        </w:tc>
      </w:tr>
      <w:tr>
        <w:tblPrEx>
          <w:tblW w:w="9986" w:type="dxa"/>
          <w:jc w:val="center"/>
          <w:tblLayout w:type="fixed"/>
          <w:tblCellMar>
            <w:top w:w="0" w:type="dxa"/>
            <w:left w:w="108" w:type="dxa"/>
            <w:bottom w:w="0" w:type="dxa"/>
            <w:right w:w="108" w:type="dxa"/>
          </w:tblCellMar>
        </w:tblPrEx>
        <w:trPr>
          <w:trHeight w:val="421"/>
          <w:jc w:val="center"/>
        </w:trPr>
        <w:tc>
          <w:tcPr>
            <w:tcW w:w="9986" w:type="dxa"/>
            <w:gridSpan w:val="4"/>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b/>
                <w:sz w:val="24"/>
              </w:rPr>
            </w:pPr>
            <w:r>
              <w:rPr>
                <w:rFonts w:asciiTheme="minorEastAsia" w:eastAsiaTheme="minorEastAsia" w:hAnsiTheme="minorEastAsia" w:hint="eastAsia"/>
                <w:b/>
                <w:sz w:val="24"/>
              </w:rPr>
              <w:t>五、开标、评标、定标与合同签订</w:t>
            </w:r>
          </w:p>
        </w:tc>
      </w:tr>
      <w:tr>
        <w:tblPrEx>
          <w:tblW w:w="9986" w:type="dxa"/>
          <w:jc w:val="center"/>
          <w:tblLayout w:type="fixed"/>
          <w:tblCellMar>
            <w:top w:w="0" w:type="dxa"/>
            <w:left w:w="108" w:type="dxa"/>
            <w:bottom w:w="0" w:type="dxa"/>
            <w:right w:w="108" w:type="dxa"/>
          </w:tblCellMar>
        </w:tblPrEx>
        <w:trPr>
          <w:trHeight w:val="988"/>
          <w:jc w:val="center"/>
        </w:trPr>
        <w:tc>
          <w:tcPr>
            <w:tcW w:w="1314" w:type="dxa"/>
            <w:vMerge w:val="restart"/>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eastAsia"/>
                <w:sz w:val="24"/>
              </w:rPr>
              <w:t>（二）</w:t>
            </w:r>
          </w:p>
        </w:tc>
        <w:tc>
          <w:tcPr>
            <w:tcW w:w="708"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eastAsia"/>
                <w:sz w:val="24"/>
              </w:rPr>
              <w:t>1.</w:t>
            </w:r>
          </w:p>
        </w:tc>
        <w:tc>
          <w:tcPr>
            <w:tcW w:w="1418"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eastAsia"/>
                <w:sz w:val="24"/>
              </w:rPr>
              <w:t>评审委员会成员人数</w:t>
            </w:r>
          </w:p>
        </w:tc>
        <w:tc>
          <w:tcPr>
            <w:tcW w:w="6546" w:type="dxa"/>
            <w:vAlign w:val="center"/>
          </w:tcPr>
          <w:p>
            <w:pPr>
              <w:keepNext w:val="0"/>
              <w:keepLines w:val="0"/>
              <w:suppressLineNumbers w:val="0"/>
              <w:spacing w:before="0" w:beforeAutospacing="0" w:after="0" w:afterAutospacing="0" w:line="360" w:lineRule="auto"/>
              <w:ind w:left="0" w:right="0"/>
              <w:jc w:val="left"/>
              <w:rPr>
                <w:rFonts w:asciiTheme="minorEastAsia" w:eastAsiaTheme="minorEastAsia" w:hAnsiTheme="minorEastAsia" w:hint="default"/>
                <w:bCs/>
                <w:sz w:val="24"/>
              </w:rPr>
            </w:pPr>
            <w:r>
              <w:rPr>
                <w:rFonts w:asciiTheme="minorEastAsia" w:eastAsiaTheme="minorEastAsia" w:hAnsiTheme="minorEastAsia" w:hint="eastAsia"/>
                <w:bCs/>
                <w:sz w:val="24"/>
              </w:rPr>
              <w:t>5人</w:t>
            </w:r>
          </w:p>
        </w:tc>
      </w:tr>
      <w:tr>
        <w:tblPrEx>
          <w:tblW w:w="9986" w:type="dxa"/>
          <w:jc w:val="center"/>
          <w:tblLayout w:type="fixed"/>
          <w:tblCellMar>
            <w:top w:w="0" w:type="dxa"/>
            <w:left w:w="108" w:type="dxa"/>
            <w:bottom w:w="0" w:type="dxa"/>
            <w:right w:w="108" w:type="dxa"/>
          </w:tblCellMar>
        </w:tblPrEx>
        <w:trPr>
          <w:trHeight w:val="899"/>
          <w:jc w:val="center"/>
        </w:trPr>
        <w:tc>
          <w:tcPr>
            <w:tcW w:w="1314" w:type="dxa"/>
            <w:vMerge/>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p>
        </w:tc>
        <w:tc>
          <w:tcPr>
            <w:tcW w:w="708" w:type="dxa"/>
            <w:vMerge w:val="restart"/>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eastAsia"/>
                <w:sz w:val="24"/>
              </w:rPr>
              <w:t>2.</w:t>
            </w:r>
          </w:p>
        </w:tc>
        <w:tc>
          <w:tcPr>
            <w:tcW w:w="1418"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eastAsia"/>
                <w:bCs/>
                <w:sz w:val="24"/>
              </w:rPr>
              <w:t>评标方法</w:t>
            </w:r>
          </w:p>
        </w:tc>
        <w:tc>
          <w:tcPr>
            <w:tcW w:w="6546" w:type="dxa"/>
            <w:vAlign w:val="center"/>
          </w:tcPr>
          <w:p>
            <w:pPr>
              <w:keepNext w:val="0"/>
              <w:keepLines w:val="0"/>
              <w:suppressLineNumbers w:val="0"/>
              <w:spacing w:before="0" w:beforeAutospacing="0" w:after="0" w:afterAutospacing="0" w:line="360" w:lineRule="auto"/>
              <w:ind w:left="0" w:right="0"/>
              <w:jc w:val="left"/>
              <w:rPr>
                <w:rFonts w:asciiTheme="minorEastAsia" w:eastAsiaTheme="minorEastAsia" w:hAnsiTheme="minorEastAsia" w:hint="default"/>
                <w:bCs/>
                <w:sz w:val="24"/>
                <w:u w:val="single"/>
              </w:rPr>
            </w:pPr>
            <w:r>
              <w:rPr>
                <w:rFonts w:asciiTheme="minorEastAsia" w:eastAsiaTheme="minorEastAsia" w:hAnsiTheme="minorEastAsia" w:hint="eastAsia"/>
                <w:bCs/>
                <w:sz w:val="24"/>
              </w:rPr>
              <w:t>选取方法：</w:t>
            </w:r>
            <w:r>
              <w:rPr>
                <w:rFonts w:asciiTheme="minorEastAsia" w:eastAsiaTheme="minorEastAsia" w:hAnsiTheme="minorEastAsia" w:hint="eastAsia"/>
                <w:bCs/>
                <w:sz w:val="24"/>
                <w:u w:val="single"/>
              </w:rPr>
              <w:t xml:space="preserve"> 方式一 </w:t>
            </w:r>
          </w:p>
          <w:p>
            <w:pPr>
              <w:keepNext w:val="0"/>
              <w:keepLines w:val="0"/>
              <w:suppressLineNumbers w:val="0"/>
              <w:spacing w:before="0" w:beforeAutospacing="0" w:after="0" w:afterAutospacing="0" w:line="360" w:lineRule="auto"/>
              <w:ind w:left="0" w:right="0"/>
              <w:jc w:val="left"/>
              <w:rPr>
                <w:rFonts w:asciiTheme="minorEastAsia" w:eastAsiaTheme="minorEastAsia" w:hAnsiTheme="minorEastAsia" w:hint="default"/>
                <w:bCs/>
                <w:sz w:val="24"/>
              </w:rPr>
            </w:pPr>
            <w:r>
              <w:rPr>
                <w:rFonts w:ascii="宋体" w:hAnsi="宋体" w:cs="宋体" w:hint="eastAsia"/>
                <w:sz w:val="24"/>
              </w:rPr>
              <w:t>方式一：</w:t>
            </w:r>
            <w:r>
              <w:rPr>
                <w:rFonts w:asciiTheme="minorEastAsia" w:eastAsiaTheme="minorEastAsia" w:hAnsiTheme="minorEastAsia" w:hint="eastAsia"/>
                <w:bCs/>
                <w:sz w:val="24"/>
              </w:rPr>
              <w:t>采用综合评分法</w:t>
            </w:r>
          </w:p>
          <w:p>
            <w:pPr>
              <w:keepNext w:val="0"/>
              <w:keepLines w:val="0"/>
              <w:suppressLineNumbers w:val="0"/>
              <w:spacing w:before="0" w:beforeAutospacing="0" w:after="0" w:afterAutospacing="0" w:line="360" w:lineRule="auto"/>
              <w:ind w:left="0" w:right="0"/>
              <w:jc w:val="left"/>
              <w:rPr>
                <w:rFonts w:asciiTheme="minorEastAsia" w:eastAsiaTheme="minorEastAsia" w:hAnsiTheme="minorEastAsia" w:hint="default"/>
                <w:bCs/>
                <w:sz w:val="24"/>
              </w:rPr>
            </w:pPr>
            <w:r>
              <w:rPr>
                <w:rFonts w:ascii="宋体" w:hAnsi="宋体" w:cs="宋体" w:hint="eastAsia"/>
                <w:sz w:val="24"/>
              </w:rPr>
              <w:t>方式二：</w:t>
            </w:r>
            <w:r>
              <w:rPr>
                <w:rFonts w:asciiTheme="minorEastAsia" w:eastAsiaTheme="minorEastAsia" w:hAnsiTheme="minorEastAsia" w:hint="eastAsia"/>
                <w:bCs/>
                <w:sz w:val="24"/>
              </w:rPr>
              <w:t>最低评标价法</w:t>
            </w:r>
          </w:p>
        </w:tc>
      </w:tr>
      <w:tr>
        <w:tblPrEx>
          <w:tblW w:w="9986" w:type="dxa"/>
          <w:jc w:val="center"/>
          <w:tblLayout w:type="fixed"/>
          <w:tblCellMar>
            <w:top w:w="0" w:type="dxa"/>
            <w:left w:w="108" w:type="dxa"/>
            <w:bottom w:w="0" w:type="dxa"/>
            <w:right w:w="108" w:type="dxa"/>
          </w:tblCellMar>
        </w:tblPrEx>
        <w:trPr>
          <w:trHeight w:val="899"/>
          <w:jc w:val="center"/>
        </w:trPr>
        <w:tc>
          <w:tcPr>
            <w:tcW w:w="1314" w:type="dxa"/>
            <w:vMerge/>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p>
        </w:tc>
        <w:tc>
          <w:tcPr>
            <w:tcW w:w="708" w:type="dxa"/>
            <w:vMerge/>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p>
        </w:tc>
        <w:tc>
          <w:tcPr>
            <w:tcW w:w="1418"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bCs/>
                <w:sz w:val="24"/>
              </w:rPr>
            </w:pPr>
            <w:r>
              <w:rPr>
                <w:rFonts w:asciiTheme="minorEastAsia" w:eastAsiaTheme="minorEastAsia" w:hAnsiTheme="minorEastAsia" w:hint="eastAsia"/>
                <w:bCs/>
                <w:sz w:val="24"/>
              </w:rPr>
              <w:t>投标文件报价修正原则</w:t>
            </w:r>
          </w:p>
        </w:tc>
        <w:tc>
          <w:tcPr>
            <w:tcW w:w="6546"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eastAsia"/>
                <w:bCs/>
                <w:sz w:val="24"/>
                <w:lang w:val="en-US" w:eastAsia="zh-CN"/>
              </w:rPr>
            </w:pPr>
            <w:r>
              <w:rPr>
                <w:rFonts w:asciiTheme="minorEastAsia" w:eastAsiaTheme="minorEastAsia" w:hAnsiTheme="minorEastAsia" w:hint="eastAsia"/>
                <w:bCs/>
                <w:sz w:val="24"/>
                <w:lang w:val="en-US" w:eastAsia="zh-CN"/>
              </w:rPr>
              <w:t>/</w:t>
            </w:r>
          </w:p>
        </w:tc>
      </w:tr>
      <w:tr>
        <w:tblPrEx>
          <w:tblW w:w="9986" w:type="dxa"/>
          <w:jc w:val="center"/>
          <w:tblLayout w:type="fixed"/>
          <w:tblCellMar>
            <w:top w:w="0" w:type="dxa"/>
            <w:left w:w="108" w:type="dxa"/>
            <w:bottom w:w="0" w:type="dxa"/>
            <w:right w:w="108" w:type="dxa"/>
          </w:tblCellMar>
        </w:tblPrEx>
        <w:trPr>
          <w:trHeight w:val="2050"/>
          <w:jc w:val="center"/>
        </w:trPr>
        <w:tc>
          <w:tcPr>
            <w:tcW w:w="1314"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eastAsia"/>
                <w:sz w:val="24"/>
              </w:rPr>
              <w:t>（三）</w:t>
            </w:r>
          </w:p>
        </w:tc>
        <w:tc>
          <w:tcPr>
            <w:tcW w:w="708"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default"/>
                <w:sz w:val="24"/>
              </w:rPr>
              <w:t>1</w:t>
            </w:r>
            <w:r>
              <w:rPr>
                <w:rFonts w:asciiTheme="minorEastAsia" w:eastAsiaTheme="minorEastAsia" w:hAnsiTheme="minorEastAsia" w:hint="eastAsia"/>
                <w:sz w:val="24"/>
              </w:rPr>
              <w:t>.</w:t>
            </w:r>
          </w:p>
        </w:tc>
        <w:tc>
          <w:tcPr>
            <w:tcW w:w="1418"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bCs/>
                <w:sz w:val="24"/>
              </w:rPr>
            </w:pPr>
            <w:r>
              <w:rPr>
                <w:rFonts w:asciiTheme="minorEastAsia" w:eastAsiaTheme="minorEastAsia" w:hAnsiTheme="minorEastAsia" w:hint="eastAsia"/>
                <w:bCs/>
                <w:sz w:val="24"/>
              </w:rPr>
              <w:t>推荐中标候选人</w:t>
            </w:r>
          </w:p>
        </w:tc>
        <w:tc>
          <w:tcPr>
            <w:tcW w:w="6546" w:type="dxa"/>
            <w:vAlign w:val="center"/>
          </w:tcPr>
          <w:p>
            <w:pPr>
              <w:keepNext w:val="0"/>
              <w:keepLines w:val="0"/>
              <w:suppressLineNumbers w:val="0"/>
              <w:spacing w:before="0" w:beforeAutospacing="0" w:after="0" w:afterAutospacing="0" w:line="360" w:lineRule="auto"/>
              <w:ind w:left="0" w:right="0"/>
              <w:jc w:val="left"/>
              <w:rPr>
                <w:rFonts w:asciiTheme="minorEastAsia" w:eastAsiaTheme="minorEastAsia" w:hAnsiTheme="minorEastAsia" w:hint="default"/>
                <w:bCs/>
                <w:sz w:val="24"/>
                <w:u w:val="single"/>
              </w:rPr>
            </w:pPr>
            <w:r>
              <w:rPr>
                <w:rFonts w:asciiTheme="minorEastAsia" w:eastAsiaTheme="minorEastAsia" w:hAnsiTheme="minorEastAsia" w:hint="eastAsia"/>
                <w:bCs/>
                <w:sz w:val="24"/>
              </w:rPr>
              <w:t>推荐方式：</w:t>
            </w:r>
            <w:r>
              <w:rPr>
                <w:rFonts w:asciiTheme="minorEastAsia" w:eastAsiaTheme="minorEastAsia" w:hAnsiTheme="minorEastAsia" w:hint="eastAsia"/>
                <w:bCs/>
                <w:sz w:val="24"/>
                <w:u w:val="single"/>
              </w:rPr>
              <w:t xml:space="preserve"> 方式一 </w:t>
            </w:r>
          </w:p>
          <w:p>
            <w:pPr>
              <w:keepNext w:val="0"/>
              <w:keepLines w:val="0"/>
              <w:suppressLineNumbers w:val="0"/>
              <w:spacing w:before="0" w:beforeAutospacing="0" w:after="0" w:afterAutospacing="0"/>
              <w:ind w:left="0" w:right="0"/>
              <w:jc w:val="left"/>
              <w:rPr>
                <w:rFonts w:asciiTheme="minorEastAsia" w:eastAsiaTheme="minorEastAsia" w:hAnsiTheme="minorEastAsia" w:hint="default"/>
                <w:bCs/>
                <w:color w:val="auto"/>
                <w:sz w:val="24"/>
              </w:rPr>
            </w:pPr>
            <w:r>
              <w:rPr>
                <w:rFonts w:ascii="宋体" w:hAnsi="宋体" w:cs="宋体" w:hint="eastAsia"/>
                <w:sz w:val="24"/>
              </w:rPr>
              <w:t>方式一：</w:t>
            </w:r>
            <w:r>
              <w:rPr>
                <w:rFonts w:asciiTheme="minorEastAsia" w:eastAsiaTheme="minorEastAsia" w:hAnsiTheme="minorEastAsia" w:hint="eastAsia"/>
                <w:bCs/>
                <w:sz w:val="24"/>
              </w:rPr>
              <w:t>综合</w:t>
            </w:r>
            <w:r>
              <w:rPr>
                <w:rFonts w:asciiTheme="minorEastAsia" w:eastAsiaTheme="minorEastAsia" w:hAnsiTheme="minorEastAsia" w:hint="eastAsia"/>
                <w:bCs/>
                <w:color w:val="auto"/>
                <w:sz w:val="24"/>
              </w:rPr>
              <w:t>评分法：推荐综合得分排名第一的投标人为第一中标候选人，排名第二的投标人为第二中标候选人，排名第三的投标人为第三中标候选人。</w:t>
            </w:r>
          </w:p>
          <w:p>
            <w:pPr>
              <w:keepNext w:val="0"/>
              <w:keepLines w:val="0"/>
              <w:suppressLineNumbers w:val="0"/>
              <w:spacing w:before="0" w:beforeAutospacing="0" w:after="0" w:afterAutospacing="0"/>
              <w:ind w:left="0" w:right="0"/>
              <w:jc w:val="left"/>
              <w:rPr>
                <w:rFonts w:asciiTheme="minorEastAsia" w:eastAsiaTheme="minorEastAsia" w:hAnsiTheme="minorEastAsia" w:hint="default"/>
                <w:bCs/>
                <w:color w:val="auto"/>
                <w:sz w:val="24"/>
              </w:rPr>
            </w:pPr>
            <w:r>
              <w:rPr>
                <w:rFonts w:ascii="宋体" w:hAnsi="宋体" w:cs="宋体" w:hint="eastAsia"/>
                <w:color w:val="auto"/>
                <w:sz w:val="24"/>
              </w:rPr>
              <w:t>方式二：</w:t>
            </w:r>
            <w:r>
              <w:rPr>
                <w:rFonts w:asciiTheme="minorEastAsia" w:eastAsiaTheme="minorEastAsia" w:hAnsiTheme="minorEastAsia" w:hint="eastAsia"/>
                <w:bCs/>
                <w:color w:val="auto"/>
                <w:sz w:val="24"/>
              </w:rPr>
              <w:t>最低评标价法：按照投标报价由低到高的顺序推荐3名中标候选人</w:t>
            </w:r>
          </w:p>
          <w:p>
            <w:pPr>
              <w:keepNext w:val="0"/>
              <w:keepLines w:val="0"/>
              <w:suppressLineNumbers w:val="0"/>
              <w:spacing w:before="0" w:beforeAutospacing="0" w:after="0" w:afterAutospacing="0"/>
              <w:ind w:left="0" w:right="0"/>
              <w:jc w:val="left"/>
              <w:rPr>
                <w:rFonts w:asciiTheme="minorEastAsia" w:eastAsiaTheme="minorEastAsia" w:hAnsiTheme="minorEastAsia" w:hint="default"/>
                <w:bCs/>
                <w:sz w:val="24"/>
              </w:rPr>
            </w:pPr>
            <w:r>
              <w:rPr>
                <w:rFonts w:asciiTheme="minorEastAsia" w:eastAsiaTheme="minorEastAsia" w:hAnsiTheme="minorEastAsia" w:hint="eastAsia"/>
                <w:bCs/>
                <w:sz w:val="24"/>
              </w:rPr>
              <w:t>方式</w:t>
            </w:r>
            <w:r>
              <w:rPr>
                <w:rFonts w:asciiTheme="minorEastAsia" w:eastAsiaTheme="minorEastAsia" w:hAnsiTheme="minorEastAsia" w:hint="eastAsia"/>
                <w:bCs/>
                <w:color w:val="auto"/>
                <w:sz w:val="24"/>
              </w:rPr>
              <w:t>三：</w:t>
            </w:r>
            <w:r>
              <w:rPr>
                <w:rFonts w:asciiTheme="minorEastAsia" w:eastAsiaTheme="minorEastAsia" w:hAnsiTheme="minorEastAsia" w:hint="eastAsia"/>
                <w:color w:val="auto"/>
                <w:sz w:val="24"/>
              </w:rPr>
              <w:t>评定分离项目，</w:t>
            </w:r>
            <w:r>
              <w:rPr>
                <w:rFonts w:asciiTheme="minorEastAsia" w:eastAsiaTheme="minorEastAsia" w:hAnsiTheme="minorEastAsia" w:hint="eastAsia"/>
                <w:bCs/>
                <w:color w:val="auto"/>
                <w:sz w:val="24"/>
              </w:rPr>
              <w:t>推荐3名合格</w:t>
            </w:r>
            <w:r>
              <w:rPr>
                <w:rFonts w:asciiTheme="minorEastAsia" w:eastAsiaTheme="minorEastAsia" w:hAnsiTheme="minorEastAsia" w:hint="eastAsia"/>
                <w:bCs/>
                <w:sz w:val="24"/>
              </w:rPr>
              <w:t>的中标候选人。</w:t>
            </w:r>
          </w:p>
        </w:tc>
      </w:tr>
      <w:tr>
        <w:tblPrEx>
          <w:tblW w:w="9986" w:type="dxa"/>
          <w:jc w:val="center"/>
          <w:tblLayout w:type="fixed"/>
          <w:tblCellMar>
            <w:top w:w="0" w:type="dxa"/>
            <w:left w:w="108" w:type="dxa"/>
            <w:bottom w:w="0" w:type="dxa"/>
            <w:right w:w="108" w:type="dxa"/>
          </w:tblCellMar>
        </w:tblPrEx>
        <w:trPr>
          <w:trHeight w:val="1059"/>
          <w:jc w:val="center"/>
        </w:trPr>
        <w:tc>
          <w:tcPr>
            <w:tcW w:w="1314" w:type="dxa"/>
            <w:vMerge w:val="restart"/>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eastAsia"/>
                <w:sz w:val="24"/>
              </w:rPr>
              <w:t>（四）</w:t>
            </w:r>
          </w:p>
        </w:tc>
        <w:tc>
          <w:tcPr>
            <w:tcW w:w="708" w:type="dxa"/>
            <w:vMerge w:val="restart"/>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eastAsia"/>
                <w:sz w:val="24"/>
              </w:rPr>
              <w:t>1.</w:t>
            </w:r>
          </w:p>
        </w:tc>
        <w:tc>
          <w:tcPr>
            <w:tcW w:w="1418" w:type="dxa"/>
            <w:vMerge w:val="restart"/>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bCs/>
                <w:sz w:val="24"/>
              </w:rPr>
            </w:pPr>
            <w:r>
              <w:rPr>
                <w:rFonts w:hint="eastAsia"/>
                <w:sz w:val="24"/>
              </w:rPr>
              <w:t>中标人的确定</w:t>
            </w:r>
          </w:p>
        </w:tc>
        <w:tc>
          <w:tcPr>
            <w:tcW w:w="6546"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r>
              <w:rPr>
                <w:rFonts w:asciiTheme="minorEastAsia" w:eastAsiaTheme="minorEastAsia" w:hAnsiTheme="minorEastAsia" w:hint="eastAsia"/>
                <w:sz w:val="24"/>
              </w:rPr>
              <w:t>中标候选人并列的，由采购人采取下述</w:t>
            </w:r>
            <w:r>
              <w:rPr>
                <w:rFonts w:asciiTheme="minorEastAsia" w:eastAsiaTheme="minorEastAsia" w:hAnsiTheme="minorEastAsia" w:hint="eastAsia"/>
                <w:sz w:val="24"/>
                <w:u w:val="single"/>
              </w:rPr>
              <w:t>方式</w:t>
            </w:r>
            <w:r>
              <w:rPr>
                <w:rFonts w:asciiTheme="minorEastAsia" w:eastAsiaTheme="minorEastAsia" w:hAnsiTheme="minorEastAsia" w:hint="eastAsia"/>
                <w:sz w:val="24"/>
                <w:u w:val="single"/>
                <w:lang w:val="en-US" w:eastAsia="zh-CN"/>
              </w:rPr>
              <w:t>二</w:t>
            </w:r>
            <w:r>
              <w:rPr>
                <w:rFonts w:asciiTheme="minorEastAsia" w:eastAsiaTheme="minorEastAsia" w:hAnsiTheme="minorEastAsia" w:hint="eastAsia"/>
                <w:sz w:val="24"/>
              </w:rPr>
              <w:t>确定中标人。</w:t>
            </w:r>
          </w:p>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r>
              <w:rPr>
                <w:rFonts w:asciiTheme="minorEastAsia" w:eastAsiaTheme="minorEastAsia" w:hAnsiTheme="minorEastAsia" w:hint="eastAsia"/>
                <w:sz w:val="24"/>
              </w:rPr>
              <w:t>方式一：随机抽取；</w:t>
            </w:r>
          </w:p>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r>
              <w:rPr>
                <w:rFonts w:asciiTheme="minorEastAsia" w:eastAsiaTheme="minorEastAsia" w:hAnsiTheme="minorEastAsia" w:hint="eastAsia"/>
                <w:sz w:val="24"/>
              </w:rPr>
              <w:t>方式二：按技术部分得分高低顺序；</w:t>
            </w:r>
          </w:p>
        </w:tc>
      </w:tr>
      <w:tr>
        <w:tblPrEx>
          <w:tblW w:w="9986" w:type="dxa"/>
          <w:jc w:val="center"/>
          <w:tblLayout w:type="fixed"/>
          <w:tblCellMar>
            <w:top w:w="0" w:type="dxa"/>
            <w:left w:w="108" w:type="dxa"/>
            <w:bottom w:w="0" w:type="dxa"/>
            <w:right w:w="108" w:type="dxa"/>
          </w:tblCellMar>
        </w:tblPrEx>
        <w:trPr>
          <w:trHeight w:val="747"/>
          <w:jc w:val="center"/>
        </w:trPr>
        <w:tc>
          <w:tcPr>
            <w:tcW w:w="1314" w:type="dxa"/>
            <w:vMerge/>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p>
        </w:tc>
        <w:tc>
          <w:tcPr>
            <w:tcW w:w="708" w:type="dxa"/>
            <w:vMerge/>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p>
        </w:tc>
        <w:tc>
          <w:tcPr>
            <w:tcW w:w="1418" w:type="dxa"/>
            <w:vMerge/>
            <w:vAlign w:val="center"/>
          </w:tcPr>
          <w:p>
            <w:pPr>
              <w:keepNext w:val="0"/>
              <w:keepLines w:val="0"/>
              <w:suppressLineNumbers w:val="0"/>
              <w:spacing w:before="0" w:beforeAutospacing="0" w:after="0" w:afterAutospacing="0"/>
              <w:ind w:left="0" w:right="0"/>
              <w:jc w:val="center"/>
              <w:rPr>
                <w:rFonts w:hint="default"/>
                <w:sz w:val="24"/>
              </w:rPr>
            </w:pPr>
          </w:p>
        </w:tc>
        <w:tc>
          <w:tcPr>
            <w:tcW w:w="6546"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r>
              <w:rPr>
                <w:rFonts w:asciiTheme="minorEastAsia" w:eastAsiaTheme="minorEastAsia" w:hAnsiTheme="minorEastAsia" w:hint="eastAsia"/>
                <w:sz w:val="24"/>
              </w:rPr>
              <w:t>本项目为</w:t>
            </w:r>
            <w:r>
              <w:rPr>
                <w:rFonts w:hint="eastAsia"/>
                <w:sz w:val="24"/>
              </w:rPr>
              <w:t>确标方式为：</w:t>
            </w:r>
            <w:r>
              <w:rPr>
                <w:rFonts w:asciiTheme="minorEastAsia" w:eastAsiaTheme="minorEastAsia" w:hAnsiTheme="minorEastAsia" w:hint="eastAsia"/>
                <w:sz w:val="24"/>
                <w:u w:val="single"/>
              </w:rPr>
              <w:t>方式一</w:t>
            </w:r>
          </w:p>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r>
              <w:rPr>
                <w:rFonts w:asciiTheme="minorEastAsia" w:eastAsiaTheme="minorEastAsia" w:hAnsiTheme="minorEastAsia" w:hint="eastAsia"/>
                <w:sz w:val="24"/>
              </w:rPr>
              <w:t>方式一：非评定分离</w:t>
            </w:r>
          </w:p>
          <w:p>
            <w:pPr>
              <w:keepNext w:val="0"/>
              <w:keepLines w:val="0"/>
              <w:suppressLineNumbers w:val="0"/>
              <w:spacing w:before="0" w:beforeAutospacing="0" w:after="0" w:afterAutospacing="0"/>
              <w:ind w:left="0" w:right="0"/>
              <w:rPr>
                <w:rFonts w:asciiTheme="minorEastAsia" w:eastAsiaTheme="minorEastAsia" w:hAnsiTheme="minorEastAsia" w:hint="default"/>
                <w:color w:val="FF0000"/>
                <w:sz w:val="24"/>
              </w:rPr>
            </w:pPr>
            <w:r>
              <w:rPr>
                <w:rFonts w:asciiTheme="minorEastAsia" w:eastAsiaTheme="minorEastAsia" w:hAnsiTheme="minorEastAsia" w:hint="eastAsia"/>
                <w:sz w:val="24"/>
              </w:rPr>
              <w:t>方式二：评定分离</w:t>
            </w:r>
          </w:p>
        </w:tc>
      </w:tr>
      <w:tr>
        <w:tblPrEx>
          <w:tblW w:w="9986" w:type="dxa"/>
          <w:jc w:val="center"/>
          <w:tblLayout w:type="fixed"/>
          <w:tblCellMar>
            <w:top w:w="0" w:type="dxa"/>
            <w:left w:w="108" w:type="dxa"/>
            <w:bottom w:w="0" w:type="dxa"/>
            <w:right w:w="108" w:type="dxa"/>
          </w:tblCellMar>
        </w:tblPrEx>
        <w:trPr>
          <w:trHeight w:val="421"/>
          <w:jc w:val="center"/>
        </w:trPr>
        <w:tc>
          <w:tcPr>
            <w:tcW w:w="1314"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eastAsia"/>
                <w:sz w:val="24"/>
              </w:rPr>
              <w:t>（六）</w:t>
            </w:r>
          </w:p>
        </w:tc>
        <w:tc>
          <w:tcPr>
            <w:tcW w:w="708"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eastAsia"/>
                <w:sz w:val="24"/>
              </w:rPr>
              <w:t>1.</w:t>
            </w:r>
          </w:p>
        </w:tc>
        <w:tc>
          <w:tcPr>
            <w:tcW w:w="1418" w:type="dxa"/>
            <w:vAlign w:val="center"/>
          </w:tcPr>
          <w:p>
            <w:pPr>
              <w:keepNext w:val="0"/>
              <w:keepLines w:val="0"/>
              <w:suppressLineNumbers w:val="0"/>
              <w:spacing w:before="0" w:beforeAutospacing="0" w:after="0" w:afterAutospacing="0"/>
              <w:ind w:left="0" w:right="0"/>
              <w:jc w:val="center"/>
              <w:rPr>
                <w:rFonts w:hint="default"/>
                <w:sz w:val="24"/>
              </w:rPr>
            </w:pPr>
            <w:r>
              <w:rPr>
                <w:rFonts w:ascii="宋体" w:hAnsi="宋体" w:cs="宋体" w:hint="eastAsia"/>
                <w:sz w:val="24"/>
              </w:rPr>
              <w:t>采购代理服务费</w:t>
            </w:r>
          </w:p>
        </w:tc>
        <w:tc>
          <w:tcPr>
            <w:tcW w:w="6546" w:type="dxa"/>
          </w:tcPr>
          <w:p>
            <w:pPr>
              <w:pStyle w:val="ListParagraph"/>
              <w:keepNext w:val="0"/>
              <w:keepLines w:val="0"/>
              <w:numPr>
                <w:ilvl w:val="0"/>
                <w:numId w:val="26"/>
              </w:numPr>
              <w:suppressLineNumbers w:val="0"/>
              <w:tabs>
                <w:tab w:val="left" w:pos="524"/>
                <w:tab w:val="left" w:pos="601"/>
              </w:tabs>
              <w:adjustRightInd w:val="0"/>
              <w:snapToGrid w:val="0"/>
              <w:spacing w:before="0" w:beforeAutospacing="0" w:after="0" w:afterAutospacing="0"/>
              <w:ind w:left="99" w:right="0" w:hanging="99" w:firstLineChars="0"/>
              <w:rPr>
                <w:rFonts w:asciiTheme="minorEastAsia" w:eastAsiaTheme="minorEastAsia" w:hAnsiTheme="minorEastAsia" w:hint="default"/>
                <w:color w:val="FF0000"/>
                <w:sz w:val="24"/>
              </w:rPr>
            </w:pPr>
            <w:r>
              <w:rPr>
                <w:rFonts w:asciiTheme="minorEastAsia" w:eastAsiaTheme="minorEastAsia" w:hAnsiTheme="minorEastAsia" w:hint="eastAsia"/>
                <w:sz w:val="24"/>
              </w:rPr>
              <w:t>本次采购代理服务费向下述</w:t>
            </w:r>
            <w:r>
              <w:rPr>
                <w:rFonts w:asciiTheme="minorEastAsia" w:eastAsiaTheme="minorEastAsia" w:hAnsiTheme="minorEastAsia" w:hint="eastAsia"/>
                <w:sz w:val="24"/>
                <w:u w:val="single"/>
              </w:rPr>
              <w:t>方式一</w:t>
            </w:r>
            <w:r>
              <w:rPr>
                <w:rFonts w:asciiTheme="minorEastAsia" w:eastAsiaTheme="minorEastAsia" w:hAnsiTheme="minorEastAsia" w:hint="eastAsia"/>
                <w:sz w:val="24"/>
              </w:rPr>
              <w:t>收取；</w:t>
            </w:r>
          </w:p>
          <w:p>
            <w:pPr>
              <w:keepNext w:val="0"/>
              <w:keepLines w:val="0"/>
              <w:suppressLineNumbers w:val="0"/>
              <w:tabs>
                <w:tab w:val="left" w:pos="524"/>
                <w:tab w:val="left" w:pos="601"/>
              </w:tabs>
              <w:adjustRightInd w:val="0"/>
              <w:snapToGrid w:val="0"/>
              <w:spacing w:before="0" w:beforeAutospacing="0" w:after="0" w:afterAutospacing="0"/>
              <w:ind w:left="0" w:right="0"/>
              <w:rPr>
                <w:rFonts w:asciiTheme="minorEastAsia" w:eastAsiaTheme="minorEastAsia" w:hAnsiTheme="minorEastAsia" w:hint="default"/>
                <w:color w:val="FF0000"/>
                <w:sz w:val="24"/>
              </w:rPr>
            </w:pPr>
            <w:r>
              <w:rPr>
                <w:rFonts w:asciiTheme="minorEastAsia" w:eastAsiaTheme="minorEastAsia" w:hAnsiTheme="minorEastAsia" w:hint="eastAsia"/>
                <w:sz w:val="24"/>
              </w:rPr>
              <w:t>方式一：中标人</w:t>
            </w:r>
          </w:p>
          <w:p>
            <w:pPr>
              <w:keepNext w:val="0"/>
              <w:keepLines w:val="0"/>
              <w:suppressLineNumbers w:val="0"/>
              <w:tabs>
                <w:tab w:val="left" w:pos="524"/>
                <w:tab w:val="left" w:pos="601"/>
              </w:tabs>
              <w:adjustRightInd w:val="0"/>
              <w:snapToGrid w:val="0"/>
              <w:spacing w:before="0" w:beforeAutospacing="0" w:after="0" w:afterAutospacing="0"/>
              <w:ind w:left="0" w:right="0"/>
              <w:rPr>
                <w:rFonts w:asciiTheme="minorEastAsia" w:eastAsiaTheme="minorEastAsia" w:hAnsiTheme="minorEastAsia" w:hint="default"/>
                <w:color w:val="FF0000"/>
                <w:sz w:val="24"/>
              </w:rPr>
            </w:pPr>
            <w:r>
              <w:rPr>
                <w:rFonts w:asciiTheme="minorEastAsia" w:eastAsiaTheme="minorEastAsia" w:hAnsiTheme="minorEastAsia" w:hint="eastAsia"/>
                <w:sz w:val="24"/>
              </w:rPr>
              <w:t>方式二：采购人</w:t>
            </w:r>
          </w:p>
          <w:p>
            <w:pPr>
              <w:pStyle w:val="ListParagraph"/>
              <w:keepNext w:val="0"/>
              <w:keepLines w:val="0"/>
              <w:numPr>
                <w:ilvl w:val="0"/>
                <w:numId w:val="26"/>
              </w:numPr>
              <w:suppressLineNumbers w:val="0"/>
              <w:tabs>
                <w:tab w:val="left" w:pos="524"/>
                <w:tab w:val="left" w:pos="601"/>
              </w:tabs>
              <w:adjustRightInd w:val="0"/>
              <w:snapToGrid w:val="0"/>
              <w:spacing w:before="0" w:beforeAutospacing="0" w:after="0" w:afterAutospacing="0"/>
              <w:ind w:left="99" w:right="0" w:hanging="99" w:firstLineChars="0"/>
              <w:rPr>
                <w:rFonts w:asciiTheme="minorEastAsia" w:eastAsiaTheme="minorEastAsia" w:hAnsiTheme="minorEastAsia" w:hint="default"/>
                <w:sz w:val="24"/>
              </w:rPr>
            </w:pPr>
            <w:r>
              <w:rPr>
                <w:rFonts w:asciiTheme="minorEastAsia" w:eastAsiaTheme="minorEastAsia" w:hAnsiTheme="minorEastAsia" w:hint="eastAsia"/>
                <w:sz w:val="24"/>
              </w:rPr>
              <w:t>按照下述</w:t>
            </w:r>
            <w:r>
              <w:rPr>
                <w:rFonts w:asciiTheme="minorEastAsia" w:eastAsiaTheme="minorEastAsia" w:hAnsiTheme="minorEastAsia" w:hint="eastAsia"/>
                <w:sz w:val="24"/>
                <w:u w:val="single"/>
              </w:rPr>
              <w:t>方式一</w:t>
            </w:r>
            <w:r>
              <w:rPr>
                <w:rFonts w:asciiTheme="minorEastAsia" w:eastAsiaTheme="minorEastAsia" w:hAnsiTheme="minorEastAsia" w:hint="eastAsia"/>
                <w:sz w:val="24"/>
              </w:rPr>
              <w:t>向采购代理机构按如下标准和规定缴纳采购代理服务费；</w:t>
            </w:r>
          </w:p>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r>
              <w:rPr>
                <w:rFonts w:asciiTheme="minorEastAsia" w:eastAsiaTheme="minorEastAsia" w:hAnsiTheme="minorEastAsia" w:hint="eastAsia"/>
                <w:sz w:val="24"/>
              </w:rPr>
              <w:t>方式一：</w:t>
            </w:r>
            <w:r>
              <w:rPr>
                <w:rFonts w:asciiTheme="minorEastAsia" w:hAnsiTheme="minorEastAsia" w:hint="eastAsia"/>
                <w:sz w:val="24"/>
              </w:rPr>
              <w:t>差额定率累进法收费：</w:t>
            </w:r>
            <w:r>
              <w:rPr>
                <w:rFonts w:asciiTheme="minorEastAsia" w:hAnsiTheme="minorEastAsia" w:hint="default"/>
                <w:sz w:val="24"/>
              </w:rPr>
              <w:t>以</w:t>
            </w:r>
            <w:r>
              <w:rPr>
                <w:rFonts w:asciiTheme="minorEastAsia" w:hAnsiTheme="minorEastAsia" w:hint="default"/>
                <w:bCs/>
                <w:sz w:val="24"/>
                <w:u w:val="single"/>
              </w:rPr>
              <w:t>中标通知书中</w:t>
            </w:r>
            <w:r>
              <w:rPr>
                <w:rFonts w:asciiTheme="minorEastAsia" w:hAnsiTheme="minorEastAsia" w:hint="eastAsia"/>
                <w:bCs/>
                <w:sz w:val="24"/>
                <w:u w:val="single"/>
              </w:rPr>
              <w:t>的</w:t>
            </w:r>
            <w:r>
              <w:rPr>
                <w:rFonts w:asciiTheme="minorEastAsia" w:hAnsiTheme="minorEastAsia" w:hint="eastAsia"/>
                <w:bCs/>
                <w:color w:val="000000" w:themeColor="text1"/>
                <w:sz w:val="24"/>
                <w:u w:val="single"/>
                <w14:textFill>
                  <w14:solidFill>
                    <w14:schemeClr w14:val="tx1"/>
                  </w14:solidFill>
                </w14:textFill>
              </w:rPr>
              <w:t>中标金额</w:t>
            </w:r>
            <w:r>
              <w:rPr>
                <w:rFonts w:asciiTheme="minorEastAsia" w:hAnsiTheme="minorEastAsia" w:hint="eastAsia"/>
                <w:bCs/>
                <w:sz w:val="24"/>
              </w:rPr>
              <w:t>作为采购代理服务费的计算基数</w:t>
            </w:r>
            <w:r>
              <w:rPr>
                <w:rFonts w:asciiTheme="minorEastAsia" w:hAnsiTheme="minorEastAsia" w:hint="eastAsia"/>
                <w:sz w:val="24"/>
              </w:rPr>
              <w:t>。按《深圳市财政委员会关于规范深圳市社会采购代理机构管理有关事项的补充通知》（深财购〔2018〕27号）代理费用参考标准规定的“</w:t>
            </w:r>
            <w:r>
              <w:rPr>
                <w:rFonts w:asciiTheme="minorEastAsia" w:hAnsiTheme="minorEastAsia" w:hint="eastAsia"/>
                <w:sz w:val="24"/>
                <w:u w:val="single"/>
              </w:rPr>
              <w:t>货物类”</w:t>
            </w:r>
            <w:r>
              <w:rPr>
                <w:rFonts w:asciiTheme="minorEastAsia" w:hAnsiTheme="minorEastAsia" w:hint="eastAsia"/>
                <w:sz w:val="24"/>
              </w:rPr>
              <w:t>计费标准</w:t>
            </w:r>
            <w:r>
              <w:rPr>
                <w:rFonts w:asciiTheme="minorEastAsia" w:hAnsiTheme="minorEastAsia" w:hint="eastAsia"/>
                <w:color w:val="auto"/>
                <w:sz w:val="24"/>
                <w:u w:val="single"/>
              </w:rPr>
              <w:t>下浮</w:t>
            </w:r>
            <w:r>
              <w:rPr>
                <w:rFonts w:asciiTheme="minorEastAsia" w:hAnsiTheme="minorEastAsia" w:hint="eastAsia"/>
                <w:color w:val="auto"/>
                <w:sz w:val="24"/>
                <w:u w:val="single"/>
                <w:lang w:val="en-US" w:eastAsia="zh-CN"/>
              </w:rPr>
              <w:t>20</w:t>
            </w:r>
            <w:r>
              <w:rPr>
                <w:rFonts w:asciiTheme="minorEastAsia" w:hAnsiTheme="minorEastAsia" w:hint="eastAsia"/>
                <w:color w:val="auto"/>
                <w:sz w:val="24"/>
                <w:u w:val="single"/>
              </w:rPr>
              <w:t>%</w:t>
            </w:r>
            <w:r>
              <w:rPr>
                <w:rFonts w:asciiTheme="minorEastAsia" w:hAnsiTheme="minorEastAsia" w:hint="eastAsia"/>
                <w:color w:val="auto"/>
                <w:sz w:val="24"/>
              </w:rPr>
              <w:t>计算并缴纳，采购代理服务费不足</w:t>
            </w:r>
            <w:r>
              <w:rPr>
                <w:rFonts w:asciiTheme="minorEastAsia" w:hAnsiTheme="minorEastAsia" w:hint="eastAsia"/>
                <w:color w:val="auto"/>
                <w:sz w:val="24"/>
                <w:u w:val="single"/>
                <w:lang w:val="en-US" w:eastAsia="zh-CN"/>
              </w:rPr>
              <w:t>5000</w:t>
            </w:r>
            <w:r>
              <w:rPr>
                <w:rFonts w:asciiTheme="minorEastAsia" w:hAnsiTheme="minorEastAsia" w:hint="eastAsia"/>
                <w:color w:val="auto"/>
                <w:sz w:val="24"/>
              </w:rPr>
              <w:t>元的按</w:t>
            </w:r>
            <w:r>
              <w:rPr>
                <w:rFonts w:asciiTheme="minorEastAsia" w:hAnsiTheme="minorEastAsia" w:hint="eastAsia"/>
                <w:color w:val="auto"/>
                <w:sz w:val="24"/>
                <w:u w:val="single"/>
                <w:lang w:val="en-US" w:eastAsia="zh-CN"/>
              </w:rPr>
              <w:t>5000</w:t>
            </w:r>
            <w:r>
              <w:rPr>
                <w:rFonts w:asciiTheme="minorEastAsia" w:hAnsiTheme="minorEastAsia" w:hint="eastAsia"/>
                <w:color w:val="auto"/>
                <w:sz w:val="24"/>
              </w:rPr>
              <w:t>元收取</w:t>
            </w:r>
            <w:r>
              <w:rPr>
                <w:rFonts w:asciiTheme="minorEastAsia" w:eastAsiaTheme="minorEastAsia" w:hAnsiTheme="minorEastAsia" w:hint="eastAsia"/>
                <w:bCs/>
                <w:color w:val="auto"/>
                <w:sz w:val="24"/>
              </w:rPr>
              <w:t>。</w:t>
            </w:r>
          </w:p>
          <w:tbl>
            <w:tblPr>
              <w:tblStyle w:val="TableNormal"/>
              <w:tblW w:w="6343" w:type="dxa"/>
              <w:tblInd w:w="0" w:type="dxa"/>
              <w:tblLayout w:type="fixed"/>
              <w:tblCellMar>
                <w:top w:w="15" w:type="dxa"/>
                <w:left w:w="15" w:type="dxa"/>
                <w:bottom w:w="15" w:type="dxa"/>
                <w:right w:w="15" w:type="dxa"/>
              </w:tblCellMar>
            </w:tblPr>
            <w:tblGrid>
              <w:gridCol w:w="2803"/>
              <w:gridCol w:w="1130"/>
              <w:gridCol w:w="1217"/>
              <w:gridCol w:w="1193"/>
            </w:tblGrid>
            <w:tr>
              <w:tblPrEx>
                <w:tblW w:w="6343" w:type="dxa"/>
                <w:tblInd w:w="0" w:type="dxa"/>
                <w:tblLayout w:type="fixed"/>
                <w:tblCellMar>
                  <w:top w:w="15" w:type="dxa"/>
                  <w:left w:w="15" w:type="dxa"/>
                  <w:bottom w:w="15" w:type="dxa"/>
                  <w:right w:w="15" w:type="dxa"/>
                </w:tblCellMar>
              </w:tblPrEx>
              <w:trPr>
                <w:trHeight w:val="299"/>
              </w:trPr>
              <w:tc>
                <w:tcPr>
                  <w:tcW w:w="2803" w:type="dxa"/>
                  <w:tcBorders>
                    <w:top w:val="single" w:sz="8" w:space="0" w:color="auto"/>
                    <w:left w:val="single" w:sz="8" w:space="0" w:color="auto"/>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0" w:beforeAutospacing="0" w:after="0" w:afterAutospacing="0"/>
                    <w:ind w:left="0" w:right="0"/>
                    <w:jc w:val="center"/>
                    <w:rPr>
                      <w:rFonts w:ascii="宋体" w:hAnsi="宋体" w:cs="宋体" w:hint="default"/>
                      <w:kern w:val="0"/>
                      <w:szCs w:val="21"/>
                    </w:rPr>
                  </w:pPr>
                  <w:r>
                    <w:rPr>
                      <w:rFonts w:ascii="宋体" w:hAnsi="宋体" w:cs="宋体" w:hint="eastAsia"/>
                      <w:b/>
                      <w:bCs/>
                      <w:kern w:val="0"/>
                      <w:szCs w:val="21"/>
                    </w:rPr>
                    <w:t>服务费率类型</w:t>
                  </w:r>
                </w:p>
                <w:p>
                  <w:pPr>
                    <w:keepNext w:val="0"/>
                    <w:keepLines w:val="0"/>
                    <w:widowControl/>
                    <w:suppressLineNumbers w:val="0"/>
                    <w:wordWrap w:val="0"/>
                    <w:spacing w:before="0" w:beforeAutospacing="0" w:after="0" w:afterAutospacing="0"/>
                    <w:ind w:left="0" w:right="0"/>
                    <w:jc w:val="center"/>
                    <w:rPr>
                      <w:rFonts w:ascii="宋体" w:hAnsi="宋体" w:cs="宋体" w:hint="default"/>
                      <w:kern w:val="0"/>
                      <w:szCs w:val="21"/>
                    </w:rPr>
                  </w:pPr>
                  <w:r>
                    <w:rPr>
                      <w:rFonts w:ascii="宋体" w:hAnsi="宋体" w:cs="宋体" w:hint="eastAsia"/>
                      <w:b/>
                      <w:bCs/>
                      <w:kern w:val="0"/>
                      <w:szCs w:val="21"/>
                    </w:rPr>
                    <w:t>中标金额</w:t>
                  </w:r>
                </w:p>
              </w:tc>
              <w:tc>
                <w:tcPr>
                  <w:tcW w:w="1130" w:type="dxa"/>
                  <w:tcBorders>
                    <w:top w:val="single" w:sz="8" w:space="0" w:color="auto"/>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b/>
                      <w:bCs/>
                      <w:kern w:val="0"/>
                      <w:szCs w:val="21"/>
                    </w:rPr>
                    <w:t>货物采购</w:t>
                  </w:r>
                </w:p>
              </w:tc>
              <w:tc>
                <w:tcPr>
                  <w:tcW w:w="1217" w:type="dxa"/>
                  <w:tcBorders>
                    <w:top w:val="single" w:sz="8" w:space="0" w:color="auto"/>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b/>
                      <w:bCs/>
                      <w:kern w:val="0"/>
                      <w:szCs w:val="21"/>
                    </w:rPr>
                    <w:t>服务采购</w:t>
                  </w:r>
                </w:p>
              </w:tc>
              <w:tc>
                <w:tcPr>
                  <w:tcW w:w="1193" w:type="dxa"/>
                  <w:tcBorders>
                    <w:top w:val="single" w:sz="8" w:space="0" w:color="auto"/>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b/>
                      <w:bCs/>
                      <w:kern w:val="0"/>
                      <w:szCs w:val="21"/>
                    </w:rPr>
                    <w:t>工程采购</w:t>
                  </w:r>
                </w:p>
              </w:tc>
            </w:tr>
            <w:tr>
              <w:tblPrEx>
                <w:tblW w:w="6343" w:type="dxa"/>
                <w:tblInd w:w="0" w:type="dxa"/>
                <w:tblLayout w:type="fixed"/>
                <w:tblCellMar>
                  <w:top w:w="15" w:type="dxa"/>
                  <w:left w:w="15" w:type="dxa"/>
                  <w:bottom w:w="15" w:type="dxa"/>
                  <w:right w:w="15" w:type="dxa"/>
                </w:tblCellMar>
              </w:tblPrEx>
              <w:trPr>
                <w:trHeight w:val="299"/>
              </w:trPr>
              <w:tc>
                <w:tcPr>
                  <w:tcW w:w="2803"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100万元以下</w:t>
                  </w:r>
                </w:p>
              </w:tc>
              <w:tc>
                <w:tcPr>
                  <w:tcW w:w="1130"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1.5%</w:t>
                  </w:r>
                </w:p>
              </w:tc>
              <w:tc>
                <w:tcPr>
                  <w:tcW w:w="1217"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1.5%</w:t>
                  </w:r>
                </w:p>
              </w:tc>
              <w:tc>
                <w:tcPr>
                  <w:tcW w:w="1193"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1.0%</w:t>
                  </w:r>
                </w:p>
              </w:tc>
            </w:tr>
            <w:tr>
              <w:tblPrEx>
                <w:tblW w:w="6343" w:type="dxa"/>
                <w:tblInd w:w="0" w:type="dxa"/>
                <w:tblLayout w:type="fixed"/>
                <w:tblCellMar>
                  <w:top w:w="15" w:type="dxa"/>
                  <w:left w:w="15" w:type="dxa"/>
                  <w:bottom w:w="15" w:type="dxa"/>
                  <w:right w:w="15" w:type="dxa"/>
                </w:tblCellMar>
              </w:tblPrEx>
              <w:trPr>
                <w:trHeight w:val="299"/>
              </w:trPr>
              <w:tc>
                <w:tcPr>
                  <w:tcW w:w="2803"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100万元（含）-500万元</w:t>
                  </w:r>
                </w:p>
              </w:tc>
              <w:tc>
                <w:tcPr>
                  <w:tcW w:w="1130"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1.1%</w:t>
                  </w:r>
                </w:p>
              </w:tc>
              <w:tc>
                <w:tcPr>
                  <w:tcW w:w="1217"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0.8%</w:t>
                  </w:r>
                </w:p>
              </w:tc>
              <w:tc>
                <w:tcPr>
                  <w:tcW w:w="1193"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0.7%</w:t>
                  </w:r>
                </w:p>
              </w:tc>
            </w:tr>
            <w:tr>
              <w:tblPrEx>
                <w:tblW w:w="6343" w:type="dxa"/>
                <w:tblInd w:w="0" w:type="dxa"/>
                <w:tblLayout w:type="fixed"/>
                <w:tblCellMar>
                  <w:top w:w="15" w:type="dxa"/>
                  <w:left w:w="15" w:type="dxa"/>
                  <w:bottom w:w="15" w:type="dxa"/>
                  <w:right w:w="15" w:type="dxa"/>
                </w:tblCellMar>
              </w:tblPrEx>
              <w:trPr>
                <w:trHeight w:val="299"/>
              </w:trPr>
              <w:tc>
                <w:tcPr>
                  <w:tcW w:w="2803"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500万元（含）-1000万元</w:t>
                  </w:r>
                </w:p>
              </w:tc>
              <w:tc>
                <w:tcPr>
                  <w:tcW w:w="1130"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0.8%</w:t>
                  </w:r>
                </w:p>
              </w:tc>
              <w:tc>
                <w:tcPr>
                  <w:tcW w:w="1217"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0.45%</w:t>
                  </w:r>
                </w:p>
              </w:tc>
              <w:tc>
                <w:tcPr>
                  <w:tcW w:w="1193"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0.55%</w:t>
                  </w:r>
                </w:p>
              </w:tc>
            </w:tr>
            <w:tr>
              <w:tblPrEx>
                <w:tblW w:w="6343" w:type="dxa"/>
                <w:tblInd w:w="0" w:type="dxa"/>
                <w:tblLayout w:type="fixed"/>
                <w:tblCellMar>
                  <w:top w:w="15" w:type="dxa"/>
                  <w:left w:w="15" w:type="dxa"/>
                  <w:bottom w:w="15" w:type="dxa"/>
                  <w:right w:w="15" w:type="dxa"/>
                </w:tblCellMar>
              </w:tblPrEx>
              <w:trPr>
                <w:trHeight w:val="299"/>
              </w:trPr>
              <w:tc>
                <w:tcPr>
                  <w:tcW w:w="2803"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1000万元（含）-5000万元</w:t>
                  </w:r>
                </w:p>
              </w:tc>
              <w:tc>
                <w:tcPr>
                  <w:tcW w:w="1130"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0.5%</w:t>
                  </w:r>
                </w:p>
              </w:tc>
              <w:tc>
                <w:tcPr>
                  <w:tcW w:w="1217"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0.25%</w:t>
                  </w:r>
                </w:p>
              </w:tc>
              <w:tc>
                <w:tcPr>
                  <w:tcW w:w="1193"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0.35%</w:t>
                  </w:r>
                </w:p>
              </w:tc>
            </w:tr>
            <w:tr>
              <w:tblPrEx>
                <w:tblW w:w="6343" w:type="dxa"/>
                <w:tblInd w:w="0" w:type="dxa"/>
                <w:tblLayout w:type="fixed"/>
                <w:tblCellMar>
                  <w:top w:w="15" w:type="dxa"/>
                  <w:left w:w="15" w:type="dxa"/>
                  <w:bottom w:w="15" w:type="dxa"/>
                  <w:right w:w="15" w:type="dxa"/>
                </w:tblCellMar>
              </w:tblPrEx>
              <w:trPr>
                <w:trHeight w:val="299"/>
              </w:trPr>
              <w:tc>
                <w:tcPr>
                  <w:tcW w:w="2803"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5000万元（含）-1亿元</w:t>
                  </w:r>
                </w:p>
              </w:tc>
              <w:tc>
                <w:tcPr>
                  <w:tcW w:w="1130"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0.25%</w:t>
                  </w:r>
                </w:p>
              </w:tc>
              <w:tc>
                <w:tcPr>
                  <w:tcW w:w="1217"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0.1%</w:t>
                  </w:r>
                </w:p>
              </w:tc>
              <w:tc>
                <w:tcPr>
                  <w:tcW w:w="1193"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0.2%</w:t>
                  </w:r>
                </w:p>
              </w:tc>
            </w:tr>
            <w:tr>
              <w:tblPrEx>
                <w:tblW w:w="6343" w:type="dxa"/>
                <w:tblInd w:w="0" w:type="dxa"/>
                <w:tblLayout w:type="fixed"/>
                <w:tblCellMar>
                  <w:top w:w="15" w:type="dxa"/>
                  <w:left w:w="15" w:type="dxa"/>
                  <w:bottom w:w="15" w:type="dxa"/>
                  <w:right w:w="15" w:type="dxa"/>
                </w:tblCellMar>
              </w:tblPrEx>
              <w:trPr>
                <w:trHeight w:val="299"/>
              </w:trPr>
              <w:tc>
                <w:tcPr>
                  <w:tcW w:w="2803"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1亿元（含）-5亿元</w:t>
                  </w:r>
                </w:p>
              </w:tc>
              <w:tc>
                <w:tcPr>
                  <w:tcW w:w="1130"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0.05%</w:t>
                  </w:r>
                </w:p>
              </w:tc>
              <w:tc>
                <w:tcPr>
                  <w:tcW w:w="1217"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0.05%</w:t>
                  </w:r>
                </w:p>
              </w:tc>
              <w:tc>
                <w:tcPr>
                  <w:tcW w:w="1193"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0.05%</w:t>
                  </w:r>
                </w:p>
              </w:tc>
            </w:tr>
            <w:tr>
              <w:tblPrEx>
                <w:tblW w:w="6343" w:type="dxa"/>
                <w:tblInd w:w="0" w:type="dxa"/>
                <w:tblLayout w:type="fixed"/>
                <w:tblCellMar>
                  <w:top w:w="15" w:type="dxa"/>
                  <w:left w:w="15" w:type="dxa"/>
                  <w:bottom w:w="15" w:type="dxa"/>
                  <w:right w:w="15" w:type="dxa"/>
                </w:tblCellMar>
              </w:tblPrEx>
              <w:trPr>
                <w:trHeight w:val="299"/>
              </w:trPr>
              <w:tc>
                <w:tcPr>
                  <w:tcW w:w="2803"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5亿元（含）-10亿元</w:t>
                  </w:r>
                </w:p>
              </w:tc>
              <w:tc>
                <w:tcPr>
                  <w:tcW w:w="1130"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0.035%</w:t>
                  </w:r>
                </w:p>
              </w:tc>
              <w:tc>
                <w:tcPr>
                  <w:tcW w:w="1217"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0.035%</w:t>
                  </w:r>
                </w:p>
              </w:tc>
              <w:tc>
                <w:tcPr>
                  <w:tcW w:w="1193"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0.035%</w:t>
                  </w:r>
                </w:p>
              </w:tc>
            </w:tr>
            <w:tr>
              <w:tblPrEx>
                <w:tblW w:w="6343" w:type="dxa"/>
                <w:tblInd w:w="0" w:type="dxa"/>
                <w:tblLayout w:type="fixed"/>
                <w:tblCellMar>
                  <w:top w:w="15" w:type="dxa"/>
                  <w:left w:w="15" w:type="dxa"/>
                  <w:bottom w:w="15" w:type="dxa"/>
                  <w:right w:w="15" w:type="dxa"/>
                </w:tblCellMar>
              </w:tblPrEx>
              <w:trPr>
                <w:trHeight w:val="299"/>
              </w:trPr>
              <w:tc>
                <w:tcPr>
                  <w:tcW w:w="2803"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10亿元（含）-50亿元</w:t>
                  </w:r>
                </w:p>
              </w:tc>
              <w:tc>
                <w:tcPr>
                  <w:tcW w:w="1130"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0.008%</w:t>
                  </w:r>
                </w:p>
              </w:tc>
              <w:tc>
                <w:tcPr>
                  <w:tcW w:w="1217"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0.008%</w:t>
                  </w:r>
                </w:p>
              </w:tc>
              <w:tc>
                <w:tcPr>
                  <w:tcW w:w="1193"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0.008%</w:t>
                  </w:r>
                </w:p>
              </w:tc>
            </w:tr>
            <w:tr>
              <w:tblPrEx>
                <w:tblW w:w="6343" w:type="dxa"/>
                <w:tblInd w:w="0" w:type="dxa"/>
                <w:tblLayout w:type="fixed"/>
                <w:tblCellMar>
                  <w:top w:w="15" w:type="dxa"/>
                  <w:left w:w="15" w:type="dxa"/>
                  <w:bottom w:w="15" w:type="dxa"/>
                  <w:right w:w="15" w:type="dxa"/>
                </w:tblCellMar>
              </w:tblPrEx>
              <w:trPr>
                <w:trHeight w:val="299"/>
              </w:trPr>
              <w:tc>
                <w:tcPr>
                  <w:tcW w:w="2803"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50亿元（含）-100亿元</w:t>
                  </w:r>
                </w:p>
              </w:tc>
              <w:tc>
                <w:tcPr>
                  <w:tcW w:w="1130"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0.006%</w:t>
                  </w:r>
                </w:p>
              </w:tc>
              <w:tc>
                <w:tcPr>
                  <w:tcW w:w="1217"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0.006%</w:t>
                  </w:r>
                </w:p>
              </w:tc>
              <w:tc>
                <w:tcPr>
                  <w:tcW w:w="1193"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0.006%</w:t>
                  </w:r>
                </w:p>
              </w:tc>
            </w:tr>
            <w:tr>
              <w:tblPrEx>
                <w:tblW w:w="6343" w:type="dxa"/>
                <w:tblInd w:w="0" w:type="dxa"/>
                <w:tblLayout w:type="fixed"/>
                <w:tblCellMar>
                  <w:top w:w="15" w:type="dxa"/>
                  <w:left w:w="15" w:type="dxa"/>
                  <w:bottom w:w="15" w:type="dxa"/>
                  <w:right w:w="15" w:type="dxa"/>
                </w:tblCellMar>
              </w:tblPrEx>
              <w:trPr>
                <w:trHeight w:val="299"/>
              </w:trPr>
              <w:tc>
                <w:tcPr>
                  <w:tcW w:w="2803" w:type="dxa"/>
                  <w:tcBorders>
                    <w:top w:val="nil"/>
                    <w:left w:val="single" w:sz="8" w:space="0" w:color="auto"/>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100亿元（含）以上</w:t>
                  </w:r>
                </w:p>
              </w:tc>
              <w:tc>
                <w:tcPr>
                  <w:tcW w:w="1130"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0.004%</w:t>
                  </w:r>
                </w:p>
              </w:tc>
              <w:tc>
                <w:tcPr>
                  <w:tcW w:w="1217"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0.004%</w:t>
                  </w:r>
                </w:p>
              </w:tc>
              <w:tc>
                <w:tcPr>
                  <w:tcW w:w="1193" w:type="dxa"/>
                  <w:tcBorders>
                    <w:top w:val="nil"/>
                    <w:left w:val="nil"/>
                    <w:bottom w:val="single" w:sz="8" w:space="0" w:color="auto"/>
                    <w:right w:val="single" w:sz="8" w:space="0" w:color="auto"/>
                  </w:tcBorders>
                  <w:tcMar>
                    <w:top w:w="27" w:type="dxa"/>
                    <w:left w:w="136" w:type="dxa"/>
                    <w:bottom w:w="27" w:type="dxa"/>
                    <w:right w:w="136" w:type="dxa"/>
                  </w:tcMar>
                  <w:vAlign w:val="center"/>
                </w:tcPr>
                <w:p>
                  <w:pPr>
                    <w:keepNext w:val="0"/>
                    <w:keepLines w:val="0"/>
                    <w:widowControl/>
                    <w:suppressLineNumbers w:val="0"/>
                    <w:wordWrap w:val="0"/>
                    <w:spacing w:before="100" w:beforeAutospacing="1" w:after="100" w:afterAutospacing="1"/>
                    <w:ind w:left="0" w:right="0"/>
                    <w:jc w:val="center"/>
                    <w:rPr>
                      <w:rFonts w:ascii="宋体" w:hAnsi="宋体" w:cs="宋体" w:hint="default"/>
                      <w:kern w:val="0"/>
                      <w:szCs w:val="21"/>
                    </w:rPr>
                  </w:pPr>
                  <w:r>
                    <w:rPr>
                      <w:rFonts w:ascii="宋体" w:hAnsi="宋体" w:cs="宋体" w:hint="eastAsia"/>
                      <w:kern w:val="0"/>
                      <w:szCs w:val="21"/>
                    </w:rPr>
                    <w:t>0.004%</w:t>
                  </w:r>
                </w:p>
              </w:tc>
            </w:tr>
          </w:tbl>
          <w:p>
            <w:pPr>
              <w:keepNext w:val="0"/>
              <w:keepLines w:val="0"/>
              <w:suppressLineNumbers w:val="0"/>
              <w:snapToGrid w:val="0"/>
              <w:spacing w:before="0" w:beforeAutospacing="0" w:after="0" w:afterAutospacing="0" w:line="360" w:lineRule="auto"/>
              <w:ind w:left="0" w:right="0"/>
              <w:rPr>
                <w:rFonts w:ascii="宋体" w:hAnsi="宋体" w:cs="宋体" w:hint="default"/>
                <w:sz w:val="24"/>
              </w:rPr>
            </w:pPr>
            <w:r>
              <w:rPr>
                <w:rFonts w:ascii="宋体" w:hAnsi="宋体" w:cs="宋体" w:hint="eastAsia"/>
                <w:sz w:val="24"/>
              </w:rPr>
              <w:t>例如：某货物招标中标金额/采购预算为人民币850万元，计算采购代理服务收费额如下：</w:t>
            </w:r>
          </w:p>
          <w:p>
            <w:pPr>
              <w:keepNext w:val="0"/>
              <w:keepLines w:val="0"/>
              <w:suppressLineNumbers w:val="0"/>
              <w:snapToGrid w:val="0"/>
              <w:spacing w:before="0" w:beforeAutospacing="0" w:after="0" w:afterAutospacing="0" w:line="360" w:lineRule="auto"/>
              <w:ind w:left="332" w:right="0" w:firstLine="1470" w:leftChars="158" w:firstLineChars="700"/>
              <w:jc w:val="left"/>
              <w:rPr>
                <w:rFonts w:ascii="宋体" w:hAnsi="宋体" w:cs="宋体" w:hint="default"/>
                <w:sz w:val="24"/>
              </w:rPr>
            </w:pPr>
            <w:r>
              <w:rPr>
                <w:rFonts w:ascii="宋体" w:hAnsi="宋体" w:cs="宋体" w:hint="eastAsia"/>
                <w:sz w:val="24"/>
              </w:rPr>
              <w:t>100万元×1.5%=1.5万元</w:t>
            </w:r>
          </w:p>
          <w:p>
            <w:pPr>
              <w:keepNext w:val="0"/>
              <w:keepLines w:val="0"/>
              <w:suppressLineNumbers w:val="0"/>
              <w:snapToGrid w:val="0"/>
              <w:spacing w:before="0" w:beforeAutospacing="0" w:after="0" w:afterAutospacing="0" w:line="360" w:lineRule="auto"/>
              <w:ind w:left="332" w:right="0" w:firstLine="1260" w:leftChars="158" w:firstLineChars="600"/>
              <w:jc w:val="left"/>
              <w:rPr>
                <w:rFonts w:ascii="宋体" w:hAnsi="宋体" w:cs="宋体" w:hint="default"/>
                <w:sz w:val="24"/>
              </w:rPr>
            </w:pPr>
            <w:r>
              <w:rPr>
                <w:rFonts w:ascii="宋体" w:hAnsi="宋体" w:cs="宋体" w:hint="eastAsia"/>
                <w:sz w:val="24"/>
              </w:rPr>
              <w:t>（500-100）万元×1.1%=4.4万元</w:t>
            </w:r>
          </w:p>
          <w:p>
            <w:pPr>
              <w:keepNext w:val="0"/>
              <w:keepLines w:val="0"/>
              <w:suppressLineNumbers w:val="0"/>
              <w:snapToGrid w:val="0"/>
              <w:spacing w:before="0" w:beforeAutospacing="0" w:after="0" w:afterAutospacing="0" w:line="360" w:lineRule="auto"/>
              <w:ind w:left="332" w:right="0" w:firstLine="1155" w:leftChars="158" w:firstLineChars="550"/>
              <w:jc w:val="left"/>
              <w:rPr>
                <w:rFonts w:ascii="宋体" w:hAnsi="宋体" w:cs="宋体" w:hint="default"/>
                <w:sz w:val="24"/>
              </w:rPr>
            </w:pPr>
            <w:r>
              <w:rPr>
                <w:rFonts w:ascii="宋体" w:hAnsi="宋体" w:cs="宋体" w:hint="eastAsia"/>
                <w:sz w:val="24"/>
              </w:rPr>
              <w:t>（850-500）万元×0.8%=2.8万元</w:t>
            </w:r>
          </w:p>
          <w:p>
            <w:pPr>
              <w:pStyle w:val="ListParagraph"/>
              <w:keepNext w:val="0"/>
              <w:keepLines w:val="0"/>
              <w:suppressLineNumbers w:val="0"/>
              <w:spacing w:before="0" w:beforeAutospacing="0" w:after="0" w:afterAutospacing="0"/>
              <w:ind w:left="349" w:right="0" w:firstLine="1155" w:leftChars="166" w:firstLineChars="550"/>
              <w:jc w:val="left"/>
              <w:rPr>
                <w:rFonts w:ascii="宋体" w:hAnsi="宋体" w:cs="宋体" w:hint="default"/>
                <w:sz w:val="24"/>
              </w:rPr>
            </w:pPr>
            <w:r>
              <w:rPr>
                <w:rFonts w:ascii="宋体" w:hAnsi="宋体" w:cs="宋体" w:hint="eastAsia"/>
                <w:sz w:val="24"/>
              </w:rPr>
              <w:t>合计收费=1.5+4.4+2.8=8.7（万元）</w:t>
            </w:r>
          </w:p>
          <w:p>
            <w:pPr>
              <w:pStyle w:val="ListParagraph"/>
              <w:keepNext w:val="0"/>
              <w:keepLines w:val="0"/>
              <w:numPr>
                <w:ilvl w:val="0"/>
                <w:numId w:val="26"/>
              </w:numPr>
              <w:suppressLineNumbers w:val="0"/>
              <w:tabs>
                <w:tab w:val="left" w:pos="524"/>
                <w:tab w:val="left" w:pos="601"/>
              </w:tabs>
              <w:adjustRightInd w:val="0"/>
              <w:snapToGrid w:val="0"/>
              <w:spacing w:before="0" w:beforeAutospacing="0" w:after="0" w:afterAutospacing="0"/>
              <w:ind w:left="99" w:right="0" w:hanging="99" w:firstLineChars="0"/>
              <w:rPr>
                <w:rFonts w:asciiTheme="minorEastAsia" w:eastAsiaTheme="minorEastAsia" w:hAnsiTheme="minorEastAsia" w:hint="default"/>
                <w:sz w:val="24"/>
              </w:rPr>
            </w:pPr>
            <w:r>
              <w:rPr>
                <w:rFonts w:asciiTheme="minorEastAsia" w:eastAsiaTheme="minorEastAsia" w:hAnsiTheme="minorEastAsia" w:hint="eastAsia"/>
                <w:sz w:val="24"/>
              </w:rPr>
              <w:t>投标人应签署第六章所附格式的采购代理服务费承诺书，作为投标文件的一部分</w:t>
            </w:r>
            <w:r>
              <w:rPr>
                <w:rFonts w:asciiTheme="minorEastAsia" w:eastAsiaTheme="minorEastAsia" w:hAnsiTheme="minorEastAsia" w:hint="default"/>
                <w:sz w:val="24"/>
              </w:rPr>
              <w:t>。</w:t>
            </w:r>
          </w:p>
          <w:p>
            <w:pPr>
              <w:pStyle w:val="ListParagraph"/>
              <w:keepNext w:val="0"/>
              <w:keepLines w:val="0"/>
              <w:numPr>
                <w:ilvl w:val="0"/>
                <w:numId w:val="26"/>
              </w:numPr>
              <w:suppressLineNumbers w:val="0"/>
              <w:tabs>
                <w:tab w:val="left" w:pos="524"/>
                <w:tab w:val="left" w:pos="601"/>
              </w:tabs>
              <w:adjustRightInd w:val="0"/>
              <w:snapToGrid w:val="0"/>
              <w:spacing w:before="0" w:beforeAutospacing="0" w:after="0" w:afterAutospacing="0"/>
              <w:ind w:left="99" w:right="0" w:hanging="99" w:firstLineChars="0"/>
              <w:rPr>
                <w:rFonts w:ascii="宋体" w:hAnsi="宋体" w:hint="default"/>
                <w:sz w:val="24"/>
              </w:rPr>
            </w:pPr>
            <w:r>
              <w:rPr>
                <w:rFonts w:asciiTheme="minorEastAsia" w:eastAsiaTheme="minorEastAsia" w:hAnsiTheme="minorEastAsia" w:hint="eastAsia"/>
                <w:sz w:val="24"/>
              </w:rPr>
              <w:t>中标人在领取《中标通知书》前应向采购代理机构缴纳采购代理服务费。凭领取人身份证复印件并加盖公章领取《中标通知书》。如采用电汇或银行转账，须同时递交采购代理服务费缴费凭证复印件并加盖公章</w:t>
            </w:r>
            <w:r>
              <w:rPr>
                <w:rFonts w:asciiTheme="minorEastAsia" w:eastAsiaTheme="minorEastAsia" w:hAnsiTheme="minorEastAsia" w:hint="default"/>
                <w:sz w:val="24"/>
              </w:rPr>
              <w:t>。</w:t>
            </w:r>
          </w:p>
        </w:tc>
      </w:tr>
      <w:tr>
        <w:tblPrEx>
          <w:tblW w:w="9986" w:type="dxa"/>
          <w:jc w:val="center"/>
          <w:tblLayout w:type="fixed"/>
          <w:tblCellMar>
            <w:top w:w="0" w:type="dxa"/>
            <w:left w:w="108" w:type="dxa"/>
            <w:bottom w:w="0" w:type="dxa"/>
            <w:right w:w="108" w:type="dxa"/>
          </w:tblCellMar>
        </w:tblPrEx>
        <w:trPr>
          <w:trHeight w:val="523"/>
          <w:jc w:val="center"/>
        </w:trPr>
        <w:tc>
          <w:tcPr>
            <w:tcW w:w="9986" w:type="dxa"/>
            <w:gridSpan w:val="4"/>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b/>
                <w:sz w:val="24"/>
              </w:rPr>
            </w:pPr>
            <w:r>
              <w:rPr>
                <w:rFonts w:asciiTheme="minorEastAsia" w:eastAsiaTheme="minorEastAsia" w:hAnsiTheme="minorEastAsia" w:hint="eastAsia"/>
                <w:b/>
                <w:sz w:val="24"/>
              </w:rPr>
              <w:t>其他说明</w:t>
            </w:r>
          </w:p>
        </w:tc>
      </w:tr>
      <w:tr>
        <w:tblPrEx>
          <w:tblW w:w="9986" w:type="dxa"/>
          <w:jc w:val="center"/>
          <w:tblLayout w:type="fixed"/>
          <w:tblCellMar>
            <w:top w:w="0" w:type="dxa"/>
            <w:left w:w="108" w:type="dxa"/>
            <w:bottom w:w="0" w:type="dxa"/>
            <w:right w:w="108" w:type="dxa"/>
          </w:tblCellMar>
        </w:tblPrEx>
        <w:trPr>
          <w:trHeight w:val="528"/>
          <w:jc w:val="center"/>
        </w:trPr>
        <w:tc>
          <w:tcPr>
            <w:tcW w:w="1314"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eastAsia"/>
                <w:sz w:val="24"/>
              </w:rPr>
              <w:t>/</w:t>
            </w:r>
          </w:p>
        </w:tc>
        <w:tc>
          <w:tcPr>
            <w:tcW w:w="708"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eastAsia"/>
                <w:sz w:val="24"/>
              </w:rPr>
              <w:t>/</w:t>
            </w:r>
          </w:p>
        </w:tc>
        <w:tc>
          <w:tcPr>
            <w:tcW w:w="1418" w:type="dxa"/>
            <w:vAlign w:val="center"/>
          </w:tcPr>
          <w:p>
            <w:pPr>
              <w:keepNext w:val="0"/>
              <w:keepLines w:val="0"/>
              <w:suppressLineNumbers w:val="0"/>
              <w:spacing w:before="0" w:beforeAutospacing="0" w:after="0" w:afterAutospacing="0"/>
              <w:ind w:left="0" w:right="0"/>
              <w:jc w:val="center"/>
              <w:rPr>
                <w:rFonts w:ascii="宋体" w:hAnsi="宋体" w:cs="宋体" w:hint="default"/>
                <w:color w:val="auto"/>
                <w:sz w:val="24"/>
              </w:rPr>
            </w:pPr>
            <w:r>
              <w:rPr>
                <w:rFonts w:ascii="宋体" w:hAnsi="宋体" w:cs="宋体" w:hint="eastAsia"/>
                <w:color w:val="auto"/>
                <w:sz w:val="24"/>
              </w:rPr>
              <w:t>询问函、质疑函接受的具体联系方式</w:t>
            </w:r>
          </w:p>
        </w:tc>
        <w:tc>
          <w:tcPr>
            <w:tcW w:w="6546" w:type="dxa"/>
            <w:vAlign w:val="center"/>
          </w:tcPr>
          <w:p>
            <w:pPr>
              <w:pStyle w:val="ListParagraph"/>
              <w:keepNext w:val="0"/>
              <w:keepLines w:val="0"/>
              <w:suppressLineNumbers w:val="0"/>
              <w:tabs>
                <w:tab w:val="left" w:pos="0"/>
                <w:tab w:val="left" w:pos="99"/>
                <w:tab w:val="left" w:pos="2773"/>
              </w:tabs>
              <w:adjustRightInd w:val="0"/>
              <w:snapToGrid w:val="0"/>
              <w:spacing w:before="0" w:beforeAutospacing="0" w:after="0" w:afterAutospacing="0"/>
              <w:ind w:left="0" w:right="0" w:firstLine="0" w:firstLineChars="0"/>
              <w:rPr>
                <w:rFonts w:asciiTheme="minorEastAsia" w:eastAsiaTheme="minorEastAsia" w:hAnsiTheme="minorEastAsia" w:hint="eastAsia"/>
                <w:color w:val="auto"/>
                <w:sz w:val="24"/>
                <w:lang w:eastAsia="zh-CN"/>
              </w:rPr>
            </w:pPr>
            <w:r>
              <w:rPr>
                <w:rFonts w:asciiTheme="minorEastAsia" w:eastAsiaTheme="minorEastAsia" w:hAnsiTheme="minorEastAsia" w:hint="eastAsia"/>
                <w:color w:val="auto"/>
                <w:sz w:val="24"/>
              </w:rPr>
              <w:t>地址：深圳市福田区竹子林中国经贸大厦10</w:t>
            </w:r>
            <w:r>
              <w:rPr>
                <w:rFonts w:asciiTheme="minorEastAsia" w:eastAsiaTheme="minorEastAsia" w:hAnsiTheme="minorEastAsia" w:hint="eastAsia"/>
                <w:color w:val="auto"/>
                <w:sz w:val="24"/>
                <w:lang w:eastAsia="zh-CN"/>
              </w:rPr>
              <w:t>楼</w:t>
            </w:r>
            <w:r>
              <w:rPr>
                <w:rFonts w:asciiTheme="minorEastAsia" w:eastAsiaTheme="minorEastAsia" w:hAnsiTheme="minorEastAsia" w:cs="宋体" w:hint="eastAsia"/>
                <w:color w:val="auto"/>
                <w:sz w:val="24"/>
              </w:rPr>
              <w:t>采联国际招标采购集团有限公司深圳分公司</w:t>
            </w:r>
          </w:p>
          <w:p>
            <w:pPr>
              <w:pStyle w:val="ListParagraph"/>
              <w:keepNext w:val="0"/>
              <w:keepLines w:val="0"/>
              <w:suppressLineNumbers w:val="0"/>
              <w:tabs>
                <w:tab w:val="left" w:pos="0"/>
                <w:tab w:val="left" w:pos="99"/>
                <w:tab w:val="left" w:pos="2773"/>
              </w:tabs>
              <w:adjustRightInd w:val="0"/>
              <w:snapToGrid w:val="0"/>
              <w:spacing w:before="0" w:beforeAutospacing="0" w:after="0" w:afterAutospacing="0"/>
              <w:ind w:left="0" w:right="0" w:firstLine="0" w:firstLineChars="0"/>
              <w:rPr>
                <w:rFonts w:asciiTheme="minorEastAsia" w:eastAsiaTheme="minorEastAsia" w:hAnsiTheme="minorEastAsia" w:hint="default"/>
                <w:color w:val="auto"/>
                <w:sz w:val="24"/>
              </w:rPr>
            </w:pPr>
            <w:r>
              <w:rPr>
                <w:rFonts w:asciiTheme="minorEastAsia" w:eastAsiaTheme="minorEastAsia" w:hAnsiTheme="minorEastAsia" w:hint="eastAsia"/>
                <w:color w:val="auto"/>
                <w:sz w:val="24"/>
              </w:rPr>
              <w:t>联系人：</w:t>
            </w:r>
            <w:r>
              <w:rPr>
                <w:rFonts w:asciiTheme="minorEastAsia" w:eastAsiaTheme="minorEastAsia" w:hAnsiTheme="minorEastAsia" w:hint="eastAsia"/>
                <w:color w:val="auto"/>
                <w:sz w:val="24"/>
                <w:lang w:val="en-US" w:eastAsia="zh-CN"/>
              </w:rPr>
              <w:t>朱</w:t>
            </w:r>
            <w:r>
              <w:rPr>
                <w:rFonts w:asciiTheme="minorEastAsia" w:eastAsiaTheme="minorEastAsia" w:hAnsiTheme="minorEastAsia" w:hint="eastAsia"/>
                <w:color w:val="auto"/>
                <w:sz w:val="24"/>
              </w:rPr>
              <w:t>小姐</w:t>
            </w:r>
          </w:p>
          <w:p>
            <w:pPr>
              <w:pStyle w:val="ListParagraph"/>
              <w:keepNext w:val="0"/>
              <w:keepLines w:val="0"/>
              <w:suppressLineNumbers w:val="0"/>
              <w:tabs>
                <w:tab w:val="left" w:pos="0"/>
                <w:tab w:val="left" w:pos="99"/>
                <w:tab w:val="left" w:pos="2773"/>
              </w:tabs>
              <w:adjustRightInd w:val="0"/>
              <w:snapToGrid w:val="0"/>
              <w:spacing w:before="0" w:beforeAutospacing="0" w:after="0" w:afterAutospacing="0"/>
              <w:ind w:left="0" w:right="0" w:firstLine="0" w:firstLineChars="0"/>
              <w:rPr>
                <w:rFonts w:asciiTheme="minorEastAsia" w:eastAsiaTheme="minorEastAsia" w:hAnsiTheme="minorEastAsia" w:hint="default"/>
                <w:color w:val="auto"/>
                <w:sz w:val="24"/>
                <w:lang w:val="en-US" w:eastAsia="zh-CN"/>
              </w:rPr>
            </w:pPr>
            <w:r>
              <w:rPr>
                <w:rFonts w:asciiTheme="minorEastAsia" w:eastAsiaTheme="minorEastAsia" w:hAnsiTheme="minorEastAsia" w:hint="eastAsia"/>
                <w:color w:val="auto"/>
                <w:sz w:val="24"/>
              </w:rPr>
              <w:t>联系电话：0755-8837 7571或7572转</w:t>
            </w:r>
            <w:r>
              <w:rPr>
                <w:rFonts w:asciiTheme="minorEastAsia" w:eastAsiaTheme="minorEastAsia" w:hAnsiTheme="minorEastAsia" w:hint="eastAsia"/>
                <w:color w:val="auto"/>
                <w:sz w:val="24"/>
                <w:lang w:val="en-US" w:eastAsia="zh-CN"/>
              </w:rPr>
              <w:t>2314</w:t>
            </w:r>
          </w:p>
          <w:p>
            <w:pPr>
              <w:pStyle w:val="ListParagraph"/>
              <w:keepNext w:val="0"/>
              <w:keepLines w:val="0"/>
              <w:suppressLineNumbers w:val="0"/>
              <w:tabs>
                <w:tab w:val="left" w:pos="0"/>
                <w:tab w:val="left" w:pos="99"/>
                <w:tab w:val="left" w:pos="2773"/>
              </w:tabs>
              <w:adjustRightInd w:val="0"/>
              <w:snapToGrid w:val="0"/>
              <w:spacing w:before="0" w:beforeAutospacing="0" w:after="0" w:afterAutospacing="0"/>
              <w:ind w:left="0" w:right="0" w:firstLine="0" w:firstLineChars="0"/>
              <w:rPr>
                <w:rFonts w:asciiTheme="minorEastAsia" w:eastAsiaTheme="minorEastAsia" w:hAnsiTheme="minorEastAsia" w:hint="default"/>
                <w:color w:val="auto"/>
                <w:sz w:val="24"/>
              </w:rPr>
            </w:pPr>
            <w:r>
              <w:rPr>
                <w:rFonts w:asciiTheme="minorEastAsia" w:eastAsiaTheme="minorEastAsia" w:hAnsiTheme="minorEastAsia" w:hint="eastAsia"/>
                <w:color w:val="auto"/>
                <w:sz w:val="24"/>
              </w:rPr>
              <w:t>邮编：518040</w:t>
            </w:r>
          </w:p>
        </w:tc>
      </w:tr>
      <w:tr>
        <w:tblPrEx>
          <w:tblW w:w="9986" w:type="dxa"/>
          <w:jc w:val="center"/>
          <w:tblLayout w:type="fixed"/>
          <w:tblCellMar>
            <w:top w:w="0" w:type="dxa"/>
            <w:left w:w="108" w:type="dxa"/>
            <w:bottom w:w="0" w:type="dxa"/>
            <w:right w:w="108" w:type="dxa"/>
          </w:tblCellMar>
        </w:tblPrEx>
        <w:trPr>
          <w:trHeight w:val="528"/>
          <w:jc w:val="center"/>
        </w:trPr>
        <w:tc>
          <w:tcPr>
            <w:tcW w:w="1314"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eastAsia"/>
                <w:sz w:val="24"/>
              </w:rPr>
              <w:t>/</w:t>
            </w:r>
          </w:p>
        </w:tc>
        <w:tc>
          <w:tcPr>
            <w:tcW w:w="708" w:type="dxa"/>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sz w:val="24"/>
              </w:rPr>
            </w:pPr>
            <w:r>
              <w:rPr>
                <w:rFonts w:asciiTheme="minorEastAsia" w:eastAsiaTheme="minorEastAsia" w:hAnsiTheme="minorEastAsia" w:hint="eastAsia"/>
                <w:sz w:val="24"/>
              </w:rPr>
              <w:t>/</w:t>
            </w:r>
          </w:p>
        </w:tc>
        <w:tc>
          <w:tcPr>
            <w:tcW w:w="1418" w:type="dxa"/>
            <w:vAlign w:val="center"/>
          </w:tcPr>
          <w:p>
            <w:pPr>
              <w:keepNext w:val="0"/>
              <w:keepLines w:val="0"/>
              <w:suppressLineNumbers w:val="0"/>
              <w:spacing w:before="0" w:beforeAutospacing="0" w:after="0" w:afterAutospacing="0"/>
              <w:ind w:left="0" w:right="0"/>
              <w:jc w:val="center"/>
              <w:rPr>
                <w:rFonts w:ascii="宋体" w:hAnsi="宋体" w:cs="宋体" w:hint="default"/>
                <w:color w:val="00B0F0"/>
                <w:sz w:val="24"/>
              </w:rPr>
            </w:pPr>
            <w:r>
              <w:rPr>
                <w:rFonts w:ascii="宋体" w:hAnsi="宋体" w:cs="宋体" w:hint="eastAsia"/>
                <w:sz w:val="24"/>
              </w:rPr>
              <w:t>分包</w:t>
            </w:r>
          </w:p>
        </w:tc>
        <w:tc>
          <w:tcPr>
            <w:tcW w:w="6546" w:type="dxa"/>
            <w:vAlign w:val="center"/>
          </w:tcPr>
          <w:p>
            <w:pPr>
              <w:pStyle w:val="ListParagraph"/>
              <w:keepNext w:val="0"/>
              <w:keepLines w:val="0"/>
              <w:suppressLineNumbers w:val="0"/>
              <w:tabs>
                <w:tab w:val="left" w:pos="0"/>
                <w:tab w:val="left" w:pos="99"/>
                <w:tab w:val="left" w:pos="2773"/>
              </w:tabs>
              <w:adjustRightInd w:val="0"/>
              <w:snapToGrid w:val="0"/>
              <w:spacing w:before="0" w:beforeAutospacing="0" w:after="0" w:afterAutospacing="0"/>
              <w:ind w:left="0" w:right="0" w:firstLine="0" w:leftChars="0" w:firstLineChars="0"/>
              <w:rPr>
                <w:rFonts w:ascii="宋体" w:hAnsi="宋体" w:cs="宋体" w:hint="default"/>
                <w:color w:val="00B0F0"/>
                <w:sz w:val="24"/>
              </w:rPr>
            </w:pPr>
            <w:r>
              <w:rPr>
                <w:rFonts w:ascii="宋体" w:hAnsi="宋体" w:cs="宋体" w:hint="eastAsia"/>
                <w:sz w:val="24"/>
              </w:rPr>
              <w:t>不允许</w:t>
            </w:r>
            <w:r>
              <w:rPr>
                <w:rFonts w:asciiTheme="minorEastAsia" w:eastAsiaTheme="minorEastAsia" w:hAnsiTheme="minorEastAsia" w:hint="eastAsia"/>
                <w:sz w:val="24"/>
              </w:rPr>
              <w:t>。</w:t>
            </w:r>
          </w:p>
        </w:tc>
      </w:tr>
    </w:tbl>
    <w:p>
      <w:pPr>
        <w:widowControl/>
        <w:jc w:val="left"/>
      </w:pPr>
    </w:p>
    <w:p>
      <w:pPr>
        <w:widowControl/>
        <w:jc w:val="left"/>
        <w:rPr>
          <w:strike/>
        </w:rPr>
      </w:pPr>
      <w:r>
        <w:rPr>
          <w:strike/>
        </w:rPr>
        <w:br w:type="page"/>
      </w:r>
    </w:p>
    <w:p>
      <w:pPr>
        <w:adjustRightInd w:val="0"/>
        <w:snapToGrid w:val="0"/>
        <w:rPr>
          <w:strike/>
        </w:rPr>
      </w:pPr>
    </w:p>
    <w:p>
      <w:pPr>
        <w:snapToGrid w:val="0"/>
        <w:spacing w:line="360" w:lineRule="auto"/>
        <w:jc w:val="center"/>
        <w:outlineLvl w:val="1"/>
        <w:rPr>
          <w:b/>
          <w:bCs/>
          <w:sz w:val="28"/>
          <w:szCs w:val="28"/>
        </w:rPr>
      </w:pPr>
      <w:bookmarkStart w:id="90" w:name="_Toc21064"/>
      <w:bookmarkStart w:id="91" w:name="_Toc256000013"/>
      <w:r>
        <w:rPr>
          <w:rFonts w:hint="eastAsia"/>
          <w:b/>
          <w:bCs/>
          <w:sz w:val="28"/>
          <w:szCs w:val="28"/>
        </w:rPr>
        <w:t>第二部分 投标人须知通用条款</w:t>
      </w:r>
      <w:bookmarkEnd w:id="91"/>
      <w:bookmarkEnd w:id="90"/>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rPr>
      </w:pPr>
      <w:bookmarkStart w:id="92" w:name="_Toc435174933"/>
      <w:bookmarkStart w:id="93" w:name="_Toc435516650"/>
      <w:bookmarkStart w:id="94" w:name="_Toc438223136"/>
      <w:bookmarkStart w:id="95" w:name="_Toc5910"/>
      <w:bookmarkStart w:id="96" w:name="_Toc256000014"/>
      <w:r>
        <w:rPr>
          <w:rFonts w:ascii="宋体" w:hAnsi="宋体" w:hint="eastAsia"/>
          <w:b/>
          <w:sz w:val="28"/>
          <w:szCs w:val="28"/>
        </w:rPr>
        <w:t>总</w:t>
      </w:r>
      <w:r>
        <w:rPr>
          <w:rFonts w:ascii="宋体" w:hAnsi="宋体"/>
          <w:b/>
          <w:sz w:val="28"/>
          <w:szCs w:val="28"/>
          <w:lang w:eastAsia="zh-TW"/>
        </w:rPr>
        <w:t xml:space="preserve"> </w:t>
      </w:r>
      <w:bookmarkEnd w:id="92"/>
      <w:bookmarkEnd w:id="93"/>
      <w:bookmarkEnd w:id="94"/>
      <w:bookmarkStart w:id="97" w:name="_Toc292267791"/>
      <w:r>
        <w:rPr>
          <w:rFonts w:ascii="宋体" w:hAnsi="宋体" w:hint="eastAsia"/>
          <w:b/>
          <w:sz w:val="28"/>
          <w:szCs w:val="28"/>
        </w:rPr>
        <w:t>则</w:t>
      </w:r>
      <w:bookmarkEnd w:id="96"/>
      <w:bookmarkEnd w:id="95"/>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bookmarkEnd w:id="97"/>
      <w:r>
        <w:rPr>
          <w:rFonts w:ascii="宋体" w:hAnsi="宋体" w:hint="eastAsia"/>
          <w:b/>
          <w:bCs/>
          <w:sz w:val="24"/>
        </w:rPr>
        <w:t>适用范围</w:t>
      </w:r>
    </w:p>
    <w:p>
      <w:pPr>
        <w:numPr>
          <w:ilvl w:val="1"/>
          <w:numId w:val="28"/>
        </w:numPr>
        <w:autoSpaceDE w:val="0"/>
        <w:autoSpaceDN w:val="0"/>
        <w:adjustRightInd w:val="0"/>
        <w:snapToGrid w:val="0"/>
        <w:spacing w:line="360" w:lineRule="auto"/>
        <w:jc w:val="left"/>
        <w:rPr>
          <w:rFonts w:ascii="宋体" w:hAnsi="宋体"/>
          <w:b/>
          <w:bCs/>
          <w:sz w:val="24"/>
        </w:rPr>
      </w:pPr>
      <w:r>
        <w:rPr>
          <w:rFonts w:ascii="宋体" w:hAnsi="宋体" w:hint="eastAsia"/>
          <w:sz w:val="24"/>
        </w:rPr>
        <w:t>本招标文件适用于本</w:t>
      </w:r>
      <w:r>
        <w:rPr>
          <w:rFonts w:ascii="宋体" w:hAnsi="宋体" w:hint="eastAsia"/>
          <w:b/>
          <w:sz w:val="24"/>
        </w:rPr>
        <w:t>投标邀请</w:t>
      </w:r>
      <w:r>
        <w:rPr>
          <w:rFonts w:ascii="宋体" w:hAnsi="宋体" w:hint="eastAsia"/>
          <w:sz w:val="24"/>
        </w:rPr>
        <w:t>中所述项目的政府采购。</w:t>
      </w:r>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定义</w:t>
      </w:r>
    </w:p>
    <w:p>
      <w:pPr>
        <w:numPr>
          <w:ilvl w:val="1"/>
          <w:numId w:val="28"/>
        </w:numPr>
        <w:autoSpaceDE w:val="0"/>
        <w:autoSpaceDN w:val="0"/>
        <w:adjustRightInd w:val="0"/>
        <w:snapToGrid w:val="0"/>
        <w:spacing w:line="360" w:lineRule="auto"/>
        <w:rPr>
          <w:rFonts w:ascii="宋体" w:hAnsi="宋体" w:cs="黑体"/>
          <w:b/>
          <w:bCs/>
          <w:sz w:val="24"/>
        </w:rPr>
      </w:pPr>
      <w:r>
        <w:rPr>
          <w:rFonts w:ascii="宋体" w:hAnsi="宋体" w:hint="eastAsia"/>
          <w:sz w:val="24"/>
        </w:rPr>
        <w:t>政府采购监督管理部门指</w:t>
      </w:r>
      <w:r>
        <w:rPr>
          <w:rFonts w:ascii="宋体" w:hAnsi="宋体" w:cs="宋体" w:hint="eastAsia"/>
          <w:sz w:val="24"/>
          <w:lang w:eastAsia="zh-TW"/>
        </w:rPr>
        <w:t>人民政府财政部门</w:t>
      </w:r>
      <w:r>
        <w:rPr>
          <w:rFonts w:ascii="宋体" w:hAnsi="宋体" w:cs="宋体" w:hint="eastAsia"/>
          <w:sz w:val="24"/>
        </w:rPr>
        <w:t>。</w:t>
      </w:r>
    </w:p>
    <w:p>
      <w:pPr>
        <w:numPr>
          <w:ilvl w:val="1"/>
          <w:numId w:val="28"/>
        </w:numPr>
        <w:autoSpaceDE w:val="0"/>
        <w:autoSpaceDN w:val="0"/>
        <w:adjustRightInd w:val="0"/>
        <w:snapToGrid w:val="0"/>
        <w:spacing w:line="360" w:lineRule="auto"/>
        <w:rPr>
          <w:rFonts w:ascii="宋体" w:hAnsi="宋体"/>
          <w:sz w:val="24"/>
        </w:rPr>
      </w:pPr>
      <w:r>
        <w:rPr>
          <w:rFonts w:ascii="宋体" w:hAnsi="宋体" w:hint="eastAsia"/>
          <w:sz w:val="24"/>
        </w:rPr>
        <w:t>采购人指各级</w:t>
      </w:r>
      <w:r>
        <w:rPr>
          <w:rFonts w:ascii="宋体" w:hAnsi="宋体"/>
          <w:sz w:val="24"/>
        </w:rPr>
        <w:t>国家机关、事业单位和团体组织</w:t>
      </w:r>
      <w:r>
        <w:rPr>
          <w:rFonts w:ascii="宋体" w:hAnsi="宋体" w:hint="eastAsia"/>
          <w:sz w:val="24"/>
        </w:rPr>
        <w:t>。</w:t>
      </w:r>
      <w:r>
        <w:rPr>
          <w:rFonts w:ascii="宋体" w:hAnsi="宋体" w:cs="宋体" w:hint="eastAsia"/>
          <w:sz w:val="24"/>
          <w:lang w:eastAsia="zh-TW"/>
        </w:rPr>
        <w:t>本招标文件中所述的采购人已拥有一笔</w:t>
      </w:r>
      <w:r>
        <w:rPr>
          <w:rFonts w:ascii="宋体" w:hAnsi="宋体" w:cs="宋体" w:hint="eastAsia"/>
          <w:sz w:val="24"/>
        </w:rPr>
        <w:t>财政性</w:t>
      </w:r>
      <w:r>
        <w:rPr>
          <w:rFonts w:ascii="宋体" w:hAnsi="宋体" w:cs="宋体" w:hint="eastAsia"/>
          <w:sz w:val="24"/>
          <w:lang w:eastAsia="zh-TW"/>
        </w:rPr>
        <w:t>资金</w:t>
      </w:r>
      <w:r>
        <w:rPr>
          <w:rFonts w:ascii="宋体" w:hAnsi="宋体" w:cs="宋体" w:hint="eastAsia"/>
          <w:sz w:val="24"/>
        </w:rPr>
        <w:t>/贷款或资金来源已落实</w:t>
      </w:r>
      <w:r>
        <w:rPr>
          <w:rFonts w:ascii="宋体" w:hAnsi="宋体" w:cs="宋体" w:hint="eastAsia"/>
          <w:sz w:val="24"/>
          <w:lang w:eastAsia="zh-TW"/>
        </w:rPr>
        <w:t>。采购人计划将一部分</w:t>
      </w:r>
      <w:r>
        <w:rPr>
          <w:rFonts w:ascii="宋体" w:hAnsi="宋体" w:cs="宋体" w:hint="eastAsia"/>
          <w:sz w:val="24"/>
        </w:rPr>
        <w:t>或全部</w:t>
      </w:r>
      <w:r>
        <w:rPr>
          <w:rFonts w:ascii="宋体" w:hAnsi="宋体" w:cs="宋体" w:hint="eastAsia"/>
          <w:sz w:val="24"/>
          <w:lang w:eastAsia="zh-TW"/>
        </w:rPr>
        <w:t>资金</w:t>
      </w:r>
      <w:r>
        <w:rPr>
          <w:rFonts w:ascii="宋体" w:hAnsi="宋体" w:cs="宋体" w:hint="eastAsia"/>
          <w:sz w:val="24"/>
        </w:rPr>
        <w:t>/贷款</w:t>
      </w:r>
      <w:r>
        <w:rPr>
          <w:rFonts w:ascii="宋体" w:hAnsi="宋体" w:cs="宋体" w:hint="eastAsia"/>
          <w:sz w:val="24"/>
          <w:lang w:eastAsia="zh-TW"/>
        </w:rPr>
        <w:t>用于支付本次</w:t>
      </w:r>
      <w:r>
        <w:rPr>
          <w:rFonts w:ascii="宋体" w:hAnsi="宋体" w:cs="宋体" w:hint="eastAsia"/>
          <w:sz w:val="24"/>
        </w:rPr>
        <w:t>招标</w:t>
      </w:r>
      <w:r>
        <w:rPr>
          <w:rFonts w:ascii="宋体" w:hAnsi="宋体" w:cs="宋体" w:hint="eastAsia"/>
          <w:sz w:val="24"/>
          <w:lang w:eastAsia="zh-TW"/>
        </w:rPr>
        <w:t>后所签订合同项下的款项</w:t>
      </w:r>
      <w:r>
        <w:rPr>
          <w:rFonts w:ascii="宋体" w:hAnsi="宋体" w:cs="宋体" w:hint="eastAsia"/>
          <w:sz w:val="24"/>
        </w:rPr>
        <w:t>。</w:t>
      </w:r>
    </w:p>
    <w:p>
      <w:pPr>
        <w:numPr>
          <w:ilvl w:val="1"/>
          <w:numId w:val="28"/>
        </w:numPr>
        <w:autoSpaceDE w:val="0"/>
        <w:autoSpaceDN w:val="0"/>
        <w:adjustRightInd w:val="0"/>
        <w:snapToGrid w:val="0"/>
        <w:spacing w:line="360" w:lineRule="auto"/>
        <w:rPr>
          <w:rFonts w:ascii="宋体" w:hAnsi="宋体"/>
          <w:strike/>
          <w:color w:val="0000CC"/>
          <w:sz w:val="24"/>
        </w:rPr>
      </w:pPr>
      <w:r>
        <w:rPr>
          <w:rFonts w:ascii="宋体" w:hAnsi="宋体" w:hint="eastAsia"/>
          <w:sz w:val="24"/>
        </w:rPr>
        <w:t>采购代理机构指按照规定办理名录登记并通过审核的代理机构，其联系方式见</w:t>
      </w:r>
      <w:r>
        <w:rPr>
          <w:rFonts w:hAnsi="宋体" w:hint="eastAsia"/>
          <w:snapToGrid w:val="0"/>
          <w:sz w:val="24"/>
        </w:rPr>
        <w:t>本</w:t>
      </w:r>
      <w:r>
        <w:rPr>
          <w:rFonts w:ascii="宋体" w:hAnsi="宋体" w:hint="eastAsia"/>
          <w:b/>
          <w:sz w:val="24"/>
        </w:rPr>
        <w:t>投标邀请</w:t>
      </w:r>
      <w:r>
        <w:rPr>
          <w:rFonts w:ascii="宋体" w:hAnsi="宋体" w:hint="eastAsia"/>
          <w:sz w:val="24"/>
        </w:rPr>
        <w:t>的联系事项。</w:t>
      </w:r>
    </w:p>
    <w:p>
      <w:pPr>
        <w:numPr>
          <w:ilvl w:val="1"/>
          <w:numId w:val="28"/>
        </w:numPr>
        <w:autoSpaceDE w:val="0"/>
        <w:autoSpaceDN w:val="0"/>
        <w:adjustRightInd w:val="0"/>
        <w:snapToGrid w:val="0"/>
        <w:spacing w:line="360" w:lineRule="auto"/>
        <w:rPr>
          <w:rFonts w:ascii="宋体" w:hAnsi="宋体"/>
          <w:sz w:val="24"/>
        </w:rPr>
      </w:pPr>
      <w:r>
        <w:rPr>
          <w:rFonts w:ascii="宋体" w:hAnsi="宋体" w:hint="eastAsia"/>
          <w:sz w:val="24"/>
        </w:rPr>
        <w:t>供应商是指在中华人民共和国境内注册（登记），向采购人提供货物、工程或者服务的法人、其他组织或者自然人。</w:t>
      </w:r>
    </w:p>
    <w:p>
      <w:pPr>
        <w:numPr>
          <w:ilvl w:val="1"/>
          <w:numId w:val="28"/>
        </w:numPr>
        <w:autoSpaceDE w:val="0"/>
        <w:autoSpaceDN w:val="0"/>
        <w:adjustRightInd w:val="0"/>
        <w:snapToGrid w:val="0"/>
        <w:spacing w:line="360" w:lineRule="auto"/>
        <w:rPr>
          <w:rFonts w:ascii="宋体" w:hAnsi="宋体"/>
          <w:sz w:val="24"/>
        </w:rPr>
      </w:pPr>
      <w:r>
        <w:rPr>
          <w:rFonts w:ascii="宋体" w:hAnsi="宋体" w:hint="eastAsia"/>
          <w:sz w:val="24"/>
        </w:rPr>
        <w:t>投标人是指响应招标、参加投标竞争的法人、其他组织或者自然人。</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sz w:val="24"/>
        </w:rPr>
        <w:t>中标人是指经法定程序确定并授予合同的投标人。</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电子投标文件</w:t>
      </w:r>
      <w:r>
        <w:rPr>
          <w:rFonts w:ascii="宋体" w:hAnsi="宋体"/>
          <w:color w:val="000000" w:themeColor="text1"/>
          <w:sz w:val="24"/>
          <w14:textFill>
            <w14:solidFill>
              <w14:schemeClr w14:val="tx1"/>
            </w14:solidFill>
          </w14:textFill>
        </w:rPr>
        <w:t>是指</w:t>
      </w:r>
      <w:r>
        <w:rPr>
          <w:rFonts w:ascii="宋体" w:hAnsi="宋体" w:hint="eastAsia"/>
          <w:color w:val="000000" w:themeColor="text1"/>
          <w:sz w:val="24"/>
          <w14:textFill>
            <w14:solidFill>
              <w14:schemeClr w14:val="tx1"/>
            </w14:solidFill>
          </w14:textFill>
        </w:rPr>
        <w:t>利用深圳智慧采购平台投标文件制作专用软件（以下简称：投标文件制作软件）制作并加密的投标文件,适用于网上投标；（投标文件制作软件可从“下载地址：http://zfcg.szggzy.com/TPBidder/DownLoad/深圳市智慧采购平台投标文件制作专用软件.zip”下载）。</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网上投标</w:t>
      </w:r>
      <w:r>
        <w:rPr>
          <w:rFonts w:ascii="宋体" w:hAnsi="宋体"/>
          <w:color w:val="000000" w:themeColor="text1"/>
          <w:sz w:val="24"/>
          <w14:textFill>
            <w14:solidFill>
              <w14:schemeClr w14:val="tx1"/>
            </w14:solidFill>
          </w14:textFill>
        </w:rPr>
        <w:t>是指</w:t>
      </w:r>
      <w:r>
        <w:rPr>
          <w:rFonts w:ascii="宋体" w:hAnsi="宋体" w:hint="eastAsia"/>
          <w:color w:val="000000" w:themeColor="text1"/>
          <w:sz w:val="24"/>
          <w14:textFill>
            <w14:solidFill>
              <w14:schemeClr w14:val="tx1"/>
            </w14:solidFill>
          </w14:textFill>
        </w:rPr>
        <w:t>通过</w:t>
      </w:r>
      <w:r>
        <w:rPr>
          <w:rFonts w:asciiTheme="minorEastAsia" w:eastAsiaTheme="minorEastAsia" w:hAnsiTheme="minorEastAsia" w:hint="eastAsia"/>
          <w:sz w:val="24"/>
        </w:rPr>
        <w:t>深圳政府采购智慧平台</w:t>
      </w:r>
      <w:r>
        <w:rPr>
          <w:rFonts w:ascii="宋体" w:hAnsi="宋体" w:hint="eastAsia"/>
          <w:color w:val="000000" w:themeColor="text1"/>
          <w:sz w:val="24"/>
          <w14:textFill>
            <w14:solidFill>
              <w14:schemeClr w14:val="tx1"/>
            </w14:solidFill>
          </w14:textFill>
        </w:rPr>
        <w:t>上传电子投标文件。</w:t>
      </w:r>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合格的货物和服务</w:t>
      </w:r>
    </w:p>
    <w:p>
      <w:pPr>
        <w:numPr>
          <w:ilvl w:val="1"/>
          <w:numId w:val="28"/>
        </w:numPr>
        <w:autoSpaceDE w:val="0"/>
        <w:autoSpaceDN w:val="0"/>
        <w:adjustRightInd w:val="0"/>
        <w:snapToGrid w:val="0"/>
        <w:spacing w:line="360" w:lineRule="auto"/>
        <w:rPr>
          <w:rFonts w:ascii="宋体" w:hAnsi="宋体" w:cs="黑体"/>
          <w:b/>
          <w:bCs/>
          <w:sz w:val="24"/>
        </w:rPr>
      </w:pPr>
      <w:r>
        <w:rPr>
          <w:rFonts w:ascii="宋体" w:hAnsi="宋体" w:hint="eastAsia"/>
          <w:sz w:val="24"/>
        </w:rPr>
        <w:t>货物是指投标人制造或组织符合招标文件要求的货物等。投标的货物必须是其合法生产、合法来源的符合国家有关标准要求的货物，并满足招标文件规定的规格、参数、质量、价格、有效期、售后服务等实质性要求，其中包括但不仅仅限于投标人须承担的与供货有关的辅助服务，如运输、保险、安装、调试、提供技术援助、培训和招标文件规定的投标人应承担的其它义务。</w:t>
      </w:r>
    </w:p>
    <w:p>
      <w:pPr>
        <w:numPr>
          <w:ilvl w:val="1"/>
          <w:numId w:val="28"/>
        </w:numPr>
        <w:autoSpaceDE w:val="0"/>
        <w:autoSpaceDN w:val="0"/>
        <w:adjustRightInd w:val="0"/>
        <w:snapToGrid w:val="0"/>
        <w:spacing w:line="360" w:lineRule="auto"/>
        <w:rPr>
          <w:rFonts w:ascii="宋体" w:hAnsi="宋体"/>
          <w:sz w:val="24"/>
        </w:rPr>
      </w:pPr>
      <w:r>
        <w:rPr>
          <w:rFonts w:ascii="宋体" w:hAnsi="宋体" w:hint="eastAsia"/>
          <w:sz w:val="24"/>
        </w:rPr>
        <w:t>服务是指除货物和工程以外的其他政府采购对象，且满足实质性采购需求。</w:t>
      </w:r>
    </w:p>
    <w:p>
      <w:pPr>
        <w:numPr>
          <w:ilvl w:val="1"/>
          <w:numId w:val="28"/>
        </w:numPr>
        <w:autoSpaceDE w:val="0"/>
        <w:autoSpaceDN w:val="0"/>
        <w:adjustRightInd w:val="0"/>
        <w:snapToGrid w:val="0"/>
        <w:spacing w:line="360" w:lineRule="auto"/>
        <w:rPr>
          <w:rFonts w:ascii="宋体" w:hAnsi="宋体"/>
          <w:sz w:val="24"/>
        </w:rPr>
      </w:pPr>
      <w:bookmarkStart w:id="98" w:name="_Hlk30666811"/>
      <w:r>
        <w:rPr>
          <w:rFonts w:ascii="宋体" w:hAnsi="宋体" w:hint="eastAsia"/>
          <w:sz w:val="24"/>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bookmarkEnd w:id="98"/>
      <w:r>
        <w:rPr>
          <w:rFonts w:ascii="宋体" w:hAnsi="宋体" w:hint="eastAsia"/>
          <w:b/>
          <w:bCs/>
          <w:sz w:val="24"/>
        </w:rPr>
        <w:t>投标费用</w:t>
      </w:r>
    </w:p>
    <w:p>
      <w:pPr>
        <w:numPr>
          <w:ilvl w:val="1"/>
          <w:numId w:val="28"/>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投标人应承担所有与准备和参加投标有关的费用。不论投标的结果如何</w:t>
      </w:r>
      <w:r>
        <w:rPr>
          <w:rFonts w:ascii="宋体" w:hAnsi="宋体" w:cs="宋体" w:hint="eastAsia"/>
          <w:sz w:val="24"/>
        </w:rPr>
        <w:t>，本招标文件中所述的</w:t>
      </w:r>
      <w:r>
        <w:rPr>
          <w:rFonts w:ascii="宋体" w:hAnsi="宋体" w:cs="宋体" w:hint="eastAsia"/>
          <w:sz w:val="24"/>
          <w:lang w:eastAsia="zh-TW"/>
        </w:rPr>
        <w:t>采购人或者采购代理机构均无义务和责任承担这些费用</w:t>
      </w:r>
      <w:r>
        <w:rPr>
          <w:rFonts w:ascii="宋体" w:hAnsi="宋体" w:cs="宋体" w:hint="eastAsia"/>
          <w:sz w:val="24"/>
        </w:rPr>
        <w:t>。</w:t>
      </w:r>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其他</w:t>
      </w:r>
    </w:p>
    <w:p>
      <w:pPr>
        <w:numPr>
          <w:ilvl w:val="1"/>
          <w:numId w:val="28"/>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所有时间均为24小时制北京时间，所有货币单位均为人民币元，所使用的计量单位均以《中华人民共和国法定计量单位》为准（特别注明除外）</w:t>
      </w:r>
      <w:r>
        <w:rPr>
          <w:rFonts w:ascii="宋体" w:hAnsi="宋体" w:cs="宋体" w:hint="eastAsia"/>
          <w:sz w:val="24"/>
        </w:rPr>
        <w:t>。</w:t>
      </w:r>
    </w:p>
    <w:p>
      <w:pPr>
        <w:numPr>
          <w:ilvl w:val="1"/>
          <w:numId w:val="28"/>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供应商（投标人）向</w:t>
      </w:r>
      <w:r>
        <w:rPr>
          <w:rFonts w:ascii="宋体" w:hAnsi="宋体" w:cs="宋体" w:hint="eastAsia"/>
          <w:sz w:val="24"/>
        </w:rPr>
        <w:t>本招标文件中所述的</w:t>
      </w:r>
      <w:r>
        <w:rPr>
          <w:rFonts w:ascii="宋体" w:hAnsi="宋体" w:cs="宋体" w:hint="eastAsia"/>
          <w:sz w:val="24"/>
          <w:lang w:eastAsia="zh-TW"/>
        </w:rPr>
        <w:t>采购代理机构咨询的有关</w:t>
      </w:r>
      <w:r>
        <w:rPr>
          <w:rFonts w:ascii="宋体" w:hAnsi="宋体" w:cs="宋体" w:hint="eastAsia"/>
          <w:sz w:val="24"/>
        </w:rPr>
        <w:t>本招标</w:t>
      </w:r>
      <w:r>
        <w:rPr>
          <w:rFonts w:ascii="宋体" w:hAnsi="宋体" w:cs="宋体" w:hint="eastAsia"/>
          <w:sz w:val="24"/>
          <w:lang w:eastAsia="zh-TW"/>
        </w:rPr>
        <w:t>项目事项，一切以法律法规的规定和本公司书面</w:t>
      </w:r>
      <w:r>
        <w:rPr>
          <w:rFonts w:ascii="宋体" w:hAnsi="宋体" w:cs="宋体" w:hint="eastAsia"/>
          <w:sz w:val="24"/>
        </w:rPr>
        <w:t>答复</w:t>
      </w:r>
      <w:r>
        <w:rPr>
          <w:rFonts w:ascii="宋体" w:hAnsi="宋体" w:cs="宋体" w:hint="eastAsia"/>
          <w:sz w:val="24"/>
          <w:lang w:eastAsia="zh-TW"/>
        </w:rPr>
        <w:t>为准，其他一切形式均为个人意见，不代表本公司的意见。</w:t>
      </w:r>
    </w:p>
    <w:p>
      <w:pPr>
        <w:numPr>
          <w:ilvl w:val="1"/>
          <w:numId w:val="28"/>
        </w:numPr>
        <w:adjustRightInd w:val="0"/>
        <w:snapToGrid w:val="0"/>
        <w:spacing w:line="360" w:lineRule="auto"/>
        <w:rPr>
          <w:rFonts w:asciiTheme="minorEastAsia" w:eastAsiaTheme="minorEastAsia" w:hAnsiTheme="minorEastAsia" w:cs="宋体"/>
          <w:bCs/>
          <w:color w:val="FF0000"/>
          <w:sz w:val="24"/>
        </w:rPr>
      </w:pPr>
      <w:bookmarkStart w:id="99" w:name="_Hlk21592778"/>
      <w:r>
        <w:rPr>
          <w:rFonts w:asciiTheme="minorEastAsia" w:eastAsiaTheme="minorEastAsia" w:hAnsiTheme="minorEastAsia" w:hint="eastAsia"/>
          <w:sz w:val="24"/>
        </w:rPr>
        <w:t>对列入失信</w:t>
      </w:r>
      <w:r>
        <w:rPr>
          <w:rFonts w:asciiTheme="minorEastAsia" w:eastAsiaTheme="minorEastAsia" w:hAnsiTheme="minorEastAsia"/>
          <w:sz w:val="24"/>
        </w:rPr>
        <w:t>“</w:t>
      </w:r>
      <w:r>
        <w:rPr>
          <w:rFonts w:asciiTheme="minorEastAsia" w:eastAsiaTheme="minorEastAsia" w:hAnsiTheme="minorEastAsia" w:hint="eastAsia"/>
          <w:sz w:val="24"/>
        </w:rPr>
        <w:t>黑名单</w:t>
      </w:r>
      <w:r>
        <w:rPr>
          <w:rFonts w:asciiTheme="minorEastAsia" w:eastAsiaTheme="minorEastAsia" w:hAnsiTheme="minorEastAsia"/>
          <w:sz w:val="24"/>
        </w:rPr>
        <w:t>”</w:t>
      </w:r>
      <w:r>
        <w:rPr>
          <w:rFonts w:asciiTheme="minorEastAsia" w:eastAsiaTheme="minorEastAsia" w:hAnsiTheme="minorEastAsia" w:hint="eastAsia"/>
          <w:sz w:val="24"/>
        </w:rPr>
        <w:t>的</w:t>
      </w:r>
      <w:bookmarkStart w:id="100" w:name="_Hlk21591509"/>
      <w:r>
        <w:rPr>
          <w:rFonts w:asciiTheme="minorEastAsia" w:eastAsiaTheme="minorEastAsia" w:hAnsiTheme="minorEastAsia" w:hint="eastAsia"/>
          <w:sz w:val="24"/>
        </w:rPr>
        <w:t>供应商限制参与政府采购</w:t>
      </w:r>
      <w:bookmarkEnd w:id="100"/>
      <w:r>
        <w:rPr>
          <w:rFonts w:asciiTheme="minorEastAsia" w:eastAsiaTheme="minorEastAsia" w:hAnsiTheme="minorEastAsia" w:hint="eastAsia"/>
          <w:sz w:val="24"/>
        </w:rPr>
        <w:t>。</w:t>
      </w:r>
      <w:r>
        <w:rPr>
          <w:rFonts w:asciiTheme="minorEastAsia" w:eastAsiaTheme="minorEastAsia" w:hAnsiTheme="minorEastAsia" w:cs="宋体" w:hint="eastAsia"/>
          <w:bCs/>
          <w:sz w:val="24"/>
        </w:rPr>
        <w:t>供应商诚信查询方式：</w:t>
      </w:r>
      <w:r>
        <w:rPr>
          <w:rFonts w:asciiTheme="minorEastAsia" w:eastAsiaTheme="minorEastAsia" w:hAnsiTheme="minorEastAsia"/>
          <w:sz w:val="24"/>
        </w:rPr>
        <w:t>“信用中国”网站(</w:t>
      </w:r>
      <w:r>
        <w:fldChar w:fldCharType="begin"/>
      </w:r>
      <w:r>
        <w:instrText xml:space="preserve"> HYPERLINK "http://www.creditchina.gov.cn" </w:instrText>
      </w:r>
      <w:r>
        <w:fldChar w:fldCharType="separate"/>
      </w:r>
      <w:r>
        <w:rPr>
          <w:rStyle w:val="Hyperlink"/>
          <w:rFonts w:asciiTheme="minorEastAsia" w:eastAsiaTheme="minorEastAsia" w:hAnsiTheme="minorEastAsia"/>
          <w:color w:val="auto"/>
          <w:sz w:val="24"/>
        </w:rPr>
        <w:t>www.creditchina.gov.cn</w:t>
      </w:r>
      <w:r>
        <w:rPr>
          <w:rStyle w:val="Hyperlink"/>
          <w:rFonts w:asciiTheme="minorEastAsia" w:eastAsiaTheme="minorEastAsia" w:hAnsiTheme="minorEastAsia"/>
          <w:color w:val="auto"/>
          <w:sz w:val="24"/>
        </w:rPr>
        <w:fldChar w:fldCharType="end"/>
      </w:r>
      <w:r>
        <w:rPr>
          <w:rFonts w:asciiTheme="minorEastAsia" w:eastAsiaTheme="minorEastAsia" w:hAnsiTheme="minorEastAsia"/>
          <w:sz w:val="24"/>
        </w:rPr>
        <w:t>)</w:t>
      </w:r>
      <w:r>
        <w:rPr>
          <w:rFonts w:asciiTheme="minorEastAsia" w:eastAsiaTheme="minorEastAsia" w:hAnsiTheme="minorEastAsia" w:hint="eastAsia"/>
          <w:sz w:val="24"/>
        </w:rPr>
        <w:t>没有以下任意记录名单之一：①</w:t>
      </w:r>
      <w:r>
        <w:rPr>
          <w:rFonts w:asciiTheme="minorEastAsia" w:eastAsiaTheme="minorEastAsia" w:hAnsiTheme="minorEastAsia"/>
          <w:sz w:val="24"/>
        </w:rPr>
        <w:t>记录失信被执行人</w:t>
      </w:r>
      <w:r>
        <w:rPr>
          <w:rFonts w:asciiTheme="minorEastAsia" w:eastAsiaTheme="minorEastAsia" w:hAnsiTheme="minorEastAsia" w:hint="eastAsia"/>
          <w:sz w:val="24"/>
        </w:rPr>
        <w:t>；②</w:t>
      </w:r>
      <w:r>
        <w:rPr>
          <w:rFonts w:asciiTheme="minorEastAsia" w:eastAsiaTheme="minorEastAsia" w:hAnsiTheme="minorEastAsia"/>
          <w:sz w:val="24"/>
        </w:rPr>
        <w:t>重大税收违法案件当事人名单（税收违法黑名单）</w:t>
      </w:r>
      <w:r>
        <w:rPr>
          <w:rFonts w:asciiTheme="minorEastAsia" w:eastAsiaTheme="minorEastAsia" w:hAnsiTheme="minorEastAsia" w:hint="eastAsia"/>
          <w:sz w:val="24"/>
        </w:rPr>
        <w:t>；③政府采购严重违法失信行为。</w:t>
      </w:r>
      <w:r>
        <w:rPr>
          <w:rFonts w:asciiTheme="minorEastAsia" w:eastAsiaTheme="minorEastAsia" w:hAnsiTheme="minorEastAsia"/>
          <w:sz w:val="24"/>
        </w:rPr>
        <w:t>中国政府采购网(www.ccgp.gov.cn)不处于“政府采购严重违法失信行为信息记录”中的禁止参加政府采购活动期间</w:t>
      </w:r>
      <w:r>
        <w:rPr>
          <w:rFonts w:asciiTheme="minorEastAsia" w:eastAsiaTheme="minorEastAsia" w:hAnsiTheme="minorEastAsia" w:hint="eastAsia"/>
          <w:sz w:val="24"/>
        </w:rPr>
        <w:t>；</w:t>
      </w:r>
      <w:bookmarkStart w:id="101" w:name="_Hlk42003423"/>
      <w:r>
        <w:rPr>
          <w:rFonts w:asciiTheme="minorEastAsia" w:eastAsiaTheme="minorEastAsia" w:hAnsiTheme="minorEastAsia" w:hint="eastAsia"/>
          <w:sz w:val="24"/>
        </w:rPr>
        <w:t>在深圳信用网（</w:t>
      </w:r>
      <w:r>
        <w:rPr>
          <w:rFonts w:asciiTheme="minorEastAsia" w:eastAsiaTheme="minorEastAsia" w:hAnsiTheme="minorEastAsia"/>
          <w:sz w:val="24"/>
        </w:rPr>
        <w:t>https://www.szcredit.com.cn</w:t>
      </w:r>
      <w:r>
        <w:rPr>
          <w:rFonts w:asciiTheme="minorEastAsia" w:eastAsiaTheme="minorEastAsia" w:hAnsiTheme="minorEastAsia" w:hint="eastAsia"/>
          <w:sz w:val="24"/>
        </w:rPr>
        <w:t>）、</w:t>
      </w:r>
      <w:r>
        <w:rPr>
          <w:rFonts w:asciiTheme="minorEastAsia" w:eastAsiaTheme="minorEastAsia" w:hAnsiTheme="minorEastAsia" w:cs="宋体" w:hint="eastAsia"/>
          <w:bCs/>
          <w:sz w:val="24"/>
        </w:rPr>
        <w:t>深圳市政府采购监督管理网（zfcg.sz.gov.cn）查询相关主体信用记录，对不符合《中华人民共和国政府采购法》第二十二条规定条件的供应商限制参与政府采购。</w:t>
      </w:r>
      <w:r>
        <w:rPr>
          <w:rFonts w:asciiTheme="minorEastAsia" w:eastAsiaTheme="minorEastAsia" w:hAnsiTheme="minorEastAsia" w:cs="宋体" w:hint="eastAsia"/>
          <w:sz w:val="24"/>
        </w:rPr>
        <w:t>联合体投标的，对</w:t>
      </w:r>
      <w:r>
        <w:rPr>
          <w:rFonts w:asciiTheme="minorEastAsia" w:eastAsiaTheme="minorEastAsia" w:hAnsiTheme="minorEastAsia" w:cs="宋体"/>
          <w:sz w:val="24"/>
        </w:rPr>
        <w:t>所有联合体成员进行信用记录查询，联合体成员存在不良信用记录的，视同联合体存在不良信用记录。</w:t>
      </w:r>
      <w:r>
        <w:rPr>
          <w:rFonts w:asciiTheme="minorEastAsia" w:eastAsiaTheme="minorEastAsia" w:hAnsiTheme="minorEastAsia" w:cs="宋体"/>
          <w:bCs/>
          <w:sz w:val="24"/>
        </w:rPr>
        <w:t>如在上述网站查询结果均显示没有相关记录，视为</w:t>
      </w:r>
      <w:r>
        <w:rPr>
          <w:rFonts w:asciiTheme="minorEastAsia" w:eastAsiaTheme="minorEastAsia" w:hAnsiTheme="minorEastAsia" w:cs="宋体" w:hint="eastAsia"/>
          <w:bCs/>
          <w:sz w:val="24"/>
        </w:rPr>
        <w:t>不存在</w:t>
      </w:r>
      <w:r>
        <w:rPr>
          <w:rFonts w:asciiTheme="minorEastAsia" w:eastAsiaTheme="minorEastAsia" w:hAnsiTheme="minorEastAsia" w:cs="宋体"/>
          <w:bCs/>
          <w:sz w:val="24"/>
        </w:rPr>
        <w:t>上述不良信用记录</w:t>
      </w:r>
      <w:r>
        <w:rPr>
          <w:rFonts w:asciiTheme="minorEastAsia" w:eastAsiaTheme="minorEastAsia" w:hAnsiTheme="minorEastAsia" w:cs="宋体" w:hint="eastAsia"/>
          <w:bCs/>
          <w:sz w:val="24"/>
        </w:rPr>
        <w:t>。由采购代理机构对信用信息查询记录和证据截图或下载存档，</w:t>
      </w:r>
      <w:r>
        <w:rPr>
          <w:rFonts w:asciiTheme="minorEastAsia" w:eastAsiaTheme="minorEastAsia" w:hAnsiTheme="minorEastAsia" w:hint="eastAsia"/>
          <w:sz w:val="24"/>
        </w:rPr>
        <w:t>相关信息以开标当日的查询结果为准。信用信息查询记录应当作为项目档案材料一并保存。</w:t>
      </w:r>
      <w:bookmarkEnd w:id="101"/>
    </w:p>
    <w:p>
      <w:pPr>
        <w:numPr>
          <w:ilvl w:val="1"/>
          <w:numId w:val="28"/>
        </w:numPr>
        <w:autoSpaceDE w:val="0"/>
        <w:autoSpaceDN w:val="0"/>
        <w:adjustRightInd w:val="0"/>
        <w:snapToGrid w:val="0"/>
        <w:spacing w:line="360" w:lineRule="auto"/>
        <w:textAlignment w:val="baseline"/>
        <w:rPr>
          <w:rFonts w:ascii="宋体" w:hAnsi="宋体" w:cs="宋体"/>
          <w:sz w:val="24"/>
          <w:lang w:eastAsia="zh-TW"/>
        </w:rPr>
      </w:pPr>
      <w:bookmarkEnd w:id="99"/>
      <w:r>
        <w:rPr>
          <w:rFonts w:ascii="宋体" w:hAnsi="宋体" w:cs="宋体" w:hint="eastAsia"/>
          <w:sz w:val="24"/>
          <w:lang w:eastAsia="zh-TW"/>
        </w:rPr>
        <w:t>“提交投标文件截止时间”和“开标时间”包含最后一分钟。例如，提交投标文件截止时间为9:30表示截止时间为9点30分59秒。</w:t>
      </w: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02" w:name="_Toc435174934"/>
      <w:bookmarkStart w:id="103" w:name="_Toc438223137"/>
      <w:bookmarkStart w:id="104" w:name="_Toc435516651"/>
      <w:bookmarkStart w:id="105" w:name="_Toc19862"/>
      <w:bookmarkStart w:id="106" w:name="_Toc256000015"/>
      <w:r>
        <w:rPr>
          <w:rFonts w:ascii="宋体" w:hAnsi="宋体" w:hint="eastAsia"/>
          <w:b/>
          <w:sz w:val="28"/>
          <w:szCs w:val="28"/>
          <w:lang w:eastAsia="zh-TW"/>
        </w:rPr>
        <w:t>招标文件</w:t>
      </w:r>
      <w:bookmarkEnd w:id="106"/>
      <w:bookmarkEnd w:id="102"/>
      <w:bookmarkEnd w:id="103"/>
      <w:bookmarkEnd w:id="104"/>
      <w:bookmarkEnd w:id="105"/>
    </w:p>
    <w:p>
      <w:pPr>
        <w:numPr>
          <w:ilvl w:val="0"/>
          <w:numId w:val="29"/>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招标文件的编制依据与构成</w:t>
      </w:r>
    </w:p>
    <w:p>
      <w:pPr>
        <w:numPr>
          <w:ilvl w:val="1"/>
          <w:numId w:val="29"/>
        </w:numPr>
        <w:autoSpaceDE w:val="0"/>
        <w:autoSpaceDN w:val="0"/>
        <w:adjustRightInd w:val="0"/>
        <w:snapToGrid w:val="0"/>
        <w:spacing w:line="360" w:lineRule="auto"/>
        <w:rPr>
          <w:rFonts w:ascii="宋体" w:hAnsi="宋体"/>
          <w:sz w:val="24"/>
        </w:rPr>
      </w:pPr>
      <w:r>
        <w:rPr>
          <w:rFonts w:ascii="宋体" w:hAnsi="宋体" w:hint="eastAsia"/>
          <w:sz w:val="24"/>
        </w:rPr>
        <w:t>本招标文件的编制依据是《深圳经济特区政府采购条例》、《深圳经济特区政府采购条例及实施细则》、《中华人民共和国政府采购法》、</w:t>
      </w:r>
      <w:r>
        <w:rPr>
          <w:rFonts w:hint="eastAsia"/>
        </w:rPr>
        <w:t>《</w:t>
      </w:r>
      <w:r>
        <w:rPr>
          <w:rFonts w:ascii="宋体" w:hAnsi="宋体" w:hint="eastAsia"/>
          <w:sz w:val="24"/>
        </w:rPr>
        <w:t>中华人民共和国政府采购法实施条例</w:t>
      </w:r>
      <w:r>
        <w:rPr>
          <w:rFonts w:hint="eastAsia"/>
        </w:rPr>
        <w:t>》</w:t>
      </w:r>
      <w:r>
        <w:rPr>
          <w:rFonts w:ascii="宋体" w:hAnsi="宋体" w:hint="eastAsia"/>
          <w:sz w:val="24"/>
        </w:rPr>
        <w:t>、《政府采购货物和服务招标投标管理办法》及其配套的法规、规章、政策等。</w:t>
      </w:r>
    </w:p>
    <w:p>
      <w:pPr>
        <w:numPr>
          <w:ilvl w:val="1"/>
          <w:numId w:val="29"/>
        </w:numPr>
        <w:autoSpaceDE w:val="0"/>
        <w:autoSpaceDN w:val="0"/>
        <w:adjustRightInd w:val="0"/>
        <w:snapToGrid w:val="0"/>
        <w:spacing w:line="360" w:lineRule="auto"/>
        <w:rPr>
          <w:rFonts w:ascii="宋体" w:hAnsi="宋体"/>
          <w:sz w:val="24"/>
        </w:rPr>
      </w:pPr>
      <w:r>
        <w:rPr>
          <w:rFonts w:ascii="宋体" w:hAnsi="宋体" w:cs="宋体" w:hint="eastAsia"/>
          <w:sz w:val="24"/>
          <w:lang w:eastAsia="zh-TW"/>
        </w:rPr>
        <w:t>招标文件以中文文字编写。招标文件共</w:t>
      </w:r>
      <w:r>
        <w:rPr>
          <w:rFonts w:ascii="宋体" w:hAnsi="宋体" w:cs="宋体" w:hint="eastAsia"/>
          <w:sz w:val="24"/>
        </w:rPr>
        <w:t>六</w:t>
      </w:r>
      <w:r>
        <w:rPr>
          <w:rFonts w:ascii="宋体" w:hAnsi="宋体" w:cs="宋体" w:hint="eastAsia"/>
          <w:sz w:val="24"/>
          <w:lang w:eastAsia="zh-TW"/>
        </w:rPr>
        <w:t>章。</w:t>
      </w:r>
      <w:r>
        <w:rPr>
          <w:rFonts w:ascii="宋体" w:hAnsi="宋体" w:cs="宋体" w:hint="eastAsia"/>
          <w:sz w:val="24"/>
        </w:rPr>
        <w:t>由下列文件以及在招标过程中发出的招标答疑和澄清或修改文件组成，</w:t>
      </w:r>
      <w:r>
        <w:rPr>
          <w:rFonts w:ascii="宋体" w:hAnsi="宋体" w:cs="宋体" w:hint="eastAsia"/>
          <w:sz w:val="24"/>
          <w:lang w:eastAsia="zh-TW"/>
        </w:rPr>
        <w:t>内容如下</w:t>
      </w:r>
      <w:r>
        <w:rPr>
          <w:rFonts w:ascii="宋体" w:hAnsi="宋体" w:cs="宋体" w:hint="eastAsia"/>
          <w:sz w:val="24"/>
        </w:rPr>
        <w:t>：</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第一章</w:t>
      </w:r>
      <w:r>
        <w:rPr>
          <w:rFonts w:ascii="宋体" w:hAnsi="宋体" w:cs="宋体" w:hint="eastAsia"/>
          <w:b/>
          <w:sz w:val="24"/>
        </w:rPr>
        <w:t>　</w:t>
      </w:r>
      <w:r>
        <w:rPr>
          <w:rFonts w:ascii="宋体" w:hAnsi="宋体" w:cs="宋体" w:hint="eastAsia"/>
          <w:b/>
          <w:sz w:val="24"/>
          <w:lang w:eastAsia="zh-TW"/>
        </w:rPr>
        <w:t>投标邀请</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第二章</w:t>
      </w:r>
      <w:r>
        <w:rPr>
          <w:rFonts w:ascii="宋体" w:hAnsi="宋体" w:cs="宋体" w:hint="eastAsia"/>
          <w:b/>
          <w:sz w:val="24"/>
        </w:rPr>
        <w:t>　用户需求书</w:t>
      </w:r>
    </w:p>
    <w:p>
      <w:pPr>
        <w:tabs>
          <w:tab w:val="left" w:pos="3915"/>
        </w:tabs>
        <w:snapToGrid w:val="0"/>
        <w:spacing w:line="360" w:lineRule="auto"/>
        <w:ind w:left="445" w:firstLine="1" w:leftChars="212"/>
        <w:rPr>
          <w:rFonts w:ascii="宋体" w:hAnsi="宋体" w:cs="宋体"/>
          <w:b/>
          <w:sz w:val="24"/>
        </w:rPr>
      </w:pPr>
      <w:r>
        <w:rPr>
          <w:rFonts w:ascii="宋体" w:hAnsi="宋体" w:cs="宋体" w:hint="eastAsia"/>
          <w:b/>
          <w:sz w:val="24"/>
        </w:rPr>
        <w:t>第三章　评标方法和标准</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w:t>
      </w:r>
      <w:r>
        <w:rPr>
          <w:rFonts w:ascii="宋体" w:hAnsi="宋体" w:cs="宋体" w:hint="eastAsia"/>
          <w:b/>
          <w:sz w:val="24"/>
        </w:rPr>
        <w:t>四</w:t>
      </w:r>
      <w:r>
        <w:rPr>
          <w:rFonts w:ascii="宋体" w:hAnsi="宋体" w:cs="宋体" w:hint="eastAsia"/>
          <w:b/>
          <w:sz w:val="24"/>
          <w:lang w:eastAsia="zh-TW"/>
        </w:rPr>
        <w:t>章</w:t>
      </w:r>
      <w:r>
        <w:rPr>
          <w:rFonts w:ascii="宋体" w:hAnsi="宋体" w:cs="宋体" w:hint="eastAsia"/>
          <w:b/>
          <w:sz w:val="24"/>
        </w:rPr>
        <w:t>　</w:t>
      </w:r>
      <w:r>
        <w:rPr>
          <w:rFonts w:ascii="宋体" w:hAnsi="宋体" w:cs="宋体" w:hint="eastAsia"/>
          <w:b/>
          <w:sz w:val="24"/>
          <w:lang w:eastAsia="zh-TW"/>
        </w:rPr>
        <w:t>投标人须知</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w:t>
      </w:r>
      <w:r>
        <w:rPr>
          <w:rFonts w:ascii="宋体" w:hAnsi="宋体" w:cs="宋体" w:hint="eastAsia"/>
          <w:b/>
          <w:sz w:val="24"/>
        </w:rPr>
        <w:t>五</w:t>
      </w:r>
      <w:r>
        <w:rPr>
          <w:rFonts w:ascii="宋体" w:hAnsi="宋体" w:cs="宋体" w:hint="eastAsia"/>
          <w:b/>
          <w:sz w:val="24"/>
          <w:lang w:eastAsia="zh-TW"/>
        </w:rPr>
        <w:t>章</w:t>
      </w:r>
      <w:r>
        <w:rPr>
          <w:rFonts w:ascii="宋体" w:hAnsi="宋体" w:cs="宋体" w:hint="eastAsia"/>
          <w:b/>
          <w:sz w:val="24"/>
        </w:rPr>
        <w:t>　</w:t>
      </w:r>
      <w:r>
        <w:rPr>
          <w:rFonts w:ascii="宋体" w:hAnsi="宋体" w:cs="宋体" w:hint="eastAsia"/>
          <w:b/>
          <w:sz w:val="24"/>
          <w:lang w:eastAsia="zh-TW"/>
        </w:rPr>
        <w:t>合同</w:t>
      </w:r>
      <w:r>
        <w:rPr>
          <w:rFonts w:ascii="宋体" w:hAnsi="宋体" w:cs="宋体" w:hint="eastAsia"/>
          <w:b/>
          <w:sz w:val="24"/>
        </w:rPr>
        <w:t>格式条款</w:t>
      </w:r>
    </w:p>
    <w:p>
      <w:pPr>
        <w:snapToGrid w:val="0"/>
        <w:spacing w:line="360" w:lineRule="auto"/>
        <w:ind w:left="445" w:firstLine="1" w:leftChars="212"/>
        <w:rPr>
          <w:rFonts w:ascii="宋体" w:hAnsi="宋体" w:cs="宋体"/>
          <w:b/>
          <w:sz w:val="24"/>
        </w:rPr>
      </w:pPr>
      <w:r>
        <w:rPr>
          <w:rFonts w:ascii="宋体" w:hAnsi="宋体" w:cs="宋体" w:hint="eastAsia"/>
          <w:b/>
          <w:sz w:val="24"/>
          <w:lang w:eastAsia="zh-TW"/>
        </w:rPr>
        <w:t>第</w:t>
      </w:r>
      <w:r>
        <w:rPr>
          <w:rFonts w:ascii="宋体" w:hAnsi="宋体" w:cs="宋体" w:hint="eastAsia"/>
          <w:b/>
          <w:sz w:val="24"/>
        </w:rPr>
        <w:t>六</w:t>
      </w:r>
      <w:r>
        <w:rPr>
          <w:rFonts w:ascii="宋体" w:hAnsi="宋体" w:cs="宋体" w:hint="eastAsia"/>
          <w:b/>
          <w:sz w:val="24"/>
          <w:lang w:eastAsia="zh-TW"/>
        </w:rPr>
        <w:t>章</w:t>
      </w:r>
      <w:r>
        <w:rPr>
          <w:rFonts w:ascii="宋体" w:hAnsi="宋体" w:cs="宋体" w:hint="eastAsia"/>
          <w:b/>
          <w:sz w:val="24"/>
        </w:rPr>
        <w:t>　投标文件格式</w:t>
      </w:r>
    </w:p>
    <w:p>
      <w:pPr>
        <w:numPr>
          <w:ilvl w:val="1"/>
          <w:numId w:val="29"/>
        </w:numPr>
        <w:autoSpaceDE w:val="0"/>
        <w:autoSpaceDN w:val="0"/>
        <w:adjustRightInd w:val="0"/>
        <w:snapToGrid w:val="0"/>
        <w:spacing w:line="360" w:lineRule="auto"/>
        <w:jc w:val="left"/>
        <w:rPr>
          <w:rFonts w:ascii="宋体" w:hAnsi="宋体" w:cs="宋体"/>
          <w:sz w:val="24"/>
          <w:lang w:eastAsia="zh-TW"/>
        </w:rPr>
      </w:pPr>
      <w:r>
        <w:rPr>
          <w:rFonts w:ascii="宋体" w:hAnsi="宋体" w:cs="宋体" w:hint="eastAsia"/>
          <w:sz w:val="24"/>
        </w:rPr>
        <w:t>本</w:t>
      </w:r>
      <w:r>
        <w:rPr>
          <w:rFonts w:ascii="宋体" w:hAnsi="宋体" w:cs="宋体" w:hint="eastAsia"/>
          <w:sz w:val="24"/>
          <w:lang w:eastAsia="zh-TW"/>
        </w:rPr>
        <w:t>招标文件的解释权归</w:t>
      </w:r>
      <w:r>
        <w:rPr>
          <w:rFonts w:ascii="宋体" w:hAnsi="宋体" w:cs="宋体" w:hint="eastAsia"/>
          <w:sz w:val="24"/>
        </w:rPr>
        <w:t>本招标文件中所述的</w:t>
      </w:r>
      <w:r>
        <w:rPr>
          <w:rFonts w:ascii="宋体" w:hAnsi="宋体" w:cs="宋体" w:hint="eastAsia"/>
          <w:sz w:val="24"/>
          <w:lang w:eastAsia="zh-TW"/>
        </w:rPr>
        <w:t>采购人</w:t>
      </w:r>
      <w:r>
        <w:rPr>
          <w:rFonts w:ascii="宋体" w:hAnsi="宋体" w:cs="宋体" w:hint="eastAsia"/>
          <w:sz w:val="24"/>
        </w:rPr>
        <w:t>、</w:t>
      </w:r>
      <w:r>
        <w:rPr>
          <w:rFonts w:ascii="宋体" w:hAnsi="宋体" w:cs="宋体" w:hint="eastAsia"/>
          <w:sz w:val="24"/>
          <w:lang w:eastAsia="zh-TW"/>
        </w:rPr>
        <w:t>采购代理机构所有。</w:t>
      </w:r>
    </w:p>
    <w:p>
      <w:pPr>
        <w:numPr>
          <w:ilvl w:val="0"/>
          <w:numId w:val="29"/>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招标文件的澄清或修改</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采购人或者采购代理机构可以对已发出的招标文件进行必要的澄清或者修改。澄清或者修改应当在原公告发布媒体上发布澄清</w:t>
      </w:r>
      <w:r>
        <w:rPr>
          <w:rFonts w:ascii="宋体" w:hAnsi="宋体" w:hint="eastAsia"/>
          <w:sz w:val="24"/>
        </w:rPr>
        <w:t>（更正/变更）</w:t>
      </w:r>
      <w:r>
        <w:rPr>
          <w:rFonts w:ascii="宋体" w:hAnsi="宋体" w:cs="宋体" w:hint="eastAsia"/>
          <w:sz w:val="24"/>
          <w:lang w:eastAsia="zh-TW"/>
        </w:rPr>
        <w:t>公告。</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无论出于何种原因</w:t>
      </w:r>
      <w:r>
        <w:rPr>
          <w:rFonts w:ascii="宋体" w:hAnsi="宋体" w:cs="宋体" w:hint="eastAsia"/>
          <w:sz w:val="24"/>
        </w:rPr>
        <w:t>，</w:t>
      </w:r>
      <w:r>
        <w:rPr>
          <w:rFonts w:ascii="宋体" w:hAnsi="宋体" w:cs="宋体" w:hint="eastAsia"/>
          <w:sz w:val="24"/>
          <w:lang w:eastAsia="zh-TW"/>
        </w:rPr>
        <w:t>采购人或者采购代理机构可以主动地或在解答投标人提出的疑问时对已发出的招标文件进行必要的</w:t>
      </w:r>
      <w:r>
        <w:rPr>
          <w:rFonts w:ascii="宋体" w:hAnsi="宋体" w:hint="eastAsia"/>
          <w:sz w:val="24"/>
        </w:rPr>
        <w:t>澄清或</w:t>
      </w:r>
      <w:r>
        <w:rPr>
          <w:rFonts w:ascii="宋体" w:hAnsi="宋体" w:cs="宋体" w:hint="eastAsia"/>
          <w:sz w:val="24"/>
          <w:lang w:eastAsia="zh-TW"/>
        </w:rPr>
        <w:t>修改</w:t>
      </w:r>
      <w:r>
        <w:rPr>
          <w:rFonts w:ascii="宋体" w:hAnsi="宋体" w:hint="eastAsia"/>
          <w:sz w:val="24"/>
        </w:rPr>
        <w:t>（更正）</w:t>
      </w:r>
      <w:r>
        <w:rPr>
          <w:rFonts w:ascii="宋体" w:hAnsi="宋体" w:cs="宋体" w:hint="eastAsia"/>
          <w:sz w:val="24"/>
        </w:rPr>
        <w:t>的</w:t>
      </w:r>
      <w:r>
        <w:rPr>
          <w:rFonts w:ascii="宋体" w:hAnsi="宋体" w:hint="eastAsia"/>
          <w:sz w:val="24"/>
        </w:rPr>
        <w:t>，于投标截止时间前在指定媒体上发布公告</w:t>
      </w:r>
      <w:r>
        <w:rPr>
          <w:rFonts w:ascii="宋体" w:hAnsi="宋体" w:cs="宋体" w:hint="eastAsia"/>
          <w:sz w:val="24"/>
          <w:lang w:eastAsia="zh-TW"/>
        </w:rPr>
        <w:t>。</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hint="eastAsia"/>
          <w:bCs/>
          <w:sz w:val="24"/>
        </w:rPr>
        <w:t>为使投标人在准备投标文件时有合理的时间考虑招标文件的修改，采购代理机构可酌情推迟投标截止日期，并以公告形式通知已在</w:t>
      </w:r>
      <w:r>
        <w:rPr>
          <w:rFonts w:asciiTheme="minorEastAsia" w:eastAsiaTheme="minorEastAsia" w:hAnsiTheme="minorEastAsia" w:cstheme="minorEastAsia" w:hint="eastAsia"/>
          <w:bCs/>
          <w:sz w:val="24"/>
        </w:rPr>
        <w:t>深圳政府采购智慧平台（http://zfcg.szggzy.com:8081/）</w:t>
      </w:r>
      <w:r>
        <w:rPr>
          <w:rFonts w:ascii="宋体" w:hAnsi="宋体" w:hint="eastAsia"/>
          <w:bCs/>
          <w:sz w:val="24"/>
        </w:rPr>
        <w:t>上响应投标的每一投标人。</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采购人或者采购代理机构</w:t>
      </w:r>
      <w:r>
        <w:rPr>
          <w:rFonts w:ascii="宋体" w:hAnsi="宋体" w:cs="宋体" w:hint="eastAsia"/>
          <w:sz w:val="24"/>
        </w:rPr>
        <w:t>发出的</w:t>
      </w:r>
      <w:r>
        <w:rPr>
          <w:rFonts w:ascii="宋体" w:hAnsi="宋体" w:hint="eastAsia"/>
          <w:sz w:val="24"/>
        </w:rPr>
        <w:t>澄清或修改（更正/变更）的内容为招标文件的组成部分，</w:t>
      </w:r>
      <w:r>
        <w:rPr>
          <w:rFonts w:ascii="宋体" w:hAnsi="宋体" w:cs="宋体" w:hint="eastAsia"/>
          <w:sz w:val="24"/>
          <w:lang w:eastAsia="zh-TW"/>
        </w:rPr>
        <w:t>并对供应商具有约束力</w:t>
      </w:r>
      <w:r>
        <w:rPr>
          <w:rFonts w:ascii="宋体" w:hAnsi="宋体" w:cs="宋体" w:hint="eastAsia"/>
          <w:sz w:val="24"/>
        </w:rPr>
        <w:t>。</w:t>
      </w:r>
    </w:p>
    <w:p>
      <w:pPr>
        <w:numPr>
          <w:ilvl w:val="1"/>
          <w:numId w:val="29"/>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对招标文件中描述有歧意或前后不一致的地方，评审委员会有权进行评判</w:t>
      </w:r>
      <w:r>
        <w:rPr>
          <w:rFonts w:ascii="宋体" w:hAnsi="宋体" w:cs="宋体" w:hint="eastAsia"/>
          <w:sz w:val="24"/>
        </w:rPr>
        <w:t>，</w:t>
      </w:r>
      <w:r>
        <w:rPr>
          <w:rFonts w:ascii="宋体" w:hAnsi="宋体" w:cs="宋体" w:hint="eastAsia"/>
          <w:sz w:val="24"/>
          <w:lang w:eastAsia="zh-TW"/>
        </w:rPr>
        <w:t>但对同一条款的评判应适用于每个投标人。</w:t>
      </w:r>
    </w:p>
    <w:p>
      <w:pPr>
        <w:numPr>
          <w:ilvl w:val="1"/>
          <w:numId w:val="29"/>
        </w:numPr>
        <w:autoSpaceDE w:val="0"/>
        <w:autoSpaceDN w:val="0"/>
        <w:adjustRightInd w:val="0"/>
        <w:snapToGrid w:val="0"/>
        <w:spacing w:line="360" w:lineRule="auto"/>
        <w:rPr>
          <w:rFonts w:ascii="宋体" w:hAnsi="宋体" w:cs="宋体"/>
          <w:sz w:val="24"/>
        </w:rPr>
      </w:pPr>
      <w:r>
        <w:rPr>
          <w:rFonts w:hint="eastAsia"/>
          <w:sz w:val="24"/>
        </w:rPr>
        <w:t>投标人要求澄清的形式：登录深圳政府采购智慧平台（http://zfcg.szggzy.com:8081/）提出，也可以向采购人或采购代理机构书面提出，原则上逾期不予受理。</w:t>
      </w:r>
    </w:p>
    <w:p>
      <w:pPr>
        <w:numPr>
          <w:ilvl w:val="0"/>
          <w:numId w:val="29"/>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现场考察或者召开开标前答疑会</w:t>
      </w:r>
    </w:p>
    <w:p>
      <w:pPr>
        <w:numPr>
          <w:ilvl w:val="1"/>
          <w:numId w:val="29"/>
        </w:numPr>
        <w:tabs>
          <w:tab w:val="left" w:pos="851"/>
        </w:tabs>
        <w:autoSpaceDE w:val="0"/>
        <w:autoSpaceDN w:val="0"/>
        <w:adjustRightInd w:val="0"/>
        <w:snapToGrid w:val="0"/>
        <w:spacing w:line="360" w:lineRule="auto"/>
        <w:rPr>
          <w:rFonts w:ascii="宋体" w:hAnsi="宋体" w:cs="宋体"/>
          <w:sz w:val="24"/>
        </w:rPr>
      </w:pPr>
      <w:r>
        <w:rPr>
          <w:rFonts w:ascii="宋体" w:hAnsi="宋体" w:cs="宋体" w:hint="eastAsia"/>
          <w:sz w:val="24"/>
        </w:rPr>
        <w:t>除非</w:t>
      </w:r>
      <w:r>
        <w:rPr>
          <w:rFonts w:ascii="宋体" w:hAnsi="宋体" w:cs="黑体" w:hint="eastAsia"/>
          <w:b/>
          <w:sz w:val="24"/>
        </w:rPr>
        <w:t>投标人须知前附表</w:t>
      </w:r>
      <w:r>
        <w:rPr>
          <w:rFonts w:ascii="宋体" w:hAnsi="宋体" w:cs="宋体" w:hint="eastAsia"/>
          <w:sz w:val="24"/>
        </w:rPr>
        <w:t>中另有规定，否则不举行项目</w:t>
      </w:r>
      <w:r>
        <w:rPr>
          <w:rFonts w:ascii="宋体" w:hAnsi="宋体" w:hint="eastAsia"/>
          <w:bCs/>
          <w:sz w:val="24"/>
        </w:rPr>
        <w:t>现场考察或者召开开标前答疑会</w:t>
      </w:r>
      <w:r>
        <w:rPr>
          <w:rFonts w:ascii="宋体" w:hAnsi="宋体" w:cs="宋体" w:hint="eastAsia"/>
          <w:sz w:val="24"/>
        </w:rPr>
        <w:t>，如举行</w:t>
      </w:r>
      <w:r>
        <w:rPr>
          <w:rFonts w:ascii="宋体" w:hAnsi="宋体" w:hint="eastAsia"/>
          <w:bCs/>
          <w:sz w:val="24"/>
        </w:rPr>
        <w:t>现场考察或者召开开标前答疑会</w:t>
      </w:r>
      <w:r>
        <w:rPr>
          <w:rFonts w:ascii="宋体" w:hAnsi="宋体" w:cs="宋体" w:hint="eastAsia"/>
          <w:sz w:val="24"/>
        </w:rPr>
        <w:t>的，则按以下规定：</w:t>
      </w:r>
    </w:p>
    <w:p>
      <w:pPr>
        <w:numPr>
          <w:ilvl w:val="2"/>
          <w:numId w:val="29"/>
        </w:numPr>
        <w:tabs>
          <w:tab w:val="left" w:pos="851"/>
        </w:tabs>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在</w:t>
      </w:r>
      <w:r>
        <w:rPr>
          <w:rFonts w:ascii="宋体" w:hAnsi="宋体" w:cs="黑体" w:hint="eastAsia"/>
          <w:b/>
          <w:sz w:val="24"/>
          <w:lang w:eastAsia="zh-TW"/>
        </w:rPr>
        <w:t>投标人须知前附表</w:t>
      </w:r>
      <w:r>
        <w:rPr>
          <w:rFonts w:ascii="宋体" w:hAnsi="宋体" w:cs="宋体" w:hint="eastAsia"/>
          <w:sz w:val="24"/>
        </w:rPr>
        <w:t>中规定的日期、时间和地点组织</w:t>
      </w:r>
      <w:r>
        <w:rPr>
          <w:rFonts w:ascii="宋体" w:hAnsi="宋体" w:hint="eastAsia"/>
          <w:bCs/>
          <w:sz w:val="24"/>
        </w:rPr>
        <w:t>现场考察或者召开开标前答疑会</w:t>
      </w:r>
      <w:r>
        <w:rPr>
          <w:rFonts w:ascii="宋体" w:hAnsi="宋体" w:cs="宋体" w:hint="eastAsia"/>
          <w:sz w:val="24"/>
        </w:rPr>
        <w:t>；</w:t>
      </w:r>
    </w:p>
    <w:p>
      <w:pPr>
        <w:numPr>
          <w:ilvl w:val="2"/>
          <w:numId w:val="29"/>
        </w:numPr>
        <w:tabs>
          <w:tab w:val="left" w:pos="851"/>
        </w:tabs>
        <w:autoSpaceDE w:val="0"/>
        <w:autoSpaceDN w:val="0"/>
        <w:adjustRightInd w:val="0"/>
        <w:snapToGrid w:val="0"/>
        <w:spacing w:line="360" w:lineRule="auto"/>
        <w:rPr>
          <w:rFonts w:ascii="宋体" w:hAnsi="宋体" w:cs="宋体"/>
          <w:sz w:val="24"/>
          <w:lang w:eastAsia="zh-TW"/>
        </w:rPr>
      </w:pPr>
      <w:r>
        <w:rPr>
          <w:rFonts w:ascii="宋体" w:hAnsi="宋体" w:cs="宋体" w:hint="eastAsia"/>
          <w:sz w:val="24"/>
        </w:rPr>
        <w:t>供应商</w:t>
      </w:r>
      <w:r>
        <w:rPr>
          <w:rFonts w:ascii="宋体" w:hAnsi="宋体" w:cs="宋体" w:hint="eastAsia"/>
          <w:sz w:val="24"/>
          <w:lang w:eastAsia="zh-TW"/>
        </w:rPr>
        <w:t>对本项目提出的疑问，</w:t>
      </w:r>
      <w:r>
        <w:rPr>
          <w:rFonts w:ascii="宋体" w:hAnsi="宋体" w:cs="宋体" w:hint="eastAsia"/>
          <w:sz w:val="24"/>
        </w:rPr>
        <w:t>可</w:t>
      </w:r>
      <w:r>
        <w:rPr>
          <w:rFonts w:ascii="宋体" w:hAnsi="宋体" w:cs="宋体" w:hint="eastAsia"/>
          <w:sz w:val="24"/>
          <w:lang w:eastAsia="zh-TW"/>
        </w:rPr>
        <w:t>在</w:t>
      </w:r>
      <w:r>
        <w:rPr>
          <w:rFonts w:ascii="宋体" w:hAnsi="宋体" w:hint="eastAsia"/>
          <w:bCs/>
          <w:sz w:val="24"/>
        </w:rPr>
        <w:t>现场考察或者召开开标前答疑会</w:t>
      </w:r>
      <w:r>
        <w:rPr>
          <w:rFonts w:ascii="宋体" w:hAnsi="宋体" w:cs="宋体" w:hint="eastAsia"/>
          <w:sz w:val="24"/>
          <w:lang w:eastAsia="zh-TW"/>
        </w:rPr>
        <w:t>召开日前至少一个工作日将问题清单以书面形式（加盖公章）提交至采购代理机构。</w:t>
      </w: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07" w:name="_Toc438223138"/>
      <w:bookmarkStart w:id="108" w:name="_Toc435516652"/>
      <w:bookmarkStart w:id="109" w:name="_Toc435174935"/>
      <w:bookmarkStart w:id="110" w:name="_Toc3852"/>
      <w:bookmarkStart w:id="111" w:name="_Toc256000016"/>
      <w:r>
        <w:rPr>
          <w:rFonts w:ascii="宋体" w:hAnsi="宋体" w:hint="eastAsia"/>
          <w:b/>
          <w:sz w:val="28"/>
          <w:szCs w:val="28"/>
          <w:lang w:eastAsia="zh-TW"/>
        </w:rPr>
        <w:t>投标文件的编制</w:t>
      </w:r>
      <w:bookmarkEnd w:id="111"/>
      <w:bookmarkEnd w:id="107"/>
      <w:bookmarkEnd w:id="108"/>
      <w:bookmarkEnd w:id="109"/>
      <w:bookmarkEnd w:id="110"/>
    </w:p>
    <w:p>
      <w:pPr>
        <w:numPr>
          <w:ilvl w:val="0"/>
          <w:numId w:val="30"/>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投标的语言</w:t>
      </w:r>
    </w:p>
    <w:p>
      <w:pPr>
        <w:numPr>
          <w:ilvl w:val="1"/>
          <w:numId w:val="30"/>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投标人提交的投标文件以及投标人与采购人</w:t>
      </w:r>
      <w:r>
        <w:rPr>
          <w:rFonts w:ascii="宋体" w:hAnsi="宋体" w:cs="宋体" w:hint="eastAsia"/>
          <w:sz w:val="24"/>
        </w:rPr>
        <w:t>或者</w:t>
      </w:r>
      <w:r>
        <w:rPr>
          <w:rFonts w:ascii="宋体" w:hAnsi="宋体" w:cs="宋体" w:hint="eastAsia"/>
          <w:sz w:val="24"/>
          <w:lang w:eastAsia="zh-TW"/>
        </w:rPr>
        <w:t>采购代理机构就有关投标的所有来往函电均应使用中文书写</w:t>
      </w:r>
      <w:r>
        <w:rPr>
          <w:rFonts w:ascii="宋体" w:hAnsi="宋体" w:cs="宋体" w:hint="eastAsia"/>
          <w:sz w:val="24"/>
        </w:rPr>
        <w:t>。投</w:t>
      </w:r>
      <w:r>
        <w:rPr>
          <w:rFonts w:ascii="宋体" w:hAnsi="宋体" w:cs="宋体" w:hint="eastAsia"/>
          <w:sz w:val="24"/>
          <w:lang w:eastAsia="zh-TW"/>
        </w:rPr>
        <w:t>标人提交的支持文件或印刷的资料可以用另一种语言</w:t>
      </w:r>
      <w:r>
        <w:rPr>
          <w:rFonts w:ascii="宋体" w:hAnsi="宋体" w:cs="宋体" w:hint="eastAsia"/>
          <w:sz w:val="24"/>
        </w:rPr>
        <w:t>，</w:t>
      </w:r>
      <w:r>
        <w:rPr>
          <w:rFonts w:ascii="宋体" w:hAnsi="宋体" w:cs="宋体" w:hint="eastAsia"/>
          <w:sz w:val="24"/>
          <w:lang w:eastAsia="zh-TW"/>
        </w:rPr>
        <w:t>但相应内容应附有中文翻译本</w:t>
      </w:r>
      <w:r>
        <w:rPr>
          <w:rFonts w:ascii="宋体" w:hAnsi="宋体" w:cs="宋体" w:hint="eastAsia"/>
          <w:sz w:val="24"/>
        </w:rPr>
        <w:t>，由翻译机构盖章或者翻译人员签名。</w:t>
      </w:r>
      <w:r>
        <w:rPr>
          <w:rFonts w:ascii="宋体" w:hAnsi="宋体" w:hint="eastAsia"/>
          <w:sz w:val="24"/>
        </w:rPr>
        <w:t>两种语言不一致时以中文翻译本为准。</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投标文件的构成</w:t>
      </w:r>
    </w:p>
    <w:p>
      <w:pPr>
        <w:numPr>
          <w:ilvl w:val="1"/>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投标人应当按照招标文件的要求编制投标文件。投标文件应当对招标文件提出的要求和条件作出明确响应。投标文件的组成</w:t>
      </w:r>
      <w:r>
        <w:rPr>
          <w:rFonts w:ascii="宋体" w:hAnsi="宋体" w:cs="宋体" w:hint="eastAsia"/>
          <w:sz w:val="24"/>
        </w:rPr>
        <w:t>包括但不仅仅限于</w:t>
      </w:r>
      <w:r>
        <w:rPr>
          <w:rFonts w:asciiTheme="minorEastAsia" w:eastAsiaTheme="minorEastAsia" w:hAnsiTheme="minorEastAsia" w:cs="宋体" w:hint="eastAsia"/>
          <w:b/>
          <w:sz w:val="24"/>
        </w:rPr>
        <w:t>价格文件、资格性文件、符合性文件、技术文件、商务文件</w:t>
      </w:r>
      <w:r>
        <w:rPr>
          <w:rFonts w:asciiTheme="minorEastAsia" w:eastAsiaTheme="minorEastAsia" w:hAnsiTheme="minorEastAsia" w:cs="宋体" w:hint="eastAsia"/>
          <w:sz w:val="24"/>
        </w:rPr>
        <w:t>等</w:t>
      </w:r>
      <w:r>
        <w:rPr>
          <w:rFonts w:ascii="宋体" w:hAnsi="宋体" w:cs="宋体" w:hint="eastAsia"/>
          <w:sz w:val="24"/>
        </w:rPr>
        <w:t>。</w:t>
      </w:r>
    </w:p>
    <w:p>
      <w:pPr>
        <w:numPr>
          <w:ilvl w:val="1"/>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投标文件的构成应符合法律法规及招标文件的要求。</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投标文件的编写</w:t>
      </w:r>
    </w:p>
    <w:p>
      <w:pPr>
        <w:numPr>
          <w:ilvl w:val="1"/>
          <w:numId w:val="30"/>
        </w:numPr>
        <w:tabs>
          <w:tab w:val="left" w:pos="709"/>
        </w:tabs>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投标人必须对投标文件所提供的全部资料的真实性承担法律责任，并无条件接受采购人或者采购代理机构或者</w:t>
      </w:r>
      <w:r>
        <w:rPr>
          <w:rFonts w:ascii="宋体" w:hAnsi="宋体" w:hint="eastAsia"/>
          <w:sz w:val="24"/>
        </w:rPr>
        <w:t>政府采购监督管理部门</w:t>
      </w:r>
      <w:r>
        <w:rPr>
          <w:rFonts w:ascii="宋体" w:hAnsi="宋体" w:cs="宋体" w:hint="eastAsia"/>
          <w:sz w:val="24"/>
          <w:lang w:eastAsia="zh-TW"/>
        </w:rPr>
        <w:t>对其中任何资料进行核实的要求。</w:t>
      </w:r>
    </w:p>
    <w:p>
      <w:pPr>
        <w:numPr>
          <w:ilvl w:val="1"/>
          <w:numId w:val="30"/>
        </w:numPr>
        <w:tabs>
          <w:tab w:val="left" w:pos="709"/>
        </w:tabs>
        <w:autoSpaceDE w:val="0"/>
        <w:autoSpaceDN w:val="0"/>
        <w:adjustRightInd w:val="0"/>
        <w:snapToGrid w:val="0"/>
        <w:spacing w:line="360" w:lineRule="auto"/>
        <w:rPr>
          <w:rFonts w:ascii="宋体" w:hAnsi="宋体" w:cs="宋体"/>
          <w:sz w:val="24"/>
        </w:rPr>
      </w:pPr>
      <w:r>
        <w:rPr>
          <w:rFonts w:ascii="宋体" w:hAnsi="宋体" w:cs="宋体" w:hint="eastAsia"/>
          <w:sz w:val="24"/>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ascii="宋体" w:hAnsi="宋体" w:cs="宋体"/>
          <w:sz w:val="24"/>
        </w:rPr>
        <w:t>http://zfcg.szggzy.com/</w:t>
      </w:r>
      <w:r>
        <w:rPr>
          <w:rFonts w:ascii="宋体" w:hAnsi="宋体" w:cs="宋体" w:hint="eastAsia"/>
          <w:sz w:val="24"/>
        </w:rPr>
        <w:t>TPBidder/DownLoad/深圳市智慧采购平台投标文件制作专用软件.zip】。</w:t>
      </w:r>
    </w:p>
    <w:p>
      <w:pPr>
        <w:numPr>
          <w:ilvl w:val="1"/>
          <w:numId w:val="30"/>
        </w:numPr>
        <w:tabs>
          <w:tab w:val="left" w:pos="709"/>
        </w:tabs>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投标人在使用《投标文件制作软件》编制投标书时须注意：</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导入《投标文件制作软件》的招标文件项目编号、包号应与以此制作的投标文件项目编号、包号一致。例如，不能将甲项目A包的招标书导入《投标文件制作软件》，制作乙项目B包的投标书。</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不能用非本公司的电子密钥加密本公司的投标文件，或者用其它公司的登录用户上传本公司的投标文件。</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要求用《投标文件制作软件》编制投标书的包，不能用其它方式编制投标书。编制投标文件时，电脑须连通互联网。</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投标文件不能带病毒。采购代理机构将用专业杀毒软件对投标文件进行病毒检测，如果这两种软件均报告发现病毒，则采购代理机构认为该投标文件带病毒。</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完整填写“投标关键信息”，如下图所示：</w:t>
      </w:r>
    </w:p>
    <w:p>
      <w:pPr>
        <w:spacing w:line="360" w:lineRule="auto"/>
        <w:rPr>
          <w:rFonts w:ascii="宋体" w:hAnsi="宋体"/>
          <w:b/>
          <w:sz w:val="24"/>
        </w:rPr>
      </w:pPr>
      <w:r>
        <w:rPr>
          <w:sz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26670</wp:posOffset>
            </wp:positionV>
            <wp:extent cx="5278755" cy="2721610"/>
            <wp:effectExtent l="0" t="0" r="17145" b="2540"/>
            <wp:wrapTopAndBottom/>
            <wp:docPr id="13" name="图片 1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形用户界面, 应用程序&#10;&#10;描述已自动生成"/>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anchor>
        </w:drawing>
      </w:r>
      <w:r>
        <w:rPr>
          <w:rFonts w:ascii="宋体" w:hAnsi="宋体" w:hint="eastAsia"/>
          <w:b/>
          <w:sz w:val="24"/>
        </w:rPr>
        <w:t>备注：上述“开标一览表”中的“投标总价”将作为价格分计算依据；其它信息仅是对投标文件相关内容的概括性表述，不作为评审依据。</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投标人在编辑投标文件时，在投标文件目录中属于本节点内容的必须在本节点中填写，填写到其他节点或附件，一切后果由投标人自行承担。</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投标文件编写完成后，必须用属于投标人的电子密钥进行加密，否则视同未盖公章，将导致投标文件无效。</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如果开标时出现网络故障、技术故障，影响了政府采购活动，采购代理机构有权采取措施如延期、接受无法从网上上传的投标书等，以保障政府采购活动的公开、公平和公正。</w:t>
      </w:r>
    </w:p>
    <w:p>
      <w:pPr>
        <w:numPr>
          <w:ilvl w:val="1"/>
          <w:numId w:val="30"/>
        </w:numPr>
        <w:tabs>
          <w:tab w:val="left" w:pos="709"/>
        </w:tabs>
        <w:autoSpaceDE w:val="0"/>
        <w:autoSpaceDN w:val="0"/>
        <w:adjustRightInd w:val="0"/>
        <w:snapToGrid w:val="0"/>
        <w:spacing w:line="360" w:lineRule="auto"/>
        <w:rPr>
          <w:rFonts w:ascii="宋体" w:hAnsi="宋体"/>
          <w:sz w:val="24"/>
        </w:rPr>
      </w:pPr>
      <w:r>
        <w:rPr>
          <w:rFonts w:ascii="宋体" w:hAnsi="宋体" w:hint="eastAsia"/>
          <w:sz w:val="24"/>
        </w:rPr>
        <w:t>电报、电话、传真形式的投标概不接受。</w:t>
      </w:r>
    </w:p>
    <w:p>
      <w:pPr>
        <w:numPr>
          <w:ilvl w:val="1"/>
          <w:numId w:val="30"/>
        </w:numPr>
        <w:tabs>
          <w:tab w:val="left" w:pos="709"/>
        </w:tabs>
        <w:autoSpaceDE w:val="0"/>
        <w:autoSpaceDN w:val="0"/>
        <w:adjustRightInd w:val="0"/>
        <w:snapToGrid w:val="0"/>
        <w:spacing w:line="360" w:lineRule="auto"/>
        <w:rPr>
          <w:rFonts w:ascii="宋体" w:hAnsi="宋体"/>
          <w:sz w:val="24"/>
        </w:rPr>
      </w:pPr>
      <w:r>
        <w:rPr>
          <w:rFonts w:ascii="宋体" w:hAnsi="宋体" w:hint="eastAsia"/>
          <w:b/>
          <w:bCs/>
          <w:sz w:val="24"/>
        </w:rPr>
        <w:t>经投标人电子密钥加密的投标文件无须盖章或签字，</w:t>
      </w:r>
      <w:r>
        <w:rPr>
          <w:rFonts w:ascii="宋体" w:hAnsi="宋体" w:hint="eastAsia"/>
          <w:sz w:val="24"/>
        </w:rPr>
        <w:t>专用条款另有要求的除外。</w:t>
      </w:r>
    </w:p>
    <w:p>
      <w:pPr>
        <w:numPr>
          <w:ilvl w:val="1"/>
          <w:numId w:val="30"/>
        </w:numPr>
        <w:tabs>
          <w:tab w:val="left" w:pos="709"/>
        </w:tabs>
        <w:autoSpaceDE w:val="0"/>
        <w:autoSpaceDN w:val="0"/>
        <w:adjustRightInd w:val="0"/>
        <w:snapToGrid w:val="0"/>
        <w:spacing w:line="360" w:lineRule="auto"/>
        <w:rPr>
          <w:rFonts w:ascii="宋体" w:hAnsi="宋体"/>
          <w:sz w:val="24"/>
        </w:rPr>
      </w:pPr>
      <w:r>
        <w:rPr>
          <w:rFonts w:ascii="宋体" w:hAnsi="宋体" w:hint="eastAsia"/>
          <w:sz w:val="24"/>
        </w:rPr>
        <w:t>各类资格（资质）文件提供扫描件，专用条款另有要求的除外。</w:t>
      </w:r>
    </w:p>
    <w:p>
      <w:pPr>
        <w:numPr>
          <w:ilvl w:val="1"/>
          <w:numId w:val="30"/>
        </w:numPr>
        <w:tabs>
          <w:tab w:val="left" w:pos="709"/>
        </w:tabs>
        <w:autoSpaceDE w:val="0"/>
        <w:autoSpaceDN w:val="0"/>
        <w:adjustRightInd w:val="0"/>
        <w:snapToGrid w:val="0"/>
        <w:spacing w:line="360" w:lineRule="auto"/>
        <w:rPr>
          <w:sz w:val="24"/>
        </w:rPr>
      </w:pPr>
      <w:r>
        <w:rPr>
          <w:rFonts w:ascii="宋体" w:hAnsi="宋体" w:cs="宋体" w:hint="eastAsia"/>
          <w:sz w:val="24"/>
          <w:lang w:eastAsia="zh-TW"/>
        </w:rPr>
        <w:t>警示条款</w:t>
      </w:r>
      <w:r>
        <w:rPr>
          <w:rFonts w:ascii="宋体" w:hAnsi="宋体" w:cs="宋体" w:hint="eastAsia"/>
          <w:sz w:val="24"/>
        </w:rPr>
        <w:t>：</w:t>
      </w:r>
      <w:r>
        <w:rPr>
          <w:rFonts w:hint="eastAsia"/>
          <w:sz w:val="24"/>
        </w:rPr>
        <w:t>根据《中华人民共和国政府采购法》及《深圳经济特区政府采购条例》有关规定，为增强各投标人诚信守法、公平竞争意识，规范各投标人投标行为，有效遏制投标人在政府采购活动中的串标围标、造假等不诚信行为，促进政府采购市场诚信体系建设，确保政府采购工作公开、公平和公正，将依法依规对如下投标信息予以公示，望各投标人给予配合，履行好自身的权益和义务。</w:t>
      </w:r>
    </w:p>
    <w:p>
      <w:pPr>
        <w:numPr>
          <w:ilvl w:val="2"/>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公示的内容：包括但不限于营业执照等资质证明文件、开标一览表(报价表)、政府采购投标及履约承诺函、招标文件要求的其它内容或投标人认为需要加以说明的其他内容等（投标文件正文的全部内容）。</w:t>
      </w:r>
    </w:p>
    <w:p>
      <w:pPr>
        <w:numPr>
          <w:ilvl w:val="2"/>
          <w:numId w:val="30"/>
        </w:numPr>
        <w:autoSpaceDE w:val="0"/>
        <w:autoSpaceDN w:val="0"/>
        <w:adjustRightInd w:val="0"/>
        <w:snapToGrid w:val="0"/>
        <w:spacing w:line="360" w:lineRule="auto"/>
        <w:rPr>
          <w:sz w:val="24"/>
        </w:rPr>
      </w:pPr>
      <w:r>
        <w:rPr>
          <w:rFonts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投标文件正文（信息公开部分）必须编制于“投标书目录”部分，投标文件附件（非信息公开部分）必须编制于“投标书附件”部分，如下图所示。</w:t>
      </w:r>
    </w:p>
    <w:p>
      <w:pPr>
        <w:jc w:val="center"/>
      </w:pPr>
      <w:r>
        <w:rPr>
          <w:rFonts w:ascii="仿宋_GB2312" w:eastAsia="仿宋_GB2312"/>
        </w:rPr>
        <w:drawing>
          <wp:inline distT="0" distB="0" distL="0" distR="0">
            <wp:extent cx="5278755" cy="4126230"/>
            <wp:effectExtent l="0" t="0" r="17145" b="7620"/>
            <wp:docPr id="20" name="图片 20"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形用户界面, 应用程序&#10;&#10;描述已自动生成"/>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p>
      <w:pPr>
        <w:numPr>
          <w:ilvl w:val="2"/>
          <w:numId w:val="30"/>
        </w:numPr>
        <w:tabs>
          <w:tab w:val="left" w:pos="851"/>
        </w:tabs>
        <w:autoSpaceDE w:val="0"/>
        <w:autoSpaceDN w:val="0"/>
        <w:adjustRightInd w:val="0"/>
        <w:snapToGrid w:val="0"/>
        <w:spacing w:line="360" w:lineRule="auto"/>
        <w:rPr>
          <w:sz w:val="24"/>
        </w:rPr>
      </w:pPr>
      <w:r>
        <w:rPr>
          <w:rFonts w:ascii="宋体" w:hAnsi="宋体" w:cs="宋体" w:hint="eastAsia"/>
          <w:sz w:val="24"/>
        </w:rPr>
        <w:t>采购代理机构公布投标文件正文（信息公开部分）时为计算机截取信息自动公布，</w:t>
      </w:r>
      <w:r>
        <w:rPr>
          <w:rFonts w:ascii="宋体" w:hAnsi="宋体" w:cs="宋体" w:hint="eastAsia"/>
          <w:b/>
          <w:bCs/>
          <w:sz w:val="24"/>
        </w:rPr>
        <w:t>如投标人误将涉及个人隐私的信息放入投标文件正文，相关后果由投标人自负；</w:t>
      </w:r>
      <w:r>
        <w:rPr>
          <w:rFonts w:ascii="宋体" w:hAnsi="宋体" w:cs="宋体" w:hint="eastAsia"/>
          <w:sz w:val="24"/>
        </w:rPr>
        <w:t>如投标人将必须放于投标文件正文（信息公开部分）的内容放入投标文件附件（非信息公开部分），将作投标无效处理</w:t>
      </w:r>
      <w:r>
        <w:rPr>
          <w:rFonts w:hint="eastAsia"/>
          <w:sz w:val="24"/>
        </w:rPr>
        <w:t>。</w:t>
      </w:r>
    </w:p>
    <w:p>
      <w:pPr>
        <w:numPr>
          <w:ilvl w:val="2"/>
          <w:numId w:val="30"/>
        </w:numPr>
        <w:tabs>
          <w:tab w:val="left" w:pos="851"/>
        </w:tabs>
        <w:autoSpaceDE w:val="0"/>
        <w:autoSpaceDN w:val="0"/>
        <w:adjustRightInd w:val="0"/>
        <w:snapToGrid w:val="0"/>
        <w:spacing w:line="360" w:lineRule="auto"/>
        <w:rPr>
          <w:sz w:val="24"/>
        </w:rPr>
      </w:pPr>
      <w:r>
        <w:rPr>
          <w:rFonts w:hint="eastAsia"/>
          <w:sz w:val="24"/>
        </w:rPr>
        <w:t>投标人对公示信息的质疑，按现规定和做法执行。望各投标人要珍惜本次投标机会，诚实、守信、依法、依规投标。</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投标文件的式样</w:t>
      </w:r>
    </w:p>
    <w:p>
      <w:pPr>
        <w:numPr>
          <w:ilvl w:val="1"/>
          <w:numId w:val="30"/>
        </w:numPr>
        <w:autoSpaceDE w:val="0"/>
        <w:autoSpaceDN w:val="0"/>
        <w:adjustRightInd w:val="0"/>
        <w:snapToGrid w:val="0"/>
        <w:spacing w:line="360" w:lineRule="auto"/>
        <w:rPr>
          <w:rFonts w:ascii="宋体" w:hAnsi="宋体" w:cs="黑体"/>
          <w:b/>
          <w:bCs/>
          <w:strike/>
          <w:color w:val="00B0F0"/>
          <w:sz w:val="24"/>
          <w:highlight w:val="none"/>
        </w:rPr>
      </w:pPr>
      <w:r>
        <w:rPr>
          <w:rFonts w:ascii="宋体" w:hAnsi="宋体" w:cs="宋体" w:hint="eastAsia"/>
          <w:sz w:val="24"/>
          <w:lang w:eastAsia="zh-TW"/>
        </w:rPr>
        <w:t>投标人应</w:t>
      </w:r>
      <w:r>
        <w:rPr>
          <w:rFonts w:ascii="宋体" w:hAnsi="宋体" w:cs="宋体" w:hint="eastAsia"/>
          <w:sz w:val="24"/>
        </w:rPr>
        <w:t>准备</w:t>
      </w:r>
      <w:r>
        <w:rPr>
          <w:rFonts w:ascii="宋体" w:hAnsi="宋体" w:cs="宋体" w:hint="eastAsia"/>
          <w:b/>
          <w:sz w:val="24"/>
          <w:lang w:eastAsia="zh-TW"/>
        </w:rPr>
        <w:t>投标须知前附表</w:t>
      </w:r>
      <w:r>
        <w:rPr>
          <w:rFonts w:ascii="宋体" w:hAnsi="宋体" w:cs="宋体" w:hint="eastAsia"/>
          <w:sz w:val="24"/>
          <w:lang w:eastAsia="zh-TW"/>
        </w:rPr>
        <w:t>中</w:t>
      </w:r>
      <w:r>
        <w:rPr>
          <w:rFonts w:ascii="宋体" w:hAnsi="宋体" w:cs="宋体" w:hint="eastAsia"/>
          <w:sz w:val="24"/>
          <w:highlight w:val="none"/>
          <w:lang w:eastAsia="zh-TW"/>
        </w:rPr>
        <w:t>规定</w:t>
      </w:r>
      <w:r>
        <w:rPr>
          <w:rFonts w:ascii="宋体" w:hAnsi="宋体" w:cs="宋体" w:hint="eastAsia"/>
          <w:sz w:val="24"/>
          <w:highlight w:val="none"/>
        </w:rPr>
        <w:t>式样的投标文件。</w:t>
      </w:r>
    </w:p>
    <w:p>
      <w:pPr>
        <w:numPr>
          <w:ilvl w:val="1"/>
          <w:numId w:val="30"/>
        </w:numPr>
        <w:autoSpaceDE w:val="0"/>
        <w:autoSpaceDN w:val="0"/>
        <w:adjustRightInd w:val="0"/>
        <w:snapToGrid w:val="0"/>
        <w:spacing w:line="360" w:lineRule="auto"/>
        <w:rPr>
          <w:rFonts w:ascii="宋体" w:hAnsi="宋体" w:cs="黑体"/>
          <w:b/>
          <w:bCs/>
          <w:sz w:val="24"/>
          <w:highlight w:val="none"/>
        </w:rPr>
      </w:pPr>
      <w:r>
        <w:rPr>
          <w:rFonts w:ascii="宋体" w:hAnsi="宋体" w:cs="宋体" w:hint="eastAsia"/>
          <w:sz w:val="24"/>
          <w:highlight w:val="none"/>
          <w:lang w:eastAsia="zh-TW"/>
        </w:rPr>
        <w:t>投标文件的签署：除招标文件有特殊规定外，投标文件不用盖章或签字。</w:t>
      </w:r>
    </w:p>
    <w:p>
      <w:pPr>
        <w:numPr>
          <w:ilvl w:val="1"/>
          <w:numId w:val="30"/>
        </w:numPr>
        <w:autoSpaceDE w:val="0"/>
        <w:autoSpaceDN w:val="0"/>
        <w:adjustRightInd w:val="0"/>
        <w:snapToGrid w:val="0"/>
        <w:spacing w:line="360" w:lineRule="auto"/>
        <w:rPr>
          <w:rFonts w:ascii="宋体" w:hAnsi="宋体"/>
          <w:sz w:val="24"/>
          <w:highlight w:val="none"/>
        </w:rPr>
      </w:pPr>
      <w:r>
        <w:rPr>
          <w:rFonts w:ascii="宋体" w:hAnsi="宋体" w:cs="宋体" w:hint="eastAsia"/>
          <w:sz w:val="24"/>
          <w:highlight w:val="none"/>
          <w:lang w:eastAsia="zh-TW"/>
        </w:rPr>
        <w:t>投标文件</w:t>
      </w:r>
      <w:r>
        <w:rPr>
          <w:rFonts w:ascii="宋体" w:hAnsi="宋体" w:hint="eastAsia"/>
          <w:b/>
          <w:bCs/>
          <w:sz w:val="24"/>
          <w:highlight w:val="none"/>
        </w:rPr>
        <w:t>密封</w:t>
      </w:r>
      <w:r>
        <w:rPr>
          <w:rFonts w:ascii="宋体" w:hAnsi="宋体" w:cs="宋体" w:hint="eastAsia"/>
          <w:sz w:val="24"/>
          <w:highlight w:val="none"/>
          <w:lang w:eastAsia="zh-TW"/>
        </w:rPr>
        <w:t>：</w:t>
      </w:r>
    </w:p>
    <w:p>
      <w:pPr>
        <w:numPr>
          <w:ilvl w:val="2"/>
          <w:numId w:val="30"/>
        </w:numPr>
        <w:autoSpaceDE w:val="0"/>
        <w:autoSpaceDN w:val="0"/>
        <w:adjustRightInd w:val="0"/>
        <w:snapToGrid w:val="0"/>
        <w:spacing w:line="360" w:lineRule="auto"/>
        <w:rPr>
          <w:sz w:val="24"/>
        </w:rPr>
      </w:pPr>
      <w:r>
        <w:rPr>
          <w:rFonts w:hint="eastAsia"/>
          <w:sz w:val="24"/>
          <w:highlight w:val="none"/>
        </w:rPr>
        <w:t>在投标文件制作完成后，在投标文</w:t>
      </w:r>
      <w:r>
        <w:rPr>
          <w:rFonts w:hint="eastAsia"/>
          <w:sz w:val="24"/>
        </w:rPr>
        <w:t>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pPr>
        <w:jc w:val="left"/>
        <w:rPr>
          <w:rFonts w:ascii="宋体" w:hAnsi="宋体"/>
        </w:rPr>
      </w:pPr>
      <w:r>
        <w:drawing>
          <wp:inline distT="0" distB="0" distL="0" distR="0">
            <wp:extent cx="5278755" cy="2721610"/>
            <wp:effectExtent l="0" t="0" r="17145" b="2540"/>
            <wp:docPr id="14" name="图片 14"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形用户界面, 应用程序&#10;&#10;描述已自动生成"/>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pStyle w:val="ListParagraph"/>
        <w:spacing w:line="360" w:lineRule="auto"/>
        <w:ind w:left="425" w:firstLine="0" w:firstLineChars="0"/>
        <w:rPr>
          <w:rFonts w:ascii="宋体" w:hAnsi="宋体"/>
        </w:rPr>
      </w:pPr>
      <w:r>
        <w:rPr>
          <w:rFonts w:hint="eastAsia"/>
          <w:sz w:val="24"/>
        </w:rPr>
        <w:t>在投标文件制作软件点击【生成标书】按钮进入【填写开标一览表界面】界面，在该界面填写完开标一览表信息后点击【确定】，进入投标文件生成环节。</w:t>
      </w:r>
      <w:r>
        <w:drawing>
          <wp:inline distT="0" distB="0" distL="0" distR="0">
            <wp:extent cx="5278755" cy="2732405"/>
            <wp:effectExtent l="0" t="0" r="17145" b="10795"/>
            <wp:docPr id="19" name="图片 19"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形用户界面&#10;&#10;描述已自动生成"/>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pPr>
        <w:pStyle w:val="ListParagraph"/>
        <w:spacing w:line="360" w:lineRule="auto"/>
        <w:ind w:left="425" w:firstLine="0" w:firstLineChars="0"/>
        <w:rPr>
          <w:sz w:val="24"/>
        </w:rPr>
      </w:pPr>
      <w:r>
        <w:rPr>
          <w:rFonts w:hint="eastAsia"/>
          <w:sz w:val="24"/>
        </w:rPr>
        <w:t>投标文件制作软件会在投标文件生成过程中，提示用户输入密码，输入密码后对标文件自动进行加密。</w:t>
      </w:r>
    </w:p>
    <w:p>
      <w:pPr>
        <w:numPr>
          <w:ilvl w:val="2"/>
          <w:numId w:val="30"/>
        </w:numPr>
        <w:autoSpaceDE w:val="0"/>
        <w:autoSpaceDN w:val="0"/>
        <w:adjustRightInd w:val="0"/>
        <w:snapToGrid w:val="0"/>
        <w:spacing w:line="360" w:lineRule="auto"/>
        <w:rPr>
          <w:b/>
          <w:bCs/>
          <w:sz w:val="24"/>
        </w:rPr>
      </w:pPr>
      <w:r>
        <w:rPr>
          <w:rFonts w:hint="eastAsia"/>
          <w:b/>
          <w:bCs/>
          <w:sz w:val="24"/>
        </w:rPr>
        <w:t>若采购项目出现延期情况：</w:t>
      </w:r>
    </w:p>
    <w:p>
      <w:pPr>
        <w:pStyle w:val="ListParagraph"/>
        <w:spacing w:line="360" w:lineRule="auto"/>
        <w:ind w:left="425" w:firstLine="0" w:firstLineChars="0"/>
        <w:rPr>
          <w:sz w:val="24"/>
        </w:rPr>
      </w:pPr>
      <w:r>
        <w:rPr>
          <w:rFonts w:hint="eastAsia"/>
          <w:sz w:val="24"/>
        </w:rPr>
        <w:t>如果供下载的招标文件（后缀名为.</w:t>
      </w:r>
      <w:r>
        <w:rPr>
          <w:sz w:val="24"/>
        </w:rPr>
        <w:t>szczf</w:t>
      </w:r>
      <w:r>
        <w:rPr>
          <w:rFonts w:hint="eastAsia"/>
          <w:sz w:val="24"/>
        </w:rPr>
        <w:t>）有更新，投标人必须重新下载招标文件、重新制作投标文件、重新加密投标文件、重新上传投标文件；如果供下载的招标文件（后缀名为.</w:t>
      </w:r>
      <w:r>
        <w:rPr>
          <w:sz w:val="24"/>
        </w:rPr>
        <w:t>szczf</w:t>
      </w:r>
      <w:r>
        <w:rPr>
          <w:rFonts w:hint="eastAsia"/>
          <w:sz w:val="24"/>
        </w:rPr>
        <w:t>）没有更新，投标人必须重新加密投标文件、重新上传投标文件（是否重新制作投标文件根据项目实际情况定）。否则，投标人自行承担投标文件无法解密导致投标无效的后果。</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投标报价</w:t>
      </w:r>
    </w:p>
    <w:p>
      <w:pPr>
        <w:numPr>
          <w:ilvl w:val="1"/>
          <w:numId w:val="31"/>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投标人应按照“用户需求书”</w:t>
      </w:r>
      <w:r>
        <w:rPr>
          <w:rFonts w:ascii="宋体" w:hAnsi="宋体" w:cs="宋体" w:hint="eastAsia"/>
          <w:sz w:val="24"/>
        </w:rPr>
        <w:t>中</w:t>
      </w:r>
      <w:r>
        <w:rPr>
          <w:rFonts w:ascii="宋体" w:hAnsi="宋体" w:cs="宋体" w:hint="eastAsia"/>
          <w:sz w:val="24"/>
          <w:lang w:eastAsia="zh-TW"/>
        </w:rPr>
        <w:t>采购项目技术规格、参数及要求规定的内容、责任范围进行报价。并按《</w:t>
      </w:r>
      <w:r>
        <w:rPr>
          <w:rFonts w:ascii="宋体" w:hAnsi="宋体" w:cs="宋体" w:hint="eastAsia"/>
          <w:sz w:val="24"/>
        </w:rPr>
        <w:t>开标一览表(报价表)</w:t>
      </w:r>
      <w:r>
        <w:rPr>
          <w:rFonts w:ascii="宋体" w:hAnsi="宋体" w:cs="宋体" w:hint="eastAsia"/>
          <w:sz w:val="24"/>
          <w:lang w:eastAsia="zh-TW"/>
        </w:rPr>
        <w:t>》</w:t>
      </w:r>
      <w:r>
        <w:rPr>
          <w:rFonts w:ascii="宋体" w:hAnsi="宋体" w:cs="宋体" w:hint="eastAsia"/>
          <w:sz w:val="24"/>
        </w:rPr>
        <w:t>及</w:t>
      </w:r>
      <w:r>
        <w:rPr>
          <w:rFonts w:ascii="宋体" w:hAnsi="宋体" w:cs="宋体" w:hint="eastAsia"/>
          <w:sz w:val="24"/>
          <w:lang w:eastAsia="zh-TW"/>
        </w:rPr>
        <w:t>《投标分项报价表》（如适用）的</w:t>
      </w:r>
      <w:r>
        <w:rPr>
          <w:rFonts w:ascii="宋体" w:hAnsi="宋体" w:cs="宋体" w:hint="eastAsia"/>
          <w:sz w:val="24"/>
        </w:rPr>
        <w:t>要求</w:t>
      </w:r>
      <w:r>
        <w:rPr>
          <w:rFonts w:ascii="宋体" w:hAnsi="宋体" w:cs="宋体" w:hint="eastAsia"/>
          <w:sz w:val="24"/>
          <w:lang w:eastAsia="zh-TW"/>
        </w:rPr>
        <w:t>报出总价和分项价格。</w:t>
      </w:r>
      <w:r>
        <w:rPr>
          <w:rFonts w:ascii="宋体" w:hAnsi="宋体" w:cs="宋体" w:hint="eastAsia"/>
          <w:sz w:val="24"/>
        </w:rPr>
        <w:t>投标人</w:t>
      </w:r>
      <w:r>
        <w:rPr>
          <w:rFonts w:ascii="宋体" w:hAnsi="宋体" w:cs="宋体" w:hint="eastAsia"/>
          <w:sz w:val="24"/>
          <w:lang w:eastAsia="zh-TW"/>
        </w:rPr>
        <w:t>按</w:t>
      </w:r>
      <w:r>
        <w:rPr>
          <w:rFonts w:ascii="宋体" w:hAnsi="宋体" w:cs="宋体" w:hint="eastAsia"/>
          <w:sz w:val="24"/>
        </w:rPr>
        <w:t>招标</w:t>
      </w:r>
      <w:r>
        <w:rPr>
          <w:rFonts w:ascii="宋体" w:hAnsi="宋体" w:cs="宋体" w:hint="eastAsia"/>
          <w:sz w:val="24"/>
          <w:lang w:eastAsia="zh-TW"/>
        </w:rPr>
        <w:t>文件的要求报出全部货物及服务内容所需的所有费用，</w:t>
      </w:r>
      <w:r>
        <w:rPr>
          <w:rFonts w:asciiTheme="minorEastAsia" w:eastAsiaTheme="minorEastAsia" w:hAnsiTheme="minorEastAsia" w:cs="宋体" w:hint="eastAsia"/>
          <w:sz w:val="24"/>
        </w:rPr>
        <w:t>在合同履行过程中，采购人不再支付除合同金额以外的费用。</w:t>
      </w:r>
    </w:p>
    <w:p>
      <w:pPr>
        <w:numPr>
          <w:ilvl w:val="1"/>
          <w:numId w:val="31"/>
        </w:numPr>
        <w:autoSpaceDE w:val="0"/>
        <w:autoSpaceDN w:val="0"/>
        <w:adjustRightInd w:val="0"/>
        <w:snapToGrid w:val="0"/>
        <w:spacing w:line="360" w:lineRule="auto"/>
        <w:rPr>
          <w:rFonts w:ascii="宋体" w:hAnsi="宋体" w:cs="宋体"/>
          <w:color w:val="00B0F0"/>
          <w:sz w:val="24"/>
          <w:lang w:eastAsia="zh-TW"/>
        </w:rPr>
      </w:pPr>
      <w:r>
        <w:rPr>
          <w:rFonts w:ascii="宋体" w:hAnsi="宋体" w:cs="宋体" w:hint="eastAsia"/>
          <w:sz w:val="24"/>
          <w:lang w:eastAsia="zh-TW"/>
        </w:rPr>
        <w:t>投标报价应包含按招标文件的要求全部货物及服务内容所需的所有费用，</w:t>
      </w:r>
      <w:r>
        <w:rPr>
          <w:rFonts w:ascii="宋体" w:hAnsi="宋体" w:cs="宋体"/>
          <w:sz w:val="24"/>
          <w:lang w:eastAsia="zh-TW"/>
        </w:rPr>
        <w:t>包括但不限于</w:t>
      </w:r>
      <w:r>
        <w:rPr>
          <w:rFonts w:ascii="宋体" w:hAnsi="宋体" w:cs="宋体" w:hint="eastAsia"/>
          <w:b/>
          <w:sz w:val="24"/>
          <w:lang w:eastAsia="zh-TW"/>
        </w:rPr>
        <w:t>投标人须知前附表</w:t>
      </w:r>
      <w:r>
        <w:rPr>
          <w:rFonts w:ascii="宋体" w:hAnsi="宋体" w:cs="宋体" w:hint="eastAsia"/>
          <w:sz w:val="24"/>
          <w:lang w:eastAsia="zh-TW"/>
        </w:rPr>
        <w:t>中规定的。</w:t>
      </w:r>
    </w:p>
    <w:p>
      <w:pPr>
        <w:numPr>
          <w:ilvl w:val="1"/>
          <w:numId w:val="31"/>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投标人所报的投标价在合同执行过程中是固定不变的</w:t>
      </w:r>
      <w:r>
        <w:rPr>
          <w:rFonts w:ascii="宋体" w:hAnsi="宋体" w:cs="宋体" w:hint="eastAsia"/>
          <w:sz w:val="24"/>
        </w:rPr>
        <w:t>，</w:t>
      </w:r>
      <w:r>
        <w:rPr>
          <w:rFonts w:ascii="宋体" w:hAnsi="宋体" w:cs="宋体" w:hint="eastAsia"/>
          <w:sz w:val="24"/>
          <w:lang w:eastAsia="zh-TW"/>
        </w:rPr>
        <w:t>不得以任何理由予以变更。任何包含价格调整要求的投标被认为是非实质性响应投标而予以拒绝。</w:t>
      </w:r>
    </w:p>
    <w:p>
      <w:pPr>
        <w:numPr>
          <w:ilvl w:val="1"/>
          <w:numId w:val="31"/>
        </w:numPr>
        <w:autoSpaceDE w:val="0"/>
        <w:autoSpaceDN w:val="0"/>
        <w:adjustRightInd w:val="0"/>
        <w:snapToGrid w:val="0"/>
        <w:spacing w:line="360" w:lineRule="auto"/>
        <w:rPr>
          <w:rFonts w:ascii="宋体" w:hAnsi="宋体" w:cs="宋体"/>
          <w:b/>
          <w:strike/>
          <w:color w:val="00B0F0"/>
          <w:sz w:val="24"/>
          <w:lang w:eastAsia="zh-TW"/>
        </w:rPr>
      </w:pPr>
      <w:r>
        <w:rPr>
          <w:rFonts w:ascii="宋体" w:hAnsi="宋体" w:hint="eastAsia"/>
          <w:sz w:val="24"/>
        </w:rPr>
        <w:t>除</w:t>
      </w:r>
      <w:r>
        <w:rPr>
          <w:rFonts w:ascii="宋体" w:hAnsi="宋体" w:cs="宋体" w:hint="eastAsia"/>
          <w:b/>
          <w:sz w:val="24"/>
          <w:lang w:eastAsia="zh-TW"/>
        </w:rPr>
        <w:t>投标人须知前附表</w:t>
      </w:r>
      <w:r>
        <w:rPr>
          <w:rFonts w:ascii="宋体" w:hAnsi="宋体" w:hint="eastAsia"/>
          <w:sz w:val="24"/>
        </w:rPr>
        <w:t>中允许有备选方案外，本次招标不接受选择性报价，</w:t>
      </w:r>
      <w:r>
        <w:rPr>
          <w:rFonts w:ascii="宋体" w:hAnsi="宋体" w:cs="宋体" w:hint="eastAsia"/>
          <w:sz w:val="24"/>
        </w:rPr>
        <w:t>否则将被视为</w:t>
      </w:r>
      <w:r>
        <w:rPr>
          <w:rFonts w:ascii="宋体" w:hAnsi="宋体" w:cs="宋体" w:hint="eastAsia"/>
          <w:b/>
          <w:sz w:val="24"/>
        </w:rPr>
        <w:t>无效投标</w:t>
      </w:r>
      <w:r>
        <w:rPr>
          <w:rFonts w:ascii="宋体" w:hAnsi="宋体" w:cs="宋体" w:hint="eastAsia"/>
          <w:sz w:val="24"/>
        </w:rPr>
        <w:t>。</w:t>
      </w:r>
    </w:p>
    <w:p>
      <w:pPr>
        <w:numPr>
          <w:ilvl w:val="1"/>
          <w:numId w:val="31"/>
        </w:numPr>
        <w:autoSpaceDE w:val="0"/>
        <w:autoSpaceDN w:val="0"/>
        <w:adjustRightInd w:val="0"/>
        <w:snapToGrid w:val="0"/>
        <w:spacing w:line="360" w:lineRule="auto"/>
        <w:rPr>
          <w:rFonts w:ascii="宋体" w:hAnsi="宋体" w:cs="宋体"/>
          <w:sz w:val="24"/>
          <w:lang w:eastAsia="zh-TW"/>
        </w:rPr>
      </w:pPr>
      <w:r>
        <w:rPr>
          <w:rFonts w:ascii="宋体" w:hAnsi="宋体" w:hint="eastAsia"/>
          <w:sz w:val="24"/>
        </w:rPr>
        <w:t>本次招标不接受具有附加条件的报价，</w:t>
      </w:r>
      <w:r>
        <w:rPr>
          <w:rFonts w:ascii="宋体" w:hAnsi="宋体" w:cs="宋体" w:hint="eastAsia"/>
          <w:sz w:val="24"/>
        </w:rPr>
        <w:t>否则将被视为</w:t>
      </w:r>
      <w:r>
        <w:rPr>
          <w:rFonts w:ascii="宋体" w:hAnsi="宋体" w:cs="宋体" w:hint="eastAsia"/>
          <w:b/>
          <w:sz w:val="24"/>
        </w:rPr>
        <w:t>无效投标</w:t>
      </w:r>
      <w:r>
        <w:rPr>
          <w:rFonts w:ascii="宋体" w:hAnsi="宋体" w:cs="宋体" w:hint="eastAsia"/>
          <w:sz w:val="24"/>
        </w:rPr>
        <w:t>。</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投标货币</w:t>
      </w:r>
    </w:p>
    <w:p>
      <w:pPr>
        <w:numPr>
          <w:ilvl w:val="1"/>
          <w:numId w:val="32"/>
        </w:numPr>
        <w:autoSpaceDE w:val="0"/>
        <w:autoSpaceDN w:val="0"/>
        <w:adjustRightInd w:val="0"/>
        <w:snapToGrid w:val="0"/>
        <w:spacing w:line="360" w:lineRule="auto"/>
        <w:rPr>
          <w:rFonts w:ascii="宋体" w:hAnsi="宋体"/>
          <w:sz w:val="24"/>
        </w:rPr>
      </w:pPr>
      <w:r>
        <w:rPr>
          <w:rFonts w:ascii="宋体" w:hAnsi="宋体" w:hint="eastAsia"/>
          <w:sz w:val="24"/>
        </w:rPr>
        <w:t>投标人所提供的货物和服务均应以人民币报价。</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联合体投标</w:t>
      </w:r>
    </w:p>
    <w:p>
      <w:pPr>
        <w:numPr>
          <w:ilvl w:val="1"/>
          <w:numId w:val="33"/>
        </w:numPr>
        <w:autoSpaceDE w:val="0"/>
        <w:autoSpaceDN w:val="0"/>
        <w:adjustRightInd w:val="0"/>
        <w:snapToGrid w:val="0"/>
        <w:spacing w:line="360" w:lineRule="auto"/>
        <w:rPr>
          <w:rFonts w:ascii="宋体" w:hAnsi="宋体" w:cs="黑体"/>
          <w:b/>
          <w:bCs/>
          <w:sz w:val="24"/>
        </w:rPr>
      </w:pPr>
      <w:r>
        <w:rPr>
          <w:rFonts w:ascii="宋体" w:hAnsi="宋体" w:hint="eastAsia"/>
          <w:sz w:val="24"/>
        </w:rPr>
        <w:t>除非</w:t>
      </w:r>
      <w:r>
        <w:rPr>
          <w:rFonts w:ascii="宋体" w:hAnsi="宋体" w:hint="eastAsia"/>
          <w:b/>
          <w:sz w:val="24"/>
        </w:rPr>
        <w:t>投标邀请</w:t>
      </w:r>
      <w:r>
        <w:rPr>
          <w:rFonts w:ascii="宋体" w:hAnsi="宋体" w:hint="eastAsia"/>
          <w:sz w:val="24"/>
        </w:rPr>
        <w:t>中另有规定，不接受联合体投标。如果投标邀请中规定允许联合体投标的，则必须满足：</w:t>
      </w:r>
    </w:p>
    <w:p>
      <w:pPr>
        <w:numPr>
          <w:ilvl w:val="2"/>
          <w:numId w:val="33"/>
        </w:numPr>
        <w:autoSpaceDE w:val="0"/>
        <w:autoSpaceDN w:val="0"/>
        <w:adjustRightInd w:val="0"/>
        <w:snapToGrid w:val="0"/>
        <w:spacing w:line="360" w:lineRule="auto"/>
        <w:rPr>
          <w:rFonts w:ascii="宋体" w:hAnsi="宋体"/>
          <w:sz w:val="24"/>
        </w:rPr>
      </w:pPr>
      <w:r>
        <w:rPr>
          <w:rFonts w:ascii="宋体" w:hAnsi="宋体" w:hint="eastAsia"/>
          <w:sz w:val="24"/>
        </w:rPr>
        <w:t>以联合体形式参加投标的，联合体各方均必须符合</w:t>
      </w:r>
      <w:r>
        <w:rPr>
          <w:rFonts w:ascii="宋体" w:hAnsi="宋体" w:hint="eastAsia"/>
          <w:bCs/>
          <w:sz w:val="24"/>
        </w:rPr>
        <w:t>《中华人民共和国政府采购法》第二十二条第（一）至（六）项规定。</w:t>
      </w:r>
    </w:p>
    <w:p>
      <w:pPr>
        <w:numPr>
          <w:ilvl w:val="2"/>
          <w:numId w:val="33"/>
        </w:numPr>
        <w:autoSpaceDE w:val="0"/>
        <w:autoSpaceDN w:val="0"/>
        <w:adjustRightInd w:val="0"/>
        <w:snapToGrid w:val="0"/>
        <w:spacing w:line="360" w:lineRule="auto"/>
        <w:rPr>
          <w:rFonts w:ascii="宋体" w:hAnsi="宋体"/>
          <w:sz w:val="24"/>
        </w:rPr>
      </w:pPr>
      <w:r>
        <w:rPr>
          <w:rFonts w:ascii="宋体" w:hAnsi="宋体" w:hint="eastAsia"/>
          <w:sz w:val="24"/>
        </w:rPr>
        <w:t>联合体投标的，必须提供各方签订的联合投标协议，明确约定各方承担的工作和相应的责任。联合体各方签订联合协议书，不得再以自己名义单独在</w:t>
      </w:r>
      <w:r>
        <w:rPr>
          <w:rFonts w:asciiTheme="minorEastAsia" w:eastAsiaTheme="minorEastAsia" w:hAnsiTheme="minorEastAsia" w:cs="宋体" w:hint="eastAsia"/>
          <w:bCs/>
          <w:kern w:val="0"/>
          <w:sz w:val="24"/>
        </w:rPr>
        <w:t>本项目同一合同项下</w:t>
      </w:r>
      <w:r>
        <w:rPr>
          <w:rFonts w:ascii="宋体" w:hAnsi="宋体" w:hint="eastAsia"/>
          <w:sz w:val="24"/>
        </w:rPr>
        <w:t>的投标，也不得组成新的联合体参加</w:t>
      </w:r>
      <w:r>
        <w:rPr>
          <w:rFonts w:asciiTheme="minorEastAsia" w:eastAsiaTheme="minorEastAsia" w:hAnsiTheme="minorEastAsia" w:cs="宋体" w:hint="eastAsia"/>
          <w:bCs/>
          <w:kern w:val="0"/>
          <w:sz w:val="24"/>
        </w:rPr>
        <w:t>本项目同一合同项下的</w:t>
      </w:r>
      <w:r>
        <w:rPr>
          <w:rFonts w:ascii="宋体" w:hAnsi="宋体" w:hint="eastAsia"/>
          <w:sz w:val="24"/>
        </w:rPr>
        <w:t>投标。</w:t>
      </w:r>
    </w:p>
    <w:p>
      <w:pPr>
        <w:numPr>
          <w:ilvl w:val="2"/>
          <w:numId w:val="33"/>
        </w:numPr>
        <w:autoSpaceDE w:val="0"/>
        <w:autoSpaceDN w:val="0"/>
        <w:adjustRightInd w:val="0"/>
        <w:snapToGrid w:val="0"/>
        <w:spacing w:line="360" w:lineRule="auto"/>
        <w:rPr>
          <w:rFonts w:ascii="宋体" w:hAnsi="宋体"/>
          <w:sz w:val="24"/>
        </w:rPr>
      </w:pPr>
      <w:r>
        <w:rPr>
          <w:rFonts w:ascii="宋体" w:hAnsi="宋体" w:hint="eastAsia"/>
          <w:sz w:val="24"/>
        </w:rPr>
        <w:t>联合体中有同类资质的供应商按照联合体分工承担相同工作的，应当按照资质等级较低的供应商确定资质等级。</w:t>
      </w:r>
    </w:p>
    <w:p>
      <w:pPr>
        <w:numPr>
          <w:ilvl w:val="1"/>
          <w:numId w:val="33"/>
        </w:numPr>
        <w:autoSpaceDE w:val="0"/>
        <w:autoSpaceDN w:val="0"/>
        <w:adjustRightInd w:val="0"/>
        <w:snapToGrid w:val="0"/>
        <w:spacing w:line="360" w:lineRule="auto"/>
        <w:rPr>
          <w:rFonts w:ascii="宋体" w:hAnsi="宋体"/>
          <w:sz w:val="24"/>
        </w:rPr>
      </w:pPr>
      <w:r>
        <w:rPr>
          <w:rFonts w:ascii="宋体" w:hAnsi="宋体"/>
          <w:sz w:val="24"/>
        </w:rPr>
        <w:t>联合体中标的，联合体各方应当共同与</w:t>
      </w:r>
      <w:r>
        <w:rPr>
          <w:rFonts w:ascii="宋体" w:hAnsi="宋体" w:hint="eastAsia"/>
          <w:sz w:val="24"/>
        </w:rPr>
        <w:t>采购</w:t>
      </w:r>
      <w:r>
        <w:rPr>
          <w:rFonts w:ascii="宋体" w:hAnsi="宋体"/>
          <w:sz w:val="24"/>
        </w:rPr>
        <w:t>人签订合同。</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证明投标人合格和资格的文件</w:t>
      </w:r>
    </w:p>
    <w:p>
      <w:pPr>
        <w:numPr>
          <w:ilvl w:val="1"/>
          <w:numId w:val="34"/>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投标人应提交证明其有资格参加投标和中标后有能力履行合同的文件</w:t>
      </w:r>
      <w:r>
        <w:rPr>
          <w:rFonts w:ascii="宋体" w:hAnsi="宋体" w:cs="宋体" w:hint="eastAsia"/>
          <w:sz w:val="24"/>
        </w:rPr>
        <w:t>，</w:t>
      </w:r>
      <w:r>
        <w:rPr>
          <w:rFonts w:ascii="宋体" w:hAnsi="宋体" w:cs="宋体" w:hint="eastAsia"/>
          <w:sz w:val="24"/>
          <w:lang w:eastAsia="zh-TW"/>
        </w:rPr>
        <w:t>并作为其投标文件的一部分。如果投标人为联合体</w:t>
      </w:r>
      <w:r>
        <w:rPr>
          <w:rFonts w:ascii="宋体" w:hAnsi="宋体" w:cs="宋体" w:hint="eastAsia"/>
          <w:sz w:val="24"/>
        </w:rPr>
        <w:t>，</w:t>
      </w:r>
      <w:r>
        <w:rPr>
          <w:rFonts w:ascii="宋体" w:hAnsi="宋体" w:cs="宋体" w:hint="eastAsia"/>
          <w:sz w:val="24"/>
          <w:lang w:eastAsia="zh-TW"/>
        </w:rPr>
        <w:t>应提交联合体各方的资格证明文件、联合投标协议并注明主</w:t>
      </w:r>
      <w:r>
        <w:rPr>
          <w:rFonts w:ascii="宋体" w:hAnsi="宋体" w:cs="宋体" w:hint="eastAsia"/>
          <w:sz w:val="24"/>
        </w:rPr>
        <w:t>体方及各方拟承担的工作和责任。</w:t>
      </w:r>
      <w:r>
        <w:rPr>
          <w:rFonts w:ascii="宋体" w:hAnsi="宋体" w:cs="宋体" w:hint="eastAsia"/>
          <w:sz w:val="24"/>
          <w:lang w:eastAsia="zh-TW"/>
        </w:rPr>
        <w:t>否则</w:t>
      </w:r>
      <w:r>
        <w:rPr>
          <w:rFonts w:ascii="宋体" w:hAnsi="宋体" w:cs="宋体" w:hint="eastAsia"/>
          <w:sz w:val="24"/>
        </w:rPr>
        <w:t>，</w:t>
      </w:r>
      <w:r>
        <w:rPr>
          <w:rFonts w:ascii="宋体" w:hAnsi="宋体" w:cs="宋体" w:hint="eastAsia"/>
          <w:sz w:val="24"/>
          <w:lang w:eastAsia="zh-TW"/>
        </w:rPr>
        <w:t>将导致其</w:t>
      </w:r>
      <w:r>
        <w:rPr>
          <w:rFonts w:ascii="宋体" w:hAnsi="宋体" w:cs="宋体" w:hint="eastAsia"/>
          <w:b/>
          <w:sz w:val="24"/>
          <w:lang w:eastAsia="zh-TW"/>
        </w:rPr>
        <w:t>投标</w:t>
      </w:r>
      <w:r>
        <w:rPr>
          <w:rFonts w:ascii="宋体" w:hAnsi="宋体" w:cs="宋体" w:hint="eastAsia"/>
          <w:b/>
          <w:sz w:val="24"/>
        </w:rPr>
        <w:t>无效</w:t>
      </w:r>
      <w:r>
        <w:rPr>
          <w:rFonts w:ascii="宋体" w:hAnsi="宋体" w:cs="宋体" w:hint="eastAsia"/>
          <w:sz w:val="24"/>
        </w:rPr>
        <w:t>。</w:t>
      </w:r>
    </w:p>
    <w:p>
      <w:pPr>
        <w:numPr>
          <w:ilvl w:val="1"/>
          <w:numId w:val="34"/>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投标人提交的资格证明文件应证明其</w:t>
      </w:r>
      <w:r>
        <w:rPr>
          <w:rFonts w:ascii="宋体" w:hAnsi="宋体" w:cs="宋体" w:hint="eastAsia"/>
          <w:sz w:val="24"/>
        </w:rPr>
        <w:t>满足</w:t>
      </w:r>
      <w:r>
        <w:rPr>
          <w:rFonts w:ascii="宋体" w:hint="eastAsia"/>
          <w:bCs/>
          <w:sz w:val="24"/>
        </w:rPr>
        <w:t>投标人的资格要求</w:t>
      </w:r>
      <w:r>
        <w:rPr>
          <w:rFonts w:ascii="宋体" w:hAnsi="宋体" w:cs="宋体" w:hint="eastAsia"/>
          <w:sz w:val="24"/>
          <w:lang w:eastAsia="zh-TW"/>
        </w:rPr>
        <w:t>。</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b/>
          <w:bCs/>
          <w:sz w:val="24"/>
        </w:rPr>
        <w:t>证明投标标的的合格性和符合招标文件规定的文件</w:t>
      </w:r>
    </w:p>
    <w:p>
      <w:pPr>
        <w:numPr>
          <w:ilvl w:val="1"/>
          <w:numId w:val="35"/>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投标人应提交证明文件</w:t>
      </w:r>
      <w:r>
        <w:rPr>
          <w:rFonts w:ascii="宋体" w:hAnsi="宋体" w:cs="宋体" w:hint="eastAsia"/>
          <w:sz w:val="24"/>
        </w:rPr>
        <w:t>，</w:t>
      </w:r>
      <w:r>
        <w:rPr>
          <w:rFonts w:ascii="宋体" w:hAnsi="宋体" w:cs="宋体" w:hint="eastAsia"/>
          <w:sz w:val="24"/>
          <w:lang w:eastAsia="zh-TW"/>
        </w:rPr>
        <w:t>证明其拟</w:t>
      </w:r>
      <w:r>
        <w:rPr>
          <w:rFonts w:ascii="宋体" w:hAnsi="宋体" w:cs="宋体" w:hint="eastAsia"/>
          <w:sz w:val="24"/>
        </w:rPr>
        <w:t>投标</w:t>
      </w:r>
      <w:r>
        <w:rPr>
          <w:rFonts w:ascii="宋体" w:hAnsi="宋体" w:cs="宋体" w:hint="eastAsia"/>
          <w:sz w:val="24"/>
          <w:lang w:eastAsia="zh-TW"/>
        </w:rPr>
        <w:t>的货物和服务的合格性符合招标文件规定。该证明文件作为投标文件的一部分。</w:t>
      </w:r>
    </w:p>
    <w:p>
      <w:pPr>
        <w:numPr>
          <w:ilvl w:val="1"/>
          <w:numId w:val="35"/>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货物和服务合格性的证明文件应包括投标分项报价表中对货物和服务原产地的说明。</w:t>
      </w:r>
    </w:p>
    <w:p>
      <w:pPr>
        <w:numPr>
          <w:ilvl w:val="1"/>
          <w:numId w:val="35"/>
        </w:numPr>
        <w:autoSpaceDE w:val="0"/>
        <w:autoSpaceDN w:val="0"/>
        <w:adjustRightInd w:val="0"/>
        <w:snapToGrid w:val="0"/>
        <w:spacing w:line="360" w:lineRule="auto"/>
        <w:rPr>
          <w:rFonts w:ascii="宋体" w:hAnsi="宋体"/>
          <w:strike/>
          <w:sz w:val="24"/>
        </w:rPr>
      </w:pPr>
      <w:r>
        <w:rPr>
          <w:rFonts w:ascii="宋体" w:hAnsi="宋体" w:cs="宋体" w:hint="eastAsia"/>
          <w:sz w:val="24"/>
          <w:lang w:eastAsia="zh-TW"/>
        </w:rPr>
        <w:t>证明货物和服务与招标文件的要求相一致的文件，可以是文字资料、图纸和数据</w:t>
      </w:r>
      <w:r>
        <w:rPr>
          <w:rFonts w:ascii="宋体" w:hAnsi="宋体" w:cs="宋体" w:hint="eastAsia"/>
          <w:sz w:val="24"/>
        </w:rPr>
        <w:t>。</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投标有效期</w:t>
      </w:r>
    </w:p>
    <w:p>
      <w:pPr>
        <w:numPr>
          <w:ilvl w:val="1"/>
          <w:numId w:val="36"/>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投标应自</w:t>
      </w:r>
      <w:r>
        <w:rPr>
          <w:rFonts w:ascii="宋体" w:hAnsi="宋体" w:cs="宋体" w:hint="eastAsia"/>
          <w:b/>
          <w:sz w:val="24"/>
          <w:lang w:eastAsia="zh-TW"/>
        </w:rPr>
        <w:t>投标人须知前附表</w:t>
      </w:r>
      <w:r>
        <w:rPr>
          <w:rFonts w:ascii="宋体" w:hAnsi="宋体" w:cs="宋体" w:hint="eastAsia"/>
          <w:sz w:val="24"/>
          <w:lang w:eastAsia="zh-TW"/>
        </w:rPr>
        <w:t>中规定的投标有效期从提交投标文件的截止之日起算，并</w:t>
      </w:r>
      <w:r>
        <w:rPr>
          <w:rFonts w:ascii="宋体" w:hAnsi="宋体" w:cs="宋体" w:hint="eastAsia"/>
          <w:sz w:val="24"/>
        </w:rPr>
        <w:t>与</w:t>
      </w:r>
      <w:r>
        <w:rPr>
          <w:rFonts w:ascii="宋体" w:hAnsi="宋体" w:cs="宋体" w:hint="eastAsia"/>
          <w:b/>
          <w:sz w:val="24"/>
          <w:lang w:eastAsia="zh-TW"/>
        </w:rPr>
        <w:t>投标人须知前附表</w:t>
      </w:r>
      <w:r>
        <w:rPr>
          <w:rFonts w:ascii="宋体" w:hAnsi="宋体" w:cs="宋体" w:hint="eastAsia"/>
          <w:sz w:val="24"/>
          <w:lang w:eastAsia="zh-TW"/>
        </w:rPr>
        <w:t>中所述期限内保持有效。</w:t>
      </w:r>
    </w:p>
    <w:p>
      <w:pPr>
        <w:numPr>
          <w:ilvl w:val="1"/>
          <w:numId w:val="36"/>
        </w:numPr>
        <w:autoSpaceDE w:val="0"/>
        <w:autoSpaceDN w:val="0"/>
        <w:adjustRightInd w:val="0"/>
        <w:snapToGrid w:val="0"/>
        <w:spacing w:line="360" w:lineRule="auto"/>
        <w:rPr>
          <w:rFonts w:ascii="宋体" w:hAnsi="宋体"/>
          <w:strike/>
          <w:sz w:val="24"/>
        </w:rPr>
      </w:pPr>
      <w:r>
        <w:rPr>
          <w:rFonts w:ascii="宋体" w:hAnsi="宋体" w:cs="宋体" w:hint="eastAsia"/>
          <w:sz w:val="24"/>
          <w:lang w:eastAsia="zh-TW"/>
        </w:rPr>
        <w:t>特殊情况下</w:t>
      </w:r>
      <w:r>
        <w:rPr>
          <w:rFonts w:ascii="宋体" w:hAnsi="宋体" w:cs="宋体" w:hint="eastAsia"/>
          <w:sz w:val="24"/>
        </w:rPr>
        <w:t>，</w:t>
      </w:r>
      <w:r>
        <w:rPr>
          <w:rFonts w:ascii="宋体" w:hAnsi="宋体" w:cs="宋体" w:hint="eastAsia"/>
          <w:sz w:val="24"/>
          <w:lang w:eastAsia="zh-TW"/>
        </w:rPr>
        <w:t>在原投标有效期截止之前</w:t>
      </w:r>
      <w:r>
        <w:rPr>
          <w:rFonts w:ascii="宋体" w:hAnsi="宋体" w:cs="宋体" w:hint="eastAsia"/>
          <w:sz w:val="24"/>
        </w:rPr>
        <w:t>，</w:t>
      </w:r>
      <w:r>
        <w:rPr>
          <w:rFonts w:ascii="宋体" w:hAnsi="宋体" w:cs="宋体" w:hint="eastAsia"/>
          <w:sz w:val="24"/>
          <w:lang w:eastAsia="zh-TW"/>
        </w:rPr>
        <w:t>采购代理机构可要求投标人延长投标有效期。这种要求与答复均应以书面形式提交。</w:t>
      </w:r>
    </w:p>
    <w:p>
      <w:pPr>
        <w:spacing w:line="400" w:lineRule="exact"/>
        <w:ind w:firstLine="420" w:firstLineChars="200"/>
        <w:jc w:val="center"/>
        <w:rPr>
          <w:b/>
          <w:color w:val="FF0000"/>
          <w:sz w:val="24"/>
        </w:rPr>
      </w:pP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12" w:name="_Toc187"/>
      <w:bookmarkStart w:id="113" w:name="_Toc256000017"/>
      <w:r>
        <w:rPr>
          <w:rFonts w:ascii="宋体" w:hAnsi="宋体" w:hint="eastAsia"/>
          <w:b/>
          <w:sz w:val="28"/>
          <w:szCs w:val="28"/>
          <w:lang w:eastAsia="zh-TW"/>
        </w:rPr>
        <w:t>投标文件的递交</w:t>
      </w:r>
      <w:bookmarkEnd w:id="113"/>
      <w:bookmarkEnd w:id="112"/>
    </w:p>
    <w:p>
      <w:pPr>
        <w:numPr>
          <w:ilvl w:val="0"/>
          <w:numId w:val="37"/>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 xml:space="preserve">投标文件递交 </w:t>
      </w:r>
    </w:p>
    <w:p>
      <w:pPr>
        <w:numPr>
          <w:ilvl w:val="1"/>
          <w:numId w:val="38"/>
        </w:numPr>
        <w:autoSpaceDE w:val="0"/>
        <w:autoSpaceDN w:val="0"/>
        <w:adjustRightInd w:val="0"/>
        <w:snapToGrid w:val="0"/>
        <w:spacing w:line="360" w:lineRule="auto"/>
        <w:rPr>
          <w:sz w:val="24"/>
        </w:rPr>
      </w:pPr>
      <w:r>
        <w:rPr>
          <w:rFonts w:hint="eastAsia"/>
          <w:sz w:val="24"/>
        </w:rPr>
        <w:t>实行网上投标，</w:t>
      </w:r>
      <w:r>
        <w:rPr>
          <w:sz w:val="24"/>
        </w:rPr>
        <w:t>投标人必须</w:t>
      </w:r>
      <w:r>
        <w:rPr>
          <w:rFonts w:hint="eastAsia"/>
          <w:sz w:val="24"/>
        </w:rPr>
        <w:t>在招标</w:t>
      </w:r>
      <w:r>
        <w:rPr>
          <w:sz w:val="24"/>
        </w:rPr>
        <w:t>文件规定的投标截止时间前</w:t>
      </w:r>
      <w:r>
        <w:rPr>
          <w:rFonts w:hint="eastAsia"/>
          <w:sz w:val="24"/>
        </w:rPr>
        <w:t>用电子密钥登录“深圳政府采购智慧平台用户网上办事子系统（http://zfcg.szggzy.com/TPBidder/memberLogin）”，用“【我的项目】→【项目流程】→【递交投标(应答)文件】”功能点上传投标文件。如果确有困难，多次上传均告失败，请在投标截止时间之前携带加密后的电子投标文件送达至深圳公共资源交易中心（深圳交易集团有限公司政府采购业务分公司）3楼304室（地址：深圳市福田区景田路70号雅枫国际酒店北侧交易集团评审区三楼），联系方式：83948100，83938584，83938599。</w:t>
      </w:r>
    </w:p>
    <w:p>
      <w:pPr>
        <w:numPr>
          <w:ilvl w:val="1"/>
          <w:numId w:val="38"/>
        </w:numPr>
        <w:autoSpaceDE w:val="0"/>
        <w:autoSpaceDN w:val="0"/>
        <w:adjustRightInd w:val="0"/>
        <w:snapToGrid w:val="0"/>
        <w:spacing w:line="360" w:lineRule="auto"/>
        <w:rPr>
          <w:sz w:val="24"/>
        </w:rPr>
      </w:pPr>
      <w:r>
        <w:rPr>
          <w:rFonts w:hint="eastAsia"/>
          <w:sz w:val="24"/>
        </w:rPr>
        <w:t>采购代理机构可以按本须知第二点（二）招标文件的澄清或修改的规定，通过修改招标文件自行决定酌情延长投标截止期。在此情况下，采购代理机构、采购人和投标人受投标截止期制约的所有权利和义务均应延长至新的截止期。</w:t>
      </w:r>
    </w:p>
    <w:p>
      <w:pPr>
        <w:numPr>
          <w:ilvl w:val="1"/>
          <w:numId w:val="38"/>
        </w:numPr>
        <w:autoSpaceDE w:val="0"/>
        <w:autoSpaceDN w:val="0"/>
        <w:adjustRightInd w:val="0"/>
        <w:snapToGrid w:val="0"/>
        <w:spacing w:line="360" w:lineRule="auto"/>
        <w:rPr>
          <w:sz w:val="24"/>
        </w:rPr>
      </w:pPr>
      <w:r>
        <w:rPr>
          <w:rFonts w:hint="eastAsia"/>
          <w:sz w:val="24"/>
        </w:rPr>
        <w:t>投标截止时间以后不得上传投标文件。</w:t>
      </w:r>
    </w:p>
    <w:p>
      <w:pPr>
        <w:numPr>
          <w:ilvl w:val="1"/>
          <w:numId w:val="38"/>
        </w:numPr>
        <w:autoSpaceDE w:val="0"/>
        <w:autoSpaceDN w:val="0"/>
        <w:adjustRightInd w:val="0"/>
        <w:snapToGrid w:val="0"/>
        <w:spacing w:line="360" w:lineRule="auto"/>
        <w:rPr>
          <w:sz w:val="24"/>
        </w:rPr>
      </w:pPr>
      <w:r>
        <w:rPr>
          <w:rFonts w:hint="eastAsia"/>
          <w:b/>
          <w:bCs/>
          <w:sz w:val="24"/>
        </w:rPr>
        <w:t>投标人须在开标当日的开标时间至解密截止时间内进行解密，逾期未解密的作无效处理。</w:t>
      </w:r>
      <w:r>
        <w:rPr>
          <w:rFonts w:hint="eastAsia"/>
          <w:sz w:val="24"/>
        </w:rPr>
        <w:t>解密方法：登录“深圳政府采购智慧平台用户网上办事子系统（http://zfcg.szggzy.com/TPBidder/memberLogin）”，使用本单位制作电子投标文件同一个电子密钥，在“【我的项目】→【项目流程】→【开标及解密】”进行在线解密、查询开标情况。</w:t>
      </w:r>
    </w:p>
    <w:p>
      <w:pPr>
        <w:numPr>
          <w:ilvl w:val="1"/>
          <w:numId w:val="38"/>
        </w:numPr>
        <w:autoSpaceDE w:val="0"/>
        <w:autoSpaceDN w:val="0"/>
        <w:adjustRightInd w:val="0"/>
        <w:snapToGrid w:val="0"/>
        <w:spacing w:line="360" w:lineRule="auto"/>
        <w:rPr>
          <w:sz w:val="24"/>
        </w:rPr>
      </w:pPr>
      <w:r>
        <w:rPr>
          <w:sz w:val="24"/>
        </w:rPr>
        <w:t>投标文件的修改和撤销</w:t>
      </w:r>
    </w:p>
    <w:p>
      <w:pPr>
        <w:pStyle w:val="ListParagraph"/>
        <w:widowControl/>
        <w:numPr>
          <w:ilvl w:val="0"/>
          <w:numId w:val="39"/>
        </w:numPr>
        <w:adjustRightInd w:val="0"/>
        <w:snapToGrid w:val="0"/>
        <w:spacing w:line="360" w:lineRule="auto"/>
        <w:ind w:hanging="698" w:firstLineChars="0"/>
        <w:jc w:val="left"/>
        <w:rPr>
          <w:rFonts w:ascii="宋体" w:hAnsi="宋体"/>
          <w:sz w:val="24"/>
        </w:rPr>
      </w:pPr>
      <w:r>
        <w:rPr>
          <w:rFonts w:ascii="宋体" w:hAnsi="宋体" w:hint="eastAsia"/>
          <w:sz w:val="24"/>
        </w:rPr>
        <w:t>投标人</w:t>
      </w:r>
      <w:r>
        <w:rPr>
          <w:rFonts w:ascii="宋体" w:hAnsi="宋体"/>
          <w:sz w:val="24"/>
        </w:rPr>
        <w:t>在提交投标文件后可对其投标文件进行修改</w:t>
      </w:r>
      <w:r>
        <w:rPr>
          <w:rFonts w:ascii="宋体" w:hAnsi="宋体" w:hint="eastAsia"/>
          <w:sz w:val="24"/>
        </w:rPr>
        <w:t>并重新上传投标文件</w:t>
      </w:r>
      <w:r>
        <w:rPr>
          <w:rFonts w:ascii="宋体" w:hAnsi="宋体"/>
          <w:sz w:val="24"/>
        </w:rPr>
        <w:t>或</w:t>
      </w:r>
      <w:r>
        <w:rPr>
          <w:rFonts w:ascii="宋体" w:hAnsi="宋体" w:hint="eastAsia"/>
          <w:sz w:val="24"/>
        </w:rPr>
        <w:t>在网上进行</w:t>
      </w:r>
      <w:r>
        <w:rPr>
          <w:rFonts w:ascii="宋体" w:hAnsi="宋体"/>
          <w:sz w:val="24"/>
        </w:rPr>
        <w:t>撤销</w:t>
      </w:r>
      <w:r>
        <w:rPr>
          <w:rFonts w:ascii="宋体" w:hAnsi="宋体" w:hint="eastAsia"/>
          <w:sz w:val="24"/>
        </w:rPr>
        <w:t>投标的操作</w:t>
      </w:r>
      <w:r>
        <w:rPr>
          <w:rFonts w:ascii="宋体" w:hAnsi="宋体"/>
          <w:sz w:val="24"/>
        </w:rPr>
        <w:t>。</w:t>
      </w:r>
    </w:p>
    <w:p>
      <w:pPr>
        <w:pStyle w:val="ListParagraph"/>
        <w:widowControl/>
        <w:numPr>
          <w:ilvl w:val="0"/>
          <w:numId w:val="39"/>
        </w:numPr>
        <w:adjustRightInd w:val="0"/>
        <w:snapToGrid w:val="0"/>
        <w:spacing w:line="360" w:lineRule="auto"/>
        <w:ind w:hanging="698" w:firstLineChars="0"/>
        <w:jc w:val="left"/>
        <w:rPr>
          <w:rFonts w:ascii="宋体" w:hAnsi="宋体"/>
          <w:sz w:val="24"/>
        </w:rPr>
      </w:pPr>
      <w:r>
        <w:rPr>
          <w:rFonts w:ascii="宋体" w:hAnsi="宋体"/>
          <w:sz w:val="24"/>
        </w:rPr>
        <w:t>投标截止时间以后不得修改投标文件。</w:t>
      </w:r>
    </w:p>
    <w:p>
      <w:pPr>
        <w:pStyle w:val="ListParagraph"/>
        <w:widowControl/>
        <w:numPr>
          <w:ilvl w:val="0"/>
          <w:numId w:val="39"/>
        </w:numPr>
        <w:adjustRightInd w:val="0"/>
        <w:snapToGrid w:val="0"/>
        <w:spacing w:line="360" w:lineRule="auto"/>
        <w:ind w:hanging="698" w:firstLineChars="0"/>
        <w:jc w:val="left"/>
        <w:rPr>
          <w:rFonts w:ascii="宋体" w:hAnsi="宋体"/>
          <w:sz w:val="24"/>
        </w:rPr>
      </w:pPr>
      <w:r>
        <w:rPr>
          <w:rFonts w:ascii="宋体" w:hAnsi="宋体" w:hint="eastAsia"/>
          <w:sz w:val="24"/>
        </w:rPr>
        <w:t>从投标截止期至投标人在投标文件中确定的投标有效期之间的这段时间内，投标人不得撤回其投标。</w:t>
      </w:r>
    </w:p>
    <w:p>
      <w:pPr>
        <w:pStyle w:val="ListParagraph"/>
        <w:widowControl/>
        <w:numPr>
          <w:ilvl w:val="0"/>
          <w:numId w:val="39"/>
        </w:numPr>
        <w:adjustRightInd w:val="0"/>
        <w:snapToGrid w:val="0"/>
        <w:spacing w:line="360" w:lineRule="auto"/>
        <w:ind w:hanging="698" w:firstLineChars="0"/>
        <w:jc w:val="left"/>
        <w:rPr>
          <w:rFonts w:ascii="宋体" w:hAnsi="宋体"/>
          <w:sz w:val="24"/>
        </w:rPr>
      </w:pPr>
      <w:r>
        <w:rPr>
          <w:rFonts w:ascii="宋体" w:hAnsi="宋体" w:hint="eastAsia"/>
          <w:sz w:val="24"/>
        </w:rPr>
        <w:t>采购代理机构不退还投标文件，专用条款另有规定的除外。</w:t>
      </w:r>
    </w:p>
    <w:p>
      <w:pPr>
        <w:numPr>
          <w:ilvl w:val="1"/>
          <w:numId w:val="38"/>
        </w:numPr>
        <w:autoSpaceDE w:val="0"/>
        <w:autoSpaceDN w:val="0"/>
        <w:adjustRightInd w:val="0"/>
        <w:snapToGrid w:val="0"/>
        <w:spacing w:line="360" w:lineRule="auto"/>
        <w:rPr>
          <w:rFonts w:ascii="宋体" w:hAnsi="宋体"/>
          <w:b/>
          <w:bCs/>
          <w:sz w:val="24"/>
        </w:rPr>
      </w:pPr>
      <w:r>
        <w:rPr>
          <w:rFonts w:hint="eastAsia"/>
          <w:sz w:val="24"/>
        </w:rPr>
        <w:t>投标截止时投标人不足三家，或有效投标少于三家采购代理机构有权宣布此次招标无效，重新招标或采用其它方式采购。</w:t>
      </w:r>
    </w:p>
    <w:p>
      <w:pPr>
        <w:numPr>
          <w:ilvl w:val="0"/>
          <w:numId w:val="37"/>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投标文件的修改和撤回、撤销</w:t>
      </w:r>
    </w:p>
    <w:p>
      <w:pPr>
        <w:numPr>
          <w:ilvl w:val="1"/>
          <w:numId w:val="40"/>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投标人在投标截止时间前，可以对所递交的投标文件进行补充、修改或者撤回。在投标截止时间之后，投标人不得对其投标文件做任何修改和补充。</w:t>
      </w:r>
    </w:p>
    <w:p>
      <w:pPr>
        <w:numPr>
          <w:ilvl w:val="1"/>
          <w:numId w:val="40"/>
        </w:numPr>
        <w:autoSpaceDE w:val="0"/>
        <w:autoSpaceDN w:val="0"/>
        <w:adjustRightInd w:val="0"/>
        <w:snapToGrid w:val="0"/>
        <w:spacing w:line="360" w:lineRule="auto"/>
        <w:rPr>
          <w:rFonts w:ascii="宋体" w:hAnsi="宋体" w:cs="黑体"/>
          <w:b/>
          <w:bCs/>
          <w:sz w:val="24"/>
        </w:rPr>
      </w:pPr>
      <w:r>
        <w:rPr>
          <w:rFonts w:ascii="宋体" w:hAnsi="宋体" w:hint="eastAsia"/>
          <w:bCs/>
          <w:sz w:val="24"/>
        </w:rPr>
        <w:t>投标人在投标截止后或在招标文件中规定的投标有效期内不可撤销其投标。</w:t>
      </w:r>
    </w:p>
    <w:p>
      <w:pPr>
        <w:numPr>
          <w:ilvl w:val="1"/>
          <w:numId w:val="40"/>
        </w:numPr>
        <w:autoSpaceDE w:val="0"/>
        <w:autoSpaceDN w:val="0"/>
        <w:adjustRightInd w:val="0"/>
        <w:snapToGrid w:val="0"/>
        <w:spacing w:line="360" w:lineRule="auto"/>
        <w:rPr>
          <w:rFonts w:ascii="宋体" w:hAnsi="宋体" w:cs="黑体"/>
          <w:b/>
          <w:bCs/>
          <w:strike/>
          <w:sz w:val="24"/>
        </w:rPr>
      </w:pPr>
      <w:r>
        <w:rPr>
          <w:rFonts w:ascii="宋体" w:hAnsi="宋体" w:hint="eastAsia"/>
          <w:sz w:val="24"/>
        </w:rPr>
        <w:t>投标人所提交的投标文件在本项目投标截止时间后均不予退还。</w:t>
      </w: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14" w:name="_Toc6822"/>
      <w:bookmarkStart w:id="115" w:name="_Toc256000018"/>
      <w:r>
        <w:rPr>
          <w:rFonts w:ascii="宋体" w:hAnsi="宋体" w:hint="eastAsia"/>
          <w:b/>
          <w:sz w:val="28"/>
          <w:szCs w:val="28"/>
          <w:lang w:eastAsia="zh-TW"/>
        </w:rPr>
        <w:t>开标、评标、定标与合同签订</w:t>
      </w:r>
      <w:bookmarkEnd w:id="115"/>
      <w:bookmarkEnd w:id="114"/>
    </w:p>
    <w:p>
      <w:pPr>
        <w:numPr>
          <w:ilvl w:val="0"/>
          <w:numId w:val="41"/>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开标</w:t>
      </w:r>
    </w:p>
    <w:p>
      <w:pPr>
        <w:pStyle w:val="1"/>
        <w:widowControl/>
        <w:numPr>
          <w:ilvl w:val="1"/>
          <w:numId w:val="41"/>
        </w:numPr>
        <w:spacing w:line="360" w:lineRule="auto"/>
        <w:ind w:firstLine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pPr>
        <w:pStyle w:val="1"/>
        <w:widowControl/>
        <w:numPr>
          <w:ilvl w:val="1"/>
          <w:numId w:val="41"/>
        </w:numPr>
        <w:spacing w:line="360" w:lineRule="auto"/>
        <w:ind w:firstLineChars="0"/>
        <w:jc w:val="left"/>
        <w:rPr>
          <w:rFonts w:asciiTheme="minorEastAsia" w:eastAsiaTheme="minorEastAsia" w:hAnsiTheme="minorEastAsia" w:cstheme="minorEastAsia"/>
          <w:sz w:val="24"/>
          <w:lang w:eastAsia="zh-TW"/>
        </w:rPr>
      </w:pPr>
      <w:r>
        <w:rPr>
          <w:rFonts w:asciiTheme="minorEastAsia" w:eastAsiaTheme="minorEastAsia" w:hAnsiTheme="minorEastAsia" w:cstheme="minorEastAsia" w:hint="eastAsia"/>
          <w:sz w:val="24"/>
        </w:rPr>
        <w:t>采购代理机构将在满足开标条件（①解密时间结束，解密后的投标供应商数量满足开标要求或②解密时间结束前所有投标供应商均完成投标文件解密）后，对投标文件进行开标，并在网上公布开标结果。</w:t>
      </w:r>
    </w:p>
    <w:p>
      <w:pPr>
        <w:pStyle w:val="1"/>
        <w:widowControl/>
        <w:numPr>
          <w:ilvl w:val="1"/>
          <w:numId w:val="41"/>
        </w:numPr>
        <w:spacing w:line="360" w:lineRule="auto"/>
        <w:ind w:firstLineChars="0"/>
        <w:jc w:val="left"/>
        <w:rPr>
          <w:rFonts w:asciiTheme="minorEastAsia" w:eastAsiaTheme="minorEastAsia" w:hAnsiTheme="minorEastAsia" w:cstheme="minorEastAsia"/>
          <w:sz w:val="24"/>
          <w:lang w:eastAsia="zh-TW"/>
        </w:rPr>
      </w:pPr>
      <w:r>
        <w:rPr>
          <w:rFonts w:asciiTheme="minorEastAsia" w:eastAsiaTheme="minorEastAsia" w:hAnsiTheme="minorEastAsia" w:cstheme="minorEastAsia" w:hint="eastAsia"/>
          <w:sz w:val="24"/>
          <w:lang w:eastAsia="zh-TW"/>
        </w:rPr>
        <w:t>投标人不足3家的，不得开标。</w:t>
      </w:r>
      <w:r>
        <w:rPr>
          <w:rFonts w:asciiTheme="minorEastAsia" w:eastAsiaTheme="minorEastAsia" w:hAnsiTheme="minorEastAsia" w:cstheme="minorEastAsia"/>
          <w:sz w:val="24"/>
        </w:rPr>
        <w:t xml:space="preserve"> </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评标：</w:t>
      </w:r>
    </w:p>
    <w:p>
      <w:pPr>
        <w:pStyle w:val="ListParagraph"/>
        <w:widowControl/>
        <w:numPr>
          <w:ilvl w:val="0"/>
          <w:numId w:val="42"/>
        </w:numPr>
        <w:adjustRightInd w:val="0"/>
        <w:snapToGrid w:val="0"/>
        <w:spacing w:line="360" w:lineRule="auto"/>
        <w:ind w:left="426" w:hanging="426" w:firstLineChars="0"/>
        <w:jc w:val="left"/>
        <w:rPr>
          <w:rFonts w:ascii="宋体" w:hAnsi="宋体"/>
          <w:b/>
          <w:bCs/>
          <w:sz w:val="24"/>
        </w:rPr>
      </w:pPr>
      <w:r>
        <w:rPr>
          <w:rFonts w:ascii="宋体" w:hAnsi="宋体" w:hint="eastAsia"/>
          <w:b/>
          <w:bCs/>
          <w:sz w:val="24"/>
        </w:rPr>
        <w:t>评审委员会组成及职责</w:t>
      </w:r>
    </w:p>
    <w:p>
      <w:pPr>
        <w:pStyle w:val="ListParagraph"/>
        <w:widowControl/>
        <w:numPr>
          <w:ilvl w:val="0"/>
          <w:numId w:val="43"/>
        </w:numPr>
        <w:adjustRightInd w:val="0"/>
        <w:snapToGrid w:val="0"/>
        <w:spacing w:line="360" w:lineRule="auto"/>
        <w:ind w:left="426" w:firstLineChars="0"/>
        <w:jc w:val="left"/>
        <w:rPr>
          <w:rFonts w:ascii="宋体" w:hAnsi="宋体" w:cs="宋体"/>
          <w:sz w:val="24"/>
          <w:lang w:eastAsia="zh-TW"/>
        </w:rPr>
      </w:pPr>
      <w:r>
        <w:rPr>
          <w:rFonts w:ascii="宋体" w:hAnsi="宋体" w:cs="宋体" w:hint="eastAsia"/>
          <w:sz w:val="24"/>
        </w:rPr>
        <w:t>本次招标</w:t>
      </w:r>
      <w:r>
        <w:rPr>
          <w:rFonts w:ascii="宋体" w:hAnsi="宋体" w:cs="宋体" w:hint="eastAsia"/>
          <w:sz w:val="24"/>
          <w:lang w:eastAsia="zh-TW"/>
        </w:rPr>
        <w:t>依法组建评审委员会，评审委员会成员人数</w:t>
      </w:r>
      <w:r>
        <w:rPr>
          <w:rFonts w:ascii="宋体" w:hAnsi="宋体" w:cs="宋体" w:hint="eastAsia"/>
          <w:b/>
          <w:sz w:val="24"/>
        </w:rPr>
        <w:t>详见投标人须知前附表</w:t>
      </w:r>
      <w:r>
        <w:rPr>
          <w:rFonts w:ascii="宋体" w:hAnsi="宋体" w:cs="宋体" w:hint="eastAsia"/>
          <w:sz w:val="24"/>
          <w:lang w:eastAsia="zh-TW"/>
        </w:rPr>
        <w:t>。</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评审委员会成员名单在评标结果公告前应当保密。评审专家有下列情形之一的，受到邀请应主动提出回避，采购当事人也可以要求该评审专家回避：</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参加采购活动前3年内与供应商存在劳动关系；</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参加采购活动前3年内担任供应商的董事、监事；</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参加采购活动前3年内是供应商的控股股东或者实际控制人；</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与供应商的法定代表人或者负责人有夫妻、直系血亲、三代以内旁系血亲或者近姻亲关系；</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与供应商有其他可能影响政府采购活动公平、公正进行的关系。</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评审委员会成员和参与评标的有关工作人员不得透露对投标文件的评审和比较、中标候选人的推荐情况以及与评标有关的其他情况。</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评审委员会负责具体评标事务，并独立履行下列职责：</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审查、评价投标文件是否符合招标文件的商务、技术等实质性要求；</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要求投标人对投标文件有关事项作出澄清或者说明；</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对投标文件进行比较和评价；</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确定中标候选人名单，以及根据采购人委托直接确定中标人；</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向采购人、采购代理机构或者有关部门报告评标中发现的违法行为。</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对于投标文件中含义不明确、同类问题表述不一致或者有明显文字和计算错误的内容，评审委员会应当以书面形式要求投标人作出必要的澄清、说明或者补正。</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评审委员会决定投标的响应性只根据投标文件中提供的材料内容，而不依据外部的材料证据。</w:t>
      </w:r>
    </w:p>
    <w:p>
      <w:pPr>
        <w:pStyle w:val="ListParagraph"/>
        <w:widowControl/>
        <w:numPr>
          <w:ilvl w:val="0"/>
          <w:numId w:val="42"/>
        </w:numPr>
        <w:adjustRightInd w:val="0"/>
        <w:snapToGrid w:val="0"/>
        <w:spacing w:line="360" w:lineRule="auto"/>
        <w:ind w:left="426" w:hanging="426" w:firstLineChars="0"/>
        <w:jc w:val="left"/>
        <w:rPr>
          <w:rFonts w:ascii="宋体" w:hAnsi="宋体"/>
          <w:b/>
          <w:bCs/>
          <w:sz w:val="24"/>
        </w:rPr>
      </w:pPr>
      <w:r>
        <w:rPr>
          <w:rFonts w:ascii="宋体" w:hAnsi="宋体" w:hint="eastAsia"/>
          <w:b/>
          <w:bCs/>
          <w:sz w:val="24"/>
        </w:rPr>
        <w:t>评标方法</w:t>
      </w:r>
    </w:p>
    <w:p>
      <w:pPr>
        <w:pStyle w:val="ListParagraph"/>
        <w:widowControl/>
        <w:numPr>
          <w:ilvl w:val="0"/>
          <w:numId w:val="46"/>
        </w:numPr>
        <w:adjustRightInd w:val="0"/>
        <w:snapToGrid w:val="0"/>
        <w:spacing w:line="360" w:lineRule="auto"/>
        <w:ind w:left="426" w:hanging="426" w:firstLineChars="0"/>
        <w:jc w:val="left"/>
        <w:rPr>
          <w:rFonts w:ascii="宋体" w:hAnsi="宋体"/>
          <w:sz w:val="24"/>
        </w:rPr>
      </w:pPr>
      <w:r>
        <w:rPr>
          <w:rFonts w:ascii="宋体" w:hAnsi="宋体" w:hint="eastAsia"/>
          <w:sz w:val="24"/>
        </w:rPr>
        <w:t>本项目按照</w:t>
      </w:r>
      <w:r>
        <w:rPr>
          <w:rFonts w:ascii="宋体" w:hAnsi="宋体" w:hint="eastAsia"/>
          <w:b/>
          <w:sz w:val="24"/>
        </w:rPr>
        <w:t>投标人须知前附表</w:t>
      </w:r>
      <w:r>
        <w:rPr>
          <w:rFonts w:ascii="宋体" w:hAnsi="宋体" w:hint="eastAsia"/>
          <w:sz w:val="24"/>
        </w:rPr>
        <w:t>规定的评标方法进行评审。</w:t>
      </w:r>
    </w:p>
    <w:p>
      <w:pPr>
        <w:pStyle w:val="ListParagraph"/>
        <w:widowControl/>
        <w:numPr>
          <w:ilvl w:val="0"/>
          <w:numId w:val="46"/>
        </w:numPr>
        <w:adjustRightInd w:val="0"/>
        <w:snapToGrid w:val="0"/>
        <w:spacing w:line="360" w:lineRule="auto"/>
        <w:ind w:left="426" w:hanging="426" w:firstLineChars="0"/>
        <w:jc w:val="left"/>
        <w:rPr>
          <w:rFonts w:ascii="宋体" w:hAnsi="宋体"/>
          <w:sz w:val="24"/>
        </w:rPr>
      </w:pPr>
      <w:r>
        <w:rPr>
          <w:rFonts w:hAnsi="宋体" w:hint="eastAsia"/>
          <w:sz w:val="24"/>
        </w:rPr>
        <w:t>综合评分法：</w:t>
      </w:r>
    </w:p>
    <w:p>
      <w:pPr>
        <w:pStyle w:val="ListParagraph"/>
        <w:widowControl/>
        <w:numPr>
          <w:ilvl w:val="0"/>
          <w:numId w:val="47"/>
        </w:numPr>
        <w:tabs>
          <w:tab w:val="left" w:pos="567"/>
        </w:tabs>
        <w:adjustRightInd w:val="0"/>
        <w:snapToGrid w:val="0"/>
        <w:spacing w:line="360" w:lineRule="auto"/>
        <w:ind w:left="567" w:hanging="283" w:firstLineChars="0"/>
        <w:jc w:val="left"/>
        <w:rPr>
          <w:rFonts w:ascii="宋体" w:hAnsi="宋体"/>
          <w:bCs/>
          <w:sz w:val="24"/>
        </w:rPr>
      </w:pPr>
      <w:r>
        <w:rPr>
          <w:rFonts w:ascii="宋体" w:hAnsi="宋体" w:hint="eastAsia"/>
          <w:bCs/>
          <w:sz w:val="24"/>
        </w:rPr>
        <w:t>综合评分法，是指投标文件满足招标文件全部实质性要求，且按照评审因素的量化指标评审得分最高的投标人为中标候选人的评标方法。</w:t>
      </w:r>
    </w:p>
    <w:p>
      <w:pPr>
        <w:pStyle w:val="ListParagraph"/>
        <w:widowControl/>
        <w:numPr>
          <w:ilvl w:val="0"/>
          <w:numId w:val="47"/>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评标步骤：</w:t>
      </w:r>
    </w:p>
    <w:p>
      <w:pPr>
        <w:pStyle w:val="ListParagraph"/>
        <w:widowControl/>
        <w:numPr>
          <w:ilvl w:val="0"/>
          <w:numId w:val="48"/>
        </w:numPr>
        <w:tabs>
          <w:tab w:val="left" w:pos="567"/>
        </w:tabs>
        <w:adjustRightInd w:val="0"/>
        <w:snapToGrid w:val="0"/>
        <w:spacing w:line="360" w:lineRule="auto"/>
        <w:ind w:left="567" w:hanging="284" w:firstLineChars="0"/>
        <w:jc w:val="left"/>
        <w:rPr>
          <w:rFonts w:ascii="宋体" w:cs="宋体"/>
          <w:sz w:val="24"/>
        </w:rPr>
      </w:pPr>
      <w:r>
        <w:rPr>
          <w:rFonts w:ascii="宋体" w:hAnsi="宋体" w:hint="eastAsia"/>
          <w:bCs/>
          <w:sz w:val="24"/>
        </w:rPr>
        <w:t>资格性审查：</w:t>
      </w:r>
      <w:r>
        <w:rPr>
          <w:rFonts w:ascii="宋体" w:cs="宋体" w:hint="eastAsia"/>
          <w:sz w:val="24"/>
        </w:rPr>
        <w:t>开标结束后，采购人或者采购代理机构依法对投标人的资格进行审查，详见《资格性审查表》。未通过资格性审查的投标人，不进入符合性审查。</w:t>
      </w:r>
    </w:p>
    <w:p>
      <w:pPr>
        <w:pStyle w:val="ListParagraph"/>
        <w:widowControl/>
        <w:numPr>
          <w:ilvl w:val="0"/>
          <w:numId w:val="48"/>
        </w:numPr>
        <w:tabs>
          <w:tab w:val="left" w:pos="426"/>
          <w:tab w:val="left" w:pos="567"/>
        </w:tabs>
        <w:adjustRightInd w:val="0"/>
        <w:snapToGrid w:val="0"/>
        <w:spacing w:line="360" w:lineRule="auto"/>
        <w:ind w:left="567" w:hanging="284" w:firstLineChars="0"/>
        <w:jc w:val="left"/>
        <w:rPr>
          <w:rFonts w:ascii="宋体" w:cs="宋体"/>
          <w:sz w:val="24"/>
        </w:rPr>
      </w:pPr>
      <w:r>
        <w:rPr>
          <w:rFonts w:ascii="宋体" w:cs="宋体" w:hint="eastAsia"/>
          <w:sz w:val="24"/>
        </w:rPr>
        <w:t>符合性审查：评审委员会应当对通过资格性审查的投标人的投标文件进行符合性审查，详见《符合性审查表》，以确定其是否满足招标文件的实质性要求。未通过符合性审查的投标人，不进入技术、商务和价格评审。</w:t>
      </w:r>
    </w:p>
    <w:p>
      <w:pPr>
        <w:pStyle w:val="ListParagraph"/>
        <w:widowControl/>
        <w:numPr>
          <w:ilvl w:val="0"/>
          <w:numId w:val="48"/>
        </w:numPr>
        <w:tabs>
          <w:tab w:val="left" w:pos="567"/>
        </w:tabs>
        <w:adjustRightInd w:val="0"/>
        <w:snapToGrid w:val="0"/>
        <w:spacing w:line="360" w:lineRule="auto"/>
        <w:ind w:left="567" w:hanging="283" w:firstLineChars="0"/>
        <w:jc w:val="left"/>
        <w:rPr>
          <w:rFonts w:ascii="宋体" w:cs="宋体"/>
          <w:sz w:val="24"/>
        </w:rPr>
      </w:pPr>
      <w:r>
        <w:rPr>
          <w:rFonts w:ascii="宋体" w:cs="宋体" w:hint="eastAsia"/>
          <w:sz w:val="24"/>
        </w:rPr>
        <w:t>详细评审：评审委员会对符合性审查合格的投标文件进行技术、商务评估，综合比较与评价。具体技术、商务、价格部分的评审因素详见《综合评分表》。</w:t>
      </w:r>
    </w:p>
    <w:p>
      <w:pPr>
        <w:pStyle w:val="ListParagraph"/>
        <w:widowControl/>
        <w:numPr>
          <w:ilvl w:val="0"/>
          <w:numId w:val="48"/>
        </w:numPr>
        <w:adjustRightInd w:val="0"/>
        <w:snapToGrid w:val="0"/>
        <w:spacing w:line="360" w:lineRule="auto"/>
        <w:ind w:left="567" w:hanging="283" w:firstLineChars="0"/>
        <w:jc w:val="left"/>
        <w:rPr>
          <w:rFonts w:ascii="宋体" w:hAnsi="宋体"/>
          <w:sz w:val="24"/>
        </w:rPr>
      </w:pPr>
      <w:r>
        <w:rPr>
          <w:rFonts w:ascii="宋体" w:hAnsi="宋体" w:hint="eastAsia"/>
          <w:sz w:val="24"/>
        </w:rPr>
        <w:t>评标过程中，不得去掉报价中的最高报价和最低报价。</w:t>
      </w:r>
    </w:p>
    <w:p>
      <w:pPr>
        <w:pStyle w:val="ListParagraph"/>
        <w:widowControl/>
        <w:numPr>
          <w:ilvl w:val="0"/>
          <w:numId w:val="48"/>
        </w:numPr>
        <w:adjustRightInd w:val="0"/>
        <w:snapToGrid w:val="0"/>
        <w:spacing w:line="360" w:lineRule="auto"/>
        <w:ind w:left="567" w:hanging="283" w:firstLineChars="0"/>
        <w:jc w:val="left"/>
        <w:rPr>
          <w:rFonts w:ascii="宋体" w:hAnsi="宋体"/>
          <w:sz w:val="24"/>
        </w:rPr>
      </w:pPr>
      <w:r>
        <w:rPr>
          <w:rFonts w:ascii="宋体" w:hAnsi="宋体" w:hint="eastAsia"/>
          <w:sz w:val="24"/>
        </w:rPr>
        <w:t>评标时，评审委员会各成员应当独立对每个投标人的投标文件进行评价，并汇总每个投标人的得分。</w:t>
      </w:r>
    </w:p>
    <w:p>
      <w:pPr>
        <w:pStyle w:val="ListParagraph"/>
        <w:widowControl/>
        <w:numPr>
          <w:ilvl w:val="0"/>
          <w:numId w:val="48"/>
        </w:numPr>
        <w:adjustRightInd w:val="0"/>
        <w:snapToGrid w:val="0"/>
        <w:spacing w:line="360" w:lineRule="auto"/>
        <w:ind w:left="567" w:hanging="283" w:firstLineChars="0"/>
        <w:jc w:val="left"/>
        <w:rPr>
          <w:rFonts w:ascii="宋体" w:hAnsi="宋体"/>
          <w:sz w:val="24"/>
        </w:rPr>
      </w:pPr>
      <w:r>
        <w:rPr>
          <w:rFonts w:ascii="宋体" w:hAnsi="宋体" w:hint="eastAsia"/>
          <w:sz w:val="24"/>
        </w:rPr>
        <w:t>综合得分=技术得分+商务得分+价格得分。</w:t>
      </w:r>
    </w:p>
    <w:p>
      <w:pPr>
        <w:pStyle w:val="ListParagraph"/>
        <w:widowControl/>
        <w:numPr>
          <w:ilvl w:val="0"/>
          <w:numId w:val="46"/>
        </w:numPr>
        <w:adjustRightInd w:val="0"/>
        <w:snapToGrid w:val="0"/>
        <w:spacing w:line="360" w:lineRule="auto"/>
        <w:ind w:left="426" w:hanging="426" w:firstLineChars="0"/>
        <w:jc w:val="left"/>
        <w:rPr>
          <w:rFonts w:hAnsi="宋体"/>
          <w:sz w:val="24"/>
        </w:rPr>
      </w:pPr>
      <w:r>
        <w:rPr>
          <w:rFonts w:hAnsi="宋体" w:hint="eastAsia"/>
          <w:sz w:val="24"/>
        </w:rPr>
        <w:t>最低评标价法</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最低评标价法，是指投标文件满足招标文件全部实质性要求，且投标报价最低的投标人为中标候选人的评标方法。</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评标步骤：</w:t>
      </w:r>
    </w:p>
    <w:p>
      <w:pPr>
        <w:pStyle w:val="ListParagraph"/>
        <w:widowControl/>
        <w:numPr>
          <w:ilvl w:val="0"/>
          <w:numId w:val="49"/>
        </w:numPr>
        <w:adjustRightInd w:val="0"/>
        <w:snapToGrid w:val="0"/>
        <w:spacing w:line="360" w:lineRule="auto"/>
        <w:ind w:left="851" w:hanging="425" w:firstLineChars="0"/>
        <w:jc w:val="left"/>
        <w:rPr>
          <w:rFonts w:ascii="宋体" w:hAnsi="宋体" w:cs="宋体"/>
          <w:sz w:val="24"/>
          <w:lang w:eastAsia="zh-TW"/>
        </w:rPr>
      </w:pPr>
      <w:r>
        <w:rPr>
          <w:rFonts w:ascii="宋体" w:hAnsi="宋体" w:cs="宋体" w:hint="eastAsia"/>
          <w:sz w:val="24"/>
          <w:lang w:eastAsia="zh-TW"/>
        </w:rPr>
        <w:t>资格性审查：开标结束后，采购人或者采购代理机构应当依法对投标人的资格进行审查，详见《资格性审查表》。未通过资格性审查的投标人，不进入符合性审查。</w:t>
      </w:r>
    </w:p>
    <w:p>
      <w:pPr>
        <w:pStyle w:val="ListParagraph"/>
        <w:widowControl/>
        <w:numPr>
          <w:ilvl w:val="0"/>
          <w:numId w:val="49"/>
        </w:numPr>
        <w:adjustRightInd w:val="0"/>
        <w:snapToGrid w:val="0"/>
        <w:spacing w:line="360" w:lineRule="auto"/>
        <w:ind w:left="851" w:hanging="425" w:firstLineChars="0"/>
        <w:jc w:val="left"/>
        <w:rPr>
          <w:rFonts w:ascii="宋体" w:hAnsi="宋体" w:cs="宋体"/>
          <w:sz w:val="24"/>
          <w:lang w:eastAsia="zh-TW"/>
        </w:rPr>
      </w:pPr>
      <w:r>
        <w:rPr>
          <w:rFonts w:ascii="宋体" w:hAnsi="宋体" w:cs="宋体" w:hint="eastAsia"/>
          <w:sz w:val="24"/>
          <w:lang w:eastAsia="zh-TW"/>
        </w:rPr>
        <w:t>符合性审查：评审委员会应当对通过资格性审查的投标人的投标文件进行符合性审查，详见《符合性审查表》，以确定其是否满足招标文件的实质性要求。未通过符合性审查的投标人，不进入价格评审。</w:t>
      </w:r>
    </w:p>
    <w:p>
      <w:pPr>
        <w:pStyle w:val="ListParagraph"/>
        <w:widowControl/>
        <w:numPr>
          <w:ilvl w:val="0"/>
          <w:numId w:val="46"/>
        </w:numPr>
        <w:adjustRightInd w:val="0"/>
        <w:snapToGrid w:val="0"/>
        <w:spacing w:line="360" w:lineRule="auto"/>
        <w:ind w:left="426" w:hanging="426" w:firstLineChars="0"/>
        <w:jc w:val="left"/>
        <w:rPr>
          <w:rFonts w:hAnsi="宋体"/>
          <w:sz w:val="24"/>
        </w:rPr>
      </w:pPr>
      <w:r>
        <w:rPr>
          <w:rFonts w:ascii="宋体" w:hAnsi="宋体" w:cs="宋体" w:hint="eastAsia"/>
          <w:sz w:val="24"/>
        </w:rPr>
        <w:t>除非</w:t>
      </w:r>
      <w:r>
        <w:rPr>
          <w:rFonts w:ascii="宋体" w:hAnsi="宋体" w:cs="黑体" w:hint="eastAsia"/>
          <w:b/>
          <w:sz w:val="24"/>
        </w:rPr>
        <w:t>投标人须知前附表</w:t>
      </w:r>
      <w:r>
        <w:rPr>
          <w:rFonts w:ascii="宋体" w:hAnsi="宋体" w:cs="宋体" w:hint="eastAsia"/>
          <w:sz w:val="24"/>
        </w:rPr>
        <w:t>中另有规定，</w:t>
      </w:r>
      <w:r>
        <w:rPr>
          <w:rFonts w:hAnsi="宋体" w:hint="eastAsia"/>
          <w:sz w:val="24"/>
        </w:rPr>
        <w:t>投标文件报价出现前后不一致的，按照下列规定修正：</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投标文件中开标一览表（报价表）内容与投标文件中相应内容不一致的，以开标一览表（报价表）为准；</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大写金额和小写金额不一致的，以大写金额为准；</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单价金额小数点或者百分比有明显错位的，以开标一览表的总价为准，并修改单价；</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总价金额与按单价汇总金额不一致的，以单价金额计算结果为准。</w:t>
      </w:r>
    </w:p>
    <w:p>
      <w:pPr>
        <w:widowControl/>
        <w:adjustRightInd w:val="0"/>
        <w:snapToGrid w:val="0"/>
        <w:spacing w:line="360" w:lineRule="auto"/>
        <w:ind w:firstLine="525" w:firstLineChars="250"/>
        <w:jc w:val="left"/>
        <w:rPr>
          <w:rFonts w:ascii="宋体" w:hAnsi="宋体" w:cs="宋体"/>
          <w:b/>
          <w:sz w:val="24"/>
        </w:rPr>
      </w:pPr>
      <w:r>
        <w:rPr>
          <w:rFonts w:ascii="宋体" w:hAnsi="宋体" w:cs="宋体" w:hint="eastAsia"/>
          <w:sz w:val="24"/>
          <w:lang w:eastAsia="zh-TW"/>
        </w:rPr>
        <w:t>同时出现两种以上不一致的，按照前款规定的顺序修正。修正后的报价按照</w:t>
      </w:r>
      <w:r>
        <w:rPr>
          <w:rFonts w:ascii="宋体" w:hAnsi="宋体" w:cs="宋体" w:hint="eastAsia"/>
          <w:sz w:val="24"/>
        </w:rPr>
        <w:t>本章“</w:t>
      </w:r>
      <w:r>
        <w:rPr>
          <w:rFonts w:ascii="宋体" w:hAnsi="宋体" w:cs="宋体" w:hint="eastAsia"/>
          <w:b/>
          <w:sz w:val="24"/>
        </w:rPr>
        <w:t>评审委员会组成及职责”</w:t>
      </w:r>
      <w:r>
        <w:rPr>
          <w:rFonts w:ascii="宋体" w:hAnsi="宋体" w:cs="宋体" w:hint="eastAsia"/>
          <w:sz w:val="24"/>
        </w:rPr>
        <w:t>第（6）点</w:t>
      </w:r>
      <w:r>
        <w:rPr>
          <w:rFonts w:ascii="宋体" w:hAnsi="宋体" w:cs="宋体" w:hint="eastAsia"/>
          <w:sz w:val="24"/>
          <w:lang w:eastAsia="zh-TW"/>
        </w:rPr>
        <w:t>的规定经投标人确认后产生约束力，投标人不确认的，其</w:t>
      </w:r>
      <w:r>
        <w:rPr>
          <w:rFonts w:ascii="宋体" w:hAnsi="宋体" w:cs="宋体" w:hint="eastAsia"/>
          <w:b/>
          <w:sz w:val="24"/>
          <w:lang w:eastAsia="zh-TW"/>
        </w:rPr>
        <w:t>投标无效</w:t>
      </w:r>
      <w:r>
        <w:rPr>
          <w:rFonts w:ascii="宋体" w:hAnsi="宋体" w:cs="宋体" w:hint="eastAsia"/>
          <w:b/>
          <w:sz w:val="24"/>
        </w:rPr>
        <w:t>。</w:t>
      </w:r>
    </w:p>
    <w:p>
      <w:pPr>
        <w:pStyle w:val="ListParagraph"/>
        <w:widowControl/>
        <w:numPr>
          <w:ilvl w:val="0"/>
          <w:numId w:val="46"/>
        </w:numPr>
        <w:adjustRightInd w:val="0"/>
        <w:snapToGrid w:val="0"/>
        <w:spacing w:line="360" w:lineRule="auto"/>
        <w:ind w:left="709" w:hanging="709" w:firstLineChars="0"/>
        <w:jc w:val="left"/>
        <w:rPr>
          <w:rFonts w:hAnsi="宋体"/>
          <w:sz w:val="24"/>
        </w:rPr>
      </w:pPr>
      <w:r>
        <w:rPr>
          <w:rFonts w:hAnsi="宋体" w:hint="eastAsia"/>
          <w:sz w:val="24"/>
        </w:rPr>
        <w:t>价格评审：除了算术修正和落实政府采购政策需进行的价格扣除外，不能对投标人的投标价格进行任何调整，详见《价格扣除》。</w:t>
      </w:r>
    </w:p>
    <w:p>
      <w:pPr>
        <w:pStyle w:val="ListParagraph"/>
        <w:widowControl/>
        <w:numPr>
          <w:ilvl w:val="0"/>
          <w:numId w:val="46"/>
        </w:numPr>
        <w:adjustRightInd w:val="0"/>
        <w:snapToGrid w:val="0"/>
        <w:spacing w:line="360" w:lineRule="auto"/>
        <w:ind w:left="709" w:hanging="709" w:firstLineChars="0"/>
        <w:jc w:val="left"/>
        <w:rPr>
          <w:rFonts w:hAnsi="宋体"/>
          <w:sz w:val="24"/>
        </w:rPr>
      </w:pPr>
      <w:r>
        <w:rPr>
          <w:rFonts w:hAnsi="宋体" w:hint="eastAsia"/>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若评审委员会成员对是否须由投标人作出报价合理性说明，以及书面说明是否采纳等判断不一致的，按照“少数服从多数”的原则确定评审委员会的意见。投标人</w:t>
      </w:r>
      <w:r>
        <w:rPr>
          <w:rFonts w:hAnsi="宋体"/>
          <w:sz w:val="24"/>
        </w:rPr>
        <w:t>提供报价合理性说明的方式，包括但不限于现场提交、电邮提交方式。</w:t>
      </w:r>
    </w:p>
    <w:p>
      <w:pPr>
        <w:pStyle w:val="ListParagraph"/>
        <w:widowControl/>
        <w:numPr>
          <w:ilvl w:val="0"/>
          <w:numId w:val="46"/>
        </w:numPr>
        <w:adjustRightInd w:val="0"/>
        <w:snapToGrid w:val="0"/>
        <w:spacing w:line="360" w:lineRule="auto"/>
        <w:ind w:left="709" w:hanging="709" w:firstLineChars="0"/>
        <w:jc w:val="left"/>
        <w:rPr>
          <w:rFonts w:hAnsi="宋体"/>
          <w:sz w:val="24"/>
        </w:rPr>
      </w:pPr>
      <w:r>
        <w:rPr>
          <w:rFonts w:hAnsi="宋体" w:hint="eastAsia"/>
          <w:sz w:val="24"/>
        </w:rPr>
        <w:t>评审委员会成员对需要共同认定的事项存在争议的，应当按照少数服从多数的原则作出结论。持不同意见的评审委员会成员应当在评标报告上签署不同意见及理由，否则视为同意评标报告。</w:t>
      </w:r>
    </w:p>
    <w:p>
      <w:pPr>
        <w:numPr>
          <w:ilvl w:val="0"/>
          <w:numId w:val="41"/>
        </w:numPr>
        <w:autoSpaceDE w:val="0"/>
        <w:autoSpaceDN w:val="0"/>
        <w:adjustRightInd w:val="0"/>
        <w:snapToGrid w:val="0"/>
        <w:spacing w:line="360" w:lineRule="auto"/>
        <w:ind w:left="487" w:hanging="424" w:hangingChars="202"/>
        <w:outlineLvl w:val="3"/>
        <w:rPr>
          <w:rFonts w:hAnsi="宋体"/>
          <w:b/>
          <w:sz w:val="24"/>
        </w:rPr>
      </w:pPr>
      <w:r>
        <w:rPr>
          <w:rFonts w:hAnsi="宋体" w:hint="eastAsia"/>
          <w:b/>
          <w:sz w:val="24"/>
        </w:rPr>
        <w:t>推荐中标候选人</w:t>
      </w:r>
    </w:p>
    <w:p>
      <w:pPr>
        <w:pStyle w:val="ListParagraph"/>
        <w:widowControl/>
        <w:numPr>
          <w:ilvl w:val="0"/>
          <w:numId w:val="50"/>
        </w:numPr>
        <w:spacing w:line="360" w:lineRule="auto"/>
        <w:ind w:left="426" w:hanging="426" w:firstLineChars="0"/>
        <w:jc w:val="left"/>
        <w:rPr>
          <w:rFonts w:ascii="宋体" w:hAnsi="宋体" w:cs="宋体"/>
          <w:sz w:val="24"/>
          <w:lang w:eastAsia="zh-TW"/>
        </w:rPr>
      </w:pPr>
      <w:r>
        <w:rPr>
          <w:rFonts w:hAnsi="宋体" w:hint="eastAsia"/>
          <w:b/>
          <w:sz w:val="24"/>
        </w:rPr>
        <w:t>综合评分法</w:t>
      </w:r>
    </w:p>
    <w:p>
      <w:pPr>
        <w:pStyle w:val="ListParagraph"/>
        <w:widowControl/>
        <w:numPr>
          <w:ilvl w:val="1"/>
          <w:numId w:val="50"/>
        </w:numPr>
        <w:spacing w:line="360" w:lineRule="auto"/>
        <w:ind w:left="567" w:hanging="567" w:firstLineChars="0"/>
        <w:jc w:val="left"/>
        <w:rPr>
          <w:rFonts w:ascii="宋体" w:hAnsi="宋体" w:cs="宋体"/>
          <w:sz w:val="24"/>
          <w:lang w:eastAsia="zh-TW"/>
        </w:rPr>
      </w:pPr>
      <w:r>
        <w:rPr>
          <w:rFonts w:ascii="宋体" w:hAnsi="宋体" w:cs="宋体" w:hint="eastAsia"/>
          <w:sz w:val="24"/>
          <w:lang w:eastAsia="zh-TW"/>
        </w:rPr>
        <w:t>使用综合评分法的采购项目，单一产品采购</w:t>
      </w:r>
      <w:r>
        <w:rPr>
          <w:rFonts w:ascii="宋体" w:hAnsi="宋体" w:hint="eastAsia"/>
          <w:sz w:val="24"/>
        </w:rPr>
        <w:t>项目</w:t>
      </w:r>
      <w:r>
        <w:rPr>
          <w:rFonts w:ascii="宋体" w:hAnsi="宋体" w:cs="宋体" w:hint="eastAsia"/>
          <w:sz w:val="24"/>
          <w:lang w:eastAsia="zh-TW"/>
        </w:rPr>
        <w:t>提供相同品牌产品或</w:t>
      </w:r>
      <w:r>
        <w:rPr>
          <w:rFonts w:ascii="宋体" w:hAnsi="宋体" w:hint="eastAsia"/>
          <w:sz w:val="24"/>
        </w:rPr>
        <w:t>非单一产品采购项目多家投标人提供的核心产品品牌相同的，</w:t>
      </w:r>
      <w:r>
        <w:rPr>
          <w:rFonts w:ascii="宋体" w:hAnsi="宋体" w:cs="宋体" w:hint="eastAsia"/>
          <w:sz w:val="24"/>
          <w:lang w:eastAsia="zh-TW"/>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审委员会采取随机抽取方式确定，其他同品牌投标人不作为中标候选人。</w:t>
      </w:r>
    </w:p>
    <w:p>
      <w:pPr>
        <w:pStyle w:val="ListParagraph"/>
        <w:widowControl/>
        <w:numPr>
          <w:ilvl w:val="1"/>
          <w:numId w:val="50"/>
        </w:numPr>
        <w:spacing w:line="360" w:lineRule="auto"/>
        <w:ind w:left="567" w:hanging="567" w:firstLineChars="0"/>
        <w:jc w:val="left"/>
        <w:rPr>
          <w:rFonts w:ascii="宋体" w:hAnsi="宋体" w:cs="宋体"/>
          <w:sz w:val="24"/>
          <w:lang w:eastAsia="zh-TW"/>
        </w:rPr>
      </w:pPr>
      <w:r>
        <w:rPr>
          <w:rFonts w:ascii="宋体" w:hAnsi="宋体" w:hint="eastAsia"/>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ListParagraph"/>
        <w:widowControl/>
        <w:numPr>
          <w:ilvl w:val="0"/>
          <w:numId w:val="50"/>
        </w:numPr>
        <w:adjustRightInd w:val="0"/>
        <w:snapToGrid w:val="0"/>
        <w:spacing w:line="360" w:lineRule="auto"/>
        <w:ind w:left="426" w:hanging="426" w:firstLineChars="0"/>
        <w:jc w:val="left"/>
        <w:rPr>
          <w:rFonts w:ascii="宋体" w:hAnsi="宋体"/>
          <w:b/>
          <w:sz w:val="24"/>
        </w:rPr>
      </w:pPr>
      <w:r>
        <w:rPr>
          <w:rFonts w:ascii="宋体" w:hAnsi="宋体" w:hint="eastAsia"/>
          <w:b/>
          <w:sz w:val="24"/>
        </w:rPr>
        <w:t>最低评标价法：</w:t>
      </w:r>
    </w:p>
    <w:p>
      <w:pPr>
        <w:pStyle w:val="ListParagraph"/>
        <w:widowControl/>
        <w:numPr>
          <w:ilvl w:val="1"/>
          <w:numId w:val="50"/>
        </w:numPr>
        <w:adjustRightInd w:val="0"/>
        <w:snapToGrid w:val="0"/>
        <w:spacing w:line="360" w:lineRule="auto"/>
        <w:ind w:left="567" w:hanging="567" w:firstLineChars="0"/>
        <w:jc w:val="left"/>
        <w:rPr>
          <w:rFonts w:ascii="宋体" w:hAnsi="宋体" w:cs="宋体"/>
          <w:sz w:val="24"/>
          <w:lang w:eastAsia="zh-TW"/>
        </w:rPr>
      </w:pPr>
      <w:r>
        <w:rPr>
          <w:rFonts w:ascii="宋体" w:hAnsi="宋体" w:cs="宋体" w:hint="eastAsia"/>
          <w:sz w:val="24"/>
          <w:lang w:eastAsia="zh-TW"/>
        </w:rPr>
        <w:t>采用最低评标价法的采购项目，单一产品采购</w:t>
      </w:r>
      <w:r>
        <w:rPr>
          <w:rFonts w:ascii="宋体" w:hAnsi="宋体" w:hint="eastAsia"/>
          <w:sz w:val="24"/>
        </w:rPr>
        <w:t>项目</w:t>
      </w:r>
      <w:r>
        <w:rPr>
          <w:rFonts w:ascii="宋体" w:hAnsi="宋体" w:cs="宋体" w:hint="eastAsia"/>
          <w:sz w:val="24"/>
          <w:lang w:eastAsia="zh-TW"/>
        </w:rPr>
        <w:t>提供相同品牌产品的不同投标人参加同一合同项下投标的或</w:t>
      </w:r>
      <w:r>
        <w:rPr>
          <w:rFonts w:ascii="宋体" w:hAnsi="宋体" w:hint="eastAsia"/>
          <w:sz w:val="24"/>
        </w:rPr>
        <w:t>非单一产品采购项目多家投标人提供的核心产品品牌相同的</w:t>
      </w:r>
      <w:r>
        <w:rPr>
          <w:rFonts w:ascii="宋体" w:hAnsi="宋体" w:cs="宋体" w:hint="eastAsia"/>
          <w:sz w:val="24"/>
          <w:lang w:eastAsia="zh-TW"/>
        </w:rPr>
        <w:t>，以其中通过资格审查、符合性审查且报价最低的参加评标；报价相同的，由评审委员会采取随机抽取方式确定，</w:t>
      </w:r>
      <w:r>
        <w:rPr>
          <w:rFonts w:ascii="宋体" w:hAnsi="宋体" w:cs="宋体" w:hint="eastAsia"/>
          <w:b/>
          <w:sz w:val="24"/>
          <w:lang w:eastAsia="zh-TW"/>
        </w:rPr>
        <w:t>其他投标无效</w:t>
      </w:r>
      <w:r>
        <w:rPr>
          <w:rFonts w:ascii="宋体" w:hAnsi="宋体" w:cs="宋体" w:hint="eastAsia"/>
          <w:sz w:val="24"/>
          <w:lang w:eastAsia="zh-TW"/>
        </w:rPr>
        <w:t>。</w:t>
      </w:r>
    </w:p>
    <w:p>
      <w:pPr>
        <w:pStyle w:val="ListParagraph"/>
        <w:widowControl/>
        <w:numPr>
          <w:ilvl w:val="1"/>
          <w:numId w:val="50"/>
        </w:numPr>
        <w:adjustRightInd w:val="0"/>
        <w:snapToGrid w:val="0"/>
        <w:spacing w:line="360" w:lineRule="auto"/>
        <w:ind w:left="567" w:hanging="567" w:firstLineChars="0"/>
        <w:jc w:val="left"/>
        <w:rPr>
          <w:rFonts w:ascii="宋体" w:hAnsi="宋体" w:cs="宋体"/>
          <w:sz w:val="24"/>
          <w:lang w:eastAsia="zh-TW"/>
        </w:rPr>
      </w:pPr>
      <w:r>
        <w:rPr>
          <w:rFonts w:ascii="宋体" w:hAnsi="宋体" w:hint="eastAsia"/>
          <w:sz w:val="24"/>
        </w:rPr>
        <w:t>采用最低评标价法的，评标结果按投标报价由低到高顺序排列。投标报价相同的并列。投标文件满足招标文件全部实质性要求且投标报价最低的投标人为排名第一的中标候选人。</w:t>
      </w:r>
    </w:p>
    <w:p>
      <w:pPr>
        <w:pStyle w:val="ListParagraph"/>
        <w:widowControl/>
        <w:numPr>
          <w:ilvl w:val="0"/>
          <w:numId w:val="50"/>
        </w:numPr>
        <w:adjustRightInd w:val="0"/>
        <w:snapToGrid w:val="0"/>
        <w:spacing w:line="360" w:lineRule="auto"/>
        <w:ind w:left="426" w:hanging="426" w:firstLineChars="0"/>
        <w:jc w:val="left"/>
        <w:rPr>
          <w:rFonts w:ascii="宋体" w:hAnsi="宋体"/>
          <w:sz w:val="24"/>
        </w:rPr>
      </w:pPr>
      <w:r>
        <w:rPr>
          <w:rFonts w:ascii="宋体" w:hAnsi="宋体" w:hint="eastAsia"/>
          <w:sz w:val="24"/>
        </w:rPr>
        <w:t>本项目按照</w:t>
      </w:r>
      <w:r>
        <w:rPr>
          <w:rFonts w:ascii="宋体" w:hAnsi="宋体" w:hint="eastAsia"/>
          <w:b/>
          <w:sz w:val="24"/>
        </w:rPr>
        <w:t>投标人须知前附表</w:t>
      </w:r>
      <w:r>
        <w:rPr>
          <w:rFonts w:ascii="宋体" w:hAnsi="宋体" w:hint="eastAsia"/>
          <w:sz w:val="24"/>
        </w:rPr>
        <w:t>规定的方式推荐中标候选人。</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确定中标人</w:t>
      </w:r>
    </w:p>
    <w:p>
      <w:pPr>
        <w:autoSpaceDE w:val="0"/>
        <w:autoSpaceDN w:val="0"/>
        <w:adjustRightInd w:val="0"/>
        <w:snapToGrid w:val="0"/>
        <w:spacing w:line="360" w:lineRule="auto"/>
        <w:outlineLvl w:val="3"/>
        <w:rPr>
          <w:rFonts w:ascii="宋体" w:hAnsi="宋体"/>
          <w:b/>
          <w:bCs/>
          <w:sz w:val="24"/>
        </w:rPr>
      </w:pPr>
      <w:bookmarkStart w:id="116" w:name="_Hlk30667074"/>
      <w:r>
        <w:rPr>
          <w:rFonts w:ascii="宋体" w:hAnsi="宋体" w:hint="eastAsia"/>
          <w:b/>
          <w:bCs/>
          <w:sz w:val="24"/>
        </w:rPr>
        <w:t>非评定分离项目</w:t>
      </w:r>
    </w:p>
    <w:p>
      <w:pPr>
        <w:pStyle w:val="ListParagraph"/>
        <w:widowControl/>
        <w:numPr>
          <w:ilvl w:val="0"/>
          <w:numId w:val="51"/>
        </w:numPr>
        <w:adjustRightInd w:val="0"/>
        <w:snapToGrid w:val="0"/>
        <w:spacing w:line="360" w:lineRule="auto"/>
        <w:ind w:left="426" w:hanging="426" w:firstLineChars="0"/>
        <w:jc w:val="left"/>
        <w:rPr>
          <w:rFonts w:ascii="宋体" w:hAnsi="宋体"/>
          <w:strike/>
          <w:color w:val="00B0F0"/>
          <w:sz w:val="24"/>
        </w:rPr>
      </w:pPr>
      <w:r>
        <w:rPr>
          <w:rFonts w:ascii="宋体" w:hAnsi="宋体" w:hint="eastAsia"/>
          <w:color w:val="000000" w:themeColor="text1"/>
          <w:sz w:val="24"/>
          <w14:textFill>
            <w14:solidFill>
              <w14:schemeClr w14:val="tx1"/>
            </w14:solidFill>
          </w14:textFill>
        </w:rPr>
        <w:t>中标候选人并列的，按</w:t>
      </w:r>
      <w:r>
        <w:rPr>
          <w:rFonts w:ascii="宋体" w:hAnsi="宋体" w:hint="eastAsia"/>
          <w:b/>
          <w:color w:val="000000" w:themeColor="text1"/>
          <w:sz w:val="24"/>
          <w14:textFill>
            <w14:solidFill>
              <w14:schemeClr w14:val="tx1"/>
            </w14:solidFill>
          </w14:textFill>
        </w:rPr>
        <w:t>投标人须知前附表</w:t>
      </w:r>
      <w:r>
        <w:rPr>
          <w:rFonts w:ascii="宋体" w:hAnsi="宋体" w:hint="eastAsia"/>
          <w:color w:val="000000" w:themeColor="text1"/>
          <w:sz w:val="24"/>
          <w14:textFill>
            <w14:solidFill>
              <w14:schemeClr w14:val="tx1"/>
            </w14:solidFill>
          </w14:textFill>
        </w:rPr>
        <w:t>规定确定中标人。</w:t>
      </w:r>
    </w:p>
    <w:p>
      <w:pPr>
        <w:pStyle w:val="ListParagraph"/>
        <w:widowControl/>
        <w:numPr>
          <w:ilvl w:val="0"/>
          <w:numId w:val="51"/>
        </w:numPr>
        <w:adjustRightInd w:val="0"/>
        <w:snapToGrid w:val="0"/>
        <w:spacing w:line="360" w:lineRule="auto"/>
        <w:ind w:left="426" w:hanging="426" w:firstLineChars="0"/>
        <w:jc w:val="left"/>
        <w:rPr>
          <w:rFonts w:ascii="宋体" w:hAnsi="宋体"/>
          <w:color w:val="000000" w:themeColor="text1"/>
          <w:sz w:val="24"/>
          <w:highlight w:val="none"/>
          <w14:textFill>
            <w14:solidFill>
              <w14:schemeClr w14:val="tx1"/>
            </w14:solidFill>
          </w14:textFill>
        </w:rPr>
      </w:pPr>
      <w:r>
        <w:rPr>
          <w:rFonts w:ascii="宋体" w:hAnsi="宋体" w:hint="eastAsia"/>
          <w:sz w:val="24"/>
        </w:rPr>
        <w:t>采购代理机构</w:t>
      </w:r>
      <w:r>
        <w:rPr>
          <w:rFonts w:ascii="宋体" w:hAnsi="宋体"/>
          <w:sz w:val="24"/>
        </w:rPr>
        <w:t>提</w:t>
      </w:r>
      <w:r>
        <w:rPr>
          <w:rFonts w:ascii="宋体" w:hAnsi="宋体" w:hint="eastAsia"/>
          <w:sz w:val="24"/>
        </w:rPr>
        <w:t>交</w:t>
      </w:r>
      <w:r>
        <w:rPr>
          <w:rFonts w:ascii="宋体" w:hAnsi="宋体"/>
          <w:sz w:val="24"/>
        </w:rPr>
        <w:t>评</w:t>
      </w:r>
      <w:r>
        <w:rPr>
          <w:rFonts w:ascii="宋体" w:hAnsi="宋体" w:hint="eastAsia"/>
          <w:sz w:val="24"/>
        </w:rPr>
        <w:t>标</w:t>
      </w:r>
      <w:r>
        <w:rPr>
          <w:rFonts w:ascii="宋体" w:hAnsi="宋体"/>
          <w:sz w:val="24"/>
        </w:rPr>
        <w:t>报告报</w:t>
      </w:r>
      <w:r>
        <w:rPr>
          <w:rFonts w:ascii="宋体" w:hAnsi="宋体" w:hint="eastAsia"/>
          <w:sz w:val="24"/>
        </w:rPr>
        <w:t>采购</w:t>
      </w:r>
      <w:r>
        <w:rPr>
          <w:rFonts w:ascii="宋体" w:hAnsi="宋体"/>
          <w:sz w:val="24"/>
        </w:rPr>
        <w:t>人</w:t>
      </w:r>
      <w:r>
        <w:rPr>
          <w:rFonts w:ascii="宋体" w:hAnsi="宋体" w:hint="eastAsia"/>
          <w:sz w:val="24"/>
        </w:rPr>
        <w:t>确认，采购人在收到评标报告</w:t>
      </w:r>
      <w:r>
        <w:rPr>
          <w:rFonts w:ascii="宋体" w:hAnsi="宋体"/>
          <w:sz w:val="24"/>
        </w:rPr>
        <w:t>3</w:t>
      </w:r>
      <w:r>
        <w:rPr>
          <w:rFonts w:ascii="宋体" w:hAnsi="宋体" w:hint="eastAsia"/>
          <w:sz w:val="24"/>
        </w:rPr>
        <w:t>个工作日内确定中标人，按照评标报告中确定的中标候选人顺序确定中标人，也可以事先授权评审委员会直接确定中标人。</w:t>
      </w:r>
    </w:p>
    <w:p>
      <w:pPr>
        <w:pStyle w:val="ListParagraph"/>
        <w:widowControl/>
        <w:numPr>
          <w:ilvl w:val="0"/>
          <w:numId w:val="51"/>
        </w:numPr>
        <w:adjustRightInd w:val="0"/>
        <w:snapToGrid w:val="0"/>
        <w:spacing w:line="360" w:lineRule="auto"/>
        <w:ind w:left="426" w:hanging="426" w:firstLineChars="0"/>
        <w:jc w:val="left"/>
        <w:rPr>
          <w:rFonts w:ascii="宋体" w:hAnsi="宋体"/>
          <w:color w:val="000000" w:themeColor="text1"/>
          <w:sz w:val="24"/>
          <w:highlight w:val="none"/>
          <w14:textFill>
            <w14:solidFill>
              <w14:schemeClr w14:val="tx1"/>
            </w14:solidFill>
          </w14:textFill>
        </w:rPr>
      </w:pPr>
      <w:r>
        <w:rPr>
          <w:rFonts w:ascii="宋体" w:hAnsi="宋体" w:hint="eastAsia"/>
          <w:color w:val="000000" w:themeColor="text1"/>
          <w:sz w:val="24"/>
          <w:highlight w:val="none"/>
          <w14:textFill>
            <w14:solidFill>
              <w14:schemeClr w14:val="tx1"/>
            </w14:solidFill>
          </w14:textFill>
        </w:rPr>
        <w:t>中标人拒绝与采购人签订合同的，采购人可以按照评标报告推荐的中标候选人名单排序，确定下一候选人为中标人，也可以重新开展政府采购活动。</w:t>
      </w:r>
    </w:p>
    <w:p>
      <w:pPr>
        <w:pStyle w:val="ListParagraph"/>
        <w:widowControl/>
        <w:numPr>
          <w:ilvl w:val="0"/>
          <w:numId w:val="51"/>
        </w:numPr>
        <w:adjustRightInd w:val="0"/>
        <w:snapToGrid w:val="0"/>
        <w:spacing w:line="360" w:lineRule="auto"/>
        <w:ind w:left="426" w:hanging="426" w:firstLineChars="0"/>
        <w:jc w:val="left"/>
        <w:rPr>
          <w:rFonts w:ascii="宋体" w:hAnsi="宋体"/>
          <w:color w:val="000000" w:themeColor="text1"/>
          <w:sz w:val="24"/>
          <w:highlight w:val="none"/>
          <w14:textFill>
            <w14:solidFill>
              <w14:schemeClr w14:val="tx1"/>
            </w14:solidFill>
          </w14:textFill>
        </w:rPr>
      </w:pPr>
      <w:r>
        <w:rPr>
          <w:rFonts w:ascii="宋体" w:hAnsi="宋体" w:hint="eastAsia"/>
          <w:color w:val="000000" w:themeColor="text1"/>
          <w:sz w:val="24"/>
          <w:highlight w:val="none"/>
          <w14:textFill>
            <w14:solidFill>
              <w14:schemeClr w14:val="tx1"/>
            </w14:solidFill>
          </w14:textFill>
        </w:rPr>
        <w:t>招标文件明确评审得分最高的投标人为唯一中标候选人的，如唯一中标候选人被认定投标或中标无效，采购人应当重新开展采购活动。</w:t>
      </w:r>
    </w:p>
    <w:p>
      <w:pPr>
        <w:autoSpaceDE w:val="0"/>
        <w:autoSpaceDN w:val="0"/>
        <w:adjustRightInd w:val="0"/>
        <w:snapToGrid w:val="0"/>
        <w:spacing w:line="360" w:lineRule="auto"/>
        <w:outlineLvl w:val="3"/>
        <w:rPr>
          <w:rFonts w:ascii="宋体" w:hAnsi="宋体"/>
          <w:b/>
          <w:bCs/>
          <w:sz w:val="24"/>
          <w:highlight w:val="none"/>
        </w:rPr>
      </w:pPr>
      <w:r>
        <w:rPr>
          <w:rFonts w:ascii="宋体" w:hAnsi="宋体" w:hint="eastAsia"/>
          <w:b/>
          <w:bCs/>
          <w:sz w:val="24"/>
          <w:highlight w:val="none"/>
        </w:rPr>
        <w:t>评定分离项目</w:t>
      </w:r>
    </w:p>
    <w:p>
      <w:pPr>
        <w:pStyle w:val="ListParagraph"/>
        <w:widowControl/>
        <w:numPr>
          <w:ilvl w:val="0"/>
          <w:numId w:val="52"/>
        </w:numPr>
        <w:adjustRightInd w:val="0"/>
        <w:snapToGrid w:val="0"/>
        <w:spacing w:line="360" w:lineRule="auto"/>
        <w:ind w:left="426" w:hanging="426" w:firstLineChars="0"/>
        <w:jc w:val="left"/>
        <w:rPr>
          <w:rFonts w:ascii="宋体" w:hAnsi="宋体"/>
          <w:strike/>
          <w:color w:val="00B0F0"/>
          <w:sz w:val="24"/>
        </w:rPr>
      </w:pPr>
      <w:r>
        <w:rPr>
          <w:rFonts w:ascii="宋体" w:hAnsi="宋体" w:hint="eastAsia"/>
          <w:color w:val="000000" w:themeColor="text1"/>
          <w:sz w:val="24"/>
          <w14:textFill>
            <w14:solidFill>
              <w14:schemeClr w14:val="tx1"/>
            </w14:solidFill>
          </w14:textFill>
        </w:rPr>
        <w:t>按</w:t>
      </w:r>
      <w:r>
        <w:rPr>
          <w:rFonts w:ascii="宋体" w:hAnsi="宋体" w:hint="eastAsia"/>
          <w:b/>
          <w:color w:val="000000" w:themeColor="text1"/>
          <w:sz w:val="24"/>
          <w14:textFill>
            <w14:solidFill>
              <w14:schemeClr w14:val="tx1"/>
            </w14:solidFill>
          </w14:textFill>
        </w:rPr>
        <w:t>投标人须知前附表</w:t>
      </w:r>
      <w:r>
        <w:rPr>
          <w:rFonts w:ascii="宋体" w:hAnsi="宋体" w:hint="eastAsia"/>
          <w:color w:val="000000" w:themeColor="text1"/>
          <w:sz w:val="24"/>
          <w14:textFill>
            <w14:solidFill>
              <w14:schemeClr w14:val="tx1"/>
            </w14:solidFill>
          </w14:textFill>
        </w:rPr>
        <w:t>规定确定中标人。</w:t>
      </w:r>
    </w:p>
    <w:p>
      <w:pPr>
        <w:pStyle w:val="ListParagraph"/>
        <w:widowControl/>
        <w:adjustRightInd w:val="0"/>
        <w:snapToGrid w:val="0"/>
        <w:spacing w:line="360" w:lineRule="auto"/>
        <w:ind w:firstLine="480"/>
        <w:jc w:val="left"/>
        <w:rPr>
          <w:rFonts w:ascii="宋体" w:hAnsi="宋体"/>
          <w:bCs/>
          <w:sz w:val="24"/>
        </w:rPr>
      </w:pPr>
      <w:r>
        <w:rPr>
          <w:rFonts w:ascii="宋体" w:hAnsi="宋体" w:hint="eastAsia"/>
          <w:bCs/>
          <w:color w:val="000000" w:themeColor="text1"/>
          <w:sz w:val="24"/>
          <w14:textFill>
            <w14:solidFill>
              <w14:schemeClr w14:val="tx1"/>
            </w14:solidFill>
          </w14:textFill>
        </w:rPr>
        <w:t>采用自定法：采购人应当自收到评审报告后，按照《</w:t>
      </w:r>
      <w:bookmarkStart w:id="117" w:name="_Hlk35425307"/>
      <w:r>
        <w:rPr>
          <w:rFonts w:ascii="宋体" w:hAnsi="宋体" w:hint="eastAsia"/>
          <w:bCs/>
          <w:color w:val="000000" w:themeColor="text1"/>
          <w:sz w:val="24"/>
          <w14:textFill>
            <w14:solidFill>
              <w14:schemeClr w14:val="tx1"/>
            </w14:solidFill>
          </w14:textFill>
        </w:rPr>
        <w:t>深圳市政府采购评标定标分离管理办法</w:t>
      </w:r>
      <w:bookmarkEnd w:id="117"/>
      <w:r>
        <w:rPr>
          <w:rFonts w:ascii="宋体" w:hAnsi="宋体" w:hint="eastAsia"/>
          <w:bCs/>
          <w:color w:val="000000" w:themeColor="text1"/>
          <w:sz w:val="24"/>
          <w14:textFill>
            <w14:solidFill>
              <w14:schemeClr w14:val="tx1"/>
            </w14:solidFill>
          </w14:textFill>
        </w:rPr>
        <w:t>》的规定组织定标委员会，并按照投标资料表中确定的方式，</w:t>
      </w:r>
      <w:r>
        <w:rPr>
          <w:rFonts w:ascii="宋体" w:hAnsi="宋体" w:hint="eastAsia"/>
          <w:bCs/>
          <w:sz w:val="24"/>
        </w:rPr>
        <w:t>由定标委员会在候选中标供应商中确定中标供应商。</w:t>
      </w:r>
    </w:p>
    <w:p>
      <w:pPr>
        <w:pStyle w:val="ListParagraph"/>
        <w:widowControl/>
        <w:numPr>
          <w:ilvl w:val="0"/>
          <w:numId w:val="52"/>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中标人拒绝与采购人签订合同的，采购人可以按照招标文件规定的定标原则，重新确定中标人，也可以重新开展政府采购活动。</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中标公告及中标通知书</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中标人确定后</w:t>
      </w:r>
      <w:r>
        <w:rPr>
          <w:rFonts w:ascii="宋体" w:hAnsi="宋体" w:cs="宋体" w:hint="eastAsia"/>
          <w:sz w:val="24"/>
        </w:rPr>
        <w:t>，</w:t>
      </w:r>
      <w:r>
        <w:rPr>
          <w:rFonts w:ascii="宋体" w:hAnsi="宋体" w:cs="宋体" w:hint="eastAsia"/>
          <w:sz w:val="24"/>
          <w:lang w:eastAsia="zh-TW"/>
        </w:rPr>
        <w:t>采购代理机构将在</w:t>
      </w:r>
      <w:r>
        <w:rPr>
          <w:rFonts w:ascii="宋体" w:hAnsi="宋体" w:cs="宋体" w:hint="eastAsia"/>
          <w:sz w:val="24"/>
        </w:rPr>
        <w:t>发布采购信息公告的法定媒体</w:t>
      </w:r>
      <w:r>
        <w:rPr>
          <w:rFonts w:ascii="宋体" w:hAnsi="宋体" w:cs="宋体" w:hint="eastAsia"/>
          <w:sz w:val="24"/>
          <w:lang w:eastAsia="zh-TW"/>
        </w:rPr>
        <w:t>上发布中标公告，并向中标人</w:t>
      </w:r>
      <w:r>
        <w:rPr>
          <w:rFonts w:ascii="宋体" w:hAnsi="宋体" w:cs="宋体" w:hint="eastAsia"/>
          <w:sz w:val="24"/>
        </w:rPr>
        <w:t>及</w:t>
      </w:r>
      <w:r>
        <w:rPr>
          <w:rFonts w:ascii="宋体" w:hAnsi="宋体" w:cs="宋体" w:hint="eastAsia"/>
          <w:sz w:val="24"/>
          <w:lang w:eastAsia="zh-TW"/>
        </w:rPr>
        <w:t>采购人发出《中标通知书》，《中标通知书》对中标人和采购人具有同等法律效力。</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hint="eastAsia"/>
          <w:sz w:val="24"/>
        </w:rPr>
        <w:t>《中标通知书》将作为授予合同资格的合法依据，是合同的一个组成部分。</w:t>
      </w:r>
      <w:bookmarkEnd w:id="116"/>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采购代理服务费（如适用）</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cs="宋体" w:hint="eastAsia"/>
          <w:sz w:val="24"/>
        </w:rPr>
        <w:t>中标人应按照招标文件</w:t>
      </w:r>
      <w:r>
        <w:rPr>
          <w:rFonts w:ascii="宋体" w:hAnsi="宋体" w:cs="宋体" w:hint="eastAsia"/>
          <w:b/>
          <w:sz w:val="24"/>
        </w:rPr>
        <w:t>投标人须知前附表</w:t>
      </w:r>
      <w:r>
        <w:rPr>
          <w:rFonts w:ascii="宋体" w:hAnsi="宋体" w:cs="宋体" w:hint="eastAsia"/>
          <w:sz w:val="24"/>
        </w:rPr>
        <w:t>中的规定缴纳采购代理服务费。</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rPr>
        <w:t>中标人经依法被认定中标无效的，采购代理服务费不予退还。</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合同的订立</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采购人应当自中标通知书发出之日起</w:t>
      </w:r>
      <w:r>
        <w:rPr>
          <w:rFonts w:ascii="宋体" w:hAnsi="宋体" w:cs="宋体" w:hint="eastAsia"/>
          <w:sz w:val="24"/>
        </w:rPr>
        <w:t>十个工作日</w:t>
      </w:r>
      <w:r>
        <w:rPr>
          <w:rFonts w:ascii="宋体" w:hAnsi="宋体" w:cs="宋体" w:hint="eastAsia"/>
          <w:sz w:val="24"/>
          <w:lang w:eastAsia="zh-TW"/>
        </w:rPr>
        <w:t>内，按照招标文件和中标人投标文件的约定，与中标人签订书面合同。所签订的合同不得对招标文件和中标人投标文件作实质性修改</w:t>
      </w:r>
      <w:r>
        <w:rPr>
          <w:rFonts w:ascii="宋体" w:hAnsi="宋体" w:cs="宋体" w:hint="eastAsia"/>
          <w:sz w:val="24"/>
        </w:rPr>
        <w:t>。</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采购人或者采购代理机构</w:t>
      </w:r>
      <w:r>
        <w:rPr>
          <w:rFonts w:ascii="宋体" w:hAnsi="宋体" w:cs="宋体" w:hint="eastAsia"/>
          <w:sz w:val="24"/>
        </w:rPr>
        <w:t xml:space="preserve">不得向中标人提出任何不合理的要求，作为签订合同的条件，不得与中标人私下订立背离合同实质性内容的协议。 </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rPr>
        <w:t>自</w:t>
      </w:r>
      <w:r>
        <w:rPr>
          <w:rFonts w:ascii="宋体" w:hAnsi="宋体" w:cs="宋体" w:hint="eastAsia"/>
          <w:sz w:val="24"/>
          <w:lang w:eastAsia="zh-TW"/>
        </w:rPr>
        <w:t>政府采购</w:t>
      </w:r>
      <w:r>
        <w:rPr>
          <w:rFonts w:ascii="宋体" w:hAnsi="宋体" w:cs="宋体" w:hint="eastAsia"/>
          <w:sz w:val="24"/>
        </w:rPr>
        <w:t>合同签订之日起2</w:t>
      </w:r>
      <w:r>
        <w:rPr>
          <w:rFonts w:ascii="宋体" w:hAnsi="宋体" w:cs="宋体" w:hint="eastAsia"/>
          <w:sz w:val="24"/>
          <w:lang w:eastAsia="zh-TW"/>
        </w:rPr>
        <w:t>个工作日内，采购人应将政府采购合同</w:t>
      </w:r>
      <w:r>
        <w:rPr>
          <w:rFonts w:ascii="宋体" w:hAnsi="宋体" w:cs="宋体" w:hint="eastAsia"/>
          <w:sz w:val="24"/>
        </w:rPr>
        <w:t>在省级以上人民政府财政部门指定的媒体上公告，但政府采购合同中涉及国家秘密、商业秘密的内容除外</w:t>
      </w:r>
      <w:r>
        <w:rPr>
          <w:rFonts w:ascii="宋体" w:hAnsi="宋体" w:cs="宋体" w:hint="eastAsia"/>
          <w:sz w:val="24"/>
          <w:lang w:eastAsia="zh-TW"/>
        </w:rPr>
        <w:t>。</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政府采购</w:t>
      </w:r>
      <w:r>
        <w:rPr>
          <w:rFonts w:ascii="宋体" w:hAnsi="宋体" w:cs="宋体" w:hint="eastAsia"/>
          <w:sz w:val="24"/>
        </w:rPr>
        <w:t>合同签订之日起1</w:t>
      </w:r>
      <w:r>
        <w:rPr>
          <w:rFonts w:ascii="宋体" w:hAnsi="宋体" w:cs="宋体"/>
          <w:sz w:val="24"/>
        </w:rPr>
        <w:t>0</w:t>
      </w:r>
      <w:r>
        <w:rPr>
          <w:rFonts w:ascii="宋体" w:hAnsi="宋体" w:cs="宋体" w:hint="eastAsia"/>
          <w:sz w:val="24"/>
          <w:lang w:eastAsia="zh-TW"/>
        </w:rPr>
        <w:t>日内，采购人应将政府采购合同副本报政府采购监督管理部门备案</w:t>
      </w:r>
      <w:r>
        <w:rPr>
          <w:rFonts w:ascii="宋体" w:hAnsi="宋体" w:cs="宋体" w:hint="eastAsia"/>
          <w:sz w:val="24"/>
        </w:rPr>
        <w:t>和有关部门备案</w:t>
      </w:r>
      <w:r>
        <w:rPr>
          <w:rFonts w:ascii="宋体" w:hAnsi="宋体" w:cs="宋体" w:hint="eastAsia"/>
          <w:sz w:val="24"/>
          <w:lang w:eastAsia="zh-TW"/>
        </w:rPr>
        <w:t>。</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合同的履行</w:t>
      </w:r>
    </w:p>
    <w:p>
      <w:pPr>
        <w:numPr>
          <w:ilvl w:val="1"/>
          <w:numId w:val="41"/>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政府采购合同履行中，采购人需追加与合同标的相同的货物、工程或者服务的，在不改变合同其他条款的前提下，可以与供应商签订补充合同，但所补充合同的采购金额不得超过原合同采购金额的百分之十。签订补充合同的必须按规定备案。</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法律法规规定的其他属于投标无效的</w:t>
      </w:r>
    </w:p>
    <w:p>
      <w:pPr>
        <w:pStyle w:val="ListParagraph"/>
        <w:widowControl/>
        <w:numPr>
          <w:ilvl w:val="1"/>
          <w:numId w:val="41"/>
        </w:numPr>
        <w:adjustRightInd w:val="0"/>
        <w:snapToGrid w:val="0"/>
        <w:spacing w:line="360" w:lineRule="auto"/>
        <w:ind w:firstLineChars="0"/>
        <w:jc w:val="left"/>
        <w:rPr>
          <w:rFonts w:ascii="宋体" w:hAnsi="宋体"/>
          <w:b/>
          <w:color w:val="000000" w:themeColor="text1"/>
          <w:sz w:val="24"/>
          <w14:textFill>
            <w14:solidFill>
              <w14:schemeClr w14:val="tx1"/>
            </w14:solidFill>
          </w14:textFill>
        </w:rPr>
      </w:pPr>
      <w:r>
        <w:rPr>
          <w:rFonts w:ascii="宋体" w:hAnsi="宋体" w:hint="eastAsia"/>
          <w:b/>
          <w:color w:val="000000" w:themeColor="text1"/>
          <w:sz w:val="24"/>
          <w14:textFill>
            <w14:solidFill>
              <w14:schemeClr w14:val="tx1"/>
            </w14:solidFill>
          </w14:textFill>
        </w:rPr>
        <w:t>有下列情形之一的，视为投标人串通投标，其投标无效：</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不同投标人的投标文件由同一单位或者个人编制；</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不同投标人委托同一单位或者个人办理投标事宜；</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不同投标人的投标文件载明的项目管理成员或者联系人员为同一人；</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不同投标人的投标文件异常一致或者投标报价呈规律性差异；</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不同投标人的投标文件相互混装；</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b/>
          <w:bCs/>
          <w:sz w:val="24"/>
        </w:rPr>
        <w:t>废标</w:t>
      </w:r>
    </w:p>
    <w:p>
      <w:pPr>
        <w:pStyle w:val="ListParagraph"/>
        <w:widowControl/>
        <w:numPr>
          <w:ilvl w:val="0"/>
          <w:numId w:val="53"/>
        </w:numPr>
        <w:tabs>
          <w:tab w:val="left" w:pos="567"/>
        </w:tabs>
        <w:adjustRightInd w:val="0"/>
        <w:snapToGrid w:val="0"/>
        <w:spacing w:line="360" w:lineRule="auto"/>
        <w:ind w:firstLineChars="0"/>
        <w:jc w:val="left"/>
        <w:rPr>
          <w:rFonts w:ascii="宋体" w:hAnsi="宋体"/>
          <w:sz w:val="24"/>
        </w:rPr>
      </w:pPr>
      <w:r>
        <w:rPr>
          <w:rFonts w:ascii="宋体" w:hAnsi="宋体"/>
          <w:sz w:val="24"/>
        </w:rPr>
        <w:t>在招标采购中，出现下列情形之一的，应予废标</w:t>
      </w:r>
      <w:r>
        <w:rPr>
          <w:rFonts w:ascii="宋体" w:hAnsi="宋体" w:hint="eastAsia"/>
          <w:sz w:val="24"/>
        </w:rPr>
        <w:t>：</w:t>
      </w:r>
    </w:p>
    <w:p>
      <w:pPr>
        <w:pStyle w:val="ListParagraph"/>
        <w:widowControl/>
        <w:numPr>
          <w:ilvl w:val="3"/>
          <w:numId w:val="41"/>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符合专业条件的供应商或者对</w:t>
      </w:r>
      <w:r>
        <w:rPr>
          <w:rFonts w:ascii="宋体" w:hAnsi="宋体" w:hint="eastAsia"/>
          <w:sz w:val="24"/>
        </w:rPr>
        <w:t>招标</w:t>
      </w:r>
      <w:r>
        <w:rPr>
          <w:rFonts w:ascii="宋体" w:hAnsi="宋体"/>
          <w:sz w:val="24"/>
        </w:rPr>
        <w:t>文件作实质响应的供应商不足三家的；</w:t>
      </w:r>
    </w:p>
    <w:p>
      <w:pPr>
        <w:pStyle w:val="ListParagraph"/>
        <w:widowControl/>
        <w:numPr>
          <w:ilvl w:val="3"/>
          <w:numId w:val="41"/>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出现影响采购公正的违法、违规行为的；</w:t>
      </w:r>
    </w:p>
    <w:p>
      <w:pPr>
        <w:pStyle w:val="ListParagraph"/>
        <w:widowControl/>
        <w:numPr>
          <w:ilvl w:val="3"/>
          <w:numId w:val="41"/>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投标人的报价均超过了采购预算，采购人不能支付的；</w:t>
      </w:r>
    </w:p>
    <w:p>
      <w:pPr>
        <w:pStyle w:val="ListParagraph"/>
        <w:widowControl/>
        <w:numPr>
          <w:ilvl w:val="3"/>
          <w:numId w:val="41"/>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因重大变故，采购任务取消的</w:t>
      </w:r>
      <w:r>
        <w:rPr>
          <w:rFonts w:ascii="宋体" w:hAnsi="宋体" w:hint="eastAsia"/>
          <w:sz w:val="24"/>
        </w:rPr>
        <w:t>。</w:t>
      </w: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18" w:name="_Toc3181"/>
      <w:bookmarkStart w:id="119" w:name="_Toc256000019"/>
      <w:r>
        <w:rPr>
          <w:rFonts w:ascii="宋体" w:hAnsi="宋体" w:hint="eastAsia"/>
          <w:b/>
          <w:sz w:val="28"/>
          <w:szCs w:val="28"/>
          <w:lang w:eastAsia="zh-TW"/>
        </w:rPr>
        <w:t>询问、质疑与投诉</w:t>
      </w:r>
      <w:bookmarkEnd w:id="119"/>
      <w:bookmarkEnd w:id="118"/>
    </w:p>
    <w:p>
      <w:pPr>
        <w:numPr>
          <w:ilvl w:val="0"/>
          <w:numId w:val="54"/>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询问</w:t>
      </w:r>
    </w:p>
    <w:p>
      <w:pPr>
        <w:numPr>
          <w:ilvl w:val="1"/>
          <w:numId w:val="54"/>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黑体" w:hint="eastAsia"/>
          <w:bCs/>
          <w:sz w:val="24"/>
        </w:rPr>
        <w:t>供应商对政府采购活动事项有疑问的，可以向</w:t>
      </w:r>
      <w:r>
        <w:rPr>
          <w:rFonts w:ascii="宋体" w:hAnsi="宋体" w:cs="宋体" w:hint="eastAsia"/>
          <w:sz w:val="24"/>
          <w:lang w:eastAsia="zh-TW"/>
        </w:rPr>
        <w:t>采购人或者采购代理机构</w:t>
      </w:r>
      <w:r>
        <w:rPr>
          <w:rFonts w:ascii="宋体" w:hAnsi="宋体" w:cs="黑体" w:hint="eastAsia"/>
          <w:bCs/>
          <w:sz w:val="24"/>
        </w:rPr>
        <w:t>提出询问，询问可以口头方式提出，也可以书面方式提出。</w:t>
      </w:r>
    </w:p>
    <w:p>
      <w:pPr>
        <w:numPr>
          <w:ilvl w:val="1"/>
          <w:numId w:val="54"/>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黑体" w:hint="eastAsia"/>
          <w:bCs/>
          <w:sz w:val="24"/>
        </w:rPr>
        <w:t>如采用书面方式提出询问，供应商为自然人的，询问函应当由本人签字；供应商为法人或者其他组织的，应当由法定代表人、主要负责人或授权代表签字或者盖个人名章，并加盖公章。投标人递交询问函时非法定代表人亲自办理的需提供法定代表人授权委托书（应载明授权代表的姓名或者名称、代理事项、具体权限、期限和相关事项）及授权代表身份证复印件。</w:t>
      </w:r>
    </w:p>
    <w:p>
      <w:pPr>
        <w:numPr>
          <w:ilvl w:val="1"/>
          <w:numId w:val="54"/>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宋体" w:hint="eastAsia"/>
          <w:sz w:val="24"/>
          <w:lang w:eastAsia="zh-TW"/>
        </w:rPr>
        <w:t>采购人或者采购代理机构</w:t>
      </w:r>
      <w:r>
        <w:rPr>
          <w:rFonts w:ascii="宋体" w:hAnsi="宋体" w:cs="黑体" w:hint="eastAsia"/>
          <w:bCs/>
          <w:sz w:val="24"/>
        </w:rPr>
        <w:t>在三个工作日内对供应商依法提出的询问作出答复。</w:t>
      </w:r>
    </w:p>
    <w:p>
      <w:pPr>
        <w:numPr>
          <w:ilvl w:val="1"/>
          <w:numId w:val="54"/>
        </w:numPr>
        <w:autoSpaceDE w:val="0"/>
        <w:autoSpaceDN w:val="0"/>
        <w:adjustRightInd w:val="0"/>
        <w:snapToGrid w:val="0"/>
        <w:spacing w:line="360" w:lineRule="auto"/>
        <w:ind w:left="566" w:hanging="496" w:hangingChars="236"/>
        <w:rPr>
          <w:rFonts w:ascii="宋体" w:hAnsi="宋体" w:cs="黑体"/>
          <w:bCs/>
          <w:sz w:val="24"/>
          <w:highlight w:val="none"/>
        </w:rPr>
      </w:pPr>
      <w:r>
        <w:rPr>
          <w:rFonts w:hAnsi="宋体" w:hint="eastAsia"/>
          <w:snapToGrid w:val="0"/>
          <w:sz w:val="24"/>
        </w:rPr>
        <w:t>采购人或采购代理机构接收以书面形式递交的询问函，接收询问函的联系人、联系方式和通讯地址详见</w:t>
      </w:r>
      <w:r>
        <w:rPr>
          <w:rFonts w:hAnsi="宋体" w:hint="eastAsia"/>
          <w:b/>
          <w:snapToGrid w:val="0"/>
          <w:sz w:val="24"/>
          <w:highlight w:val="none"/>
        </w:rPr>
        <w:t>投标人须知前附表</w:t>
      </w:r>
      <w:r>
        <w:rPr>
          <w:rFonts w:ascii="宋体" w:hAnsi="宋体" w:hint="eastAsia"/>
          <w:sz w:val="24"/>
          <w:highlight w:val="none"/>
        </w:rPr>
        <w:t>。</w:t>
      </w:r>
    </w:p>
    <w:p>
      <w:pPr>
        <w:numPr>
          <w:ilvl w:val="0"/>
          <w:numId w:val="54"/>
        </w:numPr>
        <w:autoSpaceDE w:val="0"/>
        <w:autoSpaceDN w:val="0"/>
        <w:adjustRightInd w:val="0"/>
        <w:snapToGrid w:val="0"/>
        <w:spacing w:line="360" w:lineRule="auto"/>
        <w:ind w:left="487" w:hanging="424" w:hangingChars="202"/>
        <w:outlineLvl w:val="3"/>
        <w:rPr>
          <w:rFonts w:ascii="宋体" w:hAnsi="宋体"/>
          <w:b/>
          <w:bCs/>
          <w:sz w:val="24"/>
          <w:highlight w:val="none"/>
        </w:rPr>
      </w:pPr>
      <w:r>
        <w:rPr>
          <w:rFonts w:ascii="宋体" w:hAnsi="宋体" w:hint="eastAsia"/>
          <w:b/>
          <w:bCs/>
          <w:sz w:val="24"/>
          <w:highlight w:val="none"/>
        </w:rPr>
        <w:t>质疑</w:t>
      </w:r>
    </w:p>
    <w:p>
      <w:pPr>
        <w:numPr>
          <w:ilvl w:val="1"/>
          <w:numId w:val="54"/>
        </w:numPr>
        <w:autoSpaceDE w:val="0"/>
        <w:autoSpaceDN w:val="0"/>
        <w:adjustRightInd w:val="0"/>
        <w:snapToGrid w:val="0"/>
        <w:spacing w:line="360" w:lineRule="auto"/>
        <w:ind w:left="566" w:hanging="496" w:hangingChars="236"/>
        <w:rPr>
          <w:rFonts w:ascii="宋体" w:hAnsi="宋体" w:cs="黑体" w:hint="eastAsia"/>
          <w:bCs/>
          <w:sz w:val="24"/>
          <w:highlight w:val="none"/>
        </w:rPr>
      </w:pPr>
      <w:r>
        <w:rPr>
          <w:rFonts w:ascii="宋体" w:hAnsi="宋体" w:cs="黑体" w:hint="eastAsia"/>
          <w:bCs/>
          <w:sz w:val="24"/>
          <w:highlight w:val="none"/>
        </w:rPr>
        <w:t>提出质疑</w:t>
      </w:r>
      <w:r>
        <w:rPr>
          <w:rFonts w:ascii="宋体" w:hAnsi="宋体" w:cs="黑体" w:hint="eastAsia"/>
          <w:bCs/>
          <w:sz w:val="24"/>
          <w:szCs w:val="24"/>
          <w:highlight w:val="none"/>
        </w:rPr>
        <w:t>：</w:t>
      </w:r>
    </w:p>
    <w:p>
      <w:pPr>
        <w:numPr>
          <w:ilvl w:val="0"/>
          <w:numId w:val="0"/>
        </w:numPr>
        <w:autoSpaceDE w:val="0"/>
        <w:autoSpaceDN w:val="0"/>
        <w:adjustRightInd w:val="0"/>
        <w:snapToGrid w:val="0"/>
        <w:spacing w:line="360" w:lineRule="auto"/>
        <w:ind w:left="466" w:firstLine="0" w:leftChars="222" w:firstLineChars="0"/>
        <w:rPr>
          <w:rFonts w:ascii="宋体" w:hAnsi="宋体" w:cs="黑体"/>
          <w:b w:val="0"/>
          <w:bCs w:val="0"/>
          <w:sz w:val="24"/>
          <w:szCs w:val="24"/>
          <w:highlight w:val="none"/>
        </w:rPr>
      </w:pPr>
      <w:r>
        <w:rPr>
          <w:rFonts w:ascii="宋体" w:hAnsi="宋体" w:cs="黑体" w:hint="eastAsia"/>
          <w:b w:val="0"/>
          <w:bCs w:val="0"/>
          <w:sz w:val="24"/>
          <w:szCs w:val="24"/>
          <w:highlight w:val="none"/>
        </w:rPr>
        <w:t>参与政府采购活动的供应商认为自己的权益在采购活动中受到损害的，应当自知道或者应当知道其权益受到损害之日起七个工作日内向采购人、采购</w:t>
      </w:r>
      <w:r>
        <w:rPr>
          <w:rFonts w:ascii="宋体" w:hAnsi="宋体" w:cs="黑体" w:hint="eastAsia"/>
          <w:b w:val="0"/>
          <w:bCs w:val="0"/>
          <w:sz w:val="24"/>
          <w:szCs w:val="24"/>
          <w:highlight w:val="none"/>
          <w:lang w:val="en-US" w:eastAsia="zh-CN"/>
        </w:rPr>
        <w:t>代理</w:t>
      </w:r>
      <w:r>
        <w:rPr>
          <w:rFonts w:ascii="宋体" w:hAnsi="宋体" w:cs="黑体" w:hint="eastAsia"/>
          <w:b w:val="0"/>
          <w:bCs w:val="0"/>
          <w:sz w:val="24"/>
          <w:szCs w:val="24"/>
          <w:highlight w:val="none"/>
        </w:rPr>
        <w:t>机构以书面形式提出质疑。</w:t>
      </w:r>
    </w:p>
    <w:p>
      <w:pPr>
        <w:numPr>
          <w:ilvl w:val="1"/>
          <w:numId w:val="54"/>
        </w:numPr>
        <w:autoSpaceDE w:val="0"/>
        <w:autoSpaceDN w:val="0"/>
        <w:adjustRightInd w:val="0"/>
        <w:snapToGrid w:val="0"/>
        <w:spacing w:line="360" w:lineRule="auto"/>
        <w:ind w:left="566" w:hanging="496" w:hangingChars="236"/>
        <w:rPr>
          <w:rFonts w:ascii="宋体" w:hAnsi="宋体" w:cs="黑体"/>
          <w:b/>
          <w:bCs/>
          <w:sz w:val="24"/>
          <w:szCs w:val="24"/>
          <w:highlight w:val="none"/>
        </w:rPr>
      </w:pPr>
      <w:r>
        <w:rPr>
          <w:rFonts w:ascii="宋体" w:hAnsi="宋体" w:cs="黑体" w:hint="eastAsia"/>
          <w:bCs/>
          <w:sz w:val="24"/>
          <w:szCs w:val="24"/>
          <w:highlight w:val="none"/>
        </w:rPr>
        <w:t>质疑期限：</w:t>
      </w:r>
    </w:p>
    <w:p>
      <w:pPr>
        <w:numPr>
          <w:ilvl w:val="2"/>
          <w:numId w:val="54"/>
        </w:numPr>
        <w:tabs>
          <w:tab w:val="left" w:pos="142"/>
          <w:tab w:val="clear" w:pos="567"/>
        </w:tabs>
        <w:autoSpaceDE w:val="0"/>
        <w:autoSpaceDN w:val="0"/>
        <w:adjustRightInd w:val="0"/>
        <w:snapToGrid w:val="0"/>
        <w:spacing w:line="360" w:lineRule="auto"/>
        <w:ind w:left="355" w:hanging="498" w:leftChars="-68" w:hangingChars="237"/>
        <w:rPr>
          <w:rFonts w:ascii="宋体" w:hAnsi="宋体" w:cs="宋体" w:hint="eastAsia"/>
          <w:sz w:val="24"/>
          <w:szCs w:val="24"/>
          <w:highlight w:val="none"/>
        </w:rPr>
      </w:pPr>
      <w:bookmarkStart w:id="120" w:name="_Hlk30667144"/>
      <w:r>
        <w:rPr>
          <w:rFonts w:ascii="宋体" w:hAnsi="宋体" w:cs="宋体" w:hint="eastAsia"/>
          <w:sz w:val="24"/>
          <w:szCs w:val="24"/>
          <w:highlight w:val="none"/>
        </w:rPr>
        <w:t>供应商认为</w:t>
      </w:r>
      <w:r>
        <w:rPr>
          <w:rFonts w:ascii="宋体" w:hAnsi="宋体" w:cs="宋体" w:hint="eastAsia"/>
          <w:sz w:val="24"/>
          <w:szCs w:val="24"/>
          <w:highlight w:val="none"/>
          <w:lang w:val="en-US" w:eastAsia="zh-CN"/>
        </w:rPr>
        <w:t>招标</w:t>
      </w:r>
      <w:r>
        <w:rPr>
          <w:rFonts w:ascii="宋体" w:hAnsi="宋体" w:cs="宋体" w:hint="eastAsia"/>
          <w:sz w:val="24"/>
          <w:szCs w:val="24"/>
          <w:highlight w:val="none"/>
        </w:rPr>
        <w:t>文件的内容损害其权益的，</w:t>
      </w:r>
      <w:r>
        <w:rPr>
          <w:rFonts w:ascii="宋体" w:hAnsi="宋体" w:cs="宋体" w:hint="eastAsia"/>
          <w:sz w:val="24"/>
          <w:szCs w:val="24"/>
          <w:highlight w:val="none"/>
          <w:lang w:val="en-US" w:eastAsia="zh-CN"/>
        </w:rPr>
        <w:t>应当在</w:t>
      </w:r>
      <w:r>
        <w:rPr>
          <w:rFonts w:ascii="宋体" w:hAnsi="宋体" w:cs="宋体" w:hint="eastAsia"/>
          <w:sz w:val="24"/>
          <w:szCs w:val="24"/>
          <w:highlight w:val="none"/>
        </w:rPr>
        <w:t>法定质疑期</w:t>
      </w:r>
      <w:r>
        <w:rPr>
          <w:rFonts w:ascii="宋体" w:hAnsi="宋体" w:cs="宋体" w:hint="eastAsia"/>
          <w:sz w:val="24"/>
          <w:szCs w:val="24"/>
          <w:highlight w:val="none"/>
          <w:lang w:val="en-US" w:eastAsia="zh-CN"/>
        </w:rPr>
        <w:t>限</w:t>
      </w:r>
      <w:r>
        <w:rPr>
          <w:rFonts w:ascii="宋体" w:hAnsi="宋体" w:cs="宋体" w:hint="eastAsia"/>
          <w:sz w:val="24"/>
          <w:szCs w:val="24"/>
          <w:highlight w:val="none"/>
          <w:lang w:eastAsia="zh-CN"/>
        </w:rPr>
        <w:t>（</w:t>
      </w:r>
      <w:r>
        <w:rPr>
          <w:rFonts w:ascii="宋体" w:hAnsi="宋体" w:cs="宋体" w:hint="eastAsia"/>
          <w:sz w:val="24"/>
          <w:szCs w:val="24"/>
          <w:highlight w:val="none"/>
          <w:lang w:val="en-US" w:eastAsia="zh-CN"/>
        </w:rPr>
        <w:t>即</w:t>
      </w:r>
      <w:r>
        <w:rPr>
          <w:rFonts w:ascii="宋体" w:hAnsi="宋体" w:cs="宋体" w:hint="eastAsia"/>
          <w:sz w:val="24"/>
          <w:szCs w:val="24"/>
          <w:highlight w:val="none"/>
        </w:rPr>
        <w:t>自知道或应当知道权益受到损害之日起7个工作日内</w:t>
      </w:r>
      <w:r>
        <w:rPr>
          <w:rFonts w:ascii="宋体" w:hAnsi="宋体" w:cs="宋体" w:hint="eastAsia"/>
          <w:sz w:val="24"/>
          <w:szCs w:val="24"/>
          <w:highlight w:val="none"/>
          <w:lang w:eastAsia="zh-CN"/>
        </w:rPr>
        <w:t>）</w:t>
      </w:r>
      <w:r>
        <w:rPr>
          <w:rFonts w:ascii="宋体" w:hAnsi="宋体" w:cs="宋体" w:hint="eastAsia"/>
          <w:sz w:val="24"/>
          <w:szCs w:val="24"/>
          <w:highlight w:val="none"/>
          <w:lang w:val="en-US" w:eastAsia="zh-CN"/>
        </w:rPr>
        <w:t>提出</w:t>
      </w:r>
      <w:r>
        <w:rPr>
          <w:rFonts w:ascii="宋体" w:hAnsi="宋体" w:cs="宋体" w:hint="eastAsia"/>
          <w:sz w:val="24"/>
          <w:szCs w:val="24"/>
          <w:highlight w:val="none"/>
        </w:rPr>
        <w:t>。应当知道其权益受到损害之日是指对招标文件的质疑，为招标文件公布之日。</w:t>
      </w:r>
    </w:p>
    <w:p>
      <w:pPr>
        <w:numPr>
          <w:ilvl w:val="2"/>
          <w:numId w:val="54"/>
        </w:numPr>
        <w:tabs>
          <w:tab w:val="left" w:pos="142"/>
          <w:tab w:val="clear" w:pos="567"/>
        </w:tabs>
        <w:autoSpaceDE w:val="0"/>
        <w:autoSpaceDN w:val="0"/>
        <w:adjustRightInd w:val="0"/>
        <w:snapToGrid w:val="0"/>
        <w:spacing w:line="360" w:lineRule="auto"/>
        <w:ind w:left="355" w:hanging="498" w:leftChars="-68" w:hangingChars="237"/>
        <w:rPr>
          <w:rFonts w:ascii="宋体" w:hAnsi="宋体" w:cs="黑体"/>
          <w:bCs/>
          <w:sz w:val="24"/>
          <w:szCs w:val="24"/>
          <w:highlight w:val="none"/>
        </w:rPr>
      </w:pPr>
      <w:r>
        <w:rPr>
          <w:rFonts w:ascii="宋体" w:hAnsi="宋体" w:cs="黑体" w:hint="eastAsia"/>
          <w:bCs/>
          <w:sz w:val="24"/>
          <w:szCs w:val="24"/>
          <w:highlight w:val="none"/>
        </w:rPr>
        <w:t>供应商认为采购过程损害其权益的，应在各采购程序环节结束之日起七个工作日内。</w:t>
      </w:r>
    </w:p>
    <w:p>
      <w:pPr>
        <w:numPr>
          <w:ilvl w:val="2"/>
          <w:numId w:val="54"/>
        </w:numPr>
        <w:tabs>
          <w:tab w:val="left" w:pos="142"/>
          <w:tab w:val="clear" w:pos="567"/>
        </w:tabs>
        <w:autoSpaceDE w:val="0"/>
        <w:autoSpaceDN w:val="0"/>
        <w:adjustRightInd w:val="0"/>
        <w:snapToGrid w:val="0"/>
        <w:spacing w:line="360" w:lineRule="auto"/>
        <w:ind w:left="355" w:hanging="498" w:leftChars="-68" w:hangingChars="237"/>
        <w:rPr>
          <w:rFonts w:ascii="宋体" w:hAnsi="宋体" w:cs="黑体"/>
          <w:bCs/>
          <w:sz w:val="24"/>
          <w:szCs w:val="24"/>
        </w:rPr>
      </w:pPr>
      <w:r>
        <w:rPr>
          <w:rFonts w:ascii="宋体" w:hAnsi="宋体" w:cs="黑体" w:hint="eastAsia"/>
          <w:bCs/>
          <w:sz w:val="24"/>
          <w:szCs w:val="24"/>
          <w:highlight w:val="none"/>
        </w:rPr>
        <w:t>供应商认为中标或者成交结果</w:t>
      </w:r>
      <w:r>
        <w:rPr>
          <w:rFonts w:ascii="宋体" w:hAnsi="宋体" w:cs="黑体" w:hint="eastAsia"/>
          <w:bCs/>
          <w:sz w:val="24"/>
          <w:szCs w:val="24"/>
        </w:rPr>
        <w:t>以及评审委员会、谈判小组、竞价小组组成人员损害其权益的，应在中标或者成交结果公示之日起七个工作日内。</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bookmarkEnd w:id="120"/>
      <w:r>
        <w:rPr>
          <w:rFonts w:ascii="宋体" w:hAnsi="宋体" w:cs="黑体" w:hint="eastAsia"/>
          <w:bCs/>
          <w:sz w:val="24"/>
        </w:rPr>
        <w:t>提交要求：</w:t>
      </w:r>
    </w:p>
    <w:p>
      <w:pPr>
        <w:numPr>
          <w:ilvl w:val="2"/>
          <w:numId w:val="54"/>
        </w:numPr>
        <w:autoSpaceDE w:val="0"/>
        <w:autoSpaceDN w:val="0"/>
        <w:adjustRightInd w:val="0"/>
        <w:snapToGrid w:val="0"/>
        <w:spacing w:line="360" w:lineRule="auto"/>
        <w:ind w:left="566" w:hanging="496" w:hangingChars="236"/>
        <w:rPr>
          <w:rFonts w:ascii="宋体" w:hAnsi="宋体" w:cs="黑体"/>
          <w:bCs/>
          <w:sz w:val="24"/>
        </w:rPr>
      </w:pPr>
      <w:r>
        <w:rPr>
          <w:rFonts w:hint="eastAsia"/>
          <w:bCs/>
          <w:sz w:val="24"/>
        </w:rPr>
        <w:t>登录“</w:t>
      </w:r>
      <w:r>
        <w:rPr>
          <w:rFonts w:asciiTheme="minorEastAsia" w:eastAsiaTheme="minorEastAsia" w:hAnsiTheme="minorEastAsia" w:hint="eastAsia"/>
          <w:sz w:val="24"/>
        </w:rPr>
        <w:t>深圳政府采购智慧平台（http://zfcg.szggzy.com:8081/）</w:t>
      </w:r>
      <w:r>
        <w:rPr>
          <w:rFonts w:hint="eastAsia"/>
          <w:bCs/>
          <w:sz w:val="24"/>
        </w:rPr>
        <w:t>”提出或</w:t>
      </w:r>
      <w:r>
        <w:rPr>
          <w:rFonts w:ascii="宋体" w:hAnsi="宋体" w:cs="黑体" w:hint="eastAsia"/>
          <w:bCs/>
          <w:sz w:val="24"/>
        </w:rPr>
        <w:t>以书面形式向采购人或者采购代理机构</w:t>
      </w:r>
      <w:r>
        <w:rPr>
          <w:rFonts w:ascii="宋体" w:hAnsi="宋体" w:cs="宋体" w:hint="eastAsia"/>
          <w:sz w:val="24"/>
        </w:rPr>
        <w:t>一次性提出针对同一采购程序环节的</w:t>
      </w:r>
      <w:r>
        <w:rPr>
          <w:rFonts w:ascii="宋体" w:hAnsi="宋体" w:cs="黑体" w:hint="eastAsia"/>
          <w:bCs/>
          <w:sz w:val="24"/>
        </w:rPr>
        <w:t>质疑。</w:t>
      </w:r>
    </w:p>
    <w:p>
      <w:pPr>
        <w:numPr>
          <w:ilvl w:val="2"/>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以联合体形式参加政府采购活动的，其质疑应当由组成联合体的所有供应商共同提出。</w:t>
      </w:r>
    </w:p>
    <w:p>
      <w:pPr>
        <w:numPr>
          <w:ilvl w:val="2"/>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质疑函应当包括下列内容：</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供应商的姓名或者名称、地址、邮编、联系人及联系电话；</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质疑项目的名称及编号；</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具体、明确的质疑事项和与质疑事项相关的请求；</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事实依据；</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必要的法律依据；</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提出质疑的日期。</w:t>
      </w:r>
    </w:p>
    <w:p>
      <w:pPr>
        <w:numPr>
          <w:ilvl w:val="2"/>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供应商为自然人的，质疑函应当由本人签字；供应商为法人或者其他组织的，应当由法定代表人、主要负责人或授权代表签字或者盖个人名章，并加盖公章。供应商递交质疑函时非法定代表人亲自办理的，应提供法定代表人授权委托书和授权代表身份证复印件，其授权委托书应载明授权代表的姓名或者名称、代理事项、具体权限、期限和相关事项。</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供应商捏造事实、提供虚假材料或者以非法手段取得证明材料不能作为质疑的证明材料。</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宋体" w:hint="eastAsia"/>
          <w:sz w:val="24"/>
          <w:lang w:eastAsia="zh-TW"/>
        </w:rPr>
        <w:t>采购人或者采购代理机构</w:t>
      </w:r>
      <w:r>
        <w:rPr>
          <w:rFonts w:ascii="宋体" w:hAnsi="宋体" w:hint="eastAsia"/>
          <w:sz w:val="24"/>
        </w:rPr>
        <w:t>在收到投标人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hAnsi="宋体" w:hint="eastAsia"/>
          <w:snapToGrid w:val="0"/>
          <w:sz w:val="24"/>
        </w:rPr>
        <w:t>采购人或采购代理机构接收以书面形式递交的质疑函，接收质疑函的联系人、联系方式和通讯地址详见</w:t>
      </w:r>
      <w:r>
        <w:rPr>
          <w:rFonts w:hAnsi="宋体" w:hint="eastAsia"/>
          <w:b/>
          <w:snapToGrid w:val="0"/>
          <w:sz w:val="24"/>
        </w:rPr>
        <w:t>投标人须知前附表</w:t>
      </w:r>
      <w:r>
        <w:rPr>
          <w:rFonts w:ascii="宋体" w:hAnsi="宋体" w:hint="eastAsia"/>
          <w:sz w:val="24"/>
        </w:rPr>
        <w:t>。</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hint="eastAsia"/>
          <w:sz w:val="24"/>
        </w:rPr>
        <w:t>具体询问、质疑函的格式详见本须知附件。</w:t>
      </w:r>
    </w:p>
    <w:p>
      <w:pPr>
        <w:numPr>
          <w:ilvl w:val="0"/>
          <w:numId w:val="54"/>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投诉</w:t>
      </w:r>
    </w:p>
    <w:p>
      <w:pPr>
        <w:tabs>
          <w:tab w:val="left" w:pos="709"/>
        </w:tabs>
        <w:autoSpaceDE w:val="0"/>
        <w:autoSpaceDN w:val="0"/>
        <w:adjustRightInd w:val="0"/>
        <w:snapToGrid w:val="0"/>
        <w:spacing w:line="360" w:lineRule="auto"/>
        <w:ind w:firstLine="420" w:firstLineChars="200"/>
        <w:rPr>
          <w:rFonts w:ascii="宋体" w:hAnsi="宋体" w:cs="宋体"/>
          <w:szCs w:val="21"/>
        </w:rPr>
      </w:pPr>
      <w:r>
        <w:rPr>
          <w:rFonts w:ascii="宋体" w:hAnsi="宋体" w:hint="eastAsia"/>
          <w:sz w:val="24"/>
        </w:rPr>
        <w:t>质疑供应商对</w:t>
      </w:r>
      <w:r>
        <w:rPr>
          <w:rFonts w:ascii="宋体" w:hAnsi="宋体" w:cs="宋体" w:hint="eastAsia"/>
          <w:sz w:val="24"/>
          <w:lang w:eastAsia="zh-TW"/>
        </w:rPr>
        <w:t>采购人或者采购代理机构</w:t>
      </w:r>
      <w:r>
        <w:rPr>
          <w:rFonts w:ascii="宋体" w:hAnsi="宋体" w:hint="eastAsia"/>
          <w:sz w:val="24"/>
        </w:rPr>
        <w:t>的质疑答复不满意，或</w:t>
      </w:r>
      <w:r>
        <w:rPr>
          <w:rFonts w:ascii="宋体" w:hAnsi="宋体" w:cs="宋体" w:hint="eastAsia"/>
          <w:sz w:val="24"/>
          <w:lang w:eastAsia="zh-TW"/>
        </w:rPr>
        <w:t>采购人或者采购代理机构</w:t>
      </w:r>
      <w:r>
        <w:rPr>
          <w:rFonts w:ascii="宋体" w:hAnsi="宋体" w:hint="eastAsia"/>
          <w:sz w:val="24"/>
        </w:rPr>
        <w:t>未在规定期限内作出答复的，可以在答复期满后十五个工作日内向政府采购监督管理部门提出投诉。</w:t>
      </w:r>
    </w:p>
    <w:p>
      <w:pPr>
        <w:widowControl/>
        <w:jc w:val="left"/>
        <w:rPr>
          <w:rFonts w:ascii="宋体" w:hAnsi="宋体" w:cs="宋体"/>
          <w:szCs w:val="21"/>
        </w:rPr>
      </w:pPr>
      <w:r>
        <w:rPr>
          <w:rFonts w:ascii="宋体" w:hAnsi="宋体" w:cs="宋体"/>
          <w:szCs w:val="21"/>
        </w:rPr>
        <w:br w:type="page"/>
      </w:r>
    </w:p>
    <w:p>
      <w:pPr>
        <w:autoSpaceDE w:val="0"/>
        <w:autoSpaceDN w:val="0"/>
        <w:adjustRightInd w:val="0"/>
        <w:snapToGrid w:val="0"/>
        <w:spacing w:line="360" w:lineRule="auto"/>
        <w:rPr>
          <w:rFonts w:ascii="宋体" w:hAnsi="宋体"/>
          <w:b/>
          <w:color w:val="000000"/>
          <w:sz w:val="24"/>
        </w:rPr>
      </w:pPr>
      <w:r>
        <w:rPr>
          <w:rFonts w:ascii="宋体" w:hAnsi="宋体" w:hint="eastAsia"/>
          <w:b/>
          <w:bCs/>
          <w:sz w:val="24"/>
        </w:rPr>
        <w:t>附件：询问函、质疑函格式</w:t>
      </w:r>
    </w:p>
    <w:p>
      <w:pPr>
        <w:snapToGrid w:val="0"/>
        <w:spacing w:line="360" w:lineRule="auto"/>
        <w:rPr>
          <w:rFonts w:ascii="宋体" w:hAnsi="宋体"/>
          <w:b/>
          <w:color w:val="000000"/>
          <w:sz w:val="24"/>
        </w:rPr>
      </w:pPr>
      <w:r>
        <w:rPr>
          <w:rFonts w:ascii="宋体" w:hAnsi="宋体" w:hint="eastAsia"/>
          <w:b/>
          <w:color w:val="000000"/>
          <w:sz w:val="24"/>
        </w:rPr>
        <w:t>说明：本部分格式为投标人提交询问函、质疑函时使用，不属于投标文件格式的组成部分。</w:t>
      </w:r>
    </w:p>
    <w:p>
      <w:pPr>
        <w:pStyle w:val="NormalWeb"/>
        <w:adjustRightInd w:val="0"/>
        <w:snapToGrid w:val="0"/>
        <w:spacing w:before="0" w:beforeAutospacing="0" w:after="0" w:afterAutospacing="0" w:line="360" w:lineRule="auto"/>
        <w:jc w:val="both"/>
      </w:pPr>
    </w:p>
    <w:p>
      <w:pPr>
        <w:pStyle w:val="NormalWeb"/>
        <w:adjustRightInd w:val="0"/>
        <w:snapToGrid w:val="0"/>
        <w:spacing w:before="0" w:beforeAutospacing="0" w:after="0" w:afterAutospacing="0" w:line="360" w:lineRule="auto"/>
        <w:jc w:val="both"/>
        <w:rPr>
          <w:b/>
        </w:rPr>
      </w:pPr>
      <w:r>
        <w:rPr>
          <w:rFonts w:hint="eastAsia"/>
          <w:b/>
        </w:rPr>
        <w:t>1.询问函格式</w:t>
      </w:r>
    </w:p>
    <w:p>
      <w:pPr>
        <w:pStyle w:val="NormalWeb"/>
        <w:spacing w:before="0" w:beforeAutospacing="0" w:after="0" w:afterAutospacing="0" w:line="360" w:lineRule="auto"/>
        <w:jc w:val="center"/>
        <w:rPr>
          <w:rStyle w:val="Strong"/>
        </w:rPr>
      </w:pPr>
      <w:r>
        <w:rPr>
          <w:rStyle w:val="Strong"/>
          <w:rFonts w:hint="eastAsia"/>
        </w:rPr>
        <w:t>询问函</w:t>
      </w:r>
    </w:p>
    <w:p>
      <w:pPr>
        <w:widowControl/>
        <w:snapToGrid w:val="0"/>
        <w:spacing w:line="360" w:lineRule="auto"/>
        <w:rPr>
          <w:rFonts w:ascii="宋体" w:hAnsi="宋体"/>
          <w:sz w:val="24"/>
        </w:rPr>
      </w:pPr>
      <w:r>
        <w:rPr>
          <w:rFonts w:ascii="宋体" w:hAnsi="宋体" w:hint="eastAsia"/>
          <w:sz w:val="24"/>
          <w:u w:val="single"/>
        </w:rPr>
        <w:t>采联国际招标采购集团有限公司</w:t>
      </w:r>
      <w:r>
        <w:rPr>
          <w:rFonts w:ascii="宋体" w:hAnsi="宋体" w:hint="eastAsia"/>
          <w:sz w:val="24"/>
        </w:rPr>
        <w:t>：</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我单位已报名并准备参与</w:t>
      </w:r>
      <w:r>
        <w:rPr>
          <w:rFonts w:ascii="宋体" w:hAnsi="宋体" w:hint="eastAsia"/>
          <w:sz w:val="24"/>
          <w:u w:val="single"/>
          <w:lang w:eastAsia="zh-CN"/>
        </w:rPr>
        <w:t>智能计算与系统-高级白盒可编程路由器</w:t>
      </w:r>
      <w:r>
        <w:rPr>
          <w:rFonts w:ascii="宋体" w:hAnsi="宋体" w:hint="eastAsia"/>
          <w:sz w:val="24"/>
        </w:rPr>
        <w:t>（项目采购编号：</w:t>
      </w:r>
      <w:r>
        <w:rPr>
          <w:rFonts w:ascii="宋体" w:hAnsi="宋体" w:hint="eastAsia"/>
          <w:sz w:val="24"/>
          <w:lang w:eastAsia="zh-CN"/>
        </w:rPr>
        <w:t>SZDL2023001961（CLF0123SZ17ZC27）</w:t>
      </w:r>
      <w:r>
        <w:rPr>
          <w:rFonts w:ascii="宋体" w:hAnsi="宋体" w:hint="eastAsia"/>
          <w:sz w:val="24"/>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sz w:val="24"/>
        </w:rPr>
      </w:pPr>
      <w:r>
        <w:rPr>
          <w:rFonts w:ascii="宋体" w:hAnsi="宋体" w:hint="eastAsia"/>
          <w:sz w:val="24"/>
        </w:rPr>
        <w:t>一、_____________________（事项一）</w:t>
      </w:r>
      <w:r>
        <w:rPr>
          <w:rFonts w:ascii="宋体" w:hAnsi="宋体"/>
          <w:sz w:val="24"/>
        </w:rPr>
        <w:tab/>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（1）____________________（问题或条款内容）</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（2）____________________（说明疑问或无法理解原因）</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（3）____________________（建议）</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二、_____________________（事项二）</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w:t>
      </w:r>
    </w:p>
    <w:p>
      <w:pPr>
        <w:widowControl/>
        <w:tabs>
          <w:tab w:val="left" w:pos="6300"/>
        </w:tabs>
        <w:snapToGrid w:val="0"/>
        <w:spacing w:line="360" w:lineRule="auto"/>
        <w:jc w:val="left"/>
        <w:rPr>
          <w:rFonts w:ascii="宋体" w:hAnsi="宋体"/>
          <w:b/>
          <w:sz w:val="24"/>
        </w:rPr>
      </w:pPr>
      <w:r>
        <w:rPr>
          <w:rFonts w:ascii="宋体" w:hAnsi="宋体" w:hint="eastAsia"/>
          <w:b/>
          <w:sz w:val="24"/>
        </w:rPr>
        <w:t>随附相关证明材料如下：（目录）。</w:t>
      </w:r>
    </w:p>
    <w:p>
      <w:pPr>
        <w:widowControl/>
        <w:tabs>
          <w:tab w:val="left" w:pos="6300"/>
        </w:tabs>
        <w:snapToGrid w:val="0"/>
        <w:spacing w:line="360" w:lineRule="auto"/>
        <w:ind w:firstLine="1260" w:firstLineChars="600"/>
        <w:rPr>
          <w:rFonts w:ascii="宋体" w:hAnsi="宋体"/>
          <w:sz w:val="24"/>
        </w:rPr>
      </w:pPr>
    </w:p>
    <w:p>
      <w:pPr>
        <w:widowControl/>
        <w:tabs>
          <w:tab w:val="left" w:pos="6300"/>
        </w:tabs>
        <w:snapToGrid w:val="0"/>
        <w:spacing w:line="360" w:lineRule="auto"/>
        <w:jc w:val="left"/>
        <w:rPr>
          <w:rFonts w:ascii="宋体" w:hAnsi="宋体"/>
          <w:sz w:val="24"/>
        </w:rPr>
      </w:pPr>
      <w:r>
        <w:rPr>
          <w:rFonts w:ascii="宋体" w:hAnsi="宋体" w:hint="eastAsia"/>
          <w:sz w:val="24"/>
        </w:rPr>
        <w:t>询问人（公章）：</w:t>
      </w:r>
    </w:p>
    <w:p>
      <w:pPr>
        <w:widowControl/>
        <w:tabs>
          <w:tab w:val="left" w:pos="6300"/>
        </w:tabs>
        <w:snapToGrid w:val="0"/>
        <w:spacing w:line="360" w:lineRule="auto"/>
        <w:jc w:val="left"/>
        <w:rPr>
          <w:rFonts w:ascii="宋体" w:hAnsi="宋体"/>
          <w:sz w:val="24"/>
        </w:rPr>
      </w:pPr>
      <w:r>
        <w:rPr>
          <w:rFonts w:ascii="宋体" w:hAnsi="宋体" w:hint="eastAsia"/>
          <w:sz w:val="24"/>
        </w:rPr>
        <w:t>法定代表人（授权代表）：</w:t>
      </w:r>
    </w:p>
    <w:p>
      <w:pPr>
        <w:tabs>
          <w:tab w:val="left" w:pos="6300"/>
        </w:tabs>
        <w:snapToGrid w:val="0"/>
        <w:spacing w:line="360" w:lineRule="auto"/>
        <w:jc w:val="left"/>
        <w:rPr>
          <w:rFonts w:ascii="宋体" w:hAnsi="宋体"/>
          <w:sz w:val="24"/>
        </w:rPr>
      </w:pPr>
      <w:r>
        <w:rPr>
          <w:rFonts w:ascii="宋体" w:hAnsi="宋体" w:hint="eastAsia"/>
          <w:sz w:val="24"/>
        </w:rPr>
        <w:t>地址/邮编：</w:t>
      </w:r>
    </w:p>
    <w:p>
      <w:pPr>
        <w:tabs>
          <w:tab w:val="left" w:pos="6300"/>
        </w:tabs>
        <w:snapToGrid w:val="0"/>
        <w:spacing w:line="360" w:lineRule="auto"/>
        <w:jc w:val="left"/>
        <w:rPr>
          <w:rFonts w:ascii="宋体" w:hAnsi="宋体"/>
          <w:sz w:val="24"/>
        </w:rPr>
      </w:pPr>
      <w:r>
        <w:rPr>
          <w:rFonts w:ascii="宋体" w:hAnsi="宋体" w:hint="eastAsia"/>
          <w:sz w:val="24"/>
        </w:rPr>
        <w:t>电话/传真：</w:t>
      </w:r>
    </w:p>
    <w:p>
      <w:pPr>
        <w:tabs>
          <w:tab w:val="left" w:pos="6300"/>
        </w:tabs>
        <w:snapToGrid w:val="0"/>
        <w:spacing w:line="360" w:lineRule="auto"/>
        <w:jc w:val="left"/>
        <w:rPr>
          <w:rFonts w:ascii="宋体" w:hAnsi="宋体"/>
          <w:sz w:val="24"/>
        </w:rPr>
      </w:pPr>
      <w:r>
        <w:rPr>
          <w:rFonts w:ascii="宋体" w:hAnsi="宋体" w:hint="eastAsia"/>
          <w:sz w:val="24"/>
        </w:rPr>
        <w:t>电子邮箱：</w:t>
      </w:r>
    </w:p>
    <w:p>
      <w:pPr>
        <w:wordWrap w:val="0"/>
        <w:spacing w:line="360" w:lineRule="auto"/>
        <w:jc w:val="left"/>
        <w:rPr>
          <w:rFonts w:ascii="宋体" w:hAnsi="宋体"/>
          <w:sz w:val="24"/>
        </w:rPr>
      </w:pPr>
      <w:r>
        <w:rPr>
          <w:rFonts w:ascii="宋体" w:hAnsi="宋体" w:hint="eastAsia"/>
          <w:sz w:val="24"/>
        </w:rPr>
        <w:t>日期：  年   月  日</w:t>
      </w:r>
    </w:p>
    <w:p>
      <w:pPr>
        <w:snapToGrid w:val="0"/>
        <w:spacing w:line="360" w:lineRule="auto"/>
        <w:ind w:firstLine="422" w:firstLineChars="201"/>
        <w:rPr>
          <w:rFonts w:ascii="宋体" w:hAnsi="宋体"/>
          <w:sz w:val="24"/>
        </w:rPr>
      </w:pPr>
    </w:p>
    <w:p>
      <w:pPr>
        <w:pStyle w:val="NormalWeb"/>
        <w:adjustRightInd w:val="0"/>
        <w:snapToGrid w:val="0"/>
        <w:spacing w:before="0" w:beforeAutospacing="0" w:after="0" w:afterAutospacing="0" w:line="360" w:lineRule="auto"/>
        <w:jc w:val="both"/>
      </w:pPr>
      <w:r>
        <w:br w:type="page"/>
      </w:r>
      <w:r>
        <w:rPr>
          <w:rFonts w:hint="eastAsia"/>
          <w:b/>
        </w:rPr>
        <w:t>2.质疑函格式</w:t>
      </w:r>
    </w:p>
    <w:p>
      <w:pPr>
        <w:jc w:val="center"/>
        <w:rPr>
          <w:rFonts w:ascii="宋体" w:hAnsi="宋体" w:cs="仿宋"/>
          <w:b/>
          <w:bCs/>
          <w:sz w:val="24"/>
        </w:rPr>
      </w:pPr>
      <w:r>
        <w:rPr>
          <w:rFonts w:ascii="宋体" w:hAnsi="宋体" w:cs="仿宋" w:hint="eastAsia"/>
          <w:b/>
          <w:bCs/>
          <w:sz w:val="24"/>
        </w:rPr>
        <w:t>质疑函范本</w:t>
      </w:r>
    </w:p>
    <w:p>
      <w:pPr>
        <w:adjustRightInd w:val="0"/>
        <w:snapToGrid w:val="0"/>
        <w:spacing w:line="360" w:lineRule="auto"/>
        <w:rPr>
          <w:rFonts w:ascii="宋体" w:hAnsi="宋体" w:cs="仿宋"/>
          <w:b/>
          <w:bCs/>
          <w:sz w:val="24"/>
        </w:rPr>
      </w:pPr>
      <w:r>
        <w:rPr>
          <w:rFonts w:ascii="宋体" w:hAnsi="宋体" w:cs="仿宋" w:hint="eastAsia"/>
          <w:b/>
          <w:bCs/>
          <w:sz w:val="24"/>
        </w:rPr>
        <w:t>一、质疑供应商基本信息</w:t>
      </w:r>
    </w:p>
    <w:p>
      <w:pPr>
        <w:adjustRightInd w:val="0"/>
        <w:snapToGrid w:val="0"/>
        <w:spacing w:line="360" w:lineRule="auto"/>
        <w:rPr>
          <w:rFonts w:ascii="宋体" w:hAnsi="宋体" w:cs="仿宋"/>
          <w:sz w:val="24"/>
          <w:u w:val="dotted"/>
        </w:rPr>
      </w:pPr>
      <w:r>
        <w:rPr>
          <w:rFonts w:ascii="宋体" w:hAnsi="宋体" w:cs="仿宋" w:hint="eastAsia"/>
          <w:sz w:val="24"/>
        </w:rPr>
        <w:t>质疑供应商：</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地址：</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联系人：</w:t>
      </w:r>
      <w:r>
        <w:rPr>
          <w:rFonts w:ascii="宋体" w:hAnsi="宋体" w:cs="仿宋" w:hint="eastAsia"/>
          <w:sz w:val="24"/>
          <w:u w:val="single"/>
        </w:rPr>
        <w:t xml:space="preserve">                      </w:t>
      </w:r>
      <w:r>
        <w:rPr>
          <w:rFonts w:ascii="宋体" w:hAnsi="宋体" w:cs="仿宋" w:hint="eastAsia"/>
          <w:sz w:val="24"/>
        </w:rPr>
        <w:t>联系电话：</w:t>
      </w:r>
      <w:r>
        <w:rPr>
          <w:rFonts w:ascii="宋体" w:hAnsi="宋体" w:cs="仿宋" w:hint="eastAsia"/>
          <w:sz w:val="24"/>
          <w:u w:val="single"/>
        </w:rPr>
        <w:t xml:space="preserve">                              </w:t>
      </w:r>
    </w:p>
    <w:p>
      <w:pPr>
        <w:adjustRightInd w:val="0"/>
        <w:snapToGrid w:val="0"/>
        <w:spacing w:line="360" w:lineRule="auto"/>
        <w:rPr>
          <w:rFonts w:ascii="宋体" w:hAnsi="宋体" w:cs="仿宋"/>
          <w:sz w:val="24"/>
          <w:u w:val="dotted"/>
        </w:rPr>
      </w:pPr>
      <w:r>
        <w:rPr>
          <w:rFonts w:ascii="宋体" w:hAnsi="宋体" w:cs="仿宋" w:hint="eastAsia"/>
          <w:sz w:val="24"/>
        </w:rPr>
        <w:t>授权代表：</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联系电话：</w:t>
      </w:r>
      <w:r>
        <w:rPr>
          <w:rFonts w:ascii="宋体" w:hAnsi="宋体" w:cs="仿宋" w:hint="eastAsia"/>
          <w:sz w:val="24"/>
          <w:u w:val="single"/>
        </w:rPr>
        <w:t xml:space="preserve">                                           </w:t>
      </w:r>
      <w:r>
        <w:rPr>
          <w:rFonts w:ascii="宋体" w:hAnsi="宋体" w:cs="仿宋"/>
          <w:sz w:val="24"/>
        </w:rPr>
        <w:t xml:space="preserve"> </w:t>
      </w:r>
    </w:p>
    <w:p>
      <w:pPr>
        <w:adjustRightInd w:val="0"/>
        <w:snapToGrid w:val="0"/>
        <w:spacing w:line="360" w:lineRule="auto"/>
        <w:rPr>
          <w:rFonts w:ascii="宋体" w:hAnsi="宋体" w:cs="仿宋"/>
          <w:sz w:val="24"/>
        </w:rPr>
      </w:pPr>
      <w:r>
        <w:rPr>
          <w:rFonts w:ascii="宋体" w:hAnsi="宋体" w:cs="仿宋" w:hint="eastAsia"/>
          <w:sz w:val="24"/>
        </w:rPr>
        <w:t>地址：</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pPr>
        <w:adjustRightInd w:val="0"/>
        <w:snapToGrid w:val="0"/>
        <w:spacing w:line="360" w:lineRule="auto"/>
        <w:rPr>
          <w:rFonts w:ascii="宋体" w:hAnsi="宋体" w:cs="仿宋"/>
          <w:b/>
          <w:bCs/>
          <w:sz w:val="24"/>
        </w:rPr>
      </w:pPr>
      <w:r>
        <w:rPr>
          <w:rFonts w:ascii="宋体" w:hAnsi="宋体" w:cs="仿宋" w:hint="eastAsia"/>
          <w:b/>
          <w:bCs/>
          <w:sz w:val="24"/>
        </w:rPr>
        <w:t>二、质疑项目基本情况</w:t>
      </w:r>
    </w:p>
    <w:p>
      <w:pPr>
        <w:adjustRightInd w:val="0"/>
        <w:snapToGrid w:val="0"/>
        <w:spacing w:line="360" w:lineRule="auto"/>
        <w:rPr>
          <w:rFonts w:ascii="宋体" w:hAnsi="宋体" w:cs="仿宋"/>
          <w:sz w:val="24"/>
        </w:rPr>
      </w:pPr>
      <w:r>
        <w:rPr>
          <w:rFonts w:ascii="宋体" w:hAnsi="宋体" w:cs="仿宋" w:hint="eastAsia"/>
          <w:sz w:val="24"/>
        </w:rPr>
        <w:t>质疑项目的名称：</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质疑项目的编号：</w:t>
      </w:r>
      <w:r>
        <w:rPr>
          <w:rFonts w:ascii="宋体" w:hAnsi="宋体" w:cs="仿宋" w:hint="eastAsia"/>
          <w:sz w:val="24"/>
          <w:u w:val="single"/>
        </w:rPr>
        <w:t xml:space="preserve">               </w:t>
      </w:r>
      <w:r>
        <w:rPr>
          <w:rFonts w:ascii="宋体" w:hAnsi="宋体" w:cs="仿宋" w:hint="eastAsia"/>
          <w:sz w:val="24"/>
        </w:rPr>
        <w:t>包号：</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采购人名称：</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采购文件获取日期：</w:t>
      </w:r>
      <w:r>
        <w:rPr>
          <w:rFonts w:ascii="宋体" w:hAnsi="宋体" w:cs="仿宋" w:hint="eastAsia"/>
          <w:sz w:val="24"/>
          <w:u w:val="single"/>
        </w:rPr>
        <w:t xml:space="preserve">                                           </w:t>
      </w:r>
    </w:p>
    <w:p>
      <w:pPr>
        <w:adjustRightInd w:val="0"/>
        <w:snapToGrid w:val="0"/>
        <w:spacing w:line="360" w:lineRule="auto"/>
        <w:rPr>
          <w:rFonts w:ascii="宋体" w:hAnsi="宋体" w:cs="仿宋"/>
          <w:b/>
          <w:bCs/>
          <w:sz w:val="24"/>
        </w:rPr>
      </w:pPr>
      <w:r>
        <w:rPr>
          <w:rFonts w:ascii="宋体" w:hAnsi="宋体" w:cs="仿宋" w:hint="eastAsia"/>
          <w:b/>
          <w:bCs/>
          <w:sz w:val="24"/>
        </w:rPr>
        <w:t>三、质疑事项具体内容</w:t>
      </w:r>
    </w:p>
    <w:p>
      <w:pPr>
        <w:adjustRightInd w:val="0"/>
        <w:snapToGrid w:val="0"/>
        <w:spacing w:line="360" w:lineRule="auto"/>
        <w:rPr>
          <w:rFonts w:ascii="宋体" w:hAnsi="宋体" w:cs="仿宋"/>
          <w:sz w:val="24"/>
          <w:u w:val="single"/>
        </w:rPr>
      </w:pPr>
      <w:r>
        <w:rPr>
          <w:rFonts w:ascii="宋体" w:hAnsi="宋体" w:cs="仿宋" w:hint="eastAsia"/>
          <w:sz w:val="24"/>
        </w:rPr>
        <w:t>质疑事项1：</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事实依据：</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法律依据：</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u w:val="single"/>
        </w:rPr>
        <w:t xml:space="preserve">                                                     </w:t>
      </w:r>
    </w:p>
    <w:p>
      <w:pPr>
        <w:adjustRightInd w:val="0"/>
        <w:snapToGrid w:val="0"/>
        <w:spacing w:line="360" w:lineRule="auto"/>
        <w:rPr>
          <w:rFonts w:ascii="宋体" w:hAnsi="宋体" w:cs="仿宋"/>
          <w:sz w:val="24"/>
          <w:u w:val="dotted"/>
        </w:rPr>
      </w:pPr>
      <w:r>
        <w:rPr>
          <w:rFonts w:ascii="宋体" w:hAnsi="宋体" w:cs="仿宋" w:hint="eastAsia"/>
          <w:sz w:val="24"/>
        </w:rPr>
        <w:t>质疑事项2</w:t>
      </w:r>
    </w:p>
    <w:p>
      <w:pPr>
        <w:adjustRightInd w:val="0"/>
        <w:snapToGrid w:val="0"/>
        <w:spacing w:line="360" w:lineRule="auto"/>
        <w:rPr>
          <w:rFonts w:ascii="宋体" w:hAnsi="宋体" w:cs="仿宋"/>
          <w:sz w:val="24"/>
        </w:rPr>
      </w:pPr>
      <w:r>
        <w:rPr>
          <w:rFonts w:ascii="宋体" w:hAnsi="宋体" w:cs="仿宋" w:hint="eastAsia"/>
          <w:sz w:val="24"/>
        </w:rPr>
        <w:t>……</w:t>
      </w:r>
    </w:p>
    <w:p>
      <w:pPr>
        <w:adjustRightInd w:val="0"/>
        <w:snapToGrid w:val="0"/>
        <w:spacing w:line="360" w:lineRule="auto"/>
        <w:rPr>
          <w:rFonts w:ascii="宋体" w:hAnsi="宋体" w:cs="仿宋"/>
          <w:bCs/>
          <w:sz w:val="24"/>
        </w:rPr>
      </w:pPr>
      <w:r>
        <w:rPr>
          <w:rFonts w:ascii="宋体" w:hAnsi="宋体" w:cs="仿宋" w:hint="eastAsia"/>
          <w:bCs/>
          <w:sz w:val="24"/>
        </w:rPr>
        <w:t>四、与质疑事项相关的质疑请求</w:t>
      </w:r>
    </w:p>
    <w:p>
      <w:pPr>
        <w:adjustRightInd w:val="0"/>
        <w:snapToGrid w:val="0"/>
        <w:spacing w:line="360" w:lineRule="auto"/>
        <w:rPr>
          <w:rFonts w:ascii="宋体" w:hAnsi="宋体" w:cs="仿宋"/>
          <w:sz w:val="24"/>
          <w:u w:val="dotted"/>
        </w:rPr>
      </w:pPr>
      <w:r>
        <w:rPr>
          <w:rFonts w:ascii="宋体" w:hAnsi="宋体" w:cs="仿宋" w:hint="eastAsia"/>
          <w:sz w:val="24"/>
        </w:rPr>
        <w:t>请求：</w:t>
      </w:r>
      <w:r>
        <w:rPr>
          <w:rFonts w:ascii="宋体" w:hAnsi="宋体" w:cs="仿宋" w:hint="eastAsia"/>
          <w:sz w:val="24"/>
          <w:u w:val="single"/>
        </w:rPr>
        <w:t xml:space="preserve">                                               </w:t>
      </w:r>
    </w:p>
    <w:p>
      <w:pPr>
        <w:adjustRightInd w:val="0"/>
        <w:snapToGrid w:val="0"/>
        <w:spacing w:line="360" w:lineRule="auto"/>
        <w:rPr>
          <w:rFonts w:ascii="宋体" w:hAnsi="宋体"/>
          <w:sz w:val="24"/>
        </w:rPr>
      </w:pPr>
    </w:p>
    <w:p>
      <w:pPr>
        <w:widowControl/>
        <w:tabs>
          <w:tab w:val="left" w:pos="6300"/>
        </w:tabs>
        <w:snapToGrid w:val="0"/>
        <w:spacing w:line="360" w:lineRule="auto"/>
        <w:jc w:val="left"/>
        <w:rPr>
          <w:rFonts w:ascii="宋体" w:hAnsi="宋体"/>
          <w:sz w:val="24"/>
        </w:rPr>
      </w:pPr>
      <w:r>
        <w:rPr>
          <w:rFonts w:ascii="宋体" w:hAnsi="宋体" w:hint="eastAsia"/>
          <w:sz w:val="24"/>
        </w:rPr>
        <w:t>供应商（盖章）：</w:t>
      </w:r>
    </w:p>
    <w:p>
      <w:pPr>
        <w:widowControl/>
        <w:tabs>
          <w:tab w:val="left" w:pos="6300"/>
        </w:tabs>
        <w:snapToGrid w:val="0"/>
        <w:spacing w:line="360" w:lineRule="auto"/>
        <w:jc w:val="left"/>
        <w:rPr>
          <w:rFonts w:ascii="宋体" w:hAnsi="宋体"/>
          <w:sz w:val="24"/>
        </w:rPr>
      </w:pPr>
      <w:r>
        <w:rPr>
          <w:rFonts w:ascii="宋体" w:hAnsi="宋体" w:hint="eastAsia"/>
          <w:sz w:val="24"/>
        </w:rPr>
        <w:t>法定代表人（授权代表）：</w:t>
      </w:r>
    </w:p>
    <w:p>
      <w:pPr>
        <w:tabs>
          <w:tab w:val="left" w:pos="6300"/>
        </w:tabs>
        <w:snapToGrid w:val="0"/>
        <w:spacing w:line="360" w:lineRule="auto"/>
        <w:jc w:val="left"/>
        <w:rPr>
          <w:rFonts w:ascii="宋体" w:hAnsi="宋体"/>
          <w:sz w:val="24"/>
        </w:rPr>
      </w:pPr>
      <w:r>
        <w:rPr>
          <w:rFonts w:ascii="宋体" w:hAnsi="宋体" w:hint="eastAsia"/>
          <w:sz w:val="24"/>
        </w:rPr>
        <w:t>地址/邮编：</w:t>
      </w:r>
    </w:p>
    <w:p>
      <w:pPr>
        <w:tabs>
          <w:tab w:val="left" w:pos="6300"/>
        </w:tabs>
        <w:snapToGrid w:val="0"/>
        <w:spacing w:line="360" w:lineRule="auto"/>
        <w:jc w:val="left"/>
        <w:rPr>
          <w:rFonts w:ascii="宋体" w:hAnsi="宋体"/>
          <w:sz w:val="24"/>
        </w:rPr>
      </w:pPr>
      <w:r>
        <w:rPr>
          <w:rFonts w:ascii="宋体" w:hAnsi="宋体" w:hint="eastAsia"/>
          <w:sz w:val="24"/>
        </w:rPr>
        <w:t>电话/传真：</w:t>
      </w:r>
    </w:p>
    <w:p>
      <w:pPr>
        <w:tabs>
          <w:tab w:val="left" w:pos="6300"/>
        </w:tabs>
        <w:snapToGrid w:val="0"/>
        <w:spacing w:line="360" w:lineRule="auto"/>
        <w:jc w:val="left"/>
        <w:rPr>
          <w:rFonts w:ascii="宋体" w:hAnsi="宋体"/>
          <w:sz w:val="24"/>
        </w:rPr>
      </w:pPr>
      <w:r>
        <w:rPr>
          <w:rFonts w:ascii="宋体" w:hAnsi="宋体" w:hint="eastAsia"/>
          <w:sz w:val="24"/>
        </w:rPr>
        <w:t>电子邮箱：</w:t>
      </w:r>
    </w:p>
    <w:p>
      <w:pPr>
        <w:spacing w:line="360" w:lineRule="auto"/>
        <w:jc w:val="left"/>
        <w:rPr>
          <w:rFonts w:ascii="宋体" w:hAnsi="宋体"/>
          <w:sz w:val="24"/>
        </w:rPr>
      </w:pPr>
      <w:r>
        <w:rPr>
          <w:rFonts w:ascii="宋体" w:hAnsi="宋体" w:hint="eastAsia"/>
          <w:sz w:val="24"/>
        </w:rPr>
        <w:t>日期：  年   月  日</w:t>
      </w:r>
    </w:p>
    <w:p>
      <w:pPr>
        <w:adjustRightInd w:val="0"/>
        <w:snapToGrid w:val="0"/>
        <w:spacing w:line="360" w:lineRule="auto"/>
        <w:rPr>
          <w:rFonts w:ascii="宋体" w:hAnsi="宋体" w:cs="仿宋"/>
          <w:b/>
          <w:sz w:val="24"/>
        </w:rPr>
      </w:pPr>
      <w:r>
        <w:rPr>
          <w:rFonts w:ascii="宋体" w:hAnsi="宋体" w:hint="eastAsia"/>
          <w:b/>
          <w:sz w:val="24"/>
        </w:rPr>
        <w:t>随附相关证明材料如下</w:t>
      </w:r>
      <w:r>
        <w:rPr>
          <w:rFonts w:ascii="宋体" w:hAnsi="宋体" w:cs="仿宋" w:hint="eastAsia"/>
          <w:b/>
          <w:sz w:val="24"/>
        </w:rPr>
        <w:t>：</w:t>
      </w:r>
    </w:p>
    <w:tbl>
      <w:tblPr>
        <w:tblStyle w:val="TableNormal"/>
        <w:tblW w:w="9002"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
      <w:tblGrid>
        <w:gridCol w:w="1747"/>
        <w:gridCol w:w="2761"/>
        <w:gridCol w:w="2247"/>
        <w:gridCol w:w="2247"/>
      </w:tblGrid>
      <w:tr>
        <w:tblPrEx>
          <w:tblW w:w="9002"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仿宋" w:hint="default"/>
                <w:b/>
                <w:sz w:val="24"/>
              </w:rPr>
            </w:pPr>
            <w:r>
              <w:rPr>
                <w:rFonts w:ascii="宋体" w:hAnsi="宋体" w:cs="仿宋" w:hint="eastAsia"/>
                <w:b/>
                <w:sz w:val="24"/>
              </w:rPr>
              <w:t>序号</w:t>
            </w:r>
          </w:p>
        </w:tc>
        <w:tc>
          <w:tcPr>
            <w:tcW w:w="2761" w:type="dxa"/>
            <w:shd w:val="clear" w:color="auto" w:fill="auto"/>
            <w:tcMar>
              <w:top w:w="72" w:type="dxa"/>
              <w:left w:w="144" w:type="dxa"/>
              <w:bottom w:w="72" w:type="dxa"/>
              <w:right w:w="144" w:type="dxa"/>
            </w:tcMar>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仿宋" w:hint="default"/>
                <w:b/>
                <w:sz w:val="24"/>
              </w:rPr>
            </w:pPr>
            <w:r>
              <w:rPr>
                <w:rFonts w:hAnsi="宋体" w:hint="eastAsia"/>
                <w:b/>
                <w:sz w:val="24"/>
              </w:rPr>
              <w:t>证明材料</w:t>
            </w:r>
            <w:r>
              <w:rPr>
                <w:rFonts w:ascii="宋体" w:hAnsi="宋体" w:cs="仿宋" w:hint="eastAsia"/>
                <w:b/>
                <w:sz w:val="24"/>
              </w:rPr>
              <w:t>名称</w:t>
            </w:r>
          </w:p>
        </w:tc>
        <w:tc>
          <w:tcPr>
            <w:tcW w:w="2247" w:type="dxa"/>
            <w:shd w:val="clear" w:color="auto" w:fill="auto"/>
            <w:tcMar>
              <w:top w:w="72" w:type="dxa"/>
              <w:left w:w="144" w:type="dxa"/>
              <w:bottom w:w="72" w:type="dxa"/>
              <w:right w:w="144" w:type="dxa"/>
            </w:tcMar>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仿宋" w:hint="default"/>
                <w:b/>
                <w:sz w:val="24"/>
              </w:rPr>
            </w:pPr>
            <w:r>
              <w:rPr>
                <w:rFonts w:hAnsi="宋体" w:hint="eastAsia"/>
                <w:b/>
                <w:sz w:val="24"/>
              </w:rPr>
              <w:t>证明材料</w:t>
            </w:r>
            <w:r>
              <w:rPr>
                <w:rFonts w:ascii="宋体" w:hAnsi="宋体" w:cs="仿宋" w:hint="eastAsia"/>
                <w:b/>
                <w:sz w:val="24"/>
              </w:rPr>
              <w:t>来源</w:t>
            </w:r>
          </w:p>
        </w:tc>
        <w:tc>
          <w:tcPr>
            <w:tcW w:w="2247" w:type="dxa"/>
            <w:shd w:val="clear" w:color="auto" w:fill="auto"/>
            <w:tcMar>
              <w:top w:w="72" w:type="dxa"/>
              <w:left w:w="144" w:type="dxa"/>
              <w:bottom w:w="72" w:type="dxa"/>
              <w:right w:w="144" w:type="dxa"/>
            </w:tcMar>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仿宋" w:hint="default"/>
                <w:b/>
                <w:sz w:val="24"/>
              </w:rPr>
            </w:pPr>
            <w:r>
              <w:rPr>
                <w:rFonts w:ascii="宋体" w:hAnsi="宋体" w:cs="仿宋" w:hint="eastAsia"/>
                <w:b/>
                <w:sz w:val="24"/>
              </w:rPr>
              <w:t>证明对象</w:t>
            </w: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仿宋" w:hint="default"/>
                <w:sz w:val="24"/>
              </w:rPr>
            </w:pPr>
            <w:r>
              <w:rPr>
                <w:rFonts w:ascii="宋体" w:hAnsi="宋体" w:cs="仿宋" w:hint="default"/>
                <w:sz w:val="24"/>
              </w:rPr>
              <w:t>1</w:t>
            </w:r>
          </w:p>
        </w:tc>
        <w:tc>
          <w:tcPr>
            <w:tcW w:w="2761" w:type="dxa"/>
            <w:shd w:val="clear" w:color="auto" w:fill="auto"/>
            <w:tcMar>
              <w:top w:w="72" w:type="dxa"/>
              <w:left w:w="144" w:type="dxa"/>
              <w:bottom w:w="72" w:type="dxa"/>
              <w:right w:w="144" w:type="dxa"/>
            </w:tcMar>
          </w:tcPr>
          <w:p>
            <w:pPr>
              <w:keepNext w:val="0"/>
              <w:keepLines w:val="0"/>
              <w:suppressLineNumbers w:val="0"/>
              <w:adjustRightInd w:val="0"/>
              <w:snapToGrid w:val="0"/>
              <w:spacing w:before="0" w:beforeAutospacing="0" w:after="0" w:afterAutospacing="0" w:line="360" w:lineRule="auto"/>
              <w:ind w:left="0" w:right="0"/>
              <w:rPr>
                <w:rFonts w:ascii="宋体" w:hAnsi="宋体" w:cs="仿宋" w:hint="default"/>
                <w:sz w:val="24"/>
              </w:rPr>
            </w:pPr>
          </w:p>
        </w:tc>
        <w:tc>
          <w:tcPr>
            <w:tcW w:w="2247" w:type="dxa"/>
            <w:shd w:val="clear" w:color="auto" w:fill="auto"/>
            <w:tcMar>
              <w:top w:w="72" w:type="dxa"/>
              <w:left w:w="144" w:type="dxa"/>
              <w:bottom w:w="72" w:type="dxa"/>
              <w:right w:w="144" w:type="dxa"/>
            </w:tcMar>
          </w:tcPr>
          <w:p>
            <w:pPr>
              <w:keepNext w:val="0"/>
              <w:keepLines w:val="0"/>
              <w:suppressLineNumbers w:val="0"/>
              <w:adjustRightInd w:val="0"/>
              <w:snapToGrid w:val="0"/>
              <w:spacing w:before="0" w:beforeAutospacing="0" w:after="0" w:afterAutospacing="0" w:line="360" w:lineRule="auto"/>
              <w:ind w:left="0" w:right="0"/>
              <w:rPr>
                <w:rFonts w:ascii="宋体" w:hAnsi="宋体" w:cs="仿宋" w:hint="default"/>
                <w:sz w:val="24"/>
              </w:rPr>
            </w:pPr>
          </w:p>
        </w:tc>
        <w:tc>
          <w:tcPr>
            <w:tcW w:w="2247" w:type="dxa"/>
            <w:shd w:val="clear" w:color="auto" w:fill="auto"/>
            <w:tcMar>
              <w:top w:w="72" w:type="dxa"/>
              <w:left w:w="144" w:type="dxa"/>
              <w:bottom w:w="72" w:type="dxa"/>
              <w:right w:w="144" w:type="dxa"/>
            </w:tcMar>
          </w:tcPr>
          <w:p>
            <w:pPr>
              <w:keepNext w:val="0"/>
              <w:keepLines w:val="0"/>
              <w:suppressLineNumbers w:val="0"/>
              <w:adjustRightInd w:val="0"/>
              <w:snapToGrid w:val="0"/>
              <w:spacing w:before="0" w:beforeAutospacing="0" w:after="0" w:afterAutospacing="0" w:line="360" w:lineRule="auto"/>
              <w:ind w:left="0" w:right="0"/>
              <w:rPr>
                <w:rFonts w:ascii="宋体" w:hAnsi="宋体" w:cs="仿宋" w:hint="default"/>
                <w:sz w:val="24"/>
              </w:rPr>
            </w:pP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仿宋" w:hint="default"/>
                <w:sz w:val="24"/>
              </w:rPr>
            </w:pPr>
            <w:r>
              <w:rPr>
                <w:rFonts w:ascii="宋体" w:hAnsi="宋体" w:cs="仿宋" w:hint="default"/>
                <w:sz w:val="24"/>
              </w:rPr>
              <w:t>2</w:t>
            </w:r>
          </w:p>
        </w:tc>
        <w:tc>
          <w:tcPr>
            <w:tcW w:w="2761" w:type="dxa"/>
            <w:shd w:val="clear" w:color="auto" w:fill="auto"/>
            <w:tcMar>
              <w:top w:w="72" w:type="dxa"/>
              <w:left w:w="144" w:type="dxa"/>
              <w:bottom w:w="72" w:type="dxa"/>
              <w:right w:w="144" w:type="dxa"/>
            </w:tcMar>
          </w:tcPr>
          <w:p>
            <w:pPr>
              <w:keepNext w:val="0"/>
              <w:keepLines w:val="0"/>
              <w:suppressLineNumbers w:val="0"/>
              <w:adjustRightInd w:val="0"/>
              <w:snapToGrid w:val="0"/>
              <w:spacing w:before="0" w:beforeAutospacing="0" w:after="0" w:afterAutospacing="0" w:line="360" w:lineRule="auto"/>
              <w:ind w:left="0" w:right="0"/>
              <w:rPr>
                <w:rFonts w:ascii="宋体" w:hAnsi="宋体" w:cs="仿宋" w:hint="default"/>
                <w:sz w:val="24"/>
              </w:rPr>
            </w:pPr>
          </w:p>
        </w:tc>
        <w:tc>
          <w:tcPr>
            <w:tcW w:w="2247" w:type="dxa"/>
            <w:shd w:val="clear" w:color="auto" w:fill="auto"/>
            <w:tcMar>
              <w:top w:w="72" w:type="dxa"/>
              <w:left w:w="144" w:type="dxa"/>
              <w:bottom w:w="72" w:type="dxa"/>
              <w:right w:w="144" w:type="dxa"/>
            </w:tcMar>
          </w:tcPr>
          <w:p>
            <w:pPr>
              <w:keepNext w:val="0"/>
              <w:keepLines w:val="0"/>
              <w:suppressLineNumbers w:val="0"/>
              <w:adjustRightInd w:val="0"/>
              <w:snapToGrid w:val="0"/>
              <w:spacing w:before="0" w:beforeAutospacing="0" w:after="0" w:afterAutospacing="0" w:line="360" w:lineRule="auto"/>
              <w:ind w:left="0" w:right="0"/>
              <w:rPr>
                <w:rFonts w:ascii="宋体" w:hAnsi="宋体" w:cs="仿宋" w:hint="default"/>
                <w:sz w:val="24"/>
              </w:rPr>
            </w:pPr>
          </w:p>
        </w:tc>
        <w:tc>
          <w:tcPr>
            <w:tcW w:w="2247" w:type="dxa"/>
            <w:shd w:val="clear" w:color="auto" w:fill="auto"/>
            <w:tcMar>
              <w:top w:w="72" w:type="dxa"/>
              <w:left w:w="144" w:type="dxa"/>
              <w:bottom w:w="72" w:type="dxa"/>
              <w:right w:w="144" w:type="dxa"/>
            </w:tcMar>
          </w:tcPr>
          <w:p>
            <w:pPr>
              <w:keepNext w:val="0"/>
              <w:keepLines w:val="0"/>
              <w:suppressLineNumbers w:val="0"/>
              <w:adjustRightInd w:val="0"/>
              <w:snapToGrid w:val="0"/>
              <w:spacing w:before="0" w:beforeAutospacing="0" w:after="0" w:afterAutospacing="0" w:line="360" w:lineRule="auto"/>
              <w:ind w:left="0" w:right="0"/>
              <w:rPr>
                <w:rFonts w:ascii="宋体" w:hAnsi="宋体" w:cs="仿宋" w:hint="default"/>
                <w:sz w:val="24"/>
              </w:rPr>
            </w:pP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仿宋" w:hint="default"/>
                <w:sz w:val="24"/>
              </w:rPr>
            </w:pPr>
            <w:r>
              <w:rPr>
                <w:rFonts w:ascii="宋体" w:hAnsi="宋体" w:cs="仿宋" w:hint="eastAsia"/>
                <w:sz w:val="24"/>
              </w:rPr>
              <w:t>……</w:t>
            </w:r>
          </w:p>
        </w:tc>
        <w:tc>
          <w:tcPr>
            <w:tcW w:w="2761" w:type="dxa"/>
            <w:shd w:val="clear" w:color="auto" w:fill="auto"/>
            <w:tcMar>
              <w:top w:w="72" w:type="dxa"/>
              <w:left w:w="144" w:type="dxa"/>
              <w:bottom w:w="72" w:type="dxa"/>
              <w:right w:w="144" w:type="dxa"/>
            </w:tcMar>
          </w:tcPr>
          <w:p>
            <w:pPr>
              <w:keepNext w:val="0"/>
              <w:keepLines w:val="0"/>
              <w:suppressLineNumbers w:val="0"/>
              <w:adjustRightInd w:val="0"/>
              <w:snapToGrid w:val="0"/>
              <w:spacing w:before="0" w:beforeAutospacing="0" w:after="0" w:afterAutospacing="0" w:line="360" w:lineRule="auto"/>
              <w:ind w:left="0" w:right="0"/>
              <w:rPr>
                <w:rFonts w:ascii="宋体" w:hAnsi="宋体" w:cs="仿宋" w:hint="default"/>
                <w:sz w:val="24"/>
              </w:rPr>
            </w:pPr>
          </w:p>
        </w:tc>
        <w:tc>
          <w:tcPr>
            <w:tcW w:w="2247" w:type="dxa"/>
            <w:shd w:val="clear" w:color="auto" w:fill="auto"/>
            <w:tcMar>
              <w:top w:w="72" w:type="dxa"/>
              <w:left w:w="144" w:type="dxa"/>
              <w:bottom w:w="72" w:type="dxa"/>
              <w:right w:w="144" w:type="dxa"/>
            </w:tcMar>
          </w:tcPr>
          <w:p>
            <w:pPr>
              <w:keepNext w:val="0"/>
              <w:keepLines w:val="0"/>
              <w:suppressLineNumbers w:val="0"/>
              <w:adjustRightInd w:val="0"/>
              <w:snapToGrid w:val="0"/>
              <w:spacing w:before="0" w:beforeAutospacing="0" w:after="0" w:afterAutospacing="0" w:line="360" w:lineRule="auto"/>
              <w:ind w:left="0" w:right="0"/>
              <w:rPr>
                <w:rFonts w:ascii="宋体" w:hAnsi="宋体" w:cs="仿宋" w:hint="default"/>
                <w:sz w:val="24"/>
              </w:rPr>
            </w:pPr>
          </w:p>
        </w:tc>
        <w:tc>
          <w:tcPr>
            <w:tcW w:w="2247" w:type="dxa"/>
            <w:shd w:val="clear" w:color="auto" w:fill="auto"/>
            <w:tcMar>
              <w:top w:w="72" w:type="dxa"/>
              <w:left w:w="144" w:type="dxa"/>
              <w:bottom w:w="72" w:type="dxa"/>
              <w:right w:w="144" w:type="dxa"/>
            </w:tcMar>
          </w:tcPr>
          <w:p>
            <w:pPr>
              <w:keepNext w:val="0"/>
              <w:keepLines w:val="0"/>
              <w:suppressLineNumbers w:val="0"/>
              <w:adjustRightInd w:val="0"/>
              <w:snapToGrid w:val="0"/>
              <w:spacing w:before="0" w:beforeAutospacing="0" w:after="0" w:afterAutospacing="0" w:line="360" w:lineRule="auto"/>
              <w:ind w:left="0" w:right="0"/>
              <w:rPr>
                <w:rFonts w:ascii="宋体" w:hAnsi="宋体" w:cs="仿宋" w:hint="default"/>
                <w:sz w:val="24"/>
              </w:rPr>
            </w:pPr>
          </w:p>
        </w:tc>
      </w:tr>
    </w:tbl>
    <w:p>
      <w:pPr>
        <w:pStyle w:val="ListParagraph"/>
        <w:widowControl/>
        <w:numPr>
          <w:ilvl w:val="0"/>
          <w:numId w:val="55"/>
        </w:numPr>
        <w:spacing w:line="360" w:lineRule="auto"/>
        <w:ind w:firstLineChars="0"/>
        <w:jc w:val="left"/>
        <w:rPr>
          <w:rFonts w:ascii="宋体" w:hAnsi="宋体"/>
          <w:b/>
          <w:sz w:val="24"/>
        </w:rPr>
      </w:pPr>
      <w:r>
        <w:rPr>
          <w:rFonts w:ascii="宋体" w:hAnsi="宋体" w:hint="eastAsia"/>
          <w:b/>
          <w:sz w:val="24"/>
        </w:rPr>
        <w:t>相关说明</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供应商提出质疑时，应提交质疑函和必要的证明材料。</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质疑供应商若对项目的某一分包进行质疑，质疑函中</w:t>
      </w:r>
      <w:r>
        <w:rPr>
          <w:rFonts w:ascii="宋体" w:hAnsi="宋体" w:hint="eastAsia"/>
          <w:b/>
          <w:sz w:val="24"/>
          <w:u w:val="single"/>
        </w:rPr>
        <w:t>应列明具体分包号</w:t>
      </w:r>
      <w:r>
        <w:rPr>
          <w:rFonts w:ascii="宋体" w:hAnsi="宋体" w:hint="eastAsia"/>
          <w:sz w:val="24"/>
        </w:rPr>
        <w:t>。</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质疑函的质疑事项应具体、明确，并有必要的事实依据和法律依据。</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质疑函的质疑请求应与质疑事项相关。</w:t>
      </w:r>
    </w:p>
    <w:p>
      <w:pPr>
        <w:pStyle w:val="ListParagraph"/>
        <w:numPr>
          <w:ilvl w:val="0"/>
          <w:numId w:val="56"/>
        </w:numPr>
        <w:spacing w:line="360" w:lineRule="auto"/>
        <w:ind w:firstLineChars="0"/>
        <w:rPr>
          <w:rFonts w:ascii="宋体" w:hAnsi="宋体"/>
          <w:sz w:val="24"/>
        </w:rPr>
      </w:pPr>
      <w:r>
        <w:rPr>
          <w:rFonts w:ascii="宋体" w:hAnsi="宋体" w:hint="eastAsia"/>
          <w:sz w:val="24"/>
        </w:rPr>
        <w:t>质疑供应商为自然人的，质疑函应由本人签字；质疑供应商为法人或者其他组织的，质疑函应由法定代表人、主要负责人，或者其授权代表签字或者盖个人名章，并加盖公章。</w:t>
      </w:r>
    </w:p>
    <w:p>
      <w:pPr>
        <w:pStyle w:val="ListParagraph"/>
        <w:numPr>
          <w:ilvl w:val="0"/>
          <w:numId w:val="56"/>
        </w:numPr>
        <w:spacing w:line="360" w:lineRule="auto"/>
        <w:ind w:firstLineChars="0"/>
        <w:rPr>
          <w:rFonts w:ascii="宋体" w:hAnsi="宋体"/>
          <w:sz w:val="24"/>
        </w:rPr>
      </w:pPr>
      <w:r>
        <w:rPr>
          <w:rFonts w:ascii="宋体" w:hAnsi="宋体" w:hint="eastAsia"/>
          <w:sz w:val="24"/>
        </w:rPr>
        <w:t>供应商应在提交的证明材料中对质疑点的内容</w:t>
      </w:r>
      <w:r>
        <w:rPr>
          <w:rFonts w:ascii="宋体" w:hAnsi="宋体" w:hint="eastAsia"/>
          <w:b/>
          <w:sz w:val="24"/>
          <w:u w:val="single"/>
        </w:rPr>
        <w:t>作出相应的标识或以醒目的方式标明</w:t>
      </w:r>
      <w:r>
        <w:rPr>
          <w:rFonts w:ascii="宋体" w:hAnsi="宋体" w:hint="eastAsia"/>
          <w:sz w:val="24"/>
        </w:rPr>
        <w:t>。</w:t>
      </w:r>
    </w:p>
    <w:p>
      <w:pPr>
        <w:widowControl/>
        <w:jc w:val="left"/>
        <w:rPr>
          <w:b/>
          <w:bCs/>
          <w:sz w:val="28"/>
          <w:szCs w:val="28"/>
        </w:rPr>
      </w:pPr>
      <w:r>
        <w:rPr>
          <w:b/>
          <w:bCs/>
          <w:sz w:val="28"/>
          <w:szCs w:val="28"/>
        </w:rPr>
        <w:br w:type="page"/>
      </w:r>
    </w:p>
    <w:p>
      <w:pPr>
        <w:spacing w:before="156" w:beforeLines="50" w:after="156" w:afterLines="50" w:line="360" w:lineRule="auto"/>
        <w:jc w:val="center"/>
        <w:outlineLvl w:val="0"/>
        <w:rPr>
          <w:b/>
          <w:bCs/>
          <w:color w:val="0000FF"/>
          <w:sz w:val="28"/>
          <w:szCs w:val="28"/>
        </w:rPr>
      </w:pPr>
      <w:bookmarkStart w:id="121" w:name="_Toc4914"/>
      <w:bookmarkStart w:id="122" w:name="_Toc256000020"/>
      <w:r>
        <w:rPr>
          <w:rFonts w:hint="eastAsia"/>
          <w:b/>
          <w:bCs/>
          <w:sz w:val="28"/>
          <w:szCs w:val="28"/>
        </w:rPr>
        <w:t>第五章</w:t>
      </w:r>
      <w:bookmarkEnd w:id="76"/>
      <w:bookmarkStart w:id="123" w:name="_Toc435109307"/>
      <w:r>
        <w:rPr>
          <w:rFonts w:hint="eastAsia"/>
          <w:b/>
          <w:bCs/>
          <w:sz w:val="28"/>
          <w:szCs w:val="28"/>
        </w:rPr>
        <w:t xml:space="preserve"> 合同格式条款（仅供参考，具体以合同签订为准）</w:t>
      </w:r>
      <w:bookmarkEnd w:id="122"/>
      <w:bookmarkEnd w:id="77"/>
      <w:bookmarkEnd w:id="121"/>
    </w:p>
    <w:p>
      <w:pPr>
        <w:tabs>
          <w:tab w:val="left" w:pos="720"/>
        </w:tabs>
        <w:spacing w:line="360" w:lineRule="auto"/>
        <w:jc w:val="center"/>
        <w:rPr>
          <w:rFonts w:ascii="宋体" w:hAnsi="宋体" w:cs="宋体"/>
          <w:b/>
          <w:sz w:val="24"/>
          <w:szCs w:val="21"/>
        </w:rPr>
      </w:pPr>
      <w:r>
        <w:rPr>
          <w:rFonts w:ascii="宋体" w:hAnsi="宋体" w:cs="宋体" w:hint="eastAsia"/>
          <w:b/>
          <w:sz w:val="24"/>
          <w:szCs w:val="21"/>
        </w:rPr>
        <w:t>合同通用条款</w:t>
      </w:r>
      <w:bookmarkEnd w:id="78"/>
      <w:bookmarkEnd w:id="79"/>
      <w:bookmarkEnd w:id="123"/>
    </w:p>
    <w:p>
      <w:pPr>
        <w:tabs>
          <w:tab w:val="left" w:pos="720"/>
        </w:tabs>
        <w:spacing w:line="360" w:lineRule="auto"/>
        <w:rPr>
          <w:rFonts w:ascii="宋体" w:hAnsi="宋体" w:cs="宋体"/>
          <w:sz w:val="24"/>
        </w:rPr>
      </w:pPr>
      <w:r>
        <w:rPr>
          <w:rFonts w:ascii="宋体" w:hAnsi="宋体" w:cs="宋体" w:hint="eastAsia"/>
          <w:sz w:val="24"/>
        </w:rPr>
        <w:t>甲    方（采购人）：</w:t>
      </w:r>
    </w:p>
    <w:p>
      <w:pPr>
        <w:spacing w:line="360" w:lineRule="auto"/>
        <w:rPr>
          <w:rFonts w:ascii="宋体" w:hAnsi="宋体" w:cs="宋体"/>
          <w:sz w:val="24"/>
        </w:rPr>
      </w:pPr>
      <w:r>
        <w:rPr>
          <w:rFonts w:ascii="宋体" w:hAnsi="宋体" w:cs="宋体" w:hint="eastAsia"/>
          <w:sz w:val="24"/>
        </w:rPr>
        <w:t xml:space="preserve">电    话：          </w:t>
      </w:r>
    </w:p>
    <w:p>
      <w:pPr>
        <w:spacing w:line="360" w:lineRule="auto"/>
        <w:rPr>
          <w:rFonts w:ascii="宋体" w:hAnsi="宋体" w:cs="宋体"/>
          <w:sz w:val="24"/>
        </w:rPr>
      </w:pPr>
      <w:r>
        <w:rPr>
          <w:rFonts w:ascii="宋体" w:hAnsi="宋体" w:cs="宋体" w:hint="eastAsia"/>
          <w:sz w:val="24"/>
        </w:rPr>
        <w:t>传  真：</w:t>
      </w:r>
    </w:p>
    <w:p>
      <w:pPr>
        <w:spacing w:line="360" w:lineRule="auto"/>
        <w:rPr>
          <w:rFonts w:ascii="宋体" w:hAnsi="宋体" w:cs="宋体"/>
          <w:sz w:val="24"/>
        </w:rPr>
      </w:pPr>
      <w:r>
        <w:rPr>
          <w:rFonts w:ascii="宋体" w:hAnsi="宋体" w:cs="宋体" w:hint="eastAsia"/>
          <w:sz w:val="24"/>
        </w:rPr>
        <w:t>住  所：</w:t>
      </w:r>
    </w:p>
    <w:p>
      <w:pPr>
        <w:spacing w:line="360" w:lineRule="auto"/>
        <w:rPr>
          <w:rFonts w:ascii="宋体" w:hAnsi="宋体" w:cs="宋体"/>
          <w:sz w:val="24"/>
        </w:rPr>
      </w:pPr>
    </w:p>
    <w:p>
      <w:pPr>
        <w:spacing w:line="360" w:lineRule="auto"/>
        <w:rPr>
          <w:rFonts w:ascii="宋体" w:hAnsi="宋体" w:cs="宋体"/>
          <w:sz w:val="24"/>
        </w:rPr>
      </w:pPr>
      <w:r>
        <w:rPr>
          <w:rFonts w:ascii="宋体" w:hAnsi="宋体" w:cs="宋体" w:hint="eastAsia"/>
          <w:sz w:val="24"/>
        </w:rPr>
        <w:t>乙    方（中标人）：</w:t>
      </w:r>
    </w:p>
    <w:p>
      <w:pPr>
        <w:spacing w:line="360" w:lineRule="auto"/>
        <w:rPr>
          <w:rFonts w:ascii="宋体" w:hAnsi="宋体" w:cs="宋体"/>
          <w:sz w:val="24"/>
        </w:rPr>
      </w:pPr>
      <w:r>
        <w:rPr>
          <w:rFonts w:ascii="宋体" w:hAnsi="宋体" w:cs="宋体" w:hint="eastAsia"/>
          <w:sz w:val="24"/>
        </w:rPr>
        <w:t xml:space="preserve">电    话：                </w:t>
      </w:r>
    </w:p>
    <w:p>
      <w:pPr>
        <w:spacing w:line="360" w:lineRule="auto"/>
        <w:rPr>
          <w:rFonts w:ascii="宋体" w:hAnsi="宋体" w:cs="宋体"/>
          <w:sz w:val="24"/>
        </w:rPr>
      </w:pPr>
      <w:r>
        <w:rPr>
          <w:rFonts w:ascii="宋体" w:hAnsi="宋体" w:cs="宋体" w:hint="eastAsia"/>
          <w:sz w:val="24"/>
        </w:rPr>
        <w:t xml:space="preserve">传  真：           </w:t>
      </w:r>
    </w:p>
    <w:p>
      <w:pPr>
        <w:spacing w:line="360" w:lineRule="auto"/>
        <w:rPr>
          <w:rFonts w:ascii="宋体" w:hAnsi="宋体" w:cs="宋体"/>
          <w:sz w:val="24"/>
        </w:rPr>
      </w:pPr>
      <w:r>
        <w:rPr>
          <w:rFonts w:ascii="宋体" w:hAnsi="宋体" w:cs="宋体" w:hint="eastAsia"/>
          <w:sz w:val="24"/>
        </w:rPr>
        <w:t>住  所：</w:t>
      </w:r>
    </w:p>
    <w:p>
      <w:pPr>
        <w:spacing w:line="360" w:lineRule="auto"/>
        <w:rPr>
          <w:rFonts w:ascii="宋体" w:hAnsi="宋体" w:cs="宋体"/>
          <w:sz w:val="24"/>
        </w:rPr>
      </w:pPr>
    </w:p>
    <w:p>
      <w:pPr>
        <w:spacing w:line="360" w:lineRule="auto"/>
        <w:ind w:firstLine="420" w:firstLineChars="200"/>
        <w:rPr>
          <w:rFonts w:ascii="宋体" w:hAnsi="宋体" w:cs="宋体"/>
          <w:sz w:val="24"/>
        </w:rPr>
      </w:pPr>
      <w:r>
        <w:rPr>
          <w:rFonts w:ascii="宋体" w:hAnsi="宋体" w:cs="宋体" w:hint="eastAsia"/>
          <w:sz w:val="24"/>
        </w:rPr>
        <w:t>根据</w:t>
      </w:r>
      <w:r>
        <w:rPr>
          <w:rFonts w:ascii="宋体" w:hAnsi="宋体" w:cs="宋体" w:hint="eastAsia"/>
          <w:sz w:val="24"/>
          <w:u w:val="single"/>
        </w:rPr>
        <w:t xml:space="preserve">  </w:t>
      </w:r>
      <w:r>
        <w:rPr>
          <w:rFonts w:ascii="宋体" w:hAnsi="宋体" w:cs="宋体" w:hint="eastAsia"/>
          <w:sz w:val="24"/>
          <w:u w:val="single"/>
          <w:lang w:eastAsia="zh-CN"/>
        </w:rPr>
        <w:t>智能计算与系统-高级白盒可编程路由器</w:t>
      </w:r>
      <w:r>
        <w:rPr>
          <w:rFonts w:ascii="宋体" w:hAnsi="宋体" w:cs="宋体" w:hint="eastAsia"/>
          <w:sz w:val="24"/>
          <w:u w:val="single"/>
        </w:rPr>
        <w:t xml:space="preserve"> </w:t>
      </w:r>
      <w:r>
        <w:rPr>
          <w:rFonts w:ascii="宋体" w:hAnsi="宋体" w:cs="宋体" w:hint="eastAsia"/>
          <w:sz w:val="24"/>
        </w:rPr>
        <w:t>（项目编号：</w:t>
      </w:r>
      <w:r>
        <w:rPr>
          <w:rFonts w:ascii="宋体" w:hAnsi="宋体" w:hint="eastAsia"/>
          <w:sz w:val="24"/>
          <w:lang w:eastAsia="zh-CN"/>
        </w:rPr>
        <w:t>SZDL2023001961（CLF0123SZ17ZC27）</w:t>
      </w:r>
      <w:r>
        <w:rPr>
          <w:rFonts w:ascii="宋体" w:hAnsi="宋体" w:cs="宋体" w:hint="eastAsia"/>
          <w:sz w:val="24"/>
        </w:rPr>
        <w:t>）的采购结果，按照《中华人民共和国政府采购法》及其实施条例、《中华人民共和国民法典》的规定，经双方协商，本着平等互利和诚实信用的原则，一致同意签订本合同如下。</w:t>
      </w:r>
    </w:p>
    <w:p>
      <w:pPr>
        <w:numPr>
          <w:ilvl w:val="0"/>
          <w:numId w:val="57"/>
        </w:numPr>
        <w:tabs>
          <w:tab w:val="left" w:pos="425"/>
          <w:tab w:val="left" w:pos="567"/>
          <w:tab w:val="clear" w:pos="960"/>
        </w:tabs>
        <w:spacing w:line="420" w:lineRule="auto"/>
        <w:ind w:left="0" w:firstLine="0"/>
        <w:outlineLvl w:val="3"/>
        <w:rPr>
          <w:rFonts w:ascii="宋体" w:hAnsi="宋体" w:cs="宋体"/>
          <w:b/>
          <w:sz w:val="24"/>
        </w:rPr>
      </w:pPr>
      <w:r>
        <w:rPr>
          <w:rFonts w:ascii="宋体" w:hAnsi="宋体" w:cs="宋体" w:hint="eastAsia"/>
          <w:b/>
          <w:sz w:val="24"/>
        </w:rPr>
        <w:t>采购标的</w:t>
      </w:r>
    </w:p>
    <w:tbl>
      <w:tblPr>
        <w:tblStyle w:val="TableNormal"/>
        <w:tblW w:w="103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50"/>
        <w:gridCol w:w="1417"/>
        <w:gridCol w:w="3636"/>
        <w:gridCol w:w="1104"/>
        <w:gridCol w:w="1104"/>
        <w:gridCol w:w="1325"/>
        <w:gridCol w:w="1104"/>
      </w:tblGrid>
      <w:tr>
        <w:tblPrEx>
          <w:tblW w:w="103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49"/>
        </w:trPr>
        <w:tc>
          <w:tcPr>
            <w:tcW w:w="650" w:type="dxa"/>
            <w:vAlign w:val="center"/>
          </w:tcPr>
          <w:p>
            <w:pPr>
              <w:keepNext w:val="0"/>
              <w:keepLines w:val="0"/>
              <w:suppressLineNumbers w:val="0"/>
              <w:spacing w:before="0" w:beforeAutospacing="0" w:after="0" w:afterAutospacing="0"/>
              <w:ind w:left="-65" w:right="-92" w:leftChars="-31" w:rightChars="-44"/>
              <w:jc w:val="center"/>
              <w:rPr>
                <w:rFonts w:ascii="宋体" w:hAnsi="宋体" w:cs="宋体" w:hint="default"/>
                <w:sz w:val="24"/>
              </w:rPr>
            </w:pPr>
            <w:r>
              <w:rPr>
                <w:rFonts w:ascii="宋体" w:hAnsi="宋体" w:cs="宋体" w:hint="eastAsia"/>
                <w:sz w:val="24"/>
              </w:rPr>
              <w:t>序号</w:t>
            </w:r>
          </w:p>
        </w:tc>
        <w:tc>
          <w:tcPr>
            <w:tcW w:w="1417" w:type="dxa"/>
            <w:vAlign w:val="center"/>
          </w:tcPr>
          <w:p>
            <w:pPr>
              <w:keepNext w:val="0"/>
              <w:keepLines w:val="0"/>
              <w:suppressLineNumbers w:val="0"/>
              <w:spacing w:before="0" w:beforeAutospacing="0" w:after="0" w:afterAutospacing="0"/>
              <w:ind w:left="-65" w:right="-92" w:leftChars="-31" w:rightChars="-44"/>
              <w:jc w:val="center"/>
              <w:rPr>
                <w:rFonts w:ascii="宋体" w:hAnsi="宋体" w:cs="宋体" w:hint="default"/>
                <w:sz w:val="24"/>
              </w:rPr>
            </w:pPr>
            <w:r>
              <w:rPr>
                <w:rFonts w:ascii="宋体" w:hAnsi="宋体" w:cs="宋体" w:hint="eastAsia"/>
                <w:sz w:val="24"/>
              </w:rPr>
              <w:t>商品名称</w:t>
            </w:r>
          </w:p>
        </w:tc>
        <w:tc>
          <w:tcPr>
            <w:tcW w:w="3636" w:type="dxa"/>
            <w:vAlign w:val="center"/>
          </w:tcPr>
          <w:p>
            <w:pPr>
              <w:keepNext w:val="0"/>
              <w:keepLines w:val="0"/>
              <w:suppressLineNumbers w:val="0"/>
              <w:spacing w:before="0" w:beforeAutospacing="0" w:after="0" w:afterAutospacing="0"/>
              <w:ind w:left="-65" w:right="-92" w:leftChars="-31" w:rightChars="-44"/>
              <w:jc w:val="center"/>
              <w:rPr>
                <w:rFonts w:ascii="宋体" w:hAnsi="宋体" w:cs="宋体" w:hint="default"/>
                <w:sz w:val="24"/>
              </w:rPr>
            </w:pPr>
            <w:r>
              <w:rPr>
                <w:rFonts w:ascii="宋体" w:hAnsi="宋体" w:cs="宋体" w:hint="eastAsia"/>
                <w:sz w:val="24"/>
              </w:rPr>
              <w:t>品牌、规格型号、配置（性能参数）</w:t>
            </w:r>
          </w:p>
        </w:tc>
        <w:tc>
          <w:tcPr>
            <w:tcW w:w="1104" w:type="dxa"/>
            <w:vAlign w:val="center"/>
          </w:tcPr>
          <w:p>
            <w:pPr>
              <w:keepNext w:val="0"/>
              <w:keepLines w:val="0"/>
              <w:suppressLineNumbers w:val="0"/>
              <w:spacing w:before="0" w:beforeAutospacing="0" w:after="0" w:afterAutospacing="0"/>
              <w:ind w:left="-65" w:right="-92" w:leftChars="-31" w:rightChars="-44"/>
              <w:jc w:val="center"/>
              <w:rPr>
                <w:rFonts w:ascii="宋体" w:hAnsi="宋体" w:cs="宋体" w:hint="default"/>
                <w:sz w:val="24"/>
              </w:rPr>
            </w:pPr>
            <w:r>
              <w:rPr>
                <w:rFonts w:ascii="宋体" w:hAnsi="宋体" w:cs="宋体" w:hint="eastAsia"/>
                <w:sz w:val="24"/>
              </w:rPr>
              <w:t>产地</w:t>
            </w:r>
          </w:p>
        </w:tc>
        <w:tc>
          <w:tcPr>
            <w:tcW w:w="1104" w:type="dxa"/>
            <w:vAlign w:val="center"/>
          </w:tcPr>
          <w:p>
            <w:pPr>
              <w:keepNext w:val="0"/>
              <w:keepLines w:val="0"/>
              <w:suppressLineNumbers w:val="0"/>
              <w:spacing w:before="0" w:beforeAutospacing="0" w:after="0" w:afterAutospacing="0"/>
              <w:ind w:left="-65" w:right="-92" w:leftChars="-31" w:rightChars="-44"/>
              <w:jc w:val="center"/>
              <w:rPr>
                <w:rFonts w:ascii="宋体" w:hAnsi="宋体" w:cs="宋体" w:hint="default"/>
                <w:sz w:val="24"/>
              </w:rPr>
            </w:pPr>
            <w:r>
              <w:rPr>
                <w:rFonts w:ascii="宋体" w:hAnsi="宋体" w:cs="宋体" w:hint="eastAsia"/>
                <w:sz w:val="24"/>
              </w:rPr>
              <w:t>数量</w:t>
            </w:r>
          </w:p>
        </w:tc>
        <w:tc>
          <w:tcPr>
            <w:tcW w:w="1325" w:type="dxa"/>
            <w:vAlign w:val="center"/>
          </w:tcPr>
          <w:p>
            <w:pPr>
              <w:keepNext w:val="0"/>
              <w:keepLines w:val="0"/>
              <w:suppressLineNumbers w:val="0"/>
              <w:spacing w:before="0" w:beforeAutospacing="0" w:after="0" w:afterAutospacing="0"/>
              <w:ind w:left="-65" w:right="-92" w:leftChars="-31" w:rightChars="-44"/>
              <w:jc w:val="center"/>
              <w:rPr>
                <w:rFonts w:ascii="宋体" w:hAnsi="宋体" w:cs="宋体" w:hint="default"/>
                <w:sz w:val="24"/>
              </w:rPr>
            </w:pPr>
            <w:r>
              <w:rPr>
                <w:rFonts w:ascii="宋体" w:hAnsi="宋体" w:cs="宋体" w:hint="eastAsia"/>
                <w:sz w:val="24"/>
              </w:rPr>
              <w:t>单价(元)</w:t>
            </w:r>
          </w:p>
        </w:tc>
        <w:tc>
          <w:tcPr>
            <w:tcW w:w="1104" w:type="dxa"/>
            <w:vAlign w:val="center"/>
          </w:tcPr>
          <w:p>
            <w:pPr>
              <w:keepNext w:val="0"/>
              <w:keepLines w:val="0"/>
              <w:suppressLineNumbers w:val="0"/>
              <w:spacing w:before="0" w:beforeAutospacing="0" w:after="0" w:afterAutospacing="0"/>
              <w:ind w:left="-65" w:right="-92" w:leftChars="-31" w:rightChars="-44"/>
              <w:jc w:val="center"/>
              <w:rPr>
                <w:rFonts w:ascii="宋体" w:hAnsi="宋体" w:cs="宋体" w:hint="default"/>
                <w:sz w:val="24"/>
              </w:rPr>
            </w:pPr>
            <w:r>
              <w:rPr>
                <w:rFonts w:ascii="宋体" w:hAnsi="宋体" w:cs="宋体" w:hint="eastAsia"/>
                <w:sz w:val="24"/>
              </w:rPr>
              <w:t>金额(元)</w:t>
            </w:r>
          </w:p>
        </w:tc>
      </w:tr>
      <w:tr>
        <w:tblPrEx>
          <w:tblW w:w="10340" w:type="dxa"/>
          <w:tblInd w:w="108" w:type="dxa"/>
          <w:tblLayout w:type="fixed"/>
          <w:tblCellMar>
            <w:top w:w="0" w:type="dxa"/>
            <w:left w:w="108" w:type="dxa"/>
            <w:bottom w:w="0" w:type="dxa"/>
            <w:right w:w="108" w:type="dxa"/>
          </w:tblCellMar>
        </w:tblPrEx>
        <w:trPr>
          <w:cantSplit/>
          <w:trHeight w:val="334"/>
        </w:trPr>
        <w:tc>
          <w:tcPr>
            <w:tcW w:w="650" w:type="dxa"/>
            <w:vAlign w:val="center"/>
          </w:tcPr>
          <w:p>
            <w:pPr>
              <w:keepNext w:val="0"/>
              <w:keepLines w:val="0"/>
              <w:suppressLineNumbers w:val="0"/>
              <w:spacing w:before="0" w:beforeAutospacing="0" w:after="0" w:afterAutospacing="0"/>
              <w:ind w:left="0" w:right="0"/>
              <w:jc w:val="center"/>
              <w:rPr>
                <w:rFonts w:ascii="宋体" w:hAnsi="宋体" w:cs="宋体" w:hint="default"/>
                <w:sz w:val="24"/>
              </w:rPr>
            </w:pPr>
            <w:r>
              <w:rPr>
                <w:rFonts w:ascii="宋体" w:hAnsi="宋体" w:cs="宋体" w:hint="eastAsia"/>
                <w:sz w:val="24"/>
              </w:rPr>
              <w:t>1</w:t>
            </w:r>
          </w:p>
        </w:tc>
        <w:tc>
          <w:tcPr>
            <w:tcW w:w="1417" w:type="dxa"/>
            <w:vAlign w:val="center"/>
          </w:tcPr>
          <w:p>
            <w:pPr>
              <w:keepNext w:val="0"/>
              <w:keepLines w:val="0"/>
              <w:suppressLineNumbers w:val="0"/>
              <w:spacing w:before="0" w:beforeAutospacing="0" w:after="0" w:afterAutospacing="0"/>
              <w:ind w:left="0" w:right="0"/>
              <w:rPr>
                <w:rFonts w:ascii="宋体" w:hAnsi="宋体" w:cs="宋体" w:hint="default"/>
                <w:sz w:val="24"/>
              </w:rPr>
            </w:pPr>
          </w:p>
        </w:tc>
        <w:tc>
          <w:tcPr>
            <w:tcW w:w="3636" w:type="dxa"/>
            <w:vAlign w:val="center"/>
          </w:tcPr>
          <w:p>
            <w:pPr>
              <w:keepNext w:val="0"/>
              <w:keepLines w:val="0"/>
              <w:suppressLineNumbers w:val="0"/>
              <w:spacing w:before="0" w:beforeAutospacing="0" w:after="0" w:afterAutospacing="0"/>
              <w:ind w:left="0" w:right="0"/>
              <w:rPr>
                <w:rFonts w:ascii="宋体" w:hAnsi="宋体" w:cs="宋体" w:hint="default"/>
                <w:sz w:val="24"/>
              </w:rPr>
            </w:pPr>
          </w:p>
        </w:tc>
        <w:tc>
          <w:tcPr>
            <w:tcW w:w="1104" w:type="dxa"/>
            <w:vAlign w:val="center"/>
          </w:tcPr>
          <w:p>
            <w:pPr>
              <w:keepNext w:val="0"/>
              <w:keepLines w:val="0"/>
              <w:suppressLineNumbers w:val="0"/>
              <w:spacing w:before="0" w:beforeAutospacing="0" w:after="0" w:afterAutospacing="0"/>
              <w:ind w:left="0" w:right="0"/>
              <w:rPr>
                <w:rFonts w:ascii="宋体" w:hAnsi="宋体" w:cs="宋体" w:hint="default"/>
                <w:sz w:val="24"/>
              </w:rPr>
            </w:pPr>
          </w:p>
        </w:tc>
        <w:tc>
          <w:tcPr>
            <w:tcW w:w="1104" w:type="dxa"/>
            <w:vAlign w:val="center"/>
          </w:tcPr>
          <w:p>
            <w:pPr>
              <w:keepNext w:val="0"/>
              <w:keepLines w:val="0"/>
              <w:suppressLineNumbers w:val="0"/>
              <w:spacing w:before="0" w:beforeAutospacing="0" w:after="0" w:afterAutospacing="0"/>
              <w:ind w:left="0" w:right="0"/>
              <w:rPr>
                <w:rFonts w:ascii="宋体" w:hAnsi="宋体" w:cs="宋体" w:hint="default"/>
                <w:sz w:val="24"/>
              </w:rPr>
            </w:pPr>
          </w:p>
        </w:tc>
        <w:tc>
          <w:tcPr>
            <w:tcW w:w="1325" w:type="dxa"/>
            <w:vAlign w:val="center"/>
          </w:tcPr>
          <w:p>
            <w:pPr>
              <w:keepNext w:val="0"/>
              <w:keepLines w:val="0"/>
              <w:suppressLineNumbers w:val="0"/>
              <w:spacing w:before="0" w:beforeAutospacing="0" w:after="0" w:afterAutospacing="0"/>
              <w:ind w:left="0" w:right="0"/>
              <w:rPr>
                <w:rFonts w:ascii="宋体" w:hAnsi="宋体" w:cs="宋体" w:hint="default"/>
                <w:sz w:val="24"/>
              </w:rPr>
            </w:pPr>
          </w:p>
        </w:tc>
        <w:tc>
          <w:tcPr>
            <w:tcW w:w="1104" w:type="dxa"/>
            <w:vAlign w:val="center"/>
          </w:tcPr>
          <w:p>
            <w:pPr>
              <w:keepNext w:val="0"/>
              <w:keepLines w:val="0"/>
              <w:suppressLineNumbers w:val="0"/>
              <w:spacing w:before="0" w:beforeAutospacing="0" w:after="0" w:afterAutospacing="0"/>
              <w:ind w:left="0" w:right="0"/>
              <w:rPr>
                <w:rFonts w:ascii="宋体" w:hAnsi="宋体" w:cs="宋体" w:hint="default"/>
                <w:sz w:val="24"/>
              </w:rPr>
            </w:pPr>
          </w:p>
        </w:tc>
      </w:tr>
      <w:tr>
        <w:tblPrEx>
          <w:tblW w:w="10340" w:type="dxa"/>
          <w:tblInd w:w="108" w:type="dxa"/>
          <w:tblLayout w:type="fixed"/>
          <w:tblCellMar>
            <w:top w:w="0" w:type="dxa"/>
            <w:left w:w="108" w:type="dxa"/>
            <w:bottom w:w="0" w:type="dxa"/>
            <w:right w:w="108" w:type="dxa"/>
          </w:tblCellMar>
        </w:tblPrEx>
        <w:trPr>
          <w:cantSplit/>
          <w:trHeight w:val="334"/>
        </w:trPr>
        <w:tc>
          <w:tcPr>
            <w:tcW w:w="650" w:type="dxa"/>
            <w:vAlign w:val="center"/>
          </w:tcPr>
          <w:p>
            <w:pPr>
              <w:keepNext w:val="0"/>
              <w:keepLines w:val="0"/>
              <w:suppressLineNumbers w:val="0"/>
              <w:spacing w:before="0" w:beforeAutospacing="0" w:after="0" w:afterAutospacing="0"/>
              <w:ind w:left="0" w:right="0"/>
              <w:jc w:val="center"/>
              <w:rPr>
                <w:rFonts w:ascii="宋体" w:hAnsi="宋体" w:cs="宋体" w:hint="default"/>
                <w:sz w:val="24"/>
              </w:rPr>
            </w:pPr>
            <w:r>
              <w:rPr>
                <w:rFonts w:ascii="宋体" w:hAnsi="宋体" w:cs="宋体" w:hint="eastAsia"/>
                <w:sz w:val="24"/>
              </w:rPr>
              <w:t>2</w:t>
            </w:r>
          </w:p>
        </w:tc>
        <w:tc>
          <w:tcPr>
            <w:tcW w:w="1417" w:type="dxa"/>
            <w:vAlign w:val="center"/>
          </w:tcPr>
          <w:p>
            <w:pPr>
              <w:keepNext w:val="0"/>
              <w:keepLines w:val="0"/>
              <w:suppressLineNumbers w:val="0"/>
              <w:spacing w:before="0" w:beforeAutospacing="0" w:after="0" w:afterAutospacing="0"/>
              <w:ind w:left="0" w:right="0"/>
              <w:rPr>
                <w:rFonts w:ascii="宋体" w:hAnsi="宋体" w:cs="宋体" w:hint="default"/>
                <w:sz w:val="24"/>
              </w:rPr>
            </w:pPr>
          </w:p>
        </w:tc>
        <w:tc>
          <w:tcPr>
            <w:tcW w:w="3636" w:type="dxa"/>
            <w:vAlign w:val="center"/>
          </w:tcPr>
          <w:p>
            <w:pPr>
              <w:keepNext w:val="0"/>
              <w:keepLines w:val="0"/>
              <w:suppressLineNumbers w:val="0"/>
              <w:spacing w:before="0" w:beforeAutospacing="0" w:after="0" w:afterAutospacing="0"/>
              <w:ind w:left="0" w:right="0"/>
              <w:rPr>
                <w:rFonts w:ascii="宋体" w:hAnsi="宋体" w:cs="宋体" w:hint="default"/>
                <w:sz w:val="24"/>
              </w:rPr>
            </w:pPr>
          </w:p>
        </w:tc>
        <w:tc>
          <w:tcPr>
            <w:tcW w:w="1104" w:type="dxa"/>
            <w:vAlign w:val="center"/>
          </w:tcPr>
          <w:p>
            <w:pPr>
              <w:keepNext w:val="0"/>
              <w:keepLines w:val="0"/>
              <w:suppressLineNumbers w:val="0"/>
              <w:spacing w:before="0" w:beforeAutospacing="0" w:after="0" w:afterAutospacing="0"/>
              <w:ind w:left="0" w:right="0"/>
              <w:rPr>
                <w:rFonts w:ascii="宋体" w:hAnsi="宋体" w:cs="宋体" w:hint="default"/>
                <w:sz w:val="24"/>
              </w:rPr>
            </w:pPr>
          </w:p>
        </w:tc>
        <w:tc>
          <w:tcPr>
            <w:tcW w:w="1104" w:type="dxa"/>
            <w:vAlign w:val="center"/>
          </w:tcPr>
          <w:p>
            <w:pPr>
              <w:keepNext w:val="0"/>
              <w:keepLines w:val="0"/>
              <w:suppressLineNumbers w:val="0"/>
              <w:spacing w:before="0" w:beforeAutospacing="0" w:after="0" w:afterAutospacing="0"/>
              <w:ind w:left="0" w:right="0"/>
              <w:rPr>
                <w:rFonts w:ascii="宋体" w:hAnsi="宋体" w:cs="宋体" w:hint="default"/>
                <w:sz w:val="24"/>
              </w:rPr>
            </w:pPr>
          </w:p>
        </w:tc>
        <w:tc>
          <w:tcPr>
            <w:tcW w:w="1325" w:type="dxa"/>
            <w:vAlign w:val="center"/>
          </w:tcPr>
          <w:p>
            <w:pPr>
              <w:keepNext w:val="0"/>
              <w:keepLines w:val="0"/>
              <w:suppressLineNumbers w:val="0"/>
              <w:spacing w:before="0" w:beforeAutospacing="0" w:after="0" w:afterAutospacing="0"/>
              <w:ind w:left="0" w:right="0"/>
              <w:rPr>
                <w:rFonts w:ascii="宋体" w:hAnsi="宋体" w:cs="宋体" w:hint="default"/>
                <w:sz w:val="24"/>
              </w:rPr>
            </w:pPr>
          </w:p>
        </w:tc>
        <w:tc>
          <w:tcPr>
            <w:tcW w:w="1104" w:type="dxa"/>
            <w:vAlign w:val="center"/>
          </w:tcPr>
          <w:p>
            <w:pPr>
              <w:keepNext w:val="0"/>
              <w:keepLines w:val="0"/>
              <w:suppressLineNumbers w:val="0"/>
              <w:spacing w:before="0" w:beforeAutospacing="0" w:after="0" w:afterAutospacing="0"/>
              <w:ind w:left="0" w:right="0"/>
              <w:rPr>
                <w:rFonts w:ascii="宋体" w:hAnsi="宋体" w:cs="宋体" w:hint="default"/>
                <w:sz w:val="24"/>
              </w:rPr>
            </w:pPr>
          </w:p>
        </w:tc>
      </w:tr>
      <w:tr>
        <w:tblPrEx>
          <w:tblW w:w="10340" w:type="dxa"/>
          <w:tblInd w:w="108" w:type="dxa"/>
          <w:tblLayout w:type="fixed"/>
          <w:tblCellMar>
            <w:top w:w="0" w:type="dxa"/>
            <w:left w:w="108" w:type="dxa"/>
            <w:bottom w:w="0" w:type="dxa"/>
            <w:right w:w="108" w:type="dxa"/>
          </w:tblCellMar>
        </w:tblPrEx>
        <w:trPr>
          <w:cantSplit/>
          <w:trHeight w:val="335"/>
        </w:trPr>
        <w:tc>
          <w:tcPr>
            <w:tcW w:w="650" w:type="dxa"/>
            <w:vAlign w:val="center"/>
          </w:tcPr>
          <w:p>
            <w:pPr>
              <w:keepNext w:val="0"/>
              <w:keepLines w:val="0"/>
              <w:suppressLineNumbers w:val="0"/>
              <w:spacing w:before="0" w:beforeAutospacing="0" w:after="0" w:afterAutospacing="0"/>
              <w:ind w:left="0" w:right="0"/>
              <w:jc w:val="center"/>
              <w:rPr>
                <w:rFonts w:ascii="宋体" w:hAnsi="宋体" w:cs="宋体" w:hint="default"/>
                <w:sz w:val="24"/>
              </w:rPr>
            </w:pPr>
            <w:r>
              <w:rPr>
                <w:rFonts w:ascii="宋体" w:hAnsi="宋体" w:cs="宋体" w:hint="eastAsia"/>
                <w:sz w:val="24"/>
              </w:rPr>
              <w:t>3</w:t>
            </w:r>
          </w:p>
        </w:tc>
        <w:tc>
          <w:tcPr>
            <w:tcW w:w="1417" w:type="dxa"/>
            <w:vAlign w:val="center"/>
          </w:tcPr>
          <w:p>
            <w:pPr>
              <w:keepNext w:val="0"/>
              <w:keepLines w:val="0"/>
              <w:suppressLineNumbers w:val="0"/>
              <w:spacing w:before="0" w:beforeAutospacing="0" w:after="0" w:afterAutospacing="0"/>
              <w:ind w:left="0" w:right="0"/>
              <w:rPr>
                <w:rFonts w:ascii="宋体" w:hAnsi="宋体" w:cs="宋体" w:hint="default"/>
                <w:sz w:val="24"/>
              </w:rPr>
            </w:pPr>
          </w:p>
        </w:tc>
        <w:tc>
          <w:tcPr>
            <w:tcW w:w="3636" w:type="dxa"/>
            <w:vAlign w:val="center"/>
          </w:tcPr>
          <w:p>
            <w:pPr>
              <w:keepNext w:val="0"/>
              <w:keepLines w:val="0"/>
              <w:suppressLineNumbers w:val="0"/>
              <w:spacing w:before="0" w:beforeAutospacing="0" w:after="0" w:afterAutospacing="0"/>
              <w:ind w:left="0" w:right="0"/>
              <w:rPr>
                <w:rFonts w:ascii="宋体" w:hAnsi="宋体" w:cs="宋体" w:hint="default"/>
                <w:sz w:val="24"/>
              </w:rPr>
            </w:pPr>
          </w:p>
        </w:tc>
        <w:tc>
          <w:tcPr>
            <w:tcW w:w="1104" w:type="dxa"/>
            <w:vAlign w:val="center"/>
          </w:tcPr>
          <w:p>
            <w:pPr>
              <w:keepNext w:val="0"/>
              <w:keepLines w:val="0"/>
              <w:suppressLineNumbers w:val="0"/>
              <w:spacing w:before="0" w:beforeAutospacing="0" w:after="0" w:afterAutospacing="0"/>
              <w:ind w:left="0" w:right="0"/>
              <w:rPr>
                <w:rFonts w:ascii="宋体" w:hAnsi="宋体" w:cs="宋体" w:hint="default"/>
                <w:sz w:val="24"/>
              </w:rPr>
            </w:pPr>
          </w:p>
        </w:tc>
        <w:tc>
          <w:tcPr>
            <w:tcW w:w="1104" w:type="dxa"/>
            <w:vAlign w:val="center"/>
          </w:tcPr>
          <w:p>
            <w:pPr>
              <w:keepNext w:val="0"/>
              <w:keepLines w:val="0"/>
              <w:suppressLineNumbers w:val="0"/>
              <w:spacing w:before="0" w:beforeAutospacing="0" w:after="0" w:afterAutospacing="0"/>
              <w:ind w:left="0" w:right="0"/>
              <w:rPr>
                <w:rFonts w:ascii="宋体" w:hAnsi="宋体" w:cs="宋体" w:hint="default"/>
                <w:sz w:val="24"/>
              </w:rPr>
            </w:pPr>
          </w:p>
        </w:tc>
        <w:tc>
          <w:tcPr>
            <w:tcW w:w="1325" w:type="dxa"/>
            <w:vAlign w:val="center"/>
          </w:tcPr>
          <w:p>
            <w:pPr>
              <w:keepNext w:val="0"/>
              <w:keepLines w:val="0"/>
              <w:suppressLineNumbers w:val="0"/>
              <w:spacing w:before="0" w:beforeAutospacing="0" w:after="0" w:afterAutospacing="0"/>
              <w:ind w:left="0" w:right="0"/>
              <w:rPr>
                <w:rFonts w:ascii="宋体" w:hAnsi="宋体" w:cs="宋体" w:hint="default"/>
                <w:sz w:val="24"/>
              </w:rPr>
            </w:pPr>
          </w:p>
        </w:tc>
        <w:tc>
          <w:tcPr>
            <w:tcW w:w="1104" w:type="dxa"/>
            <w:vAlign w:val="center"/>
          </w:tcPr>
          <w:p>
            <w:pPr>
              <w:keepNext w:val="0"/>
              <w:keepLines w:val="0"/>
              <w:suppressLineNumbers w:val="0"/>
              <w:spacing w:before="0" w:beforeAutospacing="0" w:after="0" w:afterAutospacing="0"/>
              <w:ind w:left="0" w:right="0"/>
              <w:rPr>
                <w:rFonts w:ascii="宋体" w:hAnsi="宋体" w:cs="宋体" w:hint="default"/>
                <w:sz w:val="24"/>
              </w:rPr>
            </w:pPr>
          </w:p>
        </w:tc>
      </w:tr>
      <w:tr>
        <w:tblPrEx>
          <w:tblW w:w="10340" w:type="dxa"/>
          <w:tblInd w:w="108" w:type="dxa"/>
          <w:tblLayout w:type="fixed"/>
          <w:tblCellMar>
            <w:top w:w="0" w:type="dxa"/>
            <w:left w:w="108" w:type="dxa"/>
            <w:bottom w:w="0" w:type="dxa"/>
            <w:right w:w="108" w:type="dxa"/>
          </w:tblCellMar>
        </w:tblPrEx>
        <w:trPr>
          <w:cantSplit/>
          <w:trHeight w:val="441"/>
        </w:trPr>
        <w:tc>
          <w:tcPr>
            <w:tcW w:w="10340" w:type="dxa"/>
            <w:gridSpan w:val="7"/>
            <w:vAlign w:val="center"/>
          </w:tcPr>
          <w:p>
            <w:pPr>
              <w:keepNext w:val="0"/>
              <w:keepLines w:val="0"/>
              <w:suppressLineNumbers w:val="0"/>
              <w:spacing w:before="0" w:beforeAutospacing="0" w:after="0" w:afterAutospacing="0"/>
              <w:ind w:left="0" w:right="0"/>
              <w:jc w:val="center"/>
              <w:rPr>
                <w:rFonts w:ascii="宋体" w:hAnsi="宋体" w:cs="宋体" w:hint="default"/>
                <w:sz w:val="24"/>
                <w:u w:val="single"/>
              </w:rPr>
            </w:pPr>
            <w:r>
              <w:rPr>
                <w:rFonts w:ascii="宋体" w:hAnsi="宋体" w:cs="宋体" w:hint="eastAsia"/>
                <w:sz w:val="24"/>
              </w:rPr>
              <w:t>合计总额：￥</w:t>
            </w:r>
            <w:r>
              <w:rPr>
                <w:rFonts w:ascii="宋体" w:hAnsi="宋体" w:cs="宋体" w:hint="eastAsia"/>
                <w:sz w:val="24"/>
                <w:u w:val="single"/>
              </w:rPr>
              <w:t xml:space="preserve">           </w:t>
            </w:r>
            <w:r>
              <w:rPr>
                <w:rFonts w:ascii="宋体" w:hAnsi="宋体" w:cs="宋体" w:hint="eastAsia"/>
                <w:sz w:val="24"/>
              </w:rPr>
              <w:t>元；    大写：</w:t>
            </w:r>
            <w:r>
              <w:rPr>
                <w:rFonts w:ascii="宋体" w:hAnsi="宋体" w:cs="宋体" w:hint="eastAsia"/>
                <w:sz w:val="24"/>
                <w:u w:val="single"/>
              </w:rPr>
              <w:t xml:space="preserve">            </w:t>
            </w:r>
          </w:p>
        </w:tc>
      </w:tr>
    </w:tbl>
    <w:p>
      <w:pPr>
        <w:adjustRightInd w:val="0"/>
        <w:snapToGrid w:val="0"/>
        <w:spacing w:line="360" w:lineRule="auto"/>
        <w:ind w:firstLine="420" w:firstLineChars="200"/>
        <w:rPr>
          <w:rFonts w:ascii="宋体" w:hAnsi="宋体" w:cs="宋体"/>
          <w:sz w:val="24"/>
        </w:rPr>
      </w:pPr>
      <w:r>
        <w:rPr>
          <w:rFonts w:ascii="宋体" w:hAnsi="宋体" w:cs="宋体" w:hint="eastAsia"/>
          <w:sz w:val="24"/>
        </w:rPr>
        <w:t>合同总额包括乙方设计、安装、随机零配件、标配工具、运输保险、调试、培训、质保期服务、各项税费及合同实施过程中不可预见费用等项目相关的一切费用。</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合同金额</w:t>
      </w:r>
    </w:p>
    <w:p>
      <w:pPr>
        <w:pStyle w:val="PlainText"/>
        <w:adjustRightInd w:val="0"/>
        <w:snapToGrid w:val="0"/>
        <w:spacing w:line="360" w:lineRule="auto"/>
        <w:ind w:firstLine="420" w:firstLineChars="200"/>
        <w:rPr>
          <w:rFonts w:hAnsi="宋体" w:cs="宋体"/>
          <w:kern w:val="0"/>
          <w:sz w:val="24"/>
          <w:szCs w:val="24"/>
        </w:rPr>
      </w:pPr>
      <w:r>
        <w:rPr>
          <w:rFonts w:hAnsi="宋体" w:cs="宋体" w:hint="eastAsia"/>
          <w:kern w:val="0"/>
          <w:sz w:val="24"/>
          <w:szCs w:val="24"/>
        </w:rPr>
        <w:t>合同金额为</w:t>
      </w:r>
      <w:r>
        <w:rPr>
          <w:rFonts w:hAnsi="宋体" w:cs="宋体" w:hint="eastAsia"/>
          <w:sz w:val="24"/>
        </w:rPr>
        <w:t>￥</w:t>
      </w:r>
      <w:r>
        <w:rPr>
          <w:rFonts w:hAnsi="宋体" w:cs="宋体" w:hint="eastAsia"/>
          <w:sz w:val="24"/>
          <w:u w:val="single"/>
        </w:rPr>
        <w:t xml:space="preserve">           </w:t>
      </w:r>
      <w:r>
        <w:rPr>
          <w:rFonts w:hAnsi="宋体" w:cs="宋体" w:hint="eastAsia"/>
          <w:sz w:val="24"/>
        </w:rPr>
        <w:t>元；大写：</w:t>
      </w:r>
      <w:r>
        <w:rPr>
          <w:rFonts w:hAnsi="宋体" w:cs="宋体" w:hint="eastAsia"/>
          <w:sz w:val="24"/>
          <w:u w:val="single"/>
        </w:rPr>
        <w:t xml:space="preserve">            </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设备要求</w:t>
      </w:r>
    </w:p>
    <w:p>
      <w:pPr>
        <w:numPr>
          <w:ilvl w:val="0"/>
          <w:numId w:val="58"/>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货物为原制造商制造的全新产品，整机无污染，无侵权行为、表面无划损、无任何缺陷隐患，在中国境内可依常规安全合法使用。</w:t>
      </w:r>
    </w:p>
    <w:p>
      <w:pPr>
        <w:numPr>
          <w:ilvl w:val="0"/>
          <w:numId w:val="58"/>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交付验收标准依次序对照适用标准为：①符合中华人民共和国国家安全质量标准、环保标准或行业标准；②符合招标文件和响应承诺中甲方认可的合理最佳配置、参数及各项要求；③货物来源国官方标准。</w:t>
      </w:r>
    </w:p>
    <w:p>
      <w:pPr>
        <w:numPr>
          <w:ilvl w:val="0"/>
          <w:numId w:val="58"/>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进口产品必须具备原产地证明和商检局的检验证明及合法进货渠道证明（如适用）。</w:t>
      </w:r>
    </w:p>
    <w:p>
      <w:pPr>
        <w:numPr>
          <w:ilvl w:val="0"/>
          <w:numId w:val="58"/>
        </w:numPr>
        <w:tabs>
          <w:tab w:val="clear" w:pos="425"/>
          <w:tab w:val="left" w:pos="567"/>
          <w:tab w:val="left" w:pos="735"/>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货物为</w:t>
      </w:r>
      <w:r>
        <w:rPr>
          <w:rFonts w:ascii="宋体" w:hAnsi="宋体"/>
          <w:sz w:val="24"/>
        </w:rPr>
        <w:t>原厂商</w:t>
      </w:r>
      <w:r>
        <w:rPr>
          <w:rFonts w:ascii="宋体" w:hAnsi="宋体" w:hint="eastAsia"/>
          <w:sz w:val="24"/>
        </w:rPr>
        <w:t>(制造商)</w:t>
      </w:r>
      <w:r>
        <w:rPr>
          <w:rFonts w:ascii="宋体" w:hAnsi="宋体" w:cs="宋体" w:hint="eastAsia"/>
          <w:sz w:val="24"/>
        </w:rPr>
        <w:t>未启封全新包装，具出厂合格证，序列号、包装箱号与出厂批号一致，并可追索查阅。</w:t>
      </w:r>
    </w:p>
    <w:p>
      <w:pPr>
        <w:numPr>
          <w:ilvl w:val="0"/>
          <w:numId w:val="58"/>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乙方应将关键主机设备的用户手册、保修手册、有关单证资料及配备件、随机工具等交付给甲方，使用操作及安全须知等重要资料应附有中文说明。</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质量要求：</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乙方须提供全新的货物（含零部件、配件等）表面无划伤、无碰撞痕迹，且权属清楚，不得侵害他人的知识产权。</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货物必须符合或优于</w:t>
      </w:r>
      <w:r>
        <w:rPr>
          <w:rFonts w:ascii="宋体" w:hAnsi="宋体" w:cs="宋体" w:hint="eastAsia"/>
          <w:sz w:val="24"/>
          <w:u w:val="single"/>
        </w:rPr>
        <w:t>国家（行业）</w:t>
      </w:r>
      <w:r>
        <w:rPr>
          <w:rFonts w:ascii="宋体" w:hAnsi="宋体" w:cs="宋体" w:hint="eastAsia"/>
          <w:sz w:val="24"/>
        </w:rPr>
        <w:t>标准，以及本项目招标文件的质量要求和技术指标与出厂标准。</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乙方须在本合同签订之日起 日内送交货物成品样品给甲方确认，在甲方出具样品确认书并封存成品样品外观尺寸后，乙方才能按样生产，并以此样品作为验收样品；每台货物上均应有产品质量检验合格标志。</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货物制造质量出现问题，乙方应负责三包（包修、包换、包退），费用由乙方负担，甲方有权到乙方生产场地检查货物质量和生产进度。</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货到现场后由于甲方保管不当造成的质量问题，乙方亦应负责修理，但费用由甲方负担。</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sz w:val="24"/>
        </w:rPr>
      </w:pPr>
      <w:r>
        <w:rPr>
          <w:rFonts w:asciiTheme="minorEastAsia" w:hAnsiTheme="minorEastAsia" w:cs="宋体" w:hint="eastAsia"/>
          <w:b/>
          <w:kern w:val="0"/>
          <w:sz w:val="24"/>
        </w:rPr>
        <w:t>采购项目交付或者实施的时间和地点</w:t>
      </w:r>
      <w:r>
        <w:rPr>
          <w:rFonts w:ascii="宋体" w:hAnsi="宋体" w:cs="宋体" w:hint="eastAsia"/>
          <w:b/>
          <w:sz w:val="24"/>
        </w:rPr>
        <w:t>：</w:t>
      </w:r>
      <w:r>
        <w:rPr>
          <w:rFonts w:ascii="宋体" w:hAnsi="宋体" w:cs="宋体" w:hint="eastAsia"/>
          <w:sz w:val="24"/>
        </w:rPr>
        <w:t>详见本次招标文件用户需求书</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付款方式：</w:t>
      </w:r>
      <w:r>
        <w:rPr>
          <w:rFonts w:ascii="宋体" w:hAnsi="宋体" w:cs="宋体" w:hint="eastAsia"/>
          <w:sz w:val="24"/>
        </w:rPr>
        <w:t>详见本次招标文件用户需求书</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质保期及售后服务要求</w:t>
      </w:r>
    </w:p>
    <w:p>
      <w:pPr>
        <w:numPr>
          <w:ilvl w:val="0"/>
          <w:numId w:val="60"/>
        </w:numPr>
        <w:autoSpaceDE w:val="0"/>
        <w:autoSpaceDN w:val="0"/>
        <w:adjustRightInd w:val="0"/>
        <w:snapToGrid w:val="0"/>
        <w:spacing w:line="360" w:lineRule="auto"/>
        <w:ind w:left="567"/>
        <w:rPr>
          <w:rFonts w:ascii="仿宋_GB2312" w:eastAsia="仿宋_GB2312" w:hAnsi="宋体" w:cs="仿宋_GB2312"/>
          <w:sz w:val="24"/>
        </w:rPr>
      </w:pPr>
      <w:r>
        <w:rPr>
          <w:rFonts w:ascii="宋体" w:hAnsi="宋体" w:cs="宋体" w:hint="eastAsia"/>
          <w:sz w:val="24"/>
        </w:rPr>
        <w:t>本合同的质量保证期（简称“质保期”）为</w:t>
      </w:r>
      <w:r>
        <w:rPr>
          <w:rFonts w:ascii="宋体" w:hAnsi="宋体" w:cs="宋体" w:hint="eastAsia"/>
          <w:sz w:val="24"/>
          <w:u w:val="single"/>
        </w:rPr>
        <w:t xml:space="preserve">    </w:t>
      </w:r>
      <w:r>
        <w:rPr>
          <w:rFonts w:ascii="宋体" w:hAnsi="宋体" w:cs="宋体" w:hint="eastAsia"/>
          <w:sz w:val="24"/>
        </w:rPr>
        <w:t>年，质保期自货物最终验收合格之日起算，质保期内乙方对所供货物实行包修、包换、包退、包维护保养，期满后可同时提供终身 (免费/有偿) 维修保养服务。</w:t>
      </w:r>
    </w:p>
    <w:p>
      <w:pPr>
        <w:numPr>
          <w:ilvl w:val="0"/>
          <w:numId w:val="60"/>
        </w:numPr>
        <w:autoSpaceDE w:val="0"/>
        <w:autoSpaceDN w:val="0"/>
        <w:adjustRightInd w:val="0"/>
        <w:snapToGrid w:val="0"/>
        <w:spacing w:line="360" w:lineRule="auto"/>
        <w:ind w:left="567"/>
        <w:rPr>
          <w:rFonts w:ascii="宋体" w:hAnsi="宋体" w:cs="宋体"/>
          <w:sz w:val="24"/>
        </w:rPr>
      </w:pPr>
      <w:r>
        <w:rPr>
          <w:rFonts w:ascii="宋体" w:hAnsi="宋体" w:cs="宋体" w:hint="eastAsia"/>
          <w:sz w:val="24"/>
        </w:rPr>
        <w:t>对甲方的服务通知，乙方在接报后1小时内响应，4小时内到达现场，48小时内处理完毕。若在48小时内仍未能有效解决，乙方须免费提供同档次的设备予甲方临时使用。</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安装与调试</w:t>
      </w:r>
    </w:p>
    <w:p>
      <w:pPr>
        <w:autoSpaceDE w:val="0"/>
        <w:autoSpaceDN w:val="0"/>
        <w:adjustRightInd w:val="0"/>
        <w:snapToGrid w:val="0"/>
        <w:spacing w:line="360" w:lineRule="auto"/>
        <w:ind w:left="424" w:leftChars="202"/>
        <w:rPr>
          <w:rFonts w:ascii="宋体" w:hAnsi="宋体" w:cs="宋体"/>
          <w:sz w:val="24"/>
        </w:rPr>
      </w:pPr>
      <w:r>
        <w:rPr>
          <w:rFonts w:ascii="宋体" w:hAnsi="宋体" w:cs="宋体" w:hint="eastAsia"/>
          <w:sz w:val="24"/>
        </w:rPr>
        <w:t>乙方必须依照招标文件的要求和投标文件的承诺，将设备、系统安装并调试至正常运行的最佳状态。</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color w:val="auto"/>
          <w:sz w:val="24"/>
        </w:rPr>
      </w:pPr>
      <w:r>
        <w:rPr>
          <w:rFonts w:ascii="宋体" w:hAnsi="宋体" w:cs="宋体" w:hint="eastAsia"/>
          <w:b/>
          <w:sz w:val="24"/>
        </w:rPr>
        <w:t>验收标准</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color w:val="auto"/>
          <w:sz w:val="24"/>
        </w:rPr>
      </w:pPr>
      <w:r>
        <w:rPr>
          <w:rFonts w:asciiTheme="minorEastAsia" w:eastAsiaTheme="minorEastAsia" w:hAnsiTheme="minorEastAsia" w:cs="宋体" w:hint="eastAsia"/>
          <w:color w:val="auto"/>
          <w:sz w:val="24"/>
          <w:szCs w:val="22"/>
        </w:rPr>
        <w:t>全部合同货物到达交货地点</w:t>
      </w:r>
      <w:r>
        <w:rPr>
          <w:rFonts w:asciiTheme="minorEastAsia" w:eastAsiaTheme="minorEastAsia" w:hAnsiTheme="minorEastAsia" w:cstheme="minorBidi" w:hint="eastAsia"/>
          <w:color w:val="auto"/>
          <w:sz w:val="24"/>
        </w:rPr>
        <w:t>且甲方收到验收申请</w:t>
      </w:r>
      <w:r>
        <w:rPr>
          <w:rFonts w:asciiTheme="minorEastAsia" w:eastAsiaTheme="minorEastAsia" w:hAnsiTheme="minorEastAsia" w:cs="宋体" w:hint="eastAsia"/>
          <w:color w:val="auto"/>
          <w:sz w:val="24"/>
          <w:szCs w:val="22"/>
        </w:rPr>
        <w:t>后7个日历日内进行验收。</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color w:val="auto"/>
          <w:sz w:val="24"/>
        </w:rPr>
      </w:pPr>
      <w:r>
        <w:rPr>
          <w:rFonts w:ascii="宋体" w:hAnsi="宋体" w:cs="宋体" w:hint="eastAsia"/>
          <w:color w:val="auto"/>
          <w:sz w:val="24"/>
        </w:rPr>
        <w:t xml:space="preserve">货物若有国家标准按照国家标准验收，若无国家标准按行业标准验收，为原制造商制造的全新产品，整机无污染，无侵权行为、表面无划损、无任何缺陷隐患，在中国境内可依常规安全合法使用。 </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cs="宋体" w:hint="eastAsia"/>
          <w:color w:val="auto"/>
          <w:sz w:val="24"/>
        </w:rPr>
        <w:t>进口产品必须具备原产地证明和商检局</w:t>
      </w:r>
      <w:r>
        <w:rPr>
          <w:rFonts w:ascii="宋体" w:cs="宋体" w:hint="eastAsia"/>
          <w:sz w:val="24"/>
        </w:rPr>
        <w:t>的检验证明及合法进货渠道证明。甲方有权要求乙方提供进口货物的报关单（如有适用）。</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货物为</w:t>
      </w:r>
      <w:r>
        <w:rPr>
          <w:rFonts w:ascii="宋体" w:hAnsi="宋体"/>
          <w:sz w:val="24"/>
        </w:rPr>
        <w:t>原厂商</w:t>
      </w:r>
      <w:r>
        <w:rPr>
          <w:rFonts w:ascii="宋体" w:hAnsi="宋体" w:hint="eastAsia"/>
          <w:sz w:val="24"/>
        </w:rPr>
        <w:t>(制造商)</w:t>
      </w:r>
      <w:r>
        <w:rPr>
          <w:rFonts w:ascii="宋体" w:hAnsi="宋体" w:cs="宋体" w:hint="eastAsia"/>
          <w:sz w:val="24"/>
        </w:rPr>
        <w:t>未启封全新包装，具出厂合格证，序列号、包装箱号与出厂批号一致，并可追索查阅。所有随设备的附件必须齐全。</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乙方应将关键主机设备的用户手册、保修手册、有关单证资料及配备件、随机工具等交付给甲方，使用操作及安全须知等重要资料应附有中文说明。</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违约责任与赔偿损失</w:t>
      </w:r>
    </w:p>
    <w:p>
      <w:pPr>
        <w:numPr>
          <w:ilvl w:val="0"/>
          <w:numId w:val="62"/>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乙方交付的货物、工程/提供的服务不符合招标文件、投标文件或本合同规定的，甲方有权拒收，并且乙方须向甲方支付本合同总价5%的违约金。</w:t>
      </w:r>
    </w:p>
    <w:p>
      <w:pPr>
        <w:numPr>
          <w:ilvl w:val="0"/>
          <w:numId w:val="62"/>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numPr>
          <w:ilvl w:val="0"/>
          <w:numId w:val="62"/>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甲方无正当理由拒收货物/接受服务，到期拒付货物/服务款项的，甲方向乙方偿付本合同总价的5%的违约金。甲方逾期付款，则每日按本合同总价的3‰向乙方偿付违约金。</w:t>
      </w:r>
    </w:p>
    <w:p>
      <w:pPr>
        <w:numPr>
          <w:ilvl w:val="0"/>
          <w:numId w:val="62"/>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其它违约责任按《中华人民共和国民法典》处理。</w:t>
      </w:r>
    </w:p>
    <w:p>
      <w:pPr>
        <w:numPr>
          <w:ilvl w:val="0"/>
          <w:numId w:val="57"/>
        </w:numPr>
        <w:tabs>
          <w:tab w:val="left" w:pos="425"/>
          <w:tab w:val="left" w:pos="567"/>
          <w:tab w:val="left" w:pos="709"/>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争议的解决</w:t>
      </w:r>
    </w:p>
    <w:p>
      <w:pPr>
        <w:tabs>
          <w:tab w:val="left" w:pos="824"/>
        </w:tabs>
        <w:adjustRightInd w:val="0"/>
        <w:snapToGrid w:val="0"/>
        <w:spacing w:line="360" w:lineRule="auto"/>
        <w:ind w:left="424" w:leftChars="202"/>
        <w:rPr>
          <w:rFonts w:ascii="宋体" w:hAnsi="宋体" w:cs="宋体"/>
          <w:sz w:val="24"/>
        </w:rPr>
      </w:pPr>
      <w:r>
        <w:rPr>
          <w:rFonts w:ascii="宋体" w:hAnsi="宋体" w:cs="宋体" w:hint="eastAsia"/>
          <w:sz w:val="24"/>
        </w:rPr>
        <w:t>合同执行过程中发生的任何争议，如双方不能通过友好协商解决，甲、乙双方一致同意向甲方所在地人民法院提起诉讼。</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不可抗力</w:t>
      </w:r>
    </w:p>
    <w:p>
      <w:pPr>
        <w:tabs>
          <w:tab w:val="left" w:pos="824"/>
        </w:tabs>
        <w:adjustRightInd w:val="0"/>
        <w:snapToGrid w:val="0"/>
        <w:spacing w:line="360" w:lineRule="auto"/>
        <w:ind w:left="424" w:leftChars="202"/>
        <w:rPr>
          <w:rFonts w:ascii="宋体" w:hAnsi="宋体" w:cs="宋体"/>
          <w:sz w:val="24"/>
        </w:rPr>
      </w:pPr>
      <w:r>
        <w:rPr>
          <w:rFonts w:ascii="宋体" w:hAnsi="宋体" w:cs="宋体"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税费</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在中国境内、外发生的与本合同执行有关的一切税费均由乙方负担。</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其它</w:t>
      </w:r>
    </w:p>
    <w:p>
      <w:pPr>
        <w:numPr>
          <w:ilvl w:val="0"/>
          <w:numId w:val="63"/>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本合同所有附件、招标文件、投标文件、中标通知书均为合同的有效组成部分，与本合同具有同等法律效力。</w:t>
      </w:r>
    </w:p>
    <w:p>
      <w:pPr>
        <w:numPr>
          <w:ilvl w:val="0"/>
          <w:numId w:val="63"/>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在执行本合同的过程中，所有经双方签署确认的文件（包括会议纪要、补充协议、往来信函）即成为本合同的有效组成部分。</w:t>
      </w:r>
    </w:p>
    <w:p>
      <w:pPr>
        <w:numPr>
          <w:ilvl w:val="0"/>
          <w:numId w:val="63"/>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 xml:space="preserve">如一方地址、电话、传真号码有变更，应在变更当日内书面通知对方，否则，应承担相应责任。 </w:t>
      </w:r>
    </w:p>
    <w:p>
      <w:pPr>
        <w:numPr>
          <w:ilvl w:val="0"/>
          <w:numId w:val="63"/>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除甲方事先书面同意外，乙方不得部分或全部转让其应履行的合同项下的义务。</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合同生效</w:t>
      </w:r>
    </w:p>
    <w:p>
      <w:pPr>
        <w:numPr>
          <w:ilvl w:val="0"/>
          <w:numId w:val="64"/>
        </w:numPr>
        <w:tabs>
          <w:tab w:val="left" w:pos="567"/>
        </w:tabs>
        <w:autoSpaceDE w:val="0"/>
        <w:autoSpaceDN w:val="0"/>
        <w:adjustRightInd w:val="0"/>
        <w:snapToGrid w:val="0"/>
        <w:spacing w:line="360" w:lineRule="auto"/>
        <w:rPr>
          <w:rFonts w:ascii="宋体" w:hAnsi="宋体" w:cs="宋体"/>
          <w:sz w:val="24"/>
        </w:rPr>
      </w:pPr>
      <w:r>
        <w:rPr>
          <w:rFonts w:ascii="宋体" w:hAnsi="宋体" w:cs="宋体" w:hint="eastAsia"/>
          <w:sz w:val="24"/>
        </w:rPr>
        <w:t>合同自甲乙双方法人代表或其授权代表签字盖章之日起生效。</w:t>
      </w:r>
    </w:p>
    <w:p>
      <w:pPr>
        <w:numPr>
          <w:ilvl w:val="0"/>
          <w:numId w:val="64"/>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合同壹式</w:t>
      </w:r>
      <w:r>
        <w:rPr>
          <w:rFonts w:ascii="宋体" w:hAnsi="宋体" w:cs="宋体" w:hint="eastAsia"/>
          <w:sz w:val="24"/>
          <w:u w:val="single"/>
        </w:rPr>
        <w:t xml:space="preserve">   </w:t>
      </w:r>
      <w:r>
        <w:rPr>
          <w:rFonts w:ascii="宋体" w:hAnsi="宋体" w:cs="宋体" w:hint="eastAsia"/>
          <w:sz w:val="24"/>
        </w:rPr>
        <w:t>份，其中甲乙双方各执</w:t>
      </w:r>
      <w:r>
        <w:rPr>
          <w:rFonts w:ascii="宋体" w:hAnsi="宋体" w:cs="宋体" w:hint="eastAsia"/>
          <w:sz w:val="24"/>
          <w:u w:val="single"/>
        </w:rPr>
        <w:t xml:space="preserve">  </w:t>
      </w:r>
      <w:r>
        <w:rPr>
          <w:rFonts w:ascii="宋体" w:hAnsi="宋体" w:cs="宋体" w:hint="eastAsia"/>
          <w:sz w:val="24"/>
        </w:rPr>
        <w:t>份，采购代理机构执壹份，政府采购监督管理部门</w:t>
      </w:r>
      <w:r>
        <w:rPr>
          <w:rFonts w:ascii="宋体" w:hAnsi="宋体" w:cs="宋体" w:hint="eastAsia"/>
          <w:sz w:val="24"/>
          <w:u w:val="single"/>
        </w:rPr>
        <w:t xml:space="preserve">   </w:t>
      </w:r>
      <w:r>
        <w:rPr>
          <w:rFonts w:ascii="宋体" w:hAnsi="宋体" w:cs="宋体" w:hint="eastAsia"/>
          <w:sz w:val="24"/>
        </w:rPr>
        <w:t>份。</w:t>
      </w:r>
    </w:p>
    <w:p>
      <w:pPr>
        <w:autoSpaceDE w:val="0"/>
        <w:autoSpaceDN w:val="0"/>
        <w:adjustRightInd w:val="0"/>
        <w:snapToGrid w:val="0"/>
        <w:spacing w:line="360" w:lineRule="auto"/>
        <w:rPr>
          <w:rFonts w:ascii="宋体" w:hAnsi="宋体" w:cs="宋体"/>
          <w:sz w:val="24"/>
        </w:rPr>
      </w:pPr>
    </w:p>
    <w:p>
      <w:pPr>
        <w:snapToGrid w:val="0"/>
        <w:spacing w:line="360" w:lineRule="auto"/>
        <w:rPr>
          <w:rFonts w:ascii="宋体" w:hAnsi="宋体" w:cs="宋体"/>
          <w:sz w:val="24"/>
        </w:rPr>
      </w:pPr>
      <w:r>
        <w:rPr>
          <w:rFonts w:ascii="宋体" w:hAnsi="宋体" w:cs="宋体" w:hint="eastAsia"/>
          <w:sz w:val="24"/>
        </w:rPr>
        <w:t>甲方（盖章）：                           乙方（盖章）：</w:t>
      </w:r>
    </w:p>
    <w:p>
      <w:pPr>
        <w:snapToGrid w:val="0"/>
        <w:spacing w:line="360" w:lineRule="auto"/>
        <w:rPr>
          <w:rFonts w:ascii="宋体" w:hAnsi="宋体" w:cs="宋体"/>
          <w:sz w:val="24"/>
        </w:rPr>
      </w:pPr>
      <w:r>
        <w:rPr>
          <w:rFonts w:ascii="宋体" w:hAnsi="宋体" w:cs="宋体" w:hint="eastAsia"/>
          <w:sz w:val="24"/>
        </w:rPr>
        <w:t xml:space="preserve">代表：                                  代表： </w:t>
      </w:r>
    </w:p>
    <w:p>
      <w:pPr>
        <w:snapToGrid w:val="0"/>
        <w:spacing w:line="360" w:lineRule="auto"/>
        <w:rPr>
          <w:rFonts w:ascii="宋体" w:hAnsi="宋体" w:cs="宋体"/>
          <w:sz w:val="24"/>
        </w:rPr>
      </w:pPr>
      <w:r>
        <w:rPr>
          <w:rFonts w:ascii="宋体" w:hAnsi="宋体" w:cs="宋体" w:hint="eastAsia"/>
          <w:sz w:val="24"/>
        </w:rPr>
        <w:t>签定地点：</w:t>
      </w:r>
    </w:p>
    <w:p>
      <w:pPr>
        <w:snapToGrid w:val="0"/>
        <w:spacing w:line="360" w:lineRule="auto"/>
        <w:rPr>
          <w:rFonts w:ascii="宋体" w:hAnsi="宋体" w:cs="宋体"/>
          <w:sz w:val="24"/>
        </w:rPr>
      </w:pPr>
      <w:r>
        <w:rPr>
          <w:rFonts w:ascii="宋体" w:hAnsi="宋体" w:cs="宋体" w:hint="eastAsia"/>
          <w:sz w:val="24"/>
        </w:rPr>
        <w:t xml:space="preserve">签定日期：        年     月    日       签定日期：        年     月     日    </w:t>
      </w:r>
    </w:p>
    <w:p>
      <w:pPr>
        <w:snapToGrid w:val="0"/>
        <w:spacing w:line="360" w:lineRule="auto"/>
        <w:ind w:firstLine="4200" w:firstLineChars="2000"/>
        <w:rPr>
          <w:rFonts w:ascii="宋体" w:hAnsi="宋体" w:cs="宋体"/>
          <w:sz w:val="24"/>
        </w:rPr>
      </w:pPr>
      <w:r>
        <w:rPr>
          <w:rFonts w:ascii="宋体" w:hAnsi="宋体" w:cs="宋体" w:hint="eastAsia"/>
          <w:sz w:val="24"/>
        </w:rPr>
        <w:t>开户名称：</w:t>
      </w:r>
    </w:p>
    <w:p>
      <w:pPr>
        <w:snapToGrid w:val="0"/>
        <w:spacing w:line="360" w:lineRule="auto"/>
        <w:ind w:firstLine="4200" w:firstLineChars="2000"/>
        <w:rPr>
          <w:rFonts w:ascii="宋体" w:hAnsi="宋体" w:cs="宋体"/>
          <w:sz w:val="24"/>
        </w:rPr>
      </w:pPr>
      <w:r>
        <w:rPr>
          <w:rFonts w:ascii="宋体" w:hAnsi="宋体" w:cs="宋体" w:hint="eastAsia"/>
          <w:sz w:val="24"/>
        </w:rPr>
        <w:t>银行账号：</w:t>
      </w:r>
    </w:p>
    <w:p>
      <w:pPr>
        <w:snapToGrid w:val="0"/>
        <w:spacing w:line="360" w:lineRule="auto"/>
        <w:ind w:firstLine="4200" w:firstLineChars="2000"/>
        <w:rPr>
          <w:sz w:val="24"/>
        </w:rPr>
      </w:pPr>
      <w:r>
        <w:rPr>
          <w:rFonts w:ascii="宋体" w:hAnsi="宋体" w:cs="宋体" w:hint="eastAsia"/>
          <w:sz w:val="24"/>
        </w:rPr>
        <w:t>开 户 行：</w:t>
      </w:r>
    </w:p>
    <w:p>
      <w:pPr>
        <w:widowControl/>
        <w:jc w:val="left"/>
        <w:rPr>
          <w:rFonts w:ascii="宋体" w:hAnsi="宋体"/>
          <w:b/>
          <w:color w:val="FF0000"/>
        </w:rPr>
      </w:pPr>
      <w:r>
        <w:rPr>
          <w:rFonts w:ascii="宋体" w:hAnsi="宋体"/>
          <w:b/>
          <w:color w:val="FF0000"/>
        </w:rPr>
        <w:br w:type="page"/>
      </w:r>
    </w:p>
    <w:p>
      <w:pPr>
        <w:spacing w:before="156" w:beforeLines="50" w:after="156" w:afterLines="50" w:line="360" w:lineRule="auto"/>
        <w:jc w:val="center"/>
        <w:outlineLvl w:val="0"/>
        <w:rPr>
          <w:b/>
          <w:bCs/>
          <w:color w:val="auto"/>
          <w:sz w:val="32"/>
          <w:szCs w:val="32"/>
        </w:rPr>
      </w:pPr>
      <w:bookmarkStart w:id="124" w:name="_Toc435115056"/>
      <w:bookmarkStart w:id="125" w:name="_Toc13067024"/>
      <w:bookmarkStart w:id="126" w:name="_Toc435514851"/>
      <w:bookmarkStart w:id="127" w:name="_Toc23170"/>
      <w:bookmarkStart w:id="128" w:name="_Toc256000021"/>
      <w:r>
        <w:rPr>
          <w:rFonts w:hint="eastAsia"/>
          <w:b/>
          <w:bCs/>
          <w:color w:val="auto"/>
          <w:sz w:val="32"/>
          <w:szCs w:val="32"/>
        </w:rPr>
        <w:t>第六章 投标文件格式</w:t>
      </w:r>
      <w:bookmarkEnd w:id="128"/>
      <w:bookmarkEnd w:id="124"/>
      <w:bookmarkEnd w:id="125"/>
      <w:bookmarkEnd w:id="126"/>
      <w:bookmarkEnd w:id="127"/>
    </w:p>
    <w:p>
      <w:pPr>
        <w:tabs>
          <w:tab w:val="left" w:pos="426"/>
        </w:tabs>
        <w:autoSpaceDE w:val="0"/>
        <w:autoSpaceDN w:val="0"/>
        <w:adjustRightInd w:val="0"/>
        <w:spacing w:line="360" w:lineRule="auto"/>
        <w:ind w:left="505"/>
        <w:jc w:val="center"/>
        <w:outlineLvl w:val="3"/>
        <w:rPr>
          <w:b/>
          <w:color w:val="auto"/>
          <w:sz w:val="32"/>
          <w:szCs w:val="32"/>
        </w:rPr>
      </w:pPr>
      <w:r>
        <w:rPr>
          <w:rFonts w:hint="eastAsia"/>
          <w:b/>
          <w:color w:val="auto"/>
          <w:sz w:val="32"/>
          <w:szCs w:val="32"/>
        </w:rPr>
        <w:t>投标文件正文（信息公开部分）</w:t>
      </w:r>
    </w:p>
    <w:p>
      <w:pPr>
        <w:pStyle w:val="Heading2"/>
        <w:numPr>
          <w:ilvl w:val="0"/>
          <w:numId w:val="65"/>
        </w:numPr>
        <w:spacing w:line="240" w:lineRule="auto"/>
        <w:jc w:val="center"/>
        <w:rPr>
          <w:color w:val="auto"/>
        </w:rPr>
      </w:pPr>
      <w:bookmarkStart w:id="129" w:name="_Toc435515292"/>
      <w:bookmarkStart w:id="130" w:name="_Toc435514852"/>
      <w:bookmarkStart w:id="131" w:name="_Toc30664868"/>
      <w:bookmarkStart w:id="132" w:name="_Toc8947"/>
      <w:bookmarkStart w:id="133" w:name="_Toc25064"/>
      <w:bookmarkStart w:id="134" w:name="_Toc256000022"/>
      <w:r>
        <w:rPr>
          <w:rFonts w:hint="eastAsia"/>
          <w:color w:val="auto"/>
        </w:rPr>
        <w:t>投标文件封面参考</w:t>
      </w:r>
      <w:bookmarkEnd w:id="134"/>
      <w:bookmarkEnd w:id="129"/>
      <w:bookmarkEnd w:id="130"/>
      <w:bookmarkEnd w:id="131"/>
      <w:bookmarkEnd w:id="132"/>
      <w:bookmarkEnd w:id="133"/>
    </w:p>
    <w:tbl>
      <w:tblPr>
        <w:tblStyle w:val="TableNormal"/>
        <w:tblW w:w="90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18"/>
      </w:tblGrid>
      <w:tr>
        <w:tblPrEx>
          <w:tblW w:w="90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974"/>
        </w:trPr>
        <w:tc>
          <w:tcPr>
            <w:tcW w:w="9018" w:type="dxa"/>
          </w:tcPr>
          <w:p>
            <w:pPr>
              <w:pStyle w:val="BodyText"/>
              <w:keepNext w:val="0"/>
              <w:keepLines w:val="0"/>
              <w:suppressLineNumbers w:val="0"/>
              <w:spacing w:before="0" w:beforeAutospacing="0" w:afterAutospacing="0" w:line="360" w:lineRule="auto"/>
              <w:ind w:left="0" w:right="0" w:firstLine="315" w:firstLineChars="150"/>
              <w:rPr>
                <w:rFonts w:ascii="仿宋_GB2312" w:eastAsia="仿宋_GB2312" w:hint="default"/>
                <w:b/>
                <w:sz w:val="32"/>
              </w:rPr>
            </w:pPr>
          </w:p>
          <w:p>
            <w:pPr>
              <w:pStyle w:val="BodyText"/>
              <w:keepNext w:val="0"/>
              <w:keepLines w:val="0"/>
              <w:suppressLineNumbers w:val="0"/>
              <w:spacing w:before="0" w:beforeAutospacing="0" w:afterAutospacing="0" w:line="360" w:lineRule="auto"/>
              <w:ind w:left="0" w:right="0" w:firstLine="315" w:firstLineChars="150"/>
              <w:rPr>
                <w:rFonts w:ascii="仿宋_GB2312" w:eastAsia="仿宋_GB2312" w:hint="default"/>
                <w:b/>
                <w:sz w:val="32"/>
              </w:rPr>
            </w:pPr>
          </w:p>
          <w:p>
            <w:pPr>
              <w:pStyle w:val="BodyText"/>
              <w:keepNext w:val="0"/>
              <w:keepLines w:val="0"/>
              <w:suppressLineNumbers w:val="0"/>
              <w:spacing w:before="0" w:beforeAutospacing="0" w:afterAutospacing="0" w:line="360" w:lineRule="auto"/>
              <w:ind w:left="0" w:right="0" w:firstLine="315" w:firstLineChars="150"/>
              <w:rPr>
                <w:rFonts w:ascii="仿宋_GB2312" w:eastAsia="仿宋_GB2312" w:hint="default"/>
                <w:b/>
                <w:sz w:val="32"/>
              </w:rPr>
            </w:pPr>
          </w:p>
          <w:p>
            <w:pPr>
              <w:pStyle w:val="BodyText"/>
              <w:keepNext w:val="0"/>
              <w:keepLines w:val="0"/>
              <w:suppressLineNumbers w:val="0"/>
              <w:spacing w:before="0" w:beforeAutospacing="0" w:afterAutospacing="0" w:line="360" w:lineRule="auto"/>
              <w:ind w:left="0" w:right="0"/>
              <w:jc w:val="center"/>
              <w:rPr>
                <w:rFonts w:ascii="黑体" w:eastAsia="黑体" w:hint="default"/>
                <w:b/>
                <w:sz w:val="72"/>
                <w:szCs w:val="72"/>
              </w:rPr>
            </w:pPr>
            <w:r>
              <w:rPr>
                <w:rFonts w:ascii="黑体" w:eastAsia="黑体" w:hint="eastAsia"/>
                <w:b/>
                <w:sz w:val="72"/>
                <w:szCs w:val="72"/>
              </w:rPr>
              <w:t>投 标 文 件</w:t>
            </w:r>
          </w:p>
          <w:p>
            <w:pPr>
              <w:pStyle w:val="BodyText"/>
              <w:keepNext w:val="0"/>
              <w:keepLines w:val="0"/>
              <w:suppressLineNumbers w:val="0"/>
              <w:spacing w:before="0" w:beforeAutospacing="0" w:afterAutospacing="0" w:line="360" w:lineRule="auto"/>
              <w:ind w:left="0" w:right="0" w:firstLine="1367" w:firstLineChars="651"/>
              <w:rPr>
                <w:rFonts w:ascii="黑体" w:eastAsia="黑体" w:hint="default"/>
                <w:b/>
                <w:sz w:val="52"/>
                <w:szCs w:val="52"/>
              </w:rPr>
            </w:pPr>
          </w:p>
          <w:p>
            <w:pPr>
              <w:pStyle w:val="BodyText"/>
              <w:keepNext w:val="0"/>
              <w:keepLines w:val="0"/>
              <w:suppressLineNumbers w:val="0"/>
              <w:spacing w:before="0" w:beforeAutospacing="0" w:afterAutospacing="0" w:line="360" w:lineRule="auto"/>
              <w:ind w:left="0" w:right="0" w:firstLine="1367" w:firstLineChars="651"/>
              <w:rPr>
                <w:rFonts w:ascii="黑体" w:eastAsia="黑体" w:hint="default"/>
                <w:b/>
                <w:sz w:val="32"/>
              </w:rPr>
            </w:pPr>
            <w:r>
              <w:rPr>
                <w:rFonts w:ascii="黑体" w:eastAsia="黑体" w:hint="eastAsia"/>
                <w:b/>
                <w:sz w:val="52"/>
                <w:szCs w:val="52"/>
              </w:rPr>
              <w:t xml:space="preserve">口 </w:t>
            </w:r>
            <w:r>
              <w:rPr>
                <w:rFonts w:ascii="黑体" w:eastAsia="黑体" w:hint="eastAsia"/>
                <w:b/>
                <w:sz w:val="32"/>
              </w:rPr>
              <w:t>正本</w:t>
            </w:r>
          </w:p>
          <w:p>
            <w:pPr>
              <w:pStyle w:val="BodyText"/>
              <w:keepNext w:val="0"/>
              <w:keepLines w:val="0"/>
              <w:suppressLineNumbers w:val="0"/>
              <w:spacing w:before="0" w:beforeAutospacing="0" w:afterAutospacing="0" w:line="360" w:lineRule="auto"/>
              <w:ind w:left="0" w:right="0"/>
              <w:rPr>
                <w:rFonts w:ascii="仿宋_GB2312" w:eastAsia="仿宋_GB2312" w:hint="default"/>
                <w:b/>
                <w:sz w:val="32"/>
              </w:rPr>
            </w:pPr>
          </w:p>
          <w:p>
            <w:pPr>
              <w:pStyle w:val="BodyText"/>
              <w:keepNext w:val="0"/>
              <w:keepLines w:val="0"/>
              <w:suppressLineNumbers w:val="0"/>
              <w:spacing w:before="0" w:beforeAutospacing="0" w:afterAutospacing="0" w:line="360" w:lineRule="auto"/>
              <w:ind w:left="0" w:right="0"/>
              <w:rPr>
                <w:rFonts w:ascii="仿宋_GB2312" w:eastAsia="仿宋_GB2312" w:hint="default"/>
                <w:b/>
                <w:sz w:val="32"/>
              </w:rPr>
            </w:pPr>
          </w:p>
          <w:p>
            <w:pPr>
              <w:pStyle w:val="BodyText"/>
              <w:keepNext w:val="0"/>
              <w:keepLines w:val="0"/>
              <w:suppressLineNumbers w:val="0"/>
              <w:spacing w:before="0" w:beforeAutospacing="0" w:afterAutospacing="0" w:line="360" w:lineRule="auto"/>
              <w:ind w:left="0" w:right="0"/>
              <w:rPr>
                <w:rFonts w:ascii="仿宋_GB2312" w:eastAsia="仿宋_GB2312" w:hint="default"/>
                <w:b/>
                <w:sz w:val="32"/>
              </w:rPr>
            </w:pPr>
          </w:p>
          <w:p>
            <w:pPr>
              <w:pStyle w:val="BodyText"/>
              <w:keepNext w:val="0"/>
              <w:keepLines w:val="0"/>
              <w:suppressLineNumbers w:val="0"/>
              <w:spacing w:before="0" w:beforeAutospacing="0" w:afterAutospacing="0" w:line="400" w:lineRule="exact"/>
              <w:ind w:left="0" w:right="0" w:firstLine="672" w:firstLineChars="320"/>
              <w:rPr>
                <w:rFonts w:ascii="仿宋_GB2312" w:eastAsia="仿宋_GB2312" w:hint="eastAsia"/>
                <w:b/>
                <w:color w:val="auto"/>
                <w:sz w:val="28"/>
                <w:szCs w:val="28"/>
                <w:lang w:eastAsia="zh-CN"/>
              </w:rPr>
            </w:pPr>
            <w:r>
              <w:rPr>
                <w:rFonts w:ascii="仿宋_GB2312" w:eastAsia="仿宋_GB2312" w:hint="eastAsia"/>
                <w:b/>
                <w:sz w:val="28"/>
                <w:szCs w:val="28"/>
              </w:rPr>
              <w:t>项目</w:t>
            </w:r>
            <w:r>
              <w:rPr>
                <w:rFonts w:ascii="仿宋_GB2312" w:eastAsia="仿宋_GB2312" w:hint="eastAsia"/>
                <w:b/>
                <w:color w:val="auto"/>
                <w:sz w:val="28"/>
                <w:szCs w:val="28"/>
              </w:rPr>
              <w:t>编号：</w:t>
            </w:r>
            <w:r>
              <w:rPr>
                <w:rFonts w:ascii="仿宋_GB2312" w:eastAsia="仿宋_GB2312" w:hint="eastAsia"/>
                <w:b/>
                <w:color w:val="auto"/>
                <w:sz w:val="28"/>
                <w:szCs w:val="28"/>
                <w:lang w:eastAsia="zh-CN"/>
              </w:rPr>
              <w:t>SZDL2023001961（CLF0123SZ17ZC27）</w:t>
            </w:r>
          </w:p>
          <w:p>
            <w:pPr>
              <w:pStyle w:val="BodyText"/>
              <w:keepNext w:val="0"/>
              <w:keepLines w:val="0"/>
              <w:suppressLineNumbers w:val="0"/>
              <w:spacing w:before="0" w:beforeAutospacing="0" w:afterAutospacing="0" w:line="400" w:lineRule="exact"/>
              <w:ind w:left="0" w:right="0" w:firstLine="672" w:firstLineChars="320"/>
              <w:rPr>
                <w:rFonts w:ascii="仿宋_GB2312" w:eastAsia="仿宋_GB2312" w:hint="eastAsia"/>
                <w:b/>
                <w:bCs/>
                <w:color w:val="auto"/>
                <w:sz w:val="28"/>
                <w:szCs w:val="28"/>
                <w:lang w:eastAsia="zh-CN"/>
              </w:rPr>
            </w:pPr>
            <w:r>
              <w:rPr>
                <w:rFonts w:ascii="仿宋_GB2312" w:eastAsia="仿宋_GB2312" w:hint="eastAsia"/>
                <w:b/>
                <w:color w:val="auto"/>
                <w:sz w:val="28"/>
                <w:szCs w:val="28"/>
              </w:rPr>
              <w:t>项目名称：</w:t>
            </w:r>
            <w:r>
              <w:rPr>
                <w:rFonts w:ascii="仿宋_GB2312" w:eastAsia="仿宋_GB2312" w:hint="eastAsia"/>
                <w:b/>
                <w:color w:val="auto"/>
                <w:sz w:val="28"/>
                <w:szCs w:val="28"/>
                <w:lang w:eastAsia="zh-CN"/>
              </w:rPr>
              <w:t>智能计算与系统-高级白盒可编程路由器</w:t>
            </w:r>
          </w:p>
          <w:p>
            <w:pPr>
              <w:pStyle w:val="BodyText"/>
              <w:keepNext w:val="0"/>
              <w:keepLines w:val="0"/>
              <w:suppressLineNumbers w:val="0"/>
              <w:spacing w:before="0" w:beforeAutospacing="0" w:afterAutospacing="0" w:line="400" w:lineRule="exact"/>
              <w:ind w:left="0" w:right="0" w:firstLine="672" w:firstLineChars="320"/>
              <w:rPr>
                <w:rFonts w:ascii="仿宋_GB2312" w:eastAsia="仿宋_GB2312" w:hint="default"/>
                <w:b/>
                <w:color w:val="auto"/>
                <w:sz w:val="28"/>
                <w:szCs w:val="28"/>
              </w:rPr>
            </w:pPr>
            <w:r>
              <w:rPr>
                <w:rFonts w:ascii="仿宋_GB2312" w:eastAsia="仿宋_GB2312" w:hint="eastAsia"/>
                <w:b/>
                <w:color w:val="auto"/>
                <w:sz w:val="28"/>
                <w:szCs w:val="28"/>
              </w:rPr>
              <w:t>投标人名称：</w:t>
            </w:r>
          </w:p>
          <w:p>
            <w:pPr>
              <w:pStyle w:val="BodyText"/>
              <w:keepNext w:val="0"/>
              <w:keepLines w:val="0"/>
              <w:suppressLineNumbers w:val="0"/>
              <w:spacing w:before="0" w:beforeAutospacing="0" w:afterAutospacing="0" w:line="400" w:lineRule="exact"/>
              <w:ind w:left="0" w:right="0" w:firstLine="672" w:firstLineChars="320"/>
              <w:rPr>
                <w:rFonts w:ascii="仿宋_GB2312" w:eastAsia="仿宋_GB2312" w:hint="default"/>
                <w:b/>
                <w:color w:val="auto"/>
                <w:sz w:val="28"/>
                <w:szCs w:val="28"/>
              </w:rPr>
            </w:pPr>
            <w:r>
              <w:rPr>
                <w:rFonts w:ascii="仿宋_GB2312" w:eastAsia="仿宋_GB2312" w:hint="eastAsia"/>
                <w:b/>
                <w:color w:val="auto"/>
                <w:sz w:val="28"/>
                <w:szCs w:val="28"/>
              </w:rPr>
              <w:t>投标人地址：</w:t>
            </w:r>
          </w:p>
          <w:p>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620" w:firstLineChars="295"/>
              <w:rPr>
                <w:rFonts w:ascii="仿宋_GB2312" w:eastAsia="仿宋_GB2312" w:hint="default"/>
                <w:b/>
                <w:sz w:val="32"/>
              </w:rPr>
            </w:pPr>
          </w:p>
        </w:tc>
      </w:tr>
    </w:tbl>
    <w:p>
      <w:pPr>
        <w:pStyle w:val="Heading2"/>
        <w:numPr>
          <w:ilvl w:val="0"/>
          <w:numId w:val="65"/>
        </w:numPr>
        <w:spacing w:line="240" w:lineRule="auto"/>
        <w:jc w:val="center"/>
        <w:rPr>
          <w:b w:val="0"/>
        </w:rPr>
      </w:pPr>
      <w:bookmarkStart w:id="135" w:name="_Toc31717"/>
      <w:bookmarkStart w:id="136" w:name="_Toc30664869"/>
      <w:bookmarkStart w:id="137" w:name="_Toc8999"/>
      <w:bookmarkStart w:id="138" w:name="_Toc435515305"/>
      <w:bookmarkStart w:id="139" w:name="_Toc435514865"/>
      <w:bookmarkStart w:id="140" w:name="_Toc256000023"/>
      <w:r>
        <w:rPr>
          <w:rFonts w:hint="eastAsia"/>
          <w:b w:val="0"/>
        </w:rPr>
        <w:t>营业执照等资质证明文件</w:t>
      </w:r>
      <w:bookmarkEnd w:id="140"/>
      <w:bookmarkEnd w:id="135"/>
      <w:bookmarkEnd w:id="136"/>
      <w:bookmarkEnd w:id="137"/>
    </w:p>
    <w:p>
      <w:bookmarkStart w:id="141" w:name="_Toc30664870"/>
      <w:bookmarkStart w:id="142" w:name="_Toc6452"/>
      <w:r>
        <w:rPr>
          <w:rFonts w:hint="eastAsia"/>
        </w:rPr>
        <w:br w:type="page"/>
      </w:r>
    </w:p>
    <w:p>
      <w:pPr>
        <w:pStyle w:val="Heading2"/>
        <w:numPr>
          <w:ilvl w:val="0"/>
          <w:numId w:val="65"/>
        </w:numPr>
        <w:spacing w:line="240" w:lineRule="auto"/>
        <w:jc w:val="center"/>
        <w:rPr>
          <w:b w:val="0"/>
        </w:rPr>
      </w:pPr>
      <w:bookmarkEnd w:id="138"/>
      <w:bookmarkEnd w:id="139"/>
      <w:bookmarkEnd w:id="141"/>
      <w:bookmarkEnd w:id="142"/>
      <w:bookmarkStart w:id="143" w:name="_Toc708"/>
      <w:bookmarkStart w:id="144" w:name="_Toc435514866"/>
      <w:bookmarkStart w:id="145" w:name="_Toc192662843"/>
      <w:bookmarkStart w:id="146" w:name="_Toc30664871"/>
      <w:bookmarkStart w:id="147" w:name="_Toc435515306"/>
      <w:bookmarkStart w:id="148" w:name="_Toc275865611"/>
      <w:bookmarkStart w:id="149" w:name="_Toc19144"/>
      <w:bookmarkStart w:id="150" w:name="_Toc5066"/>
      <w:bookmarkStart w:id="151" w:name="_Toc30664872"/>
      <w:bookmarkStart w:id="152" w:name="_Toc275865605"/>
      <w:bookmarkStart w:id="153" w:name="_Toc435515294"/>
      <w:bookmarkStart w:id="154" w:name="_Toc435514854"/>
      <w:bookmarkStart w:id="155" w:name="_Toc256000024"/>
      <w:r>
        <w:rPr>
          <w:rFonts w:hint="eastAsia"/>
          <w:b w:val="0"/>
        </w:rPr>
        <w:t>投标分项报价表</w:t>
      </w:r>
      <w:bookmarkEnd w:id="155"/>
      <w:bookmarkEnd w:id="143"/>
      <w:bookmarkEnd w:id="144"/>
      <w:bookmarkEnd w:id="145"/>
      <w:bookmarkEnd w:id="146"/>
      <w:bookmarkEnd w:id="147"/>
      <w:bookmarkEnd w:id="148"/>
      <w:bookmarkEnd w:id="149"/>
    </w:p>
    <w:p>
      <w:pPr>
        <w:widowControl/>
        <w:wordWrap w:val="0"/>
        <w:spacing w:line="360" w:lineRule="auto"/>
        <w:jc w:val="left"/>
        <w:rPr>
          <w:rFonts w:ascii="ˎ̥" w:hAnsi="ˎ̥" w:cs="宋体"/>
          <w:color w:val="auto"/>
          <w:kern w:val="0"/>
          <w:sz w:val="24"/>
          <w:highlight w:val="none"/>
        </w:rPr>
      </w:pPr>
      <w:r>
        <w:rPr>
          <w:rFonts w:ascii="宋体" w:hAnsi="宋体" w:hint="eastAsia"/>
          <w:sz w:val="24"/>
        </w:rPr>
        <w:t xml:space="preserve">投标人名称：               </w:t>
      </w:r>
      <w:r>
        <w:rPr>
          <w:rFonts w:ascii="宋体" w:hAnsi="宋体" w:hint="eastAsia"/>
          <w:color w:val="auto"/>
          <w:sz w:val="24"/>
          <w:highlight w:val="none"/>
        </w:rPr>
        <w:t xml:space="preserve">  项目编号：</w:t>
      </w:r>
      <w:r>
        <w:rPr>
          <w:rFonts w:ascii="宋体" w:hAnsi="宋体" w:hint="eastAsia"/>
          <w:color w:val="auto"/>
          <w:sz w:val="24"/>
          <w:highlight w:val="none"/>
          <w:lang w:eastAsia="zh-CN"/>
        </w:rPr>
        <w:t>SZDL2023001961（CLF0123SZ17ZC27）</w:t>
      </w:r>
      <w:r>
        <w:rPr>
          <w:rFonts w:ascii="ˎ̥" w:hAnsi="ˎ̥" w:cs="宋体"/>
          <w:color w:val="auto"/>
          <w:kern w:val="0"/>
          <w:sz w:val="24"/>
          <w:highlight w:val="none"/>
        </w:rPr>
        <w:t> </w:t>
      </w:r>
    </w:p>
    <w:tbl>
      <w:tblPr>
        <w:tblStyle w:val="TableNormal"/>
        <w:tblW w:w="99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663"/>
        <w:gridCol w:w="1342"/>
        <w:gridCol w:w="700"/>
        <w:gridCol w:w="575"/>
        <w:gridCol w:w="1225"/>
        <w:gridCol w:w="1392"/>
        <w:gridCol w:w="711"/>
        <w:gridCol w:w="682"/>
        <w:gridCol w:w="864"/>
        <w:gridCol w:w="864"/>
        <w:gridCol w:w="944"/>
      </w:tblGrid>
      <w:tr>
        <w:tblPrEx>
          <w:tblW w:w="99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756"/>
          <w:jc w:val="center"/>
        </w:trPr>
        <w:tc>
          <w:tcPr>
            <w:tcW w:w="663" w:type="dxa"/>
            <w:tcBorders>
              <w:top w:val="single" w:sz="12" w:space="0" w:color="auto"/>
              <w:bottom w:val="double" w:sz="4" w:space="0" w:color="auto"/>
            </w:tcBorders>
            <w:shd w:val="clear" w:color="auto" w:fill="EEECE1"/>
            <w:vAlign w:val="center"/>
          </w:tcPr>
          <w:p>
            <w:pPr>
              <w:keepNext w:val="0"/>
              <w:keepLines w:val="0"/>
              <w:widowControl/>
              <w:suppressLineNumbers w:val="0"/>
              <w:adjustRightInd w:val="0"/>
              <w:snapToGrid w:val="0"/>
              <w:spacing w:before="0" w:beforeAutospacing="0" w:after="0" w:afterAutospacing="0"/>
              <w:ind w:left="0" w:right="0"/>
              <w:jc w:val="center"/>
              <w:rPr>
                <w:rFonts w:ascii="宋体" w:hAnsi="宋体" w:hint="default"/>
                <w:color w:val="auto"/>
                <w:sz w:val="24"/>
                <w:highlight w:val="none"/>
              </w:rPr>
            </w:pPr>
            <w:r>
              <w:rPr>
                <w:rFonts w:ascii="宋体" w:hAnsi="宋体" w:hint="eastAsia"/>
                <w:color w:val="auto"/>
                <w:sz w:val="24"/>
                <w:highlight w:val="none"/>
              </w:rPr>
              <w:t>序号</w:t>
            </w:r>
          </w:p>
        </w:tc>
        <w:tc>
          <w:tcPr>
            <w:tcW w:w="1342" w:type="dxa"/>
            <w:tcBorders>
              <w:top w:val="single" w:sz="12" w:space="0" w:color="auto"/>
              <w:bottom w:val="double" w:sz="4" w:space="0" w:color="auto"/>
            </w:tcBorders>
            <w:shd w:val="clear" w:color="auto" w:fill="EEECE1"/>
            <w:vAlign w:val="center"/>
          </w:tcPr>
          <w:p>
            <w:pPr>
              <w:keepNext w:val="0"/>
              <w:keepLines w:val="0"/>
              <w:widowControl/>
              <w:suppressLineNumbers w:val="0"/>
              <w:adjustRightInd w:val="0"/>
              <w:snapToGrid w:val="0"/>
              <w:spacing w:before="0" w:beforeAutospacing="0" w:after="0" w:afterAutospacing="0"/>
              <w:ind w:left="0" w:right="0"/>
              <w:jc w:val="center"/>
              <w:rPr>
                <w:rFonts w:ascii="宋体" w:hAnsi="宋体" w:hint="default"/>
                <w:color w:val="auto"/>
                <w:sz w:val="24"/>
                <w:highlight w:val="none"/>
              </w:rPr>
            </w:pPr>
            <w:r>
              <w:rPr>
                <w:rFonts w:ascii="宋体" w:hAnsi="宋体" w:hint="eastAsia"/>
                <w:color w:val="auto"/>
                <w:sz w:val="24"/>
                <w:highlight w:val="none"/>
              </w:rPr>
              <w:t>产品</w:t>
            </w:r>
          </w:p>
          <w:p>
            <w:pPr>
              <w:keepNext w:val="0"/>
              <w:keepLines w:val="0"/>
              <w:widowControl/>
              <w:suppressLineNumbers w:val="0"/>
              <w:adjustRightInd w:val="0"/>
              <w:snapToGrid w:val="0"/>
              <w:spacing w:before="0" w:beforeAutospacing="0" w:after="0" w:afterAutospacing="0"/>
              <w:ind w:left="0" w:right="0"/>
              <w:jc w:val="center"/>
              <w:rPr>
                <w:rFonts w:ascii="宋体" w:hAnsi="宋体" w:hint="default"/>
                <w:color w:val="auto"/>
                <w:sz w:val="24"/>
                <w:highlight w:val="none"/>
              </w:rPr>
            </w:pPr>
            <w:r>
              <w:rPr>
                <w:rFonts w:ascii="宋体" w:hAnsi="宋体" w:hint="default"/>
                <w:color w:val="auto"/>
                <w:sz w:val="24"/>
                <w:highlight w:val="none"/>
              </w:rPr>
              <w:t>名称</w:t>
            </w:r>
          </w:p>
        </w:tc>
        <w:tc>
          <w:tcPr>
            <w:tcW w:w="700" w:type="dxa"/>
            <w:tcBorders>
              <w:top w:val="single" w:sz="12" w:space="0" w:color="auto"/>
              <w:bottom w:val="double" w:sz="4" w:space="0" w:color="auto"/>
            </w:tcBorders>
            <w:shd w:val="clear" w:color="auto" w:fill="EEECE1"/>
            <w:vAlign w:val="center"/>
          </w:tcPr>
          <w:p>
            <w:pPr>
              <w:keepNext w:val="0"/>
              <w:keepLines w:val="0"/>
              <w:widowControl/>
              <w:suppressLineNumbers w:val="0"/>
              <w:adjustRightInd w:val="0"/>
              <w:snapToGrid w:val="0"/>
              <w:spacing w:before="0" w:beforeAutospacing="0" w:after="0" w:afterAutospacing="0"/>
              <w:ind w:left="0" w:right="0"/>
              <w:jc w:val="center"/>
              <w:rPr>
                <w:rFonts w:ascii="宋体" w:hAnsi="宋体" w:hint="default"/>
                <w:color w:val="auto"/>
                <w:sz w:val="24"/>
                <w:highlight w:val="none"/>
              </w:rPr>
            </w:pPr>
            <w:r>
              <w:rPr>
                <w:rFonts w:ascii="宋体" w:hAnsi="宋体" w:hint="default"/>
                <w:color w:val="auto"/>
                <w:sz w:val="24"/>
                <w:highlight w:val="none"/>
              </w:rPr>
              <w:t>规格型号</w:t>
            </w:r>
          </w:p>
        </w:tc>
        <w:tc>
          <w:tcPr>
            <w:tcW w:w="575" w:type="dxa"/>
            <w:tcBorders>
              <w:top w:val="single" w:sz="12" w:space="0" w:color="auto"/>
              <w:bottom w:val="double" w:sz="4" w:space="0" w:color="auto"/>
            </w:tcBorders>
            <w:shd w:val="clear" w:color="auto" w:fill="EEECE1"/>
            <w:vAlign w:val="center"/>
          </w:tcPr>
          <w:p>
            <w:pPr>
              <w:keepNext w:val="0"/>
              <w:keepLines w:val="0"/>
              <w:widowControl/>
              <w:suppressLineNumbers w:val="0"/>
              <w:adjustRightInd w:val="0"/>
              <w:snapToGrid w:val="0"/>
              <w:spacing w:before="0" w:beforeAutospacing="0" w:after="0" w:afterAutospacing="0"/>
              <w:ind w:left="0" w:right="0"/>
              <w:jc w:val="center"/>
              <w:rPr>
                <w:rFonts w:ascii="宋体" w:hAnsi="宋体" w:hint="default"/>
                <w:color w:val="auto"/>
                <w:sz w:val="24"/>
                <w:highlight w:val="none"/>
              </w:rPr>
            </w:pPr>
            <w:r>
              <w:rPr>
                <w:rFonts w:ascii="宋体" w:hAnsi="宋体" w:hint="eastAsia"/>
                <w:color w:val="auto"/>
                <w:sz w:val="24"/>
                <w:highlight w:val="none"/>
              </w:rPr>
              <w:t>品牌</w:t>
            </w:r>
          </w:p>
        </w:tc>
        <w:tc>
          <w:tcPr>
            <w:tcW w:w="1225" w:type="dxa"/>
            <w:tcBorders>
              <w:top w:val="single" w:sz="12" w:space="0" w:color="auto"/>
              <w:bottom w:val="double" w:sz="4" w:space="0" w:color="auto"/>
            </w:tcBorders>
            <w:shd w:val="clear" w:color="auto" w:fill="EEECE1"/>
            <w:vAlign w:val="center"/>
          </w:tcPr>
          <w:p>
            <w:pPr>
              <w:keepNext w:val="0"/>
              <w:keepLines w:val="0"/>
              <w:widowControl/>
              <w:suppressLineNumbers w:val="0"/>
              <w:adjustRightInd w:val="0"/>
              <w:snapToGrid w:val="0"/>
              <w:spacing w:before="0" w:beforeAutospacing="0" w:after="0" w:afterAutospacing="0"/>
              <w:ind w:left="0" w:right="0"/>
              <w:jc w:val="center"/>
              <w:rPr>
                <w:rFonts w:ascii="宋体" w:hAnsi="宋体" w:hint="default"/>
                <w:color w:val="auto"/>
                <w:sz w:val="24"/>
                <w:highlight w:val="none"/>
              </w:rPr>
            </w:pPr>
            <w:r>
              <w:rPr>
                <w:rFonts w:ascii="宋体" w:hAnsi="宋体" w:hint="default"/>
                <w:color w:val="auto"/>
                <w:sz w:val="24"/>
                <w:highlight w:val="none"/>
              </w:rPr>
              <w:t>原厂商</w:t>
            </w:r>
            <w:r>
              <w:rPr>
                <w:rFonts w:ascii="宋体" w:hAnsi="宋体" w:hint="eastAsia"/>
                <w:color w:val="auto"/>
                <w:sz w:val="24"/>
                <w:highlight w:val="none"/>
              </w:rPr>
              <w:t>(制造商)及原产地</w:t>
            </w:r>
          </w:p>
        </w:tc>
        <w:tc>
          <w:tcPr>
            <w:tcW w:w="1392" w:type="dxa"/>
            <w:tcBorders>
              <w:top w:val="single" w:sz="12" w:space="0" w:color="auto"/>
              <w:bottom w:val="double" w:sz="4" w:space="0" w:color="auto"/>
            </w:tcBorders>
            <w:shd w:val="clear" w:color="auto" w:fill="EEECE1"/>
            <w:vAlign w:val="center"/>
          </w:tcPr>
          <w:p>
            <w:pPr>
              <w:keepNext w:val="0"/>
              <w:keepLines w:val="0"/>
              <w:widowControl/>
              <w:suppressLineNumbers w:val="0"/>
              <w:adjustRightInd w:val="0"/>
              <w:snapToGrid w:val="0"/>
              <w:spacing w:before="0" w:beforeAutospacing="0" w:after="0" w:afterAutospacing="0"/>
              <w:ind w:left="0" w:right="0"/>
              <w:jc w:val="center"/>
              <w:rPr>
                <w:rFonts w:ascii="宋体" w:hAnsi="宋体" w:hint="default"/>
                <w:color w:val="auto"/>
                <w:sz w:val="24"/>
                <w:highlight w:val="none"/>
              </w:rPr>
            </w:pPr>
            <w:r>
              <w:rPr>
                <w:rFonts w:ascii="宋体" w:hAnsi="宋体" w:hint="eastAsia"/>
                <w:color w:val="auto"/>
                <w:sz w:val="24"/>
                <w:highlight w:val="none"/>
              </w:rPr>
              <w:t>是否本国产品</w:t>
            </w:r>
          </w:p>
          <w:p>
            <w:pPr>
              <w:keepNext w:val="0"/>
              <w:keepLines w:val="0"/>
              <w:widowControl/>
              <w:suppressLineNumbers w:val="0"/>
              <w:adjustRightInd w:val="0"/>
              <w:snapToGrid w:val="0"/>
              <w:spacing w:before="0" w:beforeAutospacing="0" w:after="0" w:afterAutospacing="0"/>
              <w:ind w:left="0" w:right="0"/>
              <w:jc w:val="center"/>
              <w:rPr>
                <w:rFonts w:ascii="宋体" w:hAnsi="宋体" w:hint="default"/>
                <w:color w:val="auto"/>
                <w:sz w:val="24"/>
                <w:highlight w:val="none"/>
              </w:rPr>
            </w:pPr>
            <w:r>
              <w:rPr>
                <w:rFonts w:ascii="宋体" w:hAnsi="宋体" w:cs="宋体" w:hint="eastAsia"/>
                <w:bCs/>
                <w:color w:val="auto"/>
                <w:sz w:val="24"/>
                <w:highlight w:val="none"/>
              </w:rPr>
              <w:t>（本项目采购本国产品/服务</w:t>
            </w:r>
            <w:r>
              <w:rPr>
                <w:rFonts w:ascii="宋体" w:hint="eastAsia"/>
                <w:bCs/>
                <w:color w:val="auto"/>
                <w:sz w:val="24"/>
                <w:highlight w:val="none"/>
              </w:rPr>
              <w:t>(不允许进口产品/服务参加)</w:t>
            </w:r>
            <w:r>
              <w:rPr>
                <w:rFonts w:ascii="宋体" w:hAnsi="宋体" w:cs="宋体" w:hint="eastAsia"/>
                <w:bCs/>
                <w:color w:val="auto"/>
                <w:sz w:val="24"/>
                <w:highlight w:val="none"/>
              </w:rPr>
              <w:t>）</w:t>
            </w:r>
          </w:p>
        </w:tc>
        <w:tc>
          <w:tcPr>
            <w:tcW w:w="711" w:type="dxa"/>
            <w:tcBorders>
              <w:top w:val="single" w:sz="12" w:space="0" w:color="auto"/>
              <w:bottom w:val="double" w:sz="4" w:space="0" w:color="auto"/>
            </w:tcBorders>
            <w:shd w:val="clear" w:color="auto" w:fill="EEECE1"/>
            <w:vAlign w:val="center"/>
          </w:tcPr>
          <w:p>
            <w:pPr>
              <w:keepNext w:val="0"/>
              <w:keepLines w:val="0"/>
              <w:widowControl/>
              <w:suppressLineNumbers w:val="0"/>
              <w:adjustRightInd w:val="0"/>
              <w:snapToGrid w:val="0"/>
              <w:spacing w:before="0" w:beforeAutospacing="0" w:after="0" w:afterAutospacing="0"/>
              <w:ind w:left="0" w:right="0"/>
              <w:jc w:val="center"/>
              <w:rPr>
                <w:rFonts w:ascii="宋体" w:hAnsi="宋体" w:hint="default"/>
                <w:color w:val="auto"/>
                <w:sz w:val="24"/>
                <w:highlight w:val="none"/>
              </w:rPr>
            </w:pPr>
            <w:r>
              <w:rPr>
                <w:rFonts w:ascii="宋体" w:hAnsi="宋体" w:hint="eastAsia"/>
                <w:color w:val="auto"/>
                <w:sz w:val="24"/>
                <w:highlight w:val="none"/>
              </w:rPr>
              <w:t>单位</w:t>
            </w:r>
          </w:p>
        </w:tc>
        <w:tc>
          <w:tcPr>
            <w:tcW w:w="682" w:type="dxa"/>
            <w:tcBorders>
              <w:top w:val="single" w:sz="12" w:space="0" w:color="auto"/>
              <w:bottom w:val="double" w:sz="4" w:space="0" w:color="auto"/>
            </w:tcBorders>
            <w:shd w:val="clear" w:color="auto" w:fill="EEECE1"/>
            <w:vAlign w:val="center"/>
          </w:tcPr>
          <w:p>
            <w:pPr>
              <w:keepNext w:val="0"/>
              <w:keepLines w:val="0"/>
              <w:widowControl/>
              <w:suppressLineNumbers w:val="0"/>
              <w:adjustRightInd w:val="0"/>
              <w:snapToGrid w:val="0"/>
              <w:spacing w:before="0" w:beforeAutospacing="0" w:after="0" w:afterAutospacing="0"/>
              <w:ind w:left="0" w:right="0"/>
              <w:jc w:val="center"/>
              <w:rPr>
                <w:rFonts w:ascii="宋体" w:hAnsi="宋体" w:hint="default"/>
                <w:color w:val="auto"/>
                <w:sz w:val="24"/>
                <w:highlight w:val="none"/>
              </w:rPr>
            </w:pPr>
            <w:r>
              <w:rPr>
                <w:rFonts w:ascii="宋体" w:hAnsi="宋体" w:hint="default"/>
                <w:color w:val="auto"/>
                <w:sz w:val="24"/>
                <w:highlight w:val="none"/>
              </w:rPr>
              <w:t>数量</w:t>
            </w:r>
          </w:p>
        </w:tc>
        <w:tc>
          <w:tcPr>
            <w:tcW w:w="864" w:type="dxa"/>
            <w:tcBorders>
              <w:top w:val="single" w:sz="12" w:space="0" w:color="auto"/>
              <w:bottom w:val="double" w:sz="4" w:space="0" w:color="auto"/>
            </w:tcBorders>
            <w:shd w:val="clear" w:color="auto" w:fill="EEECE1"/>
            <w:vAlign w:val="center"/>
          </w:tcPr>
          <w:p>
            <w:pPr>
              <w:keepNext w:val="0"/>
              <w:keepLines w:val="0"/>
              <w:widowControl/>
              <w:suppressLineNumbers w:val="0"/>
              <w:adjustRightInd w:val="0"/>
              <w:snapToGrid w:val="0"/>
              <w:spacing w:before="0" w:beforeAutospacing="0" w:after="0" w:afterAutospacing="0"/>
              <w:ind w:left="0" w:right="0"/>
              <w:jc w:val="center"/>
              <w:rPr>
                <w:rFonts w:ascii="宋体" w:hAnsi="宋体" w:hint="default"/>
                <w:color w:val="auto"/>
                <w:sz w:val="24"/>
                <w:highlight w:val="none"/>
              </w:rPr>
            </w:pPr>
            <w:r>
              <w:rPr>
                <w:rFonts w:ascii="宋体" w:hAnsi="宋体" w:hint="default"/>
                <w:color w:val="auto"/>
                <w:sz w:val="24"/>
                <w:highlight w:val="none"/>
              </w:rPr>
              <w:t>单价（元）</w:t>
            </w:r>
          </w:p>
        </w:tc>
        <w:tc>
          <w:tcPr>
            <w:tcW w:w="864" w:type="dxa"/>
            <w:tcBorders>
              <w:top w:val="single" w:sz="12" w:space="0" w:color="auto"/>
              <w:bottom w:val="double" w:sz="4" w:space="0" w:color="auto"/>
            </w:tcBorders>
            <w:shd w:val="clear" w:color="auto" w:fill="EEECE1"/>
            <w:vAlign w:val="center"/>
          </w:tcPr>
          <w:p>
            <w:pPr>
              <w:keepNext w:val="0"/>
              <w:keepLines w:val="0"/>
              <w:widowControl/>
              <w:suppressLineNumbers w:val="0"/>
              <w:adjustRightInd w:val="0"/>
              <w:snapToGrid w:val="0"/>
              <w:spacing w:before="0" w:beforeAutospacing="0" w:after="0" w:afterAutospacing="0"/>
              <w:ind w:left="0" w:right="0"/>
              <w:jc w:val="center"/>
              <w:rPr>
                <w:rFonts w:ascii="宋体" w:hAnsi="宋体" w:hint="default"/>
                <w:color w:val="auto"/>
                <w:sz w:val="24"/>
                <w:highlight w:val="none"/>
              </w:rPr>
            </w:pPr>
            <w:r>
              <w:rPr>
                <w:rFonts w:ascii="宋体" w:hAnsi="宋体" w:hint="eastAsia"/>
                <w:color w:val="auto"/>
                <w:sz w:val="24"/>
                <w:highlight w:val="none"/>
              </w:rPr>
              <w:t>合计（元）</w:t>
            </w:r>
          </w:p>
        </w:tc>
        <w:tc>
          <w:tcPr>
            <w:tcW w:w="944" w:type="dxa"/>
            <w:tcBorders>
              <w:top w:val="single" w:sz="12" w:space="0" w:color="auto"/>
              <w:bottom w:val="double" w:sz="4" w:space="0" w:color="auto"/>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ascii="宋体" w:hAnsi="宋体" w:hint="default"/>
                <w:color w:val="auto"/>
                <w:sz w:val="24"/>
                <w:highlight w:val="none"/>
              </w:rPr>
            </w:pPr>
            <w:r>
              <w:rPr>
                <w:rFonts w:ascii="宋体" w:hAnsi="宋体" w:hint="default"/>
                <w:color w:val="auto"/>
                <w:sz w:val="24"/>
                <w:highlight w:val="none"/>
              </w:rPr>
              <w:t>备注</w:t>
            </w:r>
          </w:p>
        </w:tc>
      </w:tr>
      <w:tr>
        <w:tblPrEx>
          <w:tblW w:w="9962" w:type="dxa"/>
          <w:jc w:val="center"/>
          <w:tblLayout w:type="fixed"/>
          <w:tblCellMar>
            <w:top w:w="0" w:type="dxa"/>
            <w:left w:w="108" w:type="dxa"/>
            <w:bottom w:w="0" w:type="dxa"/>
            <w:right w:w="108" w:type="dxa"/>
          </w:tblCellMar>
        </w:tblPrEx>
        <w:trPr>
          <w:trHeight w:val="560"/>
          <w:jc w:val="center"/>
        </w:trPr>
        <w:tc>
          <w:tcPr>
            <w:tcW w:w="663" w:type="dxa"/>
            <w:vAlign w:val="center"/>
          </w:tcPr>
          <w:p>
            <w:pPr>
              <w:keepNext w:val="0"/>
              <w:keepLines w:val="0"/>
              <w:suppressLineNumbers w:val="0"/>
              <w:spacing w:before="0" w:beforeAutospacing="0" w:after="0" w:afterAutospacing="0"/>
              <w:ind w:left="0" w:right="0"/>
              <w:jc w:val="center"/>
              <w:rPr>
                <w:rFonts w:ascii="宋体" w:hAnsi="宋体" w:hint="default"/>
                <w:sz w:val="24"/>
              </w:rPr>
            </w:pPr>
            <w:r>
              <w:rPr>
                <w:rFonts w:ascii="宋体" w:hAnsi="宋体" w:hint="eastAsia"/>
                <w:sz w:val="24"/>
              </w:rPr>
              <w:t>1</w:t>
            </w:r>
          </w:p>
        </w:tc>
        <w:tc>
          <w:tcPr>
            <w:tcW w:w="1342" w:type="dxa"/>
            <w:vAlign w:val="center"/>
          </w:tcPr>
          <w:p>
            <w:pPr>
              <w:keepNext w:val="0"/>
              <w:keepLines w:val="0"/>
              <w:suppressLineNumbers w:val="0"/>
              <w:spacing w:before="0" w:beforeAutospacing="0" w:after="0" w:afterAutospacing="0"/>
              <w:ind w:left="0" w:right="0"/>
              <w:jc w:val="center"/>
              <w:rPr>
                <w:rFonts w:eastAsia="宋体" w:hint="eastAsia"/>
                <w:sz w:val="24"/>
                <w:lang w:eastAsia="zh-CN"/>
              </w:rPr>
            </w:pPr>
            <w:r>
              <w:rPr>
                <w:rFonts w:hint="eastAsia"/>
                <w:sz w:val="24"/>
                <w:lang w:eastAsia="zh-CN"/>
              </w:rPr>
              <w:t>高级白盒可编程路由器</w:t>
            </w:r>
          </w:p>
        </w:tc>
        <w:tc>
          <w:tcPr>
            <w:tcW w:w="700" w:type="dxa"/>
            <w:vAlign w:val="center"/>
          </w:tcPr>
          <w:p>
            <w:pPr>
              <w:keepNext w:val="0"/>
              <w:keepLines w:val="0"/>
              <w:suppressLineNumbers w:val="0"/>
              <w:spacing w:before="0" w:beforeAutospacing="0" w:after="0" w:afterAutospacing="0"/>
              <w:ind w:left="0" w:right="0"/>
              <w:jc w:val="center"/>
              <w:rPr>
                <w:rFonts w:hint="default"/>
                <w:sz w:val="24"/>
              </w:rPr>
            </w:pPr>
          </w:p>
        </w:tc>
        <w:tc>
          <w:tcPr>
            <w:tcW w:w="575" w:type="dxa"/>
            <w:vAlign w:val="center"/>
          </w:tcPr>
          <w:p>
            <w:pPr>
              <w:keepNext w:val="0"/>
              <w:keepLines w:val="0"/>
              <w:suppressLineNumbers w:val="0"/>
              <w:spacing w:before="0" w:beforeAutospacing="0" w:after="0" w:afterAutospacing="0"/>
              <w:ind w:left="0" w:right="0"/>
              <w:jc w:val="center"/>
              <w:rPr>
                <w:rFonts w:hint="default"/>
                <w:sz w:val="24"/>
              </w:rPr>
            </w:pPr>
          </w:p>
        </w:tc>
        <w:tc>
          <w:tcPr>
            <w:tcW w:w="1225" w:type="dxa"/>
            <w:vAlign w:val="center"/>
          </w:tcPr>
          <w:p>
            <w:pPr>
              <w:keepNext w:val="0"/>
              <w:keepLines w:val="0"/>
              <w:suppressLineNumbers w:val="0"/>
              <w:spacing w:before="0" w:beforeAutospacing="0" w:after="0" w:afterAutospacing="0"/>
              <w:ind w:left="0" w:right="0"/>
              <w:jc w:val="center"/>
              <w:rPr>
                <w:rFonts w:hint="default"/>
                <w:sz w:val="24"/>
              </w:rPr>
            </w:pPr>
          </w:p>
        </w:tc>
        <w:tc>
          <w:tcPr>
            <w:tcW w:w="1392" w:type="dxa"/>
            <w:vAlign w:val="center"/>
          </w:tcPr>
          <w:p>
            <w:pPr>
              <w:keepNext w:val="0"/>
              <w:keepLines w:val="0"/>
              <w:suppressLineNumbers w:val="0"/>
              <w:spacing w:before="0" w:beforeAutospacing="0" w:after="0" w:afterAutospacing="0"/>
              <w:ind w:left="0" w:right="0"/>
              <w:jc w:val="center"/>
              <w:rPr>
                <w:rFonts w:hint="default"/>
                <w:sz w:val="24"/>
              </w:rPr>
            </w:pPr>
          </w:p>
        </w:tc>
        <w:tc>
          <w:tcPr>
            <w:tcW w:w="711" w:type="dxa"/>
            <w:vAlign w:val="center"/>
          </w:tcPr>
          <w:p>
            <w:pPr>
              <w:keepNext w:val="0"/>
              <w:keepLines w:val="0"/>
              <w:suppressLineNumbers w:val="0"/>
              <w:spacing w:before="0" w:beforeAutospacing="0" w:after="0" w:afterAutospacing="0"/>
              <w:ind w:left="0" w:right="0"/>
              <w:jc w:val="center"/>
              <w:rPr>
                <w:rFonts w:hint="default"/>
                <w:sz w:val="24"/>
              </w:rPr>
            </w:pPr>
          </w:p>
        </w:tc>
        <w:tc>
          <w:tcPr>
            <w:tcW w:w="682" w:type="dxa"/>
            <w:vAlign w:val="center"/>
          </w:tcPr>
          <w:p>
            <w:pPr>
              <w:keepNext w:val="0"/>
              <w:keepLines w:val="0"/>
              <w:suppressLineNumbers w:val="0"/>
              <w:spacing w:before="0" w:beforeAutospacing="0" w:after="0" w:afterAutospacing="0"/>
              <w:ind w:left="0" w:right="0"/>
              <w:jc w:val="center"/>
              <w:rPr>
                <w:rFonts w:hint="default"/>
                <w:sz w:val="24"/>
              </w:rPr>
            </w:pPr>
          </w:p>
        </w:tc>
        <w:tc>
          <w:tcPr>
            <w:tcW w:w="864" w:type="dxa"/>
            <w:vAlign w:val="center"/>
          </w:tcPr>
          <w:p>
            <w:pPr>
              <w:keepNext w:val="0"/>
              <w:keepLines w:val="0"/>
              <w:suppressLineNumbers w:val="0"/>
              <w:spacing w:before="0" w:beforeAutospacing="0" w:after="0" w:afterAutospacing="0"/>
              <w:ind w:left="0" w:right="0"/>
              <w:jc w:val="center"/>
              <w:rPr>
                <w:rFonts w:hint="default"/>
                <w:sz w:val="24"/>
              </w:rPr>
            </w:pPr>
          </w:p>
        </w:tc>
        <w:tc>
          <w:tcPr>
            <w:tcW w:w="864" w:type="dxa"/>
            <w:vAlign w:val="center"/>
          </w:tcPr>
          <w:p>
            <w:pPr>
              <w:keepNext w:val="0"/>
              <w:keepLines w:val="0"/>
              <w:suppressLineNumbers w:val="0"/>
              <w:spacing w:before="0" w:beforeAutospacing="0" w:after="0" w:afterAutospacing="0"/>
              <w:ind w:left="0" w:right="0"/>
              <w:jc w:val="center"/>
              <w:rPr>
                <w:rFonts w:hint="default"/>
                <w:sz w:val="24"/>
              </w:rPr>
            </w:pPr>
          </w:p>
        </w:tc>
        <w:tc>
          <w:tcPr>
            <w:tcW w:w="944" w:type="dxa"/>
            <w:vAlign w:val="center"/>
          </w:tcPr>
          <w:p>
            <w:pPr>
              <w:keepNext w:val="0"/>
              <w:keepLines w:val="0"/>
              <w:suppressLineNumbers w:val="0"/>
              <w:spacing w:before="0" w:beforeAutospacing="0" w:after="0" w:afterAutospacing="0"/>
              <w:ind w:left="0" w:right="0"/>
              <w:jc w:val="center"/>
              <w:rPr>
                <w:rFonts w:hint="default"/>
                <w:sz w:val="24"/>
              </w:rPr>
            </w:pPr>
          </w:p>
        </w:tc>
      </w:tr>
      <w:tr>
        <w:tblPrEx>
          <w:tblW w:w="9962" w:type="dxa"/>
          <w:jc w:val="center"/>
          <w:tblLayout w:type="fixed"/>
          <w:tblCellMar>
            <w:top w:w="0" w:type="dxa"/>
            <w:left w:w="108" w:type="dxa"/>
            <w:bottom w:w="0" w:type="dxa"/>
            <w:right w:w="108" w:type="dxa"/>
          </w:tblCellMar>
        </w:tblPrEx>
        <w:trPr>
          <w:trHeight w:val="560"/>
          <w:jc w:val="center"/>
        </w:trPr>
        <w:tc>
          <w:tcPr>
            <w:tcW w:w="663" w:type="dxa"/>
            <w:vAlign w:val="center"/>
          </w:tcPr>
          <w:p>
            <w:pPr>
              <w:keepNext w:val="0"/>
              <w:keepLines w:val="0"/>
              <w:suppressLineNumbers w:val="0"/>
              <w:spacing w:before="0" w:beforeAutospacing="0" w:after="0" w:afterAutospacing="0"/>
              <w:ind w:left="0" w:right="0"/>
              <w:jc w:val="center"/>
              <w:rPr>
                <w:rFonts w:hint="default"/>
                <w:sz w:val="24"/>
              </w:rPr>
            </w:pPr>
            <w:r>
              <w:rPr>
                <w:rFonts w:hint="eastAsia"/>
                <w:sz w:val="24"/>
              </w:rPr>
              <w:t>……</w:t>
            </w:r>
          </w:p>
        </w:tc>
        <w:tc>
          <w:tcPr>
            <w:tcW w:w="1342" w:type="dxa"/>
            <w:vAlign w:val="center"/>
          </w:tcPr>
          <w:p>
            <w:pPr>
              <w:keepNext w:val="0"/>
              <w:keepLines w:val="0"/>
              <w:suppressLineNumbers w:val="0"/>
              <w:spacing w:before="0" w:beforeAutospacing="0" w:after="0" w:afterAutospacing="0"/>
              <w:ind w:left="0" w:right="0"/>
              <w:jc w:val="center"/>
              <w:rPr>
                <w:rFonts w:hint="default"/>
                <w:sz w:val="24"/>
              </w:rPr>
            </w:pPr>
          </w:p>
        </w:tc>
        <w:tc>
          <w:tcPr>
            <w:tcW w:w="700" w:type="dxa"/>
            <w:vAlign w:val="center"/>
          </w:tcPr>
          <w:p>
            <w:pPr>
              <w:keepNext w:val="0"/>
              <w:keepLines w:val="0"/>
              <w:suppressLineNumbers w:val="0"/>
              <w:spacing w:before="0" w:beforeAutospacing="0" w:after="0" w:afterAutospacing="0"/>
              <w:ind w:left="0" w:right="0"/>
              <w:jc w:val="center"/>
              <w:rPr>
                <w:rFonts w:hint="default"/>
                <w:sz w:val="24"/>
              </w:rPr>
            </w:pPr>
          </w:p>
        </w:tc>
        <w:tc>
          <w:tcPr>
            <w:tcW w:w="575" w:type="dxa"/>
            <w:vAlign w:val="center"/>
          </w:tcPr>
          <w:p>
            <w:pPr>
              <w:keepNext w:val="0"/>
              <w:keepLines w:val="0"/>
              <w:suppressLineNumbers w:val="0"/>
              <w:spacing w:before="0" w:beforeAutospacing="0" w:after="0" w:afterAutospacing="0"/>
              <w:ind w:left="0" w:right="0"/>
              <w:jc w:val="center"/>
              <w:rPr>
                <w:rFonts w:hint="default"/>
                <w:sz w:val="24"/>
              </w:rPr>
            </w:pPr>
          </w:p>
        </w:tc>
        <w:tc>
          <w:tcPr>
            <w:tcW w:w="1225" w:type="dxa"/>
            <w:vAlign w:val="center"/>
          </w:tcPr>
          <w:p>
            <w:pPr>
              <w:keepNext w:val="0"/>
              <w:keepLines w:val="0"/>
              <w:suppressLineNumbers w:val="0"/>
              <w:spacing w:before="0" w:beforeAutospacing="0" w:after="0" w:afterAutospacing="0"/>
              <w:ind w:left="0" w:right="0"/>
              <w:jc w:val="center"/>
              <w:rPr>
                <w:rFonts w:hint="default"/>
                <w:sz w:val="24"/>
              </w:rPr>
            </w:pPr>
          </w:p>
        </w:tc>
        <w:tc>
          <w:tcPr>
            <w:tcW w:w="1392" w:type="dxa"/>
            <w:vAlign w:val="center"/>
          </w:tcPr>
          <w:p>
            <w:pPr>
              <w:keepNext w:val="0"/>
              <w:keepLines w:val="0"/>
              <w:suppressLineNumbers w:val="0"/>
              <w:spacing w:before="0" w:beforeAutospacing="0" w:after="0" w:afterAutospacing="0"/>
              <w:ind w:left="0" w:right="0"/>
              <w:jc w:val="center"/>
              <w:rPr>
                <w:rFonts w:hint="default"/>
                <w:sz w:val="24"/>
              </w:rPr>
            </w:pPr>
          </w:p>
        </w:tc>
        <w:tc>
          <w:tcPr>
            <w:tcW w:w="711" w:type="dxa"/>
            <w:vAlign w:val="center"/>
          </w:tcPr>
          <w:p>
            <w:pPr>
              <w:keepNext w:val="0"/>
              <w:keepLines w:val="0"/>
              <w:suppressLineNumbers w:val="0"/>
              <w:spacing w:before="0" w:beforeAutospacing="0" w:after="0" w:afterAutospacing="0"/>
              <w:ind w:left="0" w:right="0"/>
              <w:jc w:val="center"/>
              <w:rPr>
                <w:rFonts w:hint="default"/>
                <w:sz w:val="24"/>
              </w:rPr>
            </w:pPr>
          </w:p>
        </w:tc>
        <w:tc>
          <w:tcPr>
            <w:tcW w:w="682" w:type="dxa"/>
            <w:vAlign w:val="center"/>
          </w:tcPr>
          <w:p>
            <w:pPr>
              <w:keepNext w:val="0"/>
              <w:keepLines w:val="0"/>
              <w:suppressLineNumbers w:val="0"/>
              <w:spacing w:before="0" w:beforeAutospacing="0" w:after="0" w:afterAutospacing="0"/>
              <w:ind w:left="0" w:right="0"/>
              <w:jc w:val="center"/>
              <w:rPr>
                <w:rFonts w:hint="default"/>
                <w:sz w:val="24"/>
              </w:rPr>
            </w:pPr>
          </w:p>
        </w:tc>
        <w:tc>
          <w:tcPr>
            <w:tcW w:w="864" w:type="dxa"/>
            <w:vAlign w:val="center"/>
          </w:tcPr>
          <w:p>
            <w:pPr>
              <w:keepNext w:val="0"/>
              <w:keepLines w:val="0"/>
              <w:suppressLineNumbers w:val="0"/>
              <w:spacing w:before="0" w:beforeAutospacing="0" w:after="0" w:afterAutospacing="0"/>
              <w:ind w:left="0" w:right="0"/>
              <w:jc w:val="center"/>
              <w:rPr>
                <w:rFonts w:hint="default"/>
                <w:sz w:val="24"/>
              </w:rPr>
            </w:pPr>
          </w:p>
        </w:tc>
        <w:tc>
          <w:tcPr>
            <w:tcW w:w="864" w:type="dxa"/>
            <w:vAlign w:val="center"/>
          </w:tcPr>
          <w:p>
            <w:pPr>
              <w:keepNext w:val="0"/>
              <w:keepLines w:val="0"/>
              <w:suppressLineNumbers w:val="0"/>
              <w:spacing w:before="0" w:beforeAutospacing="0" w:after="0" w:afterAutospacing="0"/>
              <w:ind w:left="0" w:right="0"/>
              <w:jc w:val="center"/>
              <w:rPr>
                <w:rFonts w:hint="default"/>
                <w:sz w:val="24"/>
              </w:rPr>
            </w:pPr>
          </w:p>
        </w:tc>
        <w:tc>
          <w:tcPr>
            <w:tcW w:w="944" w:type="dxa"/>
            <w:vAlign w:val="center"/>
          </w:tcPr>
          <w:p>
            <w:pPr>
              <w:keepNext w:val="0"/>
              <w:keepLines w:val="0"/>
              <w:suppressLineNumbers w:val="0"/>
              <w:spacing w:before="0" w:beforeAutospacing="0" w:after="0" w:afterAutospacing="0"/>
              <w:ind w:left="0" w:right="0"/>
              <w:jc w:val="center"/>
              <w:rPr>
                <w:rFonts w:hint="default"/>
                <w:sz w:val="24"/>
              </w:rPr>
            </w:pPr>
          </w:p>
        </w:tc>
      </w:tr>
      <w:tr>
        <w:tblPrEx>
          <w:tblW w:w="9962" w:type="dxa"/>
          <w:jc w:val="center"/>
          <w:tblLayout w:type="fixed"/>
          <w:tblCellMar>
            <w:top w:w="0" w:type="dxa"/>
            <w:left w:w="108" w:type="dxa"/>
            <w:bottom w:w="0" w:type="dxa"/>
            <w:right w:w="108" w:type="dxa"/>
          </w:tblCellMar>
        </w:tblPrEx>
        <w:trPr>
          <w:trHeight w:val="560"/>
          <w:jc w:val="center"/>
        </w:trPr>
        <w:tc>
          <w:tcPr>
            <w:tcW w:w="663" w:type="dxa"/>
            <w:vAlign w:val="center"/>
          </w:tcPr>
          <w:p>
            <w:pPr>
              <w:keepNext w:val="0"/>
              <w:keepLines w:val="0"/>
              <w:suppressLineNumbers w:val="0"/>
              <w:spacing w:before="0" w:beforeAutospacing="0" w:after="0" w:afterAutospacing="0"/>
              <w:ind w:left="0" w:right="0"/>
              <w:jc w:val="center"/>
              <w:rPr>
                <w:rFonts w:ascii="宋体" w:hAnsi="宋体" w:hint="default"/>
                <w:sz w:val="24"/>
              </w:rPr>
            </w:pPr>
            <w:r>
              <w:rPr>
                <w:rFonts w:ascii="宋体" w:hAnsi="宋体" w:hint="eastAsia"/>
                <w:sz w:val="24"/>
              </w:rPr>
              <w:t>总计</w:t>
            </w:r>
          </w:p>
        </w:tc>
        <w:tc>
          <w:tcPr>
            <w:tcW w:w="9299" w:type="dxa"/>
            <w:gridSpan w:val="10"/>
            <w:vAlign w:val="center"/>
          </w:tcPr>
          <w:p>
            <w:pPr>
              <w:keepNext w:val="0"/>
              <w:keepLines w:val="0"/>
              <w:suppressLineNumbers w:val="0"/>
              <w:spacing w:before="0" w:beforeAutospacing="0" w:after="0" w:afterAutospacing="0"/>
              <w:ind w:left="0" w:right="0"/>
              <w:rPr>
                <w:rFonts w:hint="default"/>
                <w:sz w:val="24"/>
              </w:rPr>
            </w:pPr>
            <w:r>
              <w:rPr>
                <w:rFonts w:hint="eastAsia"/>
                <w:sz w:val="24"/>
              </w:rPr>
              <w:t>￥：            大写：</w:t>
            </w:r>
          </w:p>
        </w:tc>
      </w:tr>
    </w:tbl>
    <w:p>
      <w:pPr>
        <w:tabs>
          <w:tab w:val="left" w:pos="567"/>
        </w:tabs>
        <w:snapToGrid w:val="0"/>
        <w:spacing w:line="360" w:lineRule="auto"/>
        <w:rPr>
          <w:rFonts w:ascii="宋体" w:hAnsi="宋体"/>
          <w:color w:val="000000"/>
          <w:sz w:val="24"/>
        </w:rPr>
      </w:pPr>
      <w:r>
        <w:rPr>
          <w:rFonts w:ascii="宋体" w:hAnsi="宋体" w:hint="eastAsia"/>
          <w:color w:val="000000"/>
          <w:sz w:val="24"/>
        </w:rPr>
        <w:t>注：</w:t>
      </w:r>
    </w:p>
    <w:p>
      <w:pPr>
        <w:numPr>
          <w:ilvl w:val="1"/>
          <w:numId w:val="66"/>
        </w:numPr>
        <w:tabs>
          <w:tab w:val="left" w:pos="0"/>
          <w:tab w:val="clear" w:pos="1620"/>
        </w:tabs>
        <w:snapToGrid w:val="0"/>
        <w:spacing w:line="360" w:lineRule="auto"/>
        <w:ind w:left="0" w:firstLine="0"/>
        <w:rPr>
          <w:color w:val="auto"/>
          <w:spacing w:val="4"/>
          <w:sz w:val="24"/>
        </w:rPr>
      </w:pPr>
      <w:r>
        <w:rPr>
          <w:rFonts w:hint="eastAsia"/>
          <w:color w:val="auto"/>
          <w:spacing w:val="4"/>
          <w:sz w:val="24"/>
        </w:rPr>
        <w:t>中文大写金额用汉字，如壹、贰、叁、肆、伍、陆、柒、捌、玖、拾、佰、仟、万、亿、元、角、分、零、整（正）等。如：小写：</w:t>
      </w:r>
      <w:r>
        <w:rPr>
          <w:rFonts w:hint="eastAsia"/>
          <w:color w:val="auto"/>
          <w:spacing w:val="4"/>
          <w:sz w:val="24"/>
          <w:u w:val="single"/>
        </w:rPr>
        <w:t>RMB1230000</w:t>
      </w:r>
      <w:r>
        <w:rPr>
          <w:rFonts w:hint="eastAsia"/>
          <w:color w:val="auto"/>
          <w:spacing w:val="4"/>
          <w:sz w:val="24"/>
        </w:rPr>
        <w:t>，大写：</w:t>
      </w:r>
      <w:r>
        <w:rPr>
          <w:rFonts w:hint="eastAsia"/>
          <w:color w:val="auto"/>
          <w:spacing w:val="4"/>
          <w:sz w:val="24"/>
          <w:u w:val="single"/>
        </w:rPr>
        <w:t>壹佰贰拾叁万元整</w:t>
      </w:r>
      <w:r>
        <w:rPr>
          <w:rFonts w:hint="eastAsia"/>
          <w:color w:val="auto"/>
          <w:spacing w:val="4"/>
          <w:sz w:val="24"/>
        </w:rPr>
        <w:t>。</w:t>
      </w:r>
    </w:p>
    <w:p>
      <w:pPr>
        <w:numPr>
          <w:ilvl w:val="1"/>
          <w:numId w:val="66"/>
        </w:numPr>
        <w:tabs>
          <w:tab w:val="left" w:pos="0"/>
          <w:tab w:val="clear" w:pos="1620"/>
        </w:tabs>
        <w:snapToGrid w:val="0"/>
        <w:spacing w:line="360" w:lineRule="auto"/>
        <w:ind w:left="0" w:firstLine="0"/>
        <w:rPr>
          <w:rFonts w:ascii="宋体" w:hAnsi="宋体"/>
          <w:color w:val="auto"/>
          <w:sz w:val="24"/>
        </w:rPr>
      </w:pPr>
      <w:r>
        <w:rPr>
          <w:rFonts w:ascii="宋体" w:hAnsi="宋体" w:hint="eastAsia"/>
          <w:color w:val="auto"/>
          <w:sz w:val="24"/>
        </w:rPr>
        <w:t>此表为《开标一览表(报价表)》的报价明细表。</w:t>
      </w:r>
    </w:p>
    <w:p>
      <w:pPr>
        <w:numPr>
          <w:ilvl w:val="1"/>
          <w:numId w:val="66"/>
        </w:numPr>
        <w:tabs>
          <w:tab w:val="left" w:pos="0"/>
          <w:tab w:val="clear" w:pos="1620"/>
        </w:tabs>
        <w:snapToGrid w:val="0"/>
        <w:spacing w:line="360" w:lineRule="auto"/>
        <w:ind w:left="0" w:firstLine="0"/>
        <w:rPr>
          <w:rFonts w:ascii="宋体" w:hAnsi="宋体"/>
          <w:color w:val="auto"/>
          <w:sz w:val="24"/>
        </w:rPr>
      </w:pPr>
      <w:r>
        <w:rPr>
          <w:rFonts w:ascii="宋体" w:hAnsi="宋体" w:hint="eastAsia"/>
          <w:color w:val="auto"/>
          <w:sz w:val="24"/>
        </w:rPr>
        <w:t>所有价格均以人民币作为货币单位填写及计算。对于有配件、耗材、选件和特殊工具的货物，还应填报投标货物配件、耗材、选件表和备件及特殊工具清单，注明品牌、型号、功能、单价等内容，该表格式由投标人自行设计。投标人按照上述要求分类报价，其目的是便于评标，但在任何情况下并不限制采购人以任何条款签订合同的权利。</w:t>
      </w:r>
    </w:p>
    <w:p>
      <w:pPr>
        <w:numPr>
          <w:ilvl w:val="1"/>
          <w:numId w:val="66"/>
        </w:numPr>
        <w:tabs>
          <w:tab w:val="left" w:pos="0"/>
          <w:tab w:val="clear" w:pos="1620"/>
        </w:tabs>
        <w:snapToGrid w:val="0"/>
        <w:spacing w:line="360" w:lineRule="auto"/>
        <w:ind w:left="0" w:firstLine="0"/>
        <w:rPr>
          <w:rFonts w:ascii="宋体" w:hAnsi="宋体"/>
          <w:b/>
          <w:bCs/>
          <w:color w:val="auto"/>
          <w:sz w:val="24"/>
          <w:u w:val="double"/>
        </w:rPr>
      </w:pPr>
      <w:r>
        <w:rPr>
          <w:rFonts w:ascii="宋体" w:hAnsi="宋体" w:hint="eastAsia"/>
          <w:b/>
          <w:bCs/>
          <w:color w:val="auto"/>
          <w:sz w:val="24"/>
          <w:u w:val="double"/>
        </w:rPr>
        <w:t>该表格式仅作参考，投标人的详细报价表格式可自定。</w:t>
      </w:r>
    </w:p>
    <w:p>
      <w:pPr>
        <w:rPr>
          <w:color w:val="auto"/>
          <w:sz w:val="24"/>
        </w:rPr>
      </w:pPr>
      <w:bookmarkStart w:id="156" w:name="_Toc435514875"/>
      <w:bookmarkStart w:id="157" w:name="_Toc435515315"/>
      <w:r>
        <w:rPr>
          <w:rFonts w:hint="eastAsia"/>
          <w:color w:val="auto"/>
          <w:sz w:val="24"/>
        </w:rPr>
        <w:br w:type="page"/>
      </w:r>
    </w:p>
    <w:p>
      <w:pPr>
        <w:pStyle w:val="Heading2"/>
        <w:numPr>
          <w:ilvl w:val="0"/>
          <w:numId w:val="65"/>
        </w:numPr>
        <w:spacing w:line="240" w:lineRule="auto"/>
        <w:jc w:val="center"/>
        <w:rPr>
          <w:rFonts w:ascii="黑体" w:hAnsi="黑体"/>
        </w:rPr>
      </w:pPr>
      <w:bookmarkEnd w:id="156"/>
      <w:bookmarkEnd w:id="157"/>
      <w:bookmarkStart w:id="158" w:name="_Toc31930"/>
      <w:bookmarkStart w:id="159" w:name="_Toc256000025"/>
      <w:r>
        <w:rPr>
          <w:rFonts w:ascii="黑体" w:hAnsi="黑体" w:hint="eastAsia"/>
        </w:rPr>
        <w:t>中小企业声明函（如有）</w:t>
      </w:r>
      <w:bookmarkEnd w:id="159"/>
      <w:bookmarkEnd w:id="150"/>
      <w:bookmarkEnd w:id="151"/>
      <w:bookmarkEnd w:id="158"/>
    </w:p>
    <w:p>
      <w:pPr>
        <w:snapToGrid w:val="0"/>
        <w:spacing w:line="360" w:lineRule="auto"/>
        <w:ind w:firstLine="372" w:firstLineChars="177"/>
        <w:rPr>
          <w:rFonts w:ascii="宋体" w:hAnsi="宋体"/>
          <w:color w:val="auto"/>
          <w:sz w:val="24"/>
          <w:highlight w:val="none"/>
        </w:rPr>
      </w:pPr>
      <w:bookmarkStart w:id="160" w:name="_Toc30664873"/>
      <w:bookmarkStart w:id="161" w:name="_Toc269"/>
      <w:bookmarkStart w:id="162" w:name="OLE_LINK13"/>
      <w:bookmarkStart w:id="163" w:name="OLE_LINK14"/>
      <w:r>
        <w:rPr>
          <w:rFonts w:ascii="宋体" w:hAnsi="宋体" w:hint="eastAsia"/>
          <w:sz w:val="24"/>
        </w:rPr>
        <w:t>本公司（联合体）郑重声明，根据《政府采购促进中小企业发展管理办法》（财库﹝</w:t>
      </w:r>
      <w:r>
        <w:rPr>
          <w:rFonts w:ascii="宋体" w:hAnsi="宋体"/>
          <w:sz w:val="24"/>
        </w:rPr>
        <w:t>2020﹞46 号）的规定，本公司</w:t>
      </w:r>
      <w:r>
        <w:rPr>
          <w:rFonts w:ascii="宋体" w:hAnsi="宋体" w:hint="eastAsia"/>
          <w:sz w:val="24"/>
        </w:rPr>
        <w:t>（</w:t>
      </w:r>
      <w:r>
        <w:rPr>
          <w:rFonts w:ascii="宋体" w:hAnsi="宋体" w:hint="eastAsia"/>
          <w:color w:val="auto"/>
          <w:sz w:val="24"/>
          <w:highlight w:val="none"/>
        </w:rPr>
        <w:t>联合体）参加</w:t>
      </w:r>
      <w:r>
        <w:rPr>
          <w:rFonts w:ascii="宋体" w:hAnsi="宋体" w:hint="eastAsia"/>
          <w:color w:val="auto"/>
          <w:sz w:val="24"/>
          <w:highlight w:val="none"/>
          <w:u w:val="single"/>
          <w:lang w:eastAsia="zh-CN"/>
        </w:rPr>
        <w:t>清华大学深圳国际研究生院</w:t>
      </w:r>
      <w:r>
        <w:rPr>
          <w:rFonts w:ascii="宋体" w:hAnsi="宋体"/>
          <w:color w:val="auto"/>
          <w:sz w:val="24"/>
          <w:highlight w:val="none"/>
        </w:rPr>
        <w:t>的</w:t>
      </w:r>
      <w:r>
        <w:rPr>
          <w:rFonts w:ascii="宋体" w:hAnsi="宋体" w:hint="eastAsia"/>
          <w:color w:val="auto"/>
          <w:sz w:val="24"/>
          <w:highlight w:val="none"/>
          <w:u w:val="single"/>
          <w:lang w:eastAsia="zh-CN"/>
        </w:rPr>
        <w:t>智能计算与系统-高级白盒可编程路由器</w:t>
      </w:r>
      <w:r>
        <w:rPr>
          <w:rFonts w:ascii="宋体" w:hAnsi="宋体"/>
          <w:color w:val="auto"/>
          <w:sz w:val="24"/>
          <w:highlight w:val="none"/>
        </w:rPr>
        <w:t>采购活动，提</w:t>
      </w:r>
      <w:r>
        <w:rPr>
          <w:rFonts w:ascii="宋体" w:hAnsi="宋体" w:hint="eastAsia"/>
          <w:color w:val="auto"/>
          <w:sz w:val="24"/>
          <w:highlight w:val="none"/>
        </w:rPr>
        <w:t>供的货物全部由符合政策要求的中小企业制造。相关企业（含联合体中的中小企业、签订分包意向协议的中小企业）的具体情况如下：</w:t>
      </w:r>
    </w:p>
    <w:p>
      <w:pPr>
        <w:snapToGrid w:val="0"/>
        <w:spacing w:line="360" w:lineRule="auto"/>
        <w:ind w:firstLine="372" w:firstLineChars="177"/>
        <w:rPr>
          <w:rFonts w:ascii="宋体" w:hAnsi="宋体"/>
          <w:color w:val="auto"/>
          <w:sz w:val="24"/>
          <w:highlight w:val="none"/>
        </w:rPr>
      </w:pPr>
      <w:r>
        <w:rPr>
          <w:rFonts w:ascii="宋体" w:hAnsi="宋体"/>
          <w:color w:val="auto"/>
          <w:sz w:val="24"/>
          <w:highlight w:val="none"/>
        </w:rPr>
        <w:t>1.</w:t>
      </w:r>
      <w:r>
        <w:rPr>
          <w:rFonts w:ascii="宋体" w:hAnsi="宋体" w:hint="eastAsia"/>
          <w:color w:val="auto"/>
          <w:sz w:val="24"/>
          <w:highlight w:val="none"/>
          <w:u w:val="single"/>
        </w:rPr>
        <w:t>高级白盒可编程路由器</w:t>
      </w:r>
      <w:r>
        <w:rPr>
          <w:rFonts w:ascii="宋体" w:hAnsi="宋体"/>
          <w:color w:val="auto"/>
          <w:sz w:val="24"/>
          <w:highlight w:val="none"/>
        </w:rPr>
        <w:t>，属于</w:t>
      </w:r>
      <w:r>
        <w:rPr>
          <w:rFonts w:ascii="宋体" w:hAnsi="宋体" w:hint="eastAsia"/>
          <w:color w:val="auto"/>
          <w:sz w:val="24"/>
          <w:highlight w:val="none"/>
          <w:u w:val="single"/>
          <w:lang w:val="en-US" w:eastAsia="zh-CN"/>
        </w:rPr>
        <w:t>工业</w:t>
      </w:r>
      <w:r>
        <w:rPr>
          <w:rFonts w:ascii="宋体" w:hAnsi="宋体" w:hint="eastAsia"/>
          <w:color w:val="auto"/>
          <w:sz w:val="24"/>
          <w:highlight w:val="none"/>
        </w:rPr>
        <w:t>行业</w:t>
      </w:r>
      <w:r>
        <w:rPr>
          <w:rFonts w:ascii="宋体" w:hAnsi="宋体"/>
          <w:color w:val="auto"/>
          <w:sz w:val="24"/>
          <w:highlight w:val="none"/>
        </w:rPr>
        <w:t>；制造商为</w:t>
      </w:r>
      <w:r>
        <w:rPr>
          <w:rFonts w:ascii="宋体" w:hAnsi="宋体"/>
          <w:color w:val="auto"/>
          <w:sz w:val="24"/>
          <w:highlight w:val="none"/>
          <w:u w:val="single"/>
        </w:rPr>
        <w:t>（企业名称）</w:t>
      </w:r>
      <w:r>
        <w:rPr>
          <w:rFonts w:ascii="宋体" w:hAnsi="宋体"/>
          <w:color w:val="auto"/>
          <w:sz w:val="24"/>
          <w:highlight w:val="none"/>
        </w:rPr>
        <w:t>，从业人员</w:t>
      </w:r>
      <w:r>
        <w:rPr>
          <w:rFonts w:ascii="宋体" w:hAnsi="宋体" w:hint="eastAsia"/>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人，营业收</w:t>
      </w:r>
      <w:r>
        <w:rPr>
          <w:rFonts w:ascii="宋体" w:hAnsi="宋体" w:hint="eastAsia"/>
          <w:color w:val="auto"/>
          <w:sz w:val="24"/>
          <w:highlight w:val="none"/>
        </w:rPr>
        <w:t>入为</w:t>
      </w:r>
      <w:r>
        <w:rPr>
          <w:rFonts w:ascii="宋体" w:hAnsi="宋体"/>
          <w:color w:val="auto"/>
          <w:sz w:val="24"/>
          <w:highlight w:val="none"/>
          <w:u w:val="single"/>
        </w:rPr>
        <w:t xml:space="preserve">     </w:t>
      </w:r>
      <w:r>
        <w:rPr>
          <w:rFonts w:ascii="宋体" w:hAnsi="宋体"/>
          <w:color w:val="auto"/>
          <w:sz w:val="24"/>
          <w:highlight w:val="none"/>
        </w:rPr>
        <w:t>万元，资产总额为</w:t>
      </w:r>
      <w:r>
        <w:rPr>
          <w:rFonts w:ascii="宋体" w:hAnsi="宋体" w:hint="eastAsia"/>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万元，属于</w:t>
      </w:r>
      <w:r>
        <w:rPr>
          <w:rFonts w:ascii="宋体" w:hAnsi="宋体"/>
          <w:color w:val="auto"/>
          <w:sz w:val="24"/>
          <w:highlight w:val="none"/>
          <w:u w:val="single"/>
        </w:rPr>
        <w:t>（中型企业、小</w:t>
      </w:r>
      <w:r>
        <w:rPr>
          <w:rFonts w:ascii="宋体" w:hAnsi="宋体" w:hint="eastAsia"/>
          <w:color w:val="auto"/>
          <w:sz w:val="24"/>
          <w:highlight w:val="none"/>
          <w:u w:val="single"/>
        </w:rPr>
        <w:t>型企业、微型企业）</w:t>
      </w:r>
      <w:r>
        <w:rPr>
          <w:rFonts w:ascii="宋体" w:hAnsi="宋体"/>
          <w:color w:val="auto"/>
          <w:sz w:val="24"/>
          <w:highlight w:val="none"/>
        </w:rPr>
        <w:t>；</w:t>
      </w:r>
    </w:p>
    <w:p>
      <w:pPr>
        <w:snapToGrid w:val="0"/>
        <w:spacing w:line="360" w:lineRule="auto"/>
        <w:ind w:firstLine="372" w:firstLineChars="177"/>
        <w:rPr>
          <w:rFonts w:ascii="宋体" w:hAnsi="宋体"/>
          <w:sz w:val="24"/>
        </w:rPr>
      </w:pPr>
      <w:r>
        <w:rPr>
          <w:rFonts w:ascii="宋体" w:hAnsi="宋体" w:hint="eastAsia"/>
          <w:sz w:val="24"/>
        </w:rPr>
        <w:t>……</w:t>
      </w:r>
    </w:p>
    <w:p>
      <w:pPr>
        <w:snapToGrid w:val="0"/>
        <w:spacing w:line="360" w:lineRule="auto"/>
        <w:ind w:firstLine="372" w:firstLineChars="177"/>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pPr>
        <w:snapToGrid w:val="0"/>
        <w:spacing w:line="360" w:lineRule="auto"/>
        <w:ind w:firstLine="372" w:firstLineChars="177"/>
        <w:rPr>
          <w:rFonts w:ascii="宋体" w:hAnsi="宋体"/>
          <w:sz w:val="24"/>
        </w:rPr>
      </w:pPr>
      <w:r>
        <w:rPr>
          <w:rFonts w:ascii="宋体" w:hAnsi="宋体" w:hint="eastAsia"/>
          <w:sz w:val="24"/>
        </w:rPr>
        <w:t>本企业对上述声明内容的真实性负责。如有虚假，将依法承担相应责任。</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备注：</w:t>
      </w:r>
    </w:p>
    <w:p>
      <w:pPr>
        <w:snapToGrid w:val="0"/>
        <w:spacing w:line="360" w:lineRule="auto"/>
        <w:rPr>
          <w:rFonts w:ascii="宋体" w:hAnsi="宋体"/>
          <w:sz w:val="24"/>
        </w:rPr>
      </w:pPr>
      <w:r>
        <w:rPr>
          <w:rFonts w:ascii="宋体" w:hAnsi="宋体"/>
          <w:sz w:val="24"/>
        </w:rPr>
        <w:t>1</w:t>
      </w:r>
      <w:r>
        <w:rPr>
          <w:rFonts w:ascii="宋体" w:hAnsi="宋体" w:hint="eastAsia"/>
          <w:sz w:val="24"/>
        </w:rPr>
        <w:t>、</w:t>
      </w:r>
      <w:r>
        <w:rPr>
          <w:rFonts w:ascii="宋体" w:hAnsi="宋体"/>
          <w:sz w:val="24"/>
        </w:rPr>
        <w:t>从业人员、营业收入、资产总额填报上一年度数据，无上一年度数据的新成立企业可不填报。</w:t>
      </w:r>
    </w:p>
    <w:p>
      <w:pPr>
        <w:snapToGrid w:val="0"/>
        <w:spacing w:line="360" w:lineRule="auto"/>
        <w:rPr>
          <w:rFonts w:ascii="宋体" w:hAnsi="宋体"/>
          <w:sz w:val="24"/>
        </w:rPr>
      </w:pPr>
      <w:r>
        <w:rPr>
          <w:rFonts w:ascii="宋体" w:hAnsi="宋体" w:hint="eastAsia"/>
          <w:sz w:val="24"/>
        </w:rPr>
        <w:t>2、投标人已知悉《政府采购促进中小企业发展管理办法》（财库〔2020〕46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napToGrid w:val="0"/>
        <w:spacing w:line="360" w:lineRule="auto"/>
        <w:rPr>
          <w:rFonts w:ascii="宋体" w:hAnsi="宋体" w:hint="eastAsia"/>
          <w:sz w:val="24"/>
        </w:rPr>
      </w:pPr>
      <w:r>
        <w:rPr>
          <w:rFonts w:ascii="宋体" w:hAnsi="宋体" w:hint="eastAsia"/>
          <w:sz w:val="24"/>
        </w:rPr>
        <w:t>3、采购人、采购代理机构将按国家有关规定随中标、成交结果公开中标、成交供应商的《中小企业声明函》。</w:t>
      </w:r>
    </w:p>
    <w:p>
      <w:pPr>
        <w:pStyle w:val="PlainText"/>
        <w:spacing w:line="360" w:lineRule="auto"/>
        <w:rPr>
          <w:rFonts w:hint="default"/>
          <w:b/>
          <w:bCs/>
          <w:color w:val="auto"/>
          <w:highlight w:val="none"/>
          <w:u w:val="double"/>
          <w:lang w:val="en-US" w:eastAsia="zh-CN"/>
        </w:rPr>
      </w:pPr>
      <w:r>
        <w:rPr>
          <w:rFonts w:ascii="宋体" w:hAnsi="宋体" w:hint="eastAsia"/>
          <w:b w:val="0"/>
          <w:bCs w:val="0"/>
          <w:color w:val="auto"/>
          <w:sz w:val="24"/>
          <w:highlight w:val="none"/>
          <w:u w:val="none"/>
          <w:lang w:val="en-US" w:eastAsia="zh-CN"/>
        </w:rPr>
        <w:t>4、</w:t>
      </w:r>
      <w:r>
        <w:rPr>
          <w:rFonts w:hAnsi="宋体" w:cs="宋体" w:hint="eastAsia"/>
          <w:b/>
          <w:bCs/>
          <w:color w:val="auto"/>
          <w:sz w:val="24"/>
          <w:szCs w:val="24"/>
          <w:highlight w:val="none"/>
          <w:u w:val="double"/>
          <w:lang w:val="en-US" w:eastAsia="zh-CN"/>
        </w:rPr>
        <w:t>中小企业参加政府采购活动，应按要求出具及完整填写《中小企业声明函》，否则将可能不享受相关中小企业扶持政策。</w:t>
      </w:r>
    </w:p>
    <w:p>
      <w:pPr>
        <w:snapToGrid w:val="0"/>
        <w:spacing w:line="360" w:lineRule="auto"/>
        <w:rPr>
          <w:rFonts w:ascii="宋体" w:hAnsi="宋体"/>
          <w:sz w:val="24"/>
        </w:rPr>
      </w:pPr>
    </w:p>
    <w:p>
      <w:pPr>
        <w:widowControl/>
        <w:jc w:val="left"/>
        <w:rPr>
          <w:rFonts w:ascii="宋体" w:hAnsi="宋体"/>
          <w:sz w:val="24"/>
        </w:rPr>
      </w:pPr>
      <w:r>
        <w:rPr>
          <w:rFonts w:ascii="宋体" w:hAnsi="宋体"/>
          <w:sz w:val="24"/>
        </w:rPr>
        <w:br w:type="page"/>
      </w:r>
    </w:p>
    <w:p>
      <w:pPr>
        <w:pStyle w:val="Heading2"/>
        <w:numPr>
          <w:ilvl w:val="0"/>
          <w:numId w:val="65"/>
        </w:numPr>
        <w:spacing w:line="240" w:lineRule="auto"/>
        <w:jc w:val="center"/>
        <w:rPr>
          <w:rFonts w:ascii="黑体" w:hAnsi="黑体"/>
        </w:rPr>
      </w:pPr>
      <w:bookmarkStart w:id="164" w:name="_Toc27537"/>
      <w:bookmarkStart w:id="165" w:name="_Toc256000026"/>
      <w:r>
        <w:rPr>
          <w:rFonts w:ascii="黑体" w:hAnsi="黑体" w:hint="eastAsia"/>
        </w:rPr>
        <w:t>残疾人福利性单位声明函（如有）</w:t>
      </w:r>
      <w:bookmarkEnd w:id="165"/>
      <w:bookmarkEnd w:id="160"/>
      <w:bookmarkEnd w:id="161"/>
      <w:bookmarkEnd w:id="164"/>
    </w:p>
    <w:p>
      <w:pPr>
        <w:spacing w:line="360" w:lineRule="auto"/>
        <w:ind w:firstLine="420" w:firstLineChars="200"/>
        <w:rPr>
          <w:rFonts w:ascii="宋体" w:hAnsi="宋体"/>
          <w:sz w:val="24"/>
        </w:rPr>
      </w:pPr>
      <w:bookmarkEnd w:id="162"/>
      <w:bookmarkEnd w:id="163"/>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 w:val="24"/>
        </w:rPr>
      </w:pPr>
      <w:r>
        <w:rPr>
          <w:rFonts w:ascii="宋体" w:hAnsi="宋体" w:hint="eastAsia"/>
          <w:sz w:val="24"/>
        </w:rPr>
        <w:t>本单位对上述声明的真实性负责。如有虚假，将依法承担相应责任。</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备注：</w:t>
      </w:r>
    </w:p>
    <w:p>
      <w:pPr>
        <w:snapToGrid w:val="0"/>
        <w:spacing w:line="360" w:lineRule="auto"/>
        <w:ind w:firstLine="420" w:firstLineChars="200"/>
        <w:rPr>
          <w:rFonts w:ascii="宋体" w:hAnsi="宋体"/>
          <w:sz w:val="24"/>
        </w:rPr>
      </w:pPr>
      <w:r>
        <w:rPr>
          <w:rFonts w:ascii="宋体" w:hAnsi="宋体" w:hint="eastAsia"/>
          <w:sz w:val="24"/>
        </w:rPr>
        <w:t>投标人知悉《关于促进残疾人就业政府采购政策的通知》（财库〔2017〕141 号）的规定，承诺提供的声明函内容是真实的，如提供声明函内容不实，则依法追究相关法律责任。</w:t>
      </w:r>
    </w:p>
    <w:p>
      <w:pPr>
        <w:widowControl/>
        <w:jc w:val="left"/>
        <w:rPr>
          <w:rFonts w:ascii="黑体" w:eastAsia="黑体" w:hAnsi="黑体"/>
          <w:sz w:val="32"/>
          <w:szCs w:val="32"/>
        </w:rPr>
      </w:pPr>
      <w:r>
        <w:rPr>
          <w:rFonts w:ascii="黑体" w:eastAsia="黑体" w:hAnsi="黑体"/>
          <w:sz w:val="32"/>
          <w:szCs w:val="32"/>
        </w:rPr>
        <w:br w:type="page"/>
      </w:r>
    </w:p>
    <w:p>
      <w:pPr>
        <w:pStyle w:val="Heading2"/>
        <w:numPr>
          <w:ilvl w:val="0"/>
          <w:numId w:val="65"/>
        </w:numPr>
        <w:spacing w:line="240" w:lineRule="auto"/>
        <w:jc w:val="center"/>
        <w:rPr>
          <w:rFonts w:ascii="黑体" w:hAnsi="黑体"/>
        </w:rPr>
      </w:pPr>
      <w:bookmarkStart w:id="166" w:name="_Toc31731"/>
      <w:bookmarkStart w:id="167" w:name="_Toc30664874"/>
      <w:bookmarkStart w:id="168" w:name="_Toc21362"/>
      <w:bookmarkStart w:id="169" w:name="_Toc256000027"/>
      <w:r>
        <w:rPr>
          <w:rFonts w:ascii="黑体" w:hAnsi="黑体" w:hint="eastAsia"/>
        </w:rPr>
        <w:t>监狱企业的证明文件（如有）</w:t>
      </w:r>
      <w:bookmarkEnd w:id="169"/>
      <w:bookmarkEnd w:id="166"/>
      <w:bookmarkEnd w:id="167"/>
      <w:bookmarkEnd w:id="168"/>
    </w:p>
    <w:p>
      <w:pPr>
        <w:spacing w:line="360" w:lineRule="auto"/>
        <w:ind w:firstLine="420" w:firstLineChars="200"/>
        <w:rPr>
          <w:rFonts w:ascii="宋体" w:hAnsi="宋体"/>
          <w:sz w:val="24"/>
        </w:rPr>
      </w:pPr>
      <w:r>
        <w:rPr>
          <w:rFonts w:ascii="宋体" w:hAnsi="宋体" w:hint="eastAsia"/>
          <w:sz w:val="24"/>
        </w:rPr>
        <w:t>说明：监狱企业参加政府采购活动时，应当提供由</w:t>
      </w:r>
      <w:r>
        <w:rPr>
          <w:rFonts w:ascii="宋体" w:hAnsi="宋体" w:hint="eastAsia"/>
          <w:b/>
          <w:sz w:val="24"/>
        </w:rPr>
        <w:t>省级以上监狱管理局、戒毒管理局（含新疆生产建设兵团）出具的属于监狱企业的证明文件</w:t>
      </w:r>
      <w:r>
        <w:rPr>
          <w:rFonts w:ascii="宋体" w:hAnsi="宋体" w:hint="eastAsia"/>
          <w:sz w:val="24"/>
        </w:rPr>
        <w:t>。</w:t>
      </w:r>
    </w:p>
    <w:p>
      <w:pPr>
        <w:widowControl/>
        <w:jc w:val="left"/>
        <w:rPr>
          <w:rFonts w:ascii="黑体" w:eastAsia="黑体" w:hAnsi="黑体"/>
          <w:sz w:val="32"/>
          <w:szCs w:val="32"/>
        </w:rPr>
      </w:pPr>
      <w:r>
        <w:rPr>
          <w:rFonts w:ascii="黑体" w:eastAsia="黑体" w:hAnsi="黑体"/>
          <w:sz w:val="32"/>
          <w:szCs w:val="32"/>
        </w:rPr>
        <w:br w:type="page"/>
      </w:r>
    </w:p>
    <w:p>
      <w:pPr>
        <w:pStyle w:val="Heading2"/>
        <w:numPr>
          <w:ilvl w:val="0"/>
          <w:numId w:val="65"/>
        </w:numPr>
        <w:spacing w:line="240" w:lineRule="auto"/>
        <w:jc w:val="center"/>
        <w:rPr>
          <w:rFonts w:ascii="黑体" w:hAnsi="黑体"/>
        </w:rPr>
      </w:pPr>
      <w:bookmarkStart w:id="170" w:name="_Toc6176"/>
      <w:bookmarkStart w:id="171" w:name="_Toc30664875"/>
      <w:bookmarkStart w:id="172" w:name="_Toc30540"/>
      <w:bookmarkStart w:id="173" w:name="_Toc256000028"/>
      <w:r>
        <w:rPr>
          <w:rFonts w:ascii="黑体" w:hAnsi="黑体" w:hint="eastAsia"/>
        </w:rPr>
        <w:t>政策功能情况（如有）</w:t>
      </w:r>
      <w:bookmarkEnd w:id="173"/>
      <w:bookmarkEnd w:id="170"/>
      <w:bookmarkEnd w:id="171"/>
      <w:bookmarkEnd w:id="172"/>
    </w:p>
    <w:p>
      <w:pPr>
        <w:tabs>
          <w:tab w:val="left" w:pos="7740"/>
        </w:tabs>
        <w:snapToGrid w:val="0"/>
        <w:spacing w:line="360" w:lineRule="auto"/>
        <w:rPr>
          <w:rFonts w:ascii="宋体" w:eastAsia="宋体" w:hAnsi="宋体" w:hint="eastAsia"/>
          <w:bCs/>
          <w:color w:val="FF0000"/>
          <w:sz w:val="24"/>
          <w:lang w:val="en-GB" w:eastAsia="zh-CN"/>
        </w:rPr>
      </w:pPr>
      <w:r>
        <w:rPr>
          <w:rFonts w:ascii="宋体" w:hAnsi="宋体" w:hint="eastAsia"/>
          <w:sz w:val="24"/>
        </w:rPr>
        <w:t>项目名称：</w:t>
      </w:r>
      <w:r>
        <w:rPr>
          <w:rFonts w:ascii="宋体" w:hAnsi="宋体" w:hint="eastAsia"/>
          <w:sz w:val="24"/>
          <w:lang w:eastAsia="zh-CN"/>
        </w:rPr>
        <w:t>智能计算与系统-高级白盒可编程路由器</w:t>
      </w:r>
    </w:p>
    <w:tbl>
      <w:tblPr>
        <w:tblStyle w:val="TableNormal"/>
        <w:tblW w:w="9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003"/>
        <w:gridCol w:w="2182"/>
        <w:gridCol w:w="1663"/>
        <w:gridCol w:w="1977"/>
        <w:gridCol w:w="2571"/>
      </w:tblGrid>
      <w:tr>
        <w:tblPrEx>
          <w:tblW w:w="9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622"/>
          <w:jc w:val="center"/>
        </w:trPr>
        <w:tc>
          <w:tcPr>
            <w:tcW w:w="1003" w:type="dxa"/>
            <w:vAlign w:val="center"/>
          </w:tcPr>
          <w:p>
            <w:pPr>
              <w:keepNext w:val="0"/>
              <w:keepLines w:val="0"/>
              <w:suppressLineNumbers w:val="0"/>
              <w:tabs>
                <w:tab w:val="left" w:pos="7740"/>
              </w:tabs>
              <w:snapToGrid w:val="0"/>
              <w:spacing w:before="0" w:beforeAutospacing="0" w:after="0" w:afterAutospacing="0" w:line="288" w:lineRule="auto"/>
              <w:ind w:left="0" w:right="0"/>
              <w:jc w:val="center"/>
              <w:rPr>
                <w:rFonts w:ascii="宋体" w:hAnsi="宋体" w:hint="default"/>
                <w:sz w:val="24"/>
                <w:lang w:val="en-GB"/>
              </w:rPr>
            </w:pPr>
            <w:r>
              <w:rPr>
                <w:rFonts w:ascii="宋体" w:hAnsi="宋体" w:hint="eastAsia"/>
                <w:sz w:val="24"/>
                <w:lang w:val="en-GB"/>
              </w:rPr>
              <w:t>类别</w:t>
            </w:r>
          </w:p>
        </w:tc>
        <w:tc>
          <w:tcPr>
            <w:tcW w:w="2182" w:type="dxa"/>
            <w:vAlign w:val="center"/>
          </w:tcPr>
          <w:p>
            <w:pPr>
              <w:keepNext w:val="0"/>
              <w:keepLines w:val="0"/>
              <w:suppressLineNumbers w:val="0"/>
              <w:tabs>
                <w:tab w:val="left" w:pos="7740"/>
              </w:tabs>
              <w:snapToGrid w:val="0"/>
              <w:spacing w:before="0" w:beforeAutospacing="0" w:after="0" w:afterAutospacing="0" w:line="288" w:lineRule="auto"/>
              <w:ind w:left="0" w:right="0"/>
              <w:jc w:val="center"/>
              <w:rPr>
                <w:rFonts w:ascii="宋体" w:hAnsi="宋体" w:hint="default"/>
                <w:sz w:val="24"/>
                <w:lang w:val="en-GB"/>
              </w:rPr>
            </w:pPr>
            <w:r>
              <w:rPr>
                <w:rFonts w:ascii="宋体" w:hAnsi="宋体" w:hint="eastAsia"/>
                <w:sz w:val="24"/>
                <w:lang w:val="en-GB"/>
              </w:rPr>
              <w:t>投标产品</w:t>
            </w:r>
          </w:p>
          <w:p>
            <w:pPr>
              <w:keepNext w:val="0"/>
              <w:keepLines w:val="0"/>
              <w:suppressLineNumbers w:val="0"/>
              <w:tabs>
                <w:tab w:val="left" w:pos="7740"/>
              </w:tabs>
              <w:snapToGrid w:val="0"/>
              <w:spacing w:before="0" w:beforeAutospacing="0" w:after="0" w:afterAutospacing="0" w:line="288" w:lineRule="auto"/>
              <w:ind w:left="0" w:right="0"/>
              <w:jc w:val="center"/>
              <w:rPr>
                <w:rFonts w:ascii="宋体" w:hAnsi="宋体" w:hint="default"/>
                <w:sz w:val="24"/>
                <w:lang w:val="en-GB"/>
              </w:rPr>
            </w:pPr>
            <w:r>
              <w:rPr>
                <w:rFonts w:ascii="宋体" w:hAnsi="宋体" w:hint="eastAsia"/>
                <w:sz w:val="24"/>
                <w:lang w:val="en-GB"/>
              </w:rPr>
              <w:t>（规格型号）</w:t>
            </w:r>
          </w:p>
        </w:tc>
        <w:tc>
          <w:tcPr>
            <w:tcW w:w="1663" w:type="dxa"/>
            <w:vAlign w:val="center"/>
          </w:tcPr>
          <w:p>
            <w:pPr>
              <w:keepNext w:val="0"/>
              <w:keepLines w:val="0"/>
              <w:suppressLineNumbers w:val="0"/>
              <w:tabs>
                <w:tab w:val="left" w:pos="7740"/>
              </w:tabs>
              <w:snapToGrid w:val="0"/>
              <w:spacing w:before="0" w:beforeAutospacing="0" w:after="0" w:afterAutospacing="0" w:line="288" w:lineRule="auto"/>
              <w:ind w:left="0" w:right="0"/>
              <w:jc w:val="center"/>
              <w:rPr>
                <w:rFonts w:ascii="宋体" w:hAnsi="宋体" w:hint="default"/>
                <w:sz w:val="24"/>
                <w:lang w:val="en-GB"/>
              </w:rPr>
            </w:pPr>
            <w:r>
              <w:rPr>
                <w:rFonts w:ascii="宋体" w:hAnsi="宋体" w:hint="eastAsia"/>
                <w:sz w:val="24"/>
                <w:lang w:val="en-GB"/>
              </w:rPr>
              <w:t>生产者</w:t>
            </w:r>
          </w:p>
          <w:p>
            <w:pPr>
              <w:keepNext w:val="0"/>
              <w:keepLines w:val="0"/>
              <w:suppressLineNumbers w:val="0"/>
              <w:tabs>
                <w:tab w:val="left" w:pos="7740"/>
              </w:tabs>
              <w:snapToGrid w:val="0"/>
              <w:spacing w:before="0" w:beforeAutospacing="0" w:after="0" w:afterAutospacing="0" w:line="288" w:lineRule="auto"/>
              <w:ind w:left="0" w:right="0"/>
              <w:jc w:val="center"/>
              <w:rPr>
                <w:rFonts w:ascii="宋体" w:hAnsi="宋体" w:hint="default"/>
                <w:sz w:val="24"/>
                <w:lang w:val="en-GB"/>
              </w:rPr>
            </w:pPr>
            <w:r>
              <w:rPr>
                <w:rFonts w:ascii="宋体" w:hAnsi="宋体" w:hint="eastAsia"/>
                <w:sz w:val="24"/>
                <w:lang w:val="en-GB"/>
              </w:rPr>
              <w:t>（制造商）</w:t>
            </w:r>
          </w:p>
        </w:tc>
        <w:tc>
          <w:tcPr>
            <w:tcW w:w="1977" w:type="dxa"/>
            <w:vAlign w:val="center"/>
          </w:tcPr>
          <w:p>
            <w:pPr>
              <w:keepNext w:val="0"/>
              <w:keepLines w:val="0"/>
              <w:suppressLineNumbers w:val="0"/>
              <w:tabs>
                <w:tab w:val="left" w:pos="7740"/>
              </w:tabs>
              <w:snapToGrid w:val="0"/>
              <w:spacing w:before="0" w:beforeAutospacing="0" w:after="0" w:afterAutospacing="0" w:line="288" w:lineRule="auto"/>
              <w:ind w:left="0" w:right="0"/>
              <w:jc w:val="center"/>
              <w:rPr>
                <w:rFonts w:ascii="宋体" w:hAnsi="宋体" w:hint="default"/>
                <w:sz w:val="24"/>
                <w:lang w:val="en-GB"/>
              </w:rPr>
            </w:pPr>
            <w:r>
              <w:rPr>
                <w:rFonts w:ascii="宋体" w:hAnsi="宋体" w:hint="default"/>
                <w:sz w:val="24"/>
                <w:lang w:val="en-GB"/>
              </w:rPr>
              <w:t>证书编号</w:t>
            </w:r>
          </w:p>
        </w:tc>
        <w:tc>
          <w:tcPr>
            <w:tcW w:w="2571" w:type="dxa"/>
            <w:tcBorders>
              <w:bottom w:val="single" w:sz="4" w:space="0" w:color="auto"/>
            </w:tcBorders>
            <w:vAlign w:val="center"/>
          </w:tcPr>
          <w:p>
            <w:pPr>
              <w:keepNext w:val="0"/>
              <w:keepLines w:val="0"/>
              <w:suppressLineNumbers w:val="0"/>
              <w:tabs>
                <w:tab w:val="left" w:pos="7740"/>
              </w:tabs>
              <w:snapToGrid w:val="0"/>
              <w:spacing w:before="0" w:beforeAutospacing="0" w:after="0" w:afterAutospacing="0" w:line="288" w:lineRule="auto"/>
              <w:ind w:left="0" w:right="0"/>
              <w:jc w:val="center"/>
              <w:rPr>
                <w:rFonts w:ascii="宋体" w:hAnsi="宋体" w:hint="default"/>
                <w:sz w:val="24"/>
                <w:lang w:val="en-GB"/>
              </w:rPr>
            </w:pPr>
            <w:r>
              <w:rPr>
                <w:rFonts w:ascii="宋体" w:hAnsi="宋体" w:hint="eastAsia"/>
                <w:sz w:val="24"/>
                <w:lang w:val="en-GB"/>
              </w:rPr>
              <w:t>所投节能产品金额</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restart"/>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lang w:val="en-GB"/>
              </w:rPr>
            </w:pPr>
            <w:r>
              <w:rPr>
                <w:rFonts w:ascii="宋体" w:hAnsi="宋体" w:hint="eastAsia"/>
                <w:sz w:val="24"/>
                <w:lang w:val="en-GB"/>
              </w:rPr>
              <w:t>节能</w:t>
            </w:r>
          </w:p>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lang w:val="en-GB"/>
              </w:rPr>
            </w:pPr>
            <w:r>
              <w:rPr>
                <w:rFonts w:ascii="宋体" w:hAnsi="宋体" w:hint="eastAsia"/>
                <w:sz w:val="24"/>
                <w:lang w:val="en-GB"/>
              </w:rPr>
              <w:t>产品</w:t>
            </w:r>
          </w:p>
        </w:tc>
        <w:tc>
          <w:tcPr>
            <w:tcW w:w="2182" w:type="dxa"/>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lang w:val="en-GB"/>
              </w:rPr>
            </w:pPr>
          </w:p>
        </w:tc>
        <w:tc>
          <w:tcPr>
            <w:tcW w:w="1663" w:type="dxa"/>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lang w:val="en-GB"/>
              </w:rPr>
            </w:pPr>
          </w:p>
        </w:tc>
        <w:tc>
          <w:tcPr>
            <w:tcW w:w="1977" w:type="dxa"/>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lang w:val="en-GB"/>
              </w:rPr>
            </w:pPr>
          </w:p>
        </w:tc>
        <w:tc>
          <w:tcPr>
            <w:tcW w:w="2571" w:type="dxa"/>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lang w:val="en-GB"/>
              </w:rPr>
            </w:pP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lang w:val="en-GB"/>
              </w:rPr>
            </w:pPr>
          </w:p>
        </w:tc>
        <w:tc>
          <w:tcPr>
            <w:tcW w:w="2182" w:type="dxa"/>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lang w:val="en-GB"/>
              </w:rPr>
            </w:pPr>
          </w:p>
        </w:tc>
        <w:tc>
          <w:tcPr>
            <w:tcW w:w="1663" w:type="dxa"/>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lang w:val="en-GB"/>
              </w:rPr>
            </w:pPr>
          </w:p>
        </w:tc>
        <w:tc>
          <w:tcPr>
            <w:tcW w:w="1977" w:type="dxa"/>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lang w:val="en-GB"/>
              </w:rPr>
            </w:pPr>
          </w:p>
        </w:tc>
        <w:tc>
          <w:tcPr>
            <w:tcW w:w="2571" w:type="dxa"/>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lang w:val="en-GB"/>
              </w:rPr>
            </w:pPr>
          </w:p>
        </w:tc>
      </w:tr>
      <w:tr>
        <w:tblPrEx>
          <w:tblW w:w="9396" w:type="dxa"/>
          <w:jc w:val="center"/>
          <w:tblLayout w:type="fixed"/>
          <w:tblCellMar>
            <w:top w:w="0" w:type="dxa"/>
            <w:left w:w="108" w:type="dxa"/>
            <w:bottom w:w="0" w:type="dxa"/>
            <w:right w:w="108" w:type="dxa"/>
          </w:tblCellMar>
        </w:tblPrEx>
        <w:trPr>
          <w:trHeight w:val="1563"/>
          <w:jc w:val="center"/>
        </w:trPr>
        <w:tc>
          <w:tcPr>
            <w:tcW w:w="1003" w:type="dxa"/>
            <w:vMerge/>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lang w:val="en-GB"/>
              </w:rPr>
            </w:pPr>
          </w:p>
        </w:tc>
        <w:tc>
          <w:tcPr>
            <w:tcW w:w="8393" w:type="dxa"/>
            <w:gridSpan w:val="4"/>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lang w:val="en-GB"/>
              </w:rPr>
            </w:pPr>
          </w:p>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u w:val="single"/>
                <w:lang w:val="en-GB"/>
              </w:rPr>
            </w:pPr>
            <w:r>
              <w:rPr>
                <w:rFonts w:ascii="宋体" w:hAnsi="宋体" w:hint="eastAsia"/>
                <w:sz w:val="24"/>
                <w:lang w:val="en-GB"/>
              </w:rPr>
              <w:t xml:space="preserve">节能产品总金额： </w:t>
            </w:r>
            <w:r>
              <w:rPr>
                <w:rFonts w:ascii="宋体" w:hAnsi="宋体" w:hint="default"/>
                <w:sz w:val="24"/>
                <w:u w:val="single"/>
                <w:lang w:val="en-GB"/>
              </w:rPr>
              <w:t xml:space="preserve">                      </w:t>
            </w:r>
          </w:p>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lang w:val="en-GB"/>
              </w:rPr>
            </w:pPr>
            <w:r>
              <w:rPr>
                <w:rFonts w:ascii="宋体" w:hAnsi="宋体" w:hint="default"/>
                <w:sz w:val="24"/>
                <w:lang w:val="en-GB"/>
              </w:rPr>
              <w:t xml:space="preserve">   </w:t>
            </w:r>
            <w:r>
              <w:rPr>
                <w:rFonts w:ascii="宋体" w:hAnsi="宋体" w:hint="eastAsia"/>
                <w:sz w:val="24"/>
                <w:lang w:val="en-GB"/>
              </w:rPr>
              <w:t xml:space="preserve"> </w:t>
            </w:r>
            <w:r>
              <w:rPr>
                <w:rFonts w:ascii="宋体" w:hAnsi="宋体" w:hint="default"/>
                <w:sz w:val="24"/>
                <w:lang w:val="en-GB"/>
              </w:rPr>
              <w:t xml:space="preserve"> </w:t>
            </w:r>
          </w:p>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lang w:val="en-GB"/>
              </w:rPr>
            </w:pPr>
            <w:r>
              <w:rPr>
                <w:rFonts w:ascii="宋体" w:hAnsi="宋体" w:hint="eastAsia"/>
                <w:sz w:val="24"/>
                <w:lang w:val="en-GB"/>
              </w:rPr>
              <w:t>节能产品金额占总投标报价比重：</w:t>
            </w:r>
            <w:r>
              <w:rPr>
                <w:rFonts w:ascii="宋体" w:hAnsi="宋体" w:hint="default"/>
                <w:sz w:val="24"/>
                <w:u w:val="single"/>
                <w:lang w:val="en-GB"/>
              </w:rPr>
              <w:t xml:space="preserve">              </w:t>
            </w:r>
            <w:r>
              <w:rPr>
                <w:rFonts w:ascii="宋体" w:hAnsi="宋体" w:hint="default"/>
                <w:sz w:val="24"/>
                <w:lang w:val="en-GB"/>
              </w:rPr>
              <w:t xml:space="preserve"> </w:t>
            </w:r>
            <w:r>
              <w:rPr>
                <w:rFonts w:ascii="宋体" w:hAnsi="宋体" w:hint="eastAsia"/>
                <w:sz w:val="24"/>
                <w:lang w:val="en-GB"/>
              </w:rPr>
              <w:t>%</w:t>
            </w:r>
            <w:r>
              <w:rPr>
                <w:rFonts w:ascii="宋体" w:hAnsi="宋体" w:hint="default"/>
                <w:sz w:val="24"/>
                <w:lang w:val="en-GB"/>
              </w:rPr>
              <w:t xml:space="preserve">            </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restart"/>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lang w:val="en-GB"/>
              </w:rPr>
            </w:pPr>
            <w:r>
              <w:rPr>
                <w:rFonts w:ascii="宋体" w:hAnsi="宋体" w:hint="eastAsia"/>
                <w:sz w:val="24"/>
                <w:lang w:val="en-GB"/>
              </w:rPr>
              <w:t>环保标志产品</w:t>
            </w:r>
          </w:p>
        </w:tc>
        <w:tc>
          <w:tcPr>
            <w:tcW w:w="2182" w:type="dxa"/>
            <w:vAlign w:val="center"/>
          </w:tcPr>
          <w:p>
            <w:pPr>
              <w:keepNext w:val="0"/>
              <w:keepLines w:val="0"/>
              <w:suppressLineNumbers w:val="0"/>
              <w:tabs>
                <w:tab w:val="left" w:pos="7740"/>
              </w:tabs>
              <w:snapToGrid w:val="0"/>
              <w:spacing w:before="0" w:beforeAutospacing="0" w:after="0" w:afterAutospacing="0" w:line="288" w:lineRule="auto"/>
              <w:ind w:left="0" w:right="0"/>
              <w:jc w:val="center"/>
              <w:rPr>
                <w:rFonts w:ascii="宋体" w:hAnsi="宋体" w:hint="default"/>
                <w:sz w:val="24"/>
                <w:lang w:val="en-GB"/>
              </w:rPr>
            </w:pPr>
            <w:r>
              <w:rPr>
                <w:rFonts w:ascii="宋体" w:hAnsi="宋体" w:hint="eastAsia"/>
                <w:sz w:val="24"/>
                <w:lang w:val="en-GB"/>
              </w:rPr>
              <w:t>投标产品</w:t>
            </w:r>
          </w:p>
          <w:p>
            <w:pPr>
              <w:keepNext w:val="0"/>
              <w:keepLines w:val="0"/>
              <w:suppressLineNumbers w:val="0"/>
              <w:tabs>
                <w:tab w:val="left" w:pos="7740"/>
              </w:tabs>
              <w:snapToGrid w:val="0"/>
              <w:spacing w:before="0" w:beforeAutospacing="0" w:after="0" w:afterAutospacing="0" w:line="288" w:lineRule="auto"/>
              <w:ind w:left="0" w:right="0"/>
              <w:jc w:val="center"/>
              <w:rPr>
                <w:rFonts w:ascii="宋体" w:hAnsi="宋体" w:hint="default"/>
                <w:sz w:val="24"/>
                <w:lang w:val="en-GB"/>
              </w:rPr>
            </w:pPr>
            <w:r>
              <w:rPr>
                <w:rFonts w:ascii="宋体" w:hAnsi="宋体" w:hint="eastAsia"/>
                <w:sz w:val="24"/>
                <w:lang w:val="en-GB"/>
              </w:rPr>
              <w:t>（规格型号）</w:t>
            </w:r>
          </w:p>
        </w:tc>
        <w:tc>
          <w:tcPr>
            <w:tcW w:w="1663" w:type="dxa"/>
            <w:vAlign w:val="center"/>
          </w:tcPr>
          <w:p>
            <w:pPr>
              <w:keepNext w:val="0"/>
              <w:keepLines w:val="0"/>
              <w:suppressLineNumbers w:val="0"/>
              <w:tabs>
                <w:tab w:val="left" w:pos="7740"/>
              </w:tabs>
              <w:snapToGrid w:val="0"/>
              <w:spacing w:before="0" w:beforeAutospacing="0" w:after="0" w:afterAutospacing="0" w:line="288" w:lineRule="auto"/>
              <w:ind w:left="0" w:right="0"/>
              <w:jc w:val="center"/>
              <w:rPr>
                <w:rFonts w:ascii="宋体" w:hAnsi="宋体" w:hint="default"/>
                <w:sz w:val="24"/>
                <w:lang w:val="en-GB"/>
              </w:rPr>
            </w:pPr>
            <w:r>
              <w:rPr>
                <w:rFonts w:ascii="宋体" w:hAnsi="宋体" w:hint="eastAsia"/>
                <w:sz w:val="24"/>
                <w:lang w:val="en-GB"/>
              </w:rPr>
              <w:t>生产者</w:t>
            </w:r>
          </w:p>
          <w:p>
            <w:pPr>
              <w:keepNext w:val="0"/>
              <w:keepLines w:val="0"/>
              <w:suppressLineNumbers w:val="0"/>
              <w:tabs>
                <w:tab w:val="left" w:pos="7740"/>
              </w:tabs>
              <w:snapToGrid w:val="0"/>
              <w:spacing w:before="0" w:beforeAutospacing="0" w:after="0" w:afterAutospacing="0" w:line="288" w:lineRule="auto"/>
              <w:ind w:left="0" w:right="0"/>
              <w:jc w:val="center"/>
              <w:rPr>
                <w:rFonts w:ascii="宋体" w:hAnsi="宋体" w:hint="default"/>
                <w:sz w:val="24"/>
                <w:lang w:val="en-GB"/>
              </w:rPr>
            </w:pPr>
            <w:r>
              <w:rPr>
                <w:rFonts w:ascii="宋体" w:hAnsi="宋体" w:hint="eastAsia"/>
                <w:sz w:val="24"/>
                <w:lang w:val="en-GB"/>
              </w:rPr>
              <w:t>（制造商）</w:t>
            </w:r>
          </w:p>
        </w:tc>
        <w:tc>
          <w:tcPr>
            <w:tcW w:w="1977" w:type="dxa"/>
            <w:vAlign w:val="center"/>
          </w:tcPr>
          <w:p>
            <w:pPr>
              <w:keepNext w:val="0"/>
              <w:keepLines w:val="0"/>
              <w:suppressLineNumbers w:val="0"/>
              <w:tabs>
                <w:tab w:val="left" w:pos="7740"/>
              </w:tabs>
              <w:snapToGrid w:val="0"/>
              <w:spacing w:before="0" w:beforeAutospacing="0" w:after="0" w:afterAutospacing="0" w:line="288" w:lineRule="auto"/>
              <w:ind w:left="0" w:right="0"/>
              <w:jc w:val="center"/>
              <w:rPr>
                <w:rFonts w:ascii="宋体" w:hAnsi="宋体" w:hint="default"/>
                <w:sz w:val="24"/>
                <w:lang w:val="en-GB"/>
              </w:rPr>
            </w:pPr>
            <w:r>
              <w:rPr>
                <w:rFonts w:ascii="宋体" w:hAnsi="宋体" w:hint="default"/>
                <w:sz w:val="24"/>
                <w:lang w:val="en-GB"/>
              </w:rPr>
              <w:t>证书编号</w:t>
            </w:r>
          </w:p>
        </w:tc>
        <w:tc>
          <w:tcPr>
            <w:tcW w:w="2571" w:type="dxa"/>
            <w:tcBorders>
              <w:top w:val="single" w:sz="4" w:space="0" w:color="auto"/>
            </w:tcBorders>
            <w:vAlign w:val="center"/>
          </w:tcPr>
          <w:p>
            <w:pPr>
              <w:keepNext w:val="0"/>
              <w:keepLines w:val="0"/>
              <w:suppressLineNumbers w:val="0"/>
              <w:tabs>
                <w:tab w:val="left" w:pos="7740"/>
              </w:tabs>
              <w:snapToGrid w:val="0"/>
              <w:spacing w:before="0" w:beforeAutospacing="0" w:after="0" w:afterAutospacing="0" w:line="288" w:lineRule="auto"/>
              <w:ind w:left="0" w:right="0"/>
              <w:jc w:val="center"/>
              <w:rPr>
                <w:rFonts w:ascii="宋体" w:hAnsi="宋体" w:hint="default"/>
                <w:sz w:val="24"/>
                <w:lang w:val="en-GB"/>
              </w:rPr>
            </w:pPr>
            <w:r>
              <w:rPr>
                <w:rFonts w:ascii="宋体" w:hAnsi="宋体" w:hint="eastAsia"/>
                <w:sz w:val="24"/>
                <w:lang w:val="en-GB"/>
              </w:rPr>
              <w:t>所投环保标志产品金额</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lang w:val="en-GB"/>
              </w:rPr>
            </w:pPr>
          </w:p>
        </w:tc>
        <w:tc>
          <w:tcPr>
            <w:tcW w:w="2182" w:type="dxa"/>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lang w:val="en-GB"/>
              </w:rPr>
            </w:pPr>
          </w:p>
        </w:tc>
        <w:tc>
          <w:tcPr>
            <w:tcW w:w="1663" w:type="dxa"/>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bCs/>
                <w:sz w:val="24"/>
                <w:lang w:val="en-GB"/>
              </w:rPr>
            </w:pPr>
          </w:p>
        </w:tc>
        <w:tc>
          <w:tcPr>
            <w:tcW w:w="1977" w:type="dxa"/>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bCs/>
                <w:sz w:val="24"/>
                <w:lang w:val="en-GB"/>
              </w:rPr>
            </w:pPr>
          </w:p>
        </w:tc>
        <w:tc>
          <w:tcPr>
            <w:tcW w:w="2571" w:type="dxa"/>
            <w:tcBorders>
              <w:top w:val="single" w:sz="4" w:space="0" w:color="auto"/>
            </w:tcBorders>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bCs/>
                <w:sz w:val="24"/>
                <w:lang w:val="en-GB"/>
              </w:rPr>
            </w:pP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lang w:val="en-GB"/>
              </w:rPr>
            </w:pPr>
          </w:p>
        </w:tc>
        <w:tc>
          <w:tcPr>
            <w:tcW w:w="2182" w:type="dxa"/>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lang w:val="en-GB"/>
              </w:rPr>
            </w:pPr>
          </w:p>
        </w:tc>
        <w:tc>
          <w:tcPr>
            <w:tcW w:w="1663" w:type="dxa"/>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bCs/>
                <w:sz w:val="24"/>
                <w:lang w:val="en-GB"/>
              </w:rPr>
            </w:pPr>
          </w:p>
        </w:tc>
        <w:tc>
          <w:tcPr>
            <w:tcW w:w="1977" w:type="dxa"/>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bCs/>
                <w:sz w:val="24"/>
                <w:lang w:val="en-GB"/>
              </w:rPr>
            </w:pPr>
          </w:p>
        </w:tc>
        <w:tc>
          <w:tcPr>
            <w:tcW w:w="2571" w:type="dxa"/>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bCs/>
                <w:sz w:val="24"/>
                <w:lang w:val="en-GB"/>
              </w:rPr>
            </w:pPr>
          </w:p>
        </w:tc>
      </w:tr>
      <w:tr>
        <w:tblPrEx>
          <w:tblW w:w="9396" w:type="dxa"/>
          <w:jc w:val="center"/>
          <w:tblLayout w:type="fixed"/>
          <w:tblCellMar>
            <w:top w:w="0" w:type="dxa"/>
            <w:left w:w="108" w:type="dxa"/>
            <w:bottom w:w="0" w:type="dxa"/>
            <w:right w:w="108" w:type="dxa"/>
          </w:tblCellMar>
        </w:tblPrEx>
        <w:trPr>
          <w:trHeight w:val="1132"/>
          <w:jc w:val="center"/>
        </w:trPr>
        <w:tc>
          <w:tcPr>
            <w:tcW w:w="1003" w:type="dxa"/>
            <w:vMerge/>
            <w:tcBorders>
              <w:bottom w:val="single" w:sz="12" w:space="0" w:color="auto"/>
            </w:tcBorders>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lang w:val="en-GB"/>
              </w:rPr>
            </w:pPr>
          </w:p>
        </w:tc>
        <w:tc>
          <w:tcPr>
            <w:tcW w:w="8393" w:type="dxa"/>
            <w:gridSpan w:val="4"/>
            <w:tcBorders>
              <w:bottom w:val="single" w:sz="12" w:space="0" w:color="auto"/>
            </w:tcBorders>
            <w:vAlign w:val="center"/>
          </w:tcPr>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lang w:val="en-GB"/>
              </w:rPr>
            </w:pPr>
          </w:p>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u w:val="single"/>
                <w:lang w:val="en-GB"/>
              </w:rPr>
            </w:pPr>
            <w:r>
              <w:rPr>
                <w:rFonts w:ascii="宋体" w:hAnsi="宋体" w:hint="eastAsia"/>
                <w:sz w:val="24"/>
                <w:lang w:val="en-GB"/>
              </w:rPr>
              <w:t xml:space="preserve">环保标志产品总金额： </w:t>
            </w:r>
            <w:r>
              <w:rPr>
                <w:rFonts w:ascii="宋体" w:hAnsi="宋体" w:hint="default"/>
                <w:sz w:val="24"/>
                <w:u w:val="single"/>
                <w:lang w:val="en-GB"/>
              </w:rPr>
              <w:t xml:space="preserve">                      </w:t>
            </w:r>
          </w:p>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lang w:val="en-GB"/>
              </w:rPr>
            </w:pPr>
            <w:r>
              <w:rPr>
                <w:rFonts w:ascii="宋体" w:hAnsi="宋体" w:hint="default"/>
                <w:sz w:val="24"/>
                <w:lang w:val="en-GB"/>
              </w:rPr>
              <w:t xml:space="preserve">   </w:t>
            </w:r>
            <w:r>
              <w:rPr>
                <w:rFonts w:ascii="宋体" w:hAnsi="宋体" w:hint="eastAsia"/>
                <w:sz w:val="24"/>
                <w:lang w:val="en-GB"/>
              </w:rPr>
              <w:t xml:space="preserve"> </w:t>
            </w:r>
            <w:r>
              <w:rPr>
                <w:rFonts w:ascii="宋体" w:hAnsi="宋体" w:hint="default"/>
                <w:sz w:val="24"/>
                <w:lang w:val="en-GB"/>
              </w:rPr>
              <w:t xml:space="preserve"> </w:t>
            </w:r>
          </w:p>
          <w:p>
            <w:pPr>
              <w:keepNext w:val="0"/>
              <w:keepLines w:val="0"/>
              <w:suppressLineNumbers w:val="0"/>
              <w:tabs>
                <w:tab w:val="left" w:pos="7740"/>
              </w:tabs>
              <w:snapToGrid w:val="0"/>
              <w:spacing w:before="0" w:beforeAutospacing="0" w:after="0" w:afterAutospacing="0" w:line="288" w:lineRule="auto"/>
              <w:ind w:left="0" w:right="0"/>
              <w:rPr>
                <w:rFonts w:ascii="宋体" w:hAnsi="宋体" w:hint="default"/>
                <w:sz w:val="24"/>
                <w:lang w:val="en-GB"/>
              </w:rPr>
            </w:pPr>
            <w:r>
              <w:rPr>
                <w:rFonts w:ascii="宋体" w:hAnsi="宋体" w:hint="eastAsia"/>
                <w:sz w:val="24"/>
                <w:lang w:val="en-GB"/>
              </w:rPr>
              <w:t>环保标志产品占总投标报价比重：</w:t>
            </w:r>
            <w:r>
              <w:rPr>
                <w:rFonts w:ascii="宋体" w:hAnsi="宋体" w:hint="default"/>
                <w:sz w:val="24"/>
                <w:u w:val="single"/>
                <w:lang w:val="en-GB"/>
              </w:rPr>
              <w:t xml:space="preserve">              </w:t>
            </w:r>
            <w:r>
              <w:rPr>
                <w:rFonts w:ascii="宋体" w:hAnsi="宋体" w:hint="default"/>
                <w:sz w:val="24"/>
                <w:lang w:val="en-GB"/>
              </w:rPr>
              <w:t xml:space="preserve"> </w:t>
            </w:r>
            <w:r>
              <w:rPr>
                <w:rFonts w:ascii="宋体" w:hAnsi="宋体" w:hint="eastAsia"/>
                <w:sz w:val="24"/>
                <w:lang w:val="en-GB"/>
              </w:rPr>
              <w:t>%</w:t>
            </w:r>
            <w:r>
              <w:rPr>
                <w:rFonts w:ascii="宋体" w:hAnsi="宋体" w:hint="default"/>
                <w:sz w:val="24"/>
                <w:lang w:val="en-GB"/>
              </w:rPr>
              <w:t xml:space="preserve">            </w:t>
            </w:r>
          </w:p>
        </w:tc>
      </w:tr>
    </w:tbl>
    <w:p>
      <w:pPr>
        <w:tabs>
          <w:tab w:val="left" w:pos="7740"/>
        </w:tabs>
        <w:adjustRightInd w:val="0"/>
        <w:snapToGrid w:val="0"/>
        <w:spacing w:line="360" w:lineRule="auto"/>
        <w:rPr>
          <w:rFonts w:ascii="宋体" w:hAnsi="宋体"/>
          <w:sz w:val="24"/>
          <w:lang w:val="en-GB"/>
        </w:rPr>
      </w:pPr>
      <w:r>
        <w:rPr>
          <w:rFonts w:ascii="宋体" w:hAnsi="宋体" w:hint="eastAsia"/>
          <w:sz w:val="24"/>
          <w:lang w:val="en-GB"/>
        </w:rPr>
        <w:t>说明</w:t>
      </w:r>
    </w:p>
    <w:p>
      <w:pPr>
        <w:numPr>
          <w:ilvl w:val="0"/>
          <w:numId w:val="67"/>
        </w:numPr>
        <w:adjustRightInd w:val="0"/>
        <w:snapToGrid w:val="0"/>
        <w:spacing w:line="360" w:lineRule="auto"/>
        <w:textAlignment w:val="baseline"/>
        <w:rPr>
          <w:rFonts w:ascii="宋体" w:hAnsi="宋体"/>
          <w:bCs/>
          <w:sz w:val="24"/>
        </w:rPr>
      </w:pPr>
      <w:r>
        <w:rPr>
          <w:rFonts w:ascii="宋体" w:hAnsi="宋体" w:hint="eastAsia"/>
          <w:bCs/>
          <w:sz w:val="24"/>
        </w:rPr>
        <w:t>属于品目清单范围内的节能或环境标志产品，应当提供国家确定的认证机构出具的、处于有效期之内的节能产品或环境标志产品认证证书扫描件。</w:t>
      </w:r>
    </w:p>
    <w:p>
      <w:pPr>
        <w:numPr>
          <w:ilvl w:val="0"/>
          <w:numId w:val="67"/>
        </w:numPr>
        <w:adjustRightInd w:val="0"/>
        <w:snapToGrid w:val="0"/>
        <w:spacing w:line="360" w:lineRule="auto"/>
        <w:textAlignment w:val="baseline"/>
        <w:rPr>
          <w:rFonts w:ascii="宋体" w:hAnsi="宋体"/>
          <w:sz w:val="24"/>
        </w:rPr>
      </w:pPr>
      <w:r>
        <w:rPr>
          <w:rFonts w:ascii="宋体" w:hAnsi="宋体" w:hint="eastAsia"/>
          <w:bCs/>
          <w:sz w:val="24"/>
        </w:rPr>
        <w:t>未提供产品认证证书不予价格扣除。</w:t>
      </w:r>
    </w:p>
    <w:p>
      <w:pPr>
        <w:spacing w:line="500" w:lineRule="exact"/>
        <w:rPr>
          <w:spacing w:val="4"/>
          <w:sz w:val="24"/>
        </w:rPr>
      </w:pPr>
    </w:p>
    <w:p>
      <w:bookmarkEnd w:id="152"/>
      <w:bookmarkEnd w:id="153"/>
      <w:bookmarkEnd w:id="154"/>
      <w:bookmarkStart w:id="174" w:name="_Toc24108"/>
      <w:bookmarkStart w:id="175" w:name="_Toc30664876"/>
      <w:bookmarkStart w:id="176" w:name="_Toc435514855"/>
      <w:bookmarkStart w:id="177" w:name="_Toc275865606"/>
      <w:bookmarkStart w:id="178" w:name="_Toc435515295"/>
      <w:r>
        <w:rPr>
          <w:rFonts w:hint="eastAsia"/>
        </w:rPr>
        <w:br w:type="page"/>
      </w:r>
    </w:p>
    <w:p>
      <w:pPr>
        <w:pStyle w:val="Heading2"/>
        <w:numPr>
          <w:ilvl w:val="0"/>
          <w:numId w:val="65"/>
        </w:numPr>
        <w:spacing w:line="240" w:lineRule="auto"/>
        <w:jc w:val="center"/>
        <w:rPr>
          <w:bCs w:val="0"/>
        </w:rPr>
      </w:pPr>
      <w:bookmarkStart w:id="179" w:name="_Toc20280"/>
      <w:bookmarkStart w:id="180" w:name="_Toc256000029"/>
      <w:r>
        <w:rPr>
          <w:rFonts w:hint="eastAsia"/>
          <w:bCs w:val="0"/>
        </w:rPr>
        <w:t>投 标 函</w:t>
      </w:r>
      <w:bookmarkEnd w:id="180"/>
      <w:bookmarkEnd w:id="174"/>
      <w:bookmarkEnd w:id="175"/>
      <w:bookmarkEnd w:id="179"/>
    </w:p>
    <w:p>
      <w:pPr>
        <w:spacing w:line="360" w:lineRule="auto"/>
        <w:rPr>
          <w:rFonts w:ascii="宋体" w:hAnsi="宋体"/>
          <w:b/>
          <w:sz w:val="24"/>
        </w:rPr>
      </w:pPr>
      <w:r>
        <w:rPr>
          <w:rFonts w:ascii="宋体" w:hAnsi="宋体" w:hint="eastAsia"/>
          <w:b/>
          <w:sz w:val="24"/>
        </w:rPr>
        <w:t>采联国际招标采购集团有限公司：</w:t>
      </w:r>
    </w:p>
    <w:p>
      <w:pPr>
        <w:spacing w:line="360" w:lineRule="auto"/>
        <w:ind w:left="105" w:firstLine="374" w:leftChars="50" w:firstLineChars="178"/>
        <w:rPr>
          <w:rFonts w:ascii="宋体" w:hAnsi="宋体"/>
          <w:sz w:val="24"/>
        </w:rPr>
      </w:pPr>
      <w:r>
        <w:rPr>
          <w:rFonts w:ascii="宋体" w:hAnsi="宋体" w:hint="eastAsia"/>
          <w:sz w:val="24"/>
        </w:rPr>
        <w:t>我方确认收到贵方</w:t>
      </w:r>
      <w:r>
        <w:rPr>
          <w:rFonts w:ascii="宋体" w:hAnsi="宋体" w:hint="eastAsia"/>
          <w:kern w:val="28"/>
          <w:sz w:val="24"/>
          <w:u w:val="single"/>
        </w:rPr>
        <w:t xml:space="preserve">        </w:t>
      </w:r>
      <w:r>
        <w:rPr>
          <w:rFonts w:ascii="宋体" w:hAnsi="宋体" w:hint="eastAsia"/>
          <w:kern w:val="28"/>
          <w:sz w:val="24"/>
          <w:u w:val="single"/>
          <w:lang w:eastAsia="zh-CN"/>
        </w:rPr>
        <w:t>智能计算与系统-高级白盒可编程路由器</w:t>
      </w:r>
      <w:r>
        <w:rPr>
          <w:rFonts w:ascii="宋体" w:hAnsi="宋体" w:hint="eastAsia"/>
          <w:kern w:val="28"/>
          <w:sz w:val="24"/>
          <w:u w:val="single"/>
        </w:rPr>
        <w:t xml:space="preserve">      </w:t>
      </w:r>
      <w:r>
        <w:rPr>
          <w:rFonts w:ascii="宋体" w:hAnsi="宋体" w:hint="eastAsia"/>
          <w:kern w:val="28"/>
          <w:sz w:val="24"/>
        </w:rPr>
        <w:t>采购</w:t>
      </w:r>
      <w:r>
        <w:rPr>
          <w:rFonts w:ascii="宋体" w:hAnsi="宋体" w:hint="eastAsia"/>
          <w:sz w:val="24"/>
        </w:rPr>
        <w:t>货物及相关服务的招标文件（项目编号：</w:t>
      </w:r>
      <w:r>
        <w:rPr>
          <w:rFonts w:ascii="宋体" w:hAnsi="宋体" w:hint="eastAsia"/>
          <w:sz w:val="24"/>
          <w:lang w:eastAsia="zh-CN"/>
        </w:rPr>
        <w:t>SZDL2023001961（CLF0123SZ17ZC27）</w:t>
      </w:r>
      <w:r>
        <w:rPr>
          <w:rFonts w:ascii="宋体" w:hAnsi="宋体" w:hint="eastAsia"/>
          <w:sz w:val="24"/>
        </w:rPr>
        <w:t>），</w:t>
      </w:r>
      <w:r>
        <w:rPr>
          <w:rFonts w:ascii="宋体" w:hAnsi="宋体" w:hint="eastAsia"/>
          <w:sz w:val="24"/>
          <w:u w:val="single"/>
        </w:rPr>
        <w:t xml:space="preserve"> (投标人名称、地址)。</w:t>
      </w:r>
      <w:r>
        <w:rPr>
          <w:rFonts w:ascii="宋体" w:hAnsi="宋体" w:hint="eastAsia"/>
          <w:sz w:val="24"/>
        </w:rPr>
        <w:t>作为投标人已正式授权《法定代表人授权委托书》中的授权代表或法定代表人为我方签名代表，签名代表在此声明并同意：</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我们愿意遵守采购代理机构招标文件的各项规定，自愿参加投标，并已清楚招标文件的要求及有关文件规定，并严格按照招标文件的规定履行全部责任和义务。</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我们同意本投标文件的投标有效期从提交投标文件的截止之日起</w:t>
      </w:r>
      <w:r>
        <w:rPr>
          <w:rFonts w:ascii="宋体" w:hAnsi="宋体" w:hint="eastAsia"/>
          <w:b/>
          <w:sz w:val="24"/>
          <w:u w:val="single"/>
        </w:rPr>
        <w:t>90</w:t>
      </w:r>
      <w:r>
        <w:rPr>
          <w:rFonts w:ascii="宋体" w:hAnsi="宋体" w:hint="eastAsia"/>
          <w:b/>
          <w:sz w:val="24"/>
        </w:rPr>
        <w:t>日历日内有效</w:t>
      </w:r>
      <w:r>
        <w:rPr>
          <w:rFonts w:ascii="宋体" w:hAnsi="宋体" w:hint="eastAsia"/>
          <w:sz w:val="24"/>
        </w:rPr>
        <w:t>。</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我们承诺从本项目投标截止时间起，本投标始终有效且不予撤销已递交的投标文件。</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我们已经详细地阅读并完全明白了全部招标文件及附件，包括澄清（如有）及参考文件，我们完全理解本招标文件的要求，</w:t>
      </w:r>
      <w:r>
        <w:rPr>
          <w:rFonts w:ascii="宋体" w:hint="eastAsia"/>
          <w:sz w:val="24"/>
        </w:rPr>
        <w:t>我们同意放弃对招标文件提出不明或误解的一切权利</w:t>
      </w:r>
      <w:r>
        <w:rPr>
          <w:rFonts w:ascii="宋体" w:hAnsi="宋体" w:hint="eastAsia"/>
          <w:sz w:val="24"/>
        </w:rPr>
        <w:t>。</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我们同意提供</w:t>
      </w:r>
      <w:r>
        <w:rPr>
          <w:rFonts w:ascii="宋体" w:hAnsi="宋体" w:cs="宋体" w:hint="eastAsia"/>
          <w:sz w:val="24"/>
          <w:lang w:eastAsia="zh-TW"/>
        </w:rPr>
        <w:t>采购人或者采购代理机构</w:t>
      </w:r>
      <w:r>
        <w:rPr>
          <w:rFonts w:ascii="宋体" w:hAnsi="宋体" w:hint="eastAsia"/>
          <w:sz w:val="24"/>
        </w:rPr>
        <w:t>与评审委员会要求的有关投标的一切数据或资料。</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我们理解</w:t>
      </w:r>
      <w:r>
        <w:rPr>
          <w:rFonts w:ascii="宋体" w:hAnsi="宋体" w:cs="宋体" w:hint="eastAsia"/>
          <w:sz w:val="24"/>
          <w:lang w:eastAsia="zh-TW"/>
        </w:rPr>
        <w:t>采购人或者采购代理机构</w:t>
      </w:r>
      <w:r>
        <w:rPr>
          <w:rFonts w:ascii="宋体" w:hAnsi="宋体" w:hint="eastAsia"/>
          <w:sz w:val="24"/>
        </w:rPr>
        <w:t>与评审委员会并无义务必须接受最低报价的投标或其它任何投标，完全理解采购代理机构拒绝迟到的任何投标和最低投标报价不是被授予中标的唯一条件。</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 xml:space="preserve">如果我们未对招标文件全部要求作出实质性响应，则完全同意并接受按无效投标处理。 </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本单位（公司）（企业）承担。</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如果我们提供的声明或承诺不真实，则完全同意认定为我司提供虚假材料，并同意作相应处理。</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我们是依法注册的法人，在法律、财务及运作上完全独立于本项目采购人、用户单位（如有）和采购代理机构。</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与本投标有关的一切正式信函请寄：</w:t>
      </w:r>
      <w:r>
        <w:rPr>
          <w:rFonts w:ascii="宋体" w:hAnsi="宋体" w:hint="eastAsia"/>
          <w:sz w:val="24"/>
          <w:u w:val="single"/>
        </w:rPr>
        <w:t xml:space="preserve">      地址      </w:t>
      </w:r>
    </w:p>
    <w:p>
      <w:pPr>
        <w:rPr>
          <w:rFonts w:ascii="宋体"/>
          <w:sz w:val="24"/>
        </w:rPr>
      </w:pPr>
    </w:p>
    <w:p>
      <w:pPr>
        <w:rPr>
          <w:color w:val="FF0000"/>
          <w:highlight w:val="yellow"/>
        </w:rPr>
      </w:pPr>
      <w:r>
        <w:rPr>
          <w:rFonts w:ascii="宋体" w:hAnsi="宋体" w:hint="eastAsia"/>
          <w:sz w:val="24"/>
        </w:rPr>
        <w:t>备注：投标函中承诺的投标有效期应当不少于招标文件中载明的投标有效期，其他内容不得擅自删改，否则视为无效投标。</w:t>
      </w:r>
    </w:p>
    <w:p>
      <w:pPr>
        <w:autoSpaceDE w:val="0"/>
        <w:autoSpaceDN w:val="0"/>
        <w:adjustRightInd w:val="0"/>
        <w:spacing w:line="360" w:lineRule="auto"/>
        <w:ind w:left="420" w:firstLine="6"/>
        <w:rPr>
          <w:rFonts w:ascii="宋体" w:hAnsi="宋体"/>
          <w:sz w:val="24"/>
        </w:rPr>
      </w:pPr>
    </w:p>
    <w:p>
      <w:pPr>
        <w:pStyle w:val="PlainText"/>
      </w:pPr>
    </w:p>
    <w:p>
      <w:pPr>
        <w:spacing w:line="360" w:lineRule="auto"/>
        <w:ind w:left="540" w:leftChars="257"/>
        <w:rPr>
          <w:sz w:val="24"/>
          <w:u w:val="single"/>
        </w:rPr>
      </w:pPr>
      <w:r>
        <w:rPr>
          <w:rFonts w:hint="eastAsia"/>
          <w:sz w:val="24"/>
        </w:rPr>
        <w:t>投标人：</w:t>
      </w:r>
      <w:r>
        <w:rPr>
          <w:rFonts w:hint="eastAsia"/>
          <w:sz w:val="24"/>
          <w:u w:val="single"/>
        </w:rPr>
        <w:t xml:space="preserve">                   </w:t>
      </w:r>
      <w:r>
        <w:rPr>
          <w:rFonts w:hint="eastAsia"/>
          <w:sz w:val="24"/>
        </w:rPr>
        <w:t xml:space="preserve">    单位地址：</w:t>
      </w:r>
      <w:r>
        <w:rPr>
          <w:rFonts w:hint="eastAsia"/>
          <w:sz w:val="24"/>
          <w:u w:val="single"/>
        </w:rPr>
        <w:t xml:space="preserve">               </w:t>
      </w:r>
    </w:p>
    <w:p>
      <w:pPr>
        <w:spacing w:line="360" w:lineRule="auto"/>
        <w:ind w:left="540" w:leftChars="257"/>
        <w:rPr>
          <w:sz w:val="24"/>
          <w:u w:val="single"/>
        </w:rPr>
      </w:pPr>
      <w:r>
        <w:rPr>
          <w:rFonts w:hint="eastAsia"/>
          <w:sz w:val="24"/>
        </w:rPr>
        <w:t>法定代表人或其委托代理人：</w:t>
      </w:r>
      <w:r>
        <w:rPr>
          <w:rFonts w:hint="eastAsia"/>
          <w:sz w:val="24"/>
          <w:u w:val="single"/>
        </w:rPr>
        <w:t xml:space="preserve">                   </w:t>
      </w:r>
    </w:p>
    <w:p>
      <w:pPr>
        <w:spacing w:line="360" w:lineRule="auto"/>
        <w:ind w:left="540" w:leftChars="257"/>
        <w:rPr>
          <w:sz w:val="24"/>
          <w:u w:val="single"/>
        </w:rPr>
      </w:pPr>
      <w:r>
        <w:rPr>
          <w:rFonts w:hint="eastAsia"/>
          <w:sz w:val="24"/>
        </w:rPr>
        <w:t>邮政编码：</w:t>
      </w:r>
      <w:r>
        <w:rPr>
          <w:rFonts w:hint="eastAsia"/>
          <w:sz w:val="24"/>
          <w:u w:val="single"/>
        </w:rPr>
        <w:t xml:space="preserve">          </w:t>
      </w:r>
      <w:r>
        <w:rPr>
          <w:rFonts w:hint="eastAsia"/>
          <w:sz w:val="24"/>
        </w:rPr>
        <w:t xml:space="preserve">  电话：</w:t>
      </w:r>
      <w:r>
        <w:rPr>
          <w:rFonts w:hint="eastAsia"/>
          <w:sz w:val="24"/>
          <w:u w:val="single"/>
        </w:rPr>
        <w:t xml:space="preserve">          </w:t>
      </w:r>
      <w:r>
        <w:rPr>
          <w:rFonts w:hint="eastAsia"/>
          <w:sz w:val="24"/>
        </w:rPr>
        <w:t xml:space="preserve">  传真：</w:t>
      </w:r>
      <w:r>
        <w:rPr>
          <w:rFonts w:hint="eastAsia"/>
          <w:sz w:val="24"/>
          <w:u w:val="single"/>
        </w:rPr>
        <w:t xml:space="preserve">            </w:t>
      </w:r>
    </w:p>
    <w:p>
      <w:pPr>
        <w:spacing w:line="360" w:lineRule="auto"/>
        <w:ind w:left="540" w:leftChars="257"/>
        <w:rPr>
          <w:sz w:val="24"/>
        </w:rPr>
      </w:pPr>
      <w:r>
        <w:rPr>
          <w:rFonts w:hint="eastAsia"/>
          <w:sz w:val="24"/>
        </w:rPr>
        <w:t>邮箱：</w:t>
      </w:r>
      <w:r>
        <w:rPr>
          <w:rFonts w:hint="eastAsia"/>
          <w:sz w:val="24"/>
          <w:u w:val="single"/>
        </w:rPr>
        <w:t xml:space="preserve">                   </w:t>
      </w:r>
    </w:p>
    <w:p>
      <w:pPr>
        <w:spacing w:line="360" w:lineRule="auto"/>
        <w:ind w:left="540" w:leftChars="257"/>
        <w:rPr>
          <w:sz w:val="24"/>
        </w:rPr>
      </w:pPr>
      <w:r>
        <w:rPr>
          <w:rFonts w:hint="eastAsia"/>
          <w:sz w:val="24"/>
        </w:rPr>
        <w:t>财务负责人或企业负责人的姓名、联系方式：</w:t>
      </w:r>
      <w:r>
        <w:rPr>
          <w:rFonts w:hint="eastAsia"/>
          <w:sz w:val="24"/>
          <w:u w:val="single"/>
        </w:rPr>
        <w:t xml:space="preserve">                   </w:t>
      </w:r>
    </w:p>
    <w:p>
      <w:pPr>
        <w:spacing w:line="360" w:lineRule="auto"/>
        <w:ind w:left="540" w:leftChars="257"/>
        <w:rPr>
          <w:sz w:val="24"/>
        </w:rPr>
      </w:pPr>
      <w:r>
        <w:rPr>
          <w:rFonts w:hint="eastAsia"/>
          <w:sz w:val="24"/>
        </w:rPr>
        <w:t>开户银行名称：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开户银行帐号：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pPr>
        <w:spacing w:line="360" w:lineRule="auto"/>
        <w:ind w:left="540" w:leftChars="257"/>
        <w:rPr>
          <w:sz w:val="24"/>
        </w:rPr>
      </w:pPr>
      <w:r>
        <w:rPr>
          <w:rFonts w:hint="eastAsia"/>
          <w:sz w:val="24"/>
        </w:rPr>
        <w:t>开户银行地址：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开户银行电话：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pPr>
        <w:adjustRightInd w:val="0"/>
        <w:snapToGrid w:val="0"/>
        <w:spacing w:line="360" w:lineRule="auto"/>
        <w:ind w:firstLine="538" w:firstLineChars="256"/>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pPr>
        <w:widowControl/>
        <w:jc w:val="left"/>
        <w:rPr>
          <w:rFonts w:ascii="Arial" w:eastAsia="黑体" w:hAnsi="Arial"/>
          <w:bCs/>
          <w:color w:val="0000FF"/>
          <w:sz w:val="32"/>
          <w:szCs w:val="32"/>
        </w:rPr>
      </w:pPr>
      <w:r>
        <w:rPr>
          <w:b/>
          <w:color w:val="0000FF"/>
        </w:rPr>
        <w:br w:type="page"/>
      </w:r>
    </w:p>
    <w:p>
      <w:pPr>
        <w:pStyle w:val="Heading2"/>
        <w:numPr>
          <w:ilvl w:val="0"/>
          <w:numId w:val="65"/>
        </w:numPr>
        <w:spacing w:line="240" w:lineRule="auto"/>
        <w:jc w:val="center"/>
        <w:rPr>
          <w:bCs w:val="0"/>
        </w:rPr>
      </w:pPr>
      <w:bookmarkEnd w:id="176"/>
      <w:bookmarkEnd w:id="177"/>
      <w:bookmarkEnd w:id="178"/>
      <w:bookmarkStart w:id="181" w:name="_Toc15160"/>
      <w:bookmarkStart w:id="182" w:name="_Toc256000030"/>
      <w:r>
        <w:rPr>
          <w:rFonts w:hint="eastAsia"/>
          <w:bCs w:val="0"/>
        </w:rPr>
        <w:t>政府采购投标及履约承诺函</w:t>
      </w:r>
      <w:bookmarkEnd w:id="182"/>
      <w:bookmarkEnd w:id="181"/>
    </w:p>
    <w:p>
      <w:pPr>
        <w:adjustRightInd w:val="0"/>
        <w:snapToGrid w:val="0"/>
        <w:spacing w:line="360" w:lineRule="auto"/>
        <w:rPr>
          <w:b/>
          <w:sz w:val="24"/>
        </w:rPr>
      </w:pPr>
      <w:r>
        <w:rPr>
          <w:rFonts w:hint="eastAsia"/>
          <w:b/>
          <w:sz w:val="24"/>
        </w:rPr>
        <w:t>采联国际招标采购集团有限公司：</w:t>
      </w:r>
    </w:p>
    <w:p>
      <w:pPr>
        <w:ind w:right="-815" w:firstLine="420" w:firstLineChars="200"/>
        <w:rPr>
          <w:rFonts w:ascii="宋体" w:hAnsi="宋体"/>
          <w:sz w:val="24"/>
        </w:rPr>
      </w:pPr>
      <w:r>
        <w:rPr>
          <w:rFonts w:ascii="宋体" w:hAnsi="宋体" w:hint="eastAsia"/>
          <w:sz w:val="24"/>
        </w:rPr>
        <w:t>本单位（公司）承诺：</w:t>
      </w:r>
    </w:p>
    <w:p>
      <w:pPr>
        <w:pStyle w:val="ListParagraph"/>
        <w:numPr>
          <w:ilvl w:val="3"/>
          <w:numId w:val="69"/>
        </w:numPr>
        <w:ind w:left="709" w:hanging="283" w:firstLineChars="0"/>
        <w:rPr>
          <w:rFonts w:ascii="宋体" w:hAnsi="宋体"/>
          <w:sz w:val="24"/>
        </w:rPr>
      </w:pPr>
      <w:r>
        <w:rPr>
          <w:rFonts w:ascii="宋体" w:hAnsi="宋体" w:hint="eastAsia"/>
          <w:sz w:val="24"/>
        </w:rPr>
        <w:t>本单位（公司）本招标项目所提供的货物或服务未侵犯知识产权。</w:t>
      </w:r>
    </w:p>
    <w:p>
      <w:pPr>
        <w:pStyle w:val="ListParagraph"/>
        <w:numPr>
          <w:ilvl w:val="3"/>
          <w:numId w:val="69"/>
        </w:numPr>
        <w:ind w:left="709" w:hanging="283" w:firstLineChars="0"/>
        <w:rPr>
          <w:rFonts w:ascii="宋体" w:hAnsi="宋体"/>
          <w:sz w:val="24"/>
        </w:rPr>
      </w:pPr>
      <w:r>
        <w:rPr>
          <w:rFonts w:ascii="宋体" w:hAnsi="宋体" w:cs="宋体" w:hint="eastAsia"/>
          <w:kern w:val="0"/>
          <w:sz w:val="24"/>
        </w:rPr>
        <w:t>具有履行合同所必需的设备和专业技术能力；</w:t>
      </w:r>
    </w:p>
    <w:p>
      <w:pPr>
        <w:pStyle w:val="ListParagraph"/>
        <w:numPr>
          <w:ilvl w:val="3"/>
          <w:numId w:val="69"/>
        </w:numPr>
        <w:ind w:left="709" w:hanging="283" w:firstLineChars="0"/>
        <w:rPr>
          <w:rFonts w:ascii="宋体" w:hAnsi="宋体"/>
          <w:sz w:val="24"/>
        </w:rPr>
      </w:pPr>
      <w:r>
        <w:rPr>
          <w:rFonts w:ascii="宋体" w:hAnsi="宋体" w:hint="eastAsia"/>
          <w:sz w:val="24"/>
        </w:rPr>
        <w:t>本单位（公司）参与本项目投标前三年内，在经营活动中没有重大违法记录</w:t>
      </w:r>
      <w:r>
        <w:rPr>
          <w:rFonts w:asciiTheme="minorEastAsia" w:eastAsiaTheme="minorEastAsia" w:hAnsiTheme="minorEastAsia" w:hint="eastAsia"/>
          <w:sz w:val="24"/>
        </w:rPr>
        <w:t>。</w:t>
      </w:r>
    </w:p>
    <w:p>
      <w:pPr>
        <w:pStyle w:val="ListParagraph"/>
        <w:numPr>
          <w:ilvl w:val="3"/>
          <w:numId w:val="69"/>
        </w:numPr>
        <w:ind w:left="709" w:hanging="283" w:firstLineChars="0"/>
        <w:rPr>
          <w:rFonts w:ascii="宋体" w:hAnsi="宋体"/>
          <w:sz w:val="24"/>
        </w:rPr>
      </w:pPr>
      <w:r>
        <w:rPr>
          <w:rFonts w:ascii="宋体" w:hAnsi="宋体" w:hint="eastAsia"/>
          <w:sz w:val="24"/>
        </w:rPr>
        <w:t>本单位（公司）参与本项目</w:t>
      </w:r>
      <w:r>
        <w:rPr>
          <w:rFonts w:hint="eastAsia"/>
          <w:sz w:val="24"/>
        </w:rPr>
        <w:t>政府采购活动时不存在被有关部门禁止参与政府采购活动且在有效期内的情况。</w:t>
      </w:r>
    </w:p>
    <w:p>
      <w:pPr>
        <w:pStyle w:val="ListParagraph"/>
        <w:numPr>
          <w:ilvl w:val="3"/>
          <w:numId w:val="69"/>
        </w:numPr>
        <w:ind w:left="709" w:hanging="283" w:firstLineChars="0"/>
        <w:rPr>
          <w:rFonts w:ascii="宋体" w:hAnsi="宋体"/>
          <w:sz w:val="24"/>
        </w:rPr>
      </w:pPr>
      <w:r>
        <w:rPr>
          <w:rFonts w:ascii="宋体" w:hAnsi="宋体" w:cs="宋体" w:hint="eastAsia"/>
          <w:kern w:val="0"/>
          <w:sz w:val="24"/>
        </w:rPr>
        <w:t>法律、行政法规规定的其他条件。</w:t>
      </w:r>
    </w:p>
    <w:p>
      <w:pPr>
        <w:pStyle w:val="ListParagraph"/>
        <w:numPr>
          <w:ilvl w:val="3"/>
          <w:numId w:val="69"/>
        </w:numPr>
        <w:ind w:left="709" w:hanging="283" w:firstLineChars="0"/>
        <w:rPr>
          <w:rFonts w:ascii="宋体" w:hAnsi="宋体"/>
          <w:sz w:val="24"/>
        </w:rPr>
      </w:pPr>
      <w:r>
        <w:rPr>
          <w:rFonts w:ascii="宋体" w:hAnsi="宋体" w:hint="eastAsia"/>
          <w:sz w:val="24"/>
        </w:rPr>
        <w:t>本单位（公司）具备《中华人民共和国政府采购法》第二十二条第一款规定的六项条件。</w:t>
      </w:r>
    </w:p>
    <w:p>
      <w:pPr>
        <w:pStyle w:val="ListParagraph"/>
        <w:numPr>
          <w:ilvl w:val="3"/>
          <w:numId w:val="69"/>
        </w:numPr>
        <w:ind w:left="709" w:hanging="283" w:firstLineChars="0"/>
        <w:rPr>
          <w:sz w:val="24"/>
        </w:rPr>
      </w:pPr>
      <w:r>
        <w:rPr>
          <w:rFonts w:ascii="宋体" w:hAnsi="宋体" w:hint="eastAsia"/>
          <w:sz w:val="24"/>
        </w:rPr>
        <w:t>本单位（公司）</w:t>
      </w:r>
      <w:r>
        <w:rPr>
          <w:rFonts w:hint="eastAsia"/>
          <w:sz w:val="24"/>
        </w:rPr>
        <w:t>未被列入失信被执行人、</w:t>
      </w:r>
      <w:r>
        <w:rPr>
          <w:sz w:val="24"/>
        </w:rPr>
        <w:t>重大税收违法案件当事人名单（税收违法黑名单）</w:t>
      </w:r>
      <w:r>
        <w:rPr>
          <w:rFonts w:hint="eastAsia"/>
          <w:sz w:val="24"/>
        </w:rPr>
        <w:t>、政府采购严重违法失信行为记录名单。</w:t>
      </w:r>
    </w:p>
    <w:p>
      <w:pPr>
        <w:pStyle w:val="ListParagraph"/>
        <w:numPr>
          <w:ilvl w:val="3"/>
          <w:numId w:val="69"/>
        </w:numPr>
        <w:ind w:left="709" w:hanging="283" w:firstLineChars="0"/>
        <w:rPr>
          <w:rFonts w:ascii="宋体" w:hAnsi="宋体"/>
          <w:sz w:val="24"/>
        </w:rPr>
      </w:pPr>
      <w:r>
        <w:rPr>
          <w:rFonts w:ascii="宋体" w:hAnsi="宋体" w:hint="eastAsia"/>
          <w:sz w:val="24"/>
        </w:rPr>
        <w:t>本单位（公司）及附属机构，并非受托为本项目同一合同项下或者其中分项目的前期工作提供设计、编制规范、进行管理等服务的供应商。（适用于信息系统建设项目）</w:t>
      </w:r>
    </w:p>
    <w:p>
      <w:pPr>
        <w:pStyle w:val="ListParagraph"/>
        <w:numPr>
          <w:ilvl w:val="3"/>
          <w:numId w:val="69"/>
        </w:numPr>
        <w:ind w:left="709" w:hanging="283" w:firstLineChars="0"/>
        <w:rPr>
          <w:rFonts w:ascii="宋体" w:hAnsi="宋体"/>
          <w:sz w:val="24"/>
        </w:rPr>
      </w:pPr>
      <w:r>
        <w:rPr>
          <w:rFonts w:ascii="宋体" w:hAnsi="宋体" w:hint="eastAsia"/>
          <w:sz w:val="24"/>
        </w:rPr>
        <w:t>本单位（公司）没有为采购项目同一合同项下提供整体设计、规范编制或者项目管理、监理、检测等服务。</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本单位（公司）承诺如与本项目同一合同项下其他投标人的单位负责人为同一人或者存在直接控股、管理关系的情形，同意按投标无效处理。</w:t>
      </w:r>
    </w:p>
    <w:p>
      <w:pPr>
        <w:pStyle w:val="ListParagraph"/>
        <w:numPr>
          <w:ilvl w:val="3"/>
          <w:numId w:val="69"/>
        </w:numPr>
        <w:ind w:left="709" w:hanging="283" w:firstLineChars="0"/>
        <w:rPr>
          <w:rFonts w:ascii="宋体" w:hAnsi="宋体"/>
          <w:sz w:val="24"/>
        </w:rPr>
      </w:pPr>
      <w:r>
        <w:rPr>
          <w:rFonts w:ascii="宋体" w:hAnsi="宋体" w:hint="eastAsia"/>
          <w:sz w:val="24"/>
        </w:rPr>
        <w:t>本单位（公司）参与该项目投标，严格遵循公平竞争的原则，不恶意串通，不妨碍其他投标人的竞争行为，不损害采购人或者其他投标人的合法权益。本单位（公司）已清楚，如违反上述要求，将作投标无效处理。</w:t>
      </w:r>
    </w:p>
    <w:p>
      <w:pPr>
        <w:pStyle w:val="ListParagraph"/>
        <w:numPr>
          <w:ilvl w:val="3"/>
          <w:numId w:val="69"/>
        </w:numPr>
        <w:ind w:left="709" w:hanging="283" w:firstLineChars="0"/>
        <w:rPr>
          <w:rFonts w:ascii="宋体" w:hAnsi="宋体"/>
          <w:sz w:val="24"/>
        </w:rPr>
      </w:pPr>
      <w:r>
        <w:rPr>
          <w:rFonts w:ascii="宋体" w:hAnsi="宋体" w:hint="eastAsia"/>
          <w:sz w:val="24"/>
        </w:rPr>
        <w:t>本单位（公司）如果中标，做到守信，不偷工减料，依照本项目招标文件需求内容、签署的采购合同及本公司在投标中所作的一切承诺履约。</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本项目的报价不低于本单位（公司）的成本价，否则，本单位（公司）清楚将面临投标无效的风险；本单位（公司）承诺不恶意低价谋取中标；本单位（公司）对本项目的报价负责，中标后将严格按照本项目招标文件需求、签署的采购合同及本单位（公司）在投标中所作的全部承诺履行。本单位（公司）清楚，若本单位（公司）以“报价太低而无法履约”为理由放弃本项目中标资格时，愿意接受主管部门的处理处罚。若本单位（公司）中标本项目，本单位（公司）的报价明显低于其他投标人的报价时，本单位（公司）清楚，本项目将成为重点监管、重点验收项目，本单位（公司）将按时保质保量完成，并全力配合有关监管、验收工作；若本单位（公司）未按上述要求履约，本单位（公司）愿意接受主管部门的处理处罚。</w:t>
      </w:r>
    </w:p>
    <w:p>
      <w:pPr>
        <w:pStyle w:val="ListParagraph"/>
        <w:numPr>
          <w:ilvl w:val="3"/>
          <w:numId w:val="69"/>
        </w:numPr>
        <w:ind w:left="709" w:hanging="283" w:firstLineChars="0"/>
        <w:rPr>
          <w:rFonts w:ascii="宋体" w:hAnsi="宋体"/>
          <w:sz w:val="24"/>
        </w:rPr>
      </w:pPr>
      <w:r>
        <w:rPr>
          <w:rFonts w:ascii="宋体" w:hAnsi="宋体" w:hint="eastAsia"/>
          <w:sz w:val="24"/>
        </w:rPr>
        <w:t>本单位（公司）已认真核实了投标文件的全部内容，所有资料均为真实资料。本单位（公司）对投标文件中全部投标资料的真实性负责，如被证实本单位（公司）的投标文件中存在虚假资料的，则视为本单位（公司）隐瞒真实情况、提供虚假资料，本单位（公司）愿意接受主管部门作出的行政处罚。</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本单位（公司）承诺不非法转包、分包。</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本单位（公司）承诺所投标（响应）的货物、工程或服务，不存在侵犯知识产权的情况；已知悉并同意中标（成交）结果信息公示（公开）的内容。</w:t>
      </w:r>
    </w:p>
    <w:p>
      <w:pPr>
        <w:ind w:firstLine="420" w:firstLineChars="200"/>
        <w:rPr>
          <w:rFonts w:ascii="宋体" w:hAnsi="宋体"/>
          <w:sz w:val="24"/>
        </w:rPr>
      </w:pPr>
      <w:r>
        <w:rPr>
          <w:rFonts w:ascii="宋体" w:hAnsi="宋体" w:hint="eastAsia"/>
          <w:sz w:val="24"/>
        </w:rPr>
        <w:t>以上承诺，如有违反，愿依照国家相关法律处理，并承担由此给采购人带来的损失。</w:t>
      </w:r>
    </w:p>
    <w:p>
      <w:pPr>
        <w:rPr>
          <w:sz w:val="24"/>
        </w:rPr>
      </w:pPr>
      <w:r>
        <w:rPr>
          <w:rFonts w:hint="eastAsia"/>
          <w:sz w:val="24"/>
        </w:rPr>
        <w:t xml:space="preserve">                                                 </w:t>
      </w:r>
    </w:p>
    <w:p>
      <w:pPr>
        <w:adjustRightInd w:val="0"/>
        <w:snapToGrid w:val="0"/>
        <w:spacing w:line="360" w:lineRule="auto"/>
        <w:jc w:val="center"/>
        <w:rPr>
          <w:sz w:val="24"/>
        </w:rPr>
      </w:pPr>
      <w:r>
        <w:rPr>
          <w:rFonts w:hint="eastAsia"/>
          <w:sz w:val="24"/>
        </w:rPr>
        <w:t xml:space="preserve">                            </w:t>
      </w:r>
    </w:p>
    <w:p>
      <w:pPr>
        <w:adjustRightInd w:val="0"/>
        <w:snapToGrid w:val="0"/>
        <w:spacing w:line="360" w:lineRule="auto"/>
        <w:jc w:val="center"/>
        <w:rPr>
          <w:sz w:val="24"/>
        </w:rPr>
      </w:pPr>
      <w:r>
        <w:rPr>
          <w:rFonts w:hint="eastAsia"/>
          <w:sz w:val="24"/>
        </w:rPr>
        <w:t xml:space="preserve">                            投标人名称：</w:t>
      </w:r>
      <w:r>
        <w:rPr>
          <w:sz w:val="24"/>
        </w:rPr>
        <w:t xml:space="preserve"> </w:t>
      </w:r>
    </w:p>
    <w:p>
      <w:pPr>
        <w:adjustRightInd w:val="0"/>
        <w:snapToGrid w:val="0"/>
        <w:spacing w:line="360" w:lineRule="auto"/>
        <w:jc w:val="center"/>
        <w:rPr>
          <w:sz w:val="24"/>
        </w:rPr>
      </w:pPr>
      <w:r>
        <w:rPr>
          <w:rFonts w:hint="eastAsia"/>
          <w:sz w:val="24"/>
        </w:rPr>
        <w:t xml:space="preserve">                      日期：</w:t>
      </w:r>
    </w:p>
    <w:p>
      <w:pPr>
        <w:adjustRightInd w:val="0"/>
        <w:snapToGrid w:val="0"/>
        <w:spacing w:line="360" w:lineRule="auto"/>
        <w:ind w:right="960" w:firstLine="5670" w:firstLineChars="2700"/>
        <w:rPr>
          <w:sz w:val="24"/>
        </w:rPr>
      </w:pPr>
      <w:r>
        <w:rPr>
          <w:rFonts w:hint="eastAsia"/>
          <w:sz w:val="24"/>
        </w:rPr>
        <w:t xml:space="preserve">                                                </w:t>
      </w:r>
    </w:p>
    <w:p>
      <w:pPr>
        <w:widowControl/>
        <w:jc w:val="left"/>
      </w:pPr>
      <w:r>
        <w:rPr>
          <w:rFonts w:hint="eastAsia"/>
        </w:rPr>
        <w:br w:type="page"/>
      </w:r>
    </w:p>
    <w:p>
      <w:pPr>
        <w:pStyle w:val="Heading2"/>
        <w:numPr>
          <w:ilvl w:val="0"/>
          <w:numId w:val="65"/>
        </w:numPr>
        <w:spacing w:line="240" w:lineRule="auto"/>
        <w:jc w:val="center"/>
        <w:rPr>
          <w:bCs w:val="0"/>
        </w:rPr>
      </w:pPr>
      <w:bookmarkStart w:id="183" w:name="_Toc8544"/>
      <w:bookmarkStart w:id="184" w:name="_Toc256000031"/>
      <w:r>
        <w:rPr>
          <w:rFonts w:hint="eastAsia"/>
          <w:bCs w:val="0"/>
        </w:rPr>
        <w:t>公章对投标专用章授权说明（如有）</w:t>
      </w:r>
      <w:bookmarkEnd w:id="184"/>
      <w:bookmarkEnd w:id="183"/>
    </w:p>
    <w:p>
      <w:pPr>
        <w:snapToGrid w:val="0"/>
        <w:spacing w:line="360" w:lineRule="auto"/>
        <w:rPr>
          <w:rFonts w:ascii="宋体" w:hAnsi="宋体"/>
          <w:sz w:val="24"/>
        </w:rPr>
      </w:pPr>
      <w:r>
        <w:rPr>
          <w:rFonts w:ascii="宋体" w:hAnsi="宋体" w:hint="eastAsia"/>
          <w:b/>
          <w:sz w:val="24"/>
        </w:rPr>
        <w:t>采联国际招标采购集团有限公司：</w:t>
      </w:r>
    </w:p>
    <w:p>
      <w:pPr>
        <w:snapToGrid w:val="0"/>
        <w:spacing w:line="360" w:lineRule="auto"/>
        <w:ind w:firstLine="496" w:firstLineChars="236"/>
        <w:rPr>
          <w:rFonts w:ascii="宋体" w:hAnsi="宋体"/>
          <w:sz w:val="24"/>
        </w:rPr>
      </w:pPr>
      <w:r>
        <w:rPr>
          <w:rFonts w:ascii="宋体" w:hAnsi="宋体" w:hint="eastAsia"/>
          <w:sz w:val="24"/>
        </w:rPr>
        <w:t>本单位</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（投标人名称）  </w:t>
      </w:r>
      <w:r>
        <w:rPr>
          <w:rFonts w:ascii="宋体" w:hAnsi="宋体" w:hint="eastAsia"/>
          <w:sz w:val="24"/>
        </w:rPr>
        <w:t>参加</w:t>
      </w:r>
      <w:r>
        <w:rPr>
          <w:rFonts w:ascii="宋体" w:hAnsi="宋体" w:hint="eastAsia"/>
          <w:sz w:val="24"/>
          <w:u w:val="single"/>
          <w:lang w:eastAsia="zh-CN"/>
        </w:rPr>
        <w:t>智能计算与系统-高级白盒可编程路由器</w:t>
      </w:r>
      <w:r>
        <w:rPr>
          <w:rFonts w:ascii="宋体" w:hAnsi="宋体" w:hint="eastAsia"/>
          <w:sz w:val="24"/>
          <w:u w:val="single"/>
        </w:rPr>
        <w:t>（</w:t>
      </w:r>
      <w:r>
        <w:rPr>
          <w:rFonts w:ascii="宋体" w:hAnsi="宋体" w:hint="eastAsia"/>
          <w:sz w:val="24"/>
          <w:u w:val="single"/>
          <w:lang w:eastAsia="zh-CN"/>
        </w:rPr>
        <w:t>SZDL2023001961（CLF0123SZ17ZC27）</w:t>
      </w:r>
      <w:r>
        <w:rPr>
          <w:rFonts w:ascii="宋体" w:hAnsi="宋体" w:hint="eastAsia"/>
          <w:sz w:val="24"/>
          <w:u w:val="single"/>
        </w:rPr>
        <w:t>）</w:t>
      </w:r>
      <w:r>
        <w:rPr>
          <w:rFonts w:ascii="宋体" w:hAnsi="宋体" w:hint="eastAsia"/>
          <w:sz w:val="24"/>
        </w:rPr>
        <w:t>的采购活动，在此作如下说明：</w:t>
      </w:r>
    </w:p>
    <w:p>
      <w:pPr>
        <w:snapToGrid w:val="0"/>
        <w:spacing w:line="360" w:lineRule="auto"/>
        <w:ind w:firstLine="496" w:firstLineChars="236"/>
        <w:rPr>
          <w:rFonts w:ascii="宋体" w:hAnsi="宋体"/>
          <w:sz w:val="24"/>
        </w:rPr>
      </w:pPr>
      <w:r>
        <w:rPr>
          <w:rFonts w:ascii="宋体" w:hAnsi="宋体" w:hint="eastAsia"/>
          <w:sz w:val="24"/>
        </w:rPr>
        <w:t>在此次采购活动中，我单位所使用的“投标专用章”与我单位公章具有同等的法律效力，我单位对所使用“投标专用章”的行为和相应责任予以完全承认。</w:t>
      </w:r>
    </w:p>
    <w:p>
      <w:pPr>
        <w:snapToGrid w:val="0"/>
        <w:spacing w:line="360" w:lineRule="auto"/>
        <w:ind w:firstLine="496" w:firstLineChars="236"/>
        <w:rPr>
          <w:rFonts w:ascii="宋体" w:hAnsi="宋体"/>
          <w:sz w:val="24"/>
        </w:rPr>
      </w:pPr>
      <w:r>
        <w:rPr>
          <w:rFonts w:ascii="宋体" w:hAnsi="宋体" w:hint="eastAsia"/>
          <w:sz w:val="24"/>
        </w:rPr>
        <w:t>特此说明。</w:t>
      </w:r>
    </w:p>
    <w:p>
      <w:pPr>
        <w:snapToGrid w:val="0"/>
        <w:spacing w:line="360" w:lineRule="auto"/>
        <w:rPr>
          <w:rFonts w:ascii="宋体" w:hAnsi="宋体"/>
          <w:sz w:val="24"/>
        </w:rPr>
      </w:pPr>
    </w:p>
    <w:p>
      <w:pPr>
        <w:snapToGrid w:val="0"/>
        <w:spacing w:line="360" w:lineRule="auto"/>
        <w:rPr>
          <w:rFonts w:ascii="宋体" w:hAnsi="宋体"/>
          <w:b/>
          <w:bCs/>
          <w:sz w:val="24"/>
        </w:rPr>
      </w:pPr>
    </w:p>
    <w:p>
      <w:pPr>
        <w:snapToGrid w:val="0"/>
        <w:spacing w:line="360" w:lineRule="auto"/>
        <w:rPr>
          <w:rFonts w:ascii="宋体" w:hAnsi="宋体"/>
          <w:sz w:val="24"/>
          <w:u w:val="single"/>
        </w:rPr>
      </w:pPr>
      <w:r>
        <w:rPr>
          <w:rFonts w:ascii="宋体" w:hAnsi="宋体" w:hint="eastAsia"/>
          <w:sz w:val="24"/>
        </w:rPr>
        <w:t>投标人名称（单位盖公章）：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pPr>
        <w:snapToGrid w:val="0"/>
        <w:spacing w:line="360" w:lineRule="auto"/>
        <w:rPr>
          <w:rFonts w:ascii="宋体" w:hAnsi="宋体"/>
          <w:sz w:val="24"/>
        </w:rPr>
      </w:pPr>
      <w:r>
        <w:rPr>
          <w:rFonts w:ascii="宋体" w:hAnsi="宋体" w:hint="eastAsia"/>
          <w:sz w:val="24"/>
        </w:rPr>
        <w:t>单位注册地址：</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pPr>
        <w:snapToGrid w:val="0"/>
        <w:spacing w:line="360" w:lineRule="auto"/>
        <w:rPr>
          <w:rFonts w:ascii="宋体" w:hAnsi="宋体"/>
          <w:sz w:val="24"/>
        </w:rPr>
      </w:pPr>
      <w:r>
        <w:rPr>
          <w:rFonts w:ascii="宋体" w:hAnsi="宋体" w:hint="eastAsia"/>
          <w:sz w:val="24"/>
        </w:rPr>
        <w:t>法定代表人</w:t>
      </w:r>
      <w:r>
        <w:rPr>
          <w:rFonts w:ascii="宋体" w:hint="eastAsia"/>
          <w:sz w:val="24"/>
        </w:rPr>
        <w:t>或</w:t>
      </w:r>
      <w:r>
        <w:rPr>
          <w:rFonts w:ascii="宋体" w:hAnsi="宋体" w:hint="eastAsia"/>
          <w:sz w:val="24"/>
        </w:rPr>
        <w:t>投标人授权代表（签名或盖个人名章）：</w:t>
      </w:r>
      <w:r>
        <w:rPr>
          <w:rFonts w:ascii="宋体" w:hAnsi="宋体" w:hint="eastAsia"/>
          <w:sz w:val="24"/>
          <w:u w:val="single"/>
        </w:rPr>
        <w:t xml:space="preserve"> </w:t>
      </w:r>
      <w:r>
        <w:rPr>
          <w:rFonts w:ascii="宋体" w:hAnsi="宋体"/>
          <w:sz w:val="24"/>
          <w:u w:val="single"/>
        </w:rPr>
        <w:t xml:space="preserve">                      </w:t>
      </w:r>
    </w:p>
    <w:p>
      <w:pPr>
        <w:snapToGrid w:val="0"/>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我单位投标专用章样式如下：</w:t>
      </w:r>
    </w:p>
    <w:tbl>
      <w:tblPr>
        <w:tblStyle w:val="TableGrid"/>
        <w:tblW w:w="91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125"/>
      </w:tblGrid>
      <w:tr>
        <w:tblPrEx>
          <w:tblW w:w="91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66"/>
        </w:trPr>
        <w:tc>
          <w:tcPr>
            <w:tcW w:w="9125" w:type="dxa"/>
          </w:tcPr>
          <w:p>
            <w:pPr>
              <w:keepNext w:val="0"/>
              <w:keepLines w:val="0"/>
              <w:suppressLineNumbers w:val="0"/>
              <w:spacing w:before="0" w:beforeAutospacing="0" w:after="0" w:afterAutospacing="0" w:line="400" w:lineRule="exact"/>
              <w:ind w:left="0" w:right="0"/>
              <w:rPr>
                <w:rFonts w:ascii="宋体" w:hAnsi="宋体" w:hint="default"/>
                <w:b/>
                <w:bCs/>
                <w:szCs w:val="21"/>
              </w:rPr>
            </w:pPr>
          </w:p>
        </w:tc>
      </w:tr>
    </w:tbl>
    <w:p/>
    <w:p>
      <w:pPr>
        <w:pStyle w:val="Heading2"/>
        <w:numPr>
          <w:ilvl w:val="0"/>
          <w:numId w:val="65"/>
        </w:numPr>
        <w:spacing w:line="240" w:lineRule="auto"/>
        <w:jc w:val="center"/>
        <w:rPr>
          <w:bCs w:val="0"/>
        </w:rPr>
      </w:pPr>
      <w:bookmarkStart w:id="185" w:name="_Toc8224"/>
      <w:bookmarkStart w:id="186" w:name="_Toc256000032"/>
      <w:r>
        <w:rPr>
          <w:rFonts w:hint="eastAsia"/>
          <w:bCs w:val="0"/>
        </w:rPr>
        <w:t>主要股东或出资人信息</w:t>
      </w:r>
      <w:bookmarkEnd w:id="186"/>
      <w:bookmarkEnd w:id="185"/>
    </w:p>
    <w:p>
      <w:pPr>
        <w:tabs>
          <w:tab w:val="left" w:pos="7740"/>
        </w:tabs>
        <w:adjustRightInd w:val="0"/>
        <w:snapToGrid w:val="0"/>
        <w:spacing w:line="360" w:lineRule="auto"/>
        <w:rPr>
          <w:rFonts w:ascii="宋体" w:eastAsia="宋体" w:hAnsi="宋体" w:hint="eastAsia"/>
          <w:sz w:val="24"/>
          <w:lang w:eastAsia="zh-CN"/>
        </w:rPr>
      </w:pPr>
      <w:r>
        <w:rPr>
          <w:rFonts w:ascii="宋体" w:hAnsi="宋体" w:hint="eastAsia"/>
          <w:sz w:val="24"/>
        </w:rPr>
        <w:t>项目名称：</w:t>
      </w:r>
      <w:r>
        <w:rPr>
          <w:rFonts w:ascii="宋体" w:hAnsi="宋体" w:hint="eastAsia"/>
          <w:sz w:val="24"/>
          <w:lang w:eastAsia="zh-CN"/>
        </w:rPr>
        <w:t>智能计算与系统-高级白盒可编程路由器</w:t>
      </w:r>
    </w:p>
    <w:tbl>
      <w:tblPr>
        <w:tblStyle w:val="TableGrid"/>
        <w:tblW w:w="93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1"/>
        <w:gridCol w:w="1513"/>
        <w:gridCol w:w="2411"/>
        <w:gridCol w:w="1849"/>
        <w:gridCol w:w="1404"/>
        <w:gridCol w:w="1118"/>
      </w:tblGrid>
      <w:tr>
        <w:tblPrEx>
          <w:tblW w:w="93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76"/>
        </w:trPr>
        <w:tc>
          <w:tcPr>
            <w:tcW w:w="1101" w:type="dxa"/>
            <w:tcBorders>
              <w:top w:val="single" w:sz="12" w:space="0" w:color="auto"/>
              <w:left w:val="single" w:sz="12" w:space="0" w:color="auto"/>
            </w:tcBorders>
            <w:vAlign w:val="center"/>
          </w:tcPr>
          <w:p>
            <w:pPr>
              <w:keepNext w:val="0"/>
              <w:keepLines w:val="0"/>
              <w:suppressLineNumbers w:val="0"/>
              <w:adjustRightInd w:val="0"/>
              <w:snapToGrid w:val="0"/>
              <w:spacing w:before="0" w:beforeAutospacing="0" w:after="0" w:afterAutospacing="0"/>
              <w:ind w:left="0" w:right="0"/>
              <w:jc w:val="center"/>
              <w:rPr>
                <w:rFonts w:ascii="宋体" w:hAnsi="宋体" w:cs="Arial" w:hint="default"/>
                <w:kern w:val="0"/>
                <w:sz w:val="24"/>
              </w:rPr>
            </w:pPr>
            <w:r>
              <w:rPr>
                <w:rFonts w:ascii="宋体" w:hAnsi="宋体" w:cs="Arial" w:hint="eastAsia"/>
                <w:kern w:val="0"/>
                <w:sz w:val="24"/>
              </w:rPr>
              <w:t>序号</w:t>
            </w:r>
          </w:p>
        </w:tc>
        <w:tc>
          <w:tcPr>
            <w:tcW w:w="1513" w:type="dxa"/>
            <w:tcBorders>
              <w:top w:val="single" w:sz="12" w:space="0" w:color="auto"/>
            </w:tcBorders>
            <w:vAlign w:val="center"/>
          </w:tcPr>
          <w:p>
            <w:pPr>
              <w:keepNext w:val="0"/>
              <w:keepLines w:val="0"/>
              <w:suppressLineNumbers w:val="0"/>
              <w:adjustRightInd w:val="0"/>
              <w:snapToGrid w:val="0"/>
              <w:spacing w:before="0" w:beforeAutospacing="0" w:after="0" w:afterAutospacing="0"/>
              <w:ind w:left="0" w:right="0"/>
              <w:jc w:val="center"/>
              <w:rPr>
                <w:rFonts w:ascii="宋体" w:hAnsi="宋体" w:cs="Arial" w:hint="default"/>
                <w:kern w:val="0"/>
                <w:sz w:val="24"/>
              </w:rPr>
            </w:pPr>
            <w:r>
              <w:rPr>
                <w:rFonts w:ascii="宋体" w:hAnsi="宋体" w:cs="Arial" w:hint="eastAsia"/>
                <w:kern w:val="0"/>
                <w:sz w:val="24"/>
              </w:rPr>
              <w:t>名称</w:t>
            </w:r>
          </w:p>
          <w:p>
            <w:pPr>
              <w:keepNext w:val="0"/>
              <w:keepLines w:val="0"/>
              <w:suppressLineNumbers w:val="0"/>
              <w:adjustRightInd w:val="0"/>
              <w:snapToGrid w:val="0"/>
              <w:spacing w:before="0" w:beforeAutospacing="0" w:after="0" w:afterAutospacing="0"/>
              <w:ind w:left="0" w:right="0"/>
              <w:jc w:val="center"/>
              <w:rPr>
                <w:rFonts w:ascii="宋体" w:hAnsi="宋体" w:cs="Arial" w:hint="default"/>
                <w:kern w:val="0"/>
                <w:sz w:val="24"/>
              </w:rPr>
            </w:pPr>
            <w:r>
              <w:rPr>
                <w:rFonts w:ascii="宋体" w:hAnsi="宋体" w:cs="Arial" w:hint="eastAsia"/>
                <w:kern w:val="0"/>
                <w:sz w:val="24"/>
              </w:rPr>
              <w:t>（姓名）</w:t>
            </w:r>
          </w:p>
        </w:tc>
        <w:tc>
          <w:tcPr>
            <w:tcW w:w="2411" w:type="dxa"/>
            <w:tcBorders>
              <w:top w:val="single" w:sz="12" w:space="0" w:color="auto"/>
              <w:right w:val="single" w:sz="6" w:space="0" w:color="auto"/>
            </w:tcBorders>
            <w:vAlign w:val="center"/>
          </w:tcPr>
          <w:p>
            <w:pPr>
              <w:keepNext w:val="0"/>
              <w:keepLines w:val="0"/>
              <w:suppressLineNumbers w:val="0"/>
              <w:adjustRightInd w:val="0"/>
              <w:snapToGrid w:val="0"/>
              <w:spacing w:before="0" w:beforeAutospacing="0" w:after="0" w:afterAutospacing="0"/>
              <w:ind w:left="0" w:right="0"/>
              <w:jc w:val="center"/>
              <w:rPr>
                <w:rFonts w:ascii="宋体" w:hAnsi="宋体" w:cs="Arial" w:hint="default"/>
                <w:kern w:val="0"/>
                <w:sz w:val="24"/>
              </w:rPr>
            </w:pPr>
            <w:r>
              <w:rPr>
                <w:rFonts w:ascii="宋体" w:hAnsi="宋体" w:cs="Arial" w:hint="eastAsia"/>
                <w:kern w:val="0"/>
                <w:sz w:val="24"/>
              </w:rPr>
              <w:t>统一社会信息用代码（身份证号）</w:t>
            </w:r>
          </w:p>
        </w:tc>
        <w:tc>
          <w:tcPr>
            <w:tcW w:w="1849" w:type="dxa"/>
            <w:tcBorders>
              <w:top w:val="single" w:sz="12" w:space="0" w:color="auto"/>
              <w:left w:val="single" w:sz="6" w:space="0" w:color="auto"/>
            </w:tcBorders>
            <w:vAlign w:val="center"/>
          </w:tcPr>
          <w:p>
            <w:pPr>
              <w:keepNext w:val="0"/>
              <w:keepLines w:val="0"/>
              <w:suppressLineNumbers w:val="0"/>
              <w:adjustRightInd w:val="0"/>
              <w:snapToGrid w:val="0"/>
              <w:spacing w:before="0" w:beforeAutospacing="0" w:after="0" w:afterAutospacing="0"/>
              <w:ind w:left="0" w:right="0"/>
              <w:jc w:val="center"/>
              <w:rPr>
                <w:rFonts w:ascii="宋体" w:hAnsi="宋体" w:cs="Arial" w:hint="default"/>
                <w:kern w:val="0"/>
                <w:sz w:val="24"/>
              </w:rPr>
            </w:pPr>
            <w:r>
              <w:rPr>
                <w:rFonts w:ascii="宋体" w:hAnsi="宋体" w:cs="Arial" w:hint="eastAsia"/>
                <w:kern w:val="0"/>
                <w:sz w:val="24"/>
              </w:rPr>
              <w:t>出资额</w:t>
            </w:r>
          </w:p>
          <w:p>
            <w:pPr>
              <w:keepNext w:val="0"/>
              <w:keepLines w:val="0"/>
              <w:suppressLineNumbers w:val="0"/>
              <w:adjustRightInd w:val="0"/>
              <w:snapToGrid w:val="0"/>
              <w:spacing w:before="0" w:beforeAutospacing="0" w:after="0" w:afterAutospacing="0"/>
              <w:ind w:left="0" w:right="0"/>
              <w:jc w:val="center"/>
              <w:rPr>
                <w:rFonts w:ascii="宋体" w:hAnsi="宋体" w:cs="Arial" w:hint="default"/>
                <w:kern w:val="0"/>
                <w:sz w:val="24"/>
              </w:rPr>
            </w:pPr>
            <w:r>
              <w:rPr>
                <w:rFonts w:ascii="宋体" w:hAnsi="宋体" w:cs="Arial" w:hint="eastAsia"/>
                <w:kern w:val="0"/>
                <w:sz w:val="24"/>
              </w:rPr>
              <w:t>（人民币 万元）</w:t>
            </w:r>
          </w:p>
        </w:tc>
        <w:tc>
          <w:tcPr>
            <w:tcW w:w="1404" w:type="dxa"/>
            <w:tcBorders>
              <w:top w:val="single" w:sz="12" w:space="0" w:color="auto"/>
            </w:tcBorders>
            <w:vAlign w:val="center"/>
          </w:tcPr>
          <w:p>
            <w:pPr>
              <w:keepNext w:val="0"/>
              <w:keepLines w:val="0"/>
              <w:suppressLineNumbers w:val="0"/>
              <w:adjustRightInd w:val="0"/>
              <w:snapToGrid w:val="0"/>
              <w:spacing w:before="0" w:beforeAutospacing="0" w:after="0" w:afterAutospacing="0"/>
              <w:ind w:left="0" w:right="0"/>
              <w:jc w:val="center"/>
              <w:rPr>
                <w:rFonts w:ascii="宋体" w:hAnsi="宋体" w:cs="Arial" w:hint="default"/>
                <w:kern w:val="0"/>
                <w:sz w:val="24"/>
              </w:rPr>
            </w:pPr>
            <w:r>
              <w:rPr>
                <w:rFonts w:ascii="宋体" w:hAnsi="宋体" w:cs="Arial" w:hint="eastAsia"/>
                <w:kern w:val="0"/>
                <w:sz w:val="24"/>
              </w:rPr>
              <w:t>出资方式</w:t>
            </w:r>
          </w:p>
        </w:tc>
        <w:tc>
          <w:tcPr>
            <w:tcW w:w="1118" w:type="dxa"/>
            <w:tcBorders>
              <w:top w:val="single" w:sz="12" w:space="0" w:color="auto"/>
              <w:left w:val="single" w:sz="6" w:space="0" w:color="auto"/>
              <w:right w:val="single" w:sz="12" w:space="0" w:color="auto"/>
            </w:tcBorders>
            <w:vAlign w:val="center"/>
          </w:tcPr>
          <w:p>
            <w:pPr>
              <w:keepNext w:val="0"/>
              <w:keepLines w:val="0"/>
              <w:suppressLineNumbers w:val="0"/>
              <w:adjustRightInd w:val="0"/>
              <w:snapToGrid w:val="0"/>
              <w:spacing w:before="0" w:beforeAutospacing="0" w:after="0" w:afterAutospacing="0"/>
              <w:ind w:left="0" w:right="0"/>
              <w:jc w:val="center"/>
              <w:rPr>
                <w:rFonts w:ascii="宋体" w:hAnsi="宋体" w:cs="Arial" w:hint="default"/>
                <w:kern w:val="0"/>
                <w:sz w:val="24"/>
              </w:rPr>
            </w:pPr>
            <w:r>
              <w:rPr>
                <w:rFonts w:ascii="宋体" w:hAnsi="宋体" w:cs="Arial" w:hint="eastAsia"/>
                <w:kern w:val="0"/>
                <w:sz w:val="24"/>
              </w:rPr>
              <w:t>占全部股份比例</w:t>
            </w: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tcBorders>
          </w:tcPr>
          <w:p>
            <w:pPr>
              <w:keepNext w:val="0"/>
              <w:keepLines w:val="0"/>
              <w:suppressLineNumbers w:val="0"/>
              <w:spacing w:before="0" w:beforeAutospacing="0" w:after="0" w:afterAutospacing="0"/>
              <w:ind w:left="0" w:right="0"/>
              <w:jc w:val="center"/>
              <w:rPr>
                <w:rFonts w:ascii="宋体" w:hAnsi="宋体" w:cs="Arial" w:hint="default"/>
                <w:kern w:val="0"/>
                <w:sz w:val="24"/>
              </w:rPr>
            </w:pPr>
            <w:r>
              <w:rPr>
                <w:rFonts w:ascii="宋体" w:hAnsi="宋体" w:cs="Arial" w:hint="eastAsia"/>
                <w:kern w:val="0"/>
                <w:sz w:val="24"/>
              </w:rPr>
              <w:t>1</w:t>
            </w:r>
          </w:p>
        </w:tc>
        <w:tc>
          <w:tcPr>
            <w:tcW w:w="1513" w:type="dxa"/>
          </w:tcPr>
          <w:p>
            <w:pPr>
              <w:keepNext w:val="0"/>
              <w:keepLines w:val="0"/>
              <w:suppressLineNumbers w:val="0"/>
              <w:spacing w:before="0" w:beforeAutospacing="0" w:after="0" w:afterAutospacing="0"/>
              <w:ind w:left="0" w:right="0"/>
              <w:jc w:val="center"/>
              <w:rPr>
                <w:rFonts w:ascii="宋体" w:hAnsi="宋体" w:cs="Arial" w:hint="default"/>
                <w:kern w:val="0"/>
                <w:sz w:val="24"/>
              </w:rPr>
            </w:pPr>
          </w:p>
        </w:tc>
        <w:tc>
          <w:tcPr>
            <w:tcW w:w="2411" w:type="dxa"/>
            <w:tcBorders>
              <w:right w:val="single" w:sz="6" w:space="0" w:color="auto"/>
            </w:tcBorders>
          </w:tcPr>
          <w:p>
            <w:pPr>
              <w:keepNext w:val="0"/>
              <w:keepLines w:val="0"/>
              <w:suppressLineNumbers w:val="0"/>
              <w:spacing w:before="0" w:beforeAutospacing="0" w:after="0" w:afterAutospacing="0"/>
              <w:ind w:left="0" w:right="0"/>
              <w:jc w:val="center"/>
              <w:rPr>
                <w:rFonts w:ascii="宋体" w:hAnsi="宋体" w:cs="Arial" w:hint="default"/>
                <w:kern w:val="0"/>
                <w:sz w:val="24"/>
              </w:rPr>
            </w:pPr>
          </w:p>
        </w:tc>
        <w:tc>
          <w:tcPr>
            <w:tcW w:w="1849" w:type="dxa"/>
            <w:tcBorders>
              <w:left w:val="single" w:sz="6" w:space="0" w:color="auto"/>
            </w:tcBorders>
          </w:tcPr>
          <w:p>
            <w:pPr>
              <w:keepNext w:val="0"/>
              <w:keepLines w:val="0"/>
              <w:suppressLineNumbers w:val="0"/>
              <w:spacing w:before="0" w:beforeAutospacing="0" w:after="0" w:afterAutospacing="0"/>
              <w:ind w:left="0" w:right="0"/>
              <w:jc w:val="center"/>
              <w:rPr>
                <w:rFonts w:ascii="宋体" w:hAnsi="宋体" w:cs="Arial" w:hint="default"/>
                <w:kern w:val="0"/>
                <w:sz w:val="24"/>
              </w:rPr>
            </w:pPr>
          </w:p>
        </w:tc>
        <w:tc>
          <w:tcPr>
            <w:tcW w:w="1404" w:type="dxa"/>
          </w:tcPr>
          <w:p>
            <w:pPr>
              <w:keepNext w:val="0"/>
              <w:keepLines w:val="0"/>
              <w:suppressLineNumbers w:val="0"/>
              <w:spacing w:before="0" w:beforeAutospacing="0" w:after="0" w:afterAutospacing="0"/>
              <w:ind w:left="0" w:right="0"/>
              <w:jc w:val="center"/>
              <w:rPr>
                <w:rFonts w:ascii="宋体" w:hAnsi="宋体" w:cs="Arial" w:hint="default"/>
                <w:kern w:val="0"/>
                <w:sz w:val="24"/>
              </w:rPr>
            </w:pPr>
          </w:p>
        </w:tc>
        <w:tc>
          <w:tcPr>
            <w:tcW w:w="1118" w:type="dxa"/>
            <w:tcBorders>
              <w:left w:val="single" w:sz="6" w:space="0" w:color="auto"/>
              <w:right w:val="single" w:sz="12" w:space="0" w:color="auto"/>
            </w:tcBorders>
          </w:tcPr>
          <w:p>
            <w:pPr>
              <w:keepNext w:val="0"/>
              <w:keepLines w:val="0"/>
              <w:suppressLineNumbers w:val="0"/>
              <w:spacing w:before="0" w:beforeAutospacing="0" w:after="0" w:afterAutospacing="0"/>
              <w:ind w:left="0" w:right="0"/>
              <w:jc w:val="center"/>
              <w:rPr>
                <w:rFonts w:ascii="宋体" w:hAnsi="宋体" w:cs="Arial" w:hint="default"/>
                <w:kern w:val="0"/>
                <w:sz w:val="24"/>
              </w:rPr>
            </w:pP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tcBorders>
          </w:tcPr>
          <w:p>
            <w:pPr>
              <w:keepNext w:val="0"/>
              <w:keepLines w:val="0"/>
              <w:suppressLineNumbers w:val="0"/>
              <w:spacing w:before="0" w:beforeAutospacing="0" w:after="0" w:afterAutospacing="0"/>
              <w:ind w:left="0" w:right="0"/>
              <w:jc w:val="center"/>
              <w:rPr>
                <w:rFonts w:ascii="宋体" w:hAnsi="宋体" w:cs="Arial" w:hint="default"/>
                <w:kern w:val="0"/>
                <w:sz w:val="24"/>
              </w:rPr>
            </w:pPr>
            <w:r>
              <w:rPr>
                <w:rFonts w:ascii="宋体" w:hAnsi="宋体" w:cs="Arial" w:hint="eastAsia"/>
                <w:kern w:val="0"/>
                <w:sz w:val="24"/>
              </w:rPr>
              <w:t>2</w:t>
            </w:r>
          </w:p>
        </w:tc>
        <w:tc>
          <w:tcPr>
            <w:tcW w:w="1513" w:type="dxa"/>
          </w:tcPr>
          <w:p>
            <w:pPr>
              <w:keepNext w:val="0"/>
              <w:keepLines w:val="0"/>
              <w:suppressLineNumbers w:val="0"/>
              <w:spacing w:before="0" w:beforeAutospacing="0" w:after="0" w:afterAutospacing="0"/>
              <w:ind w:left="0" w:right="0"/>
              <w:jc w:val="center"/>
              <w:rPr>
                <w:rFonts w:ascii="宋体" w:hAnsi="宋体" w:cs="Arial" w:hint="default"/>
                <w:kern w:val="0"/>
                <w:sz w:val="24"/>
              </w:rPr>
            </w:pPr>
          </w:p>
        </w:tc>
        <w:tc>
          <w:tcPr>
            <w:tcW w:w="2411" w:type="dxa"/>
            <w:tcBorders>
              <w:right w:val="single" w:sz="6" w:space="0" w:color="auto"/>
            </w:tcBorders>
          </w:tcPr>
          <w:p>
            <w:pPr>
              <w:keepNext w:val="0"/>
              <w:keepLines w:val="0"/>
              <w:suppressLineNumbers w:val="0"/>
              <w:spacing w:before="0" w:beforeAutospacing="0" w:after="0" w:afterAutospacing="0"/>
              <w:ind w:left="0" w:right="0"/>
              <w:jc w:val="center"/>
              <w:rPr>
                <w:rFonts w:ascii="宋体" w:hAnsi="宋体" w:cs="Arial" w:hint="default"/>
                <w:kern w:val="0"/>
                <w:sz w:val="24"/>
              </w:rPr>
            </w:pPr>
          </w:p>
        </w:tc>
        <w:tc>
          <w:tcPr>
            <w:tcW w:w="1849" w:type="dxa"/>
            <w:tcBorders>
              <w:left w:val="single" w:sz="6" w:space="0" w:color="auto"/>
            </w:tcBorders>
          </w:tcPr>
          <w:p>
            <w:pPr>
              <w:keepNext w:val="0"/>
              <w:keepLines w:val="0"/>
              <w:suppressLineNumbers w:val="0"/>
              <w:spacing w:before="0" w:beforeAutospacing="0" w:after="0" w:afterAutospacing="0"/>
              <w:ind w:left="0" w:right="0"/>
              <w:jc w:val="center"/>
              <w:rPr>
                <w:rFonts w:ascii="宋体" w:hAnsi="宋体" w:cs="Arial" w:hint="default"/>
                <w:kern w:val="0"/>
                <w:sz w:val="24"/>
              </w:rPr>
            </w:pPr>
          </w:p>
        </w:tc>
        <w:tc>
          <w:tcPr>
            <w:tcW w:w="1404" w:type="dxa"/>
          </w:tcPr>
          <w:p>
            <w:pPr>
              <w:keepNext w:val="0"/>
              <w:keepLines w:val="0"/>
              <w:suppressLineNumbers w:val="0"/>
              <w:spacing w:before="0" w:beforeAutospacing="0" w:after="0" w:afterAutospacing="0"/>
              <w:ind w:left="0" w:right="0"/>
              <w:jc w:val="center"/>
              <w:rPr>
                <w:rFonts w:ascii="宋体" w:hAnsi="宋体" w:cs="Arial" w:hint="default"/>
                <w:kern w:val="0"/>
                <w:sz w:val="24"/>
              </w:rPr>
            </w:pPr>
          </w:p>
        </w:tc>
        <w:tc>
          <w:tcPr>
            <w:tcW w:w="1118" w:type="dxa"/>
            <w:tcBorders>
              <w:left w:val="single" w:sz="6" w:space="0" w:color="auto"/>
              <w:right w:val="single" w:sz="12" w:space="0" w:color="auto"/>
            </w:tcBorders>
          </w:tcPr>
          <w:p>
            <w:pPr>
              <w:keepNext w:val="0"/>
              <w:keepLines w:val="0"/>
              <w:suppressLineNumbers w:val="0"/>
              <w:spacing w:before="0" w:beforeAutospacing="0" w:after="0" w:afterAutospacing="0"/>
              <w:ind w:left="0" w:right="0"/>
              <w:jc w:val="center"/>
              <w:rPr>
                <w:rFonts w:ascii="宋体" w:hAnsi="宋体" w:cs="Arial" w:hint="default"/>
                <w:kern w:val="0"/>
                <w:sz w:val="24"/>
              </w:rPr>
            </w:pP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bottom w:val="single" w:sz="12" w:space="0" w:color="auto"/>
            </w:tcBorders>
          </w:tcPr>
          <w:p>
            <w:pPr>
              <w:keepNext w:val="0"/>
              <w:keepLines w:val="0"/>
              <w:suppressLineNumbers w:val="0"/>
              <w:spacing w:before="0" w:beforeAutospacing="0" w:after="0" w:afterAutospacing="0"/>
              <w:ind w:left="0" w:right="0"/>
              <w:jc w:val="center"/>
              <w:rPr>
                <w:rFonts w:ascii="宋体" w:hAnsi="宋体" w:cs="Arial" w:hint="default"/>
                <w:kern w:val="0"/>
                <w:sz w:val="24"/>
              </w:rPr>
            </w:pPr>
            <w:r>
              <w:rPr>
                <w:rFonts w:ascii="宋体" w:hAnsi="宋体" w:cs="Arial" w:hint="eastAsia"/>
                <w:kern w:val="0"/>
                <w:sz w:val="24"/>
              </w:rPr>
              <w:t>…</w:t>
            </w:r>
          </w:p>
        </w:tc>
        <w:tc>
          <w:tcPr>
            <w:tcW w:w="1513" w:type="dxa"/>
            <w:tcBorders>
              <w:bottom w:val="single" w:sz="12" w:space="0" w:color="auto"/>
            </w:tcBorders>
          </w:tcPr>
          <w:p>
            <w:pPr>
              <w:keepNext w:val="0"/>
              <w:keepLines w:val="0"/>
              <w:suppressLineNumbers w:val="0"/>
              <w:spacing w:before="0" w:beforeAutospacing="0" w:after="0" w:afterAutospacing="0"/>
              <w:ind w:left="0" w:right="0"/>
              <w:jc w:val="center"/>
              <w:rPr>
                <w:rFonts w:ascii="宋体" w:hAnsi="宋体" w:cs="Arial" w:hint="default"/>
                <w:kern w:val="0"/>
                <w:sz w:val="24"/>
              </w:rPr>
            </w:pPr>
          </w:p>
        </w:tc>
        <w:tc>
          <w:tcPr>
            <w:tcW w:w="2411" w:type="dxa"/>
            <w:tcBorders>
              <w:bottom w:val="single" w:sz="12" w:space="0" w:color="auto"/>
              <w:right w:val="single" w:sz="6" w:space="0" w:color="auto"/>
            </w:tcBorders>
          </w:tcPr>
          <w:p>
            <w:pPr>
              <w:keepNext w:val="0"/>
              <w:keepLines w:val="0"/>
              <w:suppressLineNumbers w:val="0"/>
              <w:spacing w:before="0" w:beforeAutospacing="0" w:after="0" w:afterAutospacing="0"/>
              <w:ind w:left="0" w:right="0"/>
              <w:jc w:val="center"/>
              <w:rPr>
                <w:rFonts w:ascii="宋体" w:hAnsi="宋体" w:cs="Arial" w:hint="default"/>
                <w:kern w:val="0"/>
                <w:sz w:val="24"/>
              </w:rPr>
            </w:pPr>
          </w:p>
        </w:tc>
        <w:tc>
          <w:tcPr>
            <w:tcW w:w="1849" w:type="dxa"/>
            <w:tcBorders>
              <w:left w:val="single" w:sz="6" w:space="0" w:color="auto"/>
              <w:bottom w:val="single" w:sz="12" w:space="0" w:color="auto"/>
            </w:tcBorders>
          </w:tcPr>
          <w:p>
            <w:pPr>
              <w:keepNext w:val="0"/>
              <w:keepLines w:val="0"/>
              <w:suppressLineNumbers w:val="0"/>
              <w:spacing w:before="0" w:beforeAutospacing="0" w:after="0" w:afterAutospacing="0"/>
              <w:ind w:left="0" w:right="0"/>
              <w:jc w:val="center"/>
              <w:rPr>
                <w:rFonts w:ascii="宋体" w:hAnsi="宋体" w:cs="Arial" w:hint="default"/>
                <w:kern w:val="0"/>
                <w:sz w:val="24"/>
              </w:rPr>
            </w:pPr>
          </w:p>
        </w:tc>
        <w:tc>
          <w:tcPr>
            <w:tcW w:w="1404" w:type="dxa"/>
            <w:tcBorders>
              <w:bottom w:val="single" w:sz="12" w:space="0" w:color="auto"/>
            </w:tcBorders>
          </w:tcPr>
          <w:p>
            <w:pPr>
              <w:keepNext w:val="0"/>
              <w:keepLines w:val="0"/>
              <w:suppressLineNumbers w:val="0"/>
              <w:spacing w:before="0" w:beforeAutospacing="0" w:after="0" w:afterAutospacing="0"/>
              <w:ind w:left="0" w:right="0"/>
              <w:jc w:val="center"/>
              <w:rPr>
                <w:rFonts w:ascii="宋体" w:hAnsi="宋体" w:cs="Arial" w:hint="default"/>
                <w:kern w:val="0"/>
                <w:sz w:val="24"/>
              </w:rPr>
            </w:pPr>
          </w:p>
        </w:tc>
        <w:tc>
          <w:tcPr>
            <w:tcW w:w="1118" w:type="dxa"/>
            <w:tcBorders>
              <w:left w:val="single" w:sz="6" w:space="0" w:color="auto"/>
              <w:bottom w:val="single" w:sz="12" w:space="0" w:color="auto"/>
              <w:right w:val="single" w:sz="12" w:space="0" w:color="auto"/>
            </w:tcBorders>
          </w:tcPr>
          <w:p>
            <w:pPr>
              <w:keepNext w:val="0"/>
              <w:keepLines w:val="0"/>
              <w:suppressLineNumbers w:val="0"/>
              <w:spacing w:before="0" w:beforeAutospacing="0" w:after="0" w:afterAutospacing="0"/>
              <w:ind w:left="0" w:right="0"/>
              <w:jc w:val="center"/>
              <w:rPr>
                <w:rFonts w:ascii="宋体" w:hAnsi="宋体" w:cs="Arial" w:hint="default"/>
                <w:kern w:val="0"/>
                <w:sz w:val="24"/>
              </w:rPr>
            </w:pPr>
          </w:p>
        </w:tc>
      </w:tr>
    </w:tbl>
    <w:p>
      <w:pPr>
        <w:spacing w:line="360" w:lineRule="auto"/>
        <w:ind w:firstLine="309" w:firstLineChars="147"/>
        <w:rPr>
          <w:rFonts w:ascii="宋体" w:hAnsi="宋体" w:cs="Arial"/>
          <w:b/>
          <w:sz w:val="24"/>
        </w:rPr>
      </w:pPr>
      <w:r>
        <w:rPr>
          <w:rFonts w:ascii="宋体" w:hAnsi="宋体" w:cs="Arial" w:hint="eastAsia"/>
          <w:b/>
          <w:sz w:val="24"/>
        </w:rPr>
        <w:t>我方承诺，以上信息真实可靠；如填报的股东出资额、出资比例等与实际不符，且属于虚假应标情形，视为放弃中标资格。</w:t>
      </w:r>
    </w:p>
    <w:p>
      <w:pPr>
        <w:spacing w:line="360" w:lineRule="auto"/>
        <w:rPr>
          <w:rFonts w:ascii="宋体" w:hAnsi="宋体" w:cs="Arial"/>
          <w:sz w:val="24"/>
        </w:rPr>
      </w:pPr>
      <w:r>
        <w:rPr>
          <w:rFonts w:ascii="宋体" w:hAnsi="宋体" w:cs="Arial" w:hint="eastAsia"/>
          <w:sz w:val="24"/>
        </w:rPr>
        <w:t>备注：</w:t>
      </w:r>
    </w:p>
    <w:p>
      <w:pPr>
        <w:pStyle w:val="ListParagraph"/>
        <w:numPr>
          <w:ilvl w:val="0"/>
          <w:numId w:val="70"/>
        </w:numPr>
        <w:spacing w:line="360" w:lineRule="auto"/>
        <w:ind w:firstLineChars="0"/>
        <w:rPr>
          <w:rFonts w:ascii="宋体" w:hAnsi="宋体" w:cs="Arial"/>
          <w:sz w:val="24"/>
        </w:rPr>
      </w:pPr>
      <w:r>
        <w:rPr>
          <w:rFonts w:ascii="宋体" w:hAnsi="宋体" w:cs="Arial" w:hint="eastAsia"/>
          <w:sz w:val="24"/>
        </w:rPr>
        <w:t>主要股东或出资人为法人的，填写法人全称及统一社会信息用代码（尚未办理三证合一的填写组织机构代码）；为自然人的，填写自然人姓名和身份证号。</w:t>
      </w:r>
    </w:p>
    <w:p>
      <w:pPr>
        <w:pStyle w:val="ListParagraph"/>
        <w:numPr>
          <w:ilvl w:val="0"/>
          <w:numId w:val="70"/>
        </w:numPr>
        <w:spacing w:line="360" w:lineRule="auto"/>
        <w:ind w:firstLineChars="0"/>
        <w:rPr>
          <w:rFonts w:ascii="宋体" w:hAnsi="宋体" w:cs="Arial"/>
          <w:sz w:val="24"/>
        </w:rPr>
      </w:pPr>
      <w:r>
        <w:rPr>
          <w:rFonts w:ascii="宋体" w:hAnsi="宋体" w:cs="Arial" w:hint="eastAsia"/>
          <w:sz w:val="24"/>
        </w:rPr>
        <w:t>出资方式填写：货币、实物、工艺产权和非专利技术、土地使用权等。</w:t>
      </w:r>
    </w:p>
    <w:p>
      <w:pPr>
        <w:pStyle w:val="ListParagraph"/>
        <w:numPr>
          <w:ilvl w:val="0"/>
          <w:numId w:val="70"/>
        </w:numPr>
        <w:spacing w:line="360" w:lineRule="auto"/>
        <w:ind w:firstLineChars="0"/>
        <w:rPr>
          <w:rFonts w:ascii="宋体" w:hAnsi="宋体" w:cs="Arial"/>
          <w:sz w:val="24"/>
        </w:rPr>
      </w:pPr>
      <w:r>
        <w:rPr>
          <w:rFonts w:ascii="宋体" w:hAnsi="宋体" w:cs="Arial" w:hint="eastAsia"/>
          <w:sz w:val="24"/>
        </w:rPr>
        <w:t>投标单位应按照占全部股份比例从大到小依次逐个股东填写，股东数量多于10个的，填写前10名，不足10个全部填写。</w:t>
      </w:r>
    </w:p>
    <w:p>
      <w:pPr>
        <w:adjustRightInd w:val="0"/>
        <w:snapToGrid w:val="0"/>
        <w:spacing w:line="360" w:lineRule="auto"/>
        <w:jc w:val="left"/>
        <w:rPr>
          <w:sz w:val="24"/>
        </w:rPr>
      </w:pPr>
    </w:p>
    <w:p>
      <w:pPr>
        <w:widowControl/>
        <w:jc w:val="left"/>
        <w:rPr>
          <w:rFonts w:ascii="黑体" w:eastAsia="黑体" w:hAnsi="黑体"/>
          <w:color w:val="00B0F0"/>
          <w:sz w:val="24"/>
        </w:rPr>
      </w:pPr>
      <w:r>
        <w:rPr>
          <w:rFonts w:ascii="黑体" w:eastAsia="黑体" w:hAnsi="黑体"/>
          <w:color w:val="00B0F0"/>
          <w:sz w:val="24"/>
        </w:rPr>
        <w:br w:type="page"/>
      </w:r>
    </w:p>
    <w:p>
      <w:pPr>
        <w:pStyle w:val="Heading2"/>
        <w:numPr>
          <w:ilvl w:val="0"/>
          <w:numId w:val="65"/>
        </w:numPr>
        <w:spacing w:line="240" w:lineRule="auto"/>
        <w:jc w:val="center"/>
        <w:rPr>
          <w:rFonts w:ascii="宋体" w:hAnsi="宋体"/>
        </w:rPr>
      </w:pPr>
      <w:bookmarkStart w:id="187" w:name="_Toc28069"/>
      <w:bookmarkStart w:id="188" w:name="_Toc30664878"/>
      <w:bookmarkStart w:id="189" w:name="_Toc16680"/>
      <w:bookmarkStart w:id="190" w:name="_Toc256000033"/>
      <w:r>
        <w:rPr>
          <w:rFonts w:ascii="宋体" w:hAnsi="宋体" w:hint="eastAsia"/>
        </w:rPr>
        <w:t>声明函</w:t>
      </w:r>
      <w:bookmarkEnd w:id="190"/>
      <w:bookmarkEnd w:id="187"/>
      <w:bookmarkEnd w:id="188"/>
      <w:bookmarkEnd w:id="189"/>
    </w:p>
    <w:p>
      <w:pPr>
        <w:ind w:left="2"/>
        <w:jc w:val="center"/>
        <w:rPr>
          <w:rFonts w:ascii="宋体" w:eastAsia="宋体" w:hAnsi="宋体" w:cs="宋体" w:hint="eastAsia"/>
          <w:b/>
          <w:color w:val="auto"/>
          <w:sz w:val="28"/>
          <w:szCs w:val="28"/>
          <w:highlight w:val="none"/>
        </w:rPr>
      </w:pPr>
      <w:r>
        <w:rPr>
          <w:rFonts w:ascii="宋体" w:eastAsia="宋体" w:hAnsi="宋体" w:cs="宋体" w:hint="eastAsia"/>
          <w:b/>
          <w:color w:val="auto"/>
          <w:sz w:val="28"/>
          <w:szCs w:val="28"/>
          <w:highlight w:val="none"/>
        </w:rPr>
        <w:t>投标人按招标文件要求提供本国产品/服务书面声明函</w:t>
      </w:r>
    </w:p>
    <w:p>
      <w:pPr>
        <w:spacing w:line="360" w:lineRule="auto"/>
        <w:ind w:firstLine="420" w:firstLineChars="200"/>
        <w:rPr>
          <w:rFonts w:ascii="宋体" w:eastAsia="宋体" w:hAnsi="宋体" w:cs="宋体" w:hint="eastAsia"/>
          <w:color w:val="auto"/>
          <w:sz w:val="24"/>
          <w:highlight w:val="none"/>
        </w:rPr>
      </w:pPr>
      <w:r>
        <w:rPr>
          <w:rFonts w:ascii="宋体" w:eastAsia="宋体" w:hAnsi="宋体" w:cs="宋体" w:hint="eastAsia"/>
          <w:color w:val="auto"/>
          <w:sz w:val="24"/>
          <w:highlight w:val="none"/>
        </w:rPr>
        <w:t>致：采联国际招标采购集团有限公司</w:t>
      </w:r>
    </w:p>
    <w:p>
      <w:pPr>
        <w:spacing w:line="360" w:lineRule="auto"/>
        <w:ind w:firstLine="420" w:firstLineChars="200"/>
        <w:rPr>
          <w:rFonts w:ascii="宋体" w:eastAsia="宋体" w:hAnsi="宋体" w:cs="宋体" w:hint="eastAsia"/>
          <w:color w:val="auto"/>
          <w:sz w:val="24"/>
          <w:highlight w:val="none"/>
        </w:rPr>
      </w:pPr>
      <w:r>
        <w:rPr>
          <w:rFonts w:ascii="宋体" w:eastAsia="宋体" w:hAnsi="宋体" w:cs="宋体" w:hint="eastAsia"/>
          <w:color w:val="auto"/>
          <w:sz w:val="24"/>
          <w:highlight w:val="none"/>
        </w:rPr>
        <w:t>在参与</w:t>
      </w:r>
      <w:r>
        <w:rPr>
          <w:rFonts w:ascii="宋体" w:hAnsi="宋体" w:cs="宋体" w:hint="eastAsia"/>
          <w:color w:val="auto"/>
          <w:sz w:val="24"/>
          <w:highlight w:val="none"/>
          <w:lang w:eastAsia="zh-CN"/>
        </w:rPr>
        <w:t>智能计算与系统-高级白盒可编程路由器</w:t>
      </w:r>
      <w:r>
        <w:rPr>
          <w:rFonts w:ascii="宋体" w:eastAsia="宋体" w:hAnsi="宋体" w:cs="宋体" w:hint="eastAsia"/>
          <w:color w:val="auto"/>
          <w:sz w:val="24"/>
          <w:highlight w:val="none"/>
        </w:rPr>
        <w:t>（项目编号：</w:t>
      </w:r>
      <w:r>
        <w:rPr>
          <w:rFonts w:ascii="宋体" w:hAnsi="宋体" w:cs="宋体" w:hint="eastAsia"/>
          <w:color w:val="auto"/>
          <w:sz w:val="24"/>
          <w:highlight w:val="none"/>
          <w:lang w:eastAsia="zh-CN"/>
        </w:rPr>
        <w:t>SZDL2023001961（CLF0123SZ17ZC27）</w:t>
      </w:r>
      <w:r>
        <w:rPr>
          <w:rFonts w:ascii="宋体" w:eastAsia="宋体" w:hAnsi="宋体" w:cs="宋体" w:hint="eastAsia"/>
          <w:color w:val="auto"/>
          <w:sz w:val="24"/>
          <w:highlight w:val="none"/>
        </w:rPr>
        <w:t>）政府采购活动时，本单位（公司）承诺按招标文件要求提供本国产品/服务。</w:t>
      </w:r>
    </w:p>
    <w:p>
      <w:pPr>
        <w:spacing w:line="360" w:lineRule="auto"/>
        <w:ind w:firstLine="420" w:firstLineChars="200"/>
        <w:rPr>
          <w:sz w:val="24"/>
        </w:rPr>
      </w:pPr>
    </w:p>
    <w:p>
      <w:pPr>
        <w:spacing w:line="360" w:lineRule="auto"/>
        <w:ind w:firstLine="420" w:firstLineChars="200"/>
        <w:rPr>
          <w:sz w:val="24"/>
        </w:rPr>
      </w:pPr>
      <w:r>
        <w:rPr>
          <w:rFonts w:hint="eastAsia"/>
          <w:sz w:val="24"/>
        </w:rPr>
        <w:t>特此声明。</w:t>
      </w:r>
    </w:p>
    <w:p>
      <w:pPr>
        <w:spacing w:line="360" w:lineRule="auto"/>
        <w:ind w:firstLine="3570" w:firstLineChars="1700"/>
        <w:rPr>
          <w:sz w:val="24"/>
        </w:rPr>
      </w:pPr>
      <w:r>
        <w:rPr>
          <w:rFonts w:hint="eastAsia"/>
          <w:sz w:val="24"/>
        </w:rPr>
        <w:t xml:space="preserve">                              </w:t>
      </w:r>
    </w:p>
    <w:p>
      <w:pPr>
        <w:spacing w:line="360" w:lineRule="auto"/>
        <w:ind w:firstLine="4620" w:firstLineChars="2200"/>
        <w:jc w:val="left"/>
        <w:rPr>
          <w:sz w:val="24"/>
        </w:rPr>
      </w:pPr>
      <w:r>
        <w:rPr>
          <w:rFonts w:ascii="宋体" w:hAnsi="宋体" w:hint="eastAsia"/>
          <w:sz w:val="24"/>
        </w:rPr>
        <w:t xml:space="preserve">  </w:t>
      </w:r>
    </w:p>
    <w:p>
      <w:pPr>
        <w:spacing w:line="360" w:lineRule="auto"/>
        <w:ind w:firstLine="420" w:firstLineChars="200"/>
        <w:rPr>
          <w:sz w:val="24"/>
        </w:rPr>
      </w:pPr>
    </w:p>
    <w:p>
      <w:pPr>
        <w:spacing w:line="360" w:lineRule="auto"/>
        <w:ind w:firstLine="420" w:firstLineChars="200"/>
        <w:rPr>
          <w:sz w:val="24"/>
        </w:rPr>
      </w:pPr>
    </w:p>
    <w:p>
      <w:pPr>
        <w:spacing w:line="360" w:lineRule="auto"/>
        <w:ind w:firstLine="420" w:firstLineChars="200"/>
        <w:rPr>
          <w:sz w:val="24"/>
        </w:rPr>
      </w:pPr>
      <w:r>
        <w:rPr>
          <w:rFonts w:hint="eastAsia"/>
          <w:sz w:val="24"/>
        </w:rPr>
        <w:t>备注：投标人必须根据上述声明函格式内容填写，否则作投标无效处理。</w:t>
      </w:r>
    </w:p>
    <w:p>
      <w:pPr>
        <w:spacing w:line="360" w:lineRule="auto"/>
        <w:ind w:firstLine="420" w:firstLineChars="200"/>
        <w:rPr>
          <w:sz w:val="24"/>
        </w:rPr>
      </w:pPr>
    </w:p>
    <w:p>
      <w:pPr>
        <w:widowControl/>
        <w:jc w:val="left"/>
        <w:rPr>
          <w:b/>
          <w:szCs w:val="21"/>
        </w:rPr>
      </w:pPr>
      <w:r>
        <w:rPr>
          <w:sz w:val="24"/>
        </w:rPr>
        <w:br w:type="page"/>
      </w:r>
    </w:p>
    <w:p>
      <w:pPr>
        <w:pStyle w:val="Heading2"/>
        <w:numPr>
          <w:ilvl w:val="0"/>
          <w:numId w:val="65"/>
        </w:numPr>
        <w:spacing w:line="240" w:lineRule="auto"/>
        <w:jc w:val="center"/>
        <w:rPr>
          <w:b w:val="0"/>
        </w:rPr>
      </w:pPr>
      <w:bookmarkStart w:id="191" w:name="_承诺函"/>
      <w:bookmarkEnd w:id="191"/>
      <w:bookmarkStart w:id="192" w:name="_Toc13158"/>
      <w:bookmarkStart w:id="193" w:name="_Toc50703730"/>
      <w:bookmarkStart w:id="194" w:name="_Toc50691037"/>
      <w:bookmarkStart w:id="195" w:name="_Toc43264518"/>
      <w:bookmarkStart w:id="196" w:name="_Toc256000034"/>
      <w:r>
        <w:rPr>
          <w:rFonts w:hint="eastAsia"/>
          <w:b w:val="0"/>
        </w:rPr>
        <w:t>投标人近三年同类业绩（以合同签订时间为准，截止日为本项目投标截止日）</w:t>
      </w:r>
      <w:bookmarkEnd w:id="196"/>
      <w:bookmarkEnd w:id="192"/>
    </w:p>
    <w:p>
      <w:pPr>
        <w:widowControl/>
        <w:wordWrap w:val="0"/>
        <w:spacing w:line="360" w:lineRule="auto"/>
        <w:jc w:val="left"/>
        <w:rPr>
          <w:rFonts w:ascii="宋体" w:hAnsi="宋体"/>
          <w:color w:val="auto"/>
          <w:sz w:val="24"/>
        </w:rPr>
      </w:pPr>
      <w:r>
        <w:rPr>
          <w:rFonts w:ascii="宋体" w:hAnsi="宋体" w:hint="eastAsia"/>
          <w:sz w:val="24"/>
        </w:rPr>
        <w:t xml:space="preserve">投标人名称：              </w:t>
      </w:r>
      <w:r>
        <w:rPr>
          <w:rFonts w:ascii="宋体" w:hAnsi="宋体" w:hint="eastAsia"/>
          <w:color w:val="FF0000"/>
          <w:sz w:val="24"/>
        </w:rPr>
        <w:t xml:space="preserve">  </w:t>
      </w:r>
      <w:r>
        <w:rPr>
          <w:rFonts w:ascii="宋体" w:hAnsi="宋体" w:hint="eastAsia"/>
          <w:sz w:val="24"/>
        </w:rPr>
        <w:t xml:space="preserve">    项目</w:t>
      </w:r>
      <w:r>
        <w:rPr>
          <w:rFonts w:ascii="宋体" w:hAnsi="宋体" w:hint="eastAsia"/>
          <w:color w:val="auto"/>
          <w:sz w:val="24"/>
        </w:rPr>
        <w:t>编号：</w:t>
      </w:r>
      <w:r>
        <w:rPr>
          <w:rFonts w:ascii="宋体" w:hAnsi="宋体" w:hint="eastAsia"/>
          <w:color w:val="auto"/>
          <w:sz w:val="24"/>
          <w:lang w:eastAsia="zh-CN"/>
        </w:rPr>
        <w:t>SZDL2023001961（CLF0123SZ17ZC27）</w:t>
      </w:r>
      <w:r>
        <w:rPr>
          <w:rFonts w:ascii="ˎ̥" w:hAnsi="ˎ̥" w:cs="宋体"/>
          <w:color w:val="auto"/>
          <w:kern w:val="0"/>
          <w:sz w:val="24"/>
        </w:rPr>
        <w:t> </w:t>
      </w:r>
    </w:p>
    <w:tbl>
      <w:tblPr>
        <w:tblStyle w:val="TableNormal"/>
        <w:tblW w:w="9872"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680"/>
        <w:gridCol w:w="1460"/>
        <w:gridCol w:w="1658"/>
        <w:gridCol w:w="1442"/>
        <w:gridCol w:w="2176"/>
        <w:gridCol w:w="2456"/>
      </w:tblGrid>
      <w:tr>
        <w:tblPrEx>
          <w:tblW w:w="9872"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511"/>
        </w:trPr>
        <w:tc>
          <w:tcPr>
            <w:tcW w:w="680" w:type="dxa"/>
            <w:tcBorders>
              <w:top w:val="single" w:sz="12" w:space="0" w:color="auto"/>
              <w:bottom w:val="double" w:sz="4" w:space="0" w:color="auto"/>
            </w:tcBorders>
            <w:shd w:val="clear" w:color="auto" w:fill="EEECE1"/>
            <w:vAlign w:val="center"/>
          </w:tcPr>
          <w:p>
            <w:pPr>
              <w:keepNext w:val="0"/>
              <w:keepLines w:val="0"/>
              <w:suppressLineNumbers w:val="0"/>
              <w:adjustRightInd w:val="0"/>
              <w:snapToGrid w:val="0"/>
              <w:spacing w:before="0" w:beforeAutospacing="0" w:after="0" w:afterAutospacing="0"/>
              <w:ind w:left="-84" w:right="-107" w:leftChars="-40" w:rightChars="-51"/>
              <w:jc w:val="center"/>
              <w:rPr>
                <w:rFonts w:hint="default"/>
                <w:color w:val="auto"/>
                <w:sz w:val="24"/>
              </w:rPr>
            </w:pPr>
            <w:r>
              <w:rPr>
                <w:rFonts w:hint="eastAsia"/>
                <w:color w:val="auto"/>
                <w:sz w:val="24"/>
              </w:rPr>
              <w:t>序号</w:t>
            </w:r>
          </w:p>
        </w:tc>
        <w:tc>
          <w:tcPr>
            <w:tcW w:w="1460" w:type="dxa"/>
            <w:tcBorders>
              <w:top w:val="single" w:sz="12" w:space="0" w:color="auto"/>
              <w:bottom w:val="double" w:sz="4" w:space="0" w:color="auto"/>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rPr>
            </w:pPr>
            <w:r>
              <w:rPr>
                <w:rFonts w:hint="eastAsia"/>
                <w:color w:val="auto"/>
                <w:sz w:val="24"/>
              </w:rPr>
              <w:t>采购人名称</w:t>
            </w:r>
          </w:p>
        </w:tc>
        <w:tc>
          <w:tcPr>
            <w:tcW w:w="1658" w:type="dxa"/>
            <w:tcBorders>
              <w:top w:val="single" w:sz="12" w:space="0" w:color="auto"/>
              <w:bottom w:val="double" w:sz="4" w:space="0" w:color="auto"/>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rPr>
            </w:pPr>
            <w:r>
              <w:rPr>
                <w:rFonts w:hint="eastAsia"/>
                <w:color w:val="auto"/>
                <w:sz w:val="24"/>
              </w:rPr>
              <w:t>项目名称</w:t>
            </w:r>
          </w:p>
        </w:tc>
        <w:tc>
          <w:tcPr>
            <w:tcW w:w="1442" w:type="dxa"/>
            <w:tcBorders>
              <w:top w:val="single" w:sz="12" w:space="0" w:color="auto"/>
              <w:bottom w:val="double" w:sz="4" w:space="0" w:color="auto"/>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rPr>
            </w:pPr>
            <w:r>
              <w:rPr>
                <w:rFonts w:hint="eastAsia"/>
                <w:color w:val="auto"/>
                <w:sz w:val="24"/>
              </w:rPr>
              <w:t>合同总价</w:t>
            </w:r>
          </w:p>
        </w:tc>
        <w:tc>
          <w:tcPr>
            <w:tcW w:w="2176" w:type="dxa"/>
            <w:tcBorders>
              <w:top w:val="single" w:sz="12" w:space="0" w:color="auto"/>
              <w:bottom w:val="double" w:sz="4" w:space="0" w:color="auto"/>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rPr>
            </w:pPr>
            <w:r>
              <w:rPr>
                <w:rFonts w:hint="eastAsia"/>
                <w:color w:val="auto"/>
                <w:sz w:val="24"/>
              </w:rPr>
              <w:t>签约及完成时间</w:t>
            </w:r>
          </w:p>
        </w:tc>
        <w:tc>
          <w:tcPr>
            <w:tcW w:w="2456" w:type="dxa"/>
            <w:tcBorders>
              <w:top w:val="single" w:sz="12" w:space="0" w:color="auto"/>
              <w:bottom w:val="double" w:sz="4" w:space="0" w:color="auto"/>
            </w:tcBorders>
            <w:shd w:val="clear" w:color="auto" w:fill="EEECE1"/>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rPr>
            </w:pPr>
            <w:r>
              <w:rPr>
                <w:rFonts w:hint="eastAsia"/>
                <w:color w:val="auto"/>
                <w:sz w:val="24"/>
              </w:rPr>
              <w:t>单位联系人及电话</w:t>
            </w:r>
          </w:p>
        </w:tc>
      </w:tr>
      <w:tr>
        <w:tblPrEx>
          <w:tblW w:w="9872" w:type="dxa"/>
          <w:tblInd w:w="0" w:type="dxa"/>
          <w:tblLayout w:type="fixed"/>
          <w:tblCellMar>
            <w:top w:w="0" w:type="dxa"/>
            <w:left w:w="108" w:type="dxa"/>
            <w:bottom w:w="0" w:type="dxa"/>
            <w:right w:w="108" w:type="dxa"/>
          </w:tblCellMar>
        </w:tblPrEx>
        <w:trPr>
          <w:trHeight w:val="382"/>
        </w:trPr>
        <w:tc>
          <w:tcPr>
            <w:tcW w:w="680" w:type="dxa"/>
            <w:tcBorders>
              <w:top w:val="double" w:sz="4" w:space="0" w:color="auto"/>
            </w:tcBorders>
            <w:vAlign w:val="center"/>
          </w:tcPr>
          <w:p>
            <w:pPr>
              <w:keepNext w:val="0"/>
              <w:keepLines w:val="0"/>
              <w:suppressLineNumbers w:val="0"/>
              <w:spacing w:before="0" w:beforeAutospacing="0" w:after="0" w:afterAutospacing="0" w:line="400" w:lineRule="exact"/>
              <w:ind w:left="0" w:right="0"/>
              <w:jc w:val="center"/>
              <w:rPr>
                <w:rFonts w:hint="default"/>
                <w:color w:val="auto"/>
                <w:sz w:val="24"/>
              </w:rPr>
            </w:pPr>
          </w:p>
        </w:tc>
        <w:tc>
          <w:tcPr>
            <w:tcW w:w="1460" w:type="dxa"/>
            <w:tcBorders>
              <w:top w:val="double" w:sz="4" w:space="0" w:color="auto"/>
            </w:tcBorders>
            <w:vAlign w:val="center"/>
          </w:tcPr>
          <w:p>
            <w:pPr>
              <w:keepNext w:val="0"/>
              <w:keepLines w:val="0"/>
              <w:suppressLineNumbers w:val="0"/>
              <w:spacing w:before="0" w:beforeAutospacing="0" w:after="0" w:afterAutospacing="0" w:line="400" w:lineRule="exact"/>
              <w:ind w:left="0" w:right="0"/>
              <w:jc w:val="center"/>
              <w:rPr>
                <w:rFonts w:hint="default"/>
                <w:color w:val="auto"/>
                <w:sz w:val="24"/>
              </w:rPr>
            </w:pPr>
          </w:p>
        </w:tc>
        <w:tc>
          <w:tcPr>
            <w:tcW w:w="1658" w:type="dxa"/>
            <w:tcBorders>
              <w:top w:val="double" w:sz="4" w:space="0" w:color="auto"/>
            </w:tcBorders>
            <w:vAlign w:val="center"/>
          </w:tcPr>
          <w:p>
            <w:pPr>
              <w:keepNext w:val="0"/>
              <w:keepLines w:val="0"/>
              <w:suppressLineNumbers w:val="0"/>
              <w:spacing w:before="0" w:beforeAutospacing="0" w:after="0" w:afterAutospacing="0" w:line="400" w:lineRule="exact"/>
              <w:ind w:left="0" w:right="0"/>
              <w:jc w:val="center"/>
              <w:rPr>
                <w:rFonts w:hint="default"/>
                <w:color w:val="auto"/>
                <w:sz w:val="24"/>
              </w:rPr>
            </w:pPr>
          </w:p>
        </w:tc>
        <w:tc>
          <w:tcPr>
            <w:tcW w:w="1442" w:type="dxa"/>
            <w:tcBorders>
              <w:top w:val="double" w:sz="4" w:space="0" w:color="auto"/>
            </w:tcBorders>
            <w:vAlign w:val="center"/>
          </w:tcPr>
          <w:p>
            <w:pPr>
              <w:keepNext w:val="0"/>
              <w:keepLines w:val="0"/>
              <w:suppressLineNumbers w:val="0"/>
              <w:spacing w:before="0" w:beforeAutospacing="0" w:after="0" w:afterAutospacing="0" w:line="400" w:lineRule="exact"/>
              <w:ind w:left="0" w:right="0"/>
              <w:jc w:val="center"/>
              <w:rPr>
                <w:rFonts w:hint="default"/>
                <w:color w:val="auto"/>
                <w:sz w:val="24"/>
              </w:rPr>
            </w:pPr>
          </w:p>
        </w:tc>
        <w:tc>
          <w:tcPr>
            <w:tcW w:w="2176" w:type="dxa"/>
            <w:tcBorders>
              <w:top w:val="double" w:sz="4" w:space="0" w:color="auto"/>
            </w:tcBorders>
            <w:vAlign w:val="center"/>
          </w:tcPr>
          <w:p>
            <w:pPr>
              <w:keepNext w:val="0"/>
              <w:keepLines w:val="0"/>
              <w:suppressLineNumbers w:val="0"/>
              <w:spacing w:before="0" w:beforeAutospacing="0" w:after="0" w:afterAutospacing="0" w:line="400" w:lineRule="exact"/>
              <w:ind w:left="0" w:right="0"/>
              <w:jc w:val="center"/>
              <w:rPr>
                <w:rFonts w:hint="default"/>
                <w:color w:val="auto"/>
                <w:sz w:val="24"/>
              </w:rPr>
            </w:pPr>
          </w:p>
        </w:tc>
        <w:tc>
          <w:tcPr>
            <w:tcW w:w="2456" w:type="dxa"/>
            <w:tcBorders>
              <w:top w:val="double" w:sz="4" w:space="0" w:color="auto"/>
            </w:tcBorders>
            <w:vAlign w:val="center"/>
          </w:tcPr>
          <w:p>
            <w:pPr>
              <w:keepNext w:val="0"/>
              <w:keepLines w:val="0"/>
              <w:suppressLineNumbers w:val="0"/>
              <w:spacing w:before="0" w:beforeAutospacing="0" w:after="0" w:afterAutospacing="0" w:line="400" w:lineRule="exact"/>
              <w:ind w:left="0" w:right="0"/>
              <w:jc w:val="center"/>
              <w:rPr>
                <w:rFonts w:hint="default"/>
                <w:color w:val="auto"/>
                <w:sz w:val="24"/>
              </w:rPr>
            </w:pPr>
          </w:p>
        </w:tc>
      </w:tr>
      <w:tr>
        <w:tblPrEx>
          <w:tblW w:w="9872" w:type="dxa"/>
          <w:tblInd w:w="0" w:type="dxa"/>
          <w:tblLayout w:type="fixed"/>
          <w:tblCellMar>
            <w:top w:w="0" w:type="dxa"/>
            <w:left w:w="108" w:type="dxa"/>
            <w:bottom w:w="0" w:type="dxa"/>
            <w:right w:w="108" w:type="dxa"/>
          </w:tblCellMar>
        </w:tblPrEx>
        <w:trPr>
          <w:trHeight w:val="382"/>
        </w:trPr>
        <w:tc>
          <w:tcPr>
            <w:tcW w:w="680" w:type="dxa"/>
            <w:vAlign w:val="center"/>
          </w:tcPr>
          <w:p>
            <w:pPr>
              <w:keepNext w:val="0"/>
              <w:keepLines w:val="0"/>
              <w:suppressLineNumbers w:val="0"/>
              <w:spacing w:before="0" w:beforeAutospacing="0" w:after="0" w:afterAutospacing="0" w:line="400" w:lineRule="exact"/>
              <w:ind w:left="0" w:right="0"/>
              <w:jc w:val="center"/>
              <w:rPr>
                <w:rFonts w:hint="default"/>
                <w:color w:val="auto"/>
                <w:sz w:val="24"/>
              </w:rPr>
            </w:pPr>
          </w:p>
        </w:tc>
        <w:tc>
          <w:tcPr>
            <w:tcW w:w="1460" w:type="dxa"/>
            <w:vAlign w:val="center"/>
          </w:tcPr>
          <w:p>
            <w:pPr>
              <w:keepNext w:val="0"/>
              <w:keepLines w:val="0"/>
              <w:suppressLineNumbers w:val="0"/>
              <w:spacing w:before="0" w:beforeAutospacing="0" w:after="0" w:afterAutospacing="0" w:line="400" w:lineRule="exact"/>
              <w:ind w:left="0" w:right="0"/>
              <w:jc w:val="center"/>
              <w:rPr>
                <w:rFonts w:hint="default"/>
                <w:color w:val="auto"/>
                <w:sz w:val="24"/>
              </w:rPr>
            </w:pPr>
          </w:p>
        </w:tc>
        <w:tc>
          <w:tcPr>
            <w:tcW w:w="1658" w:type="dxa"/>
            <w:vAlign w:val="center"/>
          </w:tcPr>
          <w:p>
            <w:pPr>
              <w:keepNext w:val="0"/>
              <w:keepLines w:val="0"/>
              <w:suppressLineNumbers w:val="0"/>
              <w:spacing w:before="0" w:beforeAutospacing="0" w:after="0" w:afterAutospacing="0" w:line="400" w:lineRule="exact"/>
              <w:ind w:left="0" w:right="0"/>
              <w:jc w:val="center"/>
              <w:rPr>
                <w:rFonts w:hint="default"/>
                <w:color w:val="auto"/>
                <w:sz w:val="24"/>
              </w:rPr>
            </w:pPr>
          </w:p>
        </w:tc>
        <w:tc>
          <w:tcPr>
            <w:tcW w:w="1442" w:type="dxa"/>
            <w:vAlign w:val="center"/>
          </w:tcPr>
          <w:p>
            <w:pPr>
              <w:keepNext w:val="0"/>
              <w:keepLines w:val="0"/>
              <w:suppressLineNumbers w:val="0"/>
              <w:spacing w:before="0" w:beforeAutospacing="0" w:after="0" w:afterAutospacing="0" w:line="400" w:lineRule="exact"/>
              <w:ind w:left="0" w:right="0"/>
              <w:jc w:val="center"/>
              <w:rPr>
                <w:rFonts w:hint="default"/>
                <w:color w:val="auto"/>
                <w:sz w:val="24"/>
              </w:rPr>
            </w:pPr>
          </w:p>
        </w:tc>
        <w:tc>
          <w:tcPr>
            <w:tcW w:w="2176" w:type="dxa"/>
            <w:vAlign w:val="center"/>
          </w:tcPr>
          <w:p>
            <w:pPr>
              <w:keepNext w:val="0"/>
              <w:keepLines w:val="0"/>
              <w:suppressLineNumbers w:val="0"/>
              <w:spacing w:before="0" w:beforeAutospacing="0" w:after="0" w:afterAutospacing="0" w:line="400" w:lineRule="exact"/>
              <w:ind w:left="0" w:right="0"/>
              <w:jc w:val="center"/>
              <w:rPr>
                <w:rFonts w:hint="default"/>
                <w:color w:val="auto"/>
                <w:sz w:val="24"/>
              </w:rPr>
            </w:pPr>
          </w:p>
        </w:tc>
        <w:tc>
          <w:tcPr>
            <w:tcW w:w="2456" w:type="dxa"/>
            <w:vAlign w:val="center"/>
          </w:tcPr>
          <w:p>
            <w:pPr>
              <w:keepNext w:val="0"/>
              <w:keepLines w:val="0"/>
              <w:suppressLineNumbers w:val="0"/>
              <w:spacing w:before="0" w:beforeAutospacing="0" w:after="0" w:afterAutospacing="0" w:line="400" w:lineRule="exact"/>
              <w:ind w:left="0" w:right="0"/>
              <w:jc w:val="center"/>
              <w:rPr>
                <w:rFonts w:hint="default"/>
                <w:color w:val="auto"/>
                <w:sz w:val="24"/>
              </w:rPr>
            </w:pPr>
          </w:p>
        </w:tc>
      </w:tr>
      <w:tr>
        <w:tblPrEx>
          <w:tblW w:w="9872" w:type="dxa"/>
          <w:tblInd w:w="0" w:type="dxa"/>
          <w:tblLayout w:type="fixed"/>
          <w:tblCellMar>
            <w:top w:w="0" w:type="dxa"/>
            <w:left w:w="108" w:type="dxa"/>
            <w:bottom w:w="0" w:type="dxa"/>
            <w:right w:w="108" w:type="dxa"/>
          </w:tblCellMar>
        </w:tblPrEx>
        <w:trPr>
          <w:trHeight w:val="399"/>
        </w:trPr>
        <w:tc>
          <w:tcPr>
            <w:tcW w:w="680" w:type="dxa"/>
            <w:vAlign w:val="center"/>
          </w:tcPr>
          <w:p>
            <w:pPr>
              <w:keepNext w:val="0"/>
              <w:keepLines w:val="0"/>
              <w:suppressLineNumbers w:val="0"/>
              <w:spacing w:before="0" w:beforeAutospacing="0" w:after="0" w:afterAutospacing="0" w:line="400" w:lineRule="exact"/>
              <w:ind w:left="0" w:right="0"/>
              <w:jc w:val="center"/>
              <w:rPr>
                <w:rFonts w:hint="default"/>
                <w:color w:val="auto"/>
                <w:sz w:val="24"/>
              </w:rPr>
            </w:pPr>
          </w:p>
        </w:tc>
        <w:tc>
          <w:tcPr>
            <w:tcW w:w="1460" w:type="dxa"/>
            <w:vAlign w:val="center"/>
          </w:tcPr>
          <w:p>
            <w:pPr>
              <w:keepNext w:val="0"/>
              <w:keepLines w:val="0"/>
              <w:suppressLineNumbers w:val="0"/>
              <w:spacing w:before="0" w:beforeAutospacing="0" w:after="0" w:afterAutospacing="0" w:line="400" w:lineRule="exact"/>
              <w:ind w:left="0" w:right="0"/>
              <w:jc w:val="center"/>
              <w:rPr>
                <w:rFonts w:hint="default"/>
                <w:color w:val="auto"/>
                <w:sz w:val="24"/>
              </w:rPr>
            </w:pPr>
          </w:p>
        </w:tc>
        <w:tc>
          <w:tcPr>
            <w:tcW w:w="1658" w:type="dxa"/>
            <w:vAlign w:val="center"/>
          </w:tcPr>
          <w:p>
            <w:pPr>
              <w:keepNext w:val="0"/>
              <w:keepLines w:val="0"/>
              <w:suppressLineNumbers w:val="0"/>
              <w:spacing w:before="0" w:beforeAutospacing="0" w:after="0" w:afterAutospacing="0" w:line="400" w:lineRule="exact"/>
              <w:ind w:left="0" w:right="0"/>
              <w:jc w:val="center"/>
              <w:rPr>
                <w:rFonts w:hint="default"/>
                <w:color w:val="auto"/>
                <w:sz w:val="24"/>
              </w:rPr>
            </w:pPr>
          </w:p>
        </w:tc>
        <w:tc>
          <w:tcPr>
            <w:tcW w:w="1442" w:type="dxa"/>
            <w:vAlign w:val="center"/>
          </w:tcPr>
          <w:p>
            <w:pPr>
              <w:keepNext w:val="0"/>
              <w:keepLines w:val="0"/>
              <w:suppressLineNumbers w:val="0"/>
              <w:spacing w:before="0" w:beforeAutospacing="0" w:after="0" w:afterAutospacing="0" w:line="400" w:lineRule="exact"/>
              <w:ind w:left="0" w:right="0"/>
              <w:jc w:val="center"/>
              <w:rPr>
                <w:rFonts w:hint="default"/>
                <w:color w:val="auto"/>
                <w:sz w:val="24"/>
              </w:rPr>
            </w:pPr>
          </w:p>
        </w:tc>
        <w:tc>
          <w:tcPr>
            <w:tcW w:w="2176" w:type="dxa"/>
            <w:vAlign w:val="center"/>
          </w:tcPr>
          <w:p>
            <w:pPr>
              <w:keepNext w:val="0"/>
              <w:keepLines w:val="0"/>
              <w:suppressLineNumbers w:val="0"/>
              <w:spacing w:before="0" w:beforeAutospacing="0" w:after="0" w:afterAutospacing="0" w:line="400" w:lineRule="exact"/>
              <w:ind w:left="0" w:right="0"/>
              <w:jc w:val="center"/>
              <w:rPr>
                <w:rFonts w:hint="default"/>
                <w:color w:val="auto"/>
                <w:sz w:val="24"/>
              </w:rPr>
            </w:pPr>
          </w:p>
        </w:tc>
        <w:tc>
          <w:tcPr>
            <w:tcW w:w="2456" w:type="dxa"/>
            <w:vAlign w:val="center"/>
          </w:tcPr>
          <w:p>
            <w:pPr>
              <w:keepNext w:val="0"/>
              <w:keepLines w:val="0"/>
              <w:suppressLineNumbers w:val="0"/>
              <w:spacing w:before="0" w:beforeAutospacing="0" w:after="0" w:afterAutospacing="0" w:line="400" w:lineRule="exact"/>
              <w:ind w:left="0" w:right="0"/>
              <w:jc w:val="center"/>
              <w:rPr>
                <w:rFonts w:hint="default"/>
                <w:color w:val="auto"/>
                <w:sz w:val="24"/>
              </w:rPr>
            </w:pPr>
          </w:p>
        </w:tc>
      </w:tr>
      <w:tr>
        <w:tblPrEx>
          <w:tblW w:w="9872" w:type="dxa"/>
          <w:tblInd w:w="0" w:type="dxa"/>
          <w:tblLayout w:type="fixed"/>
          <w:tblCellMar>
            <w:top w:w="0" w:type="dxa"/>
            <w:left w:w="108" w:type="dxa"/>
            <w:bottom w:w="0" w:type="dxa"/>
            <w:right w:w="108" w:type="dxa"/>
          </w:tblCellMar>
        </w:tblPrEx>
        <w:trPr>
          <w:trHeight w:val="382"/>
        </w:trPr>
        <w:tc>
          <w:tcPr>
            <w:tcW w:w="680"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1460"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1658"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1442"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2176"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2456"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r>
      <w:tr>
        <w:tblPrEx>
          <w:tblW w:w="9872" w:type="dxa"/>
          <w:tblInd w:w="0" w:type="dxa"/>
          <w:tblLayout w:type="fixed"/>
          <w:tblCellMar>
            <w:top w:w="0" w:type="dxa"/>
            <w:left w:w="108" w:type="dxa"/>
            <w:bottom w:w="0" w:type="dxa"/>
            <w:right w:w="108" w:type="dxa"/>
          </w:tblCellMar>
        </w:tblPrEx>
        <w:trPr>
          <w:trHeight w:val="416"/>
        </w:trPr>
        <w:tc>
          <w:tcPr>
            <w:tcW w:w="680"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1460"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1658"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1442"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2176"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c>
          <w:tcPr>
            <w:tcW w:w="2456" w:type="dxa"/>
            <w:vAlign w:val="center"/>
          </w:tcPr>
          <w:p>
            <w:pPr>
              <w:keepNext w:val="0"/>
              <w:keepLines w:val="0"/>
              <w:suppressLineNumbers w:val="0"/>
              <w:spacing w:before="0" w:beforeAutospacing="0" w:after="0" w:afterAutospacing="0" w:line="400" w:lineRule="exact"/>
              <w:ind w:left="0" w:right="0"/>
              <w:jc w:val="center"/>
              <w:rPr>
                <w:rFonts w:hint="default"/>
                <w:sz w:val="24"/>
              </w:rPr>
            </w:pPr>
          </w:p>
        </w:tc>
      </w:tr>
    </w:tbl>
    <w:p>
      <w:pPr>
        <w:spacing w:line="440" w:lineRule="exact"/>
        <w:rPr>
          <w:rFonts w:ascii="宋体" w:hAnsi="宋体"/>
          <w:sz w:val="24"/>
        </w:rPr>
      </w:pPr>
      <w:r>
        <w:rPr>
          <w:rFonts w:hint="eastAsia"/>
          <w:bCs/>
          <w:sz w:val="24"/>
        </w:rPr>
        <w:t>备注：</w:t>
      </w:r>
      <w:r>
        <w:rPr>
          <w:rFonts w:ascii="宋体" w:hAnsi="宋体" w:hint="eastAsia"/>
          <w:sz w:val="24"/>
        </w:rPr>
        <w:t>根据评分表的要求提交相应资料。</w:t>
      </w:r>
    </w:p>
    <w:p>
      <w:pPr>
        <w:adjustRightInd w:val="0"/>
        <w:snapToGrid w:val="0"/>
        <w:spacing w:line="360" w:lineRule="auto"/>
        <w:ind w:left="732" w:hanging="640" w:hangingChars="305"/>
        <w:rPr>
          <w:rFonts w:ascii="宋体" w:hAnsi="宋体"/>
          <w:sz w:val="24"/>
        </w:rPr>
      </w:pPr>
    </w:p>
    <w:p>
      <w:pPr>
        <w:widowControl/>
        <w:jc w:val="left"/>
        <w:rPr>
          <w:rFonts w:hAnsi="宋体"/>
          <w:bCs/>
          <w:sz w:val="24"/>
        </w:rPr>
      </w:pPr>
      <w:bookmarkEnd w:id="193"/>
      <w:bookmarkEnd w:id="194"/>
      <w:r>
        <w:rPr>
          <w:rFonts w:hAnsi="宋体"/>
          <w:bCs/>
          <w:sz w:val="24"/>
        </w:rPr>
        <w:br w:type="page"/>
      </w:r>
    </w:p>
    <w:p>
      <w:pPr>
        <w:pStyle w:val="Heading2"/>
        <w:numPr>
          <w:ilvl w:val="0"/>
          <w:numId w:val="65"/>
        </w:numPr>
        <w:spacing w:line="240" w:lineRule="auto"/>
        <w:jc w:val="center"/>
        <w:rPr>
          <w:b w:val="0"/>
        </w:rPr>
      </w:pPr>
      <w:bookmarkEnd w:id="195"/>
      <w:bookmarkStart w:id="197" w:name="_Toc5410"/>
      <w:bookmarkStart w:id="198" w:name="_Toc30664891"/>
      <w:bookmarkStart w:id="199" w:name="_Toc31548"/>
      <w:bookmarkStart w:id="200" w:name="_Toc256000035"/>
      <w:r>
        <w:rPr>
          <w:rFonts w:hint="eastAsia"/>
          <w:b w:val="0"/>
        </w:rPr>
        <w:t>开票资料说明函</w:t>
      </w:r>
      <w:bookmarkEnd w:id="200"/>
      <w:bookmarkEnd w:id="197"/>
    </w:p>
    <w:p>
      <w:pPr>
        <w:snapToGrid w:val="0"/>
        <w:spacing w:line="360" w:lineRule="auto"/>
        <w:rPr>
          <w:rFonts w:ascii="宋体" w:hAnsi="宋体"/>
          <w:b/>
          <w:sz w:val="24"/>
        </w:rPr>
      </w:pPr>
      <w:r>
        <w:rPr>
          <w:rFonts w:ascii="宋体" w:hAnsi="宋体" w:hint="eastAsia"/>
          <w:b/>
          <w:sz w:val="24"/>
        </w:rPr>
        <w:t>采联国际招标采购集团有限公司:</w:t>
      </w:r>
    </w:p>
    <w:p>
      <w:pPr>
        <w:snapToGrid w:val="0"/>
        <w:spacing w:line="360" w:lineRule="auto"/>
        <w:ind w:firstLine="420" w:firstLineChars="200"/>
        <w:rPr>
          <w:rFonts w:ascii="宋体" w:cs="宋体"/>
          <w:sz w:val="24"/>
        </w:rPr>
      </w:pPr>
      <w:r>
        <w:rPr>
          <w:rFonts w:ascii="宋体" w:hAnsi="宋体" w:hint="eastAsia"/>
          <w:sz w:val="24"/>
        </w:rPr>
        <w:t>本公司</w:t>
      </w:r>
      <w:r>
        <w:rPr>
          <w:rFonts w:ascii="宋体" w:hAnsi="宋体" w:hint="eastAsia"/>
          <w:sz w:val="24"/>
          <w:u w:val="single"/>
        </w:rPr>
        <w:t xml:space="preserve">       (供应商名称)      </w:t>
      </w:r>
      <w:r>
        <w:rPr>
          <w:rFonts w:ascii="宋体" w:hAnsi="宋体" w:hint="eastAsia"/>
          <w:sz w:val="24"/>
        </w:rPr>
        <w:t>在参加在贵公司举行的</w:t>
      </w:r>
      <w:r>
        <w:rPr>
          <w:rFonts w:ascii="宋体" w:hAnsi="宋体" w:hint="eastAsia"/>
          <w:sz w:val="24"/>
          <w:u w:val="single"/>
        </w:rPr>
        <w:t xml:space="preserve">       </w:t>
      </w:r>
      <w:r>
        <w:rPr>
          <w:rFonts w:ascii="宋体" w:hAnsi="宋体" w:hint="eastAsia"/>
          <w:sz w:val="24"/>
          <w:u w:val="single"/>
          <w:lang w:eastAsia="zh-CN"/>
        </w:rPr>
        <w:t>智能计算与系统-高级白盒可编程路由器</w:t>
      </w:r>
      <w:r>
        <w:rPr>
          <w:rFonts w:ascii="宋体" w:hAnsi="宋体" w:hint="eastAsia"/>
          <w:sz w:val="24"/>
          <w:u w:val="single"/>
        </w:rPr>
        <w:t xml:space="preserve">      </w:t>
      </w:r>
      <w:r>
        <w:rPr>
          <w:rFonts w:ascii="宋体" w:hAnsi="宋体" w:hint="eastAsia"/>
          <w:sz w:val="24"/>
        </w:rPr>
        <w:t>(</w:t>
      </w:r>
      <w:r>
        <w:rPr>
          <w:rFonts w:hint="eastAsia"/>
          <w:sz w:val="24"/>
        </w:rPr>
        <w:t>项目编号：</w:t>
      </w:r>
      <w:r>
        <w:rPr>
          <w:rFonts w:hint="eastAsia"/>
          <w:sz w:val="24"/>
          <w:lang w:eastAsia="zh-CN"/>
        </w:rPr>
        <w:t>SZDL2023001961（CLF0123SZ17ZC27）</w:t>
      </w:r>
      <w:r>
        <w:rPr>
          <w:rFonts w:ascii="宋体" w:hAnsi="宋体" w:hint="eastAsia"/>
          <w:sz w:val="24"/>
        </w:rPr>
        <w:t>)的招标中如获中标</w:t>
      </w:r>
      <w:r>
        <w:rPr>
          <w:rFonts w:ascii="宋体" w:cs="宋体" w:hint="eastAsia"/>
          <w:sz w:val="24"/>
        </w:rPr>
        <w:t>，则开票类型选择</w:t>
      </w:r>
      <w:r>
        <w:rPr>
          <w:rFonts w:ascii="宋体" w:hAnsi="宋体" w:hint="eastAsia"/>
          <w:b/>
          <w:sz w:val="24"/>
          <w:u w:val="single"/>
        </w:rPr>
        <w:t>□增值税普通发票□增值税专用发票</w:t>
      </w:r>
      <w:r>
        <w:rPr>
          <w:rFonts w:ascii="宋体" w:hAnsi="宋体" w:hint="eastAsia"/>
          <w:sz w:val="24"/>
        </w:rPr>
        <w:t>（</w:t>
      </w:r>
      <w:r>
        <w:rPr>
          <w:rFonts w:ascii="宋体" w:hAnsi="宋体" w:hint="eastAsia"/>
          <w:b/>
          <w:sz w:val="24"/>
        </w:rPr>
        <w:t>请在对应的“□”打“√”，且只能选择其中一项）</w:t>
      </w:r>
      <w:r>
        <w:rPr>
          <w:rFonts w:ascii="宋体" w:cs="宋体" w:hint="eastAsia"/>
          <w:sz w:val="24"/>
        </w:rPr>
        <w:t>，以及我司的开票资料如下：</w:t>
      </w:r>
    </w:p>
    <w:tbl>
      <w:tblPr>
        <w:tblStyle w:val="TableNormal"/>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2471"/>
        <w:gridCol w:w="3763"/>
        <w:gridCol w:w="1179"/>
        <w:gridCol w:w="1665"/>
      </w:tblGrid>
      <w:tr>
        <w:tblPrEx>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59"/>
          <w:jc w:val="center"/>
        </w:trPr>
        <w:tc>
          <w:tcPr>
            <w:tcW w:w="2471" w:type="dxa"/>
            <w:vAlign w:val="center"/>
          </w:tcPr>
          <w:p>
            <w:pPr>
              <w:keepNext w:val="0"/>
              <w:keepLines w:val="0"/>
              <w:suppressLineNumbers w:val="0"/>
              <w:spacing w:before="0" w:beforeAutospacing="0" w:after="0" w:afterAutospacing="0"/>
              <w:ind w:left="0" w:right="0"/>
              <w:jc w:val="center"/>
              <w:rPr>
                <w:rFonts w:ascii="宋体" w:hint="default"/>
                <w:sz w:val="24"/>
              </w:rPr>
            </w:pPr>
            <w:r>
              <w:rPr>
                <w:rFonts w:ascii="宋体" w:hint="eastAsia"/>
                <w:sz w:val="24"/>
              </w:rPr>
              <w:t>单位名称</w:t>
            </w:r>
          </w:p>
        </w:tc>
        <w:tc>
          <w:tcPr>
            <w:tcW w:w="6607" w:type="dxa"/>
            <w:gridSpan w:val="3"/>
            <w:vAlign w:val="center"/>
          </w:tcPr>
          <w:p>
            <w:pPr>
              <w:keepNext w:val="0"/>
              <w:keepLines w:val="0"/>
              <w:suppressLineNumbers w:val="0"/>
              <w:spacing w:before="0" w:beforeAutospacing="0" w:after="0" w:afterAutospacing="0"/>
              <w:ind w:left="0" w:right="0"/>
              <w:jc w:val="center"/>
              <w:rPr>
                <w:rFonts w:ascii="宋体" w:hint="default"/>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keepNext w:val="0"/>
              <w:keepLines w:val="0"/>
              <w:suppressLineNumbers w:val="0"/>
              <w:spacing w:before="0" w:beforeAutospacing="0" w:after="0" w:afterAutospacing="0"/>
              <w:ind w:left="0" w:right="0"/>
              <w:jc w:val="center"/>
              <w:rPr>
                <w:rFonts w:ascii="宋体" w:hint="default"/>
                <w:sz w:val="24"/>
              </w:rPr>
            </w:pPr>
            <w:r>
              <w:rPr>
                <w:rFonts w:ascii="宋体" w:hAnsi="宋体" w:hint="eastAsia"/>
                <w:sz w:val="24"/>
              </w:rPr>
              <w:t>纳税人识别号</w:t>
            </w:r>
          </w:p>
        </w:tc>
        <w:tc>
          <w:tcPr>
            <w:tcW w:w="6607" w:type="dxa"/>
            <w:gridSpan w:val="3"/>
            <w:vAlign w:val="center"/>
          </w:tcPr>
          <w:p>
            <w:pPr>
              <w:keepNext w:val="0"/>
              <w:keepLines w:val="0"/>
              <w:suppressLineNumbers w:val="0"/>
              <w:spacing w:before="0" w:beforeAutospacing="0" w:after="0" w:afterAutospacing="0"/>
              <w:ind w:left="0" w:right="0"/>
              <w:jc w:val="center"/>
              <w:rPr>
                <w:rFonts w:ascii="宋体" w:hint="default"/>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keepNext w:val="0"/>
              <w:keepLines w:val="0"/>
              <w:suppressLineNumbers w:val="0"/>
              <w:spacing w:before="0" w:beforeAutospacing="0" w:after="0" w:afterAutospacing="0"/>
              <w:ind w:left="0" w:right="0"/>
              <w:jc w:val="center"/>
              <w:rPr>
                <w:rFonts w:ascii="宋体" w:hint="default"/>
                <w:sz w:val="24"/>
              </w:rPr>
            </w:pPr>
            <w:r>
              <w:rPr>
                <w:rFonts w:ascii="宋体" w:hint="eastAsia"/>
                <w:sz w:val="24"/>
              </w:rPr>
              <w:t>地址</w:t>
            </w:r>
          </w:p>
        </w:tc>
        <w:tc>
          <w:tcPr>
            <w:tcW w:w="6607" w:type="dxa"/>
            <w:gridSpan w:val="3"/>
            <w:vAlign w:val="center"/>
          </w:tcPr>
          <w:p>
            <w:pPr>
              <w:keepNext w:val="0"/>
              <w:keepLines w:val="0"/>
              <w:suppressLineNumbers w:val="0"/>
              <w:spacing w:before="0" w:beforeAutospacing="0" w:after="0" w:afterAutospacing="0"/>
              <w:ind w:left="0" w:right="0"/>
              <w:jc w:val="center"/>
              <w:rPr>
                <w:rFonts w:ascii="宋体" w:hint="default"/>
                <w:sz w:val="24"/>
              </w:rPr>
            </w:pPr>
          </w:p>
        </w:tc>
      </w:tr>
      <w:tr>
        <w:tblPrEx>
          <w:tblW w:w="9078" w:type="dxa"/>
          <w:jc w:val="center"/>
          <w:tblLayout w:type="fixed"/>
          <w:tblCellMar>
            <w:top w:w="0" w:type="dxa"/>
            <w:left w:w="108" w:type="dxa"/>
            <w:bottom w:w="0" w:type="dxa"/>
            <w:right w:w="108" w:type="dxa"/>
          </w:tblCellMar>
        </w:tblPrEx>
        <w:trPr>
          <w:cantSplit/>
          <w:trHeight w:val="672"/>
          <w:jc w:val="center"/>
        </w:trPr>
        <w:tc>
          <w:tcPr>
            <w:tcW w:w="2471" w:type="dxa"/>
            <w:vAlign w:val="center"/>
          </w:tcPr>
          <w:p>
            <w:pPr>
              <w:keepNext w:val="0"/>
              <w:keepLines w:val="0"/>
              <w:suppressLineNumbers w:val="0"/>
              <w:spacing w:before="0" w:beforeAutospacing="0" w:after="0" w:afterAutospacing="0"/>
              <w:ind w:left="0" w:right="0"/>
              <w:jc w:val="center"/>
              <w:rPr>
                <w:rFonts w:ascii="宋体" w:hint="default"/>
                <w:sz w:val="24"/>
              </w:rPr>
            </w:pPr>
            <w:r>
              <w:rPr>
                <w:rFonts w:ascii="宋体" w:hint="eastAsia"/>
                <w:sz w:val="24"/>
              </w:rPr>
              <w:t>开户银行</w:t>
            </w:r>
          </w:p>
          <w:p>
            <w:pPr>
              <w:keepNext w:val="0"/>
              <w:keepLines w:val="0"/>
              <w:suppressLineNumbers w:val="0"/>
              <w:spacing w:before="0" w:beforeAutospacing="0" w:after="0" w:afterAutospacing="0"/>
              <w:ind w:left="0" w:right="0"/>
              <w:jc w:val="center"/>
              <w:rPr>
                <w:rFonts w:ascii="宋体" w:hint="default"/>
                <w:sz w:val="24"/>
              </w:rPr>
            </w:pPr>
            <w:r>
              <w:rPr>
                <w:rFonts w:ascii="宋体" w:hAnsi="宋体" w:hint="eastAsia"/>
                <w:sz w:val="24"/>
              </w:rPr>
              <w:t>（具体到XX银行XX支行）</w:t>
            </w:r>
          </w:p>
        </w:tc>
        <w:tc>
          <w:tcPr>
            <w:tcW w:w="3763" w:type="dxa"/>
            <w:vAlign w:val="center"/>
          </w:tcPr>
          <w:p>
            <w:pPr>
              <w:keepNext w:val="0"/>
              <w:keepLines w:val="0"/>
              <w:suppressLineNumbers w:val="0"/>
              <w:spacing w:before="0" w:beforeAutospacing="0" w:after="0" w:afterAutospacing="0"/>
              <w:ind w:left="0" w:right="0"/>
              <w:jc w:val="center"/>
              <w:rPr>
                <w:rFonts w:ascii="宋体" w:hint="default"/>
                <w:sz w:val="24"/>
              </w:rPr>
            </w:pPr>
          </w:p>
        </w:tc>
        <w:tc>
          <w:tcPr>
            <w:tcW w:w="1179" w:type="dxa"/>
            <w:vAlign w:val="center"/>
          </w:tcPr>
          <w:p>
            <w:pPr>
              <w:keepNext w:val="0"/>
              <w:keepLines w:val="0"/>
              <w:suppressLineNumbers w:val="0"/>
              <w:spacing w:before="0" w:beforeAutospacing="0" w:after="0" w:afterAutospacing="0"/>
              <w:ind w:left="0" w:right="0"/>
              <w:jc w:val="center"/>
              <w:rPr>
                <w:rFonts w:ascii="宋体" w:hint="default"/>
                <w:sz w:val="24"/>
              </w:rPr>
            </w:pPr>
            <w:r>
              <w:rPr>
                <w:rFonts w:ascii="宋体" w:hint="eastAsia"/>
                <w:sz w:val="24"/>
              </w:rPr>
              <w:t>联系电话</w:t>
            </w:r>
          </w:p>
        </w:tc>
        <w:tc>
          <w:tcPr>
            <w:tcW w:w="1665" w:type="dxa"/>
            <w:vAlign w:val="center"/>
          </w:tcPr>
          <w:p>
            <w:pPr>
              <w:keepNext w:val="0"/>
              <w:keepLines w:val="0"/>
              <w:suppressLineNumbers w:val="0"/>
              <w:spacing w:before="0" w:beforeAutospacing="0" w:after="0" w:afterAutospacing="0"/>
              <w:ind w:left="0" w:right="0"/>
              <w:jc w:val="center"/>
              <w:rPr>
                <w:rFonts w:ascii="宋体" w:hint="default"/>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keepNext w:val="0"/>
              <w:keepLines w:val="0"/>
              <w:suppressLineNumbers w:val="0"/>
              <w:spacing w:before="0" w:beforeAutospacing="0" w:after="0" w:afterAutospacing="0"/>
              <w:ind w:left="0" w:right="0"/>
              <w:jc w:val="center"/>
              <w:rPr>
                <w:rFonts w:ascii="宋体" w:hint="default"/>
                <w:sz w:val="24"/>
              </w:rPr>
            </w:pPr>
            <w:r>
              <w:rPr>
                <w:rFonts w:ascii="宋体" w:hint="eastAsia"/>
                <w:sz w:val="24"/>
              </w:rPr>
              <w:t>账    号</w:t>
            </w:r>
          </w:p>
        </w:tc>
        <w:tc>
          <w:tcPr>
            <w:tcW w:w="3763" w:type="dxa"/>
            <w:vAlign w:val="center"/>
          </w:tcPr>
          <w:p>
            <w:pPr>
              <w:keepNext w:val="0"/>
              <w:keepLines w:val="0"/>
              <w:suppressLineNumbers w:val="0"/>
              <w:spacing w:before="0" w:beforeAutospacing="0" w:after="0" w:afterAutospacing="0"/>
              <w:ind w:left="0" w:right="0"/>
              <w:jc w:val="center"/>
              <w:rPr>
                <w:rFonts w:ascii="宋体" w:hint="default"/>
                <w:sz w:val="24"/>
              </w:rPr>
            </w:pPr>
          </w:p>
        </w:tc>
        <w:tc>
          <w:tcPr>
            <w:tcW w:w="1179" w:type="dxa"/>
            <w:vAlign w:val="center"/>
          </w:tcPr>
          <w:p>
            <w:pPr>
              <w:keepNext w:val="0"/>
              <w:keepLines w:val="0"/>
              <w:suppressLineNumbers w:val="0"/>
              <w:spacing w:before="0" w:beforeAutospacing="0" w:after="0" w:afterAutospacing="0"/>
              <w:ind w:left="0" w:right="0"/>
              <w:jc w:val="center"/>
              <w:rPr>
                <w:rFonts w:ascii="宋体" w:hint="default"/>
                <w:sz w:val="24"/>
              </w:rPr>
            </w:pPr>
            <w:r>
              <w:rPr>
                <w:rFonts w:ascii="宋体" w:hint="eastAsia"/>
                <w:sz w:val="24"/>
              </w:rPr>
              <w:t>联系人</w:t>
            </w:r>
          </w:p>
        </w:tc>
        <w:tc>
          <w:tcPr>
            <w:tcW w:w="1665" w:type="dxa"/>
            <w:vAlign w:val="center"/>
          </w:tcPr>
          <w:p>
            <w:pPr>
              <w:keepNext w:val="0"/>
              <w:keepLines w:val="0"/>
              <w:suppressLineNumbers w:val="0"/>
              <w:spacing w:before="0" w:beforeAutospacing="0" w:after="0" w:afterAutospacing="0"/>
              <w:ind w:left="0" w:right="0"/>
              <w:jc w:val="center"/>
              <w:rPr>
                <w:rFonts w:ascii="宋体" w:hint="default"/>
                <w:sz w:val="24"/>
              </w:rPr>
            </w:pPr>
          </w:p>
        </w:tc>
      </w:tr>
      <w:tr>
        <w:tblPrEx>
          <w:tblW w:w="9078" w:type="dxa"/>
          <w:jc w:val="center"/>
          <w:tblLayout w:type="fixed"/>
          <w:tblCellMar>
            <w:top w:w="0" w:type="dxa"/>
            <w:left w:w="108" w:type="dxa"/>
            <w:bottom w:w="0" w:type="dxa"/>
            <w:right w:w="108" w:type="dxa"/>
          </w:tblCellMar>
        </w:tblPrEx>
        <w:trPr>
          <w:cantSplit/>
          <w:trHeight w:val="573"/>
          <w:jc w:val="center"/>
        </w:trPr>
        <w:tc>
          <w:tcPr>
            <w:tcW w:w="9078" w:type="dxa"/>
            <w:gridSpan w:val="4"/>
            <w:vAlign w:val="center"/>
          </w:tcPr>
          <w:p>
            <w:pPr>
              <w:keepNext w:val="0"/>
              <w:keepLines w:val="0"/>
              <w:suppressLineNumbers w:val="0"/>
              <w:spacing w:before="0" w:beforeAutospacing="0" w:after="0" w:afterAutospacing="0"/>
              <w:ind w:left="0" w:right="0"/>
              <w:rPr>
                <w:rFonts w:ascii="宋体" w:hint="default"/>
                <w:b/>
                <w:sz w:val="24"/>
              </w:rPr>
            </w:pPr>
            <w:r>
              <w:rPr>
                <w:rFonts w:ascii="宋体" w:hint="eastAsia"/>
                <w:b/>
                <w:sz w:val="24"/>
              </w:rPr>
              <w:t>附件：</w:t>
            </w:r>
            <w:r>
              <w:rPr>
                <w:rFonts w:ascii="宋体" w:hAnsi="宋体" w:hint="eastAsia"/>
                <w:b/>
                <w:sz w:val="24"/>
              </w:rPr>
              <w:t>一般纳税人资格认定税务通知书或其他可证明具有该项资格证明文件的扫描件。</w:t>
            </w:r>
          </w:p>
        </w:tc>
      </w:tr>
    </w:tbl>
    <w:p>
      <w:pPr>
        <w:spacing w:line="360" w:lineRule="auto"/>
        <w:ind w:firstLine="420" w:firstLineChars="200"/>
        <w:rPr>
          <w:rFonts w:ascii="宋体"/>
          <w:sz w:val="24"/>
        </w:rPr>
      </w:pPr>
      <w:r>
        <w:rPr>
          <w:rFonts w:ascii="宋体" w:hint="eastAsia"/>
          <w:sz w:val="24"/>
        </w:rPr>
        <w:t>投标截止日，如本单位（公司）未按该要求填写、未提供有效的开票资料、未确认开具发票类型或确认的发票类型有误，则视为开具增值税普通发票。同意采联国际招标采购集团有限公司不予更换发票类型。并愿承担由此引起的一切后果。</w:t>
      </w:r>
    </w:p>
    <w:p>
      <w:pPr>
        <w:spacing w:line="360" w:lineRule="auto"/>
        <w:ind w:firstLine="420" w:firstLineChars="200"/>
        <w:rPr>
          <w:rFonts w:ascii="宋体"/>
          <w:sz w:val="24"/>
        </w:rPr>
      </w:pPr>
    </w:p>
    <w:p>
      <w:pPr>
        <w:snapToGrid w:val="0"/>
        <w:spacing w:line="520" w:lineRule="exact"/>
        <w:ind w:left="780" w:firstLine="5172" w:firstLineChars="2463"/>
        <w:rPr>
          <w:rFonts w:ascii="宋体"/>
          <w:sz w:val="24"/>
        </w:rPr>
      </w:pPr>
    </w:p>
    <w:p>
      <w:r>
        <w:rPr>
          <w:rFonts w:hint="eastAsia"/>
        </w:rPr>
        <w:br w:type="page"/>
      </w:r>
    </w:p>
    <w:p>
      <w:pPr>
        <w:pStyle w:val="Heading2"/>
        <w:numPr>
          <w:ilvl w:val="0"/>
          <w:numId w:val="65"/>
        </w:numPr>
        <w:spacing w:line="240" w:lineRule="auto"/>
        <w:jc w:val="center"/>
        <w:rPr>
          <w:b w:val="0"/>
        </w:rPr>
      </w:pPr>
      <w:bookmarkEnd w:id="198"/>
      <w:bookmarkEnd w:id="199"/>
      <w:bookmarkStart w:id="201" w:name="_Toc30664894"/>
      <w:bookmarkStart w:id="202" w:name="_Toc9719"/>
      <w:bookmarkStart w:id="203" w:name="_Toc23867"/>
      <w:bookmarkStart w:id="204" w:name="_Toc256000036"/>
      <w:r>
        <w:rPr>
          <w:rFonts w:hint="eastAsia"/>
          <w:b w:val="0"/>
        </w:rPr>
        <w:t>投标人认为需要加以说明的其他内容</w:t>
      </w:r>
      <w:bookmarkEnd w:id="204"/>
      <w:bookmarkEnd w:id="201"/>
      <w:bookmarkEnd w:id="202"/>
      <w:bookmarkEnd w:id="203"/>
    </w:p>
    <w:p>
      <w:pPr>
        <w:widowControl/>
        <w:jc w:val="left"/>
      </w:pPr>
    </w:p>
    <w:p>
      <w:pPr>
        <w:widowControl/>
        <w:jc w:val="left"/>
        <w:rPr>
          <w:rFonts w:ascii="宋体" w:hAnsi="宋体"/>
          <w:b/>
          <w:bCs/>
          <w:sz w:val="44"/>
        </w:rPr>
      </w:pPr>
    </w:p>
    <w:p/>
    <w:p>
      <w:pPr>
        <w:widowControl/>
        <w:jc w:val="left"/>
        <w:rPr>
          <w:rFonts w:ascii="宋体" w:hAnsi="宋体"/>
          <w:b/>
          <w:bCs/>
          <w:sz w:val="44"/>
        </w:rPr>
      </w:pPr>
    </w:p>
    <w:p>
      <w:pPr>
        <w:widowControl/>
        <w:jc w:val="left"/>
        <w:rPr>
          <w:rFonts w:ascii="宋体" w:hAnsi="宋体"/>
          <w:b/>
          <w:bCs/>
          <w:sz w:val="44"/>
        </w:rPr>
      </w:pPr>
    </w:p>
    <w:p>
      <w:pPr>
        <w:widowControl/>
        <w:jc w:val="left"/>
      </w:pPr>
    </w:p>
    <w:p/>
    <w:p>
      <w:pPr>
        <w:tabs>
          <w:tab w:val="left" w:pos="426"/>
        </w:tabs>
        <w:autoSpaceDE w:val="0"/>
        <w:autoSpaceDN w:val="0"/>
        <w:adjustRightInd w:val="0"/>
        <w:spacing w:line="360" w:lineRule="auto"/>
        <w:ind w:left="505"/>
        <w:jc w:val="center"/>
        <w:outlineLvl w:val="3"/>
      </w:pPr>
      <w:r>
        <w:rPr>
          <w:rFonts w:hint="eastAsia"/>
          <w:b/>
          <w:sz w:val="24"/>
        </w:rPr>
        <w:t>（信息公开部分的内容到此为止！往下为信息不公开部分。）</w:t>
      </w:r>
    </w:p>
    <w:p>
      <w:bookmarkStart w:id="205" w:name="_Toc50737329"/>
      <w:bookmarkStart w:id="206" w:name="_Toc52165081"/>
      <w:bookmarkStart w:id="207" w:name="_Toc435515299"/>
      <w:bookmarkStart w:id="208" w:name="_Toc50737297"/>
      <w:bookmarkStart w:id="209" w:name="_Toc275865607"/>
      <w:bookmarkStart w:id="210" w:name="_Toc30664879"/>
      <w:bookmarkStart w:id="211" w:name="_Toc24852"/>
      <w:bookmarkStart w:id="212" w:name="_Toc435514859"/>
      <w:bookmarkStart w:id="213" w:name="_Toc50736477"/>
      <w:bookmarkStart w:id="214" w:name="_Toc50737328"/>
      <w:bookmarkStart w:id="215" w:name="_Toc50737296"/>
      <w:bookmarkStart w:id="216" w:name="_Toc52165080"/>
      <w:bookmarkStart w:id="217" w:name="_Toc50736476"/>
      <w:bookmarkStart w:id="218" w:name="_Toc50691034"/>
      <w:r>
        <w:rPr>
          <w:rFonts w:hint="eastAsia"/>
        </w:rPr>
        <w:br w:type="page"/>
      </w:r>
    </w:p>
    <w:p>
      <w:pPr>
        <w:pStyle w:val="Heading2"/>
        <w:numPr>
          <w:ilvl w:val="0"/>
          <w:numId w:val="65"/>
        </w:numPr>
        <w:spacing w:line="240" w:lineRule="auto"/>
        <w:jc w:val="center"/>
      </w:pPr>
      <w:bookmarkStart w:id="219" w:name="_Toc14579"/>
      <w:bookmarkStart w:id="220" w:name="_Toc256000037"/>
      <w:r>
        <w:rPr>
          <w:rFonts w:hint="eastAsia"/>
          <w:b w:val="0"/>
        </w:rPr>
        <w:t>法定代表人证明书</w:t>
      </w:r>
      <w:bookmarkEnd w:id="220"/>
      <w:bookmarkEnd w:id="219"/>
    </w:p>
    <w:p>
      <w:pPr>
        <w:jc w:val="center"/>
        <w:rPr>
          <w:sz w:val="36"/>
          <w:szCs w:val="36"/>
        </w:rPr>
      </w:pPr>
      <w:r>
        <w:rPr>
          <w:rFonts w:ascii="宋体" w:hAnsi="宋体" w:hint="eastAsia"/>
          <w:b/>
          <w:sz w:val="36"/>
          <w:szCs w:val="36"/>
        </w:rPr>
        <w:t>（非信息公开部分）</w:t>
      </w:r>
    </w:p>
    <w:p/>
    <w:p>
      <w:pPr>
        <w:tabs>
          <w:tab w:val="left" w:pos="900"/>
        </w:tabs>
        <w:spacing w:line="480" w:lineRule="auto"/>
        <w:ind w:firstLine="945" w:firstLineChars="450"/>
        <w:rPr>
          <w:rFonts w:ascii="宋体" w:hAnsi="宋体"/>
          <w:sz w:val="24"/>
        </w:rPr>
      </w:pPr>
      <w:r>
        <w:rPr>
          <w:rFonts w:ascii="宋体" w:hAnsi="宋体" w:hint="eastAsia"/>
          <w:sz w:val="24"/>
        </w:rPr>
        <w:t>______________同志，现任我单位职务，为法定代表人，特此证明。</w:t>
      </w:r>
    </w:p>
    <w:p>
      <w:pPr>
        <w:spacing w:line="360" w:lineRule="auto"/>
        <w:ind w:firstLine="420" w:firstLineChars="200"/>
        <w:rPr>
          <w:rFonts w:ascii="宋体" w:hAnsi="宋体"/>
          <w:sz w:val="24"/>
        </w:rPr>
      </w:pPr>
      <w:r>
        <w:rPr>
          <w:rFonts w:ascii="宋体" w:hint="eastAsia"/>
          <w:sz w:val="24"/>
        </w:rPr>
        <w:t>本证明书自签发之日起生效，</w:t>
      </w:r>
      <w:r>
        <w:rPr>
          <w:rFonts w:ascii="宋体" w:hAnsi="宋体" w:hint="eastAsia"/>
          <w:sz w:val="24"/>
        </w:rPr>
        <w:t>有效期与本公司投标文件中标注的投标有效期相同。</w:t>
      </w:r>
    </w:p>
    <w:p>
      <w:pPr>
        <w:spacing w:line="480" w:lineRule="auto"/>
        <w:ind w:firstLine="420" w:firstLineChars="200"/>
        <w:rPr>
          <w:rFonts w:ascii="宋体" w:hAnsi="宋体"/>
          <w:sz w:val="24"/>
        </w:rPr>
      </w:pPr>
      <w:r>
        <w:rPr>
          <w:rFonts w:ascii="宋体" w:hAnsi="宋体" w:hint="eastAsia"/>
          <w:sz w:val="24"/>
        </w:rPr>
        <w:t>附：</w:t>
      </w:r>
    </w:p>
    <w:p>
      <w:pPr>
        <w:spacing w:line="480" w:lineRule="auto"/>
        <w:ind w:firstLine="840" w:firstLineChars="400"/>
        <w:rPr>
          <w:rFonts w:ascii="宋体" w:hAnsi="宋体"/>
          <w:sz w:val="24"/>
        </w:rPr>
      </w:pPr>
      <w:r>
        <w:rPr>
          <w:rFonts w:ascii="宋体" w:hAnsi="宋体" w:hint="eastAsia"/>
          <w:sz w:val="24"/>
        </w:rPr>
        <w:t xml:space="preserve">营业执照（统一社会信用代码）：                       </w:t>
      </w:r>
    </w:p>
    <w:p>
      <w:pPr>
        <w:spacing w:line="480" w:lineRule="auto"/>
        <w:ind w:firstLine="840" w:firstLineChars="400"/>
        <w:rPr>
          <w:rFonts w:ascii="宋体" w:hAnsi="宋体"/>
          <w:sz w:val="24"/>
        </w:rPr>
      </w:pPr>
      <w:r>
        <w:rPr>
          <w:rFonts w:ascii="宋体" w:hAnsi="宋体" w:hint="eastAsia"/>
          <w:sz w:val="24"/>
        </w:rPr>
        <w:t>经济性质：</w:t>
      </w:r>
    </w:p>
    <w:p>
      <w:pPr>
        <w:spacing w:line="480" w:lineRule="auto"/>
        <w:ind w:firstLine="840" w:firstLineChars="400"/>
        <w:rPr>
          <w:rFonts w:ascii="宋体" w:hAnsi="宋体"/>
          <w:sz w:val="24"/>
        </w:rPr>
      </w:pPr>
      <w:r>
        <w:rPr>
          <w:rFonts w:ascii="宋体" w:hAnsi="宋体" w:hint="eastAsia"/>
          <w:sz w:val="24"/>
        </w:rPr>
        <w:t>主营（产）：</w:t>
      </w:r>
    </w:p>
    <w:p>
      <w:pPr>
        <w:spacing w:line="480" w:lineRule="auto"/>
        <w:ind w:firstLine="840" w:firstLineChars="400"/>
        <w:rPr>
          <w:rFonts w:ascii="宋体" w:hAnsi="宋体"/>
          <w:sz w:val="24"/>
        </w:rPr>
      </w:pPr>
      <w:r>
        <w:rPr>
          <w:rFonts w:ascii="宋体" w:hAnsi="宋体" w:hint="eastAsia"/>
          <w:sz w:val="24"/>
        </w:rPr>
        <w:t>兼营（产）：</w:t>
      </w:r>
    </w:p>
    <w:p>
      <w:pPr>
        <w:spacing w:line="360" w:lineRule="auto"/>
        <w:ind w:firstLine="210" w:firstLineChars="100"/>
        <w:rPr>
          <w:rFonts w:ascii="宋体"/>
          <w:sz w:val="24"/>
        </w:rPr>
      </w:pPr>
      <w:r>
        <w:rPr>
          <w:rFonts w:ascii="宋体" w:hint="eastAsia"/>
          <w:sz w:val="24"/>
        </w:rPr>
        <w:t>提供法定代表人居民身份证（正反面）扫描件：</w:t>
      </w:r>
    </w:p>
    <w:p>
      <w:pPr>
        <w:spacing w:line="360" w:lineRule="auto"/>
        <w:rPr>
          <w:rFonts w:ascii="宋体"/>
          <w:sz w:val="24"/>
        </w:rPr>
      </w:pPr>
    </w:p>
    <w:p>
      <w:pPr>
        <w:spacing w:line="360" w:lineRule="auto"/>
        <w:rPr>
          <w:rFonts w:ascii="宋体"/>
          <w:sz w:val="24"/>
        </w:rPr>
      </w:pPr>
    </w:p>
    <w:p>
      <w:pPr>
        <w:spacing w:line="500" w:lineRule="exact"/>
        <w:rPr>
          <w:rFonts w:ascii="宋体"/>
          <w:b/>
          <w:bCs/>
          <w:sz w:val="24"/>
        </w:rPr>
      </w:pPr>
    </w:p>
    <w:p>
      <w:pPr>
        <w:spacing w:line="500" w:lineRule="exact"/>
        <w:rPr>
          <w:rFonts w:ascii="宋体"/>
          <w:b/>
          <w:bCs/>
          <w:sz w:val="24"/>
        </w:rPr>
      </w:pPr>
    </w:p>
    <w:p>
      <w:pPr>
        <w:widowControl/>
        <w:jc w:val="left"/>
      </w:pPr>
      <w:r>
        <w:rPr>
          <w:rFonts w:ascii="宋体" w:hAnsi="宋体"/>
          <w:sz w:val="24"/>
        </w:rPr>
        <w:br w:type="page"/>
      </w:r>
    </w:p>
    <w:p>
      <w:pPr>
        <w:pStyle w:val="Heading2"/>
        <w:numPr>
          <w:ilvl w:val="0"/>
          <w:numId w:val="65"/>
        </w:numPr>
        <w:spacing w:line="240" w:lineRule="auto"/>
        <w:jc w:val="center"/>
      </w:pPr>
      <w:bookmarkStart w:id="221" w:name="_Toc21996"/>
      <w:bookmarkStart w:id="222" w:name="_Toc256000038"/>
      <w:r>
        <w:rPr>
          <w:rFonts w:hint="eastAsia"/>
          <w:b w:val="0"/>
        </w:rPr>
        <w:t>法定代表人授权委托书</w:t>
      </w:r>
      <w:bookmarkEnd w:id="222"/>
      <w:bookmarkEnd w:id="205"/>
      <w:bookmarkEnd w:id="206"/>
      <w:bookmarkEnd w:id="207"/>
      <w:bookmarkEnd w:id="208"/>
      <w:bookmarkEnd w:id="209"/>
      <w:bookmarkEnd w:id="210"/>
      <w:bookmarkEnd w:id="211"/>
      <w:bookmarkEnd w:id="212"/>
      <w:bookmarkEnd w:id="213"/>
      <w:bookmarkEnd w:id="221"/>
    </w:p>
    <w:p>
      <w:pPr>
        <w:jc w:val="center"/>
        <w:rPr>
          <w:sz w:val="36"/>
          <w:szCs w:val="36"/>
        </w:rPr>
      </w:pPr>
      <w:r>
        <w:rPr>
          <w:rFonts w:ascii="宋体" w:hAnsi="宋体" w:hint="eastAsia"/>
          <w:b/>
          <w:sz w:val="36"/>
          <w:szCs w:val="36"/>
        </w:rPr>
        <w:t>（非信息公开部分）</w:t>
      </w:r>
    </w:p>
    <w:p>
      <w:pPr>
        <w:pStyle w:val="PlainText"/>
        <w:spacing w:line="360" w:lineRule="auto"/>
        <w:ind w:firstLine="420" w:firstLineChars="200"/>
        <w:rPr>
          <w:color w:val="auto"/>
          <w:sz w:val="24"/>
          <w:szCs w:val="24"/>
        </w:rPr>
      </w:pPr>
      <w:r>
        <w:rPr>
          <w:rFonts w:hint="eastAsia"/>
          <w:sz w:val="24"/>
          <w:szCs w:val="24"/>
        </w:rPr>
        <w:t>本授权委托书声明：注册于</w:t>
      </w:r>
      <w:r>
        <w:rPr>
          <w:rFonts w:hint="eastAsia"/>
          <w:sz w:val="24"/>
          <w:szCs w:val="24"/>
          <w:u w:val="single"/>
        </w:rPr>
        <w:t xml:space="preserve"> （投标人地址）  </w:t>
      </w:r>
      <w:r>
        <w:rPr>
          <w:rFonts w:hint="eastAsia"/>
          <w:sz w:val="24"/>
          <w:szCs w:val="24"/>
        </w:rPr>
        <w:t>的</w:t>
      </w:r>
      <w:r>
        <w:rPr>
          <w:rFonts w:hint="eastAsia"/>
          <w:sz w:val="24"/>
          <w:szCs w:val="24"/>
          <w:u w:val="single"/>
        </w:rPr>
        <w:t xml:space="preserve">  （投标人名称）    </w:t>
      </w:r>
      <w:r>
        <w:rPr>
          <w:rFonts w:hint="eastAsia"/>
          <w:sz w:val="24"/>
          <w:szCs w:val="24"/>
        </w:rPr>
        <w:t>的</w:t>
      </w:r>
      <w:r>
        <w:rPr>
          <w:rFonts w:hint="eastAsia"/>
          <w:sz w:val="24"/>
          <w:szCs w:val="24"/>
          <w:u w:val="single"/>
        </w:rPr>
        <w:t>（法定代表人姓名、职务、手机号</w:t>
      </w:r>
      <w:r>
        <w:rPr>
          <w:rFonts w:hint="eastAsia"/>
          <w:color w:val="auto"/>
          <w:sz w:val="24"/>
          <w:szCs w:val="24"/>
          <w:u w:val="single"/>
        </w:rPr>
        <w:t>码）</w:t>
      </w:r>
      <w:r>
        <w:rPr>
          <w:rFonts w:hint="eastAsia"/>
          <w:color w:val="auto"/>
          <w:sz w:val="24"/>
          <w:szCs w:val="24"/>
        </w:rPr>
        <w:t>在此授权</w:t>
      </w:r>
      <w:r>
        <w:rPr>
          <w:rFonts w:hint="eastAsia"/>
          <w:color w:val="auto"/>
          <w:sz w:val="24"/>
          <w:szCs w:val="24"/>
          <w:u w:val="single"/>
        </w:rPr>
        <w:t>（被授权人姓名、职务、手机号码）</w:t>
      </w:r>
      <w:r>
        <w:rPr>
          <w:rFonts w:hint="eastAsia"/>
          <w:color w:val="auto"/>
          <w:sz w:val="24"/>
          <w:szCs w:val="24"/>
        </w:rPr>
        <w:t>作为本单位（公司）的合法代理人，就</w:t>
      </w:r>
      <w:r>
        <w:rPr>
          <w:rFonts w:hint="eastAsia"/>
          <w:color w:val="auto"/>
          <w:sz w:val="24"/>
          <w:szCs w:val="24"/>
          <w:u w:val="single"/>
        </w:rPr>
        <w:t>（</w:t>
      </w:r>
      <w:r>
        <w:rPr>
          <w:rFonts w:asciiTheme="minorEastAsia" w:hAnsiTheme="minorEastAsia" w:hint="eastAsia"/>
          <w:color w:val="auto"/>
          <w:sz w:val="24"/>
          <w:u w:val="single"/>
          <w:lang w:eastAsia="zh-CN"/>
        </w:rPr>
        <w:t>智能计算与系统-高级白盒可编程路由器</w:t>
      </w:r>
      <w:r>
        <w:rPr>
          <w:rFonts w:hint="eastAsia"/>
          <w:color w:val="auto"/>
          <w:sz w:val="24"/>
          <w:szCs w:val="24"/>
          <w:u w:val="single"/>
        </w:rPr>
        <w:t>、</w:t>
      </w:r>
      <w:r>
        <w:rPr>
          <w:rFonts w:hint="eastAsia"/>
          <w:color w:val="auto"/>
          <w:sz w:val="24"/>
          <w:szCs w:val="24"/>
          <w:u w:val="single"/>
          <w:lang w:eastAsia="zh-CN"/>
        </w:rPr>
        <w:t>SZDL2023001961（CLF0123SZ17ZC27）</w:t>
      </w:r>
      <w:r>
        <w:rPr>
          <w:rFonts w:hint="eastAsia"/>
          <w:color w:val="auto"/>
          <w:sz w:val="24"/>
          <w:szCs w:val="24"/>
        </w:rPr>
        <w:t>）的招投标活动，采购合同的签订、执行、完成和售后服务，作为投标人代表以我方的名义处理一切与之有关的事务。</w:t>
      </w:r>
    </w:p>
    <w:p>
      <w:pPr>
        <w:pStyle w:val="PlainText"/>
        <w:spacing w:line="360" w:lineRule="auto"/>
        <w:ind w:firstLine="420" w:firstLineChars="200"/>
        <w:rPr>
          <w:sz w:val="24"/>
          <w:szCs w:val="24"/>
        </w:rPr>
      </w:pPr>
      <w:r>
        <w:rPr>
          <w:rFonts w:hint="eastAsia"/>
          <w:color w:val="auto"/>
          <w:sz w:val="24"/>
          <w:szCs w:val="24"/>
        </w:rPr>
        <w:t>被授权人（投标人授权代表</w:t>
      </w:r>
      <w:r>
        <w:rPr>
          <w:rFonts w:hint="eastAsia"/>
          <w:sz w:val="24"/>
          <w:szCs w:val="24"/>
        </w:rPr>
        <w:t>）无转委托权限。</w:t>
      </w:r>
    </w:p>
    <w:p>
      <w:pPr>
        <w:spacing w:line="360" w:lineRule="auto"/>
        <w:rPr>
          <w:rFonts w:ascii="宋体"/>
          <w:b/>
          <w:sz w:val="24"/>
        </w:rPr>
      </w:pPr>
      <w:r>
        <w:rPr>
          <w:rFonts w:ascii="宋体" w:hint="eastAsia"/>
          <w:b/>
          <w:sz w:val="24"/>
        </w:rPr>
        <w:t>随附《法定代表人证明》</w:t>
      </w:r>
    </w:p>
    <w:p>
      <w:pPr>
        <w:spacing w:line="360" w:lineRule="auto"/>
        <w:rPr>
          <w:rFonts w:ascii="宋体"/>
          <w:sz w:val="24"/>
        </w:rPr>
      </w:pPr>
    </w:p>
    <w:p>
      <w:pPr>
        <w:rPr>
          <w:sz w:val="24"/>
        </w:rPr>
      </w:pPr>
    </w:p>
    <w:p>
      <w:pPr>
        <w:rPr>
          <w:rFonts w:ascii="宋体"/>
          <w:sz w:val="24"/>
        </w:rPr>
      </w:pPr>
      <w:bookmarkStart w:id="223" w:name="_Hlk30667959"/>
      <w:r>
        <w:rPr>
          <w:rFonts w:hint="eastAsia"/>
          <w:sz w:val="24"/>
        </w:rPr>
        <w:t>提供被授权人（授权代表）居民身份证（正反面）</w:t>
      </w:r>
      <w:bookmarkEnd w:id="223"/>
      <w:r>
        <w:rPr>
          <w:rFonts w:hint="eastAsia"/>
          <w:sz w:val="24"/>
        </w:rPr>
        <w:t>扫描件：</w: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440" w:lineRule="exact"/>
        <w:rPr>
          <w:rFonts w:ascii="宋体"/>
          <w:sz w:val="24"/>
        </w:rPr>
        <w:sectPr>
          <w:headerReference w:type="default" r:id="rId15"/>
          <w:footerReference w:type="default" r:id="rId16"/>
          <w:pgSz w:w="11906" w:h="16838"/>
          <w:pgMar w:top="1440" w:right="1286" w:bottom="1440" w:left="1440" w:header="851" w:footer="992" w:gutter="0"/>
          <w:cols w:num="1" w:space="720"/>
          <w:docGrid w:type="lines" w:linePitch="312" w:charSpace="0"/>
        </w:sectPr>
      </w:pPr>
      <w:bookmarkStart w:id="224" w:name="_Toc226217114"/>
    </w:p>
    <w:p>
      <w:pPr>
        <w:pStyle w:val="Heading2"/>
        <w:numPr>
          <w:ilvl w:val="0"/>
          <w:numId w:val="65"/>
        </w:numPr>
        <w:spacing w:line="240" w:lineRule="auto"/>
        <w:jc w:val="center"/>
        <w:rPr>
          <w:b w:val="0"/>
          <w:color w:val="auto"/>
        </w:rPr>
      </w:pPr>
      <w:bookmarkEnd w:id="214"/>
      <w:bookmarkEnd w:id="215"/>
      <w:bookmarkEnd w:id="216"/>
      <w:bookmarkEnd w:id="217"/>
      <w:bookmarkEnd w:id="218"/>
      <w:bookmarkEnd w:id="224"/>
      <w:bookmarkStart w:id="225" w:name="_Toc18963"/>
      <w:bookmarkStart w:id="226" w:name="_Toc256000039"/>
      <w:r>
        <w:rPr>
          <w:rFonts w:hint="eastAsia"/>
          <w:b w:val="0"/>
          <w:color w:val="auto"/>
        </w:rPr>
        <w:t>实质性条款响应情况表</w:t>
      </w:r>
      <w:bookmarkEnd w:id="226"/>
      <w:bookmarkEnd w:id="225"/>
    </w:p>
    <w:p>
      <w:pPr>
        <w:spacing w:line="400" w:lineRule="exact"/>
        <w:ind w:left="945" w:hanging="735" w:leftChars="100" w:hangingChars="350"/>
        <w:jc w:val="center"/>
        <w:rPr>
          <w:rFonts w:ascii="宋体" w:hAnsi="宋体"/>
          <w:b/>
          <w:bCs/>
          <w:color w:val="auto"/>
          <w:sz w:val="36"/>
          <w:szCs w:val="36"/>
        </w:rPr>
      </w:pPr>
      <w:r>
        <w:rPr>
          <w:rFonts w:ascii="宋体" w:hAnsi="宋体" w:hint="eastAsia"/>
          <w:b/>
          <w:bCs/>
          <w:color w:val="auto"/>
          <w:sz w:val="36"/>
          <w:szCs w:val="36"/>
        </w:rPr>
        <w:t>（非信息公开部分）</w:t>
      </w:r>
    </w:p>
    <w:p>
      <w:pPr>
        <w:spacing w:line="400" w:lineRule="exact"/>
        <w:ind w:left="945" w:hanging="735" w:leftChars="100" w:hangingChars="350"/>
        <w:rPr>
          <w:rFonts w:ascii="宋体" w:hAnsi="宋体"/>
          <w:color w:val="auto"/>
          <w:sz w:val="24"/>
        </w:rPr>
      </w:pPr>
      <w:r>
        <w:rPr>
          <w:rFonts w:ascii="宋体" w:hAnsi="宋体" w:hint="eastAsia"/>
          <w:color w:val="auto"/>
          <w:sz w:val="24"/>
        </w:rPr>
        <w:t>说明：投标人必须对应招标文件</w:t>
      </w:r>
      <w:r>
        <w:rPr>
          <w:rFonts w:ascii="宋体" w:hAnsi="宋体" w:hint="eastAsia"/>
          <w:b/>
          <w:bCs/>
          <w:color w:val="auto"/>
          <w:sz w:val="24"/>
        </w:rPr>
        <w:t>第二章用户需求书</w:t>
      </w:r>
      <w:r>
        <w:rPr>
          <w:rFonts w:hint="eastAsia"/>
          <w:color w:val="auto"/>
          <w:sz w:val="24"/>
        </w:rPr>
        <w:t>带“</w:t>
      </w:r>
      <w:r>
        <w:rPr>
          <w:rFonts w:ascii="宋体" w:hint="eastAsia"/>
          <w:b/>
          <w:bCs/>
          <w:color w:val="auto"/>
          <w:sz w:val="24"/>
        </w:rPr>
        <w:t>★</w:t>
      </w:r>
      <w:r>
        <w:rPr>
          <w:rFonts w:hint="eastAsia"/>
          <w:color w:val="auto"/>
          <w:sz w:val="24"/>
        </w:rPr>
        <w:t>”的</w:t>
      </w:r>
      <w:r>
        <w:rPr>
          <w:rFonts w:ascii="宋体" w:hAnsi="宋体" w:hint="eastAsia"/>
          <w:color w:val="auto"/>
          <w:sz w:val="24"/>
        </w:rPr>
        <w:t>实质性条款逐条应答并按要求填写下表。</w:t>
      </w:r>
    </w:p>
    <w:p>
      <w:pPr>
        <w:spacing w:line="400" w:lineRule="exact"/>
        <w:ind w:firstLine="210" w:firstLineChars="100"/>
        <w:rPr>
          <w:rFonts w:ascii="宋体" w:eastAsia="宋体" w:hAnsi="宋体" w:hint="eastAsia"/>
          <w:color w:val="auto"/>
          <w:sz w:val="24"/>
          <w:lang w:eastAsia="zh-CN"/>
        </w:rPr>
      </w:pPr>
      <w:r>
        <w:rPr>
          <w:rFonts w:ascii="宋体" w:hAnsi="宋体" w:hint="eastAsia"/>
          <w:color w:val="auto"/>
          <w:sz w:val="24"/>
        </w:rPr>
        <w:t>投标人名称：                   项目编号：</w:t>
      </w:r>
      <w:r>
        <w:rPr>
          <w:rFonts w:ascii="宋体" w:hAnsi="宋体" w:hint="eastAsia"/>
          <w:color w:val="auto"/>
          <w:sz w:val="24"/>
          <w:lang w:eastAsia="zh-CN"/>
        </w:rPr>
        <w:t>SZDL2023001961（CLF0123SZ17ZC27）</w:t>
      </w:r>
    </w:p>
    <w:tbl>
      <w:tblPr>
        <w:tblStyle w:val="TableNormal"/>
        <w:tblW w:w="9000"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496"/>
        <w:gridCol w:w="2530"/>
        <w:gridCol w:w="2531"/>
        <w:gridCol w:w="2003"/>
        <w:gridCol w:w="1440"/>
      </w:tblGrid>
      <w:tr>
        <w:tblPrEx>
          <w:tblW w:w="9000"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921"/>
        </w:trPr>
        <w:tc>
          <w:tcPr>
            <w:tcW w:w="496" w:type="dxa"/>
            <w:tcBorders>
              <w:top w:val="single" w:sz="12" w:space="0" w:color="auto"/>
              <w:bottom w:val="double" w:sz="4" w:space="0" w:color="auto"/>
            </w:tcBorders>
            <w:shd w:val="clear" w:color="auto" w:fill="EEECE1"/>
            <w:vAlign w:val="center"/>
          </w:tcPr>
          <w:p>
            <w:pPr>
              <w:keepNext w:val="0"/>
              <w:keepLines w:val="0"/>
              <w:suppressLineNumbers w:val="0"/>
              <w:spacing w:before="0" w:beforeAutospacing="0" w:after="0" w:afterAutospacing="0"/>
              <w:ind w:left="-78" w:right="-80" w:leftChars="-37" w:rightChars="-38"/>
              <w:jc w:val="center"/>
              <w:rPr>
                <w:rFonts w:ascii="宋体" w:hAnsi="宋体" w:hint="default"/>
                <w:color w:val="auto"/>
                <w:sz w:val="24"/>
              </w:rPr>
            </w:pPr>
            <w:r>
              <w:rPr>
                <w:rFonts w:ascii="宋体" w:hAnsi="宋体" w:hint="eastAsia"/>
                <w:color w:val="auto"/>
                <w:sz w:val="24"/>
              </w:rPr>
              <w:t>序号</w:t>
            </w:r>
          </w:p>
        </w:tc>
        <w:tc>
          <w:tcPr>
            <w:tcW w:w="2530" w:type="dxa"/>
            <w:tcBorders>
              <w:top w:val="single" w:sz="12" w:space="0" w:color="auto"/>
              <w:bottom w:val="double" w:sz="4" w:space="0" w:color="auto"/>
            </w:tcBorders>
            <w:shd w:val="clear" w:color="auto" w:fill="EEECE1"/>
            <w:vAlign w:val="center"/>
          </w:tcPr>
          <w:p>
            <w:pPr>
              <w:keepNext w:val="0"/>
              <w:keepLines w:val="0"/>
              <w:suppressLineNumbers w:val="0"/>
              <w:spacing w:before="0" w:beforeAutospacing="0" w:after="0" w:afterAutospacing="0"/>
              <w:ind w:left="-78" w:right="-80" w:leftChars="-37" w:rightChars="-38"/>
              <w:jc w:val="center"/>
              <w:rPr>
                <w:rFonts w:ascii="宋体" w:hAnsi="宋体" w:hint="default"/>
                <w:color w:val="auto"/>
                <w:sz w:val="24"/>
              </w:rPr>
            </w:pPr>
            <w:r>
              <w:rPr>
                <w:rFonts w:ascii="宋体" w:hAnsi="宋体" w:hint="eastAsia"/>
                <w:color w:val="auto"/>
                <w:sz w:val="24"/>
              </w:rPr>
              <w:t>招标文件条款描述</w:t>
            </w:r>
          </w:p>
        </w:tc>
        <w:tc>
          <w:tcPr>
            <w:tcW w:w="2531" w:type="dxa"/>
            <w:tcBorders>
              <w:top w:val="single" w:sz="12" w:space="0" w:color="auto"/>
              <w:bottom w:val="double" w:sz="4" w:space="0" w:color="auto"/>
            </w:tcBorders>
            <w:shd w:val="clear" w:color="auto" w:fill="EEECE1"/>
            <w:vAlign w:val="center"/>
          </w:tcPr>
          <w:p>
            <w:pPr>
              <w:keepNext w:val="0"/>
              <w:keepLines w:val="0"/>
              <w:suppressLineNumbers w:val="0"/>
              <w:spacing w:before="0" w:beforeAutospacing="0" w:after="0" w:afterAutospacing="0"/>
              <w:ind w:left="-78" w:right="-80" w:leftChars="-37" w:rightChars="-38"/>
              <w:jc w:val="center"/>
              <w:rPr>
                <w:rFonts w:ascii="宋体" w:hAnsi="宋体" w:hint="default"/>
                <w:color w:val="auto"/>
                <w:sz w:val="24"/>
              </w:rPr>
            </w:pPr>
            <w:r>
              <w:rPr>
                <w:rFonts w:ascii="宋体" w:hAnsi="宋体" w:hint="eastAsia"/>
                <w:color w:val="auto"/>
                <w:sz w:val="24"/>
              </w:rPr>
              <w:t>投标人响应描述</w:t>
            </w:r>
          </w:p>
        </w:tc>
        <w:tc>
          <w:tcPr>
            <w:tcW w:w="2003" w:type="dxa"/>
            <w:tcBorders>
              <w:top w:val="single" w:sz="12" w:space="0" w:color="auto"/>
              <w:bottom w:val="double" w:sz="4" w:space="0" w:color="auto"/>
              <w:right w:val="single" w:sz="2" w:space="0" w:color="auto"/>
            </w:tcBorders>
            <w:shd w:val="clear" w:color="auto" w:fill="EEECE1"/>
            <w:vAlign w:val="center"/>
          </w:tcPr>
          <w:p>
            <w:pPr>
              <w:keepNext w:val="0"/>
              <w:keepLines w:val="0"/>
              <w:suppressLineNumbers w:val="0"/>
              <w:spacing w:before="0" w:beforeAutospacing="0" w:after="0" w:afterAutospacing="0"/>
              <w:ind w:left="-78" w:right="-80" w:leftChars="-37" w:rightChars="-38"/>
              <w:jc w:val="center"/>
              <w:rPr>
                <w:rFonts w:ascii="宋体" w:hAnsi="宋体" w:hint="default"/>
                <w:color w:val="auto"/>
                <w:sz w:val="24"/>
              </w:rPr>
            </w:pPr>
            <w:r>
              <w:rPr>
                <w:rFonts w:ascii="宋体" w:hAnsi="宋体" w:hint="eastAsia"/>
                <w:color w:val="auto"/>
                <w:sz w:val="24"/>
              </w:rPr>
              <w:t>偏离情况说明</w:t>
            </w:r>
          </w:p>
          <w:p>
            <w:pPr>
              <w:keepNext w:val="0"/>
              <w:keepLines w:val="0"/>
              <w:suppressLineNumbers w:val="0"/>
              <w:spacing w:before="0" w:beforeAutospacing="0" w:after="0" w:afterAutospacing="0"/>
              <w:ind w:left="-90" w:right="-80" w:leftChars="-43" w:rightChars="-38"/>
              <w:jc w:val="center"/>
              <w:rPr>
                <w:rFonts w:ascii="宋体" w:hAnsi="宋体" w:hint="default"/>
                <w:color w:val="auto"/>
                <w:sz w:val="24"/>
              </w:rPr>
            </w:pPr>
            <w:r>
              <w:rPr>
                <w:rFonts w:ascii="宋体" w:hAnsi="宋体" w:hint="eastAsia"/>
                <w:color w:val="auto"/>
                <w:sz w:val="24"/>
              </w:rPr>
              <w:t>（</w:t>
            </w:r>
            <w:r>
              <w:rPr>
                <w:rFonts w:hint="eastAsia"/>
                <w:color w:val="auto"/>
                <w:sz w:val="24"/>
              </w:rPr>
              <w:t>正偏离/完全响应/负偏离</w:t>
            </w:r>
            <w:r>
              <w:rPr>
                <w:rFonts w:ascii="宋体" w:hAnsi="宋体" w:hint="eastAsia"/>
                <w:color w:val="auto"/>
                <w:sz w:val="24"/>
              </w:rPr>
              <w:t>）</w:t>
            </w:r>
          </w:p>
        </w:tc>
        <w:tc>
          <w:tcPr>
            <w:tcW w:w="1440" w:type="dxa"/>
            <w:tcBorders>
              <w:top w:val="single" w:sz="12" w:space="0" w:color="auto"/>
              <w:left w:val="single" w:sz="2" w:space="0" w:color="auto"/>
              <w:bottom w:val="double" w:sz="4" w:space="0" w:color="auto"/>
            </w:tcBorders>
            <w:shd w:val="clear" w:color="auto" w:fill="EEECE1"/>
            <w:vAlign w:val="center"/>
          </w:tcPr>
          <w:p>
            <w:pPr>
              <w:keepNext w:val="0"/>
              <w:keepLines w:val="0"/>
              <w:suppressLineNumbers w:val="0"/>
              <w:spacing w:before="0" w:beforeAutospacing="0" w:after="0" w:afterAutospacing="0"/>
              <w:ind w:left="-78" w:right="-80" w:leftChars="-37" w:rightChars="-38"/>
              <w:jc w:val="center"/>
              <w:rPr>
                <w:rFonts w:ascii="宋体" w:hAnsi="宋体" w:hint="default"/>
                <w:color w:val="auto"/>
                <w:sz w:val="24"/>
              </w:rPr>
            </w:pPr>
            <w:r>
              <w:rPr>
                <w:rFonts w:hint="eastAsia"/>
                <w:color w:val="auto"/>
                <w:sz w:val="24"/>
              </w:rPr>
              <w:t>说明</w:t>
            </w:r>
          </w:p>
        </w:tc>
      </w:tr>
      <w:tr>
        <w:tblPrEx>
          <w:tblW w:w="9000" w:type="dxa"/>
          <w:tblInd w:w="288" w:type="dxa"/>
          <w:tblLayout w:type="fixed"/>
          <w:tblCellMar>
            <w:top w:w="0" w:type="dxa"/>
            <w:left w:w="108" w:type="dxa"/>
            <w:bottom w:w="0" w:type="dxa"/>
            <w:right w:w="108" w:type="dxa"/>
          </w:tblCellMar>
        </w:tblPrEx>
        <w:tc>
          <w:tcPr>
            <w:tcW w:w="496" w:type="dxa"/>
            <w:tcBorders>
              <w:top w:val="double" w:sz="4" w:space="0" w:color="auto"/>
            </w:tcBorders>
            <w:vAlign w:val="center"/>
          </w:tcPr>
          <w:p>
            <w:pPr>
              <w:keepNext w:val="0"/>
              <w:keepLines w:val="0"/>
              <w:numPr>
                <w:ilvl w:val="0"/>
                <w:numId w:val="71"/>
              </w:numPr>
              <w:suppressLineNumbers w:val="0"/>
              <w:spacing w:before="0" w:beforeAutospacing="0" w:after="0" w:afterAutospacing="0"/>
              <w:ind w:right="0"/>
              <w:jc w:val="center"/>
              <w:rPr>
                <w:rFonts w:ascii="宋体" w:hAnsi="宋体" w:hint="default"/>
                <w:sz w:val="24"/>
              </w:rPr>
            </w:pPr>
          </w:p>
        </w:tc>
        <w:tc>
          <w:tcPr>
            <w:tcW w:w="2530" w:type="dxa"/>
            <w:tcBorders>
              <w:top w:val="double" w:sz="4" w:space="0" w:color="auto"/>
            </w:tcBorders>
            <w:vAlign w:val="center"/>
          </w:tcPr>
          <w:p>
            <w:pPr>
              <w:widowControl/>
              <w:spacing w:line="300" w:lineRule="auto"/>
              <w:jc w:val="left"/>
              <w:textAlignment w:val="baseline"/>
              <w:rPr>
                <w:rFonts w:ascii="宋体" w:eastAsia="宋体" w:hAnsi="宋体" w:cs="宋体" w:hint="eastAsia"/>
                <w:bCs/>
                <w:sz w:val="24"/>
                <w:szCs w:val="24"/>
              </w:rPr>
            </w:pPr>
            <w:r>
              <w:rPr>
                <w:rFonts w:ascii="宋体" w:eastAsia="宋体" w:hAnsi="宋体" w:cs="宋体" w:hint="eastAsia"/>
                <w:sz w:val="24"/>
                <w:szCs w:val="24"/>
              </w:rPr>
              <w:t>三、技术要求：2.技术参数</w:t>
            </w:r>
            <w:r>
              <w:rPr>
                <w:rFonts w:ascii="宋体" w:eastAsia="宋体" w:hAnsi="宋体" w:cs="宋体" w:hint="eastAsia"/>
                <w:bCs/>
                <w:sz w:val="24"/>
                <w:szCs w:val="24"/>
              </w:rPr>
              <w:t>2.1  核心参数：</w:t>
            </w:r>
          </w:p>
          <w:p>
            <w:pPr>
              <w:keepNext w:val="0"/>
              <w:keepLines w:val="0"/>
              <w:suppressLineNumbers w:val="0"/>
              <w:spacing w:before="0" w:beforeAutospacing="0" w:after="0" w:afterAutospacing="0"/>
              <w:ind w:left="-78" w:right="-80" w:leftChars="-37" w:rightChars="-38"/>
              <w:jc w:val="left"/>
              <w:rPr>
                <w:rFonts w:ascii="宋体" w:hAnsi="宋体" w:hint="default"/>
                <w:sz w:val="24"/>
              </w:rPr>
            </w:pPr>
            <w:r>
              <w:rPr>
                <w:rFonts w:ascii="宋体" w:eastAsia="宋体" w:hAnsi="宋体" w:cs="宋体" w:hint="eastAsia"/>
                <w:b w:val="0"/>
                <w:bCs/>
                <w:sz w:val="24"/>
                <w:szCs w:val="24"/>
              </w:rPr>
              <w:t>★</w:t>
            </w:r>
            <w:r>
              <w:rPr>
                <w:rFonts w:ascii="宋体" w:eastAsia="宋体" w:hAnsi="宋体" w:cs="宋体" w:hint="eastAsia"/>
                <w:bCs/>
                <w:sz w:val="24"/>
                <w:szCs w:val="24"/>
              </w:rPr>
              <w:t xml:space="preserve">2.1.1.≥40 x 100GE QSFP28 网络接口(NIF) </w:t>
            </w:r>
            <w:r>
              <w:rPr>
                <w:rFonts w:ascii="宋体" w:eastAsia="宋体" w:hAnsi="宋体" w:cs="宋体" w:hint="eastAsia"/>
                <w:b/>
                <w:bCs w:val="0"/>
                <w:sz w:val="24"/>
                <w:szCs w:val="24"/>
                <w:lang w:eastAsia="zh-CN"/>
              </w:rPr>
              <w:t>（</w:t>
            </w:r>
            <w:r>
              <w:rPr>
                <w:rFonts w:ascii="宋体" w:eastAsia="宋体" w:hAnsi="宋体" w:cs="宋体" w:hint="eastAsia"/>
                <w:b/>
                <w:bCs w:val="0"/>
                <w:sz w:val="24"/>
                <w:szCs w:val="24"/>
                <w:lang w:val="en-US" w:eastAsia="zh-CN"/>
              </w:rPr>
              <w:t>提供官网技术资料截图或公开发行的技术彩页证明扫描件，原件备查。</w:t>
            </w:r>
            <w:r>
              <w:rPr>
                <w:rFonts w:ascii="宋体" w:eastAsia="宋体" w:hAnsi="宋体" w:cs="宋体" w:hint="eastAsia"/>
                <w:b/>
                <w:bCs w:val="0"/>
                <w:sz w:val="24"/>
                <w:szCs w:val="24"/>
                <w:lang w:eastAsia="zh-CN"/>
              </w:rPr>
              <w:t>）</w:t>
            </w:r>
          </w:p>
        </w:tc>
        <w:tc>
          <w:tcPr>
            <w:tcW w:w="2531" w:type="dxa"/>
            <w:tcBorders>
              <w:top w:val="double" w:sz="4" w:space="0" w:color="auto"/>
            </w:tcBorders>
            <w:vAlign w:val="center"/>
          </w:tcPr>
          <w:p>
            <w:pPr>
              <w:keepNext w:val="0"/>
              <w:keepLines w:val="0"/>
              <w:suppressLineNumbers w:val="0"/>
              <w:spacing w:before="0" w:beforeAutospacing="0" w:after="0" w:afterAutospacing="0"/>
              <w:ind w:left="-78" w:right="-80" w:leftChars="-37" w:rightChars="-38"/>
              <w:jc w:val="center"/>
              <w:rPr>
                <w:rFonts w:ascii="宋体" w:hAnsi="宋体" w:hint="default"/>
                <w:sz w:val="24"/>
              </w:rPr>
            </w:pPr>
          </w:p>
        </w:tc>
        <w:tc>
          <w:tcPr>
            <w:tcW w:w="2003" w:type="dxa"/>
            <w:tcBorders>
              <w:top w:val="double" w:sz="4" w:space="0" w:color="auto"/>
              <w:right w:val="single" w:sz="2" w:space="0" w:color="auto"/>
            </w:tcBorders>
            <w:vAlign w:val="center"/>
          </w:tcPr>
          <w:p>
            <w:pPr>
              <w:keepNext w:val="0"/>
              <w:keepLines w:val="0"/>
              <w:suppressLineNumbers w:val="0"/>
              <w:spacing w:before="0" w:beforeAutospacing="0" w:after="0" w:afterAutospacing="0"/>
              <w:ind w:left="-78" w:right="-80" w:leftChars="-37" w:rightChars="-38"/>
              <w:jc w:val="center"/>
              <w:rPr>
                <w:rFonts w:ascii="宋体" w:hAnsi="宋体" w:hint="default"/>
                <w:sz w:val="24"/>
              </w:rPr>
            </w:pPr>
          </w:p>
        </w:tc>
        <w:tc>
          <w:tcPr>
            <w:tcW w:w="1440" w:type="dxa"/>
            <w:tcBorders>
              <w:top w:val="double" w:sz="4" w:space="0" w:color="auto"/>
              <w:left w:val="single" w:sz="2" w:space="0" w:color="auto"/>
            </w:tcBorders>
            <w:vAlign w:val="center"/>
          </w:tcPr>
          <w:p>
            <w:pPr>
              <w:keepNext w:val="0"/>
              <w:keepLines w:val="0"/>
              <w:suppressLineNumbers w:val="0"/>
              <w:spacing w:before="0" w:beforeAutospacing="0" w:after="0" w:afterAutospacing="0"/>
              <w:ind w:left="-78" w:right="-80" w:leftChars="-37" w:rightChars="-38"/>
              <w:jc w:val="center"/>
              <w:rPr>
                <w:rFonts w:ascii="宋体" w:hAnsi="宋体" w:hint="default"/>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keepNext w:val="0"/>
              <w:keepLines w:val="0"/>
              <w:numPr>
                <w:ilvl w:val="0"/>
                <w:numId w:val="71"/>
              </w:numPr>
              <w:suppressLineNumbers w:val="0"/>
              <w:spacing w:before="0" w:beforeAutospacing="0" w:after="0" w:afterAutospacing="0"/>
              <w:ind w:right="0"/>
              <w:jc w:val="center"/>
              <w:rPr>
                <w:rFonts w:ascii="宋体" w:hAnsi="宋体" w:hint="default"/>
                <w:sz w:val="24"/>
              </w:rPr>
            </w:pPr>
          </w:p>
        </w:tc>
        <w:tc>
          <w:tcPr>
            <w:tcW w:w="2530" w:type="dxa"/>
            <w:vAlign w:val="center"/>
          </w:tcPr>
          <w:p>
            <w:pPr>
              <w:keepNext w:val="0"/>
              <w:keepLines w:val="0"/>
              <w:suppressLineNumbers w:val="0"/>
              <w:spacing w:before="0" w:beforeAutospacing="0" w:after="0" w:afterAutospacing="0"/>
              <w:ind w:left="-78" w:right="-80" w:leftChars="-37" w:rightChars="-38"/>
              <w:jc w:val="left"/>
              <w:rPr>
                <w:rFonts w:ascii="宋体" w:hAnsi="宋体" w:hint="default"/>
                <w:sz w:val="24"/>
              </w:rPr>
            </w:pPr>
            <w:r>
              <w:rPr>
                <w:rFonts w:ascii="宋体" w:eastAsia="宋体" w:hAnsi="宋体" w:cs="宋体" w:hint="eastAsia"/>
                <w:sz w:val="24"/>
                <w:szCs w:val="24"/>
              </w:rPr>
              <w:t>三、技术要求：2.技术参数</w:t>
            </w:r>
            <w:r>
              <w:rPr>
                <w:rFonts w:ascii="宋体" w:eastAsia="宋体" w:hAnsi="宋体" w:cs="宋体" w:hint="eastAsia"/>
                <w:b w:val="0"/>
                <w:bCs/>
                <w:sz w:val="24"/>
                <w:szCs w:val="24"/>
              </w:rPr>
              <w:t>★</w:t>
            </w:r>
            <w:r>
              <w:rPr>
                <w:rFonts w:ascii="宋体" w:eastAsia="宋体" w:hAnsi="宋体" w:cs="宋体" w:hint="eastAsia"/>
                <w:bCs/>
                <w:sz w:val="24"/>
                <w:szCs w:val="24"/>
              </w:rPr>
              <w:t xml:space="preserve">2.1.2.≥13 x 400GE QSFP-DD 光纤接口 (FIF) </w:t>
            </w:r>
            <w:r>
              <w:rPr>
                <w:rFonts w:ascii="宋体" w:eastAsia="宋体" w:hAnsi="宋体" w:cs="宋体" w:hint="eastAsia"/>
                <w:b/>
                <w:bCs w:val="0"/>
                <w:sz w:val="24"/>
                <w:szCs w:val="24"/>
                <w:lang w:eastAsia="zh-CN"/>
              </w:rPr>
              <w:t>（</w:t>
            </w:r>
            <w:r>
              <w:rPr>
                <w:rFonts w:ascii="宋体" w:eastAsia="宋体" w:hAnsi="宋体" w:cs="宋体" w:hint="eastAsia"/>
                <w:b/>
                <w:bCs w:val="0"/>
                <w:sz w:val="24"/>
                <w:szCs w:val="24"/>
                <w:lang w:val="en-US" w:eastAsia="zh-CN"/>
              </w:rPr>
              <w:t>提供官网技术资料截图或公开发行的技术彩页证明扫描件，原件备查。</w:t>
            </w:r>
            <w:r>
              <w:rPr>
                <w:rFonts w:ascii="宋体" w:eastAsia="宋体" w:hAnsi="宋体" w:cs="宋体" w:hint="eastAsia"/>
                <w:b/>
                <w:bCs w:val="0"/>
                <w:sz w:val="24"/>
                <w:szCs w:val="24"/>
                <w:lang w:eastAsia="zh-CN"/>
              </w:rPr>
              <w:t>）</w:t>
            </w:r>
          </w:p>
        </w:tc>
        <w:tc>
          <w:tcPr>
            <w:tcW w:w="2531" w:type="dxa"/>
            <w:vAlign w:val="center"/>
          </w:tcPr>
          <w:p>
            <w:pPr>
              <w:keepNext w:val="0"/>
              <w:keepLines w:val="0"/>
              <w:suppressLineNumbers w:val="0"/>
              <w:spacing w:before="0" w:beforeAutospacing="0" w:after="0" w:afterAutospacing="0"/>
              <w:ind w:left="-78" w:right="-80" w:leftChars="-37" w:rightChars="-38"/>
              <w:jc w:val="center"/>
              <w:rPr>
                <w:rFonts w:ascii="宋体" w:hAnsi="宋体" w:hint="default"/>
                <w:sz w:val="24"/>
              </w:rPr>
            </w:pPr>
          </w:p>
        </w:tc>
        <w:tc>
          <w:tcPr>
            <w:tcW w:w="2003" w:type="dxa"/>
            <w:tcBorders>
              <w:right w:val="single" w:sz="2" w:space="0" w:color="auto"/>
            </w:tcBorders>
            <w:vAlign w:val="center"/>
          </w:tcPr>
          <w:p>
            <w:pPr>
              <w:keepNext w:val="0"/>
              <w:keepLines w:val="0"/>
              <w:suppressLineNumbers w:val="0"/>
              <w:spacing w:before="0" w:beforeAutospacing="0" w:after="0" w:afterAutospacing="0"/>
              <w:ind w:left="-78" w:right="-80" w:leftChars="-37" w:rightChars="-38"/>
              <w:jc w:val="center"/>
              <w:rPr>
                <w:rFonts w:ascii="宋体" w:hAnsi="宋体" w:hint="default"/>
                <w:sz w:val="24"/>
              </w:rPr>
            </w:pPr>
          </w:p>
        </w:tc>
        <w:tc>
          <w:tcPr>
            <w:tcW w:w="1440" w:type="dxa"/>
            <w:tcBorders>
              <w:left w:val="single" w:sz="2" w:space="0" w:color="auto"/>
            </w:tcBorders>
            <w:vAlign w:val="center"/>
          </w:tcPr>
          <w:p>
            <w:pPr>
              <w:keepNext w:val="0"/>
              <w:keepLines w:val="0"/>
              <w:suppressLineNumbers w:val="0"/>
              <w:spacing w:before="0" w:beforeAutospacing="0" w:after="0" w:afterAutospacing="0"/>
              <w:ind w:left="-78" w:right="-80" w:leftChars="-37" w:rightChars="-38"/>
              <w:jc w:val="center"/>
              <w:rPr>
                <w:rFonts w:ascii="宋体" w:hAnsi="宋体" w:hint="default"/>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keepNext w:val="0"/>
              <w:keepLines w:val="0"/>
              <w:numPr>
                <w:ilvl w:val="0"/>
                <w:numId w:val="71"/>
              </w:numPr>
              <w:suppressLineNumbers w:val="0"/>
              <w:spacing w:before="0" w:beforeAutospacing="0" w:after="0" w:afterAutospacing="0"/>
              <w:ind w:right="0"/>
              <w:jc w:val="center"/>
              <w:rPr>
                <w:rFonts w:ascii="宋体" w:hAnsi="宋体" w:hint="default"/>
                <w:sz w:val="24"/>
              </w:rPr>
            </w:pPr>
          </w:p>
        </w:tc>
        <w:tc>
          <w:tcPr>
            <w:tcW w:w="2530" w:type="dxa"/>
            <w:vAlign w:val="center"/>
          </w:tcPr>
          <w:p>
            <w:pPr>
              <w:keepNext w:val="0"/>
              <w:keepLines w:val="0"/>
              <w:suppressLineNumbers w:val="0"/>
              <w:spacing w:before="0" w:beforeAutospacing="0" w:after="0" w:afterAutospacing="0"/>
              <w:ind w:left="-78" w:right="-80" w:leftChars="-37" w:rightChars="-38"/>
              <w:jc w:val="left"/>
              <w:rPr>
                <w:rFonts w:ascii="宋体" w:hAnsi="宋体" w:hint="default"/>
                <w:sz w:val="24"/>
              </w:rPr>
            </w:pPr>
            <w:r>
              <w:rPr>
                <w:rFonts w:ascii="宋体" w:eastAsia="宋体" w:hAnsi="宋体" w:cs="宋体" w:hint="eastAsia"/>
                <w:sz w:val="24"/>
                <w:szCs w:val="24"/>
              </w:rPr>
              <w:t>三、技术要求：2.技术参数</w:t>
            </w:r>
            <w:r>
              <w:rPr>
                <w:rFonts w:ascii="宋体" w:eastAsia="宋体" w:hAnsi="宋体" w:cs="宋体" w:hint="eastAsia"/>
                <w:b w:val="0"/>
                <w:bCs/>
                <w:sz w:val="24"/>
                <w:szCs w:val="24"/>
              </w:rPr>
              <w:t>★</w:t>
            </w:r>
            <w:r>
              <w:rPr>
                <w:rFonts w:ascii="宋体" w:eastAsia="宋体" w:hAnsi="宋体" w:cs="宋体" w:hint="eastAsia"/>
                <w:bCs/>
                <w:sz w:val="24"/>
                <w:szCs w:val="24"/>
                <w:lang w:val="en-US" w:eastAsia="zh-CN"/>
              </w:rPr>
              <w:t>2.2.2预装了分布式Sonic操作系统</w:t>
            </w:r>
            <w:r>
              <w:rPr>
                <w:rFonts w:ascii="宋体" w:eastAsia="宋体" w:hAnsi="宋体" w:cs="宋体" w:hint="eastAsia"/>
                <w:b/>
                <w:bCs w:val="0"/>
                <w:sz w:val="24"/>
                <w:szCs w:val="24"/>
                <w:lang w:eastAsia="zh-CN"/>
              </w:rPr>
              <w:t>（</w:t>
            </w:r>
            <w:r>
              <w:rPr>
                <w:rFonts w:ascii="宋体" w:eastAsia="宋体" w:hAnsi="宋体" w:cs="宋体" w:hint="eastAsia"/>
                <w:b/>
                <w:bCs w:val="0"/>
                <w:sz w:val="24"/>
                <w:szCs w:val="24"/>
                <w:lang w:val="en-US" w:eastAsia="zh-CN"/>
              </w:rPr>
              <w:t>提供官网技术资料截图或公开发行的技术彩页证明扫描件，原件备查。</w:t>
            </w:r>
            <w:r>
              <w:rPr>
                <w:rFonts w:ascii="宋体" w:eastAsia="宋体" w:hAnsi="宋体" w:cs="宋体" w:hint="eastAsia"/>
                <w:b/>
                <w:bCs w:val="0"/>
                <w:sz w:val="24"/>
                <w:szCs w:val="24"/>
                <w:lang w:eastAsia="zh-CN"/>
              </w:rPr>
              <w:t>）</w:t>
            </w:r>
          </w:p>
        </w:tc>
        <w:tc>
          <w:tcPr>
            <w:tcW w:w="2531" w:type="dxa"/>
            <w:vAlign w:val="center"/>
          </w:tcPr>
          <w:p>
            <w:pPr>
              <w:keepNext w:val="0"/>
              <w:keepLines w:val="0"/>
              <w:suppressLineNumbers w:val="0"/>
              <w:spacing w:before="0" w:beforeAutospacing="0" w:after="0" w:afterAutospacing="0"/>
              <w:ind w:left="-78" w:right="-80" w:leftChars="-37" w:rightChars="-38"/>
              <w:jc w:val="center"/>
              <w:rPr>
                <w:rFonts w:ascii="宋体" w:hAnsi="宋体" w:hint="default"/>
                <w:sz w:val="24"/>
              </w:rPr>
            </w:pPr>
          </w:p>
        </w:tc>
        <w:tc>
          <w:tcPr>
            <w:tcW w:w="2003" w:type="dxa"/>
            <w:tcBorders>
              <w:right w:val="single" w:sz="2" w:space="0" w:color="auto"/>
            </w:tcBorders>
            <w:vAlign w:val="center"/>
          </w:tcPr>
          <w:p>
            <w:pPr>
              <w:keepNext w:val="0"/>
              <w:keepLines w:val="0"/>
              <w:suppressLineNumbers w:val="0"/>
              <w:spacing w:before="0" w:beforeAutospacing="0" w:after="0" w:afterAutospacing="0"/>
              <w:ind w:left="-78" w:right="-80" w:leftChars="-37" w:rightChars="-38"/>
              <w:jc w:val="center"/>
              <w:rPr>
                <w:rFonts w:ascii="宋体" w:hAnsi="宋体" w:hint="default"/>
                <w:sz w:val="24"/>
              </w:rPr>
            </w:pPr>
          </w:p>
        </w:tc>
        <w:tc>
          <w:tcPr>
            <w:tcW w:w="1440" w:type="dxa"/>
            <w:tcBorders>
              <w:left w:val="single" w:sz="2" w:space="0" w:color="auto"/>
            </w:tcBorders>
            <w:vAlign w:val="center"/>
          </w:tcPr>
          <w:p>
            <w:pPr>
              <w:keepNext w:val="0"/>
              <w:keepLines w:val="0"/>
              <w:suppressLineNumbers w:val="0"/>
              <w:spacing w:before="0" w:beforeAutospacing="0" w:after="0" w:afterAutospacing="0"/>
              <w:ind w:left="-78" w:right="-80" w:leftChars="-37" w:rightChars="-38"/>
              <w:jc w:val="center"/>
              <w:rPr>
                <w:rFonts w:ascii="宋体" w:hAnsi="宋体" w:hint="default"/>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keepNext w:val="0"/>
              <w:keepLines w:val="0"/>
              <w:numPr>
                <w:ilvl w:val="0"/>
                <w:numId w:val="71"/>
              </w:numPr>
              <w:suppressLineNumbers w:val="0"/>
              <w:spacing w:before="0" w:beforeAutospacing="0" w:after="0" w:afterAutospacing="0"/>
              <w:ind w:right="0"/>
              <w:jc w:val="center"/>
              <w:rPr>
                <w:rFonts w:ascii="宋体" w:hAnsi="宋体" w:hint="default"/>
                <w:b w:val="0"/>
                <w:bCs w:val="0"/>
                <w:sz w:val="24"/>
              </w:rPr>
            </w:pPr>
          </w:p>
        </w:tc>
        <w:tc>
          <w:tcPr>
            <w:tcW w:w="2530" w:type="dxa"/>
            <w:vAlign w:val="center"/>
          </w:tcPr>
          <w:p>
            <w:pPr>
              <w:widowControl/>
              <w:numPr>
                <w:ilvl w:val="255"/>
                <w:numId w:val="0"/>
              </w:numPr>
              <w:spacing w:line="300" w:lineRule="auto"/>
              <w:jc w:val="left"/>
              <w:textAlignment w:val="baseline"/>
              <w:rPr>
                <w:rFonts w:ascii="宋体" w:eastAsia="宋体" w:hAnsi="宋体" w:cs="宋体" w:hint="eastAsia"/>
                <w:b w:val="0"/>
                <w:bCs w:val="0"/>
                <w:sz w:val="24"/>
                <w:szCs w:val="24"/>
              </w:rPr>
            </w:pPr>
            <w:r>
              <w:rPr>
                <w:rFonts w:ascii="宋体" w:eastAsia="宋体" w:hAnsi="宋体" w:cs="宋体" w:hint="eastAsia"/>
                <w:b w:val="0"/>
                <w:bCs w:val="0"/>
                <w:sz w:val="24"/>
                <w:szCs w:val="24"/>
              </w:rPr>
              <w:t xml:space="preserve">三、技术要求：2.技术参数2.4 关键硬件参数：  </w:t>
            </w:r>
          </w:p>
          <w:p>
            <w:pPr>
              <w:keepNext w:val="0"/>
              <w:keepLines w:val="0"/>
              <w:suppressLineNumbers w:val="0"/>
              <w:spacing w:before="0" w:beforeAutospacing="0" w:after="0" w:afterAutospacing="0"/>
              <w:ind w:left="-78" w:right="-80" w:leftChars="-37" w:rightChars="-38"/>
              <w:jc w:val="left"/>
              <w:rPr>
                <w:rFonts w:ascii="宋体" w:hAnsi="宋体" w:hint="default"/>
                <w:b w:val="0"/>
                <w:bCs w:val="0"/>
                <w:sz w:val="24"/>
              </w:rPr>
            </w:pPr>
            <w:r>
              <w:rPr>
                <w:rFonts w:ascii="宋体" w:eastAsia="宋体" w:hAnsi="宋体" w:cs="宋体" w:hint="eastAsia"/>
                <w:b w:val="0"/>
                <w:bCs w:val="0"/>
                <w:sz w:val="24"/>
                <w:szCs w:val="24"/>
              </w:rPr>
              <w:t>★</w:t>
            </w:r>
            <w:r>
              <w:rPr>
                <w:rFonts w:ascii="宋体" w:eastAsia="宋体" w:hAnsi="宋体" w:cs="宋体" w:hint="eastAsia"/>
                <w:b w:val="0"/>
                <w:bCs w:val="0"/>
                <w:sz w:val="24"/>
                <w:szCs w:val="24"/>
                <w:lang w:val="en-US" w:eastAsia="zh-CN"/>
              </w:rPr>
              <w:t>2.4.1</w:t>
            </w:r>
            <w:r>
              <w:rPr>
                <w:rFonts w:ascii="宋体" w:eastAsia="宋体" w:hAnsi="宋体" w:cs="宋体" w:hint="eastAsia"/>
                <w:b w:val="0"/>
                <w:bCs w:val="0"/>
                <w:sz w:val="24"/>
                <w:szCs w:val="24"/>
              </w:rPr>
              <w:t>交换机芯片：性能大于等于4.0Tbps</w:t>
            </w:r>
          </w:p>
        </w:tc>
        <w:tc>
          <w:tcPr>
            <w:tcW w:w="2531" w:type="dxa"/>
            <w:vAlign w:val="center"/>
          </w:tcPr>
          <w:p>
            <w:pPr>
              <w:keepNext w:val="0"/>
              <w:keepLines w:val="0"/>
              <w:suppressLineNumbers w:val="0"/>
              <w:spacing w:before="0" w:beforeAutospacing="0" w:after="0" w:afterAutospacing="0"/>
              <w:ind w:left="-78" w:right="-80" w:leftChars="-37" w:rightChars="-38"/>
              <w:jc w:val="center"/>
              <w:rPr>
                <w:rFonts w:ascii="宋体" w:hAnsi="宋体" w:hint="default"/>
                <w:b w:val="0"/>
                <w:bCs w:val="0"/>
                <w:sz w:val="24"/>
              </w:rPr>
            </w:pPr>
          </w:p>
        </w:tc>
        <w:tc>
          <w:tcPr>
            <w:tcW w:w="2003" w:type="dxa"/>
            <w:tcBorders>
              <w:right w:val="single" w:sz="2" w:space="0" w:color="auto"/>
            </w:tcBorders>
            <w:vAlign w:val="center"/>
          </w:tcPr>
          <w:p>
            <w:pPr>
              <w:keepNext w:val="0"/>
              <w:keepLines w:val="0"/>
              <w:suppressLineNumbers w:val="0"/>
              <w:spacing w:before="0" w:beforeAutospacing="0" w:after="0" w:afterAutospacing="0"/>
              <w:ind w:left="-78" w:right="-80" w:leftChars="-37" w:rightChars="-38"/>
              <w:jc w:val="center"/>
              <w:rPr>
                <w:rFonts w:ascii="宋体" w:hAnsi="宋体" w:hint="default"/>
                <w:b w:val="0"/>
                <w:bCs w:val="0"/>
                <w:sz w:val="24"/>
              </w:rPr>
            </w:pPr>
          </w:p>
        </w:tc>
        <w:tc>
          <w:tcPr>
            <w:tcW w:w="1440" w:type="dxa"/>
            <w:tcBorders>
              <w:left w:val="single" w:sz="2" w:space="0" w:color="auto"/>
            </w:tcBorders>
            <w:vAlign w:val="center"/>
          </w:tcPr>
          <w:p>
            <w:pPr>
              <w:keepNext w:val="0"/>
              <w:keepLines w:val="0"/>
              <w:suppressLineNumbers w:val="0"/>
              <w:spacing w:before="0" w:beforeAutospacing="0" w:after="0" w:afterAutospacing="0"/>
              <w:ind w:left="-78" w:right="-80" w:leftChars="-37" w:rightChars="-38"/>
              <w:jc w:val="center"/>
              <w:rPr>
                <w:rFonts w:ascii="宋体" w:hAnsi="宋体" w:hint="default"/>
                <w:b w:val="0"/>
                <w:bCs w:val="0"/>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keepNext w:val="0"/>
              <w:keepLines w:val="0"/>
              <w:numPr>
                <w:ilvl w:val="0"/>
                <w:numId w:val="71"/>
              </w:numPr>
              <w:suppressLineNumbers w:val="0"/>
              <w:spacing w:before="0" w:beforeAutospacing="0" w:after="0" w:afterAutospacing="0"/>
              <w:ind w:right="0"/>
              <w:jc w:val="center"/>
              <w:rPr>
                <w:rFonts w:ascii="宋体" w:hAnsi="宋体" w:hint="default"/>
                <w:b w:val="0"/>
                <w:bCs w:val="0"/>
                <w:sz w:val="24"/>
              </w:rPr>
            </w:pPr>
          </w:p>
        </w:tc>
        <w:tc>
          <w:tcPr>
            <w:tcW w:w="2530" w:type="dxa"/>
            <w:vAlign w:val="center"/>
          </w:tcPr>
          <w:p>
            <w:pPr>
              <w:keepNext w:val="0"/>
              <w:keepLines w:val="0"/>
              <w:suppressLineNumbers w:val="0"/>
              <w:spacing w:before="0" w:beforeAutospacing="0" w:after="0" w:afterAutospacing="0"/>
              <w:ind w:left="-78" w:right="-80" w:leftChars="-37" w:rightChars="-38"/>
              <w:jc w:val="left"/>
              <w:rPr>
                <w:rFonts w:ascii="宋体" w:eastAsia="宋体" w:hAnsi="宋体" w:hint="default"/>
                <w:b w:val="0"/>
                <w:bCs w:val="0"/>
                <w:sz w:val="24"/>
                <w:lang w:val="en-US" w:eastAsia="zh-CN"/>
              </w:rPr>
            </w:pPr>
            <w:r>
              <w:rPr>
                <w:rFonts w:asciiTheme="minorEastAsia" w:hAnsiTheme="minorEastAsia" w:hint="eastAsia"/>
                <w:b w:val="0"/>
                <w:bCs w:val="0"/>
                <w:color w:val="auto"/>
                <w:sz w:val="24"/>
                <w:szCs w:val="24"/>
                <w:lang w:val="en-US" w:eastAsia="zh-CN"/>
              </w:rPr>
              <w:t>四、</w:t>
            </w:r>
            <w:r>
              <w:rPr>
                <w:rFonts w:asciiTheme="minorEastAsia" w:hAnsiTheme="minorEastAsia" w:hint="eastAsia"/>
                <w:b w:val="0"/>
                <w:bCs w:val="0"/>
                <w:color w:val="auto"/>
                <w:sz w:val="24"/>
                <w:szCs w:val="24"/>
              </w:rPr>
              <w:t>商务要求：</w:t>
            </w:r>
            <w:r>
              <w:rPr>
                <w:rFonts w:ascii="宋体" w:eastAsia="宋体" w:hAnsi="宋体" w:cs="宋体" w:hint="eastAsia"/>
                <w:b w:val="0"/>
                <w:bCs w:val="0"/>
                <w:sz w:val="24"/>
                <w:szCs w:val="24"/>
              </w:rPr>
              <w:t>（一）免费保修期内售后服务要求</w:t>
            </w:r>
            <w:r>
              <w:rPr>
                <w:rFonts w:ascii="宋体" w:hAnsi="宋体" w:cs="宋体" w:hint="eastAsia"/>
                <w:b w:val="0"/>
                <w:bCs w:val="0"/>
                <w:sz w:val="24"/>
                <w:szCs w:val="24"/>
                <w:lang w:val="en-US" w:eastAsia="zh-CN"/>
              </w:rPr>
              <w:t>1.</w:t>
            </w:r>
            <w:r>
              <w:rPr>
                <w:rFonts w:ascii="宋体" w:eastAsia="宋体" w:hAnsi="宋体" w:cs="宋体" w:hint="eastAsia"/>
                <w:b w:val="0"/>
                <w:bCs w:val="0"/>
                <w:sz w:val="24"/>
                <w:szCs w:val="24"/>
              </w:rPr>
              <w:t>★免费保修期</w:t>
            </w:r>
            <w:r>
              <w:rPr>
                <w:rFonts w:ascii="宋体" w:hAnsi="宋体" w:cs="宋体" w:hint="eastAsia"/>
                <w:b w:val="0"/>
                <w:bCs w:val="0"/>
                <w:sz w:val="24"/>
                <w:szCs w:val="24"/>
                <w:lang w:eastAsia="zh-CN"/>
              </w:rPr>
              <w:t>：</w:t>
            </w:r>
            <w:r>
              <w:rPr>
                <w:rFonts w:ascii="宋体" w:eastAsia="宋体" w:hAnsi="宋体" w:cs="宋体" w:hint="eastAsia"/>
                <w:b w:val="0"/>
                <w:bCs w:val="0"/>
                <w:sz w:val="24"/>
                <w:szCs w:val="24"/>
              </w:rPr>
              <w:t>货物免费保修期</w:t>
            </w:r>
            <w:r>
              <w:rPr>
                <w:rFonts w:ascii="宋体" w:eastAsia="宋体" w:hAnsi="宋体" w:cs="宋体" w:hint="eastAsia"/>
                <w:b w:val="0"/>
                <w:bCs w:val="0"/>
                <w:sz w:val="24"/>
                <w:szCs w:val="24"/>
                <w:u w:val="single"/>
              </w:rPr>
              <w:t>3</w:t>
            </w:r>
            <w:r>
              <w:rPr>
                <w:rFonts w:ascii="宋体" w:eastAsia="宋体" w:hAnsi="宋体" w:cs="宋体" w:hint="eastAsia"/>
                <w:b w:val="0"/>
                <w:bCs w:val="0"/>
                <w:sz w:val="24"/>
                <w:szCs w:val="24"/>
              </w:rPr>
              <w:t>年，时间自最终验收合格并交付使用之日起计算。保修期内产生的一切费用均由中标人承担（含需要返原厂修理的所有费用）。中标人如在合理时间或本合同约定的时间内不能修复或不能调换，经采购人催告后仍无法交货的，采购人有权选择退货，中标人应按不能交货赔偿采购人。（保修期限自验收合格签字之日起算。）保修期内的检修期应相应延长相应免费保修期。</w:t>
            </w:r>
          </w:p>
        </w:tc>
        <w:tc>
          <w:tcPr>
            <w:tcW w:w="2531" w:type="dxa"/>
            <w:vAlign w:val="center"/>
          </w:tcPr>
          <w:p>
            <w:pPr>
              <w:keepNext w:val="0"/>
              <w:keepLines w:val="0"/>
              <w:suppressLineNumbers w:val="0"/>
              <w:spacing w:before="0" w:beforeAutospacing="0" w:after="0" w:afterAutospacing="0"/>
              <w:ind w:left="-78" w:right="-80" w:leftChars="-37" w:rightChars="-38"/>
              <w:jc w:val="center"/>
              <w:rPr>
                <w:rFonts w:ascii="宋体" w:hAnsi="宋体" w:hint="default"/>
                <w:b w:val="0"/>
                <w:bCs w:val="0"/>
                <w:sz w:val="24"/>
              </w:rPr>
            </w:pPr>
          </w:p>
        </w:tc>
        <w:tc>
          <w:tcPr>
            <w:tcW w:w="2003" w:type="dxa"/>
            <w:tcBorders>
              <w:right w:val="single" w:sz="2" w:space="0" w:color="auto"/>
            </w:tcBorders>
            <w:vAlign w:val="center"/>
          </w:tcPr>
          <w:p>
            <w:pPr>
              <w:keepNext w:val="0"/>
              <w:keepLines w:val="0"/>
              <w:suppressLineNumbers w:val="0"/>
              <w:spacing w:before="0" w:beforeAutospacing="0" w:after="0" w:afterAutospacing="0"/>
              <w:ind w:left="-78" w:right="-80" w:leftChars="-37" w:rightChars="-38"/>
              <w:jc w:val="center"/>
              <w:rPr>
                <w:rFonts w:ascii="宋体" w:hAnsi="宋体" w:hint="default"/>
                <w:b w:val="0"/>
                <w:bCs w:val="0"/>
                <w:sz w:val="24"/>
              </w:rPr>
            </w:pPr>
          </w:p>
        </w:tc>
        <w:tc>
          <w:tcPr>
            <w:tcW w:w="1440" w:type="dxa"/>
            <w:tcBorders>
              <w:left w:val="single" w:sz="2" w:space="0" w:color="auto"/>
            </w:tcBorders>
            <w:vAlign w:val="center"/>
          </w:tcPr>
          <w:p>
            <w:pPr>
              <w:keepNext w:val="0"/>
              <w:keepLines w:val="0"/>
              <w:suppressLineNumbers w:val="0"/>
              <w:spacing w:before="0" w:beforeAutospacing="0" w:after="0" w:afterAutospacing="0"/>
              <w:ind w:left="-78" w:right="-80" w:leftChars="-37" w:rightChars="-38"/>
              <w:jc w:val="center"/>
              <w:rPr>
                <w:rFonts w:ascii="宋体" w:hAnsi="宋体" w:hint="default"/>
                <w:b w:val="0"/>
                <w:bCs w:val="0"/>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keepNext w:val="0"/>
              <w:keepLines w:val="0"/>
              <w:numPr>
                <w:ilvl w:val="0"/>
                <w:numId w:val="71"/>
              </w:numPr>
              <w:suppressLineNumbers w:val="0"/>
              <w:spacing w:before="0" w:beforeAutospacing="0" w:after="0" w:afterAutospacing="0"/>
              <w:ind w:right="0"/>
              <w:jc w:val="center"/>
              <w:rPr>
                <w:rFonts w:ascii="宋体" w:hAnsi="宋体" w:hint="default"/>
                <w:b w:val="0"/>
                <w:bCs w:val="0"/>
                <w:sz w:val="24"/>
              </w:rPr>
            </w:pPr>
          </w:p>
        </w:tc>
        <w:tc>
          <w:tcPr>
            <w:tcW w:w="2530" w:type="dxa"/>
            <w:vAlign w:val="center"/>
          </w:tcPr>
          <w:p>
            <w:pPr>
              <w:keepNext w:val="0"/>
              <w:keepLines w:val="0"/>
              <w:suppressLineNumbers w:val="0"/>
              <w:spacing w:before="0" w:beforeAutospacing="0" w:after="0" w:afterAutospacing="0"/>
              <w:ind w:left="-78" w:right="-80" w:leftChars="-37" w:rightChars="-38"/>
              <w:jc w:val="left"/>
              <w:rPr>
                <w:rFonts w:ascii="宋体" w:eastAsia="宋体" w:hAnsi="宋体" w:hint="eastAsia"/>
                <w:b w:val="0"/>
                <w:bCs w:val="0"/>
                <w:sz w:val="24"/>
                <w:lang w:val="en-US" w:eastAsia="zh-CN"/>
              </w:rPr>
            </w:pPr>
            <w:r>
              <w:rPr>
                <w:rFonts w:asciiTheme="minorEastAsia" w:hAnsiTheme="minorEastAsia" w:hint="eastAsia"/>
                <w:b w:val="0"/>
                <w:bCs w:val="0"/>
                <w:color w:val="auto"/>
                <w:sz w:val="24"/>
                <w:szCs w:val="24"/>
                <w:lang w:val="en-US" w:eastAsia="zh-CN"/>
              </w:rPr>
              <w:t>四、</w:t>
            </w:r>
            <w:r>
              <w:rPr>
                <w:rFonts w:asciiTheme="minorEastAsia" w:hAnsiTheme="minorEastAsia" w:hint="eastAsia"/>
                <w:b w:val="0"/>
                <w:bCs w:val="0"/>
                <w:color w:val="auto"/>
                <w:sz w:val="24"/>
                <w:szCs w:val="24"/>
              </w:rPr>
              <w:t>商务要求：</w:t>
            </w:r>
            <w:r>
              <w:rPr>
                <w:rFonts w:ascii="宋体" w:eastAsia="宋体" w:hAnsi="宋体" w:cs="宋体" w:hint="eastAsia"/>
                <w:b w:val="0"/>
                <w:bCs w:val="0"/>
                <w:sz w:val="24"/>
                <w:szCs w:val="24"/>
              </w:rPr>
              <w:t>（三）其他商务要求</w:t>
            </w:r>
            <w:r>
              <w:rPr>
                <w:rFonts w:ascii="宋体" w:hAnsi="宋体" w:cs="宋体" w:hint="eastAsia"/>
                <w:b w:val="0"/>
                <w:bCs w:val="0"/>
                <w:sz w:val="24"/>
                <w:szCs w:val="24"/>
                <w:lang w:val="en-US" w:eastAsia="zh-CN"/>
              </w:rPr>
              <w:t>1.</w:t>
            </w:r>
            <w:r>
              <w:rPr>
                <w:rFonts w:ascii="宋体" w:eastAsia="宋体" w:hAnsi="宋体" w:cs="宋体" w:hint="eastAsia"/>
                <w:b w:val="0"/>
                <w:bCs w:val="0"/>
                <w:sz w:val="24"/>
                <w:szCs w:val="24"/>
              </w:rPr>
              <w:t>关于交货</w:t>
            </w:r>
            <w:r>
              <w:rPr>
                <w:rFonts w:ascii="宋体" w:hAnsi="宋体" w:cs="宋体" w:hint="eastAsia"/>
                <w:b w:val="0"/>
                <w:bCs w:val="0"/>
                <w:sz w:val="24"/>
                <w:szCs w:val="24"/>
                <w:lang w:eastAsia="zh-CN"/>
              </w:rPr>
              <w:t>：★1.1签订合同后15天（日历日）内。中标人将全部货物运抵、安装调试完成并验收合格，正式交付用户使用所需的时间。</w:t>
            </w:r>
          </w:p>
        </w:tc>
        <w:tc>
          <w:tcPr>
            <w:tcW w:w="2531" w:type="dxa"/>
            <w:vAlign w:val="center"/>
          </w:tcPr>
          <w:p>
            <w:pPr>
              <w:keepNext w:val="0"/>
              <w:keepLines w:val="0"/>
              <w:suppressLineNumbers w:val="0"/>
              <w:spacing w:before="0" w:beforeAutospacing="0" w:after="0" w:afterAutospacing="0"/>
              <w:ind w:left="-78" w:right="-80" w:leftChars="-37" w:rightChars="-38"/>
              <w:jc w:val="center"/>
              <w:rPr>
                <w:rFonts w:ascii="宋体" w:hAnsi="宋体" w:hint="default"/>
                <w:b w:val="0"/>
                <w:bCs w:val="0"/>
                <w:sz w:val="24"/>
              </w:rPr>
            </w:pPr>
          </w:p>
        </w:tc>
        <w:tc>
          <w:tcPr>
            <w:tcW w:w="2003" w:type="dxa"/>
            <w:tcBorders>
              <w:right w:val="single" w:sz="2" w:space="0" w:color="auto"/>
            </w:tcBorders>
            <w:vAlign w:val="center"/>
          </w:tcPr>
          <w:p>
            <w:pPr>
              <w:keepNext w:val="0"/>
              <w:keepLines w:val="0"/>
              <w:suppressLineNumbers w:val="0"/>
              <w:spacing w:before="0" w:beforeAutospacing="0" w:after="0" w:afterAutospacing="0"/>
              <w:ind w:left="-78" w:right="-80" w:leftChars="-37" w:rightChars="-38"/>
              <w:jc w:val="center"/>
              <w:rPr>
                <w:rFonts w:ascii="宋体" w:hAnsi="宋体" w:hint="default"/>
                <w:b w:val="0"/>
                <w:bCs w:val="0"/>
                <w:sz w:val="24"/>
              </w:rPr>
            </w:pPr>
          </w:p>
        </w:tc>
        <w:tc>
          <w:tcPr>
            <w:tcW w:w="1440" w:type="dxa"/>
            <w:tcBorders>
              <w:left w:val="single" w:sz="2" w:space="0" w:color="auto"/>
            </w:tcBorders>
            <w:vAlign w:val="center"/>
          </w:tcPr>
          <w:p>
            <w:pPr>
              <w:keepNext w:val="0"/>
              <w:keepLines w:val="0"/>
              <w:suppressLineNumbers w:val="0"/>
              <w:spacing w:before="0" w:beforeAutospacing="0" w:after="0" w:afterAutospacing="0"/>
              <w:ind w:left="-78" w:right="-80" w:leftChars="-37" w:rightChars="-38"/>
              <w:jc w:val="center"/>
              <w:rPr>
                <w:rFonts w:ascii="宋体" w:hAnsi="宋体" w:hint="default"/>
                <w:b w:val="0"/>
                <w:bCs w:val="0"/>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keepNext w:val="0"/>
              <w:keepLines w:val="0"/>
              <w:numPr>
                <w:ilvl w:val="0"/>
                <w:numId w:val="71"/>
              </w:numPr>
              <w:suppressLineNumbers w:val="0"/>
              <w:spacing w:before="0" w:beforeAutospacing="0" w:after="0" w:afterAutospacing="0"/>
              <w:ind w:right="0"/>
              <w:jc w:val="center"/>
              <w:rPr>
                <w:rFonts w:ascii="宋体" w:hAnsi="宋体" w:hint="default"/>
                <w:b w:val="0"/>
                <w:bCs w:val="0"/>
                <w:sz w:val="24"/>
              </w:rPr>
            </w:pPr>
          </w:p>
        </w:tc>
        <w:tc>
          <w:tcPr>
            <w:tcW w:w="2530" w:type="dxa"/>
            <w:vAlign w:val="center"/>
          </w:tcPr>
          <w:p>
            <w:pPr>
              <w:keepNext w:val="0"/>
              <w:keepLines w:val="0"/>
              <w:suppressLineNumbers w:val="0"/>
              <w:spacing w:before="0" w:beforeAutospacing="0" w:after="0" w:afterAutospacing="0"/>
              <w:ind w:left="-78" w:right="-80" w:leftChars="-37" w:rightChars="-38"/>
              <w:jc w:val="left"/>
              <w:rPr>
                <w:rFonts w:ascii="宋体" w:eastAsia="宋体" w:hAnsi="宋体" w:hint="default"/>
                <w:b w:val="0"/>
                <w:bCs w:val="0"/>
                <w:sz w:val="24"/>
                <w:lang w:val="en-US" w:eastAsia="zh-CN"/>
              </w:rPr>
            </w:pPr>
            <w:r>
              <w:rPr>
                <w:rFonts w:asciiTheme="minorEastAsia" w:hAnsiTheme="minorEastAsia" w:hint="eastAsia"/>
                <w:b w:val="0"/>
                <w:bCs w:val="0"/>
                <w:color w:val="auto"/>
                <w:sz w:val="24"/>
                <w:szCs w:val="24"/>
                <w:lang w:val="en-US" w:eastAsia="zh-CN"/>
              </w:rPr>
              <w:t>四、</w:t>
            </w:r>
            <w:r>
              <w:rPr>
                <w:rFonts w:asciiTheme="minorEastAsia" w:hAnsiTheme="minorEastAsia" w:hint="eastAsia"/>
                <w:b w:val="0"/>
                <w:bCs w:val="0"/>
                <w:color w:val="auto"/>
                <w:sz w:val="24"/>
                <w:szCs w:val="24"/>
              </w:rPr>
              <w:t>商务要求：</w:t>
            </w:r>
            <w:r>
              <w:rPr>
                <w:rFonts w:ascii="宋体" w:eastAsia="宋体" w:hAnsi="宋体" w:cs="宋体" w:hint="eastAsia"/>
                <w:b w:val="0"/>
                <w:bCs w:val="0"/>
                <w:sz w:val="24"/>
                <w:szCs w:val="24"/>
              </w:rPr>
              <w:t>（三）其他商务要求</w:t>
            </w:r>
            <w:r>
              <w:rPr>
                <w:rFonts w:ascii="宋体" w:hAnsi="宋体" w:cs="宋体" w:hint="eastAsia"/>
                <w:b w:val="0"/>
                <w:bCs w:val="0"/>
                <w:sz w:val="24"/>
                <w:szCs w:val="24"/>
                <w:lang w:val="en-US" w:eastAsia="zh-CN"/>
              </w:rPr>
              <w:t>4.★付款方式：</w:t>
            </w:r>
            <w:r>
              <w:rPr>
                <w:rFonts w:ascii="宋体" w:eastAsia="宋体" w:hAnsi="宋体" w:cs="宋体" w:hint="eastAsia"/>
                <w:b w:val="0"/>
                <w:bCs w:val="0"/>
                <w:sz w:val="24"/>
                <w:szCs w:val="24"/>
              </w:rPr>
              <w:t>①签订合同后支付</w:t>
            </w:r>
            <w:r>
              <w:rPr>
                <w:rFonts w:ascii="宋体" w:eastAsia="宋体" w:hAnsi="宋体" w:cs="宋体" w:hint="eastAsia"/>
                <w:b w:val="0"/>
                <w:bCs w:val="0"/>
                <w:sz w:val="24"/>
                <w:szCs w:val="24"/>
                <w:lang w:val="en-US" w:eastAsia="zh-CN"/>
              </w:rPr>
              <w:t>65</w:t>
            </w:r>
            <w:r>
              <w:rPr>
                <w:rFonts w:ascii="宋体" w:eastAsia="宋体" w:hAnsi="宋体" w:cs="宋体" w:hint="eastAsia"/>
                <w:b w:val="0"/>
                <w:bCs w:val="0"/>
                <w:sz w:val="24"/>
                <w:szCs w:val="24"/>
              </w:rPr>
              <w:t>%货款；② 设备到货安装验收合格后，凭验收报告支付</w:t>
            </w:r>
            <w:r>
              <w:rPr>
                <w:rFonts w:ascii="宋体" w:eastAsia="宋体" w:hAnsi="宋体" w:cs="宋体" w:hint="eastAsia"/>
                <w:b w:val="0"/>
                <w:bCs w:val="0"/>
                <w:sz w:val="24"/>
                <w:szCs w:val="24"/>
                <w:lang w:val="en-US" w:eastAsia="zh-CN"/>
              </w:rPr>
              <w:t>35</w:t>
            </w:r>
            <w:r>
              <w:rPr>
                <w:rFonts w:ascii="宋体" w:eastAsia="宋体" w:hAnsi="宋体" w:cs="宋体" w:hint="eastAsia"/>
                <w:b w:val="0"/>
                <w:bCs w:val="0"/>
                <w:sz w:val="24"/>
                <w:szCs w:val="24"/>
              </w:rPr>
              <w:t>%货款。</w:t>
            </w:r>
          </w:p>
        </w:tc>
        <w:tc>
          <w:tcPr>
            <w:tcW w:w="2531" w:type="dxa"/>
            <w:vAlign w:val="center"/>
          </w:tcPr>
          <w:p>
            <w:pPr>
              <w:keepNext w:val="0"/>
              <w:keepLines w:val="0"/>
              <w:suppressLineNumbers w:val="0"/>
              <w:spacing w:before="0" w:beforeAutospacing="0" w:after="0" w:afterAutospacing="0"/>
              <w:ind w:left="-78" w:right="-80" w:leftChars="-37" w:rightChars="-38"/>
              <w:jc w:val="center"/>
              <w:rPr>
                <w:rFonts w:ascii="宋体" w:hAnsi="宋体" w:hint="default"/>
                <w:b w:val="0"/>
                <w:bCs w:val="0"/>
                <w:sz w:val="24"/>
              </w:rPr>
            </w:pPr>
          </w:p>
        </w:tc>
        <w:tc>
          <w:tcPr>
            <w:tcW w:w="2003" w:type="dxa"/>
            <w:tcBorders>
              <w:right w:val="single" w:sz="2" w:space="0" w:color="auto"/>
            </w:tcBorders>
            <w:vAlign w:val="center"/>
          </w:tcPr>
          <w:p>
            <w:pPr>
              <w:keepNext w:val="0"/>
              <w:keepLines w:val="0"/>
              <w:suppressLineNumbers w:val="0"/>
              <w:spacing w:before="0" w:beforeAutospacing="0" w:after="0" w:afterAutospacing="0"/>
              <w:ind w:left="-78" w:right="-80" w:leftChars="-37" w:rightChars="-38"/>
              <w:jc w:val="center"/>
              <w:rPr>
                <w:rFonts w:ascii="宋体" w:hAnsi="宋体" w:hint="default"/>
                <w:b w:val="0"/>
                <w:bCs w:val="0"/>
                <w:sz w:val="24"/>
              </w:rPr>
            </w:pPr>
          </w:p>
        </w:tc>
        <w:tc>
          <w:tcPr>
            <w:tcW w:w="1440" w:type="dxa"/>
            <w:tcBorders>
              <w:left w:val="single" w:sz="2" w:space="0" w:color="auto"/>
            </w:tcBorders>
            <w:vAlign w:val="center"/>
          </w:tcPr>
          <w:p>
            <w:pPr>
              <w:keepNext w:val="0"/>
              <w:keepLines w:val="0"/>
              <w:suppressLineNumbers w:val="0"/>
              <w:spacing w:before="0" w:beforeAutospacing="0" w:after="0" w:afterAutospacing="0"/>
              <w:ind w:left="-78" w:right="-80" w:leftChars="-37" w:rightChars="-38"/>
              <w:jc w:val="center"/>
              <w:rPr>
                <w:rFonts w:ascii="宋体" w:hAnsi="宋体" w:hint="default"/>
                <w:b w:val="0"/>
                <w:bCs w:val="0"/>
                <w:sz w:val="24"/>
              </w:rPr>
            </w:pPr>
          </w:p>
        </w:tc>
      </w:tr>
      <w:tr>
        <w:tblPrEx>
          <w:tblW w:w="9000" w:type="dxa"/>
          <w:tblInd w:w="288" w:type="dxa"/>
          <w:tblLayout w:type="fixed"/>
          <w:tblCellMar>
            <w:top w:w="0" w:type="dxa"/>
            <w:left w:w="108" w:type="dxa"/>
            <w:bottom w:w="0" w:type="dxa"/>
            <w:right w:w="108" w:type="dxa"/>
          </w:tblCellMar>
        </w:tblPrEx>
        <w:tc>
          <w:tcPr>
            <w:tcW w:w="496" w:type="dxa"/>
            <w:vAlign w:val="center"/>
          </w:tcPr>
          <w:p>
            <w:pPr>
              <w:keepNext w:val="0"/>
              <w:keepLines w:val="0"/>
              <w:numPr>
                <w:ilvl w:val="0"/>
                <w:numId w:val="71"/>
              </w:numPr>
              <w:suppressLineNumbers w:val="0"/>
              <w:spacing w:before="0" w:beforeAutospacing="0" w:after="0" w:afterAutospacing="0"/>
              <w:ind w:right="0"/>
              <w:jc w:val="center"/>
              <w:rPr>
                <w:rFonts w:ascii="宋体" w:hAnsi="宋体" w:hint="default"/>
                <w:sz w:val="24"/>
              </w:rPr>
            </w:pPr>
          </w:p>
        </w:tc>
        <w:tc>
          <w:tcPr>
            <w:tcW w:w="2530" w:type="dxa"/>
            <w:vAlign w:val="center"/>
          </w:tcPr>
          <w:p>
            <w:pPr>
              <w:keepNext w:val="0"/>
              <w:keepLines w:val="0"/>
              <w:numPr>
                <w:ilvl w:val="0"/>
                <w:numId w:val="0"/>
              </w:numPr>
              <w:suppressLineNumbers w:val="0"/>
              <w:spacing w:before="0" w:beforeAutospacing="0" w:after="0" w:afterAutospacing="0" w:line="240" w:lineRule="auto"/>
              <w:ind w:right="-80" w:leftChars="0" w:rightChars="-38"/>
              <w:jc w:val="left"/>
              <w:rPr>
                <w:rFonts w:ascii="宋体" w:eastAsia="宋体" w:hAnsi="宋体" w:cs="宋体" w:hint="eastAsia"/>
                <w:sz w:val="24"/>
                <w:szCs w:val="24"/>
              </w:rPr>
            </w:pPr>
            <w:r>
              <w:rPr>
                <w:rFonts w:ascii="宋体" w:eastAsia="宋体" w:hAnsi="宋体" w:cs="宋体" w:hint="eastAsia"/>
                <w:sz w:val="24"/>
                <w:szCs w:val="24"/>
                <w:lang w:val="en-US" w:eastAsia="zh-CN"/>
              </w:rPr>
              <w:t>五、</w:t>
            </w:r>
            <w:r>
              <w:rPr>
                <w:rFonts w:ascii="宋体" w:eastAsia="宋体" w:hAnsi="宋体" w:cs="宋体" w:hint="eastAsia"/>
                <w:sz w:val="24"/>
                <w:szCs w:val="24"/>
              </w:rPr>
              <w:t>商务要求：（三）其他商务要求</w:t>
            </w:r>
            <w:r>
              <w:rPr>
                <w:rFonts w:ascii="宋体" w:eastAsia="宋体" w:hAnsi="宋体" w:cs="宋体" w:hint="eastAsia"/>
                <w:sz w:val="24"/>
                <w:szCs w:val="24"/>
                <w:lang w:val="en-US" w:eastAsia="zh-CN"/>
              </w:rPr>
              <w:t>5.</w:t>
            </w:r>
            <w:r>
              <w:rPr>
                <w:rFonts w:ascii="宋体" w:eastAsia="宋体" w:hAnsi="宋体" w:cs="宋体" w:hint="eastAsia"/>
                <w:sz w:val="24"/>
                <w:szCs w:val="24"/>
              </w:rPr>
              <w:t>★报价方式及要求</w:t>
            </w:r>
          </w:p>
          <w:p>
            <w:pPr>
              <w:pStyle w:val="a"/>
              <w:numPr>
                <w:ilvl w:val="0"/>
                <w:numId w:val="0"/>
              </w:numPr>
              <w:spacing w:line="240" w:lineRule="auto"/>
              <w:ind w:leftChars="0"/>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5.1人民币报价，投标价包含仪器设备的价款、税费、包装、运输、装卸、安装、调试、技术指导、培训、咨询、服务、保险、检测、验收合格交付使用之前以及技术和售后服务、质保期退运返修等其他所有费用。</w:t>
            </w:r>
          </w:p>
          <w:p>
            <w:pPr>
              <w:pStyle w:val="a"/>
              <w:numPr>
                <w:ilvl w:val="0"/>
                <w:numId w:val="0"/>
              </w:numPr>
              <w:spacing w:line="240" w:lineRule="auto"/>
              <w:ind w:leftChars="0"/>
              <w:rPr>
                <w:rFonts w:hint="default"/>
                <w:lang w:val="en-US" w:eastAsia="zh-CN"/>
              </w:rPr>
            </w:pPr>
            <w:r>
              <w:rPr>
                <w:rFonts w:ascii="宋体" w:eastAsia="宋体" w:hAnsi="宋体" w:cs="宋体" w:hint="eastAsia"/>
                <w:sz w:val="24"/>
                <w:szCs w:val="24"/>
              </w:rPr>
              <w:t>5.2</w:t>
            </w:r>
            <w:r>
              <w:rPr>
                <w:rFonts w:ascii="宋体" w:eastAsia="宋体" w:hAnsi="宋体" w:cs="宋体" w:hint="eastAsia"/>
                <w:bCs/>
                <w:sz w:val="24"/>
                <w:szCs w:val="24"/>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c>
          <w:tcPr>
            <w:tcW w:w="2531" w:type="dxa"/>
            <w:vAlign w:val="center"/>
          </w:tcPr>
          <w:p>
            <w:pPr>
              <w:keepNext w:val="0"/>
              <w:keepLines w:val="0"/>
              <w:suppressLineNumbers w:val="0"/>
              <w:spacing w:before="0" w:beforeAutospacing="0" w:after="0" w:afterAutospacing="0"/>
              <w:ind w:left="-78" w:right="-80" w:leftChars="-37" w:rightChars="-38"/>
              <w:jc w:val="center"/>
              <w:rPr>
                <w:rFonts w:ascii="宋体" w:hAnsi="宋体" w:hint="default"/>
                <w:sz w:val="24"/>
              </w:rPr>
            </w:pPr>
          </w:p>
        </w:tc>
        <w:tc>
          <w:tcPr>
            <w:tcW w:w="2003" w:type="dxa"/>
            <w:tcBorders>
              <w:right w:val="single" w:sz="2" w:space="0" w:color="auto"/>
            </w:tcBorders>
            <w:vAlign w:val="center"/>
          </w:tcPr>
          <w:p>
            <w:pPr>
              <w:keepNext w:val="0"/>
              <w:keepLines w:val="0"/>
              <w:suppressLineNumbers w:val="0"/>
              <w:spacing w:before="0" w:beforeAutospacing="0" w:after="0" w:afterAutospacing="0"/>
              <w:ind w:left="-78" w:right="-80" w:leftChars="-37" w:rightChars="-38"/>
              <w:jc w:val="center"/>
              <w:rPr>
                <w:rFonts w:ascii="宋体" w:hAnsi="宋体" w:hint="default"/>
                <w:sz w:val="24"/>
              </w:rPr>
            </w:pPr>
          </w:p>
        </w:tc>
        <w:tc>
          <w:tcPr>
            <w:tcW w:w="1440" w:type="dxa"/>
            <w:tcBorders>
              <w:left w:val="single" w:sz="2" w:space="0" w:color="auto"/>
            </w:tcBorders>
            <w:vAlign w:val="center"/>
          </w:tcPr>
          <w:p>
            <w:pPr>
              <w:keepNext w:val="0"/>
              <w:keepLines w:val="0"/>
              <w:suppressLineNumbers w:val="0"/>
              <w:spacing w:before="0" w:beforeAutospacing="0" w:after="0" w:afterAutospacing="0"/>
              <w:ind w:left="-78" w:right="-80" w:leftChars="-37" w:rightChars="-38"/>
              <w:jc w:val="center"/>
              <w:rPr>
                <w:rFonts w:ascii="宋体" w:hAnsi="宋体" w:hint="default"/>
                <w:sz w:val="24"/>
              </w:rPr>
            </w:pPr>
          </w:p>
        </w:tc>
      </w:tr>
    </w:tbl>
    <w:p>
      <w:pPr>
        <w:adjustRightInd w:val="0"/>
        <w:snapToGrid w:val="0"/>
        <w:spacing w:line="460" w:lineRule="exact"/>
        <w:ind w:left="225" w:leftChars="107"/>
        <w:rPr>
          <w:rFonts w:ascii="宋体" w:hAnsi="宋体"/>
          <w:sz w:val="24"/>
        </w:rPr>
      </w:pPr>
      <w:r>
        <w:rPr>
          <w:rFonts w:ascii="宋体" w:hAnsi="宋体" w:hint="eastAsia"/>
          <w:sz w:val="24"/>
        </w:rPr>
        <w:t>备注：</w:t>
      </w:r>
    </w:p>
    <w:p>
      <w:pPr>
        <w:adjustRightInd w:val="0"/>
        <w:snapToGrid w:val="0"/>
        <w:spacing w:line="460" w:lineRule="exact"/>
        <w:ind w:left="225" w:leftChars="107"/>
        <w:rPr>
          <w:rFonts w:ascii="宋体" w:hAnsi="宋体"/>
          <w:sz w:val="24"/>
        </w:rPr>
      </w:pPr>
      <w:r>
        <w:rPr>
          <w:rFonts w:ascii="宋体" w:hAnsi="宋体" w:hint="eastAsia"/>
          <w:sz w:val="24"/>
        </w:rPr>
        <w:t>1、本表中“招标文件条款描述”的条款与用户需求中的条款描述不一致的以用户需求中规定的为准。</w:t>
      </w:r>
    </w:p>
    <w:p>
      <w:pPr>
        <w:adjustRightInd w:val="0"/>
        <w:snapToGrid w:val="0"/>
        <w:spacing w:line="460" w:lineRule="exact"/>
        <w:ind w:left="225" w:leftChars="107"/>
        <w:rPr>
          <w:rFonts w:asciiTheme="minorEastAsia" w:eastAsiaTheme="minorEastAsia" w:hAnsiTheme="minorEastAsia"/>
          <w:b/>
          <w:bCs/>
          <w:sz w:val="24"/>
        </w:rPr>
      </w:pPr>
      <w:r>
        <w:rPr>
          <w:rFonts w:ascii="宋体" w:hAnsi="宋体" w:hint="eastAsia"/>
          <w:sz w:val="24"/>
        </w:rPr>
        <w:t>2、投标人必须按招标文件要求附相关证明文件，</w:t>
      </w:r>
      <w:r>
        <w:rPr>
          <w:rFonts w:asciiTheme="minorEastAsia" w:eastAsiaTheme="minorEastAsia" w:hAnsiTheme="minorEastAsia" w:hint="eastAsia"/>
          <w:b/>
          <w:bCs/>
          <w:sz w:val="24"/>
        </w:rPr>
        <w:t>如未按招标文件要求提供相关证明资料或有任何一条负偏离则导致无效投标。</w:t>
      </w:r>
    </w:p>
    <w:p>
      <w:pPr>
        <w:adjustRightInd w:val="0"/>
        <w:snapToGrid w:val="0"/>
        <w:spacing w:line="460" w:lineRule="exact"/>
        <w:ind w:left="225" w:leftChars="107"/>
        <w:rPr>
          <w:rFonts w:ascii="宋体" w:hAnsi="宋体"/>
          <w:sz w:val="24"/>
        </w:rPr>
      </w:pPr>
      <w:r>
        <w:rPr>
          <w:rFonts w:ascii="宋体" w:hAnsi="宋体" w:hint="eastAsia"/>
          <w:sz w:val="24"/>
        </w:rPr>
        <w:t>3、投标人应在“说明”一栏中列出技术参数的证明资料（如有）名称，并指明该证明资料在投标文件中的具体位置。</w:t>
      </w:r>
    </w:p>
    <w:p>
      <w:pPr>
        <w:adjustRightInd w:val="0"/>
        <w:snapToGrid w:val="0"/>
        <w:spacing w:line="460" w:lineRule="exact"/>
        <w:ind w:left="225" w:leftChars="107"/>
        <w:rPr>
          <w:rFonts w:asciiTheme="minorEastAsia" w:eastAsiaTheme="minorEastAsia" w:hAnsiTheme="minorEastAsia"/>
          <w:b/>
          <w:bCs/>
          <w:sz w:val="24"/>
        </w:rPr>
      </w:pPr>
    </w:p>
    <w:p>
      <w:pPr>
        <w:adjustRightInd w:val="0"/>
        <w:snapToGrid w:val="0"/>
        <w:spacing w:line="460" w:lineRule="exact"/>
        <w:ind w:left="826" w:hanging="601" w:leftChars="107" w:hangingChars="286"/>
        <w:rPr>
          <w:spacing w:val="4"/>
        </w:rPr>
      </w:pPr>
    </w:p>
    <w:p>
      <w:pPr>
        <w:spacing w:line="440" w:lineRule="exact"/>
        <w:rPr>
          <w:rFonts w:ascii="黑体" w:eastAsia="黑体"/>
          <w:b/>
          <w:bCs/>
          <w:sz w:val="28"/>
        </w:rPr>
      </w:pPr>
    </w:p>
    <w:p>
      <w:pPr>
        <w:widowControl/>
        <w:jc w:val="left"/>
        <w:rPr>
          <w:rFonts w:ascii="宋体" w:hAnsi="宋体"/>
          <w:sz w:val="24"/>
        </w:rPr>
      </w:pPr>
      <w:r>
        <w:rPr>
          <w:rFonts w:ascii="宋体" w:hAnsi="宋体"/>
          <w:sz w:val="24"/>
        </w:rPr>
        <w:br w:type="page"/>
      </w:r>
    </w:p>
    <w:p>
      <w:pPr>
        <w:pStyle w:val="Heading2"/>
        <w:numPr>
          <w:ilvl w:val="0"/>
          <w:numId w:val="65"/>
        </w:numPr>
        <w:spacing w:line="240" w:lineRule="auto"/>
        <w:jc w:val="center"/>
        <w:rPr>
          <w:b w:val="0"/>
        </w:rPr>
      </w:pPr>
      <w:bookmarkStart w:id="227" w:name="_Toc14879"/>
      <w:bookmarkStart w:id="228" w:name="_Toc20053"/>
      <w:bookmarkStart w:id="229" w:name="_Toc30664884"/>
      <w:bookmarkStart w:id="230" w:name="_Toc256000040"/>
      <w:r>
        <w:rPr>
          <w:rFonts w:hint="eastAsia"/>
          <w:b w:val="0"/>
        </w:rPr>
        <w:t>技术要求偏离表</w:t>
      </w:r>
      <w:bookmarkEnd w:id="230"/>
      <w:bookmarkEnd w:id="227"/>
    </w:p>
    <w:p>
      <w:pPr>
        <w:spacing w:line="400" w:lineRule="exact"/>
        <w:ind w:left="945" w:hanging="735" w:leftChars="100" w:hangingChars="350"/>
        <w:jc w:val="center"/>
        <w:rPr>
          <w:rFonts w:ascii="宋体" w:hAnsi="宋体"/>
          <w:b/>
          <w:bCs/>
          <w:sz w:val="36"/>
          <w:szCs w:val="36"/>
        </w:rPr>
      </w:pPr>
      <w:r>
        <w:rPr>
          <w:rFonts w:ascii="宋体" w:hAnsi="宋体" w:hint="eastAsia"/>
          <w:b/>
          <w:bCs/>
          <w:sz w:val="36"/>
          <w:szCs w:val="36"/>
        </w:rPr>
        <w:t>（非信息公开部分）</w:t>
      </w:r>
    </w:p>
    <w:p>
      <w:pPr>
        <w:spacing w:line="400" w:lineRule="exact"/>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w:t>
      </w:r>
      <w:r>
        <w:rPr>
          <w:rFonts w:ascii="宋体" w:hAnsi="宋体" w:hint="eastAsia"/>
          <w:sz w:val="24"/>
        </w:rPr>
        <w:t>条款逐条应答并按要求填写下表。</w:t>
      </w:r>
    </w:p>
    <w:p>
      <w:pPr>
        <w:widowControl/>
        <w:wordWrap w:val="0"/>
        <w:spacing w:line="360" w:lineRule="auto"/>
        <w:jc w:val="left"/>
        <w:rPr>
          <w:rFonts w:ascii="宋体" w:hAnsi="宋体"/>
          <w:color w:val="auto"/>
          <w:sz w:val="24"/>
        </w:rPr>
      </w:pPr>
      <w:r>
        <w:rPr>
          <w:rFonts w:ascii="宋体" w:hAnsi="宋体" w:hint="eastAsia"/>
          <w:sz w:val="24"/>
        </w:rPr>
        <w:t xml:space="preserve">投标人名称：          </w:t>
      </w:r>
      <w:r>
        <w:rPr>
          <w:rFonts w:ascii="宋体" w:hAnsi="宋体" w:hint="eastAsia"/>
          <w:color w:val="FF0000"/>
          <w:sz w:val="24"/>
        </w:rPr>
        <w:t xml:space="preserve">      </w:t>
      </w:r>
      <w:r>
        <w:rPr>
          <w:rFonts w:ascii="宋体" w:hAnsi="宋体" w:hint="eastAsia"/>
          <w:color w:val="auto"/>
          <w:sz w:val="24"/>
        </w:rPr>
        <w:t xml:space="preserve">     项目编号：</w:t>
      </w:r>
      <w:r>
        <w:rPr>
          <w:rFonts w:ascii="宋体" w:hAnsi="宋体" w:hint="eastAsia"/>
          <w:color w:val="auto"/>
          <w:sz w:val="24"/>
          <w:lang w:eastAsia="zh-CN"/>
        </w:rPr>
        <w:t>SZDL2023001961（CLF0123SZ17ZC27）</w:t>
      </w:r>
      <w:r>
        <w:rPr>
          <w:rFonts w:ascii="ˎ̥" w:hAnsi="ˎ̥" w:cs="宋体"/>
          <w:color w:val="auto"/>
          <w:kern w:val="0"/>
          <w:sz w:val="24"/>
        </w:rPr>
        <w:t> </w:t>
      </w:r>
    </w:p>
    <w:tbl>
      <w:tblPr>
        <w:tblStyle w:val="TableNormal"/>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535"/>
        <w:gridCol w:w="2685"/>
        <w:gridCol w:w="2430"/>
        <w:gridCol w:w="2032"/>
        <w:gridCol w:w="1344"/>
      </w:tblGrid>
      <w:tr>
        <w:tblPrEx>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810"/>
          <w:jc w:val="center"/>
        </w:trPr>
        <w:tc>
          <w:tcPr>
            <w:tcW w:w="535" w:type="dxa"/>
            <w:tcBorders>
              <w:top w:val="single" w:sz="12" w:space="0" w:color="auto"/>
              <w:bottom w:val="double" w:sz="4" w:space="0" w:color="auto"/>
            </w:tcBorders>
            <w:shd w:val="clear" w:color="auto" w:fill="EEECE1"/>
            <w:vAlign w:val="center"/>
          </w:tcPr>
          <w:p>
            <w:pPr>
              <w:keepNext w:val="0"/>
              <w:keepLines w:val="0"/>
              <w:suppressLineNumbers w:val="0"/>
              <w:adjustRightInd w:val="0"/>
              <w:snapToGrid w:val="0"/>
              <w:spacing w:before="0" w:beforeAutospacing="0" w:after="0" w:afterAutospacing="0"/>
              <w:ind w:left="-71" w:right="-74" w:leftChars="-34" w:rightChars="-35"/>
              <w:jc w:val="center"/>
              <w:rPr>
                <w:rFonts w:ascii="宋体" w:hAnsi="宋体" w:hint="default"/>
                <w:color w:val="auto"/>
                <w:sz w:val="24"/>
              </w:rPr>
            </w:pPr>
            <w:r>
              <w:rPr>
                <w:rFonts w:ascii="宋体" w:hAnsi="宋体" w:hint="eastAsia"/>
                <w:color w:val="auto"/>
                <w:sz w:val="24"/>
              </w:rPr>
              <w:t>序号</w:t>
            </w:r>
          </w:p>
        </w:tc>
        <w:tc>
          <w:tcPr>
            <w:tcW w:w="2685" w:type="dxa"/>
            <w:tcBorders>
              <w:top w:val="single" w:sz="12" w:space="0" w:color="auto"/>
              <w:bottom w:val="double" w:sz="4" w:space="0" w:color="auto"/>
            </w:tcBorders>
            <w:shd w:val="clear" w:color="auto" w:fill="EEECE1"/>
            <w:vAlign w:val="center"/>
          </w:tcPr>
          <w:p>
            <w:pPr>
              <w:keepNext w:val="0"/>
              <w:keepLines w:val="0"/>
              <w:suppressLineNumbers w:val="0"/>
              <w:adjustRightInd w:val="0"/>
              <w:snapToGrid w:val="0"/>
              <w:spacing w:before="0" w:beforeAutospacing="0" w:after="0" w:afterAutospacing="0"/>
              <w:ind w:left="-71" w:right="-74" w:leftChars="-34" w:rightChars="-35"/>
              <w:jc w:val="center"/>
              <w:rPr>
                <w:rFonts w:ascii="宋体" w:hAnsi="宋体" w:hint="default"/>
                <w:color w:val="auto"/>
                <w:sz w:val="24"/>
              </w:rPr>
            </w:pPr>
            <w:r>
              <w:rPr>
                <w:rFonts w:ascii="宋体" w:hAnsi="宋体" w:hint="eastAsia"/>
                <w:color w:val="auto"/>
                <w:sz w:val="24"/>
              </w:rPr>
              <w:t>招标文件条款描述</w:t>
            </w:r>
          </w:p>
        </w:tc>
        <w:tc>
          <w:tcPr>
            <w:tcW w:w="2430" w:type="dxa"/>
            <w:tcBorders>
              <w:top w:val="single" w:sz="12" w:space="0" w:color="auto"/>
              <w:bottom w:val="double" w:sz="4" w:space="0" w:color="auto"/>
            </w:tcBorders>
            <w:shd w:val="clear" w:color="auto" w:fill="EEECE1"/>
            <w:vAlign w:val="center"/>
          </w:tcPr>
          <w:p>
            <w:pPr>
              <w:keepNext w:val="0"/>
              <w:keepLines w:val="0"/>
              <w:suppressLineNumbers w:val="0"/>
              <w:adjustRightInd w:val="0"/>
              <w:snapToGrid w:val="0"/>
              <w:spacing w:before="0" w:beforeAutospacing="0" w:after="0" w:afterAutospacing="0"/>
              <w:ind w:left="-71" w:right="-74" w:leftChars="-34" w:rightChars="-35"/>
              <w:jc w:val="center"/>
              <w:rPr>
                <w:rFonts w:ascii="宋体" w:hAnsi="宋体" w:hint="default"/>
                <w:color w:val="auto"/>
                <w:sz w:val="24"/>
              </w:rPr>
            </w:pPr>
            <w:r>
              <w:rPr>
                <w:rFonts w:ascii="宋体" w:hAnsi="宋体" w:hint="eastAsia"/>
                <w:color w:val="auto"/>
                <w:sz w:val="24"/>
              </w:rPr>
              <w:t>投标人响应描述</w:t>
            </w:r>
          </w:p>
          <w:p>
            <w:pPr>
              <w:keepNext w:val="0"/>
              <w:keepLines w:val="0"/>
              <w:suppressLineNumbers w:val="0"/>
              <w:adjustRightInd w:val="0"/>
              <w:snapToGrid w:val="0"/>
              <w:spacing w:before="0" w:beforeAutospacing="0" w:after="0" w:afterAutospacing="0"/>
              <w:ind w:left="-71" w:right="-74" w:leftChars="-34" w:rightChars="-35"/>
              <w:jc w:val="center"/>
              <w:rPr>
                <w:rFonts w:ascii="宋体" w:hAnsi="宋体" w:hint="default"/>
                <w:color w:val="auto"/>
                <w:sz w:val="24"/>
              </w:rPr>
            </w:pPr>
            <w:r>
              <w:rPr>
                <w:rFonts w:ascii="宋体" w:hAnsi="宋体" w:hint="eastAsia"/>
                <w:b/>
                <w:bCs/>
                <w:color w:val="auto"/>
                <w:sz w:val="24"/>
              </w:rPr>
              <w:t>(投标人应按响应货物/服务实际数据填写)</w:t>
            </w:r>
          </w:p>
        </w:tc>
        <w:tc>
          <w:tcPr>
            <w:tcW w:w="2032" w:type="dxa"/>
            <w:tcBorders>
              <w:top w:val="single" w:sz="12" w:space="0" w:color="auto"/>
              <w:bottom w:val="double" w:sz="4" w:space="0" w:color="auto"/>
            </w:tcBorders>
            <w:shd w:val="clear" w:color="auto" w:fill="EEECE1"/>
            <w:vAlign w:val="center"/>
          </w:tcPr>
          <w:p>
            <w:pPr>
              <w:keepNext w:val="0"/>
              <w:keepLines w:val="0"/>
              <w:suppressLineNumbers w:val="0"/>
              <w:adjustRightInd w:val="0"/>
              <w:snapToGrid w:val="0"/>
              <w:spacing w:before="0" w:beforeAutospacing="0" w:after="0" w:afterAutospacing="0"/>
              <w:ind w:left="-71" w:right="-74" w:leftChars="-34" w:rightChars="-35"/>
              <w:jc w:val="center"/>
              <w:rPr>
                <w:rFonts w:ascii="宋体" w:hAnsi="宋体" w:hint="default"/>
                <w:color w:val="auto"/>
                <w:sz w:val="24"/>
              </w:rPr>
            </w:pPr>
            <w:r>
              <w:rPr>
                <w:rFonts w:ascii="宋体" w:hAnsi="宋体" w:hint="eastAsia"/>
                <w:color w:val="auto"/>
                <w:sz w:val="24"/>
              </w:rPr>
              <w:t>偏离情况说明</w:t>
            </w:r>
          </w:p>
          <w:p>
            <w:pPr>
              <w:keepNext w:val="0"/>
              <w:keepLines w:val="0"/>
              <w:suppressLineNumbers w:val="0"/>
              <w:adjustRightInd w:val="0"/>
              <w:snapToGrid w:val="0"/>
              <w:spacing w:before="0" w:beforeAutospacing="0" w:after="0" w:afterAutospacing="0"/>
              <w:ind w:left="0" w:right="0"/>
              <w:jc w:val="center"/>
              <w:rPr>
                <w:rFonts w:ascii="宋体" w:hAnsi="宋体" w:hint="default"/>
                <w:b/>
                <w:color w:val="auto"/>
                <w:sz w:val="24"/>
              </w:rPr>
            </w:pPr>
            <w:r>
              <w:rPr>
                <w:rFonts w:ascii="宋体" w:hAnsi="宋体" w:hint="eastAsia"/>
                <w:b/>
                <w:color w:val="auto"/>
                <w:sz w:val="24"/>
              </w:rPr>
              <w:t>（</w:t>
            </w:r>
            <w:r>
              <w:rPr>
                <w:rFonts w:hint="eastAsia"/>
                <w:b/>
                <w:color w:val="auto"/>
                <w:sz w:val="24"/>
              </w:rPr>
              <w:t>正偏离/完全响应/负偏离</w:t>
            </w:r>
            <w:r>
              <w:rPr>
                <w:rFonts w:ascii="宋体" w:hAnsi="宋体" w:hint="eastAsia"/>
                <w:b/>
                <w:color w:val="auto"/>
                <w:sz w:val="24"/>
              </w:rPr>
              <w:t>）</w:t>
            </w:r>
          </w:p>
        </w:tc>
        <w:tc>
          <w:tcPr>
            <w:tcW w:w="1344" w:type="dxa"/>
            <w:tcBorders>
              <w:top w:val="single" w:sz="12" w:space="0" w:color="auto"/>
              <w:bottom w:val="double" w:sz="4" w:space="0" w:color="auto"/>
            </w:tcBorders>
            <w:shd w:val="clear" w:color="auto" w:fill="EEECE1"/>
            <w:vAlign w:val="center"/>
          </w:tcPr>
          <w:p>
            <w:pPr>
              <w:keepNext w:val="0"/>
              <w:keepLines w:val="0"/>
              <w:suppressLineNumbers w:val="0"/>
              <w:adjustRightInd w:val="0"/>
              <w:snapToGrid w:val="0"/>
              <w:spacing w:before="0" w:beforeAutospacing="0" w:after="0" w:afterAutospacing="0"/>
              <w:ind w:left="-71" w:right="-74" w:leftChars="-34" w:rightChars="-35"/>
              <w:jc w:val="center"/>
              <w:rPr>
                <w:rFonts w:ascii="宋体" w:hAnsi="宋体" w:hint="default"/>
                <w:color w:val="auto"/>
                <w:sz w:val="24"/>
              </w:rPr>
            </w:pPr>
            <w:r>
              <w:rPr>
                <w:rFonts w:hint="eastAsia"/>
                <w:color w:val="auto"/>
                <w:sz w:val="24"/>
              </w:rPr>
              <w:t>说明</w:t>
            </w:r>
          </w:p>
        </w:tc>
      </w:tr>
      <w:tr>
        <w:tblPrEx>
          <w:tblW w:w="9026" w:type="dxa"/>
          <w:jc w:val="center"/>
          <w:tblLayout w:type="fixed"/>
          <w:tblCellMar>
            <w:top w:w="0" w:type="dxa"/>
            <w:left w:w="108" w:type="dxa"/>
            <w:bottom w:w="0" w:type="dxa"/>
            <w:right w:w="108" w:type="dxa"/>
          </w:tblCellMar>
        </w:tblPrEx>
        <w:trPr>
          <w:cantSplit/>
          <w:trHeight w:val="311"/>
          <w:jc w:val="center"/>
        </w:trPr>
        <w:tc>
          <w:tcPr>
            <w:tcW w:w="9026" w:type="dxa"/>
            <w:gridSpan w:val="5"/>
            <w:vAlign w:val="center"/>
          </w:tcPr>
          <w:p>
            <w:pPr>
              <w:keepNext w:val="0"/>
              <w:keepLines w:val="0"/>
              <w:suppressLineNumbers w:val="0"/>
              <w:spacing w:before="0" w:beforeAutospacing="0" w:after="0" w:afterAutospacing="0" w:line="400" w:lineRule="exact"/>
              <w:ind w:left="0" w:right="0"/>
              <w:jc w:val="center"/>
              <w:rPr>
                <w:rFonts w:ascii="宋体" w:hAnsi="宋体" w:hint="default"/>
                <w:b/>
                <w:color w:val="auto"/>
                <w:sz w:val="24"/>
              </w:rPr>
            </w:pPr>
            <w:r>
              <w:rPr>
                <w:rFonts w:hint="eastAsia"/>
                <w:b/>
                <w:color w:val="auto"/>
                <w:sz w:val="24"/>
              </w:rPr>
              <w:t>带“▲”的重要</w:t>
            </w:r>
            <w:r>
              <w:rPr>
                <w:rFonts w:ascii="宋体" w:hAnsi="宋体" w:hint="eastAsia"/>
                <w:b/>
                <w:color w:val="auto"/>
                <w:sz w:val="24"/>
              </w:rPr>
              <w:t>条款（如有）</w:t>
            </w: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keepNext w:val="0"/>
              <w:keepLines w:val="0"/>
              <w:numPr>
                <w:ilvl w:val="0"/>
                <w:numId w:val="72"/>
              </w:numPr>
              <w:suppressLineNumbers w:val="0"/>
              <w:spacing w:before="0" w:beforeAutospacing="0" w:after="0" w:afterAutospacing="0"/>
              <w:ind w:right="0"/>
              <w:jc w:val="center"/>
              <w:rPr>
                <w:rFonts w:ascii="宋体" w:hAnsi="宋体" w:hint="default"/>
                <w:color w:val="auto"/>
                <w:sz w:val="24"/>
              </w:rPr>
            </w:pPr>
          </w:p>
        </w:tc>
        <w:tc>
          <w:tcPr>
            <w:tcW w:w="2685" w:type="dxa"/>
            <w:vAlign w:val="center"/>
          </w:tcPr>
          <w:p>
            <w:pPr>
              <w:keepNext w:val="0"/>
              <w:keepLines w:val="0"/>
              <w:suppressLineNumbers w:val="0"/>
              <w:spacing w:before="0" w:beforeAutospacing="0" w:after="0" w:afterAutospacing="0" w:line="400" w:lineRule="exact"/>
              <w:ind w:left="0" w:right="0"/>
              <w:jc w:val="center"/>
              <w:rPr>
                <w:rFonts w:ascii="宋体" w:hAnsi="宋体" w:hint="default"/>
                <w:color w:val="auto"/>
                <w:sz w:val="24"/>
              </w:rPr>
            </w:pPr>
          </w:p>
        </w:tc>
        <w:tc>
          <w:tcPr>
            <w:tcW w:w="2430" w:type="dxa"/>
            <w:vAlign w:val="center"/>
          </w:tcPr>
          <w:p>
            <w:pPr>
              <w:keepNext w:val="0"/>
              <w:keepLines w:val="0"/>
              <w:suppressLineNumbers w:val="0"/>
              <w:spacing w:before="0" w:beforeAutospacing="0" w:after="0" w:afterAutospacing="0" w:line="400" w:lineRule="exact"/>
              <w:ind w:left="0" w:right="0"/>
              <w:jc w:val="center"/>
              <w:rPr>
                <w:rFonts w:ascii="宋体" w:hAnsi="宋体" w:hint="default"/>
                <w:color w:val="auto"/>
                <w:sz w:val="24"/>
              </w:rPr>
            </w:pPr>
          </w:p>
        </w:tc>
        <w:tc>
          <w:tcPr>
            <w:tcW w:w="2032" w:type="dxa"/>
            <w:vAlign w:val="center"/>
          </w:tcPr>
          <w:p>
            <w:pPr>
              <w:keepNext w:val="0"/>
              <w:keepLines w:val="0"/>
              <w:suppressLineNumbers w:val="0"/>
              <w:spacing w:before="0" w:beforeAutospacing="0" w:after="0" w:afterAutospacing="0" w:line="400" w:lineRule="exact"/>
              <w:ind w:left="0" w:right="0"/>
              <w:jc w:val="center"/>
              <w:rPr>
                <w:rFonts w:ascii="宋体" w:hAnsi="宋体" w:hint="default"/>
                <w:color w:val="auto"/>
                <w:sz w:val="24"/>
              </w:rPr>
            </w:pPr>
          </w:p>
        </w:tc>
        <w:tc>
          <w:tcPr>
            <w:tcW w:w="1344" w:type="dxa"/>
            <w:vAlign w:val="center"/>
          </w:tcPr>
          <w:p>
            <w:pPr>
              <w:keepNext w:val="0"/>
              <w:keepLines w:val="0"/>
              <w:suppressLineNumbers w:val="0"/>
              <w:spacing w:before="0" w:beforeAutospacing="0" w:after="0" w:afterAutospacing="0" w:line="400" w:lineRule="exact"/>
              <w:ind w:left="0" w:right="0"/>
              <w:jc w:val="center"/>
              <w:rPr>
                <w:rFonts w:ascii="宋体" w:hAnsi="宋体" w:hint="default"/>
                <w:color w:val="auto"/>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keepNext w:val="0"/>
              <w:keepLines w:val="0"/>
              <w:numPr>
                <w:ilvl w:val="0"/>
                <w:numId w:val="72"/>
              </w:numPr>
              <w:suppressLineNumbers w:val="0"/>
              <w:spacing w:before="0" w:beforeAutospacing="0" w:after="0" w:afterAutospacing="0"/>
              <w:ind w:right="0"/>
              <w:jc w:val="center"/>
              <w:rPr>
                <w:rFonts w:ascii="宋体" w:hAnsi="宋体" w:hint="default"/>
                <w:color w:val="auto"/>
                <w:sz w:val="24"/>
              </w:rPr>
            </w:pPr>
          </w:p>
        </w:tc>
        <w:tc>
          <w:tcPr>
            <w:tcW w:w="2685" w:type="dxa"/>
            <w:vAlign w:val="center"/>
          </w:tcPr>
          <w:p>
            <w:pPr>
              <w:keepNext w:val="0"/>
              <w:keepLines w:val="0"/>
              <w:suppressLineNumbers w:val="0"/>
              <w:spacing w:before="0" w:beforeAutospacing="0" w:after="0" w:afterAutospacing="0" w:line="400" w:lineRule="exact"/>
              <w:ind w:left="0" w:right="0"/>
              <w:jc w:val="center"/>
              <w:rPr>
                <w:rFonts w:ascii="宋体" w:hAnsi="宋体" w:hint="default"/>
                <w:color w:val="auto"/>
                <w:sz w:val="24"/>
              </w:rPr>
            </w:pPr>
          </w:p>
        </w:tc>
        <w:tc>
          <w:tcPr>
            <w:tcW w:w="2430" w:type="dxa"/>
            <w:vAlign w:val="center"/>
          </w:tcPr>
          <w:p>
            <w:pPr>
              <w:keepNext w:val="0"/>
              <w:keepLines w:val="0"/>
              <w:suppressLineNumbers w:val="0"/>
              <w:spacing w:before="0" w:beforeAutospacing="0" w:after="0" w:afterAutospacing="0" w:line="400" w:lineRule="exact"/>
              <w:ind w:left="0" w:right="0"/>
              <w:jc w:val="center"/>
              <w:rPr>
                <w:rFonts w:ascii="宋体" w:hAnsi="宋体" w:hint="default"/>
                <w:color w:val="auto"/>
                <w:sz w:val="24"/>
              </w:rPr>
            </w:pPr>
          </w:p>
        </w:tc>
        <w:tc>
          <w:tcPr>
            <w:tcW w:w="2032" w:type="dxa"/>
            <w:vAlign w:val="center"/>
          </w:tcPr>
          <w:p>
            <w:pPr>
              <w:keepNext w:val="0"/>
              <w:keepLines w:val="0"/>
              <w:suppressLineNumbers w:val="0"/>
              <w:spacing w:before="0" w:beforeAutospacing="0" w:after="0" w:afterAutospacing="0" w:line="400" w:lineRule="exact"/>
              <w:ind w:left="0" w:right="0"/>
              <w:jc w:val="center"/>
              <w:rPr>
                <w:rFonts w:ascii="宋体" w:hAnsi="宋体" w:hint="default"/>
                <w:color w:val="auto"/>
                <w:sz w:val="24"/>
              </w:rPr>
            </w:pPr>
          </w:p>
        </w:tc>
        <w:tc>
          <w:tcPr>
            <w:tcW w:w="1344" w:type="dxa"/>
            <w:vAlign w:val="center"/>
          </w:tcPr>
          <w:p>
            <w:pPr>
              <w:keepNext w:val="0"/>
              <w:keepLines w:val="0"/>
              <w:suppressLineNumbers w:val="0"/>
              <w:spacing w:before="0" w:beforeAutospacing="0" w:after="0" w:afterAutospacing="0" w:line="400" w:lineRule="exact"/>
              <w:ind w:left="0" w:right="0"/>
              <w:jc w:val="center"/>
              <w:rPr>
                <w:rFonts w:ascii="宋体" w:hAnsi="宋体" w:hint="default"/>
                <w:color w:val="auto"/>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keepNext w:val="0"/>
              <w:keepLines w:val="0"/>
              <w:numPr>
                <w:ilvl w:val="0"/>
                <w:numId w:val="72"/>
              </w:numPr>
              <w:suppressLineNumbers w:val="0"/>
              <w:spacing w:before="0" w:beforeAutospacing="0" w:after="0" w:afterAutospacing="0"/>
              <w:ind w:right="0"/>
              <w:jc w:val="center"/>
              <w:rPr>
                <w:rFonts w:ascii="宋体" w:hAnsi="宋体" w:hint="default"/>
                <w:color w:val="auto"/>
                <w:sz w:val="24"/>
              </w:rPr>
            </w:pPr>
          </w:p>
        </w:tc>
        <w:tc>
          <w:tcPr>
            <w:tcW w:w="2685" w:type="dxa"/>
            <w:vAlign w:val="center"/>
          </w:tcPr>
          <w:p>
            <w:pPr>
              <w:keepNext w:val="0"/>
              <w:keepLines w:val="0"/>
              <w:suppressLineNumbers w:val="0"/>
              <w:spacing w:before="0" w:beforeAutospacing="0" w:after="0" w:afterAutospacing="0" w:line="400" w:lineRule="exact"/>
              <w:ind w:left="0" w:right="0"/>
              <w:jc w:val="center"/>
              <w:rPr>
                <w:rFonts w:ascii="宋体" w:hAnsi="宋体" w:hint="default"/>
                <w:color w:val="auto"/>
                <w:sz w:val="24"/>
              </w:rPr>
            </w:pPr>
          </w:p>
        </w:tc>
        <w:tc>
          <w:tcPr>
            <w:tcW w:w="2430" w:type="dxa"/>
            <w:vAlign w:val="center"/>
          </w:tcPr>
          <w:p>
            <w:pPr>
              <w:keepNext w:val="0"/>
              <w:keepLines w:val="0"/>
              <w:suppressLineNumbers w:val="0"/>
              <w:spacing w:before="0" w:beforeAutospacing="0" w:after="0" w:afterAutospacing="0" w:line="400" w:lineRule="exact"/>
              <w:ind w:left="0" w:right="0"/>
              <w:jc w:val="center"/>
              <w:rPr>
                <w:rFonts w:ascii="宋体" w:hAnsi="宋体" w:hint="default"/>
                <w:color w:val="auto"/>
                <w:sz w:val="24"/>
              </w:rPr>
            </w:pPr>
          </w:p>
        </w:tc>
        <w:tc>
          <w:tcPr>
            <w:tcW w:w="2032" w:type="dxa"/>
            <w:vAlign w:val="center"/>
          </w:tcPr>
          <w:p>
            <w:pPr>
              <w:keepNext w:val="0"/>
              <w:keepLines w:val="0"/>
              <w:suppressLineNumbers w:val="0"/>
              <w:spacing w:before="0" w:beforeAutospacing="0" w:after="0" w:afterAutospacing="0" w:line="400" w:lineRule="exact"/>
              <w:ind w:left="0" w:right="0"/>
              <w:jc w:val="center"/>
              <w:rPr>
                <w:rFonts w:ascii="宋体" w:hAnsi="宋体" w:hint="default"/>
                <w:color w:val="auto"/>
                <w:sz w:val="24"/>
              </w:rPr>
            </w:pPr>
          </w:p>
        </w:tc>
        <w:tc>
          <w:tcPr>
            <w:tcW w:w="1344" w:type="dxa"/>
            <w:vAlign w:val="center"/>
          </w:tcPr>
          <w:p>
            <w:pPr>
              <w:keepNext w:val="0"/>
              <w:keepLines w:val="0"/>
              <w:suppressLineNumbers w:val="0"/>
              <w:spacing w:before="0" w:beforeAutospacing="0" w:after="0" w:afterAutospacing="0" w:line="400" w:lineRule="exact"/>
              <w:ind w:left="0" w:right="0"/>
              <w:jc w:val="center"/>
              <w:rPr>
                <w:rFonts w:ascii="宋体" w:hAnsi="宋体" w:hint="default"/>
                <w:color w:val="auto"/>
                <w:sz w:val="24"/>
              </w:rPr>
            </w:pPr>
          </w:p>
        </w:tc>
      </w:tr>
      <w:tr>
        <w:tblPrEx>
          <w:tblW w:w="9026" w:type="dxa"/>
          <w:jc w:val="center"/>
          <w:tblLayout w:type="fixed"/>
          <w:tblCellMar>
            <w:top w:w="0" w:type="dxa"/>
            <w:left w:w="108" w:type="dxa"/>
            <w:bottom w:w="0" w:type="dxa"/>
            <w:right w:w="108" w:type="dxa"/>
          </w:tblCellMar>
        </w:tblPrEx>
        <w:trPr>
          <w:cantSplit/>
          <w:trHeight w:val="311"/>
          <w:jc w:val="center"/>
        </w:trPr>
        <w:tc>
          <w:tcPr>
            <w:tcW w:w="9026" w:type="dxa"/>
            <w:gridSpan w:val="5"/>
            <w:vAlign w:val="center"/>
          </w:tcPr>
          <w:p>
            <w:pPr>
              <w:keepNext w:val="0"/>
              <w:keepLines w:val="0"/>
              <w:suppressLineNumbers w:val="0"/>
              <w:spacing w:before="0" w:beforeAutospacing="0" w:after="0" w:afterAutospacing="0" w:line="400" w:lineRule="exact"/>
              <w:ind w:left="0" w:right="0"/>
              <w:jc w:val="center"/>
              <w:rPr>
                <w:rFonts w:ascii="宋体" w:hAnsi="宋体" w:hint="default"/>
                <w:b/>
                <w:color w:val="auto"/>
                <w:sz w:val="24"/>
              </w:rPr>
            </w:pPr>
            <w:r>
              <w:rPr>
                <w:rFonts w:ascii="宋体" w:hAnsi="宋体" w:hint="eastAsia"/>
                <w:b/>
                <w:color w:val="auto"/>
                <w:sz w:val="24"/>
              </w:rPr>
              <w:t>一般技术条款（除带</w:t>
            </w:r>
            <w:r>
              <w:rPr>
                <w:rFonts w:hint="eastAsia"/>
                <w:b/>
                <w:color w:val="auto"/>
                <w:sz w:val="24"/>
              </w:rPr>
              <w:t>“</w:t>
            </w:r>
            <w:r>
              <w:rPr>
                <w:rFonts w:ascii="宋体" w:hint="eastAsia"/>
                <w:b/>
                <w:bCs/>
                <w:color w:val="auto"/>
                <w:sz w:val="24"/>
              </w:rPr>
              <w:t>★</w:t>
            </w:r>
            <w:r>
              <w:rPr>
                <w:rFonts w:hint="eastAsia"/>
                <w:b/>
                <w:color w:val="auto"/>
                <w:sz w:val="24"/>
              </w:rPr>
              <w:t>”和“▲”之外的技术条款</w:t>
            </w:r>
            <w:r>
              <w:rPr>
                <w:rFonts w:ascii="宋体" w:hAnsi="宋体" w:hint="eastAsia"/>
                <w:b/>
                <w:color w:val="auto"/>
                <w:sz w:val="24"/>
              </w:rPr>
              <w:t>）</w:t>
            </w: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keepNext w:val="0"/>
              <w:keepLines w:val="0"/>
              <w:numPr>
                <w:ilvl w:val="0"/>
                <w:numId w:val="73"/>
              </w:numPr>
              <w:suppressLineNumbers w:val="0"/>
              <w:spacing w:before="0" w:beforeAutospacing="0" w:after="0" w:afterAutospacing="0"/>
              <w:ind w:right="0"/>
              <w:jc w:val="center"/>
              <w:rPr>
                <w:rFonts w:ascii="宋体" w:hAnsi="宋体" w:hint="default"/>
                <w:color w:val="auto"/>
                <w:sz w:val="24"/>
              </w:rPr>
            </w:pPr>
          </w:p>
        </w:tc>
        <w:tc>
          <w:tcPr>
            <w:tcW w:w="2685" w:type="dxa"/>
            <w:vAlign w:val="center"/>
          </w:tcPr>
          <w:p>
            <w:pPr>
              <w:keepNext w:val="0"/>
              <w:keepLines w:val="0"/>
              <w:suppressLineNumbers w:val="0"/>
              <w:spacing w:before="0" w:beforeAutospacing="0" w:after="0" w:afterAutospacing="0" w:line="400" w:lineRule="exact"/>
              <w:ind w:left="0" w:right="0"/>
              <w:jc w:val="center"/>
              <w:rPr>
                <w:rFonts w:ascii="宋体" w:hAnsi="宋体" w:hint="default"/>
                <w:color w:val="auto"/>
                <w:sz w:val="24"/>
              </w:rPr>
            </w:pPr>
          </w:p>
        </w:tc>
        <w:tc>
          <w:tcPr>
            <w:tcW w:w="2430" w:type="dxa"/>
            <w:vAlign w:val="center"/>
          </w:tcPr>
          <w:p>
            <w:pPr>
              <w:keepNext w:val="0"/>
              <w:keepLines w:val="0"/>
              <w:suppressLineNumbers w:val="0"/>
              <w:spacing w:before="0" w:beforeAutospacing="0" w:after="0" w:afterAutospacing="0" w:line="400" w:lineRule="exact"/>
              <w:ind w:left="0" w:right="0"/>
              <w:jc w:val="center"/>
              <w:rPr>
                <w:rFonts w:ascii="宋体" w:hAnsi="宋体" w:hint="default"/>
                <w:color w:val="auto"/>
                <w:sz w:val="24"/>
              </w:rPr>
            </w:pPr>
          </w:p>
        </w:tc>
        <w:tc>
          <w:tcPr>
            <w:tcW w:w="2032" w:type="dxa"/>
            <w:vAlign w:val="center"/>
          </w:tcPr>
          <w:p>
            <w:pPr>
              <w:keepNext w:val="0"/>
              <w:keepLines w:val="0"/>
              <w:suppressLineNumbers w:val="0"/>
              <w:spacing w:before="0" w:beforeAutospacing="0" w:after="0" w:afterAutospacing="0" w:line="400" w:lineRule="exact"/>
              <w:ind w:left="0" w:right="0"/>
              <w:jc w:val="center"/>
              <w:rPr>
                <w:rFonts w:ascii="宋体" w:hAnsi="宋体" w:hint="default"/>
                <w:color w:val="auto"/>
                <w:sz w:val="24"/>
              </w:rPr>
            </w:pPr>
          </w:p>
        </w:tc>
        <w:tc>
          <w:tcPr>
            <w:tcW w:w="1344" w:type="dxa"/>
            <w:vAlign w:val="center"/>
          </w:tcPr>
          <w:p>
            <w:pPr>
              <w:keepNext w:val="0"/>
              <w:keepLines w:val="0"/>
              <w:suppressLineNumbers w:val="0"/>
              <w:spacing w:before="0" w:beforeAutospacing="0" w:after="0" w:afterAutospacing="0" w:line="400" w:lineRule="exact"/>
              <w:ind w:left="0" w:right="0"/>
              <w:jc w:val="center"/>
              <w:rPr>
                <w:rFonts w:ascii="宋体" w:hAnsi="宋体" w:hint="default"/>
                <w:color w:val="auto"/>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keepNext w:val="0"/>
              <w:keepLines w:val="0"/>
              <w:numPr>
                <w:ilvl w:val="0"/>
                <w:numId w:val="73"/>
              </w:numPr>
              <w:suppressLineNumbers w:val="0"/>
              <w:spacing w:before="0" w:beforeAutospacing="0" w:after="0" w:afterAutospacing="0"/>
              <w:ind w:right="0"/>
              <w:jc w:val="center"/>
              <w:rPr>
                <w:rFonts w:ascii="宋体" w:hAnsi="宋体" w:hint="default"/>
                <w:sz w:val="24"/>
              </w:rPr>
            </w:pPr>
          </w:p>
        </w:tc>
        <w:tc>
          <w:tcPr>
            <w:tcW w:w="2685" w:type="dxa"/>
            <w:vAlign w:val="center"/>
          </w:tcPr>
          <w:p>
            <w:pPr>
              <w:keepNext w:val="0"/>
              <w:keepLines w:val="0"/>
              <w:suppressLineNumbers w:val="0"/>
              <w:spacing w:before="0" w:beforeAutospacing="0" w:after="0" w:afterAutospacing="0" w:line="400" w:lineRule="exact"/>
              <w:ind w:left="0" w:right="0"/>
              <w:jc w:val="center"/>
              <w:rPr>
                <w:rFonts w:ascii="宋体" w:hAnsi="宋体" w:hint="default"/>
                <w:sz w:val="24"/>
              </w:rPr>
            </w:pPr>
          </w:p>
        </w:tc>
        <w:tc>
          <w:tcPr>
            <w:tcW w:w="2430" w:type="dxa"/>
            <w:vAlign w:val="center"/>
          </w:tcPr>
          <w:p>
            <w:pPr>
              <w:keepNext w:val="0"/>
              <w:keepLines w:val="0"/>
              <w:suppressLineNumbers w:val="0"/>
              <w:spacing w:before="0" w:beforeAutospacing="0" w:after="0" w:afterAutospacing="0" w:line="400" w:lineRule="exact"/>
              <w:ind w:left="0" w:right="0"/>
              <w:jc w:val="center"/>
              <w:rPr>
                <w:rFonts w:ascii="宋体" w:hAnsi="宋体" w:hint="default"/>
                <w:sz w:val="24"/>
              </w:rPr>
            </w:pPr>
          </w:p>
        </w:tc>
        <w:tc>
          <w:tcPr>
            <w:tcW w:w="2032" w:type="dxa"/>
            <w:vAlign w:val="center"/>
          </w:tcPr>
          <w:p>
            <w:pPr>
              <w:keepNext w:val="0"/>
              <w:keepLines w:val="0"/>
              <w:suppressLineNumbers w:val="0"/>
              <w:spacing w:before="0" w:beforeAutospacing="0" w:after="0" w:afterAutospacing="0" w:line="400" w:lineRule="exact"/>
              <w:ind w:left="0" w:right="0"/>
              <w:jc w:val="center"/>
              <w:rPr>
                <w:rFonts w:ascii="宋体" w:hAnsi="宋体" w:hint="default"/>
                <w:sz w:val="24"/>
              </w:rPr>
            </w:pPr>
          </w:p>
        </w:tc>
        <w:tc>
          <w:tcPr>
            <w:tcW w:w="1344" w:type="dxa"/>
            <w:vAlign w:val="center"/>
          </w:tcPr>
          <w:p>
            <w:pPr>
              <w:keepNext w:val="0"/>
              <w:keepLines w:val="0"/>
              <w:suppressLineNumbers w:val="0"/>
              <w:spacing w:before="0" w:beforeAutospacing="0" w:after="0" w:afterAutospacing="0" w:line="400" w:lineRule="exact"/>
              <w:ind w:left="0" w:right="0"/>
              <w:jc w:val="center"/>
              <w:rPr>
                <w:rFonts w:ascii="宋体" w:hAnsi="宋体" w:hint="default"/>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keepNext w:val="0"/>
              <w:keepLines w:val="0"/>
              <w:numPr>
                <w:ilvl w:val="0"/>
                <w:numId w:val="73"/>
              </w:numPr>
              <w:suppressLineNumbers w:val="0"/>
              <w:spacing w:before="0" w:beforeAutospacing="0" w:after="0" w:afterAutospacing="0"/>
              <w:ind w:right="0"/>
              <w:jc w:val="center"/>
              <w:rPr>
                <w:rFonts w:ascii="宋体" w:hAnsi="宋体" w:hint="default"/>
                <w:sz w:val="24"/>
              </w:rPr>
            </w:pPr>
          </w:p>
        </w:tc>
        <w:tc>
          <w:tcPr>
            <w:tcW w:w="2685" w:type="dxa"/>
            <w:vAlign w:val="center"/>
          </w:tcPr>
          <w:p>
            <w:pPr>
              <w:keepNext w:val="0"/>
              <w:keepLines w:val="0"/>
              <w:suppressLineNumbers w:val="0"/>
              <w:spacing w:before="0" w:beforeAutospacing="0" w:after="0" w:afterAutospacing="0" w:line="400" w:lineRule="exact"/>
              <w:ind w:left="0" w:right="0"/>
              <w:jc w:val="center"/>
              <w:rPr>
                <w:rFonts w:ascii="宋体" w:hAnsi="宋体" w:hint="default"/>
                <w:sz w:val="24"/>
              </w:rPr>
            </w:pPr>
          </w:p>
        </w:tc>
        <w:tc>
          <w:tcPr>
            <w:tcW w:w="2430" w:type="dxa"/>
            <w:vAlign w:val="center"/>
          </w:tcPr>
          <w:p>
            <w:pPr>
              <w:keepNext w:val="0"/>
              <w:keepLines w:val="0"/>
              <w:suppressLineNumbers w:val="0"/>
              <w:spacing w:before="0" w:beforeAutospacing="0" w:after="0" w:afterAutospacing="0" w:line="400" w:lineRule="exact"/>
              <w:ind w:left="0" w:right="0"/>
              <w:jc w:val="center"/>
              <w:rPr>
                <w:rFonts w:ascii="宋体" w:hAnsi="宋体" w:hint="default"/>
                <w:sz w:val="24"/>
              </w:rPr>
            </w:pPr>
          </w:p>
        </w:tc>
        <w:tc>
          <w:tcPr>
            <w:tcW w:w="2032" w:type="dxa"/>
            <w:vAlign w:val="center"/>
          </w:tcPr>
          <w:p>
            <w:pPr>
              <w:keepNext w:val="0"/>
              <w:keepLines w:val="0"/>
              <w:suppressLineNumbers w:val="0"/>
              <w:spacing w:before="0" w:beforeAutospacing="0" w:after="0" w:afterAutospacing="0" w:line="400" w:lineRule="exact"/>
              <w:ind w:left="0" w:right="0"/>
              <w:jc w:val="center"/>
              <w:rPr>
                <w:rFonts w:ascii="宋体" w:hAnsi="宋体" w:hint="default"/>
                <w:sz w:val="24"/>
              </w:rPr>
            </w:pPr>
          </w:p>
        </w:tc>
        <w:tc>
          <w:tcPr>
            <w:tcW w:w="1344" w:type="dxa"/>
            <w:vAlign w:val="center"/>
          </w:tcPr>
          <w:p>
            <w:pPr>
              <w:keepNext w:val="0"/>
              <w:keepLines w:val="0"/>
              <w:suppressLineNumbers w:val="0"/>
              <w:spacing w:before="0" w:beforeAutospacing="0" w:after="0" w:afterAutospacing="0" w:line="400" w:lineRule="exact"/>
              <w:ind w:left="0" w:right="0"/>
              <w:jc w:val="center"/>
              <w:rPr>
                <w:rFonts w:ascii="宋体" w:hAnsi="宋体" w:hint="default"/>
                <w:sz w:val="24"/>
              </w:rPr>
            </w:pPr>
          </w:p>
        </w:tc>
      </w:tr>
    </w:tbl>
    <w:p>
      <w:pPr>
        <w:spacing w:line="360" w:lineRule="auto"/>
        <w:ind w:right="84" w:rightChars="40"/>
        <w:rPr>
          <w:rFonts w:ascii="宋体" w:hAnsi="宋体"/>
          <w:sz w:val="24"/>
        </w:rPr>
      </w:pPr>
      <w:r>
        <w:rPr>
          <w:rFonts w:ascii="宋体" w:hAnsi="宋体" w:hint="eastAsia"/>
          <w:sz w:val="24"/>
        </w:rPr>
        <w:t>备注：</w:t>
      </w:r>
    </w:p>
    <w:p>
      <w:pPr>
        <w:numPr>
          <w:ilvl w:val="0"/>
          <w:numId w:val="74"/>
        </w:numPr>
        <w:spacing w:line="360" w:lineRule="auto"/>
        <w:ind w:left="425" w:right="84" w:hanging="425" w:rightChars="40"/>
        <w:rPr>
          <w:rFonts w:ascii="宋体" w:hAnsi="宋体"/>
          <w:sz w:val="24"/>
        </w:rPr>
      </w:pPr>
      <w:r>
        <w:rPr>
          <w:rFonts w:ascii="宋体" w:hAnsi="宋体" w:hint="eastAsia"/>
          <w:sz w:val="24"/>
        </w:rPr>
        <w:t>本表的货物名称及规格型号须与《投标分项报价表》一致，投标人必须按招标文件要求附相关证明文件，如有任何一项不响应或不满足的视为负偏离。</w:t>
      </w:r>
    </w:p>
    <w:p>
      <w:pPr>
        <w:numPr>
          <w:ilvl w:val="0"/>
          <w:numId w:val="74"/>
        </w:numPr>
        <w:spacing w:line="360" w:lineRule="auto"/>
        <w:ind w:left="425" w:right="84" w:hanging="425" w:rightChars="40"/>
        <w:rPr>
          <w:sz w:val="24"/>
        </w:rPr>
      </w:pPr>
      <w:r>
        <w:rPr>
          <w:rFonts w:ascii="宋体" w:hAnsi="宋体" w:hint="eastAsia"/>
          <w:sz w:val="24"/>
        </w:rPr>
        <w:t>投标人应在“说明”一栏中列出技术参数的证明资料（如有）名称，并指明该证明资料在投标文件中的具体位置。</w:t>
      </w:r>
    </w:p>
    <w:p>
      <w:r>
        <w:rPr>
          <w:rFonts w:hint="eastAsia"/>
          <w:color w:val="FF0000"/>
        </w:rPr>
        <w:br w:type="page"/>
      </w:r>
    </w:p>
    <w:p>
      <w:pPr>
        <w:pStyle w:val="Heading2"/>
        <w:numPr>
          <w:ilvl w:val="0"/>
          <w:numId w:val="65"/>
        </w:numPr>
        <w:spacing w:line="240" w:lineRule="auto"/>
        <w:jc w:val="center"/>
        <w:rPr>
          <w:b w:val="0"/>
        </w:rPr>
      </w:pPr>
      <w:bookmarkStart w:id="231" w:name="_Toc15207"/>
      <w:bookmarkStart w:id="232" w:name="_Toc256000041"/>
      <w:r>
        <w:rPr>
          <w:rFonts w:hint="eastAsia"/>
          <w:b w:val="0"/>
        </w:rPr>
        <w:t>商务要求偏离表</w:t>
      </w:r>
      <w:bookmarkEnd w:id="232"/>
      <w:bookmarkEnd w:id="231"/>
    </w:p>
    <w:p>
      <w:pPr>
        <w:pStyle w:val="ListParagraph"/>
        <w:ind w:left="420" w:firstLine="1564" w:leftChars="200" w:firstLineChars="745"/>
        <w:rPr>
          <w:sz w:val="36"/>
          <w:szCs w:val="36"/>
        </w:rPr>
      </w:pPr>
      <w:r>
        <w:rPr>
          <w:rFonts w:ascii="宋体" w:hAnsi="宋体" w:hint="eastAsia"/>
          <w:b/>
          <w:sz w:val="36"/>
          <w:szCs w:val="36"/>
        </w:rPr>
        <w:t>（非信息公开部分）</w:t>
      </w:r>
    </w:p>
    <w:p>
      <w:pPr>
        <w:spacing w:line="400" w:lineRule="exact"/>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w:t>
      </w:r>
      <w:r>
        <w:rPr>
          <w:rFonts w:ascii="宋体" w:hAnsi="宋体" w:hint="eastAsia"/>
          <w:sz w:val="24"/>
        </w:rPr>
        <w:t>条款逐条应答并按要求填写下表。</w:t>
      </w:r>
    </w:p>
    <w:p>
      <w:pPr>
        <w:widowControl/>
        <w:wordWrap w:val="0"/>
        <w:spacing w:line="360" w:lineRule="auto"/>
        <w:jc w:val="left"/>
        <w:rPr>
          <w:rFonts w:ascii="宋体" w:hAnsi="宋体"/>
          <w:color w:val="auto"/>
          <w:sz w:val="24"/>
          <w:highlight w:val="none"/>
        </w:rPr>
      </w:pPr>
      <w:r>
        <w:rPr>
          <w:rFonts w:ascii="宋体" w:hAnsi="宋体" w:hint="eastAsia"/>
          <w:sz w:val="24"/>
        </w:rPr>
        <w:t xml:space="preserve">投标人名称：           </w:t>
      </w:r>
      <w:r>
        <w:rPr>
          <w:rFonts w:ascii="宋体" w:hAnsi="宋体" w:hint="eastAsia"/>
          <w:color w:val="FF0000"/>
          <w:sz w:val="24"/>
        </w:rPr>
        <w:t xml:space="preserve">   </w:t>
      </w:r>
      <w:r>
        <w:rPr>
          <w:rFonts w:ascii="宋体" w:hAnsi="宋体" w:hint="eastAsia"/>
          <w:sz w:val="24"/>
        </w:rPr>
        <w:t xml:space="preserve">      项目编</w:t>
      </w:r>
      <w:r>
        <w:rPr>
          <w:rFonts w:ascii="宋体" w:hAnsi="宋体" w:hint="eastAsia"/>
          <w:color w:val="auto"/>
          <w:sz w:val="24"/>
          <w:highlight w:val="none"/>
        </w:rPr>
        <w:t>号：</w:t>
      </w:r>
      <w:r>
        <w:rPr>
          <w:rFonts w:ascii="宋体" w:hAnsi="宋体" w:hint="eastAsia"/>
          <w:color w:val="auto"/>
          <w:sz w:val="24"/>
          <w:highlight w:val="none"/>
          <w:lang w:eastAsia="zh-CN"/>
        </w:rPr>
        <w:t>SZDL2023001961（CLF0123SZ17ZC27）</w:t>
      </w:r>
      <w:r>
        <w:rPr>
          <w:rFonts w:ascii="ˎ̥" w:hAnsi="ˎ̥" w:cs="宋体"/>
          <w:color w:val="auto"/>
          <w:kern w:val="0"/>
          <w:sz w:val="24"/>
          <w:highlight w:val="none"/>
        </w:rPr>
        <w:t> </w:t>
      </w:r>
    </w:p>
    <w:tbl>
      <w:tblPr>
        <w:tblStyle w:val="TableNormal"/>
        <w:tblpPr w:leftFromText="180" w:rightFromText="180" w:vertAnchor="text" w:tblpY="1"/>
        <w:tblOverlap w:val="never"/>
        <w:tblW w:w="8944"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830"/>
        <w:gridCol w:w="1082"/>
        <w:gridCol w:w="1740"/>
        <w:gridCol w:w="2226"/>
        <w:gridCol w:w="1601"/>
        <w:gridCol w:w="1465"/>
      </w:tblGrid>
      <w:tr>
        <w:tblPrEx>
          <w:tblW w:w="8944"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677"/>
        </w:trPr>
        <w:tc>
          <w:tcPr>
            <w:tcW w:w="830" w:type="dxa"/>
            <w:shd w:val="clear" w:color="auto" w:fill="ECECEC" w:themeFill="accent3" w:themeFillTint="33"/>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color w:val="auto"/>
                <w:sz w:val="24"/>
                <w:highlight w:val="none"/>
              </w:rPr>
            </w:pPr>
            <w:r>
              <w:rPr>
                <w:rFonts w:asciiTheme="minorEastAsia" w:eastAsiaTheme="minorEastAsia" w:hAnsiTheme="minorEastAsia" w:hint="eastAsia"/>
                <w:color w:val="auto"/>
                <w:sz w:val="24"/>
                <w:highlight w:val="none"/>
              </w:rPr>
              <w:t>序号</w:t>
            </w:r>
          </w:p>
        </w:tc>
        <w:tc>
          <w:tcPr>
            <w:tcW w:w="1082" w:type="dxa"/>
            <w:shd w:val="clear" w:color="auto" w:fill="ECECEC" w:themeFill="accent3" w:themeFillTint="33"/>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color w:val="auto"/>
                <w:sz w:val="24"/>
                <w:highlight w:val="none"/>
              </w:rPr>
            </w:pPr>
            <w:r>
              <w:rPr>
                <w:rFonts w:asciiTheme="minorEastAsia" w:eastAsiaTheme="minorEastAsia" w:hAnsiTheme="minorEastAsia" w:hint="eastAsia"/>
                <w:color w:val="auto"/>
                <w:sz w:val="24"/>
                <w:highlight w:val="none"/>
              </w:rPr>
              <w:t>目录</w:t>
            </w:r>
          </w:p>
        </w:tc>
        <w:tc>
          <w:tcPr>
            <w:tcW w:w="1740" w:type="dxa"/>
            <w:shd w:val="clear" w:color="auto" w:fill="ECECEC" w:themeFill="accent3" w:themeFillTint="33"/>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color w:val="auto"/>
                <w:sz w:val="24"/>
                <w:highlight w:val="none"/>
              </w:rPr>
            </w:pPr>
            <w:r>
              <w:rPr>
                <w:rFonts w:ascii="宋体" w:hAnsi="宋体" w:hint="eastAsia"/>
                <w:color w:val="auto"/>
                <w:sz w:val="24"/>
                <w:highlight w:val="none"/>
              </w:rPr>
              <w:t>招标文件条款描述</w:t>
            </w:r>
          </w:p>
        </w:tc>
        <w:tc>
          <w:tcPr>
            <w:tcW w:w="2226" w:type="dxa"/>
            <w:shd w:val="clear" w:color="auto" w:fill="ECECEC" w:themeFill="accent3" w:themeFillTint="33"/>
            <w:vAlign w:val="center"/>
          </w:tcPr>
          <w:p>
            <w:pPr>
              <w:keepNext w:val="0"/>
              <w:keepLines w:val="0"/>
              <w:suppressLineNumbers w:val="0"/>
              <w:adjustRightInd w:val="0"/>
              <w:snapToGrid w:val="0"/>
              <w:spacing w:before="0" w:beforeAutospacing="0" w:after="0" w:afterAutospacing="0"/>
              <w:ind w:left="-71" w:right="-74" w:leftChars="-34" w:rightChars="-35"/>
              <w:jc w:val="center"/>
              <w:rPr>
                <w:rFonts w:ascii="宋体" w:hAnsi="宋体" w:hint="default"/>
                <w:color w:val="auto"/>
                <w:sz w:val="24"/>
                <w:highlight w:val="none"/>
              </w:rPr>
            </w:pPr>
            <w:r>
              <w:rPr>
                <w:rFonts w:ascii="宋体" w:hAnsi="宋体" w:hint="eastAsia"/>
                <w:color w:val="auto"/>
                <w:sz w:val="24"/>
                <w:highlight w:val="none"/>
              </w:rPr>
              <w:t>投标人响应描述</w:t>
            </w:r>
          </w:p>
          <w:p>
            <w:pPr>
              <w:keepNext w:val="0"/>
              <w:keepLines w:val="0"/>
              <w:suppressLineNumbers w:val="0"/>
              <w:spacing w:before="0" w:beforeAutospacing="0" w:after="0" w:afterAutospacing="0"/>
              <w:ind w:left="0" w:right="0"/>
              <w:jc w:val="center"/>
              <w:rPr>
                <w:rFonts w:asciiTheme="minorEastAsia" w:eastAsiaTheme="minorEastAsia" w:hAnsiTheme="minorEastAsia" w:hint="default"/>
                <w:color w:val="auto"/>
                <w:sz w:val="24"/>
                <w:highlight w:val="none"/>
              </w:rPr>
            </w:pPr>
            <w:r>
              <w:rPr>
                <w:rFonts w:ascii="宋体" w:hAnsi="宋体" w:hint="eastAsia"/>
                <w:b/>
                <w:bCs/>
                <w:color w:val="auto"/>
                <w:sz w:val="24"/>
                <w:highlight w:val="none"/>
              </w:rPr>
              <w:t>(投标人应按响应货物/服务实际数据填写)</w:t>
            </w:r>
          </w:p>
        </w:tc>
        <w:tc>
          <w:tcPr>
            <w:tcW w:w="1601" w:type="dxa"/>
            <w:shd w:val="clear" w:color="auto" w:fill="ECECEC" w:themeFill="accent3" w:themeFillTint="33"/>
            <w:vAlign w:val="center"/>
          </w:tcPr>
          <w:p>
            <w:pPr>
              <w:keepNext w:val="0"/>
              <w:keepLines w:val="0"/>
              <w:suppressLineNumbers w:val="0"/>
              <w:adjustRightInd w:val="0"/>
              <w:snapToGrid w:val="0"/>
              <w:spacing w:before="0" w:beforeAutospacing="0" w:after="0" w:afterAutospacing="0"/>
              <w:ind w:left="-71" w:right="-74" w:leftChars="-34" w:rightChars="-35"/>
              <w:jc w:val="center"/>
              <w:rPr>
                <w:rFonts w:ascii="宋体" w:hAnsi="宋体" w:hint="default"/>
                <w:color w:val="auto"/>
                <w:sz w:val="24"/>
                <w:highlight w:val="none"/>
              </w:rPr>
            </w:pPr>
            <w:r>
              <w:rPr>
                <w:rFonts w:ascii="宋体" w:hAnsi="宋体" w:hint="eastAsia"/>
                <w:color w:val="auto"/>
                <w:sz w:val="24"/>
                <w:highlight w:val="none"/>
              </w:rPr>
              <w:t>偏离情况说明</w:t>
            </w:r>
          </w:p>
          <w:p>
            <w:pPr>
              <w:keepNext w:val="0"/>
              <w:keepLines w:val="0"/>
              <w:suppressLineNumbers w:val="0"/>
              <w:spacing w:before="0" w:beforeAutospacing="0" w:after="0" w:afterAutospacing="0"/>
              <w:ind w:left="0" w:right="0"/>
              <w:jc w:val="center"/>
              <w:rPr>
                <w:rFonts w:asciiTheme="minorEastAsia" w:eastAsiaTheme="minorEastAsia" w:hAnsiTheme="minorEastAsia" w:hint="default"/>
                <w:color w:val="auto"/>
                <w:sz w:val="24"/>
                <w:highlight w:val="none"/>
              </w:rPr>
            </w:pPr>
            <w:r>
              <w:rPr>
                <w:rFonts w:ascii="宋体" w:hAnsi="宋体" w:hint="eastAsia"/>
                <w:b/>
                <w:color w:val="auto"/>
                <w:sz w:val="24"/>
                <w:highlight w:val="none"/>
              </w:rPr>
              <w:t>（</w:t>
            </w:r>
            <w:r>
              <w:rPr>
                <w:rFonts w:hint="eastAsia"/>
                <w:b/>
                <w:color w:val="auto"/>
                <w:sz w:val="24"/>
                <w:highlight w:val="none"/>
              </w:rPr>
              <w:t>正偏离/完全响应/负偏离</w:t>
            </w:r>
            <w:r>
              <w:rPr>
                <w:rFonts w:ascii="宋体" w:hAnsi="宋体" w:hint="eastAsia"/>
                <w:b/>
                <w:color w:val="auto"/>
                <w:sz w:val="24"/>
                <w:highlight w:val="none"/>
              </w:rPr>
              <w:t>）</w:t>
            </w:r>
          </w:p>
        </w:tc>
        <w:tc>
          <w:tcPr>
            <w:tcW w:w="1465" w:type="dxa"/>
            <w:shd w:val="clear" w:color="auto" w:fill="ECECEC" w:themeFill="accent3" w:themeFillTint="33"/>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hint="default"/>
                <w:color w:val="auto"/>
                <w:sz w:val="24"/>
                <w:highlight w:val="none"/>
              </w:rPr>
            </w:pPr>
            <w:r>
              <w:rPr>
                <w:rFonts w:asciiTheme="minorEastAsia" w:eastAsiaTheme="minorEastAsia" w:hAnsiTheme="minorEastAsia" w:hint="eastAsia"/>
                <w:color w:val="auto"/>
                <w:sz w:val="24"/>
                <w:highlight w:val="none"/>
              </w:rPr>
              <w:t>备注</w:t>
            </w:r>
          </w:p>
        </w:tc>
      </w:tr>
      <w:tr>
        <w:tblPrEx>
          <w:tblW w:w="8944" w:type="dxa"/>
          <w:tblInd w:w="0" w:type="dxa"/>
          <w:tblLayout w:type="fixed"/>
          <w:tblCellMar>
            <w:top w:w="0" w:type="dxa"/>
            <w:left w:w="108" w:type="dxa"/>
            <w:bottom w:w="0" w:type="dxa"/>
            <w:right w:w="108" w:type="dxa"/>
          </w:tblCellMar>
        </w:tblPrEx>
        <w:trPr>
          <w:trHeight w:val="518"/>
        </w:trPr>
        <w:tc>
          <w:tcPr>
            <w:tcW w:w="8944" w:type="dxa"/>
            <w:gridSpan w:val="6"/>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r>
              <w:rPr>
                <w:rFonts w:asciiTheme="minorEastAsia" w:eastAsiaTheme="minorEastAsia" w:hAnsiTheme="minorEastAsia" w:hint="eastAsia"/>
                <w:sz w:val="24"/>
              </w:rPr>
              <w:t>（一）免费保修期内售后服务要求</w:t>
            </w: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r>
              <w:rPr>
                <w:rFonts w:asciiTheme="minorEastAsia" w:eastAsiaTheme="minorEastAsia" w:hAnsiTheme="minorEastAsia" w:hint="eastAsia"/>
                <w:sz w:val="24"/>
              </w:rPr>
              <w:t>1</w:t>
            </w:r>
          </w:p>
        </w:tc>
        <w:tc>
          <w:tcPr>
            <w:tcW w:w="1082"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740"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2226"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601"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465"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r>
              <w:rPr>
                <w:rFonts w:asciiTheme="minorEastAsia" w:eastAsiaTheme="minorEastAsia" w:hAnsiTheme="minorEastAsia" w:hint="eastAsia"/>
                <w:sz w:val="24"/>
              </w:rPr>
              <w:t>2</w:t>
            </w:r>
          </w:p>
        </w:tc>
        <w:tc>
          <w:tcPr>
            <w:tcW w:w="1082"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740"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2226"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601"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465"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r>
              <w:rPr>
                <w:rFonts w:asciiTheme="minorEastAsia" w:eastAsiaTheme="minorEastAsia" w:hAnsiTheme="minorEastAsia" w:hint="eastAsia"/>
                <w:sz w:val="24"/>
              </w:rPr>
              <w:t>……</w:t>
            </w:r>
          </w:p>
        </w:tc>
        <w:tc>
          <w:tcPr>
            <w:tcW w:w="1082"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740"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2226"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601"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465"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r>
      <w:tr>
        <w:tblPrEx>
          <w:tblW w:w="8944" w:type="dxa"/>
          <w:tblInd w:w="0" w:type="dxa"/>
          <w:tblLayout w:type="fixed"/>
          <w:tblCellMar>
            <w:top w:w="0" w:type="dxa"/>
            <w:left w:w="108" w:type="dxa"/>
            <w:bottom w:w="0" w:type="dxa"/>
            <w:right w:w="108" w:type="dxa"/>
          </w:tblCellMar>
        </w:tblPrEx>
        <w:trPr>
          <w:trHeight w:val="518"/>
        </w:trPr>
        <w:tc>
          <w:tcPr>
            <w:tcW w:w="8944" w:type="dxa"/>
            <w:gridSpan w:val="6"/>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r>
              <w:rPr>
                <w:rFonts w:asciiTheme="minorEastAsia" w:eastAsiaTheme="minorEastAsia" w:hAnsiTheme="minorEastAsia" w:hint="eastAsia"/>
                <w:sz w:val="24"/>
              </w:rPr>
              <w:t>（二）免费保修期外售后服务要求</w:t>
            </w: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r>
              <w:rPr>
                <w:rFonts w:asciiTheme="minorEastAsia" w:eastAsiaTheme="minorEastAsia" w:hAnsiTheme="minorEastAsia" w:hint="eastAsia"/>
                <w:sz w:val="24"/>
              </w:rPr>
              <w:t>1</w:t>
            </w:r>
          </w:p>
        </w:tc>
        <w:tc>
          <w:tcPr>
            <w:tcW w:w="1082"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740"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2226"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601"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465"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r>
              <w:rPr>
                <w:rFonts w:asciiTheme="minorEastAsia" w:eastAsiaTheme="minorEastAsia" w:hAnsiTheme="minorEastAsia" w:hint="eastAsia"/>
                <w:sz w:val="24"/>
              </w:rPr>
              <w:t>2</w:t>
            </w:r>
          </w:p>
        </w:tc>
        <w:tc>
          <w:tcPr>
            <w:tcW w:w="1082"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740"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2226"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601"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465"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r>
              <w:rPr>
                <w:rFonts w:asciiTheme="minorEastAsia" w:eastAsiaTheme="minorEastAsia" w:hAnsiTheme="minorEastAsia" w:hint="eastAsia"/>
                <w:sz w:val="24"/>
              </w:rPr>
              <w:t>……</w:t>
            </w:r>
          </w:p>
        </w:tc>
        <w:tc>
          <w:tcPr>
            <w:tcW w:w="1082"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740"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2226"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601"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465"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r>
      <w:tr>
        <w:tblPrEx>
          <w:tblW w:w="8944" w:type="dxa"/>
          <w:tblInd w:w="0" w:type="dxa"/>
          <w:tblLayout w:type="fixed"/>
          <w:tblCellMar>
            <w:top w:w="0" w:type="dxa"/>
            <w:left w:w="108" w:type="dxa"/>
            <w:bottom w:w="0" w:type="dxa"/>
            <w:right w:w="108" w:type="dxa"/>
          </w:tblCellMar>
        </w:tblPrEx>
        <w:trPr>
          <w:trHeight w:val="495"/>
        </w:trPr>
        <w:tc>
          <w:tcPr>
            <w:tcW w:w="8944" w:type="dxa"/>
            <w:gridSpan w:val="6"/>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r>
              <w:rPr>
                <w:rFonts w:asciiTheme="minorEastAsia" w:eastAsiaTheme="minorEastAsia" w:hAnsiTheme="minorEastAsia" w:hint="eastAsia"/>
                <w:sz w:val="24"/>
              </w:rPr>
              <w:t>（三）其他商务要求</w:t>
            </w: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r>
              <w:rPr>
                <w:rFonts w:asciiTheme="minorEastAsia" w:eastAsiaTheme="minorEastAsia" w:hAnsiTheme="minorEastAsia" w:hint="eastAsia"/>
                <w:sz w:val="24"/>
              </w:rPr>
              <w:t>1</w:t>
            </w:r>
          </w:p>
        </w:tc>
        <w:tc>
          <w:tcPr>
            <w:tcW w:w="1082"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740"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2226"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601"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465"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r>
              <w:rPr>
                <w:rFonts w:asciiTheme="minorEastAsia" w:eastAsiaTheme="minorEastAsia" w:hAnsiTheme="minorEastAsia" w:hint="eastAsia"/>
                <w:sz w:val="24"/>
              </w:rPr>
              <w:t>2</w:t>
            </w:r>
          </w:p>
        </w:tc>
        <w:tc>
          <w:tcPr>
            <w:tcW w:w="1082"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740"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2226"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601"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465"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r>
              <w:rPr>
                <w:rFonts w:asciiTheme="minorEastAsia" w:eastAsiaTheme="minorEastAsia" w:hAnsiTheme="minorEastAsia" w:hint="eastAsia"/>
                <w:sz w:val="24"/>
              </w:rPr>
              <w:t>……</w:t>
            </w:r>
          </w:p>
        </w:tc>
        <w:tc>
          <w:tcPr>
            <w:tcW w:w="1082"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740"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2226"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601"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c>
          <w:tcPr>
            <w:tcW w:w="1465" w:type="dxa"/>
            <w:vAlign w:val="center"/>
          </w:tcPr>
          <w:p>
            <w:pPr>
              <w:keepNext w:val="0"/>
              <w:keepLines w:val="0"/>
              <w:suppressLineNumbers w:val="0"/>
              <w:spacing w:before="0" w:beforeAutospacing="0" w:after="0" w:afterAutospacing="0"/>
              <w:ind w:left="0" w:right="0"/>
              <w:rPr>
                <w:rFonts w:asciiTheme="minorEastAsia" w:eastAsiaTheme="minorEastAsia" w:hAnsiTheme="minorEastAsia" w:hint="default"/>
                <w:sz w:val="24"/>
              </w:rPr>
            </w:pPr>
          </w:p>
        </w:tc>
      </w:tr>
    </w:tbl>
    <w:p>
      <w:pPr>
        <w:spacing w:line="360" w:lineRule="auto"/>
        <w:ind w:right="84" w:rightChars="40"/>
        <w:rPr>
          <w:rFonts w:ascii="宋体" w:hAnsi="宋体"/>
          <w:sz w:val="24"/>
        </w:rPr>
      </w:pPr>
      <w:r>
        <w:rPr>
          <w:rFonts w:ascii="宋体" w:hAnsi="宋体" w:hint="eastAsia"/>
          <w:sz w:val="24"/>
        </w:rPr>
        <w:t>备注：投标人必须按招标文件要求附相关证明文件，如有任何一项不响应或不满足的视为负偏离。</w:t>
      </w:r>
    </w:p>
    <w:p/>
    <w:p>
      <w:r>
        <w:rPr>
          <w:rFonts w:hint="eastAsia"/>
          <w:color w:val="FF0000"/>
        </w:rPr>
        <w:br w:type="page"/>
      </w:r>
    </w:p>
    <w:p>
      <w:pPr>
        <w:pStyle w:val="Heading2"/>
        <w:numPr>
          <w:ilvl w:val="0"/>
          <w:numId w:val="65"/>
        </w:numPr>
        <w:spacing w:line="240" w:lineRule="auto"/>
        <w:jc w:val="center"/>
        <w:rPr>
          <w:b w:val="0"/>
          <w:highlight w:val="none"/>
        </w:rPr>
      </w:pPr>
      <w:bookmarkStart w:id="233" w:name="_Toc24185"/>
      <w:bookmarkStart w:id="234" w:name="_Toc256000042"/>
      <w:r>
        <w:rPr>
          <w:rFonts w:hint="eastAsia"/>
          <w:b w:val="0"/>
          <w:highlight w:val="none"/>
        </w:rPr>
        <w:t>政府采购违法行为风险知悉确认书</w:t>
      </w:r>
      <w:bookmarkEnd w:id="234"/>
      <w:bookmarkEnd w:id="233"/>
    </w:p>
    <w:p>
      <w:pPr>
        <w:pStyle w:val="ListParagraph"/>
        <w:ind w:firstLine="0" w:firstLineChars="0"/>
        <w:jc w:val="center"/>
        <w:rPr>
          <w:sz w:val="36"/>
          <w:szCs w:val="36"/>
          <w:highlight w:val="none"/>
        </w:rPr>
      </w:pPr>
      <w:r>
        <w:rPr>
          <w:rFonts w:ascii="宋体" w:hAnsi="宋体" w:hint="eastAsia"/>
          <w:b/>
          <w:sz w:val="36"/>
          <w:szCs w:val="36"/>
          <w:highlight w:val="none"/>
        </w:rPr>
        <w:t>（非信息公开部分）</w:t>
      </w:r>
    </w:p>
    <w:p>
      <w:pPr>
        <w:ind w:firstLine="420" w:firstLineChars="200"/>
        <w:rPr>
          <w:rFonts w:ascii="宋体" w:hAnsi="宋体" w:cs="宋体"/>
          <w:kern w:val="0"/>
          <w:sz w:val="24"/>
        </w:rPr>
      </w:pPr>
      <w:r>
        <w:rPr>
          <w:rFonts w:ascii="宋体" w:hAnsi="宋体" w:cs="宋体" w:hint="eastAsia"/>
          <w:sz w:val="24"/>
        </w:rPr>
        <w:t>本公司在投标前已充分知悉以下情形为参与政府采购活动时的重大风险事项，并承诺已对下述风险提示事项重点排查，做到严谨、诚信、依法依规参与政府采购活动。</w:t>
      </w:r>
    </w:p>
    <w:p>
      <w:pPr>
        <w:ind w:firstLine="420" w:firstLineChars="200"/>
        <w:rPr>
          <w:rFonts w:ascii="宋体" w:hAnsi="宋体" w:cs="宋体"/>
          <w:sz w:val="24"/>
        </w:rPr>
      </w:pPr>
      <w:r>
        <w:rPr>
          <w:rFonts w:ascii="宋体" w:hAnsi="宋体" w:cs="宋体" w:hint="eastAsia"/>
          <w:b/>
          <w:bCs/>
          <w:sz w:val="24"/>
        </w:rPr>
        <w:t>一、本公司已充分知悉“隐瞒真实情况，提供虚假资料”的法定情形，相关情形包括但不限于</w:t>
      </w:r>
      <w:r>
        <w:rPr>
          <w:rFonts w:ascii="宋体" w:hAnsi="宋体" w:cs="宋体" w:hint="eastAsia"/>
          <w:sz w:val="24"/>
        </w:rPr>
        <w:t>：</w:t>
      </w:r>
    </w:p>
    <w:p>
      <w:pPr>
        <w:ind w:firstLine="420" w:firstLineChars="200"/>
        <w:rPr>
          <w:rFonts w:ascii="宋体" w:hAnsi="宋体" w:cs="宋体"/>
          <w:sz w:val="24"/>
        </w:rPr>
      </w:pPr>
      <w:r>
        <w:rPr>
          <w:rFonts w:ascii="宋体" w:hAnsi="宋体" w:cs="宋体" w:hint="eastAsia"/>
          <w:sz w:val="24"/>
        </w:rPr>
        <w:t>（一）通过转让或者租借等方式从其他单位获取资格或者资质证书投标的。</w:t>
      </w:r>
    </w:p>
    <w:p>
      <w:pPr>
        <w:ind w:firstLine="420" w:firstLineChars="200"/>
        <w:rPr>
          <w:rFonts w:ascii="宋体" w:hAnsi="宋体" w:cs="宋体"/>
          <w:sz w:val="24"/>
        </w:rPr>
      </w:pPr>
      <w:r>
        <w:rPr>
          <w:rFonts w:ascii="宋体" w:hAnsi="宋体" w:cs="宋体" w:hint="eastAsia"/>
          <w:sz w:val="24"/>
        </w:rPr>
        <w:t>（二）由其他单位或者其他单位负责人在投标供应商编制的投标文件上加盖印章或者签字的。</w:t>
      </w:r>
    </w:p>
    <w:p>
      <w:pPr>
        <w:ind w:firstLine="420" w:firstLineChars="200"/>
        <w:rPr>
          <w:rFonts w:ascii="宋体" w:hAnsi="宋体" w:cs="宋体"/>
          <w:sz w:val="24"/>
        </w:rPr>
      </w:pPr>
      <w:r>
        <w:rPr>
          <w:rFonts w:ascii="宋体" w:hAnsi="宋体" w:cs="宋体" w:hint="eastAsia"/>
          <w:sz w:val="24"/>
        </w:rPr>
        <w:t>（三）项目负责人或者主要技术人员不是本单位人员的。</w:t>
      </w:r>
    </w:p>
    <w:p>
      <w:pPr>
        <w:ind w:firstLine="420" w:firstLineChars="200"/>
        <w:rPr>
          <w:rFonts w:ascii="宋体" w:hAnsi="宋体" w:cs="宋体"/>
          <w:sz w:val="24"/>
        </w:rPr>
      </w:pPr>
      <w:r>
        <w:rPr>
          <w:rFonts w:ascii="宋体" w:hAnsi="宋体" w:cs="宋体" w:hint="eastAsia"/>
          <w:sz w:val="24"/>
        </w:rPr>
        <w:t>（四）投标保证金不是从投标供应商基本账户转出的。</w:t>
      </w:r>
    </w:p>
    <w:p>
      <w:pPr>
        <w:ind w:firstLine="420" w:firstLineChars="200"/>
        <w:rPr>
          <w:rFonts w:ascii="宋体" w:hAnsi="宋体" w:cs="宋体"/>
          <w:sz w:val="24"/>
        </w:rPr>
      </w:pPr>
      <w:r>
        <w:rPr>
          <w:rFonts w:ascii="宋体" w:hAnsi="宋体" w:cs="宋体" w:hint="eastAsia"/>
          <w:sz w:val="24"/>
        </w:rPr>
        <w:t>（五）其他隐瞒真实情况、提供虚假资料的行为。</w:t>
      </w:r>
    </w:p>
    <w:p>
      <w:pPr>
        <w:ind w:firstLine="420" w:firstLineChars="200"/>
        <w:rPr>
          <w:rFonts w:ascii="宋体" w:hAnsi="宋体" w:cs="宋体"/>
          <w:sz w:val="24"/>
        </w:rPr>
      </w:pPr>
      <w:r>
        <w:rPr>
          <w:rFonts w:ascii="宋体" w:hAnsi="宋体" w:cs="宋体" w:hint="eastAsia"/>
          <w:b/>
          <w:bCs/>
          <w:sz w:val="24"/>
        </w:rPr>
        <w:t>二、本公司已充分知悉“与其他采购参加人串通投标”的法定情形，相关情形包括但不限于：</w:t>
      </w:r>
    </w:p>
    <w:p>
      <w:pPr>
        <w:ind w:firstLine="420" w:firstLineChars="200"/>
        <w:rPr>
          <w:rFonts w:ascii="宋体" w:hAnsi="宋体" w:cs="宋体"/>
          <w:sz w:val="24"/>
        </w:rPr>
      </w:pPr>
      <w:r>
        <w:rPr>
          <w:rFonts w:ascii="宋体" w:hAnsi="宋体" w:cs="宋体" w:hint="eastAsia"/>
          <w:sz w:val="24"/>
        </w:rPr>
        <w:t xml:space="preserve">（一）投标供应商之间相互约定给予未中标的供应商利益补偿。 </w:t>
      </w:r>
    </w:p>
    <w:p>
      <w:pPr>
        <w:ind w:firstLine="420" w:firstLineChars="200"/>
        <w:rPr>
          <w:rFonts w:ascii="宋体" w:hAnsi="宋体" w:cs="宋体"/>
          <w:sz w:val="24"/>
        </w:rPr>
      </w:pPr>
      <w:r>
        <w:rPr>
          <w:rFonts w:ascii="宋体" w:hAnsi="宋体" w:cs="宋体" w:hint="eastAsia"/>
          <w:sz w:val="24"/>
        </w:rPr>
        <w:t>（二）不同投标供应商的法定代表人、主要经营负责人、项目投标授权代表人、项目负责人、主要技术人员为同一人、属同一单位或者在同一单位缴纳社会保险。</w:t>
      </w:r>
    </w:p>
    <w:p>
      <w:pPr>
        <w:ind w:firstLine="420" w:firstLineChars="200"/>
        <w:rPr>
          <w:rFonts w:ascii="宋体" w:hAnsi="宋体" w:cs="宋体"/>
          <w:sz w:val="24"/>
        </w:rPr>
      </w:pPr>
      <w:r>
        <w:rPr>
          <w:rFonts w:ascii="宋体" w:hAnsi="宋体" w:cs="宋体" w:hint="eastAsia"/>
          <w:sz w:val="24"/>
        </w:rPr>
        <w:t>（三）不同投标供应商的投标文件由同一单位或者同一人编制，或者由同一人分阶段参与编制的。</w:t>
      </w:r>
    </w:p>
    <w:p>
      <w:pPr>
        <w:ind w:firstLine="420" w:firstLineChars="200"/>
        <w:rPr>
          <w:rFonts w:ascii="宋体" w:hAnsi="宋体" w:cs="宋体"/>
          <w:sz w:val="24"/>
        </w:rPr>
      </w:pPr>
      <w:r>
        <w:rPr>
          <w:rFonts w:ascii="宋体" w:hAnsi="宋体" w:cs="宋体" w:hint="eastAsia"/>
          <w:sz w:val="24"/>
        </w:rPr>
        <w:t>（四）不同投标供应商的投标文件或部分投标文件相互混装。</w:t>
      </w:r>
    </w:p>
    <w:p>
      <w:pPr>
        <w:ind w:firstLine="420" w:firstLineChars="200"/>
        <w:rPr>
          <w:rFonts w:ascii="宋体" w:hAnsi="宋体" w:cs="宋体"/>
          <w:sz w:val="24"/>
        </w:rPr>
      </w:pPr>
      <w:r>
        <w:rPr>
          <w:rFonts w:ascii="宋体" w:hAnsi="宋体" w:cs="宋体" w:hint="eastAsia"/>
          <w:sz w:val="24"/>
        </w:rPr>
        <w:t>（五）不同投标供应商的投标文件内容存在非正常一致。</w:t>
      </w:r>
    </w:p>
    <w:p>
      <w:pPr>
        <w:ind w:firstLine="420" w:firstLineChars="200"/>
        <w:rPr>
          <w:rFonts w:ascii="宋体" w:hAnsi="宋体" w:cs="宋体"/>
          <w:sz w:val="24"/>
        </w:rPr>
      </w:pPr>
      <w:r>
        <w:rPr>
          <w:rFonts w:ascii="宋体" w:hAnsi="宋体" w:cs="宋体" w:hint="eastAsia"/>
          <w:sz w:val="24"/>
        </w:rPr>
        <w:t>（六）由同一单位工作人员为两家以上（含两家）供应商进行同一项投标活动的。</w:t>
      </w:r>
    </w:p>
    <w:p>
      <w:pPr>
        <w:ind w:firstLine="420" w:firstLineChars="200"/>
        <w:rPr>
          <w:rFonts w:ascii="宋体" w:hAnsi="宋体" w:cs="宋体"/>
          <w:sz w:val="24"/>
        </w:rPr>
      </w:pPr>
      <w:r>
        <w:rPr>
          <w:rFonts w:ascii="宋体" w:hAnsi="宋体" w:cs="宋体" w:hint="eastAsia"/>
          <w:sz w:val="24"/>
        </w:rPr>
        <w:t>（七）不同投标人的投标报价呈规律性差异。</w:t>
      </w:r>
    </w:p>
    <w:p>
      <w:pPr>
        <w:ind w:firstLine="420" w:firstLineChars="200"/>
        <w:rPr>
          <w:rFonts w:ascii="宋体" w:hAnsi="宋体" w:cs="宋体"/>
          <w:sz w:val="24"/>
        </w:rPr>
      </w:pPr>
      <w:r>
        <w:rPr>
          <w:rFonts w:ascii="宋体" w:hAnsi="宋体" w:cs="宋体" w:hint="eastAsia"/>
          <w:sz w:val="24"/>
        </w:rPr>
        <w:t>（八）不同投标人的投标保证金从同一单位或者个人的账户转出。</w:t>
      </w:r>
    </w:p>
    <w:p>
      <w:pPr>
        <w:ind w:firstLine="420" w:firstLineChars="200"/>
        <w:rPr>
          <w:rFonts w:ascii="宋体" w:hAnsi="宋体" w:cs="宋体"/>
          <w:sz w:val="24"/>
        </w:rPr>
      </w:pPr>
      <w:r>
        <w:rPr>
          <w:rFonts w:ascii="宋体" w:hAnsi="宋体" w:cs="宋体" w:hint="eastAsia"/>
          <w:sz w:val="24"/>
        </w:rPr>
        <w:t>（九）主管部门依照法律、法规认定的其他情形。</w:t>
      </w:r>
    </w:p>
    <w:p>
      <w:pPr>
        <w:ind w:firstLine="420" w:firstLineChars="200"/>
        <w:rPr>
          <w:rFonts w:ascii="宋体" w:hAnsi="宋体" w:cs="宋体"/>
          <w:b/>
          <w:bCs/>
          <w:sz w:val="24"/>
        </w:rPr>
      </w:pPr>
      <w:r>
        <w:rPr>
          <w:rFonts w:ascii="宋体" w:hAnsi="宋体" w:cs="宋体" w:hint="eastAsia"/>
          <w:b/>
          <w:bCs/>
          <w:sz w:val="24"/>
        </w:rPr>
        <w:t>三、本公司已充分知悉下列情形所对应的法律风险，并在投标前已对相关风险事项进行排查。</w:t>
      </w:r>
    </w:p>
    <w:p>
      <w:pPr>
        <w:ind w:firstLine="420" w:firstLineChars="200"/>
        <w:rPr>
          <w:rFonts w:ascii="宋体" w:hAnsi="宋体" w:cs="宋体"/>
          <w:b/>
          <w:bCs/>
          <w:sz w:val="24"/>
        </w:rPr>
      </w:pPr>
      <w:r>
        <w:rPr>
          <w:rFonts w:ascii="宋体" w:hAnsi="宋体" w:cs="宋体" w:hint="eastAsia"/>
          <w:sz w:val="24"/>
        </w:rPr>
        <w:t>（一）对于从其他主体获取的投标资料，供应商应审慎核查，确保投标资料的真实性。</w:t>
      </w:r>
      <w:r>
        <w:rPr>
          <w:rFonts w:ascii="宋体" w:hAnsi="宋体" w:cs="宋体" w:hint="eastAsia"/>
          <w:b/>
          <w:bCs/>
          <w:sz w:val="24"/>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rPr>
          <w:rFonts w:ascii="宋体" w:hAnsi="宋体" w:cs="宋体"/>
          <w:sz w:val="24"/>
        </w:rPr>
      </w:pPr>
      <w:r>
        <w:rPr>
          <w:rFonts w:ascii="宋体" w:hAnsi="宋体" w:cs="宋体" w:hint="eastAsia"/>
          <w:sz w:val="24"/>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rPr>
          <w:rFonts w:ascii="宋体" w:hAnsi="宋体" w:cs="宋体"/>
          <w:sz w:val="24"/>
        </w:rPr>
      </w:pPr>
      <w:r>
        <w:rPr>
          <w:rFonts w:ascii="宋体" w:hAnsi="宋体" w:cs="宋体" w:hint="eastAsia"/>
          <w:sz w:val="24"/>
        </w:rPr>
        <w:t xml:space="preserve">（三）对于涉及安全生产、特种作业、抢险救灾、防疫等政府采购项目，供应商实施提供虚假资料、串通投标等违法行为的，主管部门将依法从严处理。 </w:t>
      </w:r>
    </w:p>
    <w:p>
      <w:pPr>
        <w:ind w:firstLine="420" w:firstLineChars="200"/>
        <w:rPr>
          <w:rFonts w:ascii="宋体" w:hAnsi="宋体" w:cs="宋体"/>
          <w:sz w:val="24"/>
        </w:rPr>
      </w:pPr>
      <w:r>
        <w:rPr>
          <w:rFonts w:ascii="宋体" w:hAnsi="宋体" w:cs="宋体" w:hint="eastAsia"/>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jc w:val="left"/>
        <w:rPr>
          <w:rFonts w:ascii="宋体" w:hAnsi="宋体" w:cs="宋体"/>
          <w:sz w:val="24"/>
        </w:rPr>
      </w:pPr>
      <w:r>
        <w:rPr>
          <w:rFonts w:ascii="宋体" w:hAnsi="宋体" w:cs="宋体" w:hint="eastAsia"/>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rPr>
          <w:rFonts w:ascii="宋体" w:hAnsi="宋体" w:cs="宋体"/>
          <w:sz w:val="24"/>
        </w:rPr>
      </w:pPr>
      <w:r>
        <w:rPr>
          <w:rFonts w:ascii="宋体" w:hAnsi="宋体" w:cs="宋体" w:hint="eastAsia"/>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0" w:firstLineChars="200"/>
        <w:rPr>
          <w:rFonts w:ascii="宋体" w:hAnsi="宋体" w:cs="宋体"/>
          <w:b/>
          <w:bCs/>
          <w:sz w:val="24"/>
        </w:rPr>
      </w:pPr>
      <w:r>
        <w:rPr>
          <w:rFonts w:ascii="宋体" w:hAnsi="宋体" w:cs="宋体" w:hint="eastAsia"/>
          <w:b/>
          <w:bCs/>
          <w:sz w:val="24"/>
        </w:rPr>
        <w:t>四、本公司已充分知悉政府采购违法、违规行为的法律后果。</w:t>
      </w:r>
      <w:r>
        <w:rPr>
          <w:rFonts w:ascii="宋体" w:hAnsi="宋体" w:cs="宋体" w:hint="eastAsia"/>
          <w:sz w:val="24"/>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rPr>
          <w:rFonts w:ascii="宋体" w:hAnsi="宋体" w:cs="宋体"/>
          <w:b/>
          <w:bCs/>
          <w:sz w:val="24"/>
        </w:rPr>
      </w:pPr>
      <w:r>
        <w:rPr>
          <w:rFonts w:ascii="宋体" w:hAnsi="宋体" w:cs="宋体" w:hint="eastAsia"/>
          <w:b/>
          <w:bCs/>
          <w:sz w:val="24"/>
        </w:rPr>
        <w:t>以下文字请投标供应商抄写并确认：“本公司已仔细阅读《政府采购违法行为风险知悉确认书》，充分知悉违法行为的法律后果，并承诺将严谨、诚信、依法依规参与政府采购活动”。</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u w:val="single"/>
        </w:rPr>
      </w:pPr>
      <w:r>
        <w:rPr>
          <w:rFonts w:ascii="宋体" w:hAnsi="宋体" w:cs="宋体" w:hint="eastAsia"/>
          <w:sz w:val="24"/>
          <w:u w:val="single"/>
        </w:rPr>
        <w:t xml:space="preserve">                                                                              </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highlight w:val="yellow"/>
        </w:rPr>
      </w:pPr>
    </w:p>
    <w:p>
      <w:pPr>
        <w:rPr>
          <w:rFonts w:ascii="宋体" w:hAnsi="宋体" w:cs="宋体"/>
          <w:sz w:val="24"/>
        </w:rPr>
      </w:pPr>
      <w:r>
        <w:rPr>
          <w:rFonts w:ascii="宋体" w:hAnsi="宋体" w:cs="宋体" w:hint="eastAsia"/>
          <w:sz w:val="24"/>
        </w:rPr>
        <w:t xml:space="preserve">                                          负责人/投标授权代表签名：</w:t>
      </w:r>
    </w:p>
    <w:p>
      <w:pPr>
        <w:ind w:firstLine="4410" w:firstLineChars="2100"/>
        <w:rPr>
          <w:rFonts w:ascii="宋体" w:hAnsi="宋体" w:cs="宋体"/>
          <w:sz w:val="24"/>
        </w:rPr>
      </w:pPr>
      <w:r>
        <w:rPr>
          <w:rFonts w:ascii="宋体" w:hAnsi="宋体" w:cs="宋体" w:hint="eastAsia"/>
          <w:sz w:val="24"/>
        </w:rPr>
        <w:t>知悉人（公章）：</w:t>
      </w:r>
    </w:p>
    <w:p>
      <w:pPr>
        <w:rPr>
          <w:rFonts w:ascii="宋体" w:hAnsi="宋体" w:cs="宋体"/>
          <w:sz w:val="24"/>
        </w:rPr>
      </w:pPr>
      <w:r>
        <w:rPr>
          <w:rFonts w:ascii="宋体" w:hAnsi="宋体" w:cs="宋体" w:hint="eastAsia"/>
          <w:sz w:val="24"/>
        </w:rPr>
        <w:t xml:space="preserve">                                          日期：</w:t>
      </w:r>
    </w:p>
    <w:p>
      <w:pPr>
        <w:spacing w:line="600" w:lineRule="exact"/>
        <w:rPr>
          <w:b/>
          <w:bCs/>
          <w:sz w:val="24"/>
        </w:rPr>
      </w:pPr>
    </w:p>
    <w:p>
      <w:pPr>
        <w:rPr>
          <w:b/>
          <w:bCs/>
          <w:sz w:val="30"/>
          <w:szCs w:val="30"/>
          <w:highlight w:val="none"/>
        </w:rPr>
      </w:pPr>
      <w:r>
        <w:rPr>
          <w:rFonts w:hint="eastAsia"/>
          <w:b/>
          <w:bCs/>
          <w:sz w:val="24"/>
          <w:highlight w:val="none"/>
        </w:rPr>
        <w:t>注：该风险知悉确认书用于对供应商违法行为的警示，不作为供应商资格性审查及符合性审查条件。</w:t>
      </w:r>
    </w:p>
    <w:p/>
    <w:p>
      <w:r>
        <w:br w:type="page"/>
      </w:r>
    </w:p>
    <w:p>
      <w:pPr>
        <w:pStyle w:val="Heading2"/>
        <w:numPr>
          <w:ilvl w:val="0"/>
          <w:numId w:val="65"/>
        </w:numPr>
        <w:spacing w:line="240" w:lineRule="auto"/>
        <w:jc w:val="center"/>
        <w:rPr>
          <w:b w:val="0"/>
          <w:highlight w:val="none"/>
        </w:rPr>
      </w:pPr>
      <w:bookmarkStart w:id="235" w:name="_Toc28408"/>
      <w:bookmarkStart w:id="236" w:name="_Toc256000043"/>
      <w:r>
        <w:rPr>
          <w:rFonts w:hint="eastAsia"/>
          <w:b w:val="0"/>
          <w:highlight w:val="none"/>
          <w:lang w:eastAsia="zh-CN"/>
        </w:rPr>
        <w:t>《</w:t>
      </w:r>
      <w:r>
        <w:rPr>
          <w:rFonts w:hint="eastAsia"/>
          <w:b w:val="0"/>
          <w:highlight w:val="none"/>
        </w:rPr>
        <w:t>政府采购违法行为风险知悉确认书</w:t>
      </w:r>
      <w:r>
        <w:rPr>
          <w:rFonts w:hint="eastAsia"/>
          <w:b w:val="0"/>
          <w:highlight w:val="none"/>
          <w:lang w:eastAsia="zh-CN"/>
        </w:rPr>
        <w:t>》</w:t>
      </w:r>
      <w:r>
        <w:rPr>
          <w:rFonts w:hint="eastAsia"/>
          <w:b w:val="0"/>
          <w:highlight w:val="none"/>
          <w:lang w:val="en-US" w:eastAsia="zh-CN"/>
        </w:rPr>
        <w:t>附件</w:t>
      </w:r>
      <w:bookmarkEnd w:id="236"/>
      <w:bookmarkEnd w:id="235"/>
    </w:p>
    <w:p>
      <w:pPr>
        <w:pStyle w:val="ListParagraph"/>
        <w:ind w:firstLine="0" w:firstLineChars="0"/>
        <w:jc w:val="center"/>
        <w:rPr>
          <w:sz w:val="36"/>
          <w:szCs w:val="36"/>
          <w:highlight w:val="none"/>
        </w:rPr>
      </w:pPr>
      <w:r>
        <w:rPr>
          <w:rFonts w:ascii="宋体" w:hAnsi="宋体" w:hint="eastAsia"/>
          <w:b/>
          <w:sz w:val="36"/>
          <w:szCs w:val="36"/>
          <w:highlight w:val="none"/>
        </w:rPr>
        <w:t>（非信息公开部分）</w:t>
      </w:r>
    </w:p>
    <w:p>
      <w:pPr>
        <w:pStyle w:val="PlainText"/>
        <w:spacing w:line="360" w:lineRule="auto"/>
        <w:rPr>
          <w:highlight w:val="none"/>
        </w:rPr>
      </w:pPr>
    </w:p>
    <w:p>
      <w:pPr>
        <w:pStyle w:val="PlainText"/>
        <w:spacing w:line="360" w:lineRule="auto"/>
        <w:rPr>
          <w:rFonts w:ascii="宋体" w:eastAsia="宋体" w:hAnsi="宋体" w:cs="宋体" w:hint="default"/>
          <w:b w:val="0"/>
          <w:bCs w:val="0"/>
          <w:sz w:val="24"/>
          <w:szCs w:val="24"/>
          <w:highlight w:val="none"/>
          <w:lang w:val="en-US" w:eastAsia="zh-CN"/>
        </w:rPr>
      </w:pPr>
      <w:r>
        <w:rPr>
          <w:rFonts w:ascii="宋体" w:eastAsia="宋体" w:hAnsi="宋体" w:cs="宋体" w:hint="eastAsia"/>
          <w:b w:val="0"/>
          <w:bCs w:val="0"/>
          <w:sz w:val="24"/>
          <w:szCs w:val="24"/>
          <w:highlight w:val="none"/>
          <w:lang w:val="en-US" w:eastAsia="zh-CN"/>
        </w:rPr>
        <w:t>提供</w:t>
      </w:r>
      <w:r>
        <w:rPr>
          <w:rFonts w:ascii="宋体" w:eastAsia="宋体" w:hAnsi="宋体" w:cs="宋体" w:hint="eastAsia"/>
          <w:b w:val="0"/>
          <w:bCs w:val="0"/>
          <w:sz w:val="24"/>
          <w:szCs w:val="24"/>
          <w:highlight w:val="none"/>
        </w:rPr>
        <w:t>法定代表人、主要经营负责人、项目投标授权代表人、项目负责人、主要技术人员</w:t>
      </w:r>
      <w:r>
        <w:rPr>
          <w:rFonts w:ascii="宋体" w:eastAsia="宋体" w:hAnsi="宋体" w:cs="宋体" w:hint="eastAsia"/>
          <w:b w:val="0"/>
          <w:bCs w:val="0"/>
          <w:sz w:val="24"/>
          <w:szCs w:val="24"/>
          <w:highlight w:val="none"/>
          <w:lang w:val="en-US" w:eastAsia="zh-CN"/>
        </w:rPr>
        <w:t>的</w:t>
      </w:r>
      <w:r>
        <w:rPr>
          <w:rFonts w:ascii="宋体" w:eastAsia="宋体" w:hAnsi="宋体" w:cs="宋体" w:hint="eastAsia"/>
          <w:b w:val="0"/>
          <w:bCs w:val="0"/>
          <w:sz w:val="24"/>
          <w:szCs w:val="24"/>
          <w:highlight w:val="none"/>
        </w:rPr>
        <w:t>社会保险</w:t>
      </w:r>
      <w:r>
        <w:rPr>
          <w:rFonts w:ascii="宋体" w:eastAsia="宋体" w:hAnsi="宋体" w:cs="宋体" w:hint="eastAsia"/>
          <w:b w:val="0"/>
          <w:bCs w:val="0"/>
          <w:sz w:val="24"/>
          <w:szCs w:val="24"/>
          <w:highlight w:val="none"/>
          <w:lang w:val="en-US" w:eastAsia="zh-CN"/>
        </w:rPr>
        <w:t>证明（</w:t>
      </w:r>
      <w:r>
        <w:rPr>
          <w:rFonts w:ascii="宋体" w:eastAsia="宋体" w:hAnsi="宋体" w:cs="宋体" w:hint="eastAsia"/>
          <w:sz w:val="24"/>
          <w:szCs w:val="24"/>
          <w:highlight w:val="none"/>
          <w:lang w:val="en-US" w:eastAsia="zh-CN"/>
        </w:rPr>
        <w:t>1.如依法不需要缴纳社会保险的，应提供相应文件证明；</w:t>
      </w:r>
      <w:r>
        <w:rPr>
          <w:rFonts w:eastAsia="宋体" w:hAnsi="宋体" w:cs="宋体" w:hint="eastAsia"/>
          <w:b w:val="0"/>
          <w:bCs w:val="0"/>
          <w:sz w:val="24"/>
          <w:szCs w:val="24"/>
          <w:highlight w:val="none"/>
          <w:lang w:val="en-US" w:eastAsia="zh-CN"/>
        </w:rPr>
        <w:t>2</w:t>
      </w:r>
      <w:r>
        <w:rPr>
          <w:rFonts w:ascii="宋体" w:eastAsia="宋体" w:hAnsi="宋体" w:cs="宋体" w:hint="eastAsia"/>
          <w:b w:val="0"/>
          <w:bCs w:val="0"/>
          <w:sz w:val="24"/>
          <w:szCs w:val="24"/>
          <w:highlight w:val="none"/>
          <w:lang w:val="en-US" w:eastAsia="zh-CN"/>
        </w:rPr>
        <w:t>.如相关人员为退休后返聘则需提供退休证明和聘用合同；</w:t>
      </w:r>
      <w:r>
        <w:rPr>
          <w:rFonts w:eastAsia="宋体" w:hAnsi="宋体" w:cs="宋体" w:hint="eastAsia"/>
          <w:b w:val="0"/>
          <w:bCs w:val="0"/>
          <w:sz w:val="24"/>
          <w:szCs w:val="24"/>
          <w:highlight w:val="none"/>
          <w:lang w:val="en-US" w:eastAsia="zh-CN"/>
        </w:rPr>
        <w:t>3</w:t>
      </w:r>
      <w:r>
        <w:rPr>
          <w:rFonts w:ascii="宋体" w:eastAsia="宋体" w:hAnsi="宋体" w:cs="宋体" w:hint="eastAsia"/>
          <w:b w:val="0"/>
          <w:bCs w:val="0"/>
          <w:sz w:val="24"/>
          <w:szCs w:val="24"/>
          <w:highlight w:val="none"/>
          <w:lang w:val="en-US" w:eastAsia="zh-CN"/>
        </w:rPr>
        <w:t>.如本项目未安排项目投标授权代表人、项目负责人、主要技术人员的，无需提供投标授权代表人、项目负责人、主要技术人员的社会保险证明）作为《政府采购违法行为风险知悉确认书》的附件，</w:t>
      </w:r>
      <w:r>
        <w:rPr>
          <w:rFonts w:ascii="宋体" w:eastAsia="宋体" w:hAnsi="宋体" w:cs="宋体" w:hint="eastAsia"/>
          <w:b w:val="0"/>
          <w:bCs w:val="0"/>
          <w:sz w:val="24"/>
          <w:szCs w:val="24"/>
          <w:highlight w:val="none"/>
        </w:rPr>
        <w:t>不作为供应商资格性审查及符合性审查条件。</w:t>
      </w:r>
    </w:p>
    <w:p>
      <w:pPr>
        <w:rPr>
          <w:rFonts w:hint="eastAsia"/>
          <w:b w:val="0"/>
          <w:highlight w:val="yellow"/>
          <w:lang w:eastAsia="zh-CN"/>
        </w:rPr>
      </w:pPr>
    </w:p>
    <w:p>
      <w:pPr>
        <w:rPr>
          <w:b w:val="0"/>
        </w:rPr>
      </w:pPr>
      <w:r>
        <w:rPr>
          <w:rFonts w:ascii="Arial" w:eastAsia="黑体" w:hAnsi="Arial" w:cs="Times New Roman" w:hint="eastAsia"/>
          <w:b w:val="0"/>
          <w:bCs/>
          <w:kern w:val="2"/>
          <w:sz w:val="32"/>
          <w:szCs w:val="32"/>
          <w:highlight w:val="yellow"/>
          <w:lang w:val="en-US" w:eastAsia="zh-CN" w:bidi="ar-SA"/>
        </w:rPr>
        <w:br w:type="page"/>
      </w:r>
    </w:p>
    <w:p>
      <w:pPr>
        <w:pStyle w:val="Heading2"/>
        <w:numPr>
          <w:ilvl w:val="0"/>
          <w:numId w:val="65"/>
        </w:numPr>
        <w:spacing w:line="240" w:lineRule="auto"/>
        <w:jc w:val="center"/>
        <w:rPr>
          <w:b w:val="0"/>
        </w:rPr>
      </w:pPr>
      <w:bookmarkStart w:id="237" w:name="_Toc17675"/>
      <w:bookmarkStart w:id="238" w:name="_Toc256000044"/>
      <w:r>
        <w:rPr>
          <w:rFonts w:hint="eastAsia"/>
          <w:b w:val="0"/>
        </w:rPr>
        <w:t>采购代理服务费承诺书</w:t>
      </w:r>
      <w:bookmarkEnd w:id="238"/>
      <w:bookmarkEnd w:id="237"/>
    </w:p>
    <w:p>
      <w:pPr>
        <w:spacing w:line="360" w:lineRule="auto"/>
        <w:jc w:val="center"/>
        <w:rPr>
          <w:rFonts w:ascii="宋体" w:hAnsi="宋体" w:cs="宋体" w:hint="eastAsia"/>
          <w:b/>
          <w:color w:val="auto"/>
          <w:sz w:val="24"/>
          <w:highlight w:val="none"/>
        </w:rPr>
      </w:pPr>
      <w:r>
        <w:rPr>
          <w:rFonts w:hint="eastAsia"/>
          <w:b/>
          <w:bCs/>
          <w:color w:val="auto"/>
          <w:sz w:val="24"/>
          <w:highlight w:val="none"/>
          <w:lang w:eastAsia="zh-CN"/>
        </w:rPr>
        <w:t>（</w:t>
      </w:r>
      <w:r>
        <w:rPr>
          <w:rFonts w:hint="eastAsia"/>
          <w:b/>
          <w:bCs/>
          <w:color w:val="auto"/>
          <w:sz w:val="24"/>
          <w:highlight w:val="none"/>
        </w:rPr>
        <w:t>采购代理服务费承诺书不作为供应商资格性审查及符合性审查条件</w:t>
      </w:r>
      <w:r>
        <w:rPr>
          <w:rFonts w:hint="eastAsia"/>
          <w:b/>
          <w:bCs/>
          <w:color w:val="auto"/>
          <w:sz w:val="24"/>
          <w:highlight w:val="none"/>
          <w:lang w:eastAsia="zh-CN"/>
        </w:rPr>
        <w:t>）</w:t>
      </w:r>
    </w:p>
    <w:p>
      <w:pPr>
        <w:spacing w:line="360" w:lineRule="auto"/>
        <w:rPr>
          <w:rFonts w:ascii="宋体" w:hAnsi="宋体" w:cs="宋体"/>
          <w:b/>
          <w:color w:val="auto"/>
          <w:sz w:val="24"/>
          <w:highlight w:val="none"/>
        </w:rPr>
      </w:pPr>
      <w:r>
        <w:rPr>
          <w:rFonts w:ascii="宋体" w:hAnsi="宋体" w:cs="宋体" w:hint="eastAsia"/>
          <w:b/>
          <w:color w:val="auto"/>
          <w:sz w:val="24"/>
          <w:highlight w:val="none"/>
        </w:rPr>
        <w:t>采联国际招标采购集团有限公司:</w:t>
      </w:r>
    </w:p>
    <w:p>
      <w:pPr>
        <w:spacing w:line="360" w:lineRule="auto"/>
        <w:ind w:firstLine="420" w:firstLineChars="200"/>
        <w:rPr>
          <w:rFonts w:ascii="宋体" w:hAnsi="宋体" w:cs="宋体"/>
          <w:color w:val="auto"/>
          <w:sz w:val="24"/>
          <w:highlight w:val="none"/>
        </w:rPr>
      </w:pPr>
      <w:r>
        <w:rPr>
          <w:rFonts w:ascii="宋体" w:hAnsi="宋体" w:cs="宋体" w:hint="eastAsia"/>
          <w:color w:val="auto"/>
          <w:sz w:val="24"/>
          <w:highlight w:val="none"/>
        </w:rPr>
        <w:t>本公司</w:t>
      </w:r>
      <w:r>
        <w:rPr>
          <w:rFonts w:ascii="宋体" w:hAnsi="宋体" w:cs="宋体" w:hint="eastAsia"/>
          <w:color w:val="auto"/>
          <w:sz w:val="24"/>
          <w:highlight w:val="none"/>
          <w:u w:val="single"/>
        </w:rPr>
        <w:t xml:space="preserve">       (投标人名称)      </w:t>
      </w:r>
      <w:r>
        <w:rPr>
          <w:rFonts w:ascii="宋体" w:hAnsi="宋体" w:cs="宋体" w:hint="eastAsia"/>
          <w:color w:val="auto"/>
          <w:sz w:val="24"/>
          <w:highlight w:val="none"/>
        </w:rPr>
        <w:t>在参加</w:t>
      </w:r>
      <w:r>
        <w:rPr>
          <w:rFonts w:ascii="宋体" w:hAnsi="宋体" w:cs="宋体" w:hint="eastAsia"/>
          <w:color w:val="auto"/>
          <w:sz w:val="24"/>
          <w:highlight w:val="none"/>
          <w:u w:val="single"/>
        </w:rPr>
        <w:t xml:space="preserve">      </w:t>
      </w:r>
      <w:r>
        <w:rPr>
          <w:rFonts w:ascii="宋体" w:hAnsi="宋体" w:cs="宋体" w:hint="eastAsia"/>
          <w:color w:val="auto"/>
          <w:sz w:val="24"/>
          <w:highlight w:val="none"/>
          <w:u w:val="single"/>
          <w:lang w:eastAsia="zh-CN"/>
        </w:rPr>
        <w:t>智能计算与系统-高级白盒可编程路由器</w:t>
      </w:r>
      <w:r>
        <w:rPr>
          <w:rFonts w:ascii="宋体" w:hAnsi="宋体" w:cs="宋体" w:hint="eastAsia"/>
          <w:color w:val="auto"/>
          <w:sz w:val="24"/>
          <w:highlight w:val="none"/>
          <w:u w:val="single"/>
        </w:rPr>
        <w:t xml:space="preserve">      </w:t>
      </w:r>
      <w:r>
        <w:rPr>
          <w:rFonts w:ascii="宋体" w:hAnsi="宋体" w:cs="宋体" w:hint="eastAsia"/>
          <w:color w:val="auto"/>
          <w:sz w:val="24"/>
          <w:highlight w:val="none"/>
        </w:rPr>
        <w:t>(项目编号：</w:t>
      </w:r>
      <w:r>
        <w:rPr>
          <w:rFonts w:ascii="宋体" w:hAnsi="宋体" w:cs="宋体" w:hint="eastAsia"/>
          <w:color w:val="auto"/>
          <w:sz w:val="24"/>
          <w:highlight w:val="none"/>
          <w:lang w:eastAsia="zh-CN"/>
        </w:rPr>
        <w:t>SZDL2023001961（CLF0123SZ17ZC27）</w:t>
      </w:r>
      <w:r>
        <w:rPr>
          <w:rFonts w:ascii="宋体" w:hAnsi="宋体" w:cs="宋体" w:hint="eastAsia"/>
          <w:color w:val="auto"/>
          <w:sz w:val="24"/>
          <w:highlight w:val="none"/>
        </w:rPr>
        <w:t>)的招标中如获中标，本单位（公司）保证按照招标文件的规定缴纳“采购代理服务费”后，凭领取人身份证复印件并加盖公章领取《中标通知书》。如采用电汇或银行转账，本单位（公司）将同时递交采购代理服务费缴费凭证复印件并加盖公章。</w:t>
      </w:r>
    </w:p>
    <w:p>
      <w:pPr>
        <w:spacing w:line="360" w:lineRule="auto"/>
        <w:ind w:firstLine="420" w:firstLineChars="200"/>
        <w:rPr>
          <w:rFonts w:ascii="宋体" w:hAnsi="宋体" w:cs="宋体"/>
          <w:color w:val="auto"/>
          <w:sz w:val="24"/>
          <w:highlight w:val="none"/>
        </w:rPr>
      </w:pPr>
      <w:r>
        <w:rPr>
          <w:rFonts w:ascii="宋体" w:hAnsi="宋体" w:cs="宋体" w:hint="eastAsia"/>
          <w:color w:val="auto"/>
          <w:sz w:val="24"/>
          <w:highlight w:val="none"/>
        </w:rPr>
        <w:t>如本单位（公司）违反上款承诺,愿承担由此引起的一切法律责任。</w:t>
      </w:r>
    </w:p>
    <w:p>
      <w:pPr>
        <w:tabs>
          <w:tab w:val="center" w:pos="5010"/>
        </w:tabs>
        <w:spacing w:line="360" w:lineRule="auto"/>
        <w:ind w:firstLine="840" w:firstLineChars="400"/>
        <w:rPr>
          <w:rFonts w:ascii="宋体" w:hAnsi="宋体" w:cs="宋体"/>
          <w:color w:val="auto"/>
          <w:sz w:val="24"/>
          <w:highlight w:val="none"/>
        </w:rPr>
      </w:pPr>
      <w:r>
        <w:rPr>
          <w:rFonts w:ascii="宋体" w:hAnsi="宋体" w:cs="宋体" w:hint="eastAsia"/>
          <w:color w:val="auto"/>
          <w:sz w:val="24"/>
          <w:highlight w:val="none"/>
        </w:rPr>
        <w:t>特此承诺!</w:t>
      </w:r>
      <w:r>
        <w:rPr>
          <w:rFonts w:ascii="宋体" w:hAnsi="宋体" w:cs="宋体" w:hint="eastAsia"/>
          <w:color w:val="auto"/>
          <w:sz w:val="24"/>
          <w:highlight w:val="none"/>
        </w:rPr>
        <w:tab/>
      </w:r>
    </w:p>
    <w:p>
      <w:pPr>
        <w:spacing w:line="360" w:lineRule="auto"/>
        <w:ind w:firstLine="840" w:firstLineChars="400"/>
        <w:rPr>
          <w:rFonts w:ascii="宋体" w:hAnsi="宋体" w:cs="宋体"/>
          <w:color w:val="auto"/>
          <w:sz w:val="24"/>
          <w:highlight w:val="none"/>
        </w:rPr>
      </w:pPr>
    </w:p>
    <w:p>
      <w:pPr>
        <w:jc w:val="center"/>
        <w:rPr>
          <w:rFonts w:ascii="宋体" w:hAnsi="宋体" w:cs="宋体"/>
          <w:color w:val="auto"/>
          <w:sz w:val="24"/>
          <w:highlight w:val="none"/>
        </w:rPr>
      </w:pPr>
      <w:r>
        <w:rPr>
          <w:rFonts w:ascii="宋体" w:hAnsi="宋体" w:cs="宋体" w:hint="eastAsia"/>
          <w:color w:val="auto"/>
          <w:sz w:val="24"/>
          <w:highlight w:val="none"/>
          <w:lang w:val="en-US" w:eastAsia="zh-CN"/>
        </w:rPr>
        <w:t xml:space="preserve">             法定代表人或其委托代理人</w:t>
      </w:r>
      <w:r>
        <w:rPr>
          <w:rFonts w:ascii="宋体" w:hAnsi="宋体" w:cs="宋体" w:hint="eastAsia"/>
          <w:color w:val="auto"/>
          <w:sz w:val="24"/>
          <w:highlight w:val="none"/>
        </w:rPr>
        <w:t>：</w:t>
      </w:r>
    </w:p>
    <w:p>
      <w:pPr>
        <w:ind w:firstLine="4410" w:firstLineChars="2100"/>
        <w:rPr>
          <w:rFonts w:ascii="宋体" w:hAnsi="宋体" w:cs="宋体"/>
          <w:color w:val="auto"/>
          <w:sz w:val="24"/>
          <w:highlight w:val="none"/>
        </w:rPr>
      </w:pPr>
      <w:r>
        <w:rPr>
          <w:rFonts w:ascii="宋体" w:hAnsi="宋体" w:cs="宋体" w:hint="eastAsia"/>
          <w:color w:val="auto"/>
          <w:sz w:val="24"/>
          <w:highlight w:val="none"/>
        </w:rPr>
        <w:t>投标人（公章）：</w:t>
      </w:r>
    </w:p>
    <w:p>
      <w:pPr>
        <w:spacing w:line="360" w:lineRule="auto"/>
        <w:ind w:left="315"/>
        <w:jc w:val="left"/>
        <w:rPr>
          <w:rFonts w:ascii="宋体" w:hAnsi="宋体" w:cs="宋体"/>
          <w:color w:val="auto"/>
          <w:sz w:val="24"/>
          <w:highlight w:val="none"/>
        </w:rPr>
      </w:pPr>
      <w:r>
        <w:rPr>
          <w:rFonts w:ascii="宋体" w:hAnsi="宋体" w:cs="宋体" w:hint="eastAsia"/>
          <w:color w:val="auto"/>
          <w:sz w:val="24"/>
          <w:highlight w:val="none"/>
        </w:rPr>
        <w:t xml:space="preserve">                                          </w:t>
      </w:r>
      <w:r>
        <w:rPr>
          <w:rFonts w:ascii="宋体" w:hAnsi="宋体" w:cs="宋体" w:hint="eastAsia"/>
          <w:color w:val="auto"/>
          <w:sz w:val="24"/>
          <w:highlight w:val="none"/>
          <w:lang w:val="en-US" w:eastAsia="zh-CN"/>
        </w:rPr>
        <w:t xml:space="preserve">       </w:t>
      </w:r>
      <w:r>
        <w:rPr>
          <w:rFonts w:ascii="宋体" w:hAnsi="宋体" w:cs="宋体" w:hint="eastAsia"/>
          <w:color w:val="auto"/>
          <w:sz w:val="24"/>
          <w:highlight w:val="none"/>
        </w:rPr>
        <w:t>日期：</w:t>
      </w:r>
    </w:p>
    <w:p>
      <w:pPr>
        <w:jc w:val="center"/>
        <w:rPr>
          <w:rFonts w:ascii="宋体" w:hAnsi="宋体" w:cs="宋体" w:hint="eastAsia"/>
          <w:b/>
          <w:sz w:val="24"/>
        </w:rPr>
      </w:pPr>
    </w:p>
    <w:p>
      <w:pPr>
        <w:jc w:val="center"/>
        <w:rPr>
          <w:rFonts w:ascii="宋体" w:hAnsi="宋体" w:cs="宋体" w:hint="eastAsia"/>
          <w:b/>
          <w:sz w:val="24"/>
        </w:rPr>
      </w:pPr>
    </w:p>
    <w:p>
      <w:pPr>
        <w:jc w:val="center"/>
        <w:rPr>
          <w:rFonts w:ascii="宋体" w:hAnsi="宋体" w:cs="宋体"/>
          <w:b/>
          <w:sz w:val="24"/>
        </w:rPr>
      </w:pPr>
      <w:r>
        <w:rPr>
          <w:rFonts w:ascii="宋体" w:hAnsi="宋体" w:cs="宋体" w:hint="eastAsia"/>
          <w:b/>
          <w:sz w:val="24"/>
        </w:rPr>
        <w:t>采购代理服务费发票开具须知</w:t>
      </w:r>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5009"/>
        <w:gridCol w:w="2088"/>
        <w:gridCol w:w="2191"/>
      </w:tblGrid>
      <w:tr>
        <w:tblPrEx>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68"/>
        </w:trPr>
        <w:tc>
          <w:tcPr>
            <w:tcW w:w="5009" w:type="dxa"/>
            <w:tcBorders>
              <w:top w:val="single" w:sz="12" w:space="0" w:color="auto"/>
              <w:left w:val="single" w:sz="12" w:space="0" w:color="auto"/>
              <w:bottom w:val="single" w:sz="12" w:space="0" w:color="auto"/>
            </w:tcBorders>
            <w:vAlign w:val="center"/>
          </w:tcPr>
          <w:p>
            <w:pPr>
              <w:keepNext w:val="0"/>
              <w:keepLines w:val="0"/>
              <w:suppressLineNumbers w:val="0"/>
              <w:adjustRightInd w:val="0"/>
              <w:snapToGrid w:val="0"/>
              <w:spacing w:before="0" w:beforeAutospacing="0" w:after="0" w:afterAutospacing="0"/>
              <w:ind w:left="0" w:right="0"/>
              <w:jc w:val="center"/>
              <w:rPr>
                <w:rFonts w:ascii="宋体" w:hAnsi="宋体" w:cs="宋体" w:hint="default"/>
                <w:b/>
                <w:sz w:val="24"/>
              </w:rPr>
            </w:pPr>
            <w:r>
              <w:rPr>
                <w:rFonts w:ascii="宋体" w:hAnsi="宋体" w:cs="宋体" w:hint="eastAsia"/>
                <w:b/>
                <w:sz w:val="24"/>
              </w:rPr>
              <w:t>发票类型</w:t>
            </w:r>
          </w:p>
          <w:p>
            <w:pPr>
              <w:keepNext w:val="0"/>
              <w:keepLines w:val="0"/>
              <w:suppressLineNumbers w:val="0"/>
              <w:adjustRightInd w:val="0"/>
              <w:snapToGrid w:val="0"/>
              <w:spacing w:before="0" w:beforeAutospacing="0" w:after="0" w:afterAutospacing="0"/>
              <w:ind w:left="0" w:right="0"/>
              <w:jc w:val="center"/>
              <w:rPr>
                <w:rFonts w:ascii="宋体" w:hAnsi="宋体" w:cs="宋体" w:hint="default"/>
                <w:b/>
                <w:sz w:val="24"/>
              </w:rPr>
            </w:pPr>
            <w:r>
              <w:rPr>
                <w:rFonts w:ascii="宋体" w:hAnsi="宋体" w:cs="宋体" w:hint="eastAsia"/>
                <w:b/>
                <w:sz w:val="24"/>
              </w:rPr>
              <w:t>（请在对应的“□”打“√”，且只能选择其中一项）</w:t>
            </w:r>
          </w:p>
        </w:tc>
        <w:tc>
          <w:tcPr>
            <w:tcW w:w="2088" w:type="dxa"/>
            <w:tcBorders>
              <w:top w:val="single" w:sz="12" w:space="0" w:color="auto"/>
              <w:bottom w:val="single" w:sz="12" w:space="0" w:color="auto"/>
            </w:tcBorders>
            <w:vAlign w:val="center"/>
          </w:tcPr>
          <w:p>
            <w:pPr>
              <w:keepNext w:val="0"/>
              <w:keepLines w:val="0"/>
              <w:suppressLineNumbers w:val="0"/>
              <w:adjustRightInd w:val="0"/>
              <w:snapToGrid w:val="0"/>
              <w:spacing w:before="0" w:beforeAutospacing="0" w:after="0" w:afterAutospacing="0"/>
              <w:ind w:left="0" w:right="0"/>
              <w:jc w:val="center"/>
              <w:rPr>
                <w:rFonts w:ascii="宋体" w:hAnsi="宋体" w:cs="宋体" w:hint="default"/>
                <w:b/>
                <w:i/>
                <w:sz w:val="24"/>
              </w:rPr>
            </w:pPr>
            <w:r>
              <w:rPr>
                <w:rFonts w:ascii="宋体" w:hAnsi="宋体" w:cs="宋体" w:hint="eastAsia"/>
                <w:b/>
                <w:sz w:val="24"/>
              </w:rPr>
              <w:t>□增值税普通发票</w:t>
            </w:r>
          </w:p>
        </w:tc>
        <w:tc>
          <w:tcPr>
            <w:tcW w:w="2191" w:type="dxa"/>
            <w:tcBorders>
              <w:top w:val="single" w:sz="12" w:space="0" w:color="auto"/>
              <w:bottom w:val="single" w:sz="12" w:space="0" w:color="auto"/>
              <w:right w:val="single" w:sz="12" w:space="0" w:color="auto"/>
            </w:tcBorders>
            <w:vAlign w:val="center"/>
          </w:tcPr>
          <w:p>
            <w:pPr>
              <w:keepNext w:val="0"/>
              <w:keepLines w:val="0"/>
              <w:suppressLineNumbers w:val="0"/>
              <w:adjustRightInd w:val="0"/>
              <w:snapToGrid w:val="0"/>
              <w:spacing w:before="0" w:beforeAutospacing="0" w:after="0" w:afterAutospacing="0"/>
              <w:ind w:left="0" w:right="0"/>
              <w:jc w:val="center"/>
              <w:rPr>
                <w:rFonts w:ascii="宋体" w:hAnsi="宋体" w:cs="宋体" w:hint="default"/>
                <w:b/>
                <w:sz w:val="24"/>
              </w:rPr>
            </w:pPr>
            <w:r>
              <w:rPr>
                <w:rFonts w:ascii="宋体" w:hAnsi="宋体" w:cs="宋体" w:hint="eastAsia"/>
                <w:b/>
                <w:sz w:val="24"/>
              </w:rPr>
              <w:t>□增值税专用发票</w:t>
            </w:r>
          </w:p>
        </w:tc>
      </w:tr>
      <w:tr>
        <w:tblPrEx>
          <w:tblW w:w="9288" w:type="dxa"/>
          <w:tblInd w:w="108" w:type="dxa"/>
          <w:tblLayout w:type="fixed"/>
          <w:tblCellMar>
            <w:top w:w="0" w:type="dxa"/>
            <w:left w:w="108" w:type="dxa"/>
            <w:bottom w:w="0" w:type="dxa"/>
            <w:right w:w="108" w:type="dxa"/>
          </w:tblCellMar>
        </w:tblPrEx>
        <w:trPr>
          <w:trHeight w:val="900"/>
        </w:trPr>
        <w:tc>
          <w:tcPr>
            <w:tcW w:w="9288" w:type="dxa"/>
            <w:gridSpan w:val="3"/>
            <w:tcBorders>
              <w:top w:val="single" w:sz="12" w:space="0" w:color="auto"/>
              <w:left w:val="single" w:sz="12" w:space="0" w:color="auto"/>
              <w:bottom w:val="single" w:sz="12" w:space="0" w:color="auto"/>
              <w:right w:val="single" w:sz="12" w:space="0" w:color="auto"/>
            </w:tcBorders>
          </w:tcPr>
          <w:p>
            <w:pPr>
              <w:keepNext w:val="0"/>
              <w:keepLines w:val="0"/>
              <w:suppressLineNumbers w:val="0"/>
              <w:adjustRightInd w:val="0"/>
              <w:snapToGrid w:val="0"/>
              <w:spacing w:before="0" w:beforeAutospacing="0" w:after="0" w:afterAutospacing="0"/>
              <w:ind w:left="0" w:right="0"/>
              <w:rPr>
                <w:rFonts w:ascii="宋体" w:hAnsi="宋体" w:cs="宋体" w:hint="default"/>
                <w:b/>
                <w:sz w:val="24"/>
              </w:rPr>
            </w:pPr>
            <w:r>
              <w:rPr>
                <w:rFonts w:ascii="宋体" w:hAnsi="宋体" w:cs="宋体" w:hint="eastAsia"/>
                <w:b/>
                <w:sz w:val="24"/>
              </w:rPr>
              <w:t>如选择“增值税专用发票”，则投标时必须提供以下资料信息：</w:t>
            </w:r>
          </w:p>
          <w:p>
            <w:pPr>
              <w:keepNext w:val="0"/>
              <w:keepLines w:val="0"/>
              <w:suppressLineNumbers w:val="0"/>
              <w:adjustRightInd w:val="0"/>
              <w:snapToGrid w:val="0"/>
              <w:spacing w:before="0" w:beforeAutospacing="0" w:after="0" w:afterAutospacing="0"/>
              <w:ind w:left="0" w:right="0"/>
              <w:rPr>
                <w:rFonts w:ascii="宋体" w:hAnsi="宋体" w:cs="宋体" w:hint="default"/>
                <w:sz w:val="24"/>
              </w:rPr>
            </w:pPr>
            <w:r>
              <w:rPr>
                <w:rFonts w:ascii="宋体" w:hAnsi="宋体" w:cs="宋体" w:hint="eastAsia"/>
                <w:sz w:val="24"/>
              </w:rPr>
              <w:t xml:space="preserve">1、一般纳税人资格认定税务通知书或其他可证明具有该项资格证明文件的扫描件； </w:t>
            </w:r>
          </w:p>
          <w:p>
            <w:pPr>
              <w:keepNext w:val="0"/>
              <w:keepLines w:val="0"/>
              <w:suppressLineNumbers w:val="0"/>
              <w:adjustRightInd w:val="0"/>
              <w:snapToGrid w:val="0"/>
              <w:spacing w:before="0" w:beforeAutospacing="0" w:after="0" w:afterAutospacing="0"/>
              <w:ind w:left="0" w:right="0"/>
              <w:rPr>
                <w:rFonts w:ascii="宋体" w:hAnsi="宋体" w:cs="宋体" w:hint="default"/>
                <w:sz w:val="24"/>
              </w:rPr>
            </w:pPr>
            <w:r>
              <w:rPr>
                <w:rFonts w:ascii="宋体" w:hAnsi="宋体" w:cs="宋体" w:hint="eastAsia"/>
                <w:sz w:val="24"/>
              </w:rPr>
              <w:t>2、客户的开票资料（单位名称、纳税人识别号、地址、电话、开户行全称及账号）。</w:t>
            </w:r>
          </w:p>
        </w:tc>
      </w:tr>
    </w:tbl>
    <w:p>
      <w:pPr>
        <w:pStyle w:val="NormalWeb"/>
        <w:shd w:val="clear" w:color="auto" w:fill="FFFFFF"/>
        <w:adjustRightInd w:val="0"/>
        <w:snapToGrid w:val="0"/>
        <w:spacing w:before="0" w:beforeAutospacing="0" w:after="0" w:afterAutospacing="0"/>
        <w:ind w:left="150" w:right="150"/>
        <w:jc w:val="center"/>
        <w:rPr>
          <w:rFonts w:cs="宋体"/>
          <w:color w:val="000000"/>
        </w:rPr>
      </w:pPr>
      <w:r>
        <w:rPr>
          <w:rFonts w:cs="宋体" w:hint="eastAsia"/>
          <w:color w:val="000000"/>
        </w:rPr>
        <w:t>温馨提示</w:t>
      </w:r>
    </w:p>
    <w:p>
      <w:pPr>
        <w:numPr>
          <w:ilvl w:val="0"/>
          <w:numId w:val="75"/>
        </w:numPr>
        <w:adjustRightInd w:val="0"/>
        <w:snapToGrid w:val="0"/>
        <w:rPr>
          <w:rFonts w:ascii="宋体" w:hAnsi="宋体" w:cs="宋体"/>
          <w:bCs/>
          <w:color w:val="000000"/>
          <w:sz w:val="24"/>
        </w:rPr>
      </w:pPr>
      <w:r>
        <w:rPr>
          <w:rFonts w:ascii="宋体" w:hAnsi="宋体" w:cs="宋体" w:hint="eastAsia"/>
          <w:bCs/>
          <w:color w:val="000000"/>
          <w:sz w:val="24"/>
        </w:rPr>
        <w:t>投标时，投标人必须确认“缴纳采购代理服务费”开具的发票类型。</w:t>
      </w:r>
    </w:p>
    <w:p>
      <w:pPr>
        <w:numPr>
          <w:ilvl w:val="0"/>
          <w:numId w:val="75"/>
        </w:numPr>
        <w:adjustRightInd w:val="0"/>
        <w:snapToGrid w:val="0"/>
        <w:rPr>
          <w:rFonts w:ascii="宋体" w:hAnsi="宋体" w:cs="宋体"/>
          <w:bCs/>
          <w:color w:val="auto"/>
          <w:sz w:val="24"/>
          <w:highlight w:val="none"/>
        </w:rPr>
      </w:pPr>
      <w:r>
        <w:rPr>
          <w:rFonts w:ascii="宋体" w:hAnsi="宋体" w:cs="宋体" w:hint="eastAsia"/>
          <w:bCs/>
          <w:color w:val="000000"/>
          <w:sz w:val="24"/>
        </w:rPr>
        <w:t>投标人中标后，我司将按该投标人所递交的投标文件中《采购代理服务费承诺书》确</w:t>
      </w:r>
      <w:r>
        <w:rPr>
          <w:rFonts w:ascii="宋体" w:hAnsi="宋体" w:cs="宋体" w:hint="eastAsia"/>
          <w:bCs/>
          <w:color w:val="auto"/>
          <w:sz w:val="24"/>
          <w:highlight w:val="none"/>
        </w:rPr>
        <w:t>认的发票类型作为开具发票类型的依据；若投标人投标时未确认，则视为开具增值税普通发票。</w:t>
      </w:r>
    </w:p>
    <w:p>
      <w:pPr>
        <w:numPr>
          <w:ilvl w:val="0"/>
          <w:numId w:val="75"/>
        </w:numPr>
        <w:adjustRightInd w:val="0"/>
        <w:snapToGrid w:val="0"/>
        <w:rPr>
          <w:rFonts w:ascii="宋体" w:hAnsi="宋体" w:cs="宋体"/>
          <w:b/>
          <w:bCs/>
          <w:color w:val="auto"/>
          <w:sz w:val="24"/>
          <w:highlight w:val="none"/>
          <w:u w:val="double"/>
        </w:rPr>
      </w:pPr>
      <w:r>
        <w:rPr>
          <w:rFonts w:ascii="宋体" w:hAnsi="宋体" w:cs="宋体" w:hint="eastAsia"/>
          <w:bCs/>
          <w:color w:val="auto"/>
          <w:sz w:val="24"/>
          <w:highlight w:val="none"/>
        </w:rPr>
        <w:t>因投标人投标时确认的</w:t>
      </w:r>
      <w:r>
        <w:rPr>
          <w:rFonts w:ascii="宋体" w:hAnsi="宋体" w:cs="宋体" w:hint="eastAsia"/>
          <w:color w:val="auto"/>
          <w:sz w:val="24"/>
          <w:highlight w:val="none"/>
        </w:rPr>
        <w:t>发票类型有误或未确认，我司将不予更换发票类型</w:t>
      </w:r>
      <w:r>
        <w:rPr>
          <w:rFonts w:ascii="宋体" w:hAnsi="宋体" w:cs="宋体" w:hint="eastAsia"/>
          <w:bCs/>
          <w:color w:val="auto"/>
          <w:sz w:val="24"/>
          <w:highlight w:val="none"/>
        </w:rPr>
        <w:t>。</w:t>
      </w:r>
    </w:p>
    <w:p>
      <w:pPr>
        <w:numPr>
          <w:ilvl w:val="0"/>
          <w:numId w:val="75"/>
        </w:numPr>
        <w:adjustRightInd w:val="0"/>
        <w:snapToGrid w:val="0"/>
        <w:rPr>
          <w:rFonts w:ascii="宋体" w:hAnsi="宋体" w:cs="宋体"/>
          <w:b/>
          <w:bCs/>
          <w:color w:val="auto"/>
          <w:sz w:val="24"/>
          <w:highlight w:val="none"/>
          <w:u w:val="double"/>
        </w:rPr>
      </w:pPr>
      <w:r>
        <w:rPr>
          <w:rFonts w:ascii="宋体" w:hAnsi="宋体" w:cs="宋体" w:hint="eastAsia"/>
          <w:b/>
          <w:bCs/>
          <w:color w:val="auto"/>
          <w:sz w:val="24"/>
          <w:highlight w:val="none"/>
          <w:u w:val="double"/>
          <w:lang w:val="en-US" w:eastAsia="zh-CN"/>
        </w:rPr>
        <w:t>中标人在缴纳采购代理服务费后，我司将以邮寄或电子邮件方式将发票送达中标人，请填写以下邮寄发票的收件信息及邮箱。</w:t>
      </w:r>
    </w:p>
    <w:p>
      <w:pPr>
        <w:numPr>
          <w:ilvl w:val="0"/>
          <w:numId w:val="0"/>
        </w:numPr>
        <w:adjustRightInd w:val="0"/>
        <w:snapToGrid w:val="0"/>
        <w:spacing w:line="240" w:lineRule="auto"/>
        <w:ind w:firstLine="0" w:leftChars="0" w:firstLineChars="0"/>
        <w:rPr>
          <w:rFonts w:ascii="宋体" w:hAnsi="宋体" w:cs="宋体" w:hint="eastAsia"/>
          <w:b w:val="0"/>
          <w:bCs w:val="0"/>
          <w:color w:val="auto"/>
          <w:sz w:val="24"/>
          <w:highlight w:val="none"/>
          <w:u w:val="none"/>
          <w:lang w:val="en-US" w:eastAsia="zh-CN"/>
        </w:rPr>
      </w:pPr>
    </w:p>
    <w:p>
      <w:pPr>
        <w:numPr>
          <w:ilvl w:val="0"/>
          <w:numId w:val="0"/>
        </w:numPr>
        <w:adjustRightInd w:val="0"/>
        <w:snapToGrid w:val="0"/>
        <w:spacing w:line="240" w:lineRule="auto"/>
        <w:ind w:firstLine="420" w:leftChars="0" w:firstLineChars="200"/>
        <w:rPr>
          <w:rFonts w:ascii="宋体" w:hAnsi="宋体" w:cs="宋体" w:hint="eastAsia"/>
          <w:b w:val="0"/>
          <w:bCs w:val="0"/>
          <w:color w:val="auto"/>
          <w:sz w:val="24"/>
          <w:highlight w:val="none"/>
          <w:u w:val="none"/>
          <w:lang w:val="en-US" w:eastAsia="zh-CN"/>
        </w:rPr>
      </w:pPr>
      <w:r>
        <w:rPr>
          <w:rFonts w:ascii="宋体" w:hAnsi="宋体" w:cs="宋体" w:hint="eastAsia"/>
          <w:b w:val="0"/>
          <w:bCs w:val="0"/>
          <w:color w:val="auto"/>
          <w:sz w:val="24"/>
          <w:highlight w:val="none"/>
          <w:u w:val="none"/>
          <w:lang w:val="en-US" w:eastAsia="zh-CN"/>
        </w:rPr>
        <w:t>收件地址：</w:t>
      </w:r>
      <w:r>
        <w:rPr>
          <w:rFonts w:ascii="宋体" w:hAnsi="宋体" w:cs="宋体" w:hint="eastAsia"/>
          <w:color w:val="auto"/>
          <w:sz w:val="24"/>
          <w:highlight w:val="none"/>
          <w:u w:val="single"/>
        </w:rPr>
        <w:t xml:space="preserve">    </w:t>
      </w:r>
      <w:r>
        <w:rPr>
          <w:rFonts w:ascii="宋体" w:hAnsi="宋体" w:cs="宋体" w:hint="eastAsia"/>
          <w:color w:val="auto"/>
          <w:sz w:val="24"/>
          <w:highlight w:val="none"/>
          <w:u w:val="single"/>
          <w:lang w:val="en-US" w:eastAsia="zh-CN"/>
        </w:rPr>
        <w:t xml:space="preserve">                                 </w:t>
      </w:r>
      <w:r>
        <w:rPr>
          <w:rFonts w:ascii="宋体" w:hAnsi="宋体" w:cs="宋体" w:hint="eastAsia"/>
          <w:color w:val="auto"/>
          <w:sz w:val="24"/>
          <w:highlight w:val="none"/>
          <w:u w:val="single"/>
        </w:rPr>
        <w:t xml:space="preserve">  </w:t>
      </w:r>
    </w:p>
    <w:p>
      <w:pPr>
        <w:numPr>
          <w:ilvl w:val="0"/>
          <w:numId w:val="0"/>
        </w:numPr>
        <w:adjustRightInd w:val="0"/>
        <w:snapToGrid w:val="0"/>
        <w:spacing w:line="240" w:lineRule="auto"/>
        <w:ind w:firstLine="420" w:leftChars="0" w:firstLineChars="200"/>
        <w:rPr>
          <w:rFonts w:ascii="宋体" w:hAnsi="宋体" w:cs="宋体" w:hint="eastAsia"/>
          <w:b w:val="0"/>
          <w:bCs w:val="0"/>
          <w:color w:val="auto"/>
          <w:sz w:val="24"/>
          <w:highlight w:val="none"/>
          <w:u w:val="none"/>
          <w:lang w:val="en-US" w:eastAsia="zh-CN"/>
        </w:rPr>
      </w:pPr>
      <w:r>
        <w:rPr>
          <w:rFonts w:ascii="宋体" w:hAnsi="宋体" w:cs="宋体" w:hint="eastAsia"/>
          <w:b w:val="0"/>
          <w:bCs w:val="0"/>
          <w:color w:val="auto"/>
          <w:sz w:val="24"/>
          <w:highlight w:val="none"/>
          <w:u w:val="none"/>
          <w:lang w:val="en-US" w:eastAsia="zh-CN"/>
        </w:rPr>
        <w:t>联系人：</w:t>
      </w:r>
      <w:r>
        <w:rPr>
          <w:rFonts w:ascii="宋体" w:hAnsi="宋体" w:cs="宋体" w:hint="eastAsia"/>
          <w:color w:val="auto"/>
          <w:sz w:val="24"/>
          <w:highlight w:val="none"/>
          <w:u w:val="single"/>
        </w:rPr>
        <w:t xml:space="preserve">   </w:t>
      </w:r>
      <w:r>
        <w:rPr>
          <w:rFonts w:ascii="宋体" w:hAnsi="宋体" w:cs="宋体" w:hint="eastAsia"/>
          <w:color w:val="auto"/>
          <w:sz w:val="24"/>
          <w:highlight w:val="none"/>
          <w:u w:val="single"/>
          <w:lang w:val="en-US" w:eastAsia="zh-CN"/>
        </w:rPr>
        <w:t xml:space="preserve">                                   </w:t>
      </w:r>
      <w:r>
        <w:rPr>
          <w:rFonts w:ascii="宋体" w:hAnsi="宋体" w:cs="宋体" w:hint="eastAsia"/>
          <w:color w:val="auto"/>
          <w:sz w:val="24"/>
          <w:highlight w:val="none"/>
          <w:u w:val="single"/>
        </w:rPr>
        <w:t xml:space="preserve">   </w:t>
      </w:r>
    </w:p>
    <w:p>
      <w:pPr>
        <w:numPr>
          <w:ilvl w:val="0"/>
          <w:numId w:val="0"/>
        </w:numPr>
        <w:adjustRightInd w:val="0"/>
        <w:snapToGrid w:val="0"/>
        <w:spacing w:line="240" w:lineRule="auto"/>
        <w:ind w:firstLine="420" w:leftChars="0" w:firstLineChars="200"/>
        <w:rPr>
          <w:rFonts w:ascii="宋体" w:hAnsi="宋体" w:cs="宋体" w:hint="eastAsia"/>
          <w:b w:val="0"/>
          <w:bCs w:val="0"/>
          <w:color w:val="auto"/>
          <w:sz w:val="24"/>
          <w:highlight w:val="none"/>
          <w:u w:val="none"/>
          <w:lang w:val="en-US" w:eastAsia="zh-CN"/>
        </w:rPr>
      </w:pPr>
      <w:r>
        <w:rPr>
          <w:rFonts w:ascii="宋体" w:hAnsi="宋体" w:cs="宋体" w:hint="eastAsia"/>
          <w:b w:val="0"/>
          <w:bCs w:val="0"/>
          <w:color w:val="auto"/>
          <w:sz w:val="24"/>
          <w:highlight w:val="none"/>
          <w:u w:val="none"/>
          <w:lang w:val="en-US" w:eastAsia="zh-CN"/>
        </w:rPr>
        <w:t>联系电话：</w:t>
      </w:r>
      <w:r>
        <w:rPr>
          <w:rFonts w:ascii="宋体" w:hAnsi="宋体" w:cs="宋体" w:hint="eastAsia"/>
          <w:color w:val="auto"/>
          <w:sz w:val="24"/>
          <w:highlight w:val="none"/>
          <w:u w:val="single"/>
        </w:rPr>
        <w:t xml:space="preserve">   </w:t>
      </w:r>
      <w:r>
        <w:rPr>
          <w:rFonts w:ascii="宋体" w:hAnsi="宋体" w:cs="宋体" w:hint="eastAsia"/>
          <w:color w:val="auto"/>
          <w:sz w:val="24"/>
          <w:highlight w:val="none"/>
          <w:u w:val="single"/>
          <w:lang w:val="en-US" w:eastAsia="zh-CN"/>
        </w:rPr>
        <w:t xml:space="preserve">                                 </w:t>
      </w:r>
      <w:r>
        <w:rPr>
          <w:rFonts w:ascii="宋体" w:hAnsi="宋体" w:cs="宋体" w:hint="eastAsia"/>
          <w:color w:val="auto"/>
          <w:sz w:val="24"/>
          <w:highlight w:val="none"/>
          <w:u w:val="single"/>
        </w:rPr>
        <w:t xml:space="preserve">   </w:t>
      </w:r>
    </w:p>
    <w:p>
      <w:pPr>
        <w:numPr>
          <w:ilvl w:val="0"/>
          <w:numId w:val="0"/>
        </w:numPr>
        <w:adjustRightInd w:val="0"/>
        <w:snapToGrid w:val="0"/>
        <w:ind w:firstLine="420" w:leftChars="0" w:firstLineChars="200"/>
        <w:rPr>
          <w:rFonts w:ascii="宋体" w:hAnsi="宋体" w:cs="宋体"/>
          <w:color w:val="auto"/>
          <w:sz w:val="24"/>
          <w:highlight w:val="none"/>
        </w:rPr>
      </w:pPr>
      <w:r>
        <w:rPr>
          <w:rFonts w:ascii="宋体" w:hAnsi="宋体" w:cs="宋体" w:hint="eastAsia"/>
          <w:b w:val="0"/>
          <w:bCs w:val="0"/>
          <w:color w:val="auto"/>
          <w:sz w:val="24"/>
          <w:highlight w:val="none"/>
          <w:u w:val="none"/>
          <w:lang w:val="en-US" w:eastAsia="zh-CN"/>
        </w:rPr>
        <w:t>邮箱：</w:t>
      </w:r>
      <w:r>
        <w:rPr>
          <w:rFonts w:ascii="宋体" w:hAnsi="宋体" w:cs="宋体" w:hint="eastAsia"/>
          <w:color w:val="auto"/>
          <w:sz w:val="24"/>
          <w:highlight w:val="none"/>
          <w:u w:val="single"/>
        </w:rPr>
        <w:t xml:space="preserve">  </w:t>
      </w:r>
      <w:r>
        <w:rPr>
          <w:rFonts w:ascii="宋体" w:hAnsi="宋体" w:cs="宋体" w:hint="eastAsia"/>
          <w:color w:val="auto"/>
          <w:sz w:val="24"/>
          <w:highlight w:val="none"/>
          <w:u w:val="single"/>
          <w:lang w:val="en-US" w:eastAsia="zh-CN"/>
        </w:rPr>
        <w:t xml:space="preserve">                                     </w:t>
      </w:r>
      <w:r>
        <w:rPr>
          <w:rFonts w:ascii="宋体" w:hAnsi="宋体" w:cs="宋体" w:hint="eastAsia"/>
          <w:color w:val="auto"/>
          <w:sz w:val="24"/>
          <w:highlight w:val="none"/>
          <w:u w:val="single"/>
        </w:rPr>
        <w:t xml:space="preserve">    </w:t>
      </w:r>
    </w:p>
    <w:p>
      <w:pPr>
        <w:rPr>
          <w:rFonts w:ascii="宋体" w:hAnsi="宋体" w:cs="宋体"/>
          <w:sz w:val="24"/>
        </w:rPr>
      </w:pPr>
    </w:p>
    <w:p>
      <w:pPr>
        <w:widowControl/>
        <w:jc w:val="left"/>
        <w:rPr>
          <w:rFonts w:ascii="宋体" w:hAnsi="宋体" w:cs="宋体"/>
          <w:bCs/>
          <w:sz w:val="24"/>
        </w:rPr>
      </w:pPr>
      <w:bookmarkStart w:id="239" w:name="_Toc435515318"/>
      <w:bookmarkStart w:id="240" w:name="_Toc435514878"/>
      <w:bookmarkStart w:id="241" w:name="_Toc275865626"/>
      <w:bookmarkStart w:id="242" w:name="_Toc173553195"/>
      <w:r>
        <w:rPr>
          <w:rFonts w:ascii="宋体" w:hAnsi="宋体" w:cs="宋体" w:hint="eastAsia"/>
          <w:b/>
          <w:sz w:val="24"/>
        </w:rPr>
        <w:br w:type="page"/>
      </w:r>
    </w:p>
    <w:p>
      <w:pPr>
        <w:pStyle w:val="Heading2"/>
        <w:numPr>
          <w:ilvl w:val="0"/>
          <w:numId w:val="65"/>
        </w:numPr>
        <w:spacing w:line="240" w:lineRule="auto"/>
        <w:jc w:val="center"/>
        <w:rPr>
          <w:b w:val="0"/>
          <w:color w:val="auto"/>
        </w:rPr>
      </w:pPr>
      <w:bookmarkEnd w:id="228"/>
      <w:bookmarkEnd w:id="229"/>
      <w:bookmarkEnd w:id="239"/>
      <w:bookmarkEnd w:id="240"/>
      <w:bookmarkEnd w:id="241"/>
      <w:bookmarkEnd w:id="242"/>
      <w:bookmarkStart w:id="243" w:name="_Toc3602"/>
      <w:bookmarkStart w:id="244" w:name="_Toc256000045"/>
      <w:r>
        <w:rPr>
          <w:rFonts w:hint="eastAsia"/>
          <w:b w:val="0"/>
          <w:color w:val="auto"/>
        </w:rPr>
        <w:t>技术保障措施</w:t>
      </w:r>
      <w:bookmarkEnd w:id="244"/>
      <w:bookmarkEnd w:id="243"/>
    </w:p>
    <w:p>
      <w:pPr>
        <w:pStyle w:val="ListParagraph"/>
        <w:ind w:left="420" w:firstLine="1564" w:leftChars="200" w:firstLineChars="745"/>
        <w:rPr>
          <w:color w:val="auto"/>
          <w:sz w:val="36"/>
          <w:szCs w:val="36"/>
        </w:rPr>
      </w:pPr>
      <w:r>
        <w:rPr>
          <w:rFonts w:ascii="宋体" w:hAnsi="宋体" w:hint="eastAsia"/>
          <w:b/>
          <w:color w:val="auto"/>
          <w:sz w:val="36"/>
          <w:szCs w:val="36"/>
        </w:rPr>
        <w:t>（非信息公开部分）</w:t>
      </w:r>
    </w:p>
    <w:p/>
    <w:p>
      <w:pPr>
        <w:widowControl/>
        <w:jc w:val="left"/>
        <w:rPr>
          <w:rFonts w:ascii="Arial" w:eastAsia="黑体" w:hAnsi="Arial"/>
          <w:bCs/>
          <w:sz w:val="32"/>
          <w:szCs w:val="32"/>
        </w:rPr>
      </w:pPr>
      <w:r>
        <w:rPr>
          <w:b/>
        </w:rPr>
        <w:br w:type="page"/>
      </w:r>
    </w:p>
    <w:p>
      <w:pPr>
        <w:pStyle w:val="Heading2"/>
        <w:numPr>
          <w:ilvl w:val="0"/>
          <w:numId w:val="65"/>
        </w:numPr>
        <w:spacing w:line="240" w:lineRule="auto"/>
        <w:jc w:val="center"/>
        <w:rPr>
          <w:b w:val="0"/>
          <w:color w:val="auto"/>
        </w:rPr>
      </w:pPr>
      <w:bookmarkStart w:id="245" w:name="_Toc30664885"/>
      <w:bookmarkStart w:id="246" w:name="_Toc1962"/>
      <w:bookmarkStart w:id="247" w:name="_Toc27499"/>
      <w:bookmarkStart w:id="248" w:name="_Toc256000046"/>
      <w:r>
        <w:rPr>
          <w:rFonts w:hint="eastAsia"/>
          <w:b w:val="0"/>
          <w:color w:val="auto"/>
        </w:rPr>
        <w:t>售后服务方案</w:t>
      </w:r>
      <w:bookmarkEnd w:id="248"/>
      <w:bookmarkEnd w:id="245"/>
      <w:bookmarkEnd w:id="246"/>
      <w:bookmarkEnd w:id="247"/>
    </w:p>
    <w:p>
      <w:pPr>
        <w:pStyle w:val="ListParagraph"/>
        <w:ind w:left="420" w:firstLine="1564" w:leftChars="200" w:firstLineChars="745"/>
        <w:rPr>
          <w:rFonts w:ascii="宋体" w:hAnsi="宋体"/>
          <w:b/>
          <w:color w:val="auto"/>
          <w:sz w:val="36"/>
          <w:szCs w:val="36"/>
        </w:rPr>
      </w:pPr>
      <w:r>
        <w:rPr>
          <w:rFonts w:ascii="宋体" w:hAnsi="宋体" w:hint="eastAsia"/>
          <w:b/>
          <w:color w:val="auto"/>
          <w:sz w:val="36"/>
          <w:szCs w:val="36"/>
        </w:rPr>
        <w:t>（非信息公开部分）</w:t>
      </w:r>
    </w:p>
    <w:p>
      <w:pPr>
        <w:pStyle w:val="ListParagraph"/>
        <w:ind w:left="420" w:firstLine="1564" w:leftChars="200" w:firstLineChars="745"/>
        <w:rPr>
          <w:rFonts w:ascii="宋体" w:hAnsi="宋体"/>
          <w:b/>
          <w:sz w:val="36"/>
          <w:szCs w:val="36"/>
        </w:rPr>
      </w:pPr>
    </w:p>
    <w:p>
      <w:pPr>
        <w:widowControl/>
        <w:jc w:val="left"/>
        <w:rPr>
          <w:rFonts w:ascii="宋体" w:hAnsi="宋体"/>
          <w:b/>
          <w:sz w:val="36"/>
          <w:szCs w:val="36"/>
        </w:rPr>
      </w:pPr>
    </w:p>
    <w:sectPr>
      <w:headerReference w:type="default" r:id="rId17"/>
      <w:pgSz w:w="11906" w:h="16838"/>
      <w:pgMar w:top="1440" w:right="1286" w:bottom="1440" w:left="144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SourceHanSansCN-Regular">
    <w:altName w:val="Arial"/>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2</w:t>
    </w:r>
    <w: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rFonts w:hint="eastAsia"/>
      </w:rPr>
      <w:t xml:space="preserve">http://www.chinapsp.cn/                              </w:t>
    </w:r>
    <w:r>
      <w:fldChar w:fldCharType="begin"/>
    </w:r>
    <w:r>
      <w:rPr>
        <w:rStyle w:val="PageNumber"/>
      </w:rPr>
      <w:instrText xml:space="preserve"> PAGE </w:instrText>
    </w:r>
    <w:r>
      <w:fldChar w:fldCharType="separate"/>
    </w:r>
    <w:r>
      <w:rPr>
        <w:rStyle w:val="PageNumber"/>
      </w:rPr>
      <w:t>2</w:t>
    </w:r>
    <w:r>
      <w:fldChar w:fldCharType="end"/>
    </w:r>
    <w:r>
      <w:rPr>
        <w:rFonts w:hint="eastAsia"/>
      </w:rPr>
      <w:t>采联国际招标采购集团有限公司</w:t>
    </w:r>
  </w:p>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rFonts w:hint="eastAsia"/>
      </w:rPr>
      <w:t>http://www.chinapsp.cn/                   第</w:t>
    </w:r>
    <w:r>
      <w:fldChar w:fldCharType="begin"/>
    </w:r>
    <w:r>
      <w:rPr>
        <w:rStyle w:val="PageNumber"/>
      </w:rPr>
      <w:instrText xml:space="preserve"> PAGE </w:instrText>
    </w:r>
    <w:r>
      <w:fldChar w:fldCharType="separate"/>
    </w:r>
    <w:r>
      <w:rPr>
        <w:rStyle w:val="PageNumber"/>
      </w:rPr>
      <w:t>76</w:t>
    </w:r>
    <w:r>
      <w:fldChar w:fldCharType="end"/>
    </w:r>
    <w:r>
      <w:rPr>
        <w:rStyle w:val="PageNumber"/>
        <w:rFonts w:hint="eastAsia"/>
      </w:rPr>
      <w:t>页，共</w:t>
    </w:r>
    <w:r>
      <w:fldChar w:fldCharType="begin"/>
    </w:r>
    <w:r>
      <w:rPr>
        <w:rStyle w:val="PageNumber"/>
      </w:rPr>
      <w:instrText xml:space="preserve"> NUMPAGES </w:instrText>
    </w:r>
    <w:r>
      <w:fldChar w:fldCharType="separate"/>
    </w:r>
    <w:r>
      <w:rPr>
        <w:rStyle w:val="PageNumber"/>
      </w:rPr>
      <w:t>76</w:t>
    </w:r>
    <w:r>
      <w:fldChar w:fldCharType="end"/>
    </w:r>
    <w:r>
      <w:rPr>
        <w:rStyle w:val="PageNumber"/>
        <w:rFonts w:hint="eastAsia"/>
      </w:rPr>
      <w:t xml:space="preserve">页               </w:t>
    </w:r>
    <w:r>
      <w:rPr>
        <w:rFonts w:hint="eastAsia"/>
      </w:rPr>
      <w:t>采联国际招标采购集团有限公司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jc w:val="both"/>
      <w:rPr>
        <w:rFonts w:ascii="楷体_GB2312" w:eastAsia="楷体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pPr>
    <w:r>
      <w:rPr>
        <w:rFonts w:ascii="黑体" w:eastAsia="黑体"/>
        <w:sz w:val="24"/>
      </w:rPr>
      <w:drawing>
        <wp:inline distT="0" distB="0" distL="0" distR="0">
          <wp:extent cx="664845" cy="249555"/>
          <wp:effectExtent l="0" t="0" r="1905" b="17145"/>
          <wp:docPr id="10" name="图片 10"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64845" cy="249555"/>
                  </a:xfrm>
                  <a:prstGeom prst="rect">
                    <a:avLst/>
                  </a:prstGeom>
                  <a:noFill/>
                  <a:ln>
                    <a:noFill/>
                  </a:ln>
                </pic:spPr>
              </pic:pic>
            </a:graphicData>
          </a:graphic>
        </wp:inline>
      </w:drawing>
    </w:r>
    <w:r>
      <w:rPr>
        <w:rFonts w:ascii="宋体" w:hAnsi="宋体" w:hint="eastAsia"/>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rPr>
        <w:rFonts w:ascii="宋体" w:eastAsia="宋体" w:hAnsi="宋体" w:hint="eastAsia"/>
        <w:color w:val="000000" w:themeColor="text1"/>
        <w:lang w:eastAsia="zh-CN"/>
        <w14:textFill>
          <w14:solidFill>
            <w14:schemeClr w14:val="tx1"/>
          </w14:solidFill>
        </w14:textFill>
      </w:rPr>
    </w:pPr>
    <w:r>
      <w:rPr>
        <w:rFonts w:ascii="宋体" w:hAnsi="宋体" w:hint="eastAsia"/>
      </w:rPr>
      <w:t xml:space="preserve"> </w:t>
    </w:r>
    <w:r>
      <w:drawing>
        <wp:inline distT="0" distB="0" distL="0" distR="0">
          <wp:extent cx="563245" cy="219075"/>
          <wp:effectExtent l="0" t="0" r="8255" b="9525"/>
          <wp:docPr id="5" name="图片 5" descr="C:\Users\Administrator\Desktop\采联集团新LOGO-JPG.jpg采联集团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采联集团新LOGO-JPG.jpg采联集团新LOGO-JPG"/>
                  <pic:cNvPicPr>
                    <a:picLocks noChangeAspect="1"/>
                  </pic:cNvPicPr>
                </pic:nvPicPr>
                <pic:blipFill>
                  <a:blip xmlns:r="http://schemas.openxmlformats.org/officeDocument/2006/relationships" r:embed="rId1"/>
                  <a:stretch>
                    <a:fillRect/>
                  </a:stretch>
                </pic:blipFill>
                <pic:spPr>
                  <a:xfrm>
                    <a:off x="0" y="0"/>
                    <a:ext cx="563245" cy="230502"/>
                  </a:xfrm>
                  <a:prstGeom prst="rect">
                    <a:avLst/>
                  </a:prstGeom>
                </pic:spPr>
              </pic:pic>
            </a:graphicData>
          </a:graphic>
        </wp:inline>
      </w:drawing>
    </w:r>
    <w:r>
      <w:rPr>
        <w:rFonts w:ascii="宋体" w:hAnsi="宋体" w:hint="eastAsia"/>
      </w:rPr>
      <w:t xml:space="preserve">让︱您︱的︱选︱择︱更︱专︱业︱               </w:t>
    </w:r>
    <w:r>
      <w:rPr>
        <w:rFonts w:ascii="宋体" w:hAnsi="宋体"/>
      </w:rPr>
      <w:t xml:space="preserve">  </w:t>
    </w:r>
    <w:r>
      <w:rPr>
        <w:rFonts w:ascii="宋体" w:hAnsi="宋体" w:hint="eastAsia"/>
      </w:rPr>
      <w:t xml:space="preserve"> </w:t>
    </w:r>
    <w:r>
      <w:rPr>
        <w:rFonts w:ascii="宋体" w:hint="eastAsia"/>
        <w:bCs/>
        <w:color w:val="000000" w:themeColor="text1"/>
        <w:szCs w:val="20"/>
        <w14:textFill>
          <w14:solidFill>
            <w14:schemeClr w14:val="tx1"/>
          </w14:solidFill>
        </w14:textFill>
      </w:rPr>
      <w:t>项目编号：</w:t>
    </w:r>
    <w:r>
      <w:rPr>
        <w:rFonts w:ascii="宋体" w:hAnsi="宋体" w:hint="eastAsia"/>
        <w:color w:val="000000" w:themeColor="text1"/>
        <w:lang w:eastAsia="zh-CN"/>
        <w14:textFill>
          <w14:solidFill>
            <w14:schemeClr w14:val="tx1"/>
          </w14:solidFill>
        </w14:textFill>
      </w:rPr>
      <w:t>SZDL2023001961（CLF0123SZ17ZC27）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rPr>
        <w:rFonts w:ascii="宋体" w:eastAsia="宋体" w:hAnsi="宋体" w:hint="eastAsia"/>
        <w:lang w:eastAsia="zh-CN"/>
      </w:rPr>
    </w:pPr>
    <w:r>
      <w:rPr>
        <w:rFonts w:eastAsia="Times New Roman"/>
        <w:snapToGrid w:val="0"/>
        <w:color w:val="000000"/>
        <w:w w:val="0"/>
        <w:kern w:val="0"/>
        <w:sz w:val="0"/>
        <w:szCs w:val="0"/>
        <w:u w:color="000000"/>
        <w:shd w:val="clear" w:color="000000" w:fill="000000"/>
      </w:rPr>
      <w:t xml:space="preserve"> </w:t>
    </w:r>
    <w:r>
      <w:drawing>
        <wp:inline distT="0" distB="0" distL="0" distR="0">
          <wp:extent cx="565785" cy="219075"/>
          <wp:effectExtent l="0" t="0" r="5715" b="9525"/>
          <wp:docPr id="1" name="图片 1" descr="C:\Users\admin\Desktop\1684891765008.jpg168489176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1684891765008.jpg1684891765008"/>
                  <pic:cNvPicPr>
                    <a:picLocks noChangeAspect="1"/>
                  </pic:cNvPicPr>
                </pic:nvPicPr>
                <pic:blipFill>
                  <a:blip xmlns:r="http://schemas.openxmlformats.org/officeDocument/2006/relationships" r:embed="rId1"/>
                  <a:stretch>
                    <a:fillRect/>
                  </a:stretch>
                </pic:blipFill>
                <pic:spPr>
                  <a:xfrm>
                    <a:off x="0" y="0"/>
                    <a:ext cx="565785" cy="230502"/>
                  </a:xfrm>
                  <a:prstGeom prst="rect">
                    <a:avLst/>
                  </a:prstGeom>
                </pic:spPr>
              </pic:pic>
            </a:graphicData>
          </a:graphic>
        </wp:inline>
      </w:drawing>
    </w:r>
    <w:r>
      <w:rPr>
        <w:rFonts w:ascii="宋体" w:hAnsi="宋体" w:hint="eastAsia"/>
      </w:rPr>
      <w:t xml:space="preserve"> ︱让︱您︱的︱选︱择︱更︱专︱业︱       </w:t>
    </w:r>
    <w:r>
      <w:rPr>
        <w:rFonts w:ascii="宋体" w:hint="eastAsia"/>
        <w:bCs/>
        <w:szCs w:val="20"/>
      </w:rPr>
      <w:t>项目编号：</w:t>
    </w:r>
    <w:r>
      <w:rPr>
        <w:rFonts w:ascii="宋体" w:hAnsi="宋体" w:hint="eastAsia"/>
        <w:lang w:eastAsia="zh-CN"/>
      </w:rPr>
      <w:t>SZDL2023001961（CLF0123SZ17ZC27）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11D2101"/>
    <w:multiLevelType w:val="multilevel"/>
    <w:tmpl w:val="A11D2101"/>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A7F64A8B"/>
    <w:multiLevelType w:val="multilevel"/>
    <w:tmpl w:val="A7F64A8B"/>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A9486B93"/>
    <w:multiLevelType w:val="multilevel"/>
    <w:tmpl w:val="A9486B9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BD677201"/>
    <w:multiLevelType w:val="multilevel"/>
    <w:tmpl w:val="BD677201"/>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4">
    <w:nsid w:val="C06398AC"/>
    <w:multiLevelType w:val="multilevel"/>
    <w:tmpl w:val="C06398AC"/>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DFFAC77E"/>
    <w:multiLevelType w:val="multilevel"/>
    <w:tmpl w:val="DFFAC77E"/>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6">
    <w:nsid w:val="F3FFA56C"/>
    <w:multiLevelType w:val="multilevel"/>
    <w:tmpl w:val="F3FFA56C"/>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7">
    <w:nsid w:val="00000012"/>
    <w:multiLevelType w:val="multilevel"/>
    <w:tmpl w:val="00000012"/>
    <w:lvl w:ilvl="0">
      <w:start w:val="1"/>
      <w:numFmt w:val="japaneseCounting"/>
      <w:lvlText w:val="%1、"/>
      <w:lvlJc w:val="left"/>
      <w:pPr>
        <w:ind w:left="360" w:hanging="360"/>
      </w:pPr>
      <w:rPr>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2AC332E"/>
    <w:multiLevelType w:val="singleLevel"/>
    <w:tmpl w:val="02AC332E"/>
    <w:lvl w:ilvl="0">
      <w:start w:val="1"/>
      <w:numFmt w:val="decimal"/>
      <w:lvlText w:val="%1."/>
      <w:lvlJc w:val="left"/>
      <w:pPr>
        <w:tabs>
          <w:tab w:val="left" w:pos="312"/>
        </w:tabs>
      </w:pPr>
    </w:lvl>
  </w:abstractNum>
  <w:abstractNum w:abstractNumId="9">
    <w:nsid w:val="04304859"/>
    <w:multiLevelType w:val="multilevel"/>
    <w:tmpl w:val="04304859"/>
    <w:lvl w:ilvl="0">
      <w:start w:val="1"/>
      <w:numFmt w:val="decimal"/>
      <w:lvlText w:val="%1."/>
      <w:lvlJc w:val="left"/>
      <w:pPr>
        <w:ind w:left="840" w:hanging="420"/>
      </w:pPr>
      <w:rPr>
        <w:rFonts w:hint="eastAsia"/>
        <w:b/>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5552B1E"/>
    <w:multiLevelType w:val="multilevel"/>
    <w:tmpl w:val="05552B1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67FF533"/>
    <w:multiLevelType w:val="multilevel"/>
    <w:tmpl w:val="067FF53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8834148"/>
    <w:multiLevelType w:val="multilevel"/>
    <w:tmpl w:val="08834148"/>
    <w:lvl w:ilvl="0">
      <w:start w:val="1"/>
      <w:numFmt w:val="chineseCountingThousand"/>
      <w:lvlText w:val="(%1)"/>
      <w:lvlJc w:val="left"/>
      <w:pPr>
        <w:tabs>
          <w:tab w:val="left" w:pos="425"/>
        </w:tabs>
        <w:ind w:left="425" w:hanging="425"/>
      </w:pPr>
      <w:rPr>
        <w:rFonts w:ascii="宋体" w:eastAsia="宋体" w:hAnsi="宋体"/>
        <w:color w:val="auto"/>
        <w:sz w:val="24"/>
        <w:szCs w:val="24"/>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nsid w:val="093D2182"/>
    <w:multiLevelType w:val="multilevel"/>
    <w:tmpl w:val="093D2182"/>
    <w:lvl w:ilvl="0">
      <w:start w:val="1"/>
      <w:numFmt w:val="decimal"/>
      <w:lvlText w:val="%1."/>
      <w:lvlJc w:val="left"/>
      <w:pPr>
        <w:ind w:left="840" w:hanging="420"/>
      </w:pPr>
      <w:rPr>
        <w:rFonts w:hint="eastAsia"/>
        <w:strike w:val="0"/>
        <w:color w:val="000000" w:themeColor="text1"/>
        <w14:textFill>
          <w14:solidFill>
            <w14:schemeClr w14:val="tx1"/>
          </w14:solidFill>
        </w14:textFill>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B480039"/>
    <w:multiLevelType w:val="multilevel"/>
    <w:tmpl w:val="0B480039"/>
    <w:lvl w:ilvl="0">
      <w:start w:val="1"/>
      <w:numFmt w:val="decimal"/>
      <w:lvlText w:val="%1."/>
      <w:lvlJc w:val="left"/>
      <w:pPr>
        <w:ind w:left="1963" w:hanging="420"/>
      </w:pPr>
    </w:lvl>
    <w:lvl w:ilvl="1">
      <w:start w:val="1"/>
      <w:numFmt w:val="lowerLetter"/>
      <w:lvlText w:val="%2)"/>
      <w:lvlJc w:val="left"/>
      <w:pPr>
        <w:ind w:left="2383" w:hanging="420"/>
      </w:pPr>
    </w:lvl>
    <w:lvl w:ilvl="2">
      <w:start w:val="1"/>
      <w:numFmt w:val="lowerRoman"/>
      <w:lvlText w:val="%3."/>
      <w:lvlJc w:val="right"/>
      <w:pPr>
        <w:ind w:left="2803" w:hanging="420"/>
      </w:pPr>
    </w:lvl>
    <w:lvl w:ilvl="3">
      <w:start w:val="1"/>
      <w:numFmt w:val="decimal"/>
      <w:lvlText w:val="%4."/>
      <w:lvlJc w:val="left"/>
      <w:pPr>
        <w:ind w:left="3223" w:hanging="420"/>
      </w:pPr>
    </w:lvl>
    <w:lvl w:ilvl="4">
      <w:start w:val="1"/>
      <w:numFmt w:val="lowerLetter"/>
      <w:lvlText w:val="%5)"/>
      <w:lvlJc w:val="left"/>
      <w:pPr>
        <w:ind w:left="3643" w:hanging="420"/>
      </w:pPr>
    </w:lvl>
    <w:lvl w:ilvl="5">
      <w:start w:val="1"/>
      <w:numFmt w:val="lowerRoman"/>
      <w:lvlText w:val="%6."/>
      <w:lvlJc w:val="right"/>
      <w:pPr>
        <w:ind w:left="4063" w:hanging="420"/>
      </w:pPr>
    </w:lvl>
    <w:lvl w:ilvl="6">
      <w:start w:val="1"/>
      <w:numFmt w:val="decimal"/>
      <w:lvlText w:val="%7."/>
      <w:lvlJc w:val="left"/>
      <w:pPr>
        <w:ind w:left="4483" w:hanging="420"/>
      </w:pPr>
    </w:lvl>
    <w:lvl w:ilvl="7">
      <w:start w:val="1"/>
      <w:numFmt w:val="lowerLetter"/>
      <w:lvlText w:val="%8)"/>
      <w:lvlJc w:val="left"/>
      <w:pPr>
        <w:ind w:left="4903" w:hanging="420"/>
      </w:pPr>
    </w:lvl>
    <w:lvl w:ilvl="8">
      <w:start w:val="1"/>
      <w:numFmt w:val="lowerRoman"/>
      <w:lvlText w:val="%9."/>
      <w:lvlJc w:val="right"/>
      <w:pPr>
        <w:ind w:left="5323" w:hanging="420"/>
      </w:pPr>
    </w:lvl>
  </w:abstractNum>
  <w:abstractNum w:abstractNumId="15">
    <w:nsid w:val="0C8E6839"/>
    <w:multiLevelType w:val="multilevel"/>
    <w:tmpl w:val="0C8E6839"/>
    <w:lvl w:ilvl="0">
      <w:start w:val="1"/>
      <w:numFmt w:val="chineseCountingThousand"/>
      <w:lvlText w:val="(%1)"/>
      <w:lvlJc w:val="left"/>
      <w:pPr>
        <w:ind w:left="360" w:hanging="360"/>
      </w:pPr>
      <w:rPr>
        <w:rFonts w:hint="eastAsia"/>
        <w:i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3C34E09"/>
    <w:multiLevelType w:val="multilevel"/>
    <w:tmpl w:val="13C34E09"/>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45108C7"/>
    <w:multiLevelType w:val="multilevel"/>
    <w:tmpl w:val="145108C7"/>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nsid w:val="157855AD"/>
    <w:multiLevelType w:val="multilevel"/>
    <w:tmpl w:val="157855AD"/>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nsid w:val="162DB1C2"/>
    <w:multiLevelType w:val="singleLevel"/>
    <w:tmpl w:val="162DB1C2"/>
    <w:lvl w:ilvl="0">
      <w:start w:val="1"/>
      <w:numFmt w:val="decimal"/>
      <w:lvlText w:val="%1."/>
      <w:lvlJc w:val="left"/>
      <w:pPr>
        <w:tabs>
          <w:tab w:val="left" w:pos="312"/>
        </w:tabs>
      </w:pPr>
    </w:lvl>
  </w:abstractNum>
  <w:abstractNum w:abstractNumId="20">
    <w:nsid w:val="183C604A"/>
    <w:multiLevelType w:val="singleLevel"/>
    <w:tmpl w:val="183C604A"/>
    <w:lvl w:ilvl="0">
      <w:start w:val="1"/>
      <w:numFmt w:val="japaneseCounting"/>
      <w:lvlText w:val="%1、"/>
      <w:lvlJc w:val="left"/>
      <w:pPr>
        <w:tabs>
          <w:tab w:val="left" w:pos="960"/>
        </w:tabs>
        <w:ind w:left="960" w:hanging="480"/>
      </w:pPr>
      <w:rPr>
        <w:rFonts w:hint="eastAsia"/>
        <w:color w:val="auto"/>
      </w:rPr>
    </w:lvl>
  </w:abstractNum>
  <w:abstractNum w:abstractNumId="21">
    <w:nsid w:val="18925ABF"/>
    <w:multiLevelType w:val="multilevel"/>
    <w:tmpl w:val="18925ABF"/>
    <w:lvl w:ilvl="0">
      <w:start w:val="1"/>
      <w:numFmt w:val="chineseCountingThousand"/>
      <w:lvlText w:val="(%1)"/>
      <w:lvlJc w:val="left"/>
      <w:pPr>
        <w:tabs>
          <w:tab w:val="left" w:pos="420"/>
        </w:tabs>
        <w:ind w:left="420" w:hanging="420"/>
      </w:pPr>
      <w:rPr>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198F3F03"/>
    <w:multiLevelType w:val="multilevel"/>
    <w:tmpl w:val="198F3F0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3">
    <w:nsid w:val="1AAD7E06"/>
    <w:multiLevelType w:val="singleLevel"/>
    <w:tmpl w:val="1AAD7E06"/>
    <w:lvl w:ilvl="0">
      <w:start w:val="1"/>
      <w:numFmt w:val="decimal"/>
      <w:suff w:val="nothing"/>
      <w:lvlText w:val="%1、"/>
      <w:lvlJc w:val="left"/>
    </w:lvl>
  </w:abstractNum>
  <w:abstractNum w:abstractNumId="24">
    <w:nsid w:val="1D1C7BA2"/>
    <w:multiLevelType w:val="multilevel"/>
    <w:tmpl w:val="1D1C7BA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D493111"/>
    <w:multiLevelType w:val="multilevel"/>
    <w:tmpl w:val="1D49311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DD22B5D"/>
    <w:multiLevelType w:val="multilevel"/>
    <w:tmpl w:val="1DD22B5D"/>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04A5EA8"/>
    <w:multiLevelType w:val="multilevel"/>
    <w:tmpl w:val="204A5EA8"/>
    <w:lvl w:ilvl="0">
      <w:start w:val="1"/>
      <w:numFmt w:val="decimal"/>
      <w:lvlText w:val="%1."/>
      <w:lvlJc w:val="left"/>
      <w:pPr>
        <w:ind w:left="840" w:hanging="420"/>
      </w:pPr>
      <w:rPr>
        <w:rFonts w:hint="eastAsia"/>
        <w:strike w:val="0"/>
        <w:color w:val="000000" w:themeColor="text1"/>
        <w14:textFill>
          <w14:solidFill>
            <w14:schemeClr w14:val="tx1"/>
          </w14:solidFill>
        </w14:textFill>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2303E2D"/>
    <w:multiLevelType w:val="multilevel"/>
    <w:tmpl w:val="22303E2D"/>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9">
    <w:nsid w:val="23F22C62"/>
    <w:multiLevelType w:val="multilevel"/>
    <w:tmpl w:val="23F22C62"/>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5AC778E"/>
    <w:multiLevelType w:val="multilevel"/>
    <w:tmpl w:val="25AC778E"/>
    <w:lvl w:ilvl="0">
      <w:start w:val="1"/>
      <w:numFmt w:val="japaneseCounting"/>
      <w:lvlText w:val="%1、"/>
      <w:lvlJc w:val="left"/>
      <w:pPr>
        <w:tabs>
          <w:tab w:val="left" w:pos="420"/>
        </w:tabs>
        <w:ind w:left="420" w:hanging="420"/>
      </w:pPr>
      <w:rPr>
        <w:rFonts w:ascii="宋体" w:eastAsia="宋体" w:hAnsi="宋体" w:cs="Courier New"/>
        <w:color w:val="auto"/>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27A7686C"/>
    <w:multiLevelType w:val="multilevel"/>
    <w:tmpl w:val="27A7686C"/>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7F473F5"/>
    <w:multiLevelType w:val="multilevel"/>
    <w:tmpl w:val="27F473F5"/>
    <w:lvl w:ilvl="0">
      <w:start w:val="1"/>
      <w:numFmt w:val="decimal"/>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286D0CD4"/>
    <w:multiLevelType w:val="multilevel"/>
    <w:tmpl w:val="286D0CD4"/>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895151C"/>
    <w:multiLevelType w:val="multilevel"/>
    <w:tmpl w:val="2895151C"/>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5">
    <w:nsid w:val="2A5E0B58"/>
    <w:multiLevelType w:val="multilevel"/>
    <w:tmpl w:val="2A5E0B58"/>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6">
    <w:nsid w:val="2CA85AD8"/>
    <w:multiLevelType w:val="multilevel"/>
    <w:tmpl w:val="2CA85AD8"/>
    <w:lvl w:ilvl="0">
      <w:start w:val="1"/>
      <w:numFmt w:val="decimal"/>
      <w:lvlText w:val="（%1）"/>
      <w:lvlJc w:val="left"/>
      <w:pPr>
        <w:ind w:left="420" w:hanging="420"/>
      </w:pPr>
      <w:rPr>
        <w:rFonts w:hint="eastAsia"/>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2DE2F923"/>
    <w:multiLevelType w:val="multilevel"/>
    <w:tmpl w:val="2DE2F92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8">
    <w:nsid w:val="321C1812"/>
    <w:multiLevelType w:val="multilevel"/>
    <w:tmpl w:val="321C1812"/>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nsid w:val="350534A8"/>
    <w:multiLevelType w:val="multilevel"/>
    <w:tmpl w:val="350534A8"/>
    <w:lvl w:ilvl="0">
      <w:start w:val="1"/>
      <w:numFmt w:val="decimal"/>
      <w:lvlText w:val="%1."/>
      <w:lvlJc w:val="left"/>
      <w:pPr>
        <w:ind w:left="840" w:hanging="420"/>
      </w:pPr>
      <w:rPr>
        <w:rFonts w:ascii="宋体" w:eastAsia="宋体" w:hAnsi="宋体" w:hint="eastAsia"/>
      </w:rPr>
    </w:lvl>
    <w:lvl w:ilvl="1">
      <w:start w:val="1"/>
      <w:numFmt w:val="decimal"/>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357500A7"/>
    <w:multiLevelType w:val="multilevel"/>
    <w:tmpl w:val="357500A7"/>
    <w:lvl w:ilvl="0">
      <w:start w:val="1"/>
      <w:numFmt w:val="decimal"/>
      <w:lvlText w:val="（%1）"/>
      <w:lvlJc w:val="left"/>
      <w:pPr>
        <w:ind w:left="840" w:hanging="420"/>
      </w:pPr>
      <w:rPr>
        <w:rFonts w:asciiTheme="minorEastAsia" w:eastAsiaTheme="minorEastAsia" w:hAnsiTheme="minorEastAsia" w:hint="default"/>
        <w:b w:val="0"/>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35844DFD"/>
    <w:multiLevelType w:val="multilevel"/>
    <w:tmpl w:val="35844DFD"/>
    <w:lvl w:ilvl="0">
      <w:start w:val="2"/>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2">
    <w:nsid w:val="36BA49F7"/>
    <w:multiLevelType w:val="multilevel"/>
    <w:tmpl w:val="36BA49F7"/>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3">
    <w:nsid w:val="370A2F97"/>
    <w:multiLevelType w:val="multilevel"/>
    <w:tmpl w:val="370A2F97"/>
    <w:lvl w:ilvl="0">
      <w:start w:val="1"/>
      <w:numFmt w:val="decimal"/>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39EA06C6"/>
    <w:multiLevelType w:val="multilevel"/>
    <w:tmpl w:val="39EA06C6"/>
    <w:lvl w:ilvl="0">
      <w:start w:val="1"/>
      <w:numFmt w:val="decimal"/>
      <w:lvlText w:val="%1."/>
      <w:lvlJc w:val="left"/>
      <w:pPr>
        <w:ind w:left="420" w:hanging="420"/>
      </w:pPr>
      <w:rPr>
        <w:rFonts w:ascii="宋体" w:eastAsia="宋体" w:hAnsi="宋体" w:hint="eastAsia"/>
        <w:b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D28715E"/>
    <w:multiLevelType w:val="multilevel"/>
    <w:tmpl w:val="3D28715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1"/>
        <w:szCs w:val="21"/>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6">
    <w:nsid w:val="40843B8C"/>
    <w:multiLevelType w:val="multilevel"/>
    <w:tmpl w:val="40843B8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41AD49FC"/>
    <w:multiLevelType w:val="multilevel"/>
    <w:tmpl w:val="41AD49FC"/>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8">
    <w:nsid w:val="432B7ADE"/>
    <w:multiLevelType w:val="multilevel"/>
    <w:tmpl w:val="432B7ADE"/>
    <w:lvl w:ilvl="0">
      <w:start w:val="1"/>
      <w:numFmt w:val="decimal"/>
      <w:lvlText w:val="%1."/>
      <w:lvlJc w:val="left"/>
      <w:pPr>
        <w:tabs>
          <w:tab w:val="left" w:pos="840"/>
        </w:tabs>
        <w:ind w:left="840" w:hanging="420"/>
      </w:pPr>
      <w:rPr>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9">
    <w:nsid w:val="47D32220"/>
    <w:multiLevelType w:val="multilevel"/>
    <w:tmpl w:val="47D32220"/>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0">
    <w:nsid w:val="47FD6A98"/>
    <w:multiLevelType w:val="multilevel"/>
    <w:tmpl w:val="47FD6A98"/>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4B1120A5"/>
    <w:multiLevelType w:val="multilevel"/>
    <w:tmpl w:val="4B1120A5"/>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2">
    <w:nsid w:val="4B170510"/>
    <w:multiLevelType w:val="multilevel"/>
    <w:tmpl w:val="4B170510"/>
    <w:lvl w:ilvl="0">
      <w:start w:val="1"/>
      <w:numFmt w:val="decimal"/>
      <w:lvlText w:val="%1)"/>
      <w:lvlJc w:val="left"/>
      <w:pPr>
        <w:ind w:left="420" w:hanging="420"/>
      </w:pPr>
      <w:rPr>
        <w:rFonts w:ascii="宋体" w:eastAsia="宋体" w:hAnsi="宋体"/>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4B1939B3"/>
    <w:multiLevelType w:val="multilevel"/>
    <w:tmpl w:val="4B1939B3"/>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4">
    <w:nsid w:val="4B24750E"/>
    <w:multiLevelType w:val="multilevel"/>
    <w:tmpl w:val="4B24750E"/>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5">
    <w:nsid w:val="4BDA1C36"/>
    <w:multiLevelType w:val="multilevel"/>
    <w:tmpl w:val="4BDA1C36"/>
    <w:lvl w:ilvl="0">
      <w:start w:val="1"/>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
    <w:nsid w:val="4BDA4185"/>
    <w:multiLevelType w:val="multilevel"/>
    <w:tmpl w:val="4BDA4185"/>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4C644CEE"/>
    <w:multiLevelType w:val="multilevel"/>
    <w:tmpl w:val="4C644CEE"/>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4D225C5E"/>
    <w:multiLevelType w:val="multilevel"/>
    <w:tmpl w:val="4D225C5E"/>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4D3B24F7"/>
    <w:multiLevelType w:val="multilevel"/>
    <w:tmpl w:val="4D3B24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4F757555"/>
    <w:multiLevelType w:val="multilevel"/>
    <w:tmpl w:val="4F757555"/>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1">
    <w:nsid w:val="530F27FF"/>
    <w:multiLevelType w:val="multilevel"/>
    <w:tmpl w:val="530F27FF"/>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2">
    <w:nsid w:val="53DF6434"/>
    <w:multiLevelType w:val="multilevel"/>
    <w:tmpl w:val="53DF6434"/>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3">
    <w:nsid w:val="541E5A4E"/>
    <w:multiLevelType w:val="multilevel"/>
    <w:tmpl w:val="541E5A4E"/>
    <w:lvl w:ilvl="0">
      <w:start w:val="1"/>
      <w:numFmt w:val="chineseCountingThousand"/>
      <w:lvlText w:val="第%1节 "/>
      <w:lvlJc w:val="left"/>
      <w:pPr>
        <w:ind w:left="420" w:hanging="420"/>
      </w:pPr>
      <w:rPr>
        <w:rFonts w:hint="eastAsia"/>
        <w:b/>
        <w:bCs/>
        <w:color w:val="000000" w:themeColor="text1"/>
        <w14:textFill>
          <w14:solidFill>
            <w14:schemeClr w14:val="tx1"/>
          </w14:solidFill>
        </w14:textFil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55C77B3D"/>
    <w:multiLevelType w:val="multilevel"/>
    <w:tmpl w:val="55C77B3D"/>
    <w:lvl w:ilvl="0">
      <w:start w:val="1"/>
      <w:numFmt w:val="decimal"/>
      <w:lvlText w:val="（%1）"/>
      <w:lvlJc w:val="left"/>
      <w:pPr>
        <w:ind w:left="840" w:hanging="420"/>
      </w:pPr>
      <w:rPr>
        <w:rFonts w:hint="default"/>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56DD1BD8"/>
    <w:multiLevelType w:val="multilevel"/>
    <w:tmpl w:val="56DD1BD8"/>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598458E2"/>
    <w:multiLevelType w:val="multilevel"/>
    <w:tmpl w:val="598458E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5B7C640F"/>
    <w:multiLevelType w:val="multilevel"/>
    <w:tmpl w:val="5B7C640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988"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8">
    <w:nsid w:val="5BEC3A51"/>
    <w:multiLevelType w:val="multilevel"/>
    <w:tmpl w:val="5BEC3A5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9">
    <w:nsid w:val="600914E3"/>
    <w:multiLevelType w:val="multilevel"/>
    <w:tmpl w:val="600914E3"/>
    <w:lvl w:ilvl="0">
      <w:start w:val="1"/>
      <w:numFmt w:val="japaneseCounting"/>
      <w:lvlText w:val="%1、"/>
      <w:lvlJc w:val="left"/>
      <w:pPr>
        <w:ind w:left="5399" w:hanging="720"/>
      </w:pPr>
      <w:rPr>
        <w:rFonts w:hint="default"/>
        <w:strike w:val="0"/>
        <w:sz w:val="28"/>
        <w:szCs w:val="28"/>
        <w:lang w:val="en-US"/>
      </w:rPr>
    </w:lvl>
    <w:lvl w:ilvl="1">
      <w:start w:val="1"/>
      <w:numFmt w:val="decimal"/>
      <w:lvlText w:val="%2."/>
      <w:lvlJc w:val="left"/>
      <w:pPr>
        <w:ind w:left="3534" w:hanging="420"/>
      </w:pPr>
      <w:rPr>
        <w:rFonts w:hint="eastAsia"/>
      </w:rPr>
    </w:lvl>
    <w:lvl w:ilvl="2">
      <w:start w:val="1"/>
      <w:numFmt w:val="decimal"/>
      <w:lvlText w:val="（%3)"/>
      <w:lvlJc w:val="left"/>
      <w:pPr>
        <w:ind w:left="3954" w:hanging="420"/>
      </w:pPr>
      <w:rPr>
        <w:rFonts w:hint="eastAsia"/>
      </w:rPr>
    </w:lvl>
    <w:lvl w:ilvl="3">
      <w:start w:val="1"/>
      <w:numFmt w:val="decimal"/>
      <w:lvlText w:val="%4)"/>
      <w:lvlJc w:val="left"/>
      <w:pPr>
        <w:ind w:left="4374" w:hanging="420"/>
      </w:pPr>
    </w:lvl>
    <w:lvl w:ilvl="4">
      <w:start w:val="1"/>
      <w:numFmt w:val="lowerLetter"/>
      <w:lvlText w:val="%5)"/>
      <w:lvlJc w:val="left"/>
      <w:pPr>
        <w:ind w:left="4794" w:hanging="420"/>
      </w:pPr>
    </w:lvl>
    <w:lvl w:ilvl="5">
      <w:start w:val="1"/>
      <w:numFmt w:val="lowerRoman"/>
      <w:lvlText w:val="%6."/>
      <w:lvlJc w:val="right"/>
      <w:pPr>
        <w:ind w:left="5214" w:hanging="420"/>
      </w:pPr>
    </w:lvl>
    <w:lvl w:ilvl="6">
      <w:start w:val="1"/>
      <w:numFmt w:val="decimal"/>
      <w:lvlText w:val="%7."/>
      <w:lvlJc w:val="left"/>
      <w:pPr>
        <w:ind w:left="5634" w:hanging="420"/>
      </w:pPr>
    </w:lvl>
    <w:lvl w:ilvl="7">
      <w:start w:val="1"/>
      <w:numFmt w:val="lowerLetter"/>
      <w:lvlText w:val="%8)"/>
      <w:lvlJc w:val="left"/>
      <w:pPr>
        <w:ind w:left="6054" w:hanging="420"/>
      </w:pPr>
    </w:lvl>
    <w:lvl w:ilvl="8">
      <w:start w:val="1"/>
      <w:numFmt w:val="lowerRoman"/>
      <w:lvlText w:val="%9."/>
      <w:lvlJc w:val="right"/>
      <w:pPr>
        <w:ind w:left="6474" w:hanging="420"/>
      </w:pPr>
    </w:lvl>
  </w:abstractNum>
  <w:abstractNum w:abstractNumId="70">
    <w:nsid w:val="6C303E92"/>
    <w:multiLevelType w:val="multilevel"/>
    <w:tmpl w:val="6C303E92"/>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1">
    <w:nsid w:val="783550B3"/>
    <w:multiLevelType w:val="multilevel"/>
    <w:tmpl w:val="783550B3"/>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8715BB6"/>
    <w:multiLevelType w:val="multilevel"/>
    <w:tmpl w:val="78715BB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78D54744"/>
    <w:multiLevelType w:val="multilevel"/>
    <w:tmpl w:val="78D54744"/>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4">
    <w:nsid w:val="7C2D25F0"/>
    <w:multiLevelType w:val="multilevel"/>
    <w:tmpl w:val="7C2D2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1"/>
  </w:num>
  <w:num w:numId="4">
    <w:abstractNumId w:val="48"/>
  </w:num>
  <w:num w:numId="5">
    <w:abstractNumId w:val="8"/>
  </w:num>
  <w:num w:numId="6">
    <w:abstractNumId w:val="66"/>
  </w:num>
  <w:num w:numId="7">
    <w:abstractNumId w:val="15"/>
  </w:num>
  <w:num w:numId="8">
    <w:abstractNumId w:val="72"/>
  </w:num>
  <w:num w:numId="9">
    <w:abstractNumId w:val="68"/>
  </w:num>
  <w:num w:numId="10">
    <w:abstractNumId w:val="55"/>
  </w:num>
  <w:num w:numId="11">
    <w:abstractNumId w:val="74"/>
  </w:num>
  <w:num w:numId="12">
    <w:abstractNumId w:val="11"/>
  </w:num>
  <w:num w:numId="13">
    <w:abstractNumId w:val="63"/>
  </w:num>
  <w:num w:numId="14">
    <w:abstractNumId w:val="3"/>
  </w:num>
  <w:num w:numId="15">
    <w:abstractNumId w:val="5"/>
  </w:num>
  <w:num w:numId="16">
    <w:abstractNumId w:val="6"/>
  </w:num>
  <w:num w:numId="17">
    <w:abstractNumId w:val="51"/>
  </w:num>
  <w:num w:numId="18">
    <w:abstractNumId w:val="24"/>
  </w:num>
  <w:num w:numId="19">
    <w:abstractNumId w:val="60"/>
  </w:num>
  <w:num w:numId="20">
    <w:abstractNumId w:val="14"/>
  </w:num>
  <w:num w:numId="21">
    <w:abstractNumId w:val="56"/>
  </w:num>
  <w:num w:numId="22">
    <w:abstractNumId w:val="25"/>
  </w:num>
  <w:num w:numId="23">
    <w:abstractNumId w:val="65"/>
  </w:num>
  <w:num w:numId="24">
    <w:abstractNumId w:val="29"/>
  </w:num>
  <w:num w:numId="25">
    <w:abstractNumId w:val="58"/>
  </w:num>
  <w:num w:numId="26">
    <w:abstractNumId w:val="36"/>
  </w:num>
  <w:num w:numId="27">
    <w:abstractNumId w:val="69"/>
  </w:num>
  <w:num w:numId="28">
    <w:abstractNumId w:val="45"/>
  </w:num>
  <w:num w:numId="29">
    <w:abstractNumId w:val="42"/>
  </w:num>
  <w:num w:numId="30">
    <w:abstractNumId w:val="22"/>
  </w:num>
  <w:num w:numId="31">
    <w:abstractNumId w:val="47"/>
  </w:num>
  <w:num w:numId="32">
    <w:abstractNumId w:val="2"/>
  </w:num>
  <w:num w:numId="33">
    <w:abstractNumId w:val="37"/>
  </w:num>
  <w:num w:numId="34">
    <w:abstractNumId w:val="4"/>
  </w:num>
  <w:num w:numId="35">
    <w:abstractNumId w:val="1"/>
  </w:num>
  <w:num w:numId="36">
    <w:abstractNumId w:val="0"/>
  </w:num>
  <w:num w:numId="37">
    <w:abstractNumId w:val="17"/>
  </w:num>
  <w:num w:numId="38">
    <w:abstractNumId w:val="10"/>
  </w:num>
  <w:num w:numId="39">
    <w:abstractNumId w:val="43"/>
  </w:num>
  <w:num w:numId="40">
    <w:abstractNumId w:val="18"/>
  </w:num>
  <w:num w:numId="41">
    <w:abstractNumId w:val="61"/>
  </w:num>
  <w:num w:numId="42">
    <w:abstractNumId w:val="39"/>
  </w:num>
  <w:num w:numId="43">
    <w:abstractNumId w:val="32"/>
  </w:num>
  <w:num w:numId="44">
    <w:abstractNumId w:val="64"/>
  </w:num>
  <w:num w:numId="45">
    <w:abstractNumId w:val="50"/>
  </w:num>
  <w:num w:numId="46">
    <w:abstractNumId w:val="40"/>
  </w:num>
  <w:num w:numId="47">
    <w:abstractNumId w:val="31"/>
  </w:num>
  <w:num w:numId="48">
    <w:abstractNumId w:val="33"/>
  </w:num>
  <w:num w:numId="49">
    <w:abstractNumId w:val="57"/>
  </w:num>
  <w:num w:numId="50">
    <w:abstractNumId w:val="9"/>
  </w:num>
  <w:num w:numId="51">
    <w:abstractNumId w:val="13"/>
  </w:num>
  <w:num w:numId="52">
    <w:abstractNumId w:val="27"/>
  </w:num>
  <w:num w:numId="53">
    <w:abstractNumId w:val="44"/>
  </w:num>
  <w:num w:numId="54">
    <w:abstractNumId w:val="35"/>
  </w:num>
  <w:num w:numId="55">
    <w:abstractNumId w:val="46"/>
  </w:num>
  <w:num w:numId="56">
    <w:abstractNumId w:val="26"/>
  </w:num>
  <w:num w:numId="57">
    <w:abstractNumId w:val="20"/>
  </w:num>
  <w:num w:numId="58">
    <w:abstractNumId w:val="28"/>
  </w:num>
  <w:num w:numId="59">
    <w:abstractNumId w:val="34"/>
  </w:num>
  <w:num w:numId="60">
    <w:abstractNumId w:val="12"/>
  </w:num>
  <w:num w:numId="61">
    <w:abstractNumId w:val="70"/>
  </w:num>
  <w:num w:numId="62">
    <w:abstractNumId w:val="49"/>
  </w:num>
  <w:num w:numId="63">
    <w:abstractNumId w:val="38"/>
  </w:num>
  <w:num w:numId="64">
    <w:abstractNumId w:val="54"/>
  </w:num>
  <w:num w:numId="65">
    <w:abstractNumId w:val="71"/>
  </w:num>
  <w:num w:numId="66">
    <w:abstractNumId w:val="41"/>
  </w:num>
  <w:num w:numId="67">
    <w:abstractNumId w:val="19"/>
  </w:num>
  <w:num w:numId="68">
    <w:abstractNumId w:val="73"/>
  </w:num>
  <w:num w:numId="69">
    <w:abstractNumId w:val="67"/>
  </w:num>
  <w:num w:numId="70">
    <w:abstractNumId w:val="59"/>
  </w:num>
  <w:num w:numId="71">
    <w:abstractNumId w:val="53"/>
  </w:num>
  <w:num w:numId="72">
    <w:abstractNumId w:val="62"/>
  </w:num>
  <w:num w:numId="73">
    <w:abstractNumId w:val="16"/>
  </w:num>
  <w:num w:numId="74">
    <w:abstractNumId w:val="23"/>
  </w:num>
  <w:num w:numId="75">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lNzAwNGZjOWQ4ZDg4MjQ4ZmM1MDZiNjM3NjUzND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nhideWhenUsed="0" w:qFormat="1"/>
    <w:lsdException w:name="header" w:semiHidden="0" w:uiPriority="0" w:qFormat="1"/>
    <w:lsdException w:name="footer" w:semiHidden="0" w:uiPriority="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qFormat="1"/>
    <w:lsdException w:name="Body Text First Indent" w:semiHidden="0" w:qFormat="1"/>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qFormat="1"/>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PlainText"/>
    <w:qFormat/>
    <w:pPr>
      <w:widowControl w:val="0"/>
      <w:jc w:val="both"/>
    </w:pPr>
    <w:rPr>
      <w:rFonts w:ascii="Times New Roman" w:eastAsia="宋体" w:hAnsi="Times New Roman" w:cs="Times New Roman"/>
      <w:kern w:val="2"/>
      <w:sz w:val="21"/>
      <w:szCs w:val="24"/>
      <w:lang w:val="en-US" w:eastAsia="zh-CN" w:bidi="ar-SA"/>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eastAsiaTheme="minorEastAsia" w:cs="Courier New"/>
      <w:szCs w:val="21"/>
    </w:rPr>
  </w:style>
  <w:style w:type="paragraph" w:styleId="NormalIndent">
    <w:name w:val="Normal Indent"/>
    <w:basedOn w:val="Normal"/>
    <w:next w:val="BodyText"/>
    <w:qFormat/>
    <w:pPr>
      <w:ind w:firstLine="420" w:firstLineChars="200"/>
    </w:pPr>
    <w:rPr>
      <w:szCs w:val="21"/>
    </w:rPr>
  </w:style>
  <w:style w:type="paragraph" w:styleId="BodyText">
    <w:name w:val="Body Text"/>
    <w:basedOn w:val="Normal"/>
    <w:next w:val="Title"/>
    <w:qFormat/>
    <w:pPr>
      <w:spacing w:after="120"/>
    </w:pPr>
  </w:style>
  <w:style w:type="paragraph" w:styleId="Title">
    <w:name w:val="Title"/>
    <w:basedOn w:val="Normal"/>
    <w:next w:val="Normal"/>
    <w:qFormat/>
    <w:pPr>
      <w:spacing w:before="240" w:after="60" w:line="276" w:lineRule="auto"/>
      <w:jc w:val="center"/>
      <w:outlineLvl w:val="0"/>
    </w:pPr>
    <w:rPr>
      <w:rFonts w:ascii="Cambria" w:hAnsi="Cambria"/>
      <w:b/>
      <w:bCs/>
      <w:sz w:val="32"/>
      <w:szCs w:val="32"/>
    </w:rPr>
  </w:style>
  <w:style w:type="paragraph" w:styleId="CommentText">
    <w:name w:val="annotation text"/>
    <w:basedOn w:val="Normal"/>
    <w:uiPriority w:val="99"/>
    <w:qFormat/>
    <w:pPr>
      <w:jc w:val="left"/>
    </w:pPr>
    <w:rPr>
      <w:rFonts w:asciiTheme="minorHAnsi" w:eastAsiaTheme="minorEastAsia" w:hAnsiTheme="minorHAnsi" w:cstheme="minorBidi"/>
    </w:rPr>
  </w:style>
  <w:style w:type="paragraph" w:styleId="TOC3">
    <w:name w:val="toc 3"/>
    <w:basedOn w:val="Normal"/>
    <w:next w:val="Normal"/>
    <w:uiPriority w:val="39"/>
    <w:qFormat/>
    <w:pPr>
      <w:spacing w:before="120" w:after="120"/>
      <w:ind w:left="420"/>
      <w:jc w:val="left"/>
    </w:pPr>
    <w:rPr>
      <w:rFonts w:ascii="Calibri" w:hAnsi="Calibri" w:cs="Calibri"/>
      <w:iCs/>
      <w:szCs w:val="20"/>
    </w:rPr>
  </w:style>
  <w:style w:type="paragraph" w:styleId="Date">
    <w:name w:val="Date"/>
    <w:basedOn w:val="Normal"/>
    <w:next w:val="Normal"/>
    <w:qFormat/>
    <w:rPr>
      <w:rFonts w:ascii="宋体" w:hAnsi="Courier New"/>
      <w:sz w:val="32"/>
      <w:szCs w:val="20"/>
    </w:rPr>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spacing w:before="120" w:after="120"/>
      <w:jc w:val="left"/>
    </w:pPr>
    <w:rPr>
      <w:rFonts w:ascii="Calibri" w:hAnsi="Calibri" w:cs="Calibri"/>
      <w:b/>
      <w:bCs/>
      <w:caps/>
      <w:szCs w:val="20"/>
    </w:rPr>
  </w:style>
  <w:style w:type="paragraph" w:styleId="TOC2">
    <w:name w:val="toc 2"/>
    <w:basedOn w:val="Normal"/>
    <w:next w:val="Normal"/>
    <w:uiPriority w:val="39"/>
    <w:qFormat/>
    <w:pPr>
      <w:spacing w:before="120" w:after="120"/>
      <w:ind w:left="210"/>
      <w:jc w:val="left"/>
    </w:pPr>
    <w:rPr>
      <w:rFonts w:ascii="Calibri" w:hAnsi="Calibri" w:cs="Calibri"/>
      <w:smallCaps/>
      <w:szCs w:val="20"/>
    </w:rPr>
  </w:style>
  <w:style w:type="paragraph" w:styleId="NormalWeb">
    <w:name w:val="Normal (Web)"/>
    <w:basedOn w:val="Normal"/>
    <w:uiPriority w:val="99"/>
    <w:qFormat/>
    <w:pPr>
      <w:widowControl/>
      <w:spacing w:before="100" w:beforeAutospacing="1" w:after="100" w:afterAutospacing="1"/>
      <w:jc w:val="left"/>
    </w:pPr>
    <w:rPr>
      <w:rFonts w:ascii="宋体" w:hAnsi="宋体"/>
      <w:kern w:val="0"/>
      <w:sz w:val="24"/>
    </w:rPr>
  </w:style>
  <w:style w:type="paragraph" w:styleId="BodyTextFirstIndent">
    <w:name w:val="Body Text First Indent"/>
    <w:basedOn w:val="BodyText"/>
    <w:uiPriority w:val="99"/>
    <w:unhideWhenUsed/>
    <w:qFormat/>
    <w:pPr>
      <w:ind w:firstLine="420" w:firstLineChars="10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Hyperlink">
    <w:name w:val="Hyperlink"/>
    <w:uiPriority w:val="99"/>
    <w:qFormat/>
    <w:rPr>
      <w:rFonts w:eastAsia="宋体"/>
      <w:color w:val="0000FF"/>
      <w:sz w:val="28"/>
      <w:u w:val="single"/>
    </w:rPr>
  </w:style>
  <w:style w:type="character" w:styleId="CommentReference">
    <w:name w:val="annotation reference"/>
    <w:qFormat/>
    <w:rPr>
      <w:sz w:val="21"/>
      <w:szCs w:val="21"/>
    </w:rPr>
  </w:style>
  <w:style w:type="paragraph" w:customStyle="1" w:styleId="a">
    <w:name w:val="正文正"/>
    <w:basedOn w:val="Normal"/>
    <w:qFormat/>
    <w:pPr>
      <w:spacing w:line="560" w:lineRule="exact"/>
      <w:ind w:firstLine="561"/>
    </w:pPr>
    <w:rPr>
      <w:rFonts w:ascii="Calibri" w:hAnsi="Calibri"/>
      <w:sz w:val="28"/>
      <w:szCs w:val="28"/>
    </w:rPr>
  </w:style>
  <w:style w:type="character" w:customStyle="1" w:styleId="p141">
    <w:name w:val="p141"/>
    <w:qFormat/>
    <w:rPr>
      <w:sz w:val="21"/>
      <w:szCs w:val="21"/>
    </w:rPr>
  </w:style>
  <w:style w:type="paragraph" w:styleId="ListParagraph">
    <w:name w:val="List Paragraph"/>
    <w:basedOn w:val="Normal"/>
    <w:uiPriority w:val="34"/>
    <w:qFormat/>
    <w:pPr>
      <w:ind w:firstLine="420" w:firstLineChars="200"/>
    </w:pPr>
  </w:style>
  <w:style w:type="paragraph" w:customStyle="1" w:styleId="a0">
    <w:name w:val="图"/>
    <w:basedOn w:val="Normal"/>
    <w:qFormat/>
    <w:pPr>
      <w:keepNext/>
      <w:adjustRightInd w:val="0"/>
      <w:spacing w:before="60" w:after="60" w:line="300" w:lineRule="auto"/>
      <w:jc w:val="center"/>
      <w:textAlignment w:val="center"/>
    </w:pPr>
    <w:rPr>
      <w:snapToGrid w:val="0"/>
      <w:spacing w:val="20"/>
      <w:kern w:val="0"/>
      <w:sz w:val="24"/>
      <w:szCs w:val="20"/>
    </w:rPr>
  </w:style>
  <w:style w:type="paragraph" w:customStyle="1" w:styleId="00">
    <w:name w:val="正文_0_0"/>
    <w:qFormat/>
    <w:pPr>
      <w:widowControl w:val="0"/>
      <w:spacing w:line="360" w:lineRule="auto"/>
      <w:ind w:firstLine="200" w:firstLineChars="200"/>
      <w:jc w:val="both"/>
    </w:pPr>
    <w:rPr>
      <w:rFonts w:ascii="Cambria Math" w:eastAsia="宋体" w:hAnsi="Cambria Math" w:cs="Cambria Math"/>
      <w:kern w:val="2"/>
      <w:sz w:val="24"/>
      <w:szCs w:val="24"/>
      <w:lang w:val="en-US" w:eastAsia="zh-CN" w:bidi="ar-SA"/>
    </w:rPr>
  </w:style>
  <w:style w:type="paragraph" w:customStyle="1" w:styleId="1">
    <w:name w:val="列出段落1"/>
    <w:basedOn w:val="Normal"/>
    <w:uiPriority w:val="34"/>
    <w:qFormat/>
    <w:pPr>
      <w:ind w:firstLine="420" w:firstLineChars="200"/>
    </w:pPr>
  </w:style>
  <w:style w:type="character" w:customStyle="1" w:styleId="p1410">
    <w:name w:val="p141_0"/>
    <w:qFormat/>
    <w:rPr>
      <w:rFonts w:ascii="Calibri" w:hAnsi="Calibri"/>
      <w:sz w:val="21"/>
      <w:szCs w:val="21"/>
    </w:rPr>
  </w:style>
  <w:style w:type="paragraph" w:customStyle="1" w:styleId="Normal13">
    <w:name w:val="Normal_13"/>
    <w:qFormat/>
    <w:rPr>
      <w:rFonts w:ascii="Times New Roman" w:eastAsia="宋体" w:hAnsi="Times New Roman" w:cs="Times New Roman"/>
      <w:sz w:val="21"/>
      <w:lang w:val="en-US" w:eastAsia="zh-CN" w:bidi="ar-SA"/>
    </w:rPr>
  </w:style>
  <w:style w:type="paragraph" w:customStyle="1" w:styleId="14">
    <w:name w:val="正文_14"/>
    <w:qFormat/>
    <w:pPr>
      <w:widowControl w:val="0"/>
      <w:jc w:val="both"/>
    </w:pPr>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header" Target="header4.xml" /><Relationship Id="rId16" Type="http://schemas.openxmlformats.org/officeDocument/2006/relationships/footer" Target="footer3.xml" /><Relationship Id="rId17" Type="http://schemas.openxmlformats.org/officeDocument/2006/relationships/header" Target="header5.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4.xml.rels>&#65279;<?xml version="1.0" encoding="utf-8" standalone="yes"?><Relationships xmlns="http://schemas.openxmlformats.org/package/2006/relationships"><Relationship Id="rId1" Type="http://schemas.openxmlformats.org/officeDocument/2006/relationships/image" Target="media/image1.jpeg" /></Relationships>
</file>

<file path=word/_rels/header5.xml.rels>&#65279;<?xml version="1.0" encoding="utf-8" standalone="yes"?><Relationships xmlns="http://schemas.openxmlformats.org/package/2006/relationships"><Relationship Id="rId1" Type="http://schemas.openxmlformats.org/officeDocument/2006/relationships/image" Target="media/image8.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76</Pages>
  <Words>40410</Words>
  <Characters>43172</Characters>
  <Application>Microsoft Office Word</Application>
  <DocSecurity>0</DocSecurity>
  <Lines>0</Lines>
  <Paragraphs>0</Paragraphs>
  <ScaleCrop>false</ScaleCrop>
  <Company/>
  <LinksUpToDate>false</LinksUpToDate>
  <CharactersWithSpaces>45921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采联-朱小姐</dc:creator>
  <cp:lastModifiedBy>采联-朱小姐</cp:lastModifiedBy>
  <cp:revision>1</cp:revision>
  <dcterms:created xsi:type="dcterms:W3CDTF">2023-09-15T12:34:00Z</dcterms:created>
  <dcterms:modified xsi:type="dcterms:W3CDTF">2023-09-20T07:12:35Z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218705CDEEAA4BD4BA5FCE06ECB598C2_13</vt:lpwstr>
  </property>
  <property fmtid="{D5CDD505-2E9C-101B-9397-08002B2CF9AE}" pid="3" name="KSOProductBuildVer">
    <vt:lpwstr>2052-11.1.0.14309</vt:lpwstr>
  </property>
</Properties>
</file>