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4.9.0.0 -->
  <w:body>
    <w:p>
      <w:pPr>
        <w:widowControl/>
        <w:autoSpaceDE w:val="0"/>
        <w:autoSpaceDN w:val="0"/>
        <w:ind w:right="-34"/>
        <w:jc w:val="center"/>
        <w:textAlignment w:val="bottom"/>
        <w:rPr>
          <w:rFonts w:ascii="黑体" w:eastAsia="黑体" w:hAnsi="黑体" w:cs="黑体" w:hint="eastAsia"/>
          <w:b/>
          <w:color w:val="000000"/>
          <w:sz w:val="90"/>
          <w:szCs w:val="90"/>
          <w:highlight w:val="none"/>
        </w:rPr>
      </w:pPr>
    </w:p>
    <w:p>
      <w:pPr>
        <w:widowControl/>
        <w:autoSpaceDE w:val="0"/>
        <w:autoSpaceDN w:val="0"/>
        <w:ind w:right="-34"/>
        <w:jc w:val="center"/>
        <w:textAlignment w:val="bottom"/>
        <w:rPr>
          <w:rFonts w:ascii="黑体" w:eastAsia="黑体" w:hAnsi="黑体" w:cs="宋体" w:hint="eastAsia"/>
          <w:b/>
          <w:bCs/>
          <w:color w:val="000000"/>
          <w:sz w:val="84"/>
          <w:szCs w:val="84"/>
          <w:highlight w:val="none"/>
        </w:rPr>
      </w:pPr>
      <w:r>
        <w:rPr>
          <w:rFonts w:ascii="黑体" w:eastAsia="黑体" w:hAnsi="黑体" w:cs="黑体" w:hint="eastAsia"/>
          <w:b/>
          <w:color w:val="000000"/>
          <w:sz w:val="90"/>
          <w:szCs w:val="90"/>
          <w:highlight w:val="none"/>
        </w:rPr>
        <w:t>环境工程-纯水机</w:t>
      </w:r>
      <w:r>
        <w:rPr>
          <w:rFonts w:ascii="黑体" w:eastAsia="黑体" w:hAnsi="黑体" w:cs="黑体" w:hint="eastAsia"/>
          <w:b/>
          <w:color w:val="000000"/>
          <w:sz w:val="84"/>
          <w:szCs w:val="84"/>
          <w:highlight w:val="none"/>
        </w:rPr>
        <w:t xml:space="preserve"> </w:t>
      </w:r>
    </w:p>
    <w:p>
      <w:pPr>
        <w:widowControl/>
        <w:autoSpaceDE w:val="0"/>
        <w:autoSpaceDN w:val="0"/>
        <w:spacing w:line="300" w:lineRule="auto"/>
        <w:ind w:right="-36"/>
        <w:textAlignment w:val="bottom"/>
        <w:rPr>
          <w:rFonts w:ascii="宋体" w:hAnsi="宋体" w:cs="宋体"/>
          <w:color w:val="000000"/>
          <w:sz w:val="44"/>
          <w:szCs w:val="44"/>
          <w:highlight w:val="none"/>
        </w:rPr>
      </w:pPr>
    </w:p>
    <w:p>
      <w:pPr>
        <w:pStyle w:val="BodyText"/>
        <w:rPr>
          <w:color w:val="000000"/>
          <w:highlight w:val="none"/>
        </w:rPr>
      </w:pPr>
    </w:p>
    <w:p>
      <w:pPr>
        <w:rPr>
          <w:color w:val="000000"/>
          <w:highlight w:val="none"/>
        </w:rPr>
      </w:pPr>
    </w:p>
    <w:p>
      <w:pPr>
        <w:pStyle w:val="a29"/>
        <w:rPr>
          <w:rFonts w:ascii="宋体" w:hAnsi="宋体" w:cs="宋体"/>
          <w:color w:val="000000"/>
          <w:highlight w:val="none"/>
        </w:rPr>
      </w:pPr>
    </w:p>
    <w:p>
      <w:pPr>
        <w:pStyle w:val="a29"/>
        <w:rPr>
          <w:rFonts w:ascii="宋体" w:hAnsi="宋体" w:cs="宋体"/>
          <w:color w:val="000000"/>
          <w:highlight w:val="none"/>
        </w:rPr>
      </w:pPr>
    </w:p>
    <w:p>
      <w:pPr>
        <w:pStyle w:val="a29"/>
        <w:rPr>
          <w:rFonts w:ascii="宋体" w:hAnsi="宋体" w:cs="宋体"/>
          <w:color w:val="000000"/>
          <w:highlight w:val="none"/>
        </w:rPr>
      </w:pPr>
    </w:p>
    <w:p>
      <w:pPr>
        <w:pStyle w:val="a29"/>
        <w:rPr>
          <w:rFonts w:ascii="宋体" w:hAnsi="宋体" w:cs="宋体"/>
          <w:color w:val="000000"/>
          <w:highlight w:val="none"/>
        </w:rPr>
      </w:pPr>
    </w:p>
    <w:p>
      <w:pPr>
        <w:pStyle w:val="a29"/>
        <w:rPr>
          <w:rFonts w:ascii="宋体" w:hAnsi="宋体" w:cs="宋体"/>
          <w:color w:val="000000"/>
          <w:highlight w:val="none"/>
        </w:rPr>
      </w:pPr>
    </w:p>
    <w:p>
      <w:pPr>
        <w:widowControl/>
        <w:autoSpaceDE w:val="0"/>
        <w:autoSpaceDN w:val="0"/>
        <w:spacing w:line="300" w:lineRule="auto"/>
        <w:ind w:right="-36"/>
        <w:jc w:val="center"/>
        <w:textAlignment w:val="bottom"/>
        <w:rPr>
          <w:rFonts w:ascii="黑体" w:eastAsia="黑体" w:hAnsi="黑体" w:cs="黑体"/>
          <w:b/>
          <w:color w:val="000000"/>
          <w:sz w:val="80"/>
          <w:szCs w:val="80"/>
          <w:highlight w:val="none"/>
        </w:rPr>
      </w:pPr>
      <w:r>
        <w:rPr>
          <w:rFonts w:ascii="黑体" w:eastAsia="黑体" w:hAnsi="黑体" w:cs="黑体" w:hint="eastAsia"/>
          <w:b/>
          <w:color w:val="000000"/>
          <w:sz w:val="80"/>
          <w:szCs w:val="80"/>
          <w:highlight w:val="none"/>
        </w:rPr>
        <w:t>招标文件</w:t>
      </w:r>
    </w:p>
    <w:p>
      <w:pPr>
        <w:widowControl/>
        <w:autoSpaceDE w:val="0"/>
        <w:autoSpaceDN w:val="0"/>
        <w:spacing w:line="300" w:lineRule="auto"/>
        <w:ind w:right="-36"/>
        <w:jc w:val="center"/>
        <w:textAlignment w:val="bottom"/>
        <w:rPr>
          <w:rFonts w:ascii="宋体" w:hAnsi="宋体" w:cs="宋体" w:hint="eastAsia"/>
          <w:b/>
          <w:color w:val="000000"/>
          <w:sz w:val="36"/>
          <w:szCs w:val="36"/>
          <w:highlight w:val="none"/>
        </w:rPr>
      </w:pPr>
      <w:r>
        <w:rPr>
          <w:rFonts w:ascii="宋体" w:hAnsi="宋体" w:cs="宋体" w:hint="eastAsia"/>
          <w:b/>
          <w:color w:val="000000"/>
          <w:sz w:val="36"/>
          <w:szCs w:val="36"/>
          <w:highlight w:val="none"/>
        </w:rPr>
        <w:t>项目编号：</w:t>
      </w:r>
      <w:r>
        <w:rPr>
          <w:rFonts w:ascii="宋体" w:hAnsi="宋体" w:cs="宋体" w:hint="eastAsia"/>
          <w:b/>
          <w:color w:val="000000"/>
          <w:sz w:val="36"/>
          <w:szCs w:val="36"/>
          <w:highlight w:val="none"/>
          <w:lang w:eastAsia="zh-CN"/>
        </w:rPr>
        <w:t>SZDL2023001829</w:t>
      </w:r>
      <w:r>
        <w:rPr>
          <w:rFonts w:ascii="宋体" w:hAnsi="宋体" w:cs="宋体" w:hint="eastAsia"/>
          <w:b/>
          <w:color w:val="000000"/>
          <w:sz w:val="36"/>
          <w:szCs w:val="36"/>
          <w:highlight w:val="none"/>
        </w:rPr>
        <w:t xml:space="preserve">    </w:t>
      </w:r>
    </w:p>
    <w:p>
      <w:pPr>
        <w:widowControl/>
        <w:autoSpaceDE w:val="0"/>
        <w:autoSpaceDN w:val="0"/>
        <w:spacing w:line="300" w:lineRule="auto"/>
        <w:ind w:right="-36"/>
        <w:jc w:val="center"/>
        <w:textAlignment w:val="bottom"/>
        <w:rPr>
          <w:rFonts w:ascii="宋体" w:hAnsi="宋体" w:cs="宋体"/>
          <w:b/>
          <w:color w:val="000000"/>
          <w:sz w:val="28"/>
          <w:szCs w:val="28"/>
          <w:highlight w:val="none"/>
        </w:rPr>
      </w:pPr>
    </w:p>
    <w:p>
      <w:pPr>
        <w:widowControl/>
        <w:autoSpaceDE w:val="0"/>
        <w:autoSpaceDN w:val="0"/>
        <w:spacing w:line="300" w:lineRule="auto"/>
        <w:ind w:right="-36"/>
        <w:textAlignment w:val="bottom"/>
        <w:rPr>
          <w:rFonts w:ascii="宋体" w:hAnsi="宋体" w:cs="宋体"/>
          <w:b/>
          <w:color w:val="000000"/>
          <w:sz w:val="28"/>
          <w:szCs w:val="28"/>
          <w:highlight w:val="none"/>
        </w:rPr>
      </w:pPr>
    </w:p>
    <w:p>
      <w:pPr>
        <w:pStyle w:val="a28"/>
        <w:ind w:firstLine="420"/>
        <w:rPr>
          <w:color w:val="000000"/>
          <w:highlight w:val="none"/>
        </w:rPr>
      </w:pPr>
    </w:p>
    <w:p>
      <w:pPr>
        <w:pStyle w:val="NormalIndent"/>
        <w:rPr>
          <w:color w:val="000000"/>
          <w:highlight w:val="none"/>
        </w:rPr>
      </w:pPr>
    </w:p>
    <w:p>
      <w:pPr>
        <w:widowControl/>
        <w:autoSpaceDE w:val="0"/>
        <w:autoSpaceDN w:val="0"/>
        <w:spacing w:line="300" w:lineRule="auto"/>
        <w:ind w:right="-36"/>
        <w:textAlignment w:val="bottom"/>
        <w:rPr>
          <w:rFonts w:ascii="宋体" w:hAnsi="宋体" w:cs="宋体"/>
          <w:b/>
          <w:color w:val="000000"/>
          <w:sz w:val="28"/>
          <w:szCs w:val="28"/>
          <w:highlight w:val="none"/>
        </w:rPr>
      </w:pPr>
    </w:p>
    <w:p>
      <w:pPr>
        <w:pStyle w:val="BodyText"/>
        <w:rPr>
          <w:color w:val="000000"/>
          <w:highlight w:val="none"/>
        </w:rPr>
      </w:pPr>
    </w:p>
    <w:p>
      <w:pPr>
        <w:widowControl/>
        <w:autoSpaceDE w:val="0"/>
        <w:autoSpaceDN w:val="0"/>
        <w:spacing w:line="300" w:lineRule="auto"/>
        <w:ind w:right="-36"/>
        <w:textAlignment w:val="bottom"/>
        <w:rPr>
          <w:rFonts w:ascii="宋体" w:hAnsi="宋体" w:cs="宋体"/>
          <w:b/>
          <w:color w:val="000000"/>
          <w:sz w:val="28"/>
          <w:szCs w:val="28"/>
          <w:highlight w:val="none"/>
        </w:rPr>
      </w:pPr>
    </w:p>
    <w:p>
      <w:pPr>
        <w:widowControl/>
        <w:autoSpaceDE w:val="0"/>
        <w:autoSpaceDN w:val="0"/>
        <w:spacing w:line="300" w:lineRule="auto"/>
        <w:ind w:right="-36" w:firstLine="735" w:firstLineChars="350"/>
        <w:textAlignment w:val="bottom"/>
        <w:rPr>
          <w:rFonts w:ascii="黑体" w:eastAsia="黑体" w:hAnsi="黑体" w:cs="黑体" w:hint="eastAsia"/>
          <w:b/>
          <w:color w:val="000000"/>
          <w:sz w:val="36"/>
          <w:szCs w:val="36"/>
          <w:highlight w:val="none"/>
        </w:rPr>
      </w:pPr>
      <w:r>
        <w:rPr>
          <w:rFonts w:ascii="黑体" w:eastAsia="黑体" w:hAnsi="黑体" w:cs="黑体" w:hint="eastAsia"/>
          <w:b/>
          <w:color w:val="000000"/>
          <w:sz w:val="36"/>
          <w:szCs w:val="36"/>
          <w:highlight w:val="none"/>
        </w:rPr>
        <w:t xml:space="preserve"> 采   购   人: 清华大学深圳国际研究生院</w:t>
      </w:r>
    </w:p>
    <w:p>
      <w:pPr>
        <w:widowControl/>
        <w:autoSpaceDE w:val="0"/>
        <w:autoSpaceDN w:val="0"/>
        <w:spacing w:line="300" w:lineRule="auto"/>
        <w:ind w:right="-36"/>
        <w:textAlignment w:val="bottom"/>
        <w:rPr>
          <w:rFonts w:ascii="黑体" w:eastAsia="黑体" w:hAnsi="黑体" w:cs="黑体"/>
          <w:b/>
          <w:color w:val="000000"/>
          <w:sz w:val="36"/>
          <w:szCs w:val="36"/>
          <w:highlight w:val="none"/>
        </w:rPr>
      </w:pPr>
      <w:r>
        <w:rPr>
          <w:rFonts w:ascii="黑体" w:eastAsia="黑体" w:hAnsi="黑体" w:cs="黑体" w:hint="eastAsia"/>
          <w:b/>
          <w:color w:val="000000"/>
          <w:sz w:val="36"/>
          <w:szCs w:val="36"/>
          <w:highlight w:val="none"/>
        </w:rPr>
        <w:t xml:space="preserve">        采购代理机构: 中国远东国际招标有限公司</w:t>
      </w:r>
    </w:p>
    <w:p>
      <w:pPr>
        <w:widowControl/>
        <w:autoSpaceDE w:val="0"/>
        <w:autoSpaceDN w:val="0"/>
        <w:spacing w:line="300" w:lineRule="auto"/>
        <w:ind w:right="-36"/>
        <w:jc w:val="center"/>
        <w:textAlignment w:val="bottom"/>
        <w:rPr>
          <w:rFonts w:ascii="黑体" w:eastAsia="黑体" w:hAnsi="黑体" w:cs="黑体"/>
          <w:b/>
          <w:color w:val="000000"/>
          <w:sz w:val="36"/>
          <w:szCs w:val="36"/>
          <w:highlight w:val="none"/>
        </w:rPr>
      </w:pPr>
      <w:r>
        <w:rPr>
          <w:rFonts w:ascii="黑体" w:eastAsia="黑体" w:hAnsi="黑体" w:cs="黑体" w:hint="eastAsia"/>
          <w:b/>
          <w:color w:val="000000"/>
          <w:sz w:val="36"/>
          <w:szCs w:val="36"/>
          <w:highlight w:val="none"/>
        </w:rPr>
        <w:t>2023年08月</w:t>
      </w:r>
    </w:p>
    <w:p>
      <w:pPr>
        <w:pStyle w:val="Heading2"/>
        <w:spacing w:line="260" w:lineRule="exact"/>
        <w:jc w:val="both"/>
        <w:rPr>
          <w:rFonts w:ascii="黑体" w:eastAsia="黑体" w:hAnsi="黑体" w:cs="黑体"/>
          <w:color w:val="000000"/>
          <w:highlight w:val="none"/>
        </w:rPr>
        <w:sectPr>
          <w:headerReference w:type="default" r:id="rId4"/>
          <w:footerReference w:type="even" r:id="rId5"/>
          <w:footerReference w:type="default" r:id="rId6"/>
          <w:headerReference w:type="first" r:id="rId7"/>
          <w:footerReference w:type="first" r:id="rId8"/>
          <w:pgSz w:w="11907" w:h="16840"/>
          <w:pgMar w:top="1440" w:right="850" w:bottom="1440" w:left="1080" w:header="851" w:footer="992" w:gutter="0"/>
          <w:cols w:space="720"/>
          <w:titlePg/>
          <w:docGrid w:linePitch="462"/>
        </w:sectPr>
      </w:pPr>
    </w:p>
    <w:p>
      <w:pPr>
        <w:pStyle w:val="Heading1"/>
        <w:spacing w:before="240" w:after="240" w:line="240" w:lineRule="auto"/>
        <w:rPr>
          <w:rFonts w:ascii="黑体" w:hAnsi="黑体" w:cs="黑体"/>
          <w:b/>
          <w:bCs/>
          <w:color w:val="000000"/>
          <w:sz w:val="36"/>
          <w:szCs w:val="52"/>
          <w:highlight w:val="none"/>
        </w:rPr>
      </w:pPr>
      <w:r>
        <w:rPr>
          <w:rFonts w:ascii="黑体" w:hAnsi="黑体" w:cs="黑体" w:hint="eastAsia"/>
          <w:b/>
          <w:bCs/>
          <w:color w:val="000000"/>
          <w:sz w:val="36"/>
          <w:szCs w:val="52"/>
          <w:highlight w:val="none"/>
        </w:rPr>
        <w:t>警示条款</w:t>
      </w:r>
    </w:p>
    <w:p>
      <w:pPr>
        <w:widowControl/>
        <w:snapToGrid w:val="0"/>
        <w:spacing w:line="300" w:lineRule="atLeast"/>
        <w:ind w:firstLine="368" w:firstLineChars="175"/>
        <w:textAlignment w:val="baseline"/>
        <w:rPr>
          <w:rFonts w:ascii="宋体" w:hAnsi="宋体"/>
          <w:color w:val="000000"/>
          <w:sz w:val="24"/>
          <w:highlight w:val="none"/>
        </w:rPr>
      </w:pPr>
      <w:r>
        <w:rPr>
          <w:rFonts w:ascii="宋体" w:hAnsi="宋体"/>
          <w:color w:val="000000"/>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（一）在采购活动中应当回避而未回避的；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（二）未按本条例规定签订、履行采购合同，造成严重后果的；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（三）隐瞒真实情况，提供虚假资料的；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（四）以非法手段排斥其他供应商参与竞争的；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（五）与其他采购参加人串通投标的；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（六）恶意投诉的；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（七）向采购项目相关人行贿或者提供其他不当利益的；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（八）阻碍、抗拒主管部门监督检查的；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（九）其他违反本条例规定的行为。</w:t>
      </w:r>
    </w:p>
    <w:p>
      <w:pPr>
        <w:widowControl/>
        <w:snapToGrid w:val="0"/>
        <w:spacing w:line="300" w:lineRule="atLeast"/>
        <w:ind w:firstLine="368" w:firstLineChars="175"/>
        <w:textAlignment w:val="baseline"/>
        <w:rPr>
          <w:rFonts w:ascii="宋体" w:hAnsi="宋体"/>
          <w:color w:val="000000"/>
          <w:sz w:val="24"/>
          <w:highlight w:val="none"/>
        </w:rPr>
      </w:pPr>
      <w:r>
        <w:rPr>
          <w:rFonts w:ascii="宋体" w:hAnsi="宋体"/>
          <w:color w:val="000000"/>
          <w:sz w:val="24"/>
          <w:highlight w:val="none"/>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（一）投标截止后，撤销投标的；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（二）中标后无正当理由未在规定期限内签订合同的；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（三）将中标项目转让给他人、或者在投标文件中未说明且未经采购人、采购招标机构同意，将中标项目分包给他人的；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（四）拒绝履行合同义务的。</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三、《深圳经济特区政府采购条例实施细则》　</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第七十</w:t>
      </w:r>
      <w:r>
        <w:rPr>
          <w:rFonts w:ascii="宋体" w:hAnsi="宋体" w:hint="eastAsia"/>
          <w:color w:val="000000"/>
          <w:sz w:val="24"/>
          <w:highlight w:val="none"/>
        </w:rPr>
        <w:t>五</w:t>
      </w:r>
      <w:r>
        <w:rPr>
          <w:rFonts w:ascii="宋体" w:hAnsi="宋体"/>
          <w:color w:val="000000"/>
          <w:sz w:val="24"/>
          <w:highlight w:val="none"/>
        </w:rPr>
        <w:t>条 供应商有下列情形的，属于采购条例所称的串通投标行为，按照采购条例第五十七条有关规定处理：</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（一）投标供应商之间相互约定给予未中标的供应商利益补偿；</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（二）不同投标供应商的法定代表人、主要经营负责人、项目投标授权代表人、项目负责人、主要技术人员为同一人、属同一单位或者在同一单位缴纳社会保险；　　　　 </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（三）不同投标供应商的投标文件由同一单位或者同一人编制，或者由同一人分阶段参与编制的；</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（四）不同投标供应商的投标文件或部分投标文件相互混装；</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（五）不同投标供应商的投标文件内容存在非正常一致；</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（六）由同一单位工作人员为两家以上（含两家）供应商进行同一项投标活动的；</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（七）主管部门依照法律、法规认定的其他情形。</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第</w:t>
      </w:r>
      <w:r>
        <w:rPr>
          <w:rFonts w:ascii="宋体" w:hAnsi="宋体" w:hint="eastAsia"/>
          <w:color w:val="000000"/>
          <w:sz w:val="24"/>
          <w:highlight w:val="none"/>
        </w:rPr>
        <w:t>七十七</w:t>
      </w:r>
      <w:r>
        <w:rPr>
          <w:rFonts w:ascii="宋体" w:hAnsi="宋体"/>
          <w:color w:val="000000"/>
          <w:sz w:val="24"/>
          <w:highlight w:val="none"/>
        </w:rPr>
        <w:t>条 供应商有下列情形之一的，属于隐瞒真实情况，提供虚假资料，按照采购条例第五十七的有关规定处理：</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（一）通过转让或者租借等方式从其他单位获取资格或者资质证书投标的；</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（二）由其他单位或者其他单位负责人在投标供应商编制的投标文件上加盖印章或者签字的；</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（三）项目负责人或者主要技术人员不是本单位人员的；</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（四）投标保证金不是从投标供应商基本账户转出的；</w:t>
      </w:r>
    </w:p>
    <w:p>
      <w:pPr>
        <w:widowControl/>
        <w:snapToGrid w:val="0"/>
        <w:spacing w:line="300" w:lineRule="atLeast"/>
        <w:ind w:firstLine="480"/>
        <w:textAlignment w:val="baseline"/>
        <w:rPr>
          <w:rFonts w:ascii="宋体" w:hAnsi="宋体"/>
          <w:color w:val="000000"/>
          <w:sz w:val="24"/>
          <w:highlight w:val="none"/>
        </w:rPr>
      </w:pPr>
      <w:r>
        <w:rPr>
          <w:rFonts w:ascii="宋体" w:hAnsi="宋体"/>
          <w:color w:val="000000"/>
          <w:sz w:val="24"/>
          <w:highlight w:val="none"/>
        </w:rPr>
        <w:t>（五）其他隐瞒真实情况、提供虚假资料的行为。</w:t>
      </w:r>
    </w:p>
    <w:p>
      <w:pPr>
        <w:widowControl/>
        <w:snapToGrid w:val="0"/>
        <w:spacing w:line="300" w:lineRule="atLeast"/>
        <w:ind w:firstLine="480"/>
        <w:textAlignment w:val="baseline"/>
        <w:rPr>
          <w:rFonts w:ascii="宋体" w:hAnsi="宋体"/>
          <w:color w:val="000000"/>
          <w:sz w:val="24"/>
          <w:highlight w:val="none"/>
        </w:rPr>
      </w:pPr>
      <w:r>
        <w:rPr>
          <w:rFonts w:ascii="宋体" w:hAnsi="宋体"/>
          <w:color w:val="000000"/>
          <w:sz w:val="24"/>
          <w:highlight w:val="none"/>
        </w:rPr>
        <w:t>投标供应商不能提供项目负责人或者主要技术人员的劳动合同、社会保险等劳动关系证明材料的，视为存在前款第（三）项规定的情形。</w:t>
      </w:r>
    </w:p>
    <w:p>
      <w:pPr>
        <w:widowControl/>
        <w:snapToGrid w:val="0"/>
        <w:spacing w:line="360" w:lineRule="exact"/>
        <w:textAlignment w:val="baseline"/>
        <w:rPr>
          <w:rFonts w:ascii="宋体" w:hAnsi="宋体"/>
          <w:color w:val="000000"/>
          <w:szCs w:val="21"/>
          <w:highlight w:val="none"/>
        </w:rPr>
      </w:pPr>
    </w:p>
    <w:p>
      <w:pPr>
        <w:widowControl/>
        <w:snapToGrid w:val="0"/>
        <w:spacing w:line="300" w:lineRule="atLeast"/>
        <w:ind w:firstLine="525" w:firstLineChars="250"/>
        <w:textAlignment w:val="baseline"/>
        <w:rPr>
          <w:rFonts w:ascii="宋体" w:hAnsi="宋体" w:cs="宋体"/>
          <w:bCs/>
          <w:color w:val="000000"/>
          <w:sz w:val="28"/>
          <w:szCs w:val="28"/>
          <w:highlight w:val="none"/>
        </w:rPr>
      </w:pPr>
      <w:r>
        <w:rPr>
          <w:rFonts w:ascii="宋体" w:hAnsi="宋体"/>
          <w:bCs/>
          <w:color w:val="000000"/>
          <w:sz w:val="24"/>
          <w:highlight w:val="none"/>
        </w:rPr>
        <w:t>四、《中华人民共和国政府采购法实施条例》 </w:t>
      </w:r>
    </w:p>
    <w:p>
      <w:pPr>
        <w:widowControl/>
        <w:snapToGrid w:val="0"/>
        <w:spacing w:line="300" w:lineRule="atLeast"/>
        <w:ind w:firstLine="372" w:firstLineChars="177"/>
        <w:textAlignment w:val="baseline"/>
        <w:rPr>
          <w:rFonts w:ascii="宋体" w:hAnsi="宋体"/>
          <w:color w:val="000000"/>
          <w:sz w:val="24"/>
          <w:highlight w:val="none"/>
        </w:rPr>
      </w:pPr>
      <w:r>
        <w:rPr>
          <w:rFonts w:ascii="宋体" w:hAnsi="宋体"/>
          <w:bCs/>
          <w:color w:val="000000"/>
          <w:sz w:val="24"/>
          <w:highlight w:val="none"/>
        </w:rPr>
        <w:t>第十八条</w:t>
      </w:r>
      <w:r>
        <w:rPr>
          <w:rFonts w:ascii="宋体" w:hAnsi="宋体"/>
          <w:color w:val="000000"/>
          <w:sz w:val="24"/>
          <w:highlight w:val="none"/>
        </w:rPr>
        <w:t>单位负责人为同一人或者存在直接控股、管理关系的不同供应商，不得参加同一合同项下的政府采购活动。</w:t>
      </w:r>
    </w:p>
    <w:p>
      <w:pPr>
        <w:widowControl/>
        <w:snapToGrid w:val="0"/>
        <w:spacing w:line="300" w:lineRule="atLeast"/>
        <w:ind w:firstLine="372" w:firstLineChars="177"/>
        <w:textAlignment w:val="baseline"/>
        <w:rPr>
          <w:rFonts w:ascii="宋体" w:hAnsi="宋体"/>
          <w:color w:val="000000"/>
          <w:sz w:val="24"/>
          <w:highlight w:val="none"/>
        </w:rPr>
      </w:pPr>
      <w:r>
        <w:rPr>
          <w:rFonts w:ascii="宋体" w:hAnsi="宋体"/>
          <w:color w:val="000000"/>
          <w:sz w:val="24"/>
          <w:highlight w:val="none"/>
        </w:rPr>
        <w:t>除单一来源采购项目外，为采购项目提供整体设计、规范编制或者项目管理、监 理、检测等服务的供应商，不得再参加该采购项目的其他采购活动。</w:t>
      </w:r>
    </w:p>
    <w:p>
      <w:pPr>
        <w:widowControl/>
        <w:snapToGrid w:val="0"/>
        <w:spacing w:line="300" w:lineRule="atLeast"/>
        <w:ind w:firstLine="525" w:firstLineChars="250"/>
        <w:textAlignment w:val="baseline"/>
        <w:rPr>
          <w:rFonts w:ascii="宋体" w:hAnsi="宋体"/>
          <w:color w:val="000000"/>
          <w:sz w:val="24"/>
          <w:highlight w:val="none"/>
        </w:rPr>
      </w:pPr>
    </w:p>
    <w:p>
      <w:pPr>
        <w:widowControl/>
        <w:snapToGrid w:val="0"/>
        <w:spacing w:line="300" w:lineRule="atLeast"/>
        <w:ind w:firstLine="525" w:firstLineChars="250"/>
        <w:textAlignment w:val="baseline"/>
        <w:rPr>
          <w:rFonts w:ascii="宋体" w:hAnsi="宋体"/>
          <w:bCs/>
          <w:color w:val="000000"/>
          <w:sz w:val="24"/>
          <w:highlight w:val="none"/>
        </w:rPr>
      </w:pPr>
      <w:r>
        <w:rPr>
          <w:rFonts w:ascii="宋体" w:hAnsi="宋体"/>
          <w:bCs/>
          <w:color w:val="000000"/>
          <w:sz w:val="24"/>
          <w:highlight w:val="none"/>
        </w:rPr>
        <w:t>五、《深圳市财政局关于采购文件增加风险告知有关事项的通知》</w:t>
      </w:r>
    </w:p>
    <w:p>
      <w:pPr>
        <w:widowControl/>
        <w:snapToGrid w:val="0"/>
        <w:spacing w:line="360" w:lineRule="exact"/>
        <w:ind w:firstLine="525" w:firstLineChars="250"/>
        <w:textAlignment w:val="baseline"/>
        <w:rPr>
          <w:color w:val="000000"/>
          <w:highlight w:val="none"/>
        </w:rPr>
      </w:pPr>
      <w:r>
        <w:rPr>
          <w:rFonts w:ascii="宋体" w:hAnsi="宋体"/>
          <w:color w:val="000000"/>
          <w:sz w:val="24"/>
          <w:highlight w:val="none"/>
        </w:rPr>
        <w:t>各投标供应商应按要求提交《政府采购违法行为风险知悉确认书》（详见第三章投标文件格式、附件《政府采购违法行为风险知悉确认书》）。该文件由负责人或投标授权代表签字并加盖单位公章后，与投标文件一并提交。</w:t>
      </w:r>
    </w:p>
    <w:p>
      <w:pPr>
        <w:widowControl/>
        <w:snapToGrid w:val="0"/>
        <w:spacing w:line="300" w:lineRule="atLeast"/>
        <w:ind w:firstLine="525" w:firstLineChars="250"/>
        <w:textAlignment w:val="baseline"/>
        <w:rPr>
          <w:rFonts w:ascii="宋体" w:hAnsi="宋体"/>
          <w:bCs/>
          <w:color w:val="000000"/>
          <w:sz w:val="24"/>
          <w:highlight w:val="none"/>
        </w:rPr>
      </w:pPr>
    </w:p>
    <w:p>
      <w:pPr>
        <w:widowControl/>
        <w:snapToGrid w:val="0"/>
        <w:spacing w:line="300" w:lineRule="atLeast"/>
        <w:ind w:firstLine="525" w:firstLineChars="250"/>
        <w:textAlignment w:val="baseline"/>
        <w:rPr>
          <w:rFonts w:ascii="宋体" w:hAnsi="宋体" w:hint="eastAsia"/>
          <w:color w:val="000000"/>
          <w:sz w:val="24"/>
          <w:highlight w:val="none"/>
        </w:rPr>
      </w:pPr>
      <w:r>
        <w:rPr>
          <w:rFonts w:ascii="宋体" w:hAnsi="宋体" w:hint="eastAsia"/>
          <w:color w:val="000000"/>
          <w:sz w:val="24"/>
          <w:highlight w:val="none"/>
        </w:rPr>
        <w:t>六、特别提醒</w:t>
      </w:r>
    </w:p>
    <w:p>
      <w:pPr>
        <w:widowControl/>
        <w:snapToGrid w:val="0"/>
        <w:spacing w:line="300" w:lineRule="atLeast"/>
        <w:ind w:firstLine="368" w:firstLineChars="175"/>
        <w:textAlignment w:val="baseline"/>
        <w:rPr>
          <w:rFonts w:ascii="宋体" w:hAnsi="宋体" w:hint="eastAsia"/>
          <w:color w:val="000000"/>
          <w:sz w:val="24"/>
          <w:highlight w:val="none"/>
        </w:rPr>
      </w:pPr>
      <w:r>
        <w:rPr>
          <w:rFonts w:ascii="宋体" w:hAnsi="宋体" w:hint="eastAsia"/>
          <w:color w:val="000000"/>
          <w:sz w:val="24"/>
          <w:highlight w:val="none"/>
        </w:rPr>
        <w:t>（一）供应商在使用深圳政府采购智慧平台的投标文件制作工具创建投标文件时，该工具将自动在投标文件中记录文件创建标识码，同时提取投标文件制作电脑的网卡 MAC 地址、硬盘序列号、CPU 序列号、主板序列号和工具标识号，经加密生成文件制作机器码并在投标文件中记录。文件制作机器码一致表明不同供应商使用了同一设备编制投标文件，文件创建标识码一致表明不同供应商的投标文件为同一份文件，IP 地址一致表明上传投标文件时使用了相同的网络。</w:t>
      </w:r>
    </w:p>
    <w:p>
      <w:pPr>
        <w:widowControl/>
        <w:snapToGrid w:val="0"/>
        <w:spacing w:line="300" w:lineRule="atLeast"/>
        <w:ind w:firstLine="368" w:firstLineChars="175"/>
        <w:textAlignment w:val="baseline"/>
        <w:rPr>
          <w:rFonts w:ascii="宋体" w:hAnsi="宋体" w:hint="eastAsia"/>
          <w:color w:val="000000"/>
          <w:sz w:val="24"/>
          <w:highlight w:val="none"/>
        </w:rPr>
      </w:pPr>
      <w:r>
        <w:rPr>
          <w:rFonts w:ascii="宋体" w:hAnsi="宋体" w:hint="eastAsia"/>
          <w:color w:val="000000"/>
          <w:sz w:val="24"/>
          <w:highlight w:val="none"/>
        </w:rPr>
        <w:t xml:space="preserve">    （二）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w:t>
      </w:r>
    </w:p>
    <w:p>
      <w:pPr>
        <w:widowControl/>
        <w:snapToGrid w:val="0"/>
        <w:spacing w:line="300" w:lineRule="atLeast"/>
        <w:ind w:firstLine="368" w:firstLineChars="175"/>
        <w:textAlignment w:val="baseline"/>
        <w:rPr>
          <w:rFonts w:ascii="宋体" w:hAnsi="宋体"/>
          <w:color w:val="000000"/>
          <w:sz w:val="24"/>
          <w:highlight w:val="none"/>
        </w:rPr>
      </w:pPr>
      <w:r>
        <w:rPr>
          <w:rFonts w:ascii="宋体" w:hAnsi="宋体" w:hint="eastAsia"/>
          <w:color w:val="000000"/>
          <w:sz w:val="24"/>
          <w:highlight w:val="none"/>
        </w:rPr>
        <w:t xml:space="preserve">    （三）不同投标供应商使用同一网络或同一设备编制、提交投标文件，将可能涉嫌投标违法行为而被立案调查。为避免出现不同供应商投标文件的文件制作机器码、文件创建标识码、IP地址一致的异常情况，建议并请各供应商编制、上传投标文件时不要使用公共电脑设备或公共网络，妥善保管和使用电子密钥，依法依规参与政府采购活动。</w:t>
      </w:r>
    </w:p>
    <w:p>
      <w:pPr>
        <w:widowControl/>
        <w:snapToGrid w:val="0"/>
        <w:spacing w:before="360" w:beforeLines="150" w:after="120" w:afterLines="50" w:line="360" w:lineRule="auto"/>
        <w:ind w:firstLine="420" w:firstLineChars="200"/>
        <w:jc w:val="center"/>
        <w:textAlignment w:val="baseline"/>
        <w:rPr>
          <w:rFonts w:ascii="黑体" w:hAnsi="黑体" w:cs="黑体"/>
          <w:b/>
          <w:bCs/>
          <w:color w:val="000000"/>
          <w:sz w:val="48"/>
          <w:szCs w:val="48"/>
          <w:highlight w:val="none"/>
        </w:rPr>
      </w:pPr>
      <w:r>
        <w:rPr>
          <w:rFonts w:cs="宋体" w:hint="eastAsia"/>
          <w:b/>
          <w:bCs/>
          <w:color w:val="000000"/>
          <w:sz w:val="24"/>
          <w:highlight w:val="none"/>
        </w:rPr>
        <w:br w:type="page"/>
      </w:r>
      <w:r>
        <w:rPr>
          <w:rFonts w:ascii="黑体" w:hAnsi="黑体" w:cs="黑体" w:hint="eastAsia"/>
          <w:b/>
          <w:bCs/>
          <w:color w:val="000000"/>
          <w:sz w:val="40"/>
          <w:szCs w:val="40"/>
          <w:highlight w:val="none"/>
        </w:rPr>
        <w:t>项目信息</w:t>
      </w:r>
    </w:p>
    <w:p>
      <w:pPr>
        <w:spacing w:line="300" w:lineRule="auto"/>
        <w:ind w:firstLine="210" w:firstLineChars="100"/>
        <w:rPr>
          <w:rFonts w:ascii="宋体" w:hAnsi="宋体" w:cs="宋体"/>
          <w:color w:val="000000"/>
          <w:sz w:val="28"/>
          <w:szCs w:val="22"/>
          <w:highlight w:val="none"/>
        </w:rPr>
      </w:pPr>
      <w:r>
        <w:rPr>
          <w:rFonts w:ascii="宋体" w:hAnsi="宋体" w:cs="宋体" w:hint="eastAsia"/>
          <w:color w:val="000000"/>
          <w:sz w:val="28"/>
          <w:szCs w:val="22"/>
          <w:highlight w:val="none"/>
        </w:rPr>
        <w:t>项目编号：</w:t>
      </w:r>
      <w:r>
        <w:rPr>
          <w:rFonts w:ascii="宋体" w:hAnsi="宋体" w:cs="宋体" w:hint="eastAsia"/>
          <w:color w:val="000000"/>
          <w:sz w:val="28"/>
          <w:szCs w:val="22"/>
          <w:highlight w:val="none"/>
          <w:lang w:eastAsia="zh-CN"/>
        </w:rPr>
        <w:t>SZDL2023001829</w:t>
      </w:r>
      <w:r>
        <w:rPr>
          <w:rFonts w:ascii="宋体" w:hAnsi="宋体" w:cs="宋体" w:hint="eastAsia"/>
          <w:color w:val="000000"/>
          <w:sz w:val="28"/>
          <w:szCs w:val="22"/>
          <w:highlight w:val="none"/>
        </w:rPr>
        <w:t xml:space="preserve">            </w:t>
      </w:r>
    </w:p>
    <w:p>
      <w:pPr>
        <w:spacing w:line="300" w:lineRule="auto"/>
        <w:ind w:firstLine="210" w:firstLineChars="100"/>
        <w:rPr>
          <w:rFonts w:ascii="宋体" w:hAnsi="宋体" w:cs="宋体" w:hint="eastAsia"/>
          <w:color w:val="000000"/>
          <w:sz w:val="28"/>
          <w:szCs w:val="22"/>
          <w:highlight w:val="none"/>
        </w:rPr>
      </w:pPr>
      <w:r>
        <w:rPr>
          <w:rFonts w:ascii="宋体" w:hAnsi="宋体" w:cs="宋体" w:hint="eastAsia"/>
          <w:color w:val="000000"/>
          <w:sz w:val="28"/>
          <w:szCs w:val="22"/>
          <w:highlight w:val="none"/>
        </w:rPr>
        <w:t xml:space="preserve">项目名称：环境工程-纯水机 </w:t>
      </w:r>
    </w:p>
    <w:p>
      <w:pPr>
        <w:spacing w:line="300" w:lineRule="auto"/>
        <w:ind w:firstLine="210" w:firstLineChars="100"/>
        <w:rPr>
          <w:rFonts w:ascii="宋体" w:hAnsi="宋体" w:cs="宋体"/>
          <w:color w:val="000000"/>
          <w:sz w:val="28"/>
          <w:szCs w:val="22"/>
          <w:highlight w:val="none"/>
        </w:rPr>
      </w:pPr>
      <w:r>
        <w:rPr>
          <w:rFonts w:ascii="宋体" w:hAnsi="宋体" w:cs="宋体" w:hint="eastAsia"/>
          <w:color w:val="000000"/>
          <w:sz w:val="28"/>
          <w:szCs w:val="22"/>
          <w:highlight w:val="none"/>
        </w:rPr>
        <w:t xml:space="preserve">包    号：A  </w:t>
      </w:r>
    </w:p>
    <w:p>
      <w:pPr>
        <w:spacing w:line="300" w:lineRule="auto"/>
        <w:ind w:firstLine="210" w:firstLineChars="100"/>
        <w:rPr>
          <w:rFonts w:ascii="宋体" w:hAnsi="宋体" w:cs="宋体"/>
          <w:color w:val="000000"/>
          <w:sz w:val="28"/>
          <w:szCs w:val="22"/>
          <w:highlight w:val="none"/>
        </w:rPr>
      </w:pPr>
      <w:r>
        <w:rPr>
          <w:rFonts w:ascii="宋体" w:hAnsi="宋体" w:cs="宋体" w:hint="eastAsia"/>
          <w:color w:val="000000"/>
          <w:sz w:val="28"/>
          <w:szCs w:val="22"/>
          <w:highlight w:val="none"/>
        </w:rPr>
        <w:t>项目类型：货物类</w:t>
      </w:r>
    </w:p>
    <w:p>
      <w:pPr>
        <w:spacing w:line="300" w:lineRule="auto"/>
        <w:ind w:firstLine="210" w:firstLineChars="100"/>
        <w:rPr>
          <w:rFonts w:ascii="宋体" w:hAnsi="宋体" w:cs="宋体"/>
          <w:color w:val="000000"/>
          <w:sz w:val="28"/>
          <w:szCs w:val="22"/>
          <w:highlight w:val="none"/>
        </w:rPr>
      </w:pPr>
      <w:r>
        <w:rPr>
          <w:rFonts w:ascii="宋体" w:hAnsi="宋体" w:cs="宋体" w:hint="eastAsia"/>
          <w:color w:val="000000"/>
          <w:sz w:val="28"/>
          <w:szCs w:val="22"/>
          <w:highlight w:val="none"/>
        </w:rPr>
        <w:t>采购方式：公开招标</w:t>
      </w:r>
    </w:p>
    <w:p>
      <w:pPr>
        <w:spacing w:line="300" w:lineRule="auto"/>
        <w:ind w:firstLine="210" w:firstLineChars="100"/>
        <w:rPr>
          <w:rFonts w:ascii="宋体" w:hAnsi="宋体" w:cs="宋体"/>
          <w:color w:val="000000"/>
          <w:sz w:val="28"/>
          <w:szCs w:val="22"/>
          <w:highlight w:val="none"/>
        </w:rPr>
      </w:pPr>
      <w:r>
        <w:rPr>
          <w:rFonts w:ascii="宋体" w:hAnsi="宋体" w:cs="宋体" w:hint="eastAsia"/>
          <w:color w:val="000000"/>
          <w:sz w:val="28"/>
          <w:szCs w:val="22"/>
          <w:highlight w:val="none"/>
        </w:rPr>
        <w:t>货币类型：人民币</w:t>
      </w:r>
    </w:p>
    <w:p>
      <w:pPr>
        <w:pStyle w:val="Heading2"/>
        <w:spacing w:line="300" w:lineRule="auto"/>
        <w:rPr>
          <w:rFonts w:ascii="黑体" w:eastAsia="黑体" w:hAnsi="黑体" w:cs="黑体"/>
          <w:color w:val="000000"/>
          <w:sz w:val="36"/>
          <w:highlight w:val="none"/>
        </w:rPr>
      </w:pPr>
      <w:r>
        <w:rPr>
          <w:rFonts w:ascii="黑体" w:eastAsia="黑体" w:hAnsi="黑体" w:cs="黑体" w:hint="eastAsia"/>
          <w:color w:val="000000"/>
          <w:sz w:val="36"/>
          <w:highlight w:val="none"/>
        </w:rPr>
        <w:t xml:space="preserve"> 投标文件初审表</w:t>
      </w:r>
    </w:p>
    <w:p>
      <w:pPr>
        <w:spacing w:line="300" w:lineRule="auto"/>
        <w:ind w:firstLine="281"/>
        <w:jc w:val="center"/>
        <w:outlineLvl w:val="1"/>
        <w:rPr>
          <w:rFonts w:ascii="宋体" w:hAnsi="宋体" w:cs="宋体"/>
          <w:b/>
          <w:color w:val="000000"/>
          <w:sz w:val="28"/>
          <w:szCs w:val="28"/>
          <w:highlight w:val="none"/>
        </w:rPr>
      </w:pPr>
      <w:r>
        <w:rPr>
          <w:rFonts w:ascii="宋体" w:hAnsi="宋体" w:cs="宋体" w:hint="eastAsia"/>
          <w:b/>
          <w:color w:val="000000"/>
          <w:sz w:val="28"/>
          <w:szCs w:val="28"/>
          <w:highlight w:val="none"/>
        </w:rPr>
        <w:t>资格性审查表</w:t>
      </w:r>
    </w:p>
    <w:tbl>
      <w:tblPr>
        <w:tblStyle w:val="TableNorm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Look w:val="0000"/>
      </w:tblPr>
      <w:tblGrid>
        <w:gridCol w:w="708"/>
        <w:gridCol w:w="8390"/>
      </w:tblGrid>
      <w:tr>
        <w:tblPrEx>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Look w:val="0000"/>
        </w:tblPrEx>
        <w:trPr>
          <w:trHeight w:val="345"/>
          <w:jc w:val="center"/>
        </w:trPr>
        <w:tc>
          <w:tcPr>
            <w:tcW w:w="708" w:type="dxa"/>
            <w:tcBorders>
              <w:top w:val="single" w:sz="8" w:space="0" w:color="000000"/>
              <w:left w:val="single" w:sz="8" w:space="0" w:color="000000"/>
              <w:bottom w:val="single" w:sz="8" w:space="0" w:color="000000"/>
              <w:right w:val="single" w:sz="8" w:space="0" w:color="000000"/>
            </w:tcBorders>
            <w:shd w:val="clear" w:color="auto" w:fill="E6EFFA"/>
            <w:vAlign w:val="center"/>
          </w:tcPr>
          <w:p>
            <w:pPr>
              <w:spacing w:line="300" w:lineRule="auto"/>
              <w:jc w:val="center"/>
              <w:rPr>
                <w:rFonts w:ascii="宋体" w:hAnsi="宋体" w:cs="宋体"/>
                <w:b/>
                <w:color w:val="000000"/>
                <w:szCs w:val="21"/>
                <w:highlight w:val="none"/>
              </w:rPr>
            </w:pPr>
            <w:r>
              <w:rPr>
                <w:rFonts w:ascii="宋体" w:hAnsi="宋体" w:cs="宋体" w:hint="eastAsia"/>
                <w:b/>
                <w:color w:val="000000"/>
                <w:szCs w:val="21"/>
                <w:highlight w:val="none"/>
              </w:rPr>
              <w:t>序号</w:t>
            </w:r>
          </w:p>
        </w:tc>
        <w:tc>
          <w:tcPr>
            <w:tcW w:w="8390" w:type="dxa"/>
            <w:tcBorders>
              <w:top w:val="single" w:sz="8" w:space="0" w:color="000000"/>
              <w:left w:val="single" w:sz="8" w:space="0" w:color="000000"/>
              <w:bottom w:val="single" w:sz="8" w:space="0" w:color="000000"/>
              <w:right w:val="single" w:sz="8" w:space="0" w:color="000000"/>
            </w:tcBorders>
            <w:shd w:val="clear" w:color="auto" w:fill="E6EFFA"/>
            <w:vAlign w:val="center"/>
          </w:tcPr>
          <w:p>
            <w:pPr>
              <w:spacing w:line="300" w:lineRule="auto"/>
              <w:jc w:val="center"/>
              <w:rPr>
                <w:rFonts w:ascii="宋体" w:hAnsi="宋体" w:cs="宋体"/>
                <w:b/>
                <w:color w:val="000000"/>
                <w:szCs w:val="21"/>
                <w:highlight w:val="none"/>
              </w:rPr>
            </w:pPr>
            <w:r>
              <w:rPr>
                <w:rFonts w:ascii="宋体" w:hAnsi="宋体" w:cs="宋体" w:hint="eastAsia"/>
                <w:b/>
                <w:color w:val="000000"/>
                <w:szCs w:val="21"/>
                <w:highlight w:val="none"/>
              </w:rPr>
              <w:t>内容</w:t>
            </w:r>
          </w:p>
        </w:tc>
      </w:tr>
      <w:tr>
        <w:tblPrEx>
          <w:tblW w:w="0" w:type="auto"/>
          <w:jc w:val="center"/>
          <w:tblLayout w:type="fixed"/>
          <w:tblCellMar>
            <w:top w:w="20" w:type="dxa"/>
            <w:left w:w="108" w:type="dxa"/>
            <w:bottom w:w="20" w:type="dxa"/>
            <w:right w:w="108" w:type="dxa"/>
          </w:tblCellMar>
          <w:tblLook w:val="0000"/>
        </w:tblPrEx>
        <w:trPr>
          <w:trHeight w:val="383"/>
          <w:jc w:val="center"/>
        </w:trPr>
        <w:tc>
          <w:tcPr>
            <w:tcW w:w="708" w:type="dxa"/>
            <w:tcBorders>
              <w:top w:val="single" w:sz="8" w:space="0" w:color="000000"/>
              <w:left w:val="single" w:sz="8" w:space="0" w:color="000000"/>
              <w:bottom w:val="single" w:sz="8" w:space="0" w:color="000000"/>
              <w:right w:val="single" w:sz="8" w:space="0" w:color="000000"/>
            </w:tcBorders>
            <w:vAlign w:val="center"/>
          </w:tcPr>
          <w:p>
            <w:pPr>
              <w:spacing w:line="300" w:lineRule="exact"/>
              <w:jc w:val="center"/>
              <w:rPr>
                <w:rFonts w:ascii="宋体" w:hAnsi="宋体" w:cs="宋体" w:hint="eastAsia"/>
                <w:color w:val="000000"/>
                <w:szCs w:val="21"/>
                <w:highlight w:val="none"/>
              </w:rPr>
            </w:pPr>
            <w:r>
              <w:rPr>
                <w:rFonts w:ascii="宋体" w:hAnsi="宋体" w:cs="宋体" w:hint="eastAsia"/>
                <w:color w:val="000000"/>
                <w:szCs w:val="21"/>
                <w:highlight w:val="none"/>
              </w:rPr>
              <w:t>1</w:t>
            </w:r>
          </w:p>
        </w:tc>
        <w:tc>
          <w:tcPr>
            <w:tcW w:w="8390" w:type="dxa"/>
            <w:tcBorders>
              <w:top w:val="single" w:sz="8" w:space="0" w:color="000000"/>
              <w:left w:val="single" w:sz="8" w:space="0" w:color="000000"/>
              <w:bottom w:val="single" w:sz="8" w:space="0" w:color="000000"/>
              <w:right w:val="single" w:sz="8" w:space="0" w:color="000000"/>
            </w:tcBorders>
            <w:vAlign w:val="center"/>
          </w:tcPr>
          <w:p>
            <w:pPr>
              <w:spacing w:line="300" w:lineRule="exact"/>
              <w:rPr>
                <w:rFonts w:ascii="宋体" w:hAnsi="宋体" w:cs="宋体" w:hint="eastAsia"/>
                <w:b/>
                <w:bCs/>
                <w:color w:val="000000"/>
                <w:szCs w:val="21"/>
                <w:highlight w:val="none"/>
              </w:rPr>
            </w:pPr>
            <w:r>
              <w:rPr>
                <w:rFonts w:ascii="宋体" w:hAnsi="宋体" w:cs="宋体" w:hint="eastAsia"/>
                <w:b/>
                <w:bCs/>
                <w:color w:val="000000"/>
                <w:szCs w:val="21"/>
                <w:highlight w:val="none"/>
              </w:rPr>
              <w:t>营业执照【其他组织提供《事业单位法人证书》或《民办非企业单位登记证书》】及税务登记证（若提供的营业执照为三证合一，则税务登记证可不单独提供）</w:t>
            </w:r>
          </w:p>
          <w:p>
            <w:pPr>
              <w:spacing w:line="300" w:lineRule="exact"/>
              <w:rPr>
                <w:rFonts w:ascii="长城仿宋" w:hint="eastAsia"/>
                <w:color w:val="000000"/>
                <w:szCs w:val="20"/>
                <w:highlight w:val="none"/>
              </w:rPr>
            </w:pPr>
            <w:r>
              <w:rPr>
                <w:rFonts w:ascii="宋体" w:hAnsi="宋体" w:cs="宋体" w:hint="eastAsia"/>
                <w:bCs/>
                <w:color w:val="000000"/>
                <w:sz w:val="22"/>
                <w:szCs w:val="22"/>
                <w:highlight w:val="none"/>
              </w:rPr>
              <w:t>注：未按招标文件提供有效证书扫描件或无法判断的投标无效。</w:t>
            </w:r>
          </w:p>
        </w:tc>
      </w:tr>
      <w:tr>
        <w:tblPrEx>
          <w:tblW w:w="0" w:type="auto"/>
          <w:jc w:val="center"/>
          <w:tblLayout w:type="fixed"/>
          <w:tblCellMar>
            <w:top w:w="20" w:type="dxa"/>
            <w:left w:w="108" w:type="dxa"/>
            <w:bottom w:w="20" w:type="dxa"/>
            <w:right w:w="108" w:type="dxa"/>
          </w:tblCellMar>
          <w:tblLook w:val="0000"/>
        </w:tblPrEx>
        <w:trPr>
          <w:trHeight w:val="383"/>
          <w:jc w:val="center"/>
        </w:trPr>
        <w:tc>
          <w:tcPr>
            <w:tcW w:w="708" w:type="dxa"/>
            <w:tcBorders>
              <w:top w:val="single" w:sz="8" w:space="0" w:color="000000"/>
              <w:left w:val="single" w:sz="8" w:space="0" w:color="000000"/>
              <w:bottom w:val="single" w:sz="8" w:space="0" w:color="000000"/>
              <w:right w:val="single" w:sz="8" w:space="0" w:color="000000"/>
            </w:tcBorders>
            <w:vAlign w:val="center"/>
          </w:tcPr>
          <w:p>
            <w:pPr>
              <w:spacing w:line="300" w:lineRule="exact"/>
              <w:jc w:val="center"/>
              <w:rPr>
                <w:rFonts w:ascii="宋体" w:hAnsi="宋体" w:cs="宋体" w:hint="eastAsia"/>
                <w:color w:val="000000"/>
                <w:szCs w:val="21"/>
                <w:highlight w:val="none"/>
              </w:rPr>
            </w:pPr>
            <w:r>
              <w:rPr>
                <w:rFonts w:ascii="宋体" w:hAnsi="宋体" w:cs="宋体" w:hint="eastAsia"/>
                <w:color w:val="000000"/>
                <w:szCs w:val="21"/>
                <w:highlight w:val="none"/>
              </w:rPr>
              <w:t>2</w:t>
            </w:r>
          </w:p>
        </w:tc>
        <w:tc>
          <w:tcPr>
            <w:tcW w:w="8390" w:type="dxa"/>
            <w:tcBorders>
              <w:top w:val="single" w:sz="8" w:space="0" w:color="000000"/>
              <w:left w:val="single" w:sz="8" w:space="0" w:color="000000"/>
              <w:bottom w:val="single" w:sz="8" w:space="0" w:color="000000"/>
              <w:right w:val="single" w:sz="8" w:space="0" w:color="000000"/>
            </w:tcBorders>
            <w:vAlign w:val="center"/>
          </w:tcPr>
          <w:p>
            <w:pPr>
              <w:snapToGrid w:val="0"/>
              <w:spacing w:line="300" w:lineRule="exact"/>
              <w:jc w:val="left"/>
              <w:rPr>
                <w:rFonts w:ascii="宋体" w:hAnsi="宋体" w:cs="宋体" w:hint="eastAsia"/>
                <w:b/>
                <w:color w:val="000000"/>
                <w:szCs w:val="21"/>
                <w:highlight w:val="none"/>
              </w:rPr>
            </w:pPr>
            <w:r>
              <w:rPr>
                <w:rFonts w:ascii="宋体" w:hAnsi="宋体" w:cs="宋体" w:hint="eastAsia"/>
                <w:b/>
                <w:color w:val="000000"/>
                <w:szCs w:val="21"/>
                <w:highlight w:val="none"/>
              </w:rPr>
              <w:t>政府采购投标及履约承诺函</w:t>
            </w:r>
          </w:p>
          <w:p>
            <w:pPr>
              <w:spacing w:line="300" w:lineRule="exact"/>
              <w:rPr>
                <w:rFonts w:hint="eastAsia"/>
                <w:color w:val="000000"/>
                <w:highlight w:val="none"/>
              </w:rPr>
            </w:pPr>
            <w:r>
              <w:rPr>
                <w:rFonts w:ascii="宋体" w:hAnsi="宋体" w:cs="宋体" w:hint="eastAsia"/>
                <w:bCs/>
                <w:color w:val="000000"/>
                <w:sz w:val="22"/>
                <w:szCs w:val="22"/>
                <w:highlight w:val="none"/>
              </w:rPr>
              <w:t>注：未按招标文件格式要求提供或无法判断的投标无效。</w:t>
            </w:r>
          </w:p>
        </w:tc>
      </w:tr>
      <w:tr>
        <w:tblPrEx>
          <w:tblW w:w="0" w:type="auto"/>
          <w:jc w:val="center"/>
          <w:tblLayout w:type="fixed"/>
          <w:tblCellMar>
            <w:top w:w="20" w:type="dxa"/>
            <w:left w:w="108" w:type="dxa"/>
            <w:bottom w:w="20" w:type="dxa"/>
            <w:right w:w="108" w:type="dxa"/>
          </w:tblCellMar>
          <w:tblLook w:val="0000"/>
        </w:tblPrEx>
        <w:trPr>
          <w:trHeight w:val="383"/>
          <w:jc w:val="center"/>
        </w:trPr>
        <w:tc>
          <w:tcPr>
            <w:tcW w:w="708" w:type="dxa"/>
            <w:tcBorders>
              <w:top w:val="single" w:sz="8" w:space="0" w:color="000000"/>
              <w:left w:val="single" w:sz="8" w:space="0" w:color="000000"/>
              <w:bottom w:val="single" w:sz="8" w:space="0" w:color="000000"/>
              <w:right w:val="single" w:sz="8" w:space="0" w:color="000000"/>
            </w:tcBorders>
            <w:vAlign w:val="center"/>
          </w:tcPr>
          <w:p>
            <w:pPr>
              <w:spacing w:line="300" w:lineRule="exact"/>
              <w:jc w:val="center"/>
              <w:rPr>
                <w:rFonts w:ascii="宋体" w:hAnsi="宋体" w:cs="宋体" w:hint="eastAsia"/>
                <w:color w:val="000000"/>
                <w:szCs w:val="21"/>
                <w:highlight w:val="none"/>
              </w:rPr>
            </w:pPr>
            <w:r>
              <w:rPr>
                <w:rFonts w:ascii="宋体" w:hAnsi="宋体" w:cs="宋体" w:hint="eastAsia"/>
                <w:color w:val="000000"/>
                <w:szCs w:val="21"/>
                <w:highlight w:val="none"/>
              </w:rPr>
              <w:t>3</w:t>
            </w:r>
          </w:p>
        </w:tc>
        <w:tc>
          <w:tcPr>
            <w:tcW w:w="8390" w:type="dxa"/>
            <w:tcBorders>
              <w:top w:val="single" w:sz="8" w:space="0" w:color="000000"/>
              <w:left w:val="single" w:sz="8" w:space="0" w:color="000000"/>
              <w:bottom w:val="single" w:sz="8" w:space="0" w:color="000000"/>
              <w:right w:val="single" w:sz="8" w:space="0" w:color="000000"/>
            </w:tcBorders>
            <w:vAlign w:val="center"/>
          </w:tcPr>
          <w:p>
            <w:pPr>
              <w:spacing w:line="300" w:lineRule="exact"/>
              <w:rPr>
                <w:rFonts w:ascii="宋体" w:hAnsi="宋体" w:cs="宋体" w:hint="eastAsia"/>
                <w:bCs/>
                <w:color w:val="000000"/>
                <w:sz w:val="22"/>
                <w:szCs w:val="22"/>
                <w:highlight w:val="none"/>
              </w:rPr>
            </w:pPr>
            <w:r>
              <w:rPr>
                <w:rFonts w:ascii="宋体" w:hAnsi="宋体" w:cs="宋体" w:hint="eastAsia"/>
                <w:color w:val="000000"/>
                <w:szCs w:val="21"/>
                <w:highlight w:val="none"/>
              </w:rPr>
              <w:t>投标人所投产品是否符合财库〔2007〕119号《政府采购进口产品管理办法》和财办库〔2008〕248号文的要求。</w:t>
            </w:r>
          </w:p>
        </w:tc>
      </w:tr>
    </w:tbl>
    <w:p>
      <w:pPr>
        <w:spacing w:line="300" w:lineRule="auto"/>
        <w:ind w:firstLine="281"/>
        <w:jc w:val="center"/>
        <w:outlineLvl w:val="1"/>
        <w:rPr>
          <w:rFonts w:ascii="宋体" w:hAnsi="宋体" w:cs="宋体"/>
          <w:b/>
          <w:color w:val="000000"/>
          <w:sz w:val="28"/>
          <w:szCs w:val="28"/>
          <w:highlight w:val="none"/>
        </w:rPr>
      </w:pPr>
      <w:r>
        <w:rPr>
          <w:rFonts w:ascii="宋体" w:hAnsi="宋体" w:cs="宋体" w:hint="eastAsia"/>
          <w:b/>
          <w:color w:val="000000"/>
          <w:sz w:val="28"/>
          <w:szCs w:val="28"/>
          <w:highlight w:val="none"/>
        </w:rPr>
        <w:t>符合性检查表</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789"/>
        <w:gridCol w:w="839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hint="eastAsia"/>
                <w:b/>
                <w:color w:val="000000"/>
                <w:szCs w:val="21"/>
                <w:highlight w:val="none"/>
              </w:rPr>
            </w:pPr>
            <w:r>
              <w:rPr>
                <w:rFonts w:ascii="宋体" w:hAnsi="宋体" w:cs="宋体" w:hint="eastAsia"/>
                <w:b/>
                <w:color w:val="000000"/>
                <w:szCs w:val="21"/>
                <w:highlight w:val="none"/>
              </w:rPr>
              <w:t>序号</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hint="eastAsia"/>
                <w:b/>
                <w:color w:val="000000"/>
                <w:szCs w:val="21"/>
                <w:highlight w:val="none"/>
              </w:rPr>
            </w:pPr>
            <w:r>
              <w:rPr>
                <w:rFonts w:ascii="宋体" w:hAnsi="宋体" w:cs="宋体" w:hint="eastAsia"/>
                <w:b/>
                <w:color w:val="000000"/>
                <w:szCs w:val="21"/>
                <w:highlight w:val="none"/>
              </w:rPr>
              <w:t>内容</w:t>
            </w:r>
          </w:p>
        </w:tc>
      </w:tr>
      <w:tr>
        <w:tblPrEx>
          <w:tblW w:w="0" w:type="auto"/>
          <w:jc w:val="center"/>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b/>
                <w:color w:val="000000"/>
                <w:szCs w:val="21"/>
                <w:highlight w:val="none"/>
              </w:rPr>
            </w:pPr>
            <w:r>
              <w:rPr>
                <w:rFonts w:ascii="宋体" w:hAnsi="宋体" w:cs="宋体" w:hint="eastAsia"/>
                <w:b/>
                <w:color w:val="000000"/>
                <w:szCs w:val="21"/>
                <w:highlight w:val="none"/>
              </w:rPr>
              <w:t>1</w:t>
            </w:r>
          </w:p>
        </w:tc>
        <w:tc>
          <w:tcPr>
            <w:tcW w:w="8391" w:type="dxa"/>
            <w:tcBorders>
              <w:top w:val="single" w:sz="4" w:space="0" w:color="auto"/>
              <w:left w:val="single" w:sz="4" w:space="0" w:color="auto"/>
              <w:bottom w:val="single" w:sz="4" w:space="0" w:color="auto"/>
              <w:right w:val="single" w:sz="4" w:space="0" w:color="auto"/>
            </w:tcBorders>
            <w:vAlign w:val="center"/>
          </w:tcPr>
          <w:p>
            <w:pPr>
              <w:snapToGrid w:val="0"/>
              <w:spacing w:line="300" w:lineRule="exact"/>
              <w:jc w:val="left"/>
              <w:rPr>
                <w:rFonts w:ascii="宋体" w:hAnsi="宋体" w:cs="宋体"/>
                <w:b/>
                <w:color w:val="000000"/>
                <w:highlight w:val="none"/>
              </w:rPr>
            </w:pPr>
            <w:r>
              <w:rPr>
                <w:rFonts w:ascii="宋体" w:hAnsi="宋体" w:cs="宋体" w:hint="eastAsia"/>
                <w:b/>
                <w:color w:val="000000"/>
                <w:highlight w:val="none"/>
              </w:rPr>
              <w:t>法定代表人（负责人）资格证明书和投标文件签署授权委托书（投标代表为法定代表人的，无需提供投标文件签署授权委托书）；</w:t>
            </w:r>
          </w:p>
          <w:p>
            <w:pPr>
              <w:pStyle w:val="a28"/>
              <w:spacing w:line="300" w:lineRule="exact"/>
              <w:ind w:firstLine="0" w:firstLineChars="0"/>
              <w:rPr>
                <w:rFonts w:ascii="Times New Roman"/>
                <w:color w:val="000000"/>
                <w:highlight w:val="none"/>
              </w:rPr>
            </w:pPr>
            <w:r>
              <w:rPr>
                <w:rFonts w:ascii="宋体" w:hAnsi="宋体" w:cs="宋体" w:hint="eastAsia"/>
                <w:b/>
                <w:color w:val="000000"/>
                <w:highlight w:val="none"/>
              </w:rPr>
              <w:t>注：本考察内容为非信息公开部分投标人可放入附件</w:t>
            </w:r>
          </w:p>
        </w:tc>
      </w:tr>
      <w:tr>
        <w:tblPrEx>
          <w:tblW w:w="0" w:type="auto"/>
          <w:jc w:val="center"/>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b/>
                <w:color w:val="000000"/>
                <w:szCs w:val="21"/>
                <w:highlight w:val="none"/>
              </w:rPr>
            </w:pPr>
            <w:r>
              <w:rPr>
                <w:rFonts w:ascii="宋体" w:hAnsi="宋体" w:cs="宋体" w:hint="eastAsia"/>
                <w:b/>
                <w:color w:val="000000"/>
                <w:szCs w:val="21"/>
                <w:highlight w:val="none"/>
              </w:rPr>
              <w:t>2</w:t>
            </w:r>
          </w:p>
        </w:tc>
        <w:tc>
          <w:tcPr>
            <w:tcW w:w="8391" w:type="dxa"/>
            <w:tcBorders>
              <w:top w:val="single" w:sz="4" w:space="0" w:color="auto"/>
              <w:left w:val="single" w:sz="4" w:space="0" w:color="auto"/>
              <w:bottom w:val="single" w:sz="4" w:space="0" w:color="auto"/>
              <w:right w:val="single" w:sz="4" w:space="0" w:color="auto"/>
            </w:tcBorders>
            <w:vAlign w:val="center"/>
          </w:tcPr>
          <w:p>
            <w:pPr>
              <w:snapToGrid w:val="0"/>
              <w:spacing w:line="360" w:lineRule="exact"/>
              <w:jc w:val="left"/>
              <w:rPr>
                <w:rFonts w:ascii="宋体" w:hAnsi="宋体" w:cs="宋体"/>
                <w:color w:val="000000"/>
                <w:szCs w:val="21"/>
                <w:highlight w:val="none"/>
              </w:rPr>
            </w:pPr>
            <w:r>
              <w:rPr>
                <w:rFonts w:ascii="宋体" w:hAnsi="宋体" w:cs="宋体" w:hint="eastAsia"/>
                <w:b/>
                <w:bCs/>
                <w:color w:val="000000"/>
                <w:szCs w:val="21"/>
                <w:highlight w:val="none"/>
              </w:rPr>
              <w:t>未按招标文件所提供的样式填写《投标函》的投标无效；</w:t>
            </w:r>
          </w:p>
        </w:tc>
      </w:tr>
      <w:tr>
        <w:tblPrEx>
          <w:tblW w:w="0" w:type="auto"/>
          <w:jc w:val="center"/>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b/>
                <w:color w:val="000000"/>
                <w:szCs w:val="21"/>
                <w:highlight w:val="none"/>
              </w:rPr>
            </w:pPr>
            <w:r>
              <w:rPr>
                <w:rFonts w:ascii="宋体" w:hAnsi="宋体" w:cs="宋体" w:hint="eastAsia"/>
                <w:b/>
                <w:color w:val="000000"/>
                <w:szCs w:val="21"/>
                <w:highlight w:val="none"/>
              </w:rPr>
              <w:t>3</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szCs w:val="21"/>
                <w:highlight w:val="none"/>
              </w:rPr>
            </w:pPr>
            <w:r>
              <w:rPr>
                <w:rFonts w:ascii="宋体" w:hAnsi="宋体" w:cs="宋体" w:hint="eastAsia"/>
                <w:b/>
                <w:color w:val="000000"/>
                <w:szCs w:val="21"/>
                <w:highlight w:val="none"/>
              </w:rPr>
              <w:t>未按招标文件所提供的《招标代理服务费承诺书》进行承诺的投标无效；</w:t>
            </w:r>
          </w:p>
        </w:tc>
      </w:tr>
      <w:tr>
        <w:tblPrEx>
          <w:tblW w:w="0" w:type="auto"/>
          <w:jc w:val="center"/>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b/>
                <w:color w:val="000000"/>
                <w:szCs w:val="21"/>
                <w:highlight w:val="none"/>
              </w:rPr>
            </w:pPr>
            <w:r>
              <w:rPr>
                <w:rFonts w:ascii="宋体" w:hAnsi="宋体" w:cs="宋体" w:hint="eastAsia"/>
                <w:b/>
                <w:color w:val="000000"/>
                <w:szCs w:val="21"/>
                <w:highlight w:val="none"/>
              </w:rPr>
              <w:t>4</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highlight w:val="none"/>
              </w:rPr>
            </w:pPr>
            <w:r>
              <w:rPr>
                <w:rFonts w:ascii="宋体" w:hAnsi="宋体" w:cs="宋体" w:hint="eastAsia"/>
                <w:b/>
                <w:bCs/>
                <w:color w:val="000000"/>
                <w:highlight w:val="none"/>
              </w:rPr>
              <w:t>对招标文件中带“★”号条款的响应没有负偏离；【依据投标人提供的《技术条款偏离表》和《商务条款偏离表》及要求提供的证明材料等进行评审】</w:t>
            </w:r>
          </w:p>
        </w:tc>
      </w:tr>
      <w:tr>
        <w:tblPrEx>
          <w:tblW w:w="0" w:type="auto"/>
          <w:jc w:val="center"/>
          <w:tblLayout w:type="fixed"/>
          <w:tblCellMar>
            <w:top w:w="0" w:type="dxa"/>
            <w:left w:w="108" w:type="dxa"/>
            <w:bottom w:w="0" w:type="dxa"/>
            <w:right w:w="108" w:type="dxa"/>
          </w:tblCellMar>
          <w:tblLook w:val="0000"/>
        </w:tblPrEx>
        <w:trPr>
          <w:trHeight w:val="401"/>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hint="eastAsia"/>
                <w:color w:val="000000"/>
                <w:szCs w:val="21"/>
                <w:highlight w:val="none"/>
              </w:rPr>
            </w:pPr>
            <w:r>
              <w:rPr>
                <w:rFonts w:ascii="宋体" w:hAnsi="宋体" w:cs="宋体" w:hint="eastAsia"/>
                <w:b/>
                <w:bCs/>
                <w:color w:val="000000"/>
                <w:szCs w:val="21"/>
                <w:highlight w:val="none"/>
              </w:rPr>
              <w:t>5</w:t>
            </w:r>
          </w:p>
        </w:tc>
        <w:tc>
          <w:tcPr>
            <w:tcW w:w="8391" w:type="dxa"/>
            <w:tcBorders>
              <w:top w:val="single" w:sz="4" w:space="0" w:color="auto"/>
              <w:left w:val="single" w:sz="4" w:space="0" w:color="auto"/>
              <w:bottom w:val="single" w:sz="4" w:space="0" w:color="auto"/>
              <w:right w:val="single" w:sz="4" w:space="0" w:color="auto"/>
            </w:tcBorders>
            <w:vAlign w:val="center"/>
          </w:tcPr>
          <w:p>
            <w:pPr>
              <w:snapToGrid w:val="0"/>
              <w:spacing w:line="360" w:lineRule="exact"/>
              <w:jc w:val="left"/>
              <w:rPr>
                <w:rFonts w:ascii="宋体" w:hAnsi="宋体" w:cs="宋体" w:hint="eastAsia"/>
                <w:b/>
                <w:color w:val="000000"/>
                <w:szCs w:val="21"/>
                <w:highlight w:val="none"/>
              </w:rPr>
            </w:pPr>
            <w:r>
              <w:rPr>
                <w:rFonts w:hint="eastAsia"/>
                <w:b/>
                <w:color w:val="000000"/>
                <w:szCs w:val="21"/>
                <w:highlight w:val="none"/>
              </w:rPr>
              <w:t>分项报价或投标总价</w:t>
            </w:r>
            <w:r>
              <w:rPr>
                <w:b/>
                <w:color w:val="000000"/>
                <w:szCs w:val="21"/>
                <w:highlight w:val="none"/>
              </w:rPr>
              <w:t>高于预算</w:t>
            </w:r>
            <w:r>
              <w:rPr>
                <w:rFonts w:hint="eastAsia"/>
                <w:b/>
                <w:color w:val="000000"/>
                <w:szCs w:val="21"/>
                <w:highlight w:val="none"/>
              </w:rPr>
              <w:t>金额</w:t>
            </w:r>
            <w:r>
              <w:rPr>
                <w:b/>
                <w:color w:val="000000"/>
                <w:szCs w:val="21"/>
                <w:highlight w:val="none"/>
              </w:rPr>
              <w:t>（最高投标限价）</w:t>
            </w:r>
            <w:r>
              <w:rPr>
                <w:rFonts w:hint="eastAsia"/>
                <w:b/>
                <w:color w:val="000000"/>
                <w:szCs w:val="21"/>
                <w:highlight w:val="none"/>
              </w:rPr>
              <w:t>，同一项目出现两个及以上报价的投标无效</w:t>
            </w:r>
            <w:r>
              <w:rPr>
                <w:rFonts w:ascii="宋体" w:hAnsi="宋体" w:cs="宋体" w:hint="eastAsia"/>
                <w:b/>
                <w:color w:val="000000"/>
                <w:szCs w:val="21"/>
                <w:highlight w:val="none"/>
              </w:rPr>
              <w:t>。</w:t>
            </w:r>
          </w:p>
        </w:tc>
      </w:tr>
      <w:tr>
        <w:tblPrEx>
          <w:tblW w:w="0" w:type="auto"/>
          <w:jc w:val="center"/>
          <w:tblLayout w:type="fixed"/>
          <w:tblCellMar>
            <w:top w:w="0" w:type="dxa"/>
            <w:left w:w="108" w:type="dxa"/>
            <w:bottom w:w="0" w:type="dxa"/>
            <w:right w:w="108" w:type="dxa"/>
          </w:tblCellMar>
          <w:tblLook w:val="0000"/>
        </w:tblPrEx>
        <w:trPr>
          <w:trHeight w:val="401"/>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hint="eastAsia"/>
                <w:b/>
                <w:color w:val="000000"/>
                <w:szCs w:val="21"/>
                <w:highlight w:val="none"/>
              </w:rPr>
            </w:pPr>
            <w:r>
              <w:rPr>
                <w:rFonts w:ascii="宋体" w:hAnsi="宋体" w:cs="宋体" w:hint="eastAsia"/>
                <w:bCs/>
                <w:color w:val="000000"/>
                <w:szCs w:val="21"/>
                <w:highlight w:val="none"/>
              </w:rPr>
              <w:t>6</w:t>
            </w:r>
          </w:p>
        </w:tc>
        <w:tc>
          <w:tcPr>
            <w:tcW w:w="8391" w:type="dxa"/>
            <w:tcBorders>
              <w:top w:val="single" w:sz="4" w:space="0" w:color="auto"/>
              <w:left w:val="single" w:sz="4" w:space="0" w:color="auto"/>
              <w:bottom w:val="single" w:sz="4" w:space="0" w:color="auto"/>
              <w:right w:val="single" w:sz="4" w:space="0" w:color="auto"/>
            </w:tcBorders>
            <w:vAlign w:val="center"/>
          </w:tcPr>
          <w:p>
            <w:pPr>
              <w:snapToGrid w:val="0"/>
              <w:spacing w:line="360" w:lineRule="exact"/>
              <w:jc w:val="left"/>
              <w:rPr>
                <w:rFonts w:ascii="宋体" w:hAnsi="宋体" w:cs="宋体"/>
                <w:b/>
                <w:color w:val="000000"/>
                <w:szCs w:val="21"/>
                <w:highlight w:val="none"/>
              </w:rPr>
            </w:pPr>
            <w:r>
              <w:rPr>
                <w:rFonts w:ascii="宋体" w:hAnsi="宋体" w:cs="宋体" w:hint="eastAsia"/>
                <w:color w:val="000000"/>
                <w:szCs w:val="21"/>
                <w:highlight w:val="none"/>
              </w:rPr>
              <w:t>对同一项目投标时，提供两套以上投标方案（招标文件另有规定的除外）的投标无效；</w:t>
            </w:r>
          </w:p>
        </w:tc>
      </w:tr>
      <w:tr>
        <w:tblPrEx>
          <w:tblW w:w="0" w:type="auto"/>
          <w:jc w:val="center"/>
          <w:tblLayout w:type="fixed"/>
          <w:tblCellMar>
            <w:top w:w="0" w:type="dxa"/>
            <w:left w:w="108" w:type="dxa"/>
            <w:bottom w:w="0" w:type="dxa"/>
            <w:right w:w="108" w:type="dxa"/>
          </w:tblCellMar>
          <w:tblLook w:val="0000"/>
        </w:tblPrEx>
        <w:trPr>
          <w:trHeight w:val="495"/>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7</w:t>
            </w:r>
          </w:p>
        </w:tc>
        <w:tc>
          <w:tcPr>
            <w:tcW w:w="8391" w:type="dxa"/>
            <w:tcBorders>
              <w:top w:val="single" w:sz="4" w:space="0" w:color="auto"/>
              <w:left w:val="single" w:sz="4" w:space="0" w:color="auto"/>
              <w:bottom w:val="single" w:sz="4" w:space="0" w:color="auto"/>
              <w:right w:val="single" w:sz="4" w:space="0" w:color="auto"/>
            </w:tcBorders>
            <w:vAlign w:val="center"/>
          </w:tcPr>
          <w:p>
            <w:pPr>
              <w:snapToGrid w:val="0"/>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将一个包或一个标段的内容拆开投标的投标无效。</w:t>
            </w:r>
          </w:p>
        </w:tc>
      </w:tr>
      <w:tr>
        <w:tblPrEx>
          <w:tblW w:w="0" w:type="auto"/>
          <w:jc w:val="center"/>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8</w:t>
            </w:r>
          </w:p>
        </w:tc>
        <w:tc>
          <w:tcPr>
            <w:tcW w:w="8391" w:type="dxa"/>
            <w:tcBorders>
              <w:top w:val="single" w:sz="4" w:space="0" w:color="auto"/>
              <w:left w:val="single" w:sz="4" w:space="0" w:color="auto"/>
              <w:bottom w:val="single" w:sz="4" w:space="0" w:color="auto"/>
              <w:right w:val="single" w:sz="4" w:space="0" w:color="auto"/>
            </w:tcBorders>
            <w:vAlign w:val="center"/>
          </w:tcPr>
          <w:p>
            <w:pPr>
              <w:snapToGrid w:val="0"/>
              <w:spacing w:line="360" w:lineRule="exact"/>
              <w:jc w:val="left"/>
              <w:rPr>
                <w:rFonts w:ascii="宋体" w:hAnsi="宋体" w:cs="宋体"/>
                <w:b/>
                <w:color w:val="000000"/>
                <w:szCs w:val="21"/>
                <w:highlight w:val="none"/>
              </w:rPr>
            </w:pPr>
            <w:r>
              <w:rPr>
                <w:rFonts w:ascii="宋体" w:hAnsi="宋体" w:cs="宋体" w:hint="eastAsia"/>
                <w:color w:val="000000"/>
                <w:szCs w:val="21"/>
                <w:highlight w:val="none"/>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tblPrEx>
          <w:tblW w:w="0" w:type="auto"/>
          <w:jc w:val="center"/>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9</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投标报价有严重缺漏项目且对招标文件规定的服务清单项目及数量进行修改的投标无效；</w:t>
            </w:r>
          </w:p>
        </w:tc>
      </w:tr>
      <w:tr>
        <w:tblPrEx>
          <w:tblW w:w="0" w:type="auto"/>
          <w:jc w:val="center"/>
          <w:tblLayout w:type="fixed"/>
          <w:tblCellMar>
            <w:top w:w="0" w:type="dxa"/>
            <w:left w:w="108" w:type="dxa"/>
            <w:bottom w:w="0" w:type="dxa"/>
            <w:right w:w="108" w:type="dxa"/>
          </w:tblCellMar>
          <w:tblLook w:val="0000"/>
        </w:tblPrEx>
        <w:trPr>
          <w:trHeight w:val="401"/>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10</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highlight w:val="none"/>
              </w:rPr>
            </w:pPr>
            <w:r>
              <w:rPr>
                <w:rFonts w:ascii="宋体" w:hAnsi="宋体" w:cs="宋体" w:hint="eastAsia"/>
                <w:color w:val="000000"/>
                <w:szCs w:val="21"/>
                <w:highlight w:val="none"/>
              </w:rPr>
              <w:t>投标文件存在规避信息公开情形的投标无效。</w:t>
            </w:r>
          </w:p>
        </w:tc>
      </w:tr>
      <w:tr>
        <w:tblPrEx>
          <w:tblW w:w="0" w:type="auto"/>
          <w:jc w:val="center"/>
          <w:tblLayout w:type="fixed"/>
          <w:tblCellMar>
            <w:top w:w="0" w:type="dxa"/>
            <w:left w:w="108" w:type="dxa"/>
            <w:bottom w:w="0" w:type="dxa"/>
            <w:right w:w="108" w:type="dxa"/>
          </w:tblCellMar>
          <w:tblLook w:val="0000"/>
        </w:tblPrEx>
        <w:trPr>
          <w:trHeight w:val="401"/>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11</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highlight w:val="none"/>
              </w:rPr>
            </w:pPr>
            <w:r>
              <w:rPr>
                <w:rFonts w:ascii="宋体" w:hAnsi="宋体" w:cs="宋体" w:hint="eastAsia"/>
                <w:color w:val="000000"/>
                <w:szCs w:val="21"/>
                <w:highlight w:val="none"/>
              </w:rPr>
              <w:t>投标文件电子文档带病毒的投标无效。</w:t>
            </w:r>
          </w:p>
        </w:tc>
      </w:tr>
      <w:tr>
        <w:tblPrEx>
          <w:tblW w:w="0" w:type="auto"/>
          <w:jc w:val="center"/>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12</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投标文件用不属于本公司的电子密钥进行加密的投标无效。</w:t>
            </w:r>
          </w:p>
        </w:tc>
      </w:tr>
      <w:tr>
        <w:tblPrEx>
          <w:tblW w:w="0" w:type="auto"/>
          <w:jc w:val="center"/>
          <w:tblLayout w:type="fixed"/>
          <w:tblCellMar>
            <w:top w:w="0" w:type="dxa"/>
            <w:left w:w="108" w:type="dxa"/>
            <w:bottom w:w="0" w:type="dxa"/>
            <w:right w:w="108" w:type="dxa"/>
          </w:tblCellMar>
          <w:tblLook w:val="0000"/>
        </w:tblPrEx>
        <w:trPr>
          <w:trHeight w:val="460"/>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13</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highlight w:val="none"/>
              </w:rPr>
            </w:pPr>
            <w:r>
              <w:rPr>
                <w:rFonts w:ascii="宋体" w:hAnsi="宋体" w:cs="宋体" w:hint="eastAsia"/>
                <w:color w:val="000000"/>
                <w:szCs w:val="21"/>
                <w:highlight w:val="none"/>
              </w:rPr>
              <w:t>误选了非本项目的最新加密规则文件，导致投标文件不能在开标时解密的投标无效。</w:t>
            </w:r>
          </w:p>
        </w:tc>
      </w:tr>
      <w:tr>
        <w:tblPrEx>
          <w:tblW w:w="0" w:type="auto"/>
          <w:jc w:val="center"/>
          <w:tblLayout w:type="fixed"/>
          <w:tblCellMar>
            <w:top w:w="0" w:type="dxa"/>
            <w:left w:w="108" w:type="dxa"/>
            <w:bottom w:w="0" w:type="dxa"/>
            <w:right w:w="108" w:type="dxa"/>
          </w:tblCellMar>
          <w:tblLook w:val="0000"/>
        </w:tblPrEx>
        <w:trPr>
          <w:trHeight w:val="416"/>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14</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highlight w:val="none"/>
              </w:rPr>
            </w:pPr>
            <w:r>
              <w:rPr>
                <w:rFonts w:ascii="宋体" w:hAnsi="宋体" w:cs="宋体" w:hint="eastAsia"/>
                <w:color w:val="000000"/>
                <w:szCs w:val="21"/>
                <w:highlight w:val="none"/>
              </w:rPr>
              <w:t>法律、法规规定的其他情形。</w:t>
            </w:r>
          </w:p>
        </w:tc>
      </w:tr>
      <w:tr>
        <w:tblPrEx>
          <w:tblW w:w="0" w:type="auto"/>
          <w:jc w:val="center"/>
          <w:tblLayout w:type="fixed"/>
          <w:tblCellMar>
            <w:top w:w="0" w:type="dxa"/>
            <w:left w:w="108" w:type="dxa"/>
            <w:bottom w:w="0" w:type="dxa"/>
            <w:right w:w="108" w:type="dxa"/>
          </w:tblCellMar>
          <w:tblLook w:val="0000"/>
        </w:tblPrEx>
        <w:trPr>
          <w:trHeight w:val="416"/>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15</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hint="eastAsia"/>
                <w:b/>
                <w:bCs/>
                <w:color w:val="000000"/>
                <w:szCs w:val="21"/>
                <w:highlight w:val="none"/>
              </w:rPr>
            </w:pPr>
            <w:r>
              <w:rPr>
                <w:rFonts w:ascii="宋体" w:hAnsi="宋体" w:cs="宋体" w:hint="eastAsia"/>
                <w:b/>
                <w:bCs/>
                <w:color w:val="000000"/>
                <w:szCs w:val="21"/>
                <w:highlight w:val="none"/>
              </w:rPr>
              <w:t>出现以下情形之一的供应商作投标无效处理，并依法上报监管机关。</w:t>
            </w:r>
          </w:p>
          <w:p>
            <w:pPr>
              <w:spacing w:line="360" w:lineRule="exact"/>
              <w:jc w:val="left"/>
              <w:rPr>
                <w:rFonts w:ascii="宋体" w:hAnsi="宋体" w:cs="宋体" w:hint="eastAsia"/>
                <w:b/>
                <w:bCs/>
                <w:color w:val="000000"/>
                <w:szCs w:val="21"/>
                <w:highlight w:val="none"/>
              </w:rPr>
            </w:pPr>
            <w:r>
              <w:rPr>
                <w:rFonts w:ascii="宋体" w:hAnsi="宋体" w:cs="宋体" w:hint="eastAsia"/>
                <w:b/>
                <w:bCs/>
                <w:color w:val="000000"/>
                <w:szCs w:val="21"/>
                <w:highlight w:val="none"/>
              </w:rPr>
              <w:t>（1）不同投标供应商投标文件“文件制作机器码”和“IP 地址”一致的；</w:t>
            </w:r>
          </w:p>
          <w:p>
            <w:pPr>
              <w:spacing w:line="360" w:lineRule="exact"/>
              <w:jc w:val="left"/>
              <w:rPr>
                <w:rFonts w:ascii="宋体" w:hAnsi="宋体" w:cs="宋体" w:hint="eastAsia"/>
                <w:b/>
                <w:bCs/>
                <w:color w:val="000000"/>
                <w:szCs w:val="21"/>
                <w:highlight w:val="none"/>
              </w:rPr>
            </w:pPr>
            <w:r>
              <w:rPr>
                <w:rFonts w:ascii="宋体" w:hAnsi="宋体" w:cs="宋体" w:hint="eastAsia"/>
                <w:b/>
                <w:bCs/>
                <w:color w:val="000000"/>
                <w:szCs w:val="21"/>
                <w:highlight w:val="none"/>
              </w:rPr>
              <w:t>（2）不同投标供应商投标文件“文件创建标识码”和“IP 地址”一致的；</w:t>
            </w:r>
          </w:p>
          <w:p>
            <w:pPr>
              <w:spacing w:line="360" w:lineRule="exact"/>
              <w:jc w:val="left"/>
              <w:rPr>
                <w:rFonts w:ascii="宋体" w:hAnsi="宋体" w:cs="宋体" w:hint="eastAsia"/>
                <w:b/>
                <w:bCs/>
                <w:color w:val="000000"/>
                <w:szCs w:val="21"/>
                <w:highlight w:val="none"/>
              </w:rPr>
            </w:pPr>
            <w:r>
              <w:rPr>
                <w:rFonts w:ascii="宋体" w:hAnsi="宋体" w:cs="宋体" w:hint="eastAsia"/>
                <w:b/>
                <w:bCs/>
                <w:color w:val="000000"/>
                <w:szCs w:val="21"/>
                <w:highlight w:val="none"/>
              </w:rPr>
              <w:t>（3）不同投标供应商投标文件“文件制作机器码”一致的；</w:t>
            </w:r>
          </w:p>
          <w:p>
            <w:pPr>
              <w:spacing w:line="360" w:lineRule="exact"/>
              <w:jc w:val="left"/>
              <w:rPr>
                <w:rFonts w:ascii="宋体" w:hAnsi="宋体" w:cs="宋体" w:hint="eastAsia"/>
                <w:b/>
                <w:bCs/>
                <w:color w:val="000000"/>
                <w:szCs w:val="21"/>
                <w:highlight w:val="none"/>
              </w:rPr>
            </w:pPr>
            <w:r>
              <w:rPr>
                <w:rFonts w:ascii="宋体" w:hAnsi="宋体" w:cs="宋体" w:hint="eastAsia"/>
                <w:b/>
                <w:bCs/>
                <w:color w:val="000000"/>
                <w:szCs w:val="21"/>
                <w:highlight w:val="none"/>
              </w:rPr>
              <w:t>（4）不同投标供应商投标文件“文件创建标识码”一致的。</w:t>
            </w:r>
          </w:p>
        </w:tc>
      </w:tr>
    </w:tbl>
    <w:p>
      <w:pPr>
        <w:widowControl/>
        <w:spacing w:line="300" w:lineRule="auto"/>
        <w:jc w:val="center"/>
        <w:rPr>
          <w:rFonts w:ascii="宋体" w:hAnsi="宋体" w:cs="宋体"/>
          <w:color w:val="000000"/>
          <w:sz w:val="28"/>
          <w:szCs w:val="28"/>
          <w:highlight w:val="none"/>
        </w:rPr>
      </w:pPr>
    </w:p>
    <w:p>
      <w:pPr>
        <w:widowControl/>
        <w:spacing w:line="300" w:lineRule="auto"/>
        <w:jc w:val="center"/>
        <w:rPr>
          <w:rFonts w:ascii="宋体" w:hAnsi="宋体" w:cs="宋体"/>
          <w:color w:val="000000"/>
          <w:sz w:val="24"/>
          <w:highlight w:val="none"/>
        </w:rPr>
        <w:sectPr>
          <w:headerReference w:type="default" r:id="rId9"/>
          <w:pgSz w:w="11907" w:h="16840"/>
          <w:pgMar w:top="1440" w:right="1080" w:bottom="1440" w:left="1080" w:header="851" w:footer="992" w:gutter="0"/>
          <w:cols w:space="720"/>
          <w:titlePg/>
          <w:docGrid w:linePitch="462"/>
        </w:sectPr>
      </w:pPr>
      <w:r>
        <w:rPr>
          <w:rFonts w:ascii="宋体" w:hAnsi="宋体" w:cs="宋体" w:hint="eastAsia"/>
          <w:b/>
          <w:color w:val="000000"/>
          <w:sz w:val="24"/>
          <w:highlight w:val="none"/>
        </w:rPr>
        <w:t>《资格性审查表》和《符合性审查表》初审不通过，按投标无效处理。</w:t>
      </w:r>
    </w:p>
    <w:p>
      <w:pPr>
        <w:keepNext/>
        <w:keepLines/>
        <w:tabs>
          <w:tab w:val="left" w:pos="1002"/>
          <w:tab w:val="center" w:pos="4748"/>
        </w:tabs>
        <w:adjustRightInd w:val="0"/>
        <w:jc w:val="center"/>
        <w:textAlignment w:val="baseline"/>
        <w:outlineLvl w:val="1"/>
        <w:rPr>
          <w:rFonts w:ascii="黑体" w:eastAsia="黑体" w:hAnsi="黑体" w:cs="黑体" w:hint="eastAsia"/>
          <w:b/>
          <w:bCs/>
          <w:color w:val="000000"/>
          <w:kern w:val="0"/>
          <w:sz w:val="36"/>
          <w:szCs w:val="20"/>
          <w:highlight w:val="none"/>
        </w:rPr>
      </w:pPr>
      <w:r>
        <w:rPr>
          <w:rFonts w:ascii="黑体" w:eastAsia="黑体" w:hAnsi="黑体" w:cs="黑体" w:hint="eastAsia"/>
          <w:b/>
          <w:bCs/>
          <w:color w:val="000000"/>
          <w:kern w:val="0"/>
          <w:sz w:val="36"/>
          <w:szCs w:val="20"/>
          <w:highlight w:val="none"/>
        </w:rPr>
        <w:t>评定标方法</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2564"/>
        <w:gridCol w:w="7055"/>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444"/>
          <w:jc w:val="center"/>
        </w:trPr>
        <w:tc>
          <w:tcPr>
            <w:tcW w:w="2564" w:type="dxa"/>
            <w:vAlign w:val="center"/>
          </w:tcPr>
          <w:p>
            <w:pPr>
              <w:spacing w:before="120" w:beforeLines="50" w:after="120" w:afterLines="50" w:line="300" w:lineRule="exact"/>
              <w:jc w:val="center"/>
              <w:rPr>
                <w:rFonts w:ascii="宋体" w:hAnsi="宋体" w:cs="宋体"/>
                <w:b/>
                <w:color w:val="000000"/>
                <w:highlight w:val="none"/>
              </w:rPr>
            </w:pPr>
            <w:r>
              <w:rPr>
                <w:rFonts w:ascii="宋体" w:hAnsi="宋体" w:cs="宋体" w:hint="eastAsia"/>
                <w:b/>
                <w:color w:val="000000"/>
                <w:highlight w:val="none"/>
              </w:rPr>
              <w:t>评标方法</w:t>
            </w:r>
          </w:p>
        </w:tc>
        <w:tc>
          <w:tcPr>
            <w:tcW w:w="7055" w:type="dxa"/>
            <w:vAlign w:val="center"/>
          </w:tcPr>
          <w:p>
            <w:pPr>
              <w:spacing w:before="120" w:beforeLines="50" w:after="120" w:afterLines="50" w:line="300" w:lineRule="exact"/>
              <w:jc w:val="center"/>
              <w:rPr>
                <w:rFonts w:ascii="宋体" w:hAnsi="宋体" w:cs="宋体"/>
                <w:color w:val="000000"/>
                <w:highlight w:val="none"/>
              </w:rPr>
            </w:pPr>
            <w:r>
              <w:rPr>
                <w:rFonts w:ascii="宋体" w:hAnsi="宋体" w:cs="宋体" w:hint="eastAsia"/>
                <w:color w:val="000000"/>
                <w:highlight w:val="none"/>
              </w:rPr>
              <w:t>综合评分法（新价格分算法）</w:t>
            </w:r>
          </w:p>
        </w:tc>
      </w:tr>
      <w:tr>
        <w:tblPrEx>
          <w:tblW w:w="0" w:type="auto"/>
          <w:jc w:val="center"/>
          <w:tblLayout w:type="fixed"/>
          <w:tblCellMar>
            <w:top w:w="0" w:type="dxa"/>
            <w:left w:w="108" w:type="dxa"/>
            <w:bottom w:w="0" w:type="dxa"/>
            <w:right w:w="108" w:type="dxa"/>
          </w:tblCellMar>
          <w:tblLook w:val="0000"/>
        </w:tblPrEx>
        <w:trPr>
          <w:trHeight w:val="444"/>
          <w:jc w:val="center"/>
        </w:trPr>
        <w:tc>
          <w:tcPr>
            <w:tcW w:w="2564" w:type="dxa"/>
            <w:vAlign w:val="center"/>
          </w:tcPr>
          <w:p>
            <w:pPr>
              <w:snapToGrid w:val="0"/>
              <w:spacing w:line="300" w:lineRule="exact"/>
              <w:jc w:val="center"/>
              <w:rPr>
                <w:rFonts w:ascii="宋体" w:hAnsi="宋体" w:cs="宋体"/>
                <w:b/>
                <w:color w:val="000000"/>
                <w:highlight w:val="none"/>
              </w:rPr>
            </w:pPr>
            <w:r>
              <w:rPr>
                <w:rStyle w:val="NormalCharacter"/>
                <w:rFonts w:ascii="宋体" w:hAnsi="宋体" w:hint="eastAsia"/>
                <w:b/>
                <w:color w:val="000000"/>
                <w:highlight w:val="none"/>
              </w:rPr>
              <w:t>候选</w:t>
            </w:r>
            <w:r>
              <w:rPr>
                <w:rStyle w:val="NormalCharacter"/>
                <w:rFonts w:ascii="宋体" w:hAnsi="宋体"/>
                <w:b/>
                <w:color w:val="000000"/>
                <w:highlight w:val="none"/>
              </w:rPr>
              <w:t>中标供应商数量</w:t>
            </w:r>
          </w:p>
        </w:tc>
        <w:tc>
          <w:tcPr>
            <w:tcW w:w="7055" w:type="dxa"/>
            <w:vAlign w:val="center"/>
          </w:tcPr>
          <w:p>
            <w:pPr>
              <w:snapToGrid w:val="0"/>
              <w:spacing w:line="300" w:lineRule="exact"/>
              <w:jc w:val="center"/>
              <w:rPr>
                <w:rFonts w:ascii="宋体" w:hAnsi="宋体" w:cs="宋体" w:hint="eastAsia"/>
                <w:color w:val="000000"/>
                <w:highlight w:val="none"/>
              </w:rPr>
            </w:pPr>
            <w:r>
              <w:rPr>
                <w:rFonts w:ascii="宋体" w:hAnsi="宋体" w:cs="宋体" w:hint="eastAsia"/>
                <w:color w:val="000000"/>
                <w:highlight w:val="none"/>
              </w:rPr>
              <w:t>3</w:t>
            </w:r>
          </w:p>
        </w:tc>
      </w:tr>
      <w:tr>
        <w:tblPrEx>
          <w:tblW w:w="0" w:type="auto"/>
          <w:jc w:val="center"/>
          <w:tblLayout w:type="fixed"/>
          <w:tblCellMar>
            <w:top w:w="0" w:type="dxa"/>
            <w:left w:w="108" w:type="dxa"/>
            <w:bottom w:w="0" w:type="dxa"/>
            <w:right w:w="108" w:type="dxa"/>
          </w:tblCellMar>
          <w:tblLook w:val="0000"/>
        </w:tblPrEx>
        <w:trPr>
          <w:trHeight w:val="444"/>
          <w:jc w:val="center"/>
        </w:trPr>
        <w:tc>
          <w:tcPr>
            <w:tcW w:w="2564" w:type="dxa"/>
            <w:vAlign w:val="center"/>
          </w:tcPr>
          <w:p>
            <w:pPr>
              <w:spacing w:line="300" w:lineRule="exact"/>
              <w:jc w:val="center"/>
              <w:rPr>
                <w:rFonts w:ascii="宋体" w:hAnsi="宋体" w:cs="宋体" w:hint="eastAsia"/>
                <w:b/>
                <w:color w:val="000000"/>
                <w:highlight w:val="none"/>
              </w:rPr>
            </w:pPr>
            <w:r>
              <w:rPr>
                <w:rFonts w:ascii="宋体" w:hAnsi="宋体" w:cs="宋体" w:hint="eastAsia"/>
                <w:b/>
                <w:color w:val="000000"/>
                <w:highlight w:val="none"/>
              </w:rPr>
              <w:t>中标供应商家数</w:t>
            </w:r>
          </w:p>
        </w:tc>
        <w:tc>
          <w:tcPr>
            <w:tcW w:w="7055" w:type="dxa"/>
            <w:vAlign w:val="center"/>
          </w:tcPr>
          <w:p>
            <w:pPr>
              <w:spacing w:line="300" w:lineRule="exact"/>
              <w:jc w:val="center"/>
              <w:rPr>
                <w:rFonts w:ascii="宋体" w:hAnsi="宋体" w:cs="宋体" w:hint="eastAsia"/>
                <w:color w:val="000000"/>
                <w:highlight w:val="none"/>
              </w:rPr>
            </w:pPr>
            <w:r>
              <w:rPr>
                <w:rFonts w:ascii="宋体" w:hAnsi="宋体" w:cs="宋体" w:hint="eastAsia"/>
                <w:color w:val="000000"/>
                <w:highlight w:val="none"/>
              </w:rPr>
              <w:t>1</w:t>
            </w:r>
          </w:p>
        </w:tc>
      </w:tr>
    </w:tbl>
    <w:p>
      <w:pPr>
        <w:spacing w:line="300" w:lineRule="auto"/>
        <w:ind w:firstLine="420" w:firstLineChars="200"/>
        <w:rPr>
          <w:rFonts w:ascii="宋体" w:hAnsi="宋体" w:cs="宋体"/>
          <w:color w:val="000000"/>
          <w:highlight w:val="none"/>
        </w:rPr>
      </w:pPr>
      <w:r>
        <w:rPr>
          <w:rFonts w:ascii="宋体" w:hAnsi="宋体" w:cs="宋体" w:hint="eastAsia"/>
          <w:color w:val="000000"/>
          <w:highlight w:val="none"/>
        </w:rPr>
        <w:t>综合评分法，是指投标文件满足招标文件全部实质性要求，且按照评审因素的量化指标评审得分最高的投标人为中标候选人的评标方法。</w:t>
      </w:r>
    </w:p>
    <w:p>
      <w:pPr>
        <w:spacing w:line="300" w:lineRule="auto"/>
        <w:rPr>
          <w:rFonts w:ascii="宋体" w:hAnsi="宋体" w:cs="宋体"/>
          <w:color w:val="000000"/>
          <w:highlight w:val="none"/>
        </w:rPr>
      </w:pPr>
      <w:r>
        <w:rPr>
          <w:rFonts w:ascii="宋体" w:hAnsi="宋体" w:cs="宋体" w:hint="eastAsia"/>
          <w:color w:val="000000"/>
          <w:highlight w:val="none"/>
        </w:rPr>
        <w:t xml:space="preserve">    价格分计算方法：</w:t>
      </w:r>
    </w:p>
    <w:p>
      <w:pPr>
        <w:spacing w:line="300" w:lineRule="auto"/>
        <w:ind w:firstLine="420"/>
        <w:rPr>
          <w:rFonts w:ascii="宋体" w:hAnsi="宋体" w:cs="宋体" w:hint="eastAsia"/>
          <w:color w:val="000000"/>
          <w:highlight w:val="none"/>
        </w:rPr>
      </w:pPr>
      <w:r>
        <w:rPr>
          <w:rFonts w:ascii="宋体" w:hAnsi="宋体" w:cs="宋体" w:hint="eastAsia"/>
          <w:color w:val="000000"/>
          <w:highlight w:val="none"/>
        </w:rPr>
        <w:t xml:space="preserve">采用低价优先法计算，即满足招标文件要求且投标价格最低的投标报价为评标基准价，其价格分为满分。其他投标人的价格分统一按照下列公式计算： </w:t>
      </w:r>
    </w:p>
    <w:p>
      <w:pPr>
        <w:spacing w:line="300" w:lineRule="auto"/>
        <w:ind w:firstLine="420"/>
        <w:rPr>
          <w:rFonts w:ascii="宋体" w:hAnsi="宋体" w:cs="宋体" w:hint="eastAsia"/>
          <w:color w:val="000000"/>
          <w:highlight w:val="none"/>
        </w:rPr>
      </w:pPr>
    </w:p>
    <w:p>
      <w:pPr>
        <w:spacing w:line="300" w:lineRule="auto"/>
        <w:ind w:firstLine="420"/>
        <w:rPr>
          <w:rFonts w:ascii="宋体" w:hAnsi="宋体" w:cs="宋体" w:hint="eastAsia"/>
          <w:color w:val="000000"/>
          <w:highlight w:val="none"/>
        </w:rPr>
      </w:pPr>
      <w:r>
        <w:rPr>
          <w:rFonts w:ascii="宋体" w:hAnsi="宋体" w:cs="宋体" w:hint="eastAsia"/>
          <w:color w:val="000000"/>
          <w:highlight w:val="none"/>
        </w:rPr>
        <w:t xml:space="preserve">                   </w:t>
      </w:r>
      <w:r>
        <w:rPr>
          <w:rFonts w:ascii="宋体" w:hAnsi="宋体" w:cs="宋体" w:hint="eastAsia"/>
          <w:b/>
          <w:color w:val="000000"/>
          <w:highlight w:val="none"/>
        </w:rPr>
        <w:t xml:space="preserve">  投标报价得分=(评标基准价／投标报价)×100×价格分权重</w:t>
      </w:r>
    </w:p>
    <w:p>
      <w:pPr>
        <w:spacing w:line="300" w:lineRule="auto"/>
        <w:ind w:firstLine="420"/>
        <w:rPr>
          <w:rFonts w:ascii="宋体" w:hAnsi="宋体" w:cs="宋体" w:hint="eastAsia"/>
          <w:color w:val="000000"/>
          <w:highlight w:val="none"/>
        </w:rPr>
      </w:pPr>
      <w:r>
        <w:rPr>
          <w:rFonts w:ascii="宋体" w:hAnsi="宋体" w:cs="宋体" w:hint="eastAsia"/>
          <w:color w:val="000000"/>
          <w:highlight w:val="none"/>
        </w:rPr>
        <w:t xml:space="preserve">    评标总得分＝F1×A1＋F2×A2＋……＋Fn×An</w:t>
      </w:r>
    </w:p>
    <w:p>
      <w:pPr>
        <w:spacing w:line="300" w:lineRule="auto"/>
        <w:ind w:firstLine="420"/>
        <w:rPr>
          <w:rFonts w:ascii="宋体" w:hAnsi="宋体" w:cs="宋体" w:hint="eastAsia"/>
          <w:color w:val="000000"/>
          <w:highlight w:val="none"/>
        </w:rPr>
      </w:pPr>
      <w:r>
        <w:rPr>
          <w:rFonts w:ascii="宋体" w:hAnsi="宋体" w:cs="宋体" w:hint="eastAsia"/>
          <w:color w:val="000000"/>
          <w:highlight w:val="none"/>
        </w:rPr>
        <w:t xml:space="preserve">    F1、F2……Fn分别为各项评审因素的得分；</w:t>
      </w:r>
    </w:p>
    <w:p>
      <w:pPr>
        <w:spacing w:line="300" w:lineRule="auto"/>
        <w:ind w:firstLine="420"/>
        <w:rPr>
          <w:rFonts w:ascii="宋体" w:hAnsi="宋体" w:cs="宋体" w:hint="eastAsia"/>
          <w:color w:val="000000"/>
          <w:highlight w:val="none"/>
        </w:rPr>
      </w:pPr>
      <w:r>
        <w:rPr>
          <w:rFonts w:ascii="宋体" w:hAnsi="宋体" w:cs="宋体" w:hint="eastAsia"/>
          <w:color w:val="000000"/>
          <w:highlight w:val="none"/>
        </w:rPr>
        <w:t xml:space="preserve">    A1、A2、……An 分别为各项评审因素所占的权重(A1＋A2＋……＋An＝1)。</w:t>
      </w:r>
    </w:p>
    <w:p>
      <w:pPr>
        <w:spacing w:line="300" w:lineRule="auto"/>
        <w:ind w:firstLine="420"/>
        <w:rPr>
          <w:rFonts w:ascii="宋体" w:hAnsi="宋体" w:cs="宋体" w:hint="eastAsia"/>
          <w:color w:val="000000"/>
          <w:highlight w:val="none"/>
        </w:rPr>
      </w:pPr>
      <w:r>
        <w:rPr>
          <w:rFonts w:ascii="宋体" w:hAnsi="宋体" w:cs="宋体" w:hint="eastAsia"/>
          <w:color w:val="000000"/>
          <w:highlight w:val="none"/>
        </w:rPr>
        <w:t xml:space="preserve">    评标过程中，不得去掉报价中的最高报价和最低报价。</w:t>
      </w:r>
    </w:p>
    <w:p>
      <w:pPr>
        <w:spacing w:line="300" w:lineRule="auto"/>
        <w:ind w:firstLine="420"/>
        <w:rPr>
          <w:rFonts w:ascii="宋体" w:hAnsi="宋体" w:cs="宋体"/>
          <w:color w:val="000000"/>
          <w:highlight w:val="none"/>
        </w:rPr>
      </w:pPr>
      <w:r>
        <w:rPr>
          <w:rFonts w:ascii="宋体" w:hAnsi="宋体" w:cs="宋体" w:hint="eastAsia"/>
          <w:color w:val="000000"/>
          <w:highlight w:val="none"/>
        </w:rPr>
        <w:t xml:space="preserve">    此方法适用于货物类、服务类、工程类项目。</w:t>
      </w:r>
    </w:p>
    <w:p>
      <w:pPr>
        <w:numPr>
          <w:ilvl w:val="0"/>
          <w:numId w:val="8"/>
        </w:numPr>
        <w:spacing w:line="300" w:lineRule="auto"/>
        <w:rPr>
          <w:rFonts w:ascii="宋体" w:hAnsi="宋体" w:cs="宋体"/>
          <w:b/>
          <w:bCs/>
          <w:color w:val="000000"/>
          <w:sz w:val="22"/>
          <w:szCs w:val="28"/>
          <w:highlight w:val="none"/>
        </w:rPr>
      </w:pPr>
      <w:r>
        <w:rPr>
          <w:rFonts w:ascii="宋体" w:hAnsi="宋体" w:cs="宋体" w:hint="eastAsia"/>
          <w:b/>
          <w:bCs/>
          <w:color w:val="000000"/>
          <w:sz w:val="22"/>
          <w:szCs w:val="28"/>
          <w:highlight w:val="none"/>
        </w:rPr>
        <w:t>评标优惠政策</w:t>
      </w:r>
    </w:p>
    <w:p>
      <w:pPr>
        <w:spacing w:line="300" w:lineRule="auto"/>
        <w:rPr>
          <w:rFonts w:ascii="宋体" w:hAnsi="宋体" w:cs="宋体"/>
          <w:color w:val="000000"/>
          <w:highlight w:val="none"/>
        </w:rPr>
      </w:pPr>
      <w:r>
        <w:rPr>
          <w:rFonts w:ascii="宋体" w:hAnsi="宋体" w:cs="宋体" w:hint="eastAsia"/>
          <w:b/>
          <w:bCs/>
          <w:color w:val="000000"/>
          <w:highlight w:val="none"/>
        </w:rPr>
        <w:t xml:space="preserve">    </w:t>
      </w:r>
      <w:r>
        <w:rPr>
          <w:rFonts w:ascii="宋体" w:hAnsi="宋体" w:cs="宋体" w:hint="eastAsia"/>
          <w:color w:val="000000"/>
          <w:highlight w:val="none"/>
        </w:rPr>
        <w:t>1.根据《政府采购促进中小企业发展管理办法》财库〔2020〕46号、《财政部司法部关于政府采购支持监狱企业发展有关问题的通知》（财库〔2014〕68号）、《三部门联合发布关于促进残疾人就业政府采购政策的通知》（财库〔2017〕141号）和财库〔2022〕19号的规定，对满足价格扣除条件且在投标文件中提交了《投标人企业类型声明函》、《残疾人福利性单位声明函》或省级以上监狱管理局、戒毒管理局（含新疆生产建设兵团）出具的属于监狱企业的证明文件的投标人，</w:t>
      </w:r>
      <w:r>
        <w:rPr>
          <w:rFonts w:ascii="宋体" w:hAnsi="宋体" w:cs="宋体" w:hint="eastAsia"/>
          <w:b/>
          <w:color w:val="000000"/>
          <w:highlight w:val="none"/>
          <w:shd w:val="pct10" w:color="auto" w:fill="FFFFFF"/>
        </w:rPr>
        <w:t>其投标报价扣除</w:t>
      </w:r>
      <w:r>
        <w:rPr>
          <w:rFonts w:hint="eastAsia"/>
          <w:b/>
          <w:color w:val="000000"/>
          <w:highlight w:val="none"/>
          <w:u w:val="single"/>
          <w:shd w:val="pct10" w:color="auto" w:fill="FFFFFF"/>
        </w:rPr>
        <w:t>10</w:t>
      </w:r>
      <w:r>
        <w:rPr>
          <w:rFonts w:ascii="宋体" w:hAnsi="宋体" w:cs="宋体" w:hint="eastAsia"/>
          <w:b/>
          <w:color w:val="000000"/>
          <w:highlight w:val="none"/>
          <w:u w:val="single"/>
          <w:shd w:val="pct10" w:color="auto" w:fill="FFFFFF"/>
        </w:rPr>
        <w:t>%</w:t>
      </w:r>
      <w:r>
        <w:rPr>
          <w:rFonts w:ascii="宋体" w:hAnsi="宋体" w:cs="宋体" w:hint="eastAsia"/>
          <w:b/>
          <w:color w:val="000000"/>
          <w:highlight w:val="none"/>
          <w:shd w:val="pct10" w:color="auto" w:fill="FFFFFF"/>
        </w:rPr>
        <w:t>后参与评审【本项目所属行业为：</w:t>
      </w:r>
      <w:r>
        <w:rPr>
          <w:rFonts w:ascii="宋体" w:hAnsi="宋体" w:cs="宋体" w:hint="eastAsia"/>
          <w:b/>
          <w:color w:val="000000"/>
          <w:highlight w:val="none"/>
          <w:u w:val="single"/>
          <w:shd w:val="pct10" w:color="auto" w:fill="FFFFFF"/>
        </w:rPr>
        <w:t xml:space="preserve"> </w:t>
      </w:r>
      <w:r>
        <w:rPr>
          <w:rFonts w:ascii="宋体" w:hAnsi="宋体" w:cs="宋体" w:hint="eastAsia"/>
          <w:b/>
          <w:color w:val="000000"/>
          <w:highlight w:val="none"/>
          <w:u w:val="single"/>
          <w:shd w:val="pct10" w:color="auto" w:fill="FFFFFF"/>
        </w:rPr>
        <w:t>工业</w:t>
      </w:r>
      <w:r>
        <w:rPr>
          <w:rFonts w:ascii="宋体" w:hAnsi="宋体" w:cs="宋体" w:hint="eastAsia"/>
          <w:b/>
          <w:color w:val="000000"/>
          <w:highlight w:val="none"/>
          <w:u w:val="single"/>
          <w:shd w:val="pct10" w:color="auto" w:fill="FFFFFF"/>
        </w:rPr>
        <w:t xml:space="preserve"> </w:t>
      </w:r>
      <w:r>
        <w:rPr>
          <w:rFonts w:ascii="宋体" w:hAnsi="宋体" w:cs="宋体" w:hint="eastAsia"/>
          <w:b/>
          <w:color w:val="000000"/>
          <w:highlight w:val="none"/>
          <w:shd w:val="pct10" w:color="auto" w:fill="FFFFFF"/>
        </w:rPr>
        <w:t>】</w:t>
      </w:r>
      <w:r>
        <w:rPr>
          <w:rFonts w:ascii="宋体" w:hAnsi="宋体" w:cs="宋体" w:hint="eastAsia"/>
          <w:color w:val="000000"/>
          <w:highlight w:val="none"/>
        </w:rPr>
        <w:t>。对于同时属于小微企业、监狱企业或残疾人福利性单位的，不重复进行投标报价扣除。如有其它政策支持因素（如鼓励创新等）需一并列出。</w:t>
      </w:r>
    </w:p>
    <w:p>
      <w:pPr>
        <w:spacing w:line="300" w:lineRule="auto"/>
        <w:rPr>
          <w:rFonts w:ascii="宋体" w:hAnsi="宋体" w:cs="宋体"/>
          <w:color w:val="000000"/>
          <w:highlight w:val="none"/>
        </w:rPr>
      </w:pPr>
      <w:r>
        <w:rPr>
          <w:rFonts w:ascii="宋体" w:hAnsi="宋体" w:cs="宋体" w:hint="eastAsia"/>
          <w:color w:val="000000"/>
          <w:highlight w:val="none"/>
        </w:rPr>
        <w:t xml:space="preserve">    2.联合协议中约定，小型、微型企业和监狱企业的协议合同金额占到联合体协议合同总金额30%以上的，可给予联合体</w:t>
      </w:r>
      <w:r>
        <w:rPr>
          <w:rFonts w:ascii="宋体" w:hAnsi="宋体" w:cs="宋体" w:hint="eastAsia"/>
          <w:b/>
          <w:bCs/>
          <w:color w:val="000000"/>
          <w:highlight w:val="none"/>
        </w:rPr>
        <w:t>4%</w:t>
      </w:r>
      <w:r>
        <w:rPr>
          <w:rFonts w:ascii="宋体" w:hAnsi="宋体" w:cs="宋体" w:hint="eastAsia"/>
          <w:color w:val="000000"/>
          <w:highlight w:val="none"/>
        </w:rPr>
        <w:t>的价格扣除。</w:t>
      </w:r>
    </w:p>
    <w:p>
      <w:pPr>
        <w:spacing w:line="300" w:lineRule="auto"/>
        <w:rPr>
          <w:rFonts w:ascii="宋体" w:hAnsi="宋体" w:cs="宋体"/>
          <w:color w:val="000000"/>
          <w:highlight w:val="none"/>
        </w:rPr>
      </w:pPr>
      <w:r>
        <w:rPr>
          <w:rFonts w:ascii="宋体" w:hAnsi="宋体" w:cs="宋体" w:hint="eastAsia"/>
          <w:color w:val="000000"/>
          <w:highlight w:val="none"/>
        </w:rPr>
        <w:t xml:space="preserve">    联合体各方均为小型、微型企业和监狱企业的，联合体视同为小型、微型企业和监狱企业，均享受</w:t>
      </w:r>
      <w:r>
        <w:rPr>
          <w:rFonts w:ascii="宋体" w:hAnsi="宋体" w:cs="宋体" w:hint="eastAsia"/>
          <w:b/>
          <w:bCs/>
          <w:color w:val="000000"/>
          <w:highlight w:val="none"/>
        </w:rPr>
        <w:t>评标优惠政策</w:t>
      </w:r>
      <w:r>
        <w:rPr>
          <w:rFonts w:ascii="宋体" w:hAnsi="宋体" w:cs="宋体" w:hint="eastAsia"/>
          <w:color w:val="000000"/>
          <w:highlight w:val="none"/>
        </w:rPr>
        <w:t>第一款的优惠政策。</w:t>
      </w:r>
    </w:p>
    <w:p>
      <w:pPr>
        <w:numPr>
          <w:ilvl w:val="0"/>
          <w:numId w:val="8"/>
        </w:numPr>
        <w:spacing w:line="300" w:lineRule="auto"/>
        <w:rPr>
          <w:rFonts w:ascii="宋体" w:hAnsi="宋体" w:cs="宋体" w:hint="eastAsia"/>
          <w:b/>
          <w:bCs/>
          <w:color w:val="000000"/>
          <w:sz w:val="22"/>
          <w:szCs w:val="28"/>
          <w:highlight w:val="none"/>
        </w:rPr>
      </w:pPr>
      <w:r>
        <w:rPr>
          <w:rFonts w:ascii="宋体" w:hAnsi="宋体" w:cs="宋体" w:hint="eastAsia"/>
          <w:b/>
          <w:bCs/>
          <w:color w:val="000000"/>
          <w:sz w:val="22"/>
          <w:szCs w:val="28"/>
          <w:highlight w:val="none"/>
        </w:rPr>
        <w:t>评标信息</w:t>
      </w:r>
    </w:p>
    <w:tbl>
      <w:tblPr>
        <w:tblStyle w:val="TableNormal"/>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688"/>
        <w:gridCol w:w="658"/>
        <w:gridCol w:w="1068"/>
        <w:gridCol w:w="768"/>
        <w:gridCol w:w="1067"/>
        <w:gridCol w:w="5800"/>
      </w:tblGrid>
      <w:tr>
        <w:tblPrEx>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567"/>
          <w:jc w:val="center"/>
        </w:trPr>
        <w:tc>
          <w:tcPr>
            <w:tcW w:w="342" w:type="pct"/>
            <w:vAlign w:val="center"/>
          </w:tcPr>
          <w:p>
            <w:pPr>
              <w:spacing w:line="240" w:lineRule="exact"/>
              <w:jc w:val="center"/>
              <w:rPr>
                <w:rFonts w:ascii="宋体" w:hAnsi="宋体" w:cs="宋体" w:hint="eastAsia"/>
                <w:b/>
                <w:bCs/>
                <w:color w:val="000000"/>
                <w:szCs w:val="21"/>
                <w:highlight w:val="none"/>
              </w:rPr>
            </w:pPr>
            <w:bookmarkStart w:id="0" w:name="_Hlk72360569"/>
            <w:r>
              <w:rPr>
                <w:rFonts w:ascii="宋体" w:hAnsi="宋体" w:cs="宋体" w:hint="eastAsia"/>
                <w:b/>
                <w:bCs/>
                <w:color w:val="000000"/>
                <w:szCs w:val="21"/>
                <w:highlight w:val="none"/>
              </w:rPr>
              <w:t>序号</w:t>
            </w:r>
          </w:p>
        </w:tc>
        <w:tc>
          <w:tcPr>
            <w:tcW w:w="1771" w:type="pct"/>
            <w:gridSpan w:val="4"/>
            <w:vAlign w:val="center"/>
          </w:tcPr>
          <w:p>
            <w:pPr>
              <w:spacing w:line="240" w:lineRule="exact"/>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评分项</w:t>
            </w:r>
          </w:p>
        </w:tc>
        <w:tc>
          <w:tcPr>
            <w:tcW w:w="2885" w:type="pct"/>
            <w:vAlign w:val="center"/>
          </w:tcPr>
          <w:p>
            <w:pPr>
              <w:spacing w:line="240" w:lineRule="exact"/>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权重</w:t>
            </w:r>
          </w:p>
        </w:tc>
      </w:tr>
      <w:tr>
        <w:tblPrEx>
          <w:tblW w:w="4999" w:type="pct"/>
          <w:jc w:val="center"/>
          <w:tblLayout w:type="fixed"/>
          <w:tblCellMar>
            <w:top w:w="0" w:type="dxa"/>
            <w:left w:w="108" w:type="dxa"/>
            <w:bottom w:w="0" w:type="dxa"/>
            <w:right w:w="108" w:type="dxa"/>
          </w:tblCellMar>
          <w:tblLook w:val="0000"/>
        </w:tblPrEx>
        <w:trPr>
          <w:trHeight w:val="567"/>
          <w:jc w:val="center"/>
        </w:trPr>
        <w:tc>
          <w:tcPr>
            <w:tcW w:w="342" w:type="pct"/>
            <w:vAlign w:val="center"/>
          </w:tcPr>
          <w:p>
            <w:pPr>
              <w:spacing w:line="240" w:lineRule="exact"/>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1</w:t>
            </w:r>
          </w:p>
        </w:tc>
        <w:tc>
          <w:tcPr>
            <w:tcW w:w="1771" w:type="pct"/>
            <w:gridSpan w:val="4"/>
            <w:vAlign w:val="center"/>
          </w:tcPr>
          <w:p>
            <w:pPr>
              <w:spacing w:line="240" w:lineRule="exact"/>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价格部分</w:t>
            </w:r>
          </w:p>
        </w:tc>
        <w:tc>
          <w:tcPr>
            <w:tcW w:w="2885" w:type="pct"/>
            <w:vAlign w:val="center"/>
          </w:tcPr>
          <w:p>
            <w:pPr>
              <w:spacing w:line="240" w:lineRule="exact"/>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30</w:t>
            </w:r>
          </w:p>
        </w:tc>
      </w:tr>
      <w:tr>
        <w:tblPrEx>
          <w:tblW w:w="4999" w:type="pct"/>
          <w:jc w:val="center"/>
          <w:tblLayout w:type="fixed"/>
          <w:tblCellMar>
            <w:top w:w="0" w:type="dxa"/>
            <w:left w:w="108" w:type="dxa"/>
            <w:bottom w:w="0" w:type="dxa"/>
            <w:right w:w="108" w:type="dxa"/>
          </w:tblCellMar>
          <w:tblLook w:val="0000"/>
        </w:tblPrEx>
        <w:trPr>
          <w:trHeight w:val="567"/>
          <w:jc w:val="center"/>
        </w:trPr>
        <w:tc>
          <w:tcPr>
            <w:tcW w:w="342" w:type="pct"/>
            <w:vAlign w:val="center"/>
          </w:tcPr>
          <w:p>
            <w:pPr>
              <w:spacing w:line="240" w:lineRule="exact"/>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2</w:t>
            </w:r>
          </w:p>
        </w:tc>
        <w:tc>
          <w:tcPr>
            <w:tcW w:w="1771" w:type="pct"/>
            <w:gridSpan w:val="4"/>
            <w:vAlign w:val="center"/>
          </w:tcPr>
          <w:p>
            <w:pPr>
              <w:spacing w:line="240" w:lineRule="exact"/>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技术部分</w:t>
            </w:r>
          </w:p>
        </w:tc>
        <w:tc>
          <w:tcPr>
            <w:tcW w:w="2885" w:type="pct"/>
            <w:vAlign w:val="center"/>
          </w:tcPr>
          <w:p>
            <w:pPr>
              <w:spacing w:line="240" w:lineRule="exact"/>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54</w:t>
            </w:r>
          </w:p>
        </w:tc>
      </w:tr>
      <w:tr>
        <w:tblPrEx>
          <w:tblW w:w="4999" w:type="pct"/>
          <w:jc w:val="center"/>
          <w:tblLayout w:type="fixed"/>
          <w:tblCellMar>
            <w:top w:w="0" w:type="dxa"/>
            <w:left w:w="108" w:type="dxa"/>
            <w:bottom w:w="0" w:type="dxa"/>
            <w:right w:w="108" w:type="dxa"/>
          </w:tblCellMar>
          <w:tblLook w:val="0000"/>
        </w:tblPrEx>
        <w:trPr>
          <w:trHeight w:val="510"/>
          <w:jc w:val="center"/>
        </w:trPr>
        <w:tc>
          <w:tcPr>
            <w:tcW w:w="342" w:type="pct"/>
            <w:vMerge w:val="restart"/>
            <w:vAlign w:val="center"/>
          </w:tcPr>
          <w:p>
            <w:pPr>
              <w:spacing w:line="240" w:lineRule="exact"/>
              <w:jc w:val="center"/>
              <w:rPr>
                <w:rFonts w:ascii="宋体" w:hAnsi="宋体" w:cs="宋体" w:hint="eastAsia"/>
                <w:b/>
                <w:bCs/>
                <w:color w:val="000000"/>
                <w:szCs w:val="21"/>
                <w:highlight w:val="none"/>
              </w:rPr>
            </w:pPr>
          </w:p>
        </w:tc>
        <w:tc>
          <w:tcPr>
            <w:tcW w:w="327" w:type="pct"/>
            <w:vAlign w:val="center"/>
          </w:tcPr>
          <w:p>
            <w:pPr>
              <w:spacing w:line="240" w:lineRule="exact"/>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序号</w:t>
            </w:r>
          </w:p>
        </w:tc>
        <w:tc>
          <w:tcPr>
            <w:tcW w:w="531" w:type="pct"/>
            <w:vAlign w:val="center"/>
          </w:tcPr>
          <w:p>
            <w:pPr>
              <w:spacing w:line="240" w:lineRule="exact"/>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评分因素</w:t>
            </w:r>
          </w:p>
        </w:tc>
        <w:tc>
          <w:tcPr>
            <w:tcW w:w="382" w:type="pct"/>
            <w:vAlign w:val="center"/>
          </w:tcPr>
          <w:p>
            <w:pPr>
              <w:spacing w:line="240" w:lineRule="exact"/>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权重</w:t>
            </w:r>
          </w:p>
        </w:tc>
        <w:tc>
          <w:tcPr>
            <w:tcW w:w="530" w:type="pct"/>
            <w:vAlign w:val="center"/>
          </w:tcPr>
          <w:p>
            <w:pPr>
              <w:spacing w:line="240" w:lineRule="exact"/>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评分方式</w:t>
            </w:r>
          </w:p>
        </w:tc>
        <w:tc>
          <w:tcPr>
            <w:tcW w:w="2885" w:type="pct"/>
            <w:vAlign w:val="center"/>
          </w:tcPr>
          <w:p>
            <w:pPr>
              <w:spacing w:line="240" w:lineRule="exact"/>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评分准则</w:t>
            </w:r>
          </w:p>
        </w:tc>
      </w:tr>
      <w:tr>
        <w:tblPrEx>
          <w:tblW w:w="4999" w:type="pct"/>
          <w:jc w:val="center"/>
          <w:tblLayout w:type="fixed"/>
          <w:tblCellMar>
            <w:top w:w="0" w:type="dxa"/>
            <w:left w:w="108" w:type="dxa"/>
            <w:bottom w:w="0" w:type="dxa"/>
            <w:right w:w="108" w:type="dxa"/>
          </w:tblCellMar>
          <w:tblLook w:val="0000"/>
        </w:tblPrEx>
        <w:trPr>
          <w:trHeight w:val="2397"/>
          <w:jc w:val="center"/>
        </w:trPr>
        <w:tc>
          <w:tcPr>
            <w:tcW w:w="342" w:type="pct"/>
            <w:vMerge/>
            <w:vAlign w:val="center"/>
          </w:tcPr>
          <w:p>
            <w:pPr>
              <w:keepNext/>
              <w:keepLines/>
              <w:spacing w:before="260" w:after="260" w:line="240" w:lineRule="exact"/>
              <w:jc w:val="center"/>
              <w:outlineLvl w:val="2"/>
              <w:rPr>
                <w:rFonts w:ascii="宋体" w:hAnsi="宋体" w:cs="宋体" w:hint="eastAsia"/>
                <w:color w:val="000000"/>
                <w:szCs w:val="21"/>
                <w:highlight w:val="none"/>
              </w:rPr>
            </w:pPr>
          </w:p>
        </w:tc>
        <w:tc>
          <w:tcPr>
            <w:tcW w:w="327" w:type="pct"/>
            <w:vAlign w:val="center"/>
          </w:tcPr>
          <w:p>
            <w:pPr>
              <w:spacing w:line="240" w:lineRule="exact"/>
              <w:jc w:val="center"/>
              <w:rPr>
                <w:rFonts w:ascii="宋体" w:hAnsi="宋体" w:cs="宋体" w:hint="eastAsia"/>
                <w:color w:val="000000"/>
                <w:szCs w:val="21"/>
                <w:highlight w:val="none"/>
              </w:rPr>
            </w:pPr>
            <w:r>
              <w:rPr>
                <w:rFonts w:ascii="宋体" w:hAnsi="宋体" w:cs="宋体" w:hint="eastAsia"/>
                <w:color w:val="000000"/>
                <w:szCs w:val="21"/>
                <w:highlight w:val="none"/>
              </w:rPr>
              <w:t>1</w:t>
            </w:r>
          </w:p>
        </w:tc>
        <w:tc>
          <w:tcPr>
            <w:tcW w:w="531" w:type="pct"/>
            <w:vAlign w:val="center"/>
          </w:tcPr>
          <w:p>
            <w:pPr>
              <w:spacing w:line="240" w:lineRule="exact"/>
              <w:jc w:val="center"/>
              <w:rPr>
                <w:rFonts w:ascii="宋体" w:hAnsi="宋体" w:cs="宋体" w:hint="eastAsia"/>
                <w:color w:val="000000"/>
                <w:szCs w:val="21"/>
                <w:highlight w:val="none"/>
              </w:rPr>
            </w:pPr>
            <w:r>
              <w:rPr>
                <w:rFonts w:ascii="宋体" w:hAnsi="宋体" w:cs="宋体" w:hint="eastAsia"/>
                <w:color w:val="000000"/>
                <w:kern w:val="0"/>
                <w:szCs w:val="21"/>
                <w:highlight w:val="none"/>
              </w:rPr>
              <w:t>技术条款偏离情况</w:t>
            </w:r>
          </w:p>
        </w:tc>
        <w:tc>
          <w:tcPr>
            <w:tcW w:w="382" w:type="pct"/>
            <w:vAlign w:val="center"/>
          </w:tcPr>
          <w:p>
            <w:pPr>
              <w:spacing w:line="240" w:lineRule="exact"/>
              <w:jc w:val="center"/>
              <w:rPr>
                <w:rFonts w:ascii="宋体" w:hAnsi="宋体" w:cs="宋体" w:hint="eastAsia"/>
                <w:color w:val="000000"/>
                <w:szCs w:val="21"/>
                <w:highlight w:val="none"/>
              </w:rPr>
            </w:pPr>
            <w:r>
              <w:rPr>
                <w:rFonts w:ascii="宋体" w:hAnsi="宋体" w:cs="宋体" w:hint="eastAsia"/>
                <w:color w:val="000000"/>
                <w:szCs w:val="21"/>
                <w:highlight w:val="none"/>
              </w:rPr>
              <w:t>54</w:t>
            </w:r>
          </w:p>
        </w:tc>
        <w:tc>
          <w:tcPr>
            <w:tcW w:w="530" w:type="pct"/>
            <w:vAlign w:val="center"/>
          </w:tcPr>
          <w:p>
            <w:pPr>
              <w:spacing w:line="240" w:lineRule="exact"/>
              <w:jc w:val="center"/>
              <w:rPr>
                <w:rFonts w:ascii="宋体" w:hAnsi="宋体" w:cs="宋体" w:hint="eastAsia"/>
                <w:color w:val="000000"/>
                <w:szCs w:val="21"/>
                <w:highlight w:val="none"/>
              </w:rPr>
            </w:pPr>
            <w:r>
              <w:rPr>
                <w:rFonts w:ascii="宋体" w:hAnsi="宋体" w:cs="宋体" w:hint="eastAsia"/>
                <w:color w:val="000000"/>
                <w:szCs w:val="21"/>
                <w:highlight w:val="none"/>
              </w:rPr>
              <w:t>专家打分</w:t>
            </w:r>
          </w:p>
        </w:tc>
        <w:tc>
          <w:tcPr>
            <w:tcW w:w="2885" w:type="pct"/>
            <w:vAlign w:val="center"/>
          </w:tcPr>
          <w:p>
            <w:pPr>
              <w:widowControl/>
              <w:spacing w:before="120" w:beforeLines="50"/>
              <w:jc w:val="left"/>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（一）评审内容：</w:t>
            </w:r>
          </w:p>
          <w:p>
            <w:pPr>
              <w:widowControl/>
              <w:spacing w:before="120" w:beforeLines="50"/>
              <w:jc w:val="left"/>
              <w:rPr>
                <w:rFonts w:ascii="宋体" w:hAnsi="宋体" w:cs="宋体" w:hint="eastAsia"/>
                <w:color w:val="000000"/>
                <w:kern w:val="0"/>
                <w:szCs w:val="21"/>
                <w:highlight w:val="none"/>
              </w:rPr>
            </w:pPr>
            <w:r>
              <w:rPr>
                <w:rFonts w:ascii="宋体" w:hAnsi="宋体" w:cs="宋体" w:hint="eastAsia"/>
                <w:color w:val="000000"/>
                <w:kern w:val="0"/>
                <w:szCs w:val="21"/>
                <w:highlight w:val="none"/>
              </w:rPr>
              <w:t>投标人应如实填写《技术条款偏离表》，评审委员会根据技术需求参数响应情况进行打分，各项技术参数指标及要求全部满足的得100分，标注“▲”的重要参数每负偏离一条扣4分，一般参数每负偏离一条扣0.4分，扣完为止。</w:t>
            </w:r>
          </w:p>
          <w:p>
            <w:pPr>
              <w:widowControl/>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（二）评分依据：</w:t>
            </w:r>
          </w:p>
          <w:p>
            <w:pPr>
              <w:widowControl/>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依据投标人提供的《技术条款偏离表》及技术要求提供的证明材料进行打分。</w:t>
            </w:r>
          </w:p>
        </w:tc>
      </w:tr>
      <w:tr>
        <w:tblPrEx>
          <w:tblW w:w="4999" w:type="pct"/>
          <w:jc w:val="center"/>
          <w:tblLayout w:type="fixed"/>
          <w:tblCellMar>
            <w:top w:w="0" w:type="dxa"/>
            <w:left w:w="108" w:type="dxa"/>
            <w:bottom w:w="0" w:type="dxa"/>
            <w:right w:w="108" w:type="dxa"/>
          </w:tblCellMar>
          <w:tblLook w:val="0000"/>
        </w:tblPrEx>
        <w:trPr>
          <w:trHeight w:val="362"/>
          <w:jc w:val="center"/>
        </w:trPr>
        <w:tc>
          <w:tcPr>
            <w:tcW w:w="342" w:type="pct"/>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3</w:t>
            </w:r>
          </w:p>
        </w:tc>
        <w:tc>
          <w:tcPr>
            <w:tcW w:w="1771" w:type="pct"/>
            <w:gridSpan w:val="4"/>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商务部分</w:t>
            </w:r>
          </w:p>
        </w:tc>
        <w:tc>
          <w:tcPr>
            <w:tcW w:w="2885" w:type="pct"/>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11</w:t>
            </w:r>
          </w:p>
        </w:tc>
      </w:tr>
      <w:tr>
        <w:tblPrEx>
          <w:tblW w:w="4999" w:type="pct"/>
          <w:jc w:val="center"/>
          <w:tblLayout w:type="fixed"/>
          <w:tblCellMar>
            <w:top w:w="0" w:type="dxa"/>
            <w:left w:w="108" w:type="dxa"/>
            <w:bottom w:w="0" w:type="dxa"/>
            <w:right w:w="108" w:type="dxa"/>
          </w:tblCellMar>
          <w:tblLook w:val="0000"/>
        </w:tblPrEx>
        <w:trPr>
          <w:trHeight w:val="362"/>
          <w:jc w:val="center"/>
        </w:trPr>
        <w:tc>
          <w:tcPr>
            <w:tcW w:w="342" w:type="pct"/>
            <w:vMerge w:val="restart"/>
            <w:vAlign w:val="center"/>
          </w:tcPr>
          <w:p>
            <w:pPr>
              <w:keepNext/>
              <w:keepLines/>
              <w:spacing w:before="340" w:after="330"/>
              <w:jc w:val="center"/>
              <w:outlineLvl w:val="0"/>
              <w:rPr>
                <w:rFonts w:ascii="宋体" w:hAnsi="宋体" w:cs="宋体" w:hint="eastAsia"/>
                <w:color w:val="000000"/>
                <w:szCs w:val="21"/>
                <w:highlight w:val="none"/>
              </w:rPr>
            </w:pPr>
          </w:p>
        </w:tc>
        <w:tc>
          <w:tcPr>
            <w:tcW w:w="327" w:type="pct"/>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序号</w:t>
            </w:r>
          </w:p>
        </w:tc>
        <w:tc>
          <w:tcPr>
            <w:tcW w:w="531" w:type="pct"/>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评分因素</w:t>
            </w:r>
          </w:p>
        </w:tc>
        <w:tc>
          <w:tcPr>
            <w:tcW w:w="382" w:type="pct"/>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权重</w:t>
            </w:r>
          </w:p>
        </w:tc>
        <w:tc>
          <w:tcPr>
            <w:tcW w:w="530" w:type="pct"/>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评分方式</w:t>
            </w:r>
          </w:p>
        </w:tc>
        <w:tc>
          <w:tcPr>
            <w:tcW w:w="2885" w:type="pct"/>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评分准则</w:t>
            </w:r>
          </w:p>
        </w:tc>
      </w:tr>
      <w:tr>
        <w:tblPrEx>
          <w:tblW w:w="4999" w:type="pct"/>
          <w:jc w:val="center"/>
          <w:tblLayout w:type="fixed"/>
          <w:tblCellMar>
            <w:top w:w="0" w:type="dxa"/>
            <w:left w:w="108" w:type="dxa"/>
            <w:bottom w:w="0" w:type="dxa"/>
            <w:right w:w="108" w:type="dxa"/>
          </w:tblCellMar>
          <w:tblLook w:val="0000"/>
        </w:tblPrEx>
        <w:trPr>
          <w:trHeight w:val="1531"/>
          <w:jc w:val="center"/>
        </w:trPr>
        <w:tc>
          <w:tcPr>
            <w:tcW w:w="342" w:type="pct"/>
            <w:vMerge/>
            <w:vAlign w:val="center"/>
          </w:tcPr>
          <w:p>
            <w:pPr>
              <w:keepNext/>
              <w:keepLines/>
              <w:spacing w:before="340" w:after="330" w:line="240" w:lineRule="exact"/>
              <w:jc w:val="center"/>
              <w:outlineLvl w:val="0"/>
              <w:rPr>
                <w:rFonts w:ascii="宋体" w:hAnsi="宋体" w:cs="宋体" w:hint="eastAsia"/>
                <w:color w:val="000000"/>
                <w:szCs w:val="21"/>
                <w:highlight w:val="none"/>
              </w:rPr>
            </w:pPr>
          </w:p>
        </w:tc>
        <w:tc>
          <w:tcPr>
            <w:tcW w:w="327" w:type="pct"/>
            <w:vAlign w:val="center"/>
          </w:tcPr>
          <w:p>
            <w:pPr>
              <w:spacing w:line="240" w:lineRule="exact"/>
              <w:jc w:val="center"/>
              <w:rPr>
                <w:rFonts w:ascii="宋体" w:hAnsi="宋体" w:cs="宋体" w:hint="eastAsia"/>
                <w:color w:val="000000"/>
                <w:szCs w:val="21"/>
                <w:highlight w:val="none"/>
              </w:rPr>
            </w:pPr>
            <w:r>
              <w:rPr>
                <w:rFonts w:ascii="宋体" w:hAnsi="宋体" w:cs="宋体" w:hint="eastAsia"/>
                <w:color w:val="000000"/>
                <w:szCs w:val="21"/>
                <w:highlight w:val="none"/>
              </w:rPr>
              <w:t>1</w:t>
            </w:r>
          </w:p>
        </w:tc>
        <w:tc>
          <w:tcPr>
            <w:tcW w:w="531" w:type="pct"/>
            <w:vAlign w:val="center"/>
          </w:tcPr>
          <w:p>
            <w:pPr>
              <w:spacing w:line="240" w:lineRule="exact"/>
              <w:jc w:val="center"/>
              <w:rPr>
                <w:rFonts w:ascii="宋体" w:hAnsi="宋体" w:cs="宋体" w:hint="eastAsia"/>
                <w:color w:val="000000"/>
                <w:szCs w:val="21"/>
                <w:highlight w:val="none"/>
              </w:rPr>
            </w:pPr>
            <w:r>
              <w:rPr>
                <w:rFonts w:ascii="宋体" w:hAnsi="宋体" w:cs="宋体" w:hint="eastAsia"/>
                <w:color w:val="000000"/>
                <w:szCs w:val="21"/>
                <w:highlight w:val="none"/>
              </w:rPr>
              <w:t>免费保修期内售后服务条款偏离情况</w:t>
            </w:r>
          </w:p>
        </w:tc>
        <w:tc>
          <w:tcPr>
            <w:tcW w:w="382" w:type="pct"/>
            <w:vAlign w:val="center"/>
          </w:tcPr>
          <w:p>
            <w:pPr>
              <w:spacing w:line="240" w:lineRule="exact"/>
              <w:jc w:val="center"/>
              <w:rPr>
                <w:rFonts w:ascii="宋体" w:hAnsi="宋体" w:cs="宋体" w:hint="eastAsia"/>
                <w:color w:val="000000"/>
                <w:szCs w:val="21"/>
                <w:highlight w:val="none"/>
              </w:rPr>
            </w:pPr>
            <w:r>
              <w:rPr>
                <w:rFonts w:ascii="宋体" w:hAnsi="宋体" w:cs="宋体" w:hint="eastAsia"/>
                <w:color w:val="000000"/>
                <w:szCs w:val="21"/>
                <w:highlight w:val="none"/>
              </w:rPr>
              <w:t>5</w:t>
            </w:r>
          </w:p>
        </w:tc>
        <w:tc>
          <w:tcPr>
            <w:tcW w:w="530" w:type="pct"/>
            <w:vAlign w:val="center"/>
          </w:tcPr>
          <w:p>
            <w:pPr>
              <w:spacing w:line="240" w:lineRule="exact"/>
              <w:jc w:val="center"/>
              <w:rPr>
                <w:rFonts w:ascii="宋体" w:hAnsi="宋体" w:cs="宋体" w:hint="eastAsia"/>
                <w:color w:val="000000"/>
                <w:szCs w:val="21"/>
                <w:highlight w:val="none"/>
              </w:rPr>
            </w:pPr>
            <w:r>
              <w:rPr>
                <w:rFonts w:ascii="宋体" w:hAnsi="宋体" w:cs="宋体" w:hint="eastAsia"/>
                <w:color w:val="000000"/>
                <w:szCs w:val="21"/>
                <w:highlight w:val="none"/>
              </w:rPr>
              <w:t>专家评分</w:t>
            </w:r>
          </w:p>
        </w:tc>
        <w:tc>
          <w:tcPr>
            <w:tcW w:w="2885" w:type="pct"/>
            <w:vAlign w:val="center"/>
          </w:tcPr>
          <w:p>
            <w:pPr>
              <w:widowControl/>
              <w:spacing w:before="120" w:beforeLines="50"/>
              <w:jc w:val="left"/>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（一）评审内容：</w:t>
            </w:r>
          </w:p>
          <w:p>
            <w:pPr>
              <w:spacing w:before="120" w:beforeLines="50"/>
              <w:rPr>
                <w:rFonts w:ascii="宋体" w:hAnsi="宋体" w:cs="宋体" w:hint="eastAsia"/>
                <w:color w:val="000000"/>
                <w:szCs w:val="21"/>
                <w:highlight w:val="none"/>
              </w:rPr>
            </w:pPr>
            <w:r>
              <w:rPr>
                <w:rFonts w:ascii="宋体" w:hAnsi="宋体" w:cs="宋体" w:hint="eastAsia"/>
                <w:color w:val="000000"/>
                <w:szCs w:val="21"/>
                <w:highlight w:val="none"/>
              </w:rPr>
              <w:t>投标人应如实填写《商务条款偏离表（免费保修期内售后服务要求）》，评审委员会根据响应情况进行打分，全部满足要求的得100分，每负偏离一项扣33.5分，总扣分不超过100分。</w:t>
            </w:r>
          </w:p>
          <w:p>
            <w:pPr>
              <w:widowControl/>
              <w:spacing w:before="120" w:beforeLines="50"/>
              <w:jc w:val="left"/>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（二）评分依据：</w:t>
            </w:r>
          </w:p>
          <w:p>
            <w:pPr>
              <w:pStyle w:val="a28"/>
              <w:spacing w:before="120" w:beforeLines="50" w:line="240" w:lineRule="auto"/>
              <w:ind w:firstLine="0" w:firstLineChars="0"/>
              <w:rPr>
                <w:rFonts w:ascii="宋体" w:hAnsi="宋体" w:cs="宋体" w:hint="eastAsia"/>
                <w:color w:val="000000"/>
                <w:szCs w:val="21"/>
                <w:highlight w:val="none"/>
              </w:rPr>
            </w:pPr>
            <w:r>
              <w:rPr>
                <w:rFonts w:ascii="宋体" w:hAnsi="宋体" w:cs="宋体" w:hint="eastAsia"/>
                <w:color w:val="000000"/>
                <w:szCs w:val="21"/>
                <w:highlight w:val="none"/>
              </w:rPr>
              <w:t>根据投标人提供的《商务条款偏离表》及要求提供的证明材料打分。</w:t>
            </w:r>
          </w:p>
        </w:tc>
      </w:tr>
      <w:tr>
        <w:tblPrEx>
          <w:tblW w:w="4999" w:type="pct"/>
          <w:jc w:val="center"/>
          <w:tblLayout w:type="fixed"/>
          <w:tblCellMar>
            <w:top w:w="0" w:type="dxa"/>
            <w:left w:w="108" w:type="dxa"/>
            <w:bottom w:w="0" w:type="dxa"/>
            <w:right w:w="108" w:type="dxa"/>
          </w:tblCellMar>
          <w:tblLook w:val="0000"/>
        </w:tblPrEx>
        <w:trPr>
          <w:trHeight w:val="1531"/>
          <w:jc w:val="center"/>
        </w:trPr>
        <w:tc>
          <w:tcPr>
            <w:tcW w:w="342" w:type="pct"/>
            <w:vMerge/>
            <w:vAlign w:val="center"/>
          </w:tcPr>
          <w:p>
            <w:pPr>
              <w:keepNext/>
              <w:keepLines/>
              <w:spacing w:before="260" w:after="260" w:line="240" w:lineRule="exact"/>
              <w:jc w:val="center"/>
              <w:outlineLvl w:val="2"/>
              <w:rPr>
                <w:rFonts w:ascii="宋体" w:hAnsi="宋体" w:cs="宋体" w:hint="eastAsia"/>
                <w:color w:val="000000"/>
                <w:szCs w:val="21"/>
                <w:highlight w:val="none"/>
              </w:rPr>
            </w:pPr>
          </w:p>
        </w:tc>
        <w:tc>
          <w:tcPr>
            <w:tcW w:w="327" w:type="pct"/>
            <w:vAlign w:val="center"/>
          </w:tcPr>
          <w:p>
            <w:pPr>
              <w:spacing w:line="240" w:lineRule="exact"/>
              <w:jc w:val="center"/>
              <w:rPr>
                <w:rFonts w:ascii="宋体" w:hAnsi="宋体" w:cs="宋体" w:hint="eastAsia"/>
                <w:color w:val="000000"/>
                <w:szCs w:val="21"/>
                <w:highlight w:val="none"/>
              </w:rPr>
            </w:pPr>
            <w:r>
              <w:rPr>
                <w:rFonts w:ascii="宋体" w:hAnsi="宋体" w:cs="宋体" w:hint="eastAsia"/>
                <w:color w:val="000000"/>
                <w:szCs w:val="21"/>
                <w:highlight w:val="none"/>
              </w:rPr>
              <w:t>2</w:t>
            </w:r>
          </w:p>
        </w:tc>
        <w:tc>
          <w:tcPr>
            <w:tcW w:w="531" w:type="pct"/>
            <w:vAlign w:val="center"/>
          </w:tcPr>
          <w:p>
            <w:pPr>
              <w:spacing w:line="240" w:lineRule="exact"/>
              <w:jc w:val="center"/>
              <w:rPr>
                <w:rFonts w:ascii="宋体" w:hAnsi="宋体" w:cs="宋体" w:hint="eastAsia"/>
                <w:color w:val="000000"/>
                <w:szCs w:val="21"/>
                <w:highlight w:val="none"/>
              </w:rPr>
            </w:pPr>
            <w:r>
              <w:rPr>
                <w:rFonts w:ascii="宋体" w:hAnsi="宋体" w:cs="宋体" w:hint="eastAsia"/>
                <w:color w:val="000000"/>
                <w:szCs w:val="21"/>
                <w:highlight w:val="none"/>
              </w:rPr>
              <w:t>免费保修期外售后服务条款偏离情况</w:t>
            </w:r>
          </w:p>
          <w:p>
            <w:pPr>
              <w:spacing w:line="240" w:lineRule="exact"/>
              <w:jc w:val="center"/>
              <w:rPr>
                <w:rFonts w:ascii="宋体" w:hAnsi="宋体" w:cs="宋体" w:hint="eastAsia"/>
                <w:color w:val="000000"/>
                <w:szCs w:val="21"/>
                <w:highlight w:val="none"/>
              </w:rPr>
            </w:pPr>
          </w:p>
        </w:tc>
        <w:tc>
          <w:tcPr>
            <w:tcW w:w="382" w:type="pct"/>
            <w:vAlign w:val="center"/>
          </w:tcPr>
          <w:p>
            <w:pPr>
              <w:spacing w:line="240" w:lineRule="exact"/>
              <w:jc w:val="center"/>
              <w:rPr>
                <w:rFonts w:ascii="宋体" w:hAnsi="宋体" w:cs="宋体" w:hint="eastAsia"/>
                <w:color w:val="000000"/>
                <w:szCs w:val="21"/>
                <w:highlight w:val="none"/>
              </w:rPr>
            </w:pPr>
            <w:r>
              <w:rPr>
                <w:rFonts w:ascii="宋体" w:hAnsi="宋体" w:cs="宋体" w:hint="eastAsia"/>
                <w:color w:val="000000"/>
                <w:szCs w:val="21"/>
                <w:highlight w:val="none"/>
              </w:rPr>
              <w:t>3</w:t>
            </w:r>
          </w:p>
        </w:tc>
        <w:tc>
          <w:tcPr>
            <w:tcW w:w="530" w:type="pct"/>
            <w:vAlign w:val="center"/>
          </w:tcPr>
          <w:p>
            <w:pPr>
              <w:spacing w:line="240" w:lineRule="exact"/>
              <w:jc w:val="center"/>
              <w:rPr>
                <w:rFonts w:ascii="宋体" w:hAnsi="宋体" w:cs="宋体" w:hint="eastAsia"/>
                <w:color w:val="000000"/>
                <w:szCs w:val="21"/>
                <w:highlight w:val="none"/>
              </w:rPr>
            </w:pPr>
            <w:r>
              <w:rPr>
                <w:rFonts w:ascii="宋体" w:hAnsi="宋体" w:cs="宋体" w:hint="eastAsia"/>
                <w:color w:val="000000"/>
                <w:szCs w:val="21"/>
                <w:highlight w:val="none"/>
              </w:rPr>
              <w:t>专家评分</w:t>
            </w:r>
          </w:p>
        </w:tc>
        <w:tc>
          <w:tcPr>
            <w:tcW w:w="2885" w:type="pct"/>
            <w:vAlign w:val="center"/>
          </w:tcPr>
          <w:p>
            <w:pPr>
              <w:spacing w:before="120" w:beforeLines="50"/>
              <w:rPr>
                <w:rFonts w:ascii="宋体" w:hAnsi="宋体" w:cs="宋体" w:hint="eastAsia"/>
                <w:b/>
                <w:bCs/>
                <w:color w:val="000000"/>
                <w:szCs w:val="21"/>
                <w:highlight w:val="none"/>
              </w:rPr>
            </w:pPr>
            <w:r>
              <w:rPr>
                <w:rFonts w:ascii="宋体" w:hAnsi="宋体" w:cs="宋体" w:hint="eastAsia"/>
                <w:b/>
                <w:bCs/>
                <w:color w:val="000000"/>
                <w:szCs w:val="21"/>
                <w:highlight w:val="none"/>
              </w:rPr>
              <w:t>（一）评审内容：</w:t>
            </w:r>
          </w:p>
          <w:p>
            <w:pPr>
              <w:spacing w:before="120" w:beforeLines="50"/>
              <w:rPr>
                <w:rFonts w:ascii="宋体" w:hAnsi="宋体" w:cs="宋体" w:hint="eastAsia"/>
                <w:color w:val="000000"/>
                <w:szCs w:val="21"/>
                <w:highlight w:val="none"/>
              </w:rPr>
            </w:pPr>
            <w:r>
              <w:rPr>
                <w:rFonts w:ascii="宋体" w:hAnsi="宋体" w:cs="宋体" w:hint="eastAsia"/>
                <w:color w:val="000000"/>
                <w:szCs w:val="21"/>
                <w:highlight w:val="none"/>
              </w:rPr>
              <w:t>投标人应如实填写《商务条款偏离表（免费保修期外售后服务要求）》，评审委员会根据响应情况进行打分，全部满足要求的得100分，每负偏离一项扣25分，总扣分不超过100分。</w:t>
            </w:r>
          </w:p>
          <w:p>
            <w:pPr>
              <w:spacing w:before="120" w:beforeLines="50"/>
              <w:rPr>
                <w:rFonts w:ascii="宋体" w:hAnsi="宋体" w:cs="宋体" w:hint="eastAsia"/>
                <w:b/>
                <w:bCs/>
                <w:color w:val="000000"/>
                <w:szCs w:val="21"/>
                <w:highlight w:val="none"/>
              </w:rPr>
            </w:pPr>
            <w:r>
              <w:rPr>
                <w:rFonts w:ascii="宋体" w:hAnsi="宋体" w:cs="宋体" w:hint="eastAsia"/>
                <w:b/>
                <w:bCs/>
                <w:color w:val="000000"/>
                <w:szCs w:val="21"/>
                <w:highlight w:val="none"/>
              </w:rPr>
              <w:t>（二）评分依据：</w:t>
            </w:r>
          </w:p>
          <w:p>
            <w:pPr>
              <w:spacing w:before="120" w:beforeLines="50"/>
              <w:rPr>
                <w:rFonts w:ascii="宋体" w:hAnsi="宋体" w:cs="宋体" w:hint="eastAsia"/>
                <w:color w:val="000000"/>
                <w:szCs w:val="21"/>
                <w:highlight w:val="none"/>
              </w:rPr>
            </w:pPr>
            <w:r>
              <w:rPr>
                <w:rFonts w:ascii="宋体" w:hAnsi="宋体" w:cs="宋体" w:hint="eastAsia"/>
                <w:color w:val="000000"/>
                <w:szCs w:val="21"/>
                <w:highlight w:val="none"/>
              </w:rPr>
              <w:t>根据投标人提供的《商务条款偏离表》及要求提供的证明材料打分。</w:t>
            </w:r>
          </w:p>
        </w:tc>
      </w:tr>
      <w:tr>
        <w:tblPrEx>
          <w:tblW w:w="4999" w:type="pct"/>
          <w:jc w:val="center"/>
          <w:tblLayout w:type="fixed"/>
          <w:tblCellMar>
            <w:top w:w="0" w:type="dxa"/>
            <w:left w:w="108" w:type="dxa"/>
            <w:bottom w:w="0" w:type="dxa"/>
            <w:right w:w="108" w:type="dxa"/>
          </w:tblCellMar>
          <w:tblLook w:val="0000"/>
        </w:tblPrEx>
        <w:trPr>
          <w:trHeight w:val="1531"/>
          <w:jc w:val="center"/>
        </w:trPr>
        <w:tc>
          <w:tcPr>
            <w:tcW w:w="342" w:type="pct"/>
            <w:vMerge/>
            <w:vAlign w:val="center"/>
          </w:tcPr>
          <w:p>
            <w:pPr>
              <w:keepNext/>
              <w:keepLines/>
              <w:spacing w:before="260" w:after="260" w:line="240" w:lineRule="exact"/>
              <w:jc w:val="center"/>
              <w:outlineLvl w:val="2"/>
              <w:rPr>
                <w:rFonts w:ascii="宋体" w:hAnsi="宋体" w:cs="宋体" w:hint="eastAsia"/>
                <w:color w:val="000000"/>
                <w:szCs w:val="21"/>
                <w:highlight w:val="none"/>
              </w:rPr>
            </w:pPr>
          </w:p>
        </w:tc>
        <w:tc>
          <w:tcPr>
            <w:tcW w:w="327" w:type="pct"/>
            <w:vAlign w:val="center"/>
          </w:tcPr>
          <w:p>
            <w:pPr>
              <w:spacing w:line="240" w:lineRule="exact"/>
              <w:jc w:val="center"/>
              <w:rPr>
                <w:rFonts w:ascii="宋体" w:hAnsi="宋体" w:cs="宋体" w:hint="eastAsia"/>
                <w:color w:val="000000"/>
                <w:szCs w:val="21"/>
                <w:highlight w:val="none"/>
              </w:rPr>
            </w:pPr>
            <w:r>
              <w:rPr>
                <w:rFonts w:ascii="宋体" w:hAnsi="宋体" w:cs="宋体" w:hint="eastAsia"/>
                <w:color w:val="000000"/>
                <w:szCs w:val="21"/>
                <w:highlight w:val="none"/>
              </w:rPr>
              <w:t>3</w:t>
            </w:r>
          </w:p>
        </w:tc>
        <w:tc>
          <w:tcPr>
            <w:tcW w:w="531" w:type="pct"/>
            <w:vAlign w:val="center"/>
          </w:tcPr>
          <w:p>
            <w:pPr>
              <w:spacing w:line="240" w:lineRule="exact"/>
              <w:jc w:val="center"/>
              <w:rPr>
                <w:rFonts w:ascii="宋体" w:hAnsi="宋体" w:cs="宋体" w:hint="eastAsia"/>
                <w:color w:val="000000"/>
                <w:szCs w:val="21"/>
                <w:highlight w:val="none"/>
              </w:rPr>
            </w:pPr>
            <w:r>
              <w:rPr>
                <w:rFonts w:ascii="宋体" w:hAnsi="宋体" w:cs="宋体" w:hint="eastAsia"/>
                <w:color w:val="000000"/>
                <w:szCs w:val="21"/>
                <w:highlight w:val="none"/>
              </w:rPr>
              <w:t>其他商务条款偏离情况</w:t>
            </w:r>
          </w:p>
        </w:tc>
        <w:tc>
          <w:tcPr>
            <w:tcW w:w="382" w:type="pct"/>
            <w:vAlign w:val="center"/>
          </w:tcPr>
          <w:p>
            <w:pPr>
              <w:spacing w:line="240" w:lineRule="exact"/>
              <w:jc w:val="center"/>
              <w:rPr>
                <w:rFonts w:ascii="宋体" w:hAnsi="宋体" w:cs="宋体" w:hint="eastAsia"/>
                <w:color w:val="000000"/>
                <w:szCs w:val="21"/>
                <w:highlight w:val="none"/>
              </w:rPr>
            </w:pPr>
            <w:r>
              <w:rPr>
                <w:rFonts w:ascii="宋体" w:hAnsi="宋体" w:cs="宋体" w:hint="eastAsia"/>
                <w:color w:val="000000"/>
                <w:szCs w:val="21"/>
                <w:highlight w:val="none"/>
              </w:rPr>
              <w:t>3</w:t>
            </w:r>
          </w:p>
        </w:tc>
        <w:tc>
          <w:tcPr>
            <w:tcW w:w="530" w:type="pct"/>
            <w:vAlign w:val="center"/>
          </w:tcPr>
          <w:p>
            <w:pPr>
              <w:spacing w:line="240" w:lineRule="exact"/>
              <w:jc w:val="center"/>
              <w:rPr>
                <w:rFonts w:ascii="宋体" w:hAnsi="宋体" w:cs="宋体" w:hint="eastAsia"/>
                <w:color w:val="000000"/>
                <w:szCs w:val="21"/>
                <w:highlight w:val="none"/>
              </w:rPr>
            </w:pPr>
            <w:r>
              <w:rPr>
                <w:rFonts w:ascii="宋体" w:hAnsi="宋体" w:cs="宋体" w:hint="eastAsia"/>
                <w:color w:val="000000"/>
                <w:szCs w:val="21"/>
                <w:highlight w:val="none"/>
              </w:rPr>
              <w:t>专家评分</w:t>
            </w:r>
          </w:p>
        </w:tc>
        <w:tc>
          <w:tcPr>
            <w:tcW w:w="2885" w:type="pct"/>
            <w:vAlign w:val="center"/>
          </w:tcPr>
          <w:p>
            <w:pPr>
              <w:spacing w:before="120" w:beforeLines="50"/>
              <w:rPr>
                <w:rFonts w:ascii="宋体" w:hAnsi="宋体" w:cs="宋体" w:hint="eastAsia"/>
                <w:b/>
                <w:bCs/>
                <w:color w:val="000000"/>
                <w:szCs w:val="21"/>
                <w:highlight w:val="none"/>
              </w:rPr>
            </w:pPr>
            <w:r>
              <w:rPr>
                <w:rFonts w:ascii="宋体" w:hAnsi="宋体" w:cs="宋体" w:hint="eastAsia"/>
                <w:b/>
                <w:bCs/>
                <w:color w:val="000000"/>
                <w:szCs w:val="21"/>
                <w:highlight w:val="none"/>
              </w:rPr>
              <w:t>（一）评审内容：</w:t>
            </w:r>
          </w:p>
          <w:p>
            <w:pPr>
              <w:spacing w:before="120" w:beforeLines="50"/>
              <w:rPr>
                <w:rFonts w:ascii="宋体" w:hAnsi="宋体" w:cs="宋体" w:hint="eastAsia"/>
                <w:color w:val="000000"/>
                <w:szCs w:val="21"/>
                <w:highlight w:val="none"/>
              </w:rPr>
            </w:pPr>
            <w:r>
              <w:rPr>
                <w:rFonts w:ascii="宋体" w:hAnsi="宋体" w:cs="宋体" w:hint="eastAsia"/>
                <w:color w:val="000000"/>
                <w:szCs w:val="21"/>
                <w:highlight w:val="none"/>
              </w:rPr>
              <w:t>投标人应如实填写《商务条款偏离表（其他商务要求）》，评审委员会根据响应情况进行打分，全部满足要求的得100分，每负偏离一项扣12.5分，总扣分不超过100分。</w:t>
            </w:r>
          </w:p>
          <w:p>
            <w:pPr>
              <w:spacing w:before="120" w:beforeLines="50"/>
              <w:rPr>
                <w:rFonts w:ascii="宋体" w:hAnsi="宋体" w:cs="宋体" w:hint="eastAsia"/>
                <w:b/>
                <w:bCs/>
                <w:color w:val="000000"/>
                <w:szCs w:val="21"/>
                <w:highlight w:val="none"/>
              </w:rPr>
            </w:pPr>
            <w:r>
              <w:rPr>
                <w:rFonts w:ascii="宋体" w:hAnsi="宋体" w:cs="宋体" w:hint="eastAsia"/>
                <w:b/>
                <w:bCs/>
                <w:color w:val="000000"/>
                <w:szCs w:val="21"/>
                <w:highlight w:val="none"/>
              </w:rPr>
              <w:t>（二）评分依据：</w:t>
            </w:r>
          </w:p>
          <w:p>
            <w:pPr>
              <w:spacing w:before="120" w:beforeLines="50"/>
              <w:rPr>
                <w:rFonts w:ascii="宋体" w:hAnsi="宋体" w:cs="宋体" w:hint="eastAsia"/>
                <w:color w:val="000000"/>
                <w:szCs w:val="21"/>
                <w:highlight w:val="none"/>
              </w:rPr>
            </w:pPr>
            <w:r>
              <w:rPr>
                <w:rFonts w:ascii="宋体" w:hAnsi="宋体" w:cs="宋体" w:hint="eastAsia"/>
                <w:color w:val="000000"/>
                <w:szCs w:val="21"/>
                <w:highlight w:val="none"/>
              </w:rPr>
              <w:t>根据投标人提供的《商务条款偏离表》及要求提供的证明材料打分。</w:t>
            </w:r>
          </w:p>
        </w:tc>
      </w:tr>
      <w:tr>
        <w:tblPrEx>
          <w:tblW w:w="4999" w:type="pct"/>
          <w:jc w:val="center"/>
          <w:tblLayout w:type="fixed"/>
          <w:tblCellMar>
            <w:top w:w="0" w:type="dxa"/>
            <w:left w:w="108" w:type="dxa"/>
            <w:bottom w:w="0" w:type="dxa"/>
            <w:right w:w="108" w:type="dxa"/>
          </w:tblCellMar>
          <w:tblLook w:val="0000"/>
        </w:tblPrEx>
        <w:trPr>
          <w:trHeight w:val="408"/>
          <w:jc w:val="center"/>
        </w:trPr>
        <w:tc>
          <w:tcPr>
            <w:tcW w:w="342" w:type="pct"/>
            <w:vAlign w:val="center"/>
          </w:tcPr>
          <w:p>
            <w:pPr>
              <w:spacing w:line="240" w:lineRule="exact"/>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4</w:t>
            </w:r>
          </w:p>
        </w:tc>
        <w:tc>
          <w:tcPr>
            <w:tcW w:w="1771" w:type="pct"/>
            <w:gridSpan w:val="4"/>
            <w:vAlign w:val="center"/>
          </w:tcPr>
          <w:p>
            <w:pPr>
              <w:spacing w:line="240" w:lineRule="exact"/>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诚信情况</w:t>
            </w:r>
          </w:p>
        </w:tc>
        <w:tc>
          <w:tcPr>
            <w:tcW w:w="2885" w:type="pct"/>
            <w:vAlign w:val="center"/>
          </w:tcPr>
          <w:p>
            <w:pPr>
              <w:snapToGrid w:val="0"/>
              <w:spacing w:line="300" w:lineRule="auto"/>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5</w:t>
            </w:r>
          </w:p>
        </w:tc>
      </w:tr>
      <w:tr>
        <w:tblPrEx>
          <w:tblW w:w="4999" w:type="pct"/>
          <w:jc w:val="center"/>
          <w:tblLayout w:type="fixed"/>
          <w:tblCellMar>
            <w:top w:w="0" w:type="dxa"/>
            <w:left w:w="108" w:type="dxa"/>
            <w:bottom w:w="0" w:type="dxa"/>
            <w:right w:w="108" w:type="dxa"/>
          </w:tblCellMar>
          <w:tblLook w:val="0000"/>
        </w:tblPrEx>
        <w:trPr>
          <w:trHeight w:val="393"/>
          <w:jc w:val="center"/>
        </w:trPr>
        <w:tc>
          <w:tcPr>
            <w:tcW w:w="342" w:type="pct"/>
            <w:vMerge w:val="restart"/>
            <w:vAlign w:val="center"/>
          </w:tcPr>
          <w:p>
            <w:pPr>
              <w:spacing w:line="240" w:lineRule="exact"/>
              <w:jc w:val="center"/>
              <w:rPr>
                <w:rFonts w:ascii="宋体" w:hAnsi="宋体" w:cs="宋体" w:hint="eastAsia"/>
                <w:color w:val="000000"/>
                <w:szCs w:val="21"/>
                <w:highlight w:val="none"/>
              </w:rPr>
            </w:pPr>
          </w:p>
        </w:tc>
        <w:tc>
          <w:tcPr>
            <w:tcW w:w="327" w:type="pct"/>
            <w:vAlign w:val="center"/>
          </w:tcPr>
          <w:p>
            <w:pPr>
              <w:spacing w:line="240" w:lineRule="exact"/>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序号</w:t>
            </w:r>
          </w:p>
        </w:tc>
        <w:tc>
          <w:tcPr>
            <w:tcW w:w="531" w:type="pct"/>
            <w:vAlign w:val="center"/>
          </w:tcPr>
          <w:p>
            <w:pPr>
              <w:spacing w:line="240" w:lineRule="exact"/>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评分因素</w:t>
            </w:r>
          </w:p>
        </w:tc>
        <w:tc>
          <w:tcPr>
            <w:tcW w:w="382" w:type="pct"/>
            <w:vAlign w:val="center"/>
          </w:tcPr>
          <w:p>
            <w:pPr>
              <w:spacing w:line="240" w:lineRule="exact"/>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权重</w:t>
            </w:r>
          </w:p>
        </w:tc>
        <w:tc>
          <w:tcPr>
            <w:tcW w:w="530" w:type="pct"/>
            <w:vAlign w:val="center"/>
          </w:tcPr>
          <w:p>
            <w:pPr>
              <w:spacing w:line="240" w:lineRule="exact"/>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评分方式</w:t>
            </w:r>
          </w:p>
        </w:tc>
        <w:tc>
          <w:tcPr>
            <w:tcW w:w="2885" w:type="pct"/>
            <w:vAlign w:val="center"/>
          </w:tcPr>
          <w:p>
            <w:pPr>
              <w:spacing w:line="240" w:lineRule="exact"/>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评分准则</w:t>
            </w:r>
          </w:p>
        </w:tc>
      </w:tr>
      <w:tr>
        <w:tblPrEx>
          <w:tblW w:w="4999" w:type="pct"/>
          <w:jc w:val="center"/>
          <w:tblLayout w:type="fixed"/>
          <w:tblCellMar>
            <w:top w:w="0" w:type="dxa"/>
            <w:left w:w="108" w:type="dxa"/>
            <w:bottom w:w="0" w:type="dxa"/>
            <w:right w:w="108" w:type="dxa"/>
          </w:tblCellMar>
          <w:tblLook w:val="0000"/>
        </w:tblPrEx>
        <w:trPr>
          <w:trHeight w:val="1292"/>
          <w:jc w:val="center"/>
        </w:trPr>
        <w:tc>
          <w:tcPr>
            <w:tcW w:w="342" w:type="pct"/>
            <w:vMerge/>
            <w:vAlign w:val="center"/>
          </w:tcPr>
          <w:p>
            <w:pPr>
              <w:keepNext/>
              <w:keepLines/>
              <w:spacing w:before="340" w:after="330" w:line="240" w:lineRule="exact"/>
              <w:jc w:val="center"/>
              <w:outlineLvl w:val="0"/>
              <w:rPr>
                <w:rFonts w:ascii="宋体" w:hAnsi="宋体" w:cs="宋体" w:hint="eastAsia"/>
                <w:color w:val="000000"/>
                <w:szCs w:val="21"/>
                <w:highlight w:val="none"/>
              </w:rPr>
            </w:pPr>
          </w:p>
        </w:tc>
        <w:tc>
          <w:tcPr>
            <w:tcW w:w="327" w:type="pct"/>
            <w:vAlign w:val="center"/>
          </w:tcPr>
          <w:p>
            <w:pPr>
              <w:spacing w:line="240" w:lineRule="exact"/>
              <w:jc w:val="center"/>
              <w:rPr>
                <w:rFonts w:ascii="宋体" w:hAnsi="宋体" w:cs="宋体" w:hint="eastAsia"/>
                <w:color w:val="000000"/>
                <w:szCs w:val="21"/>
                <w:highlight w:val="none"/>
              </w:rPr>
            </w:pPr>
            <w:r>
              <w:rPr>
                <w:rFonts w:ascii="宋体" w:hAnsi="宋体" w:cs="宋体" w:hint="eastAsia"/>
                <w:color w:val="000000"/>
                <w:szCs w:val="21"/>
                <w:highlight w:val="none"/>
              </w:rPr>
              <w:t>1</w:t>
            </w:r>
          </w:p>
        </w:tc>
        <w:tc>
          <w:tcPr>
            <w:tcW w:w="531" w:type="pct"/>
            <w:vAlign w:val="center"/>
          </w:tcPr>
          <w:p>
            <w:pPr>
              <w:spacing w:line="240" w:lineRule="exact"/>
              <w:jc w:val="center"/>
              <w:rPr>
                <w:rFonts w:ascii="宋体" w:hAnsi="宋体" w:cs="宋体" w:hint="eastAsia"/>
                <w:color w:val="000000"/>
                <w:szCs w:val="21"/>
                <w:highlight w:val="none"/>
              </w:rPr>
            </w:pPr>
            <w:r>
              <w:rPr>
                <w:rFonts w:ascii="宋体" w:hAnsi="宋体" w:cs="宋体" w:hint="eastAsia"/>
                <w:color w:val="000000"/>
                <w:szCs w:val="21"/>
                <w:highlight w:val="none"/>
              </w:rPr>
              <w:t>诚信评价</w:t>
            </w:r>
          </w:p>
        </w:tc>
        <w:tc>
          <w:tcPr>
            <w:tcW w:w="382" w:type="pct"/>
            <w:vAlign w:val="center"/>
          </w:tcPr>
          <w:p>
            <w:pPr>
              <w:spacing w:line="240" w:lineRule="exact"/>
              <w:jc w:val="center"/>
              <w:rPr>
                <w:rFonts w:ascii="宋体" w:hAnsi="宋体" w:cs="宋体" w:hint="eastAsia"/>
                <w:color w:val="000000"/>
                <w:szCs w:val="21"/>
                <w:highlight w:val="none"/>
              </w:rPr>
            </w:pPr>
            <w:r>
              <w:rPr>
                <w:rFonts w:ascii="宋体" w:hAnsi="宋体" w:cs="宋体" w:hint="eastAsia"/>
                <w:color w:val="000000"/>
                <w:szCs w:val="21"/>
                <w:highlight w:val="none"/>
              </w:rPr>
              <w:t>5</w:t>
            </w:r>
          </w:p>
        </w:tc>
        <w:tc>
          <w:tcPr>
            <w:tcW w:w="530" w:type="pct"/>
            <w:vAlign w:val="center"/>
          </w:tcPr>
          <w:p>
            <w:pPr>
              <w:spacing w:line="240" w:lineRule="exact"/>
              <w:jc w:val="center"/>
              <w:rPr>
                <w:rFonts w:ascii="宋体" w:hAnsi="宋体" w:cs="宋体" w:hint="eastAsia"/>
                <w:color w:val="000000"/>
                <w:szCs w:val="21"/>
                <w:highlight w:val="none"/>
              </w:rPr>
            </w:pPr>
            <w:r>
              <w:rPr>
                <w:rFonts w:ascii="宋体" w:hAnsi="宋体" w:cs="宋体" w:hint="eastAsia"/>
                <w:color w:val="000000"/>
                <w:szCs w:val="21"/>
                <w:highlight w:val="none"/>
              </w:rPr>
              <w:t>专家评分</w:t>
            </w:r>
          </w:p>
        </w:tc>
        <w:tc>
          <w:tcPr>
            <w:tcW w:w="2885" w:type="pct"/>
            <w:vAlign w:val="center"/>
          </w:tcPr>
          <w:p>
            <w:pPr>
              <w:rPr>
                <w:rFonts w:ascii="宋体" w:hAnsi="宋体" w:cs="宋体" w:hint="eastAsia"/>
                <w:color w:val="000000"/>
                <w:szCs w:val="21"/>
                <w:highlight w:val="none"/>
              </w:rPr>
            </w:pPr>
            <w:r>
              <w:rPr>
                <w:rFonts w:ascii="宋体" w:hAnsi="宋体" w:cs="宋体" w:hint="eastAsia"/>
                <w:color w:val="000000"/>
                <w:szCs w:val="21"/>
                <w:highlight w:val="none"/>
              </w:rPr>
              <w:t>投标人在参与政府采购活动中存在诚信相关问题且在主管部门相关处理措施实施期限内的，本项不得分，否则得100分。投标人无需提供任何证明材料，由工作人员向评审委员会提供相关信息。</w:t>
            </w:r>
          </w:p>
        </w:tc>
      </w:tr>
    </w:tbl>
    <w:p>
      <w:pPr>
        <w:pStyle w:val="a28"/>
        <w:ind w:firstLine="442"/>
        <w:rPr>
          <w:rFonts w:ascii="宋体" w:hAnsi="宋体" w:cs="宋体" w:hint="eastAsia"/>
          <w:b/>
          <w:bCs/>
          <w:color w:val="000000"/>
          <w:sz w:val="22"/>
          <w:szCs w:val="28"/>
          <w:highlight w:val="none"/>
        </w:rPr>
      </w:pPr>
      <w:bookmarkEnd w:id="0"/>
    </w:p>
    <w:p>
      <w:pPr>
        <w:pStyle w:val="Heading1"/>
        <w:spacing w:before="240" w:beforeLines="100" w:after="0" w:line="240" w:lineRule="auto"/>
        <w:rPr>
          <w:rFonts w:eastAsia="宋体" w:cs="宋体"/>
          <w:b/>
          <w:bCs/>
          <w:color w:val="000000"/>
          <w:kern w:val="2"/>
          <w:szCs w:val="21"/>
          <w:highlight w:val="none"/>
        </w:rPr>
      </w:pPr>
      <w:r>
        <w:rPr>
          <w:rFonts w:eastAsia="宋体" w:cs="宋体" w:hint="eastAsia"/>
          <w:color w:val="000000"/>
          <w:kern w:val="2"/>
          <w:szCs w:val="21"/>
          <w:highlight w:val="none"/>
        </w:rPr>
        <w:br w:type="page"/>
      </w:r>
      <w:r>
        <w:rPr>
          <w:rFonts w:eastAsia="宋体" w:cs="宋体" w:hint="eastAsia"/>
          <w:b/>
          <w:bCs/>
          <w:color w:val="000000"/>
          <w:highlight w:val="none"/>
        </w:rPr>
        <w:t>目   录</w:t>
      </w:r>
    </w:p>
    <w:p>
      <w:pPr>
        <w:rPr>
          <w:rFonts w:ascii="宋体" w:hAnsi="宋体" w:cs="宋体"/>
          <w:b/>
          <w:color w:val="000000"/>
          <w:sz w:val="24"/>
          <w:highlight w:val="none"/>
        </w:rPr>
      </w:pPr>
      <w:r>
        <w:rPr>
          <w:rFonts w:ascii="宋体" w:hAnsi="宋体" w:cs="宋体" w:hint="eastAsia"/>
          <w:b/>
          <w:color w:val="000000"/>
          <w:sz w:val="24"/>
          <w:highlight w:val="none"/>
        </w:rPr>
        <w:t>第一册  专用条款</w:t>
      </w:r>
    </w:p>
    <w:p>
      <w:pPr>
        <w:spacing w:line="360" w:lineRule="exact"/>
        <w:ind w:firstLine="567" w:firstLineChars="270"/>
        <w:jc w:val="left"/>
        <w:rPr>
          <w:rFonts w:ascii="宋体" w:hAnsi="宋体" w:cs="宋体"/>
          <w:color w:val="000000"/>
          <w:szCs w:val="21"/>
          <w:highlight w:val="none"/>
        </w:rPr>
      </w:pPr>
      <w:r>
        <w:rPr>
          <w:rFonts w:ascii="宋体" w:hAnsi="宋体" w:cs="宋体" w:hint="eastAsia"/>
          <w:color w:val="000000"/>
          <w:szCs w:val="21"/>
          <w:highlight w:val="none"/>
        </w:rPr>
        <w:t>关键信息</w:t>
      </w:r>
    </w:p>
    <w:p>
      <w:pPr>
        <w:spacing w:line="360" w:lineRule="exact"/>
        <w:ind w:firstLine="567" w:firstLineChars="270"/>
        <w:jc w:val="left"/>
        <w:rPr>
          <w:rFonts w:ascii="宋体" w:hAnsi="宋体" w:cs="宋体"/>
          <w:color w:val="000000"/>
          <w:szCs w:val="21"/>
          <w:highlight w:val="none"/>
        </w:rPr>
      </w:pPr>
      <w:r>
        <w:rPr>
          <w:rFonts w:ascii="宋体" w:hAnsi="宋体" w:cs="宋体" w:hint="eastAsia"/>
          <w:color w:val="000000"/>
          <w:szCs w:val="21"/>
          <w:highlight w:val="none"/>
        </w:rPr>
        <w:t>第一章  招标公告</w:t>
      </w:r>
    </w:p>
    <w:p>
      <w:pPr>
        <w:spacing w:line="360" w:lineRule="exact"/>
        <w:ind w:firstLine="567" w:firstLineChars="270"/>
        <w:jc w:val="left"/>
        <w:rPr>
          <w:rFonts w:ascii="宋体" w:hAnsi="宋体" w:cs="宋体"/>
          <w:color w:val="000000"/>
          <w:szCs w:val="21"/>
          <w:highlight w:val="none"/>
        </w:rPr>
      </w:pPr>
      <w:r>
        <w:rPr>
          <w:rFonts w:ascii="宋体" w:hAnsi="宋体" w:cs="宋体" w:hint="eastAsia"/>
          <w:color w:val="000000"/>
          <w:szCs w:val="21"/>
          <w:highlight w:val="none"/>
        </w:rPr>
        <w:t>第二章  招标项目需求</w:t>
      </w:r>
    </w:p>
    <w:p>
      <w:pPr>
        <w:spacing w:line="360" w:lineRule="exact"/>
        <w:ind w:firstLine="567" w:firstLineChars="270"/>
        <w:jc w:val="left"/>
        <w:rPr>
          <w:rFonts w:ascii="宋体" w:hAnsi="宋体" w:cs="宋体"/>
          <w:color w:val="000000"/>
          <w:szCs w:val="21"/>
          <w:highlight w:val="none"/>
        </w:rPr>
      </w:pPr>
      <w:r>
        <w:rPr>
          <w:rFonts w:ascii="宋体" w:hAnsi="宋体" w:cs="宋体" w:hint="eastAsia"/>
          <w:color w:val="000000"/>
          <w:szCs w:val="21"/>
          <w:highlight w:val="none"/>
        </w:rPr>
        <w:t>第三章  投标文件格式、附件</w:t>
      </w:r>
    </w:p>
    <w:p>
      <w:pPr>
        <w:spacing w:line="360" w:lineRule="exact"/>
        <w:ind w:firstLine="567" w:firstLineChars="270"/>
        <w:jc w:val="left"/>
        <w:rPr>
          <w:rFonts w:ascii="宋体" w:hAnsi="宋体" w:cs="宋体"/>
          <w:b/>
          <w:color w:val="000000"/>
          <w:szCs w:val="21"/>
          <w:highlight w:val="none"/>
        </w:rPr>
      </w:pPr>
      <w:r>
        <w:rPr>
          <w:rFonts w:ascii="宋体" w:hAnsi="宋体" w:cs="宋体" w:hint="eastAsia"/>
          <w:color w:val="000000"/>
          <w:szCs w:val="21"/>
          <w:highlight w:val="none"/>
        </w:rPr>
        <w:t>第四章  政府采购合同的签订、履行及验收</w:t>
      </w:r>
    </w:p>
    <w:p>
      <w:pPr>
        <w:rPr>
          <w:rFonts w:ascii="宋体" w:hAnsi="宋体" w:cs="宋体"/>
          <w:b/>
          <w:color w:val="000000"/>
          <w:sz w:val="24"/>
          <w:highlight w:val="none"/>
        </w:rPr>
      </w:pPr>
    </w:p>
    <w:p>
      <w:pPr>
        <w:rPr>
          <w:rFonts w:ascii="宋体" w:hAnsi="宋体" w:cs="宋体"/>
          <w:b/>
          <w:color w:val="000000"/>
          <w:sz w:val="24"/>
          <w:highlight w:val="none"/>
        </w:rPr>
      </w:pPr>
      <w:r>
        <w:rPr>
          <w:rFonts w:ascii="宋体" w:hAnsi="宋体" w:cs="宋体" w:hint="eastAsia"/>
          <w:b/>
          <w:color w:val="000000"/>
          <w:sz w:val="24"/>
          <w:highlight w:val="none"/>
        </w:rPr>
        <w:t>第二册  通用条款</w:t>
      </w:r>
    </w:p>
    <w:p>
      <w:pPr>
        <w:spacing w:line="360" w:lineRule="exact"/>
        <w:ind w:firstLine="567" w:firstLineChars="270"/>
        <w:jc w:val="left"/>
        <w:rPr>
          <w:rFonts w:ascii="宋体" w:hAnsi="宋体" w:cs="宋体"/>
          <w:color w:val="000000"/>
          <w:szCs w:val="21"/>
          <w:highlight w:val="none"/>
        </w:rPr>
      </w:pPr>
    </w:p>
    <w:p>
      <w:pPr>
        <w:rPr>
          <w:rFonts w:ascii="宋体" w:hAnsi="宋体" w:cs="宋体"/>
          <w:b/>
          <w:color w:val="000000"/>
          <w:sz w:val="24"/>
          <w:highlight w:val="none"/>
        </w:rPr>
      </w:pPr>
      <w:r>
        <w:rPr>
          <w:rFonts w:ascii="宋体" w:hAnsi="宋体" w:cs="宋体" w:hint="eastAsia"/>
          <w:b/>
          <w:color w:val="000000"/>
          <w:sz w:val="24"/>
          <w:highlight w:val="none"/>
        </w:rPr>
        <w:t>第三册  相关政策</w:t>
      </w:r>
    </w:p>
    <w:p>
      <w:pPr>
        <w:spacing w:line="360" w:lineRule="exact"/>
        <w:jc w:val="left"/>
        <w:rPr>
          <w:rFonts w:ascii="宋体" w:hAnsi="宋体" w:cs="宋体"/>
          <w:color w:val="000000"/>
          <w:szCs w:val="21"/>
          <w:highlight w:val="none"/>
        </w:rPr>
      </w:pPr>
    </w:p>
    <w:p>
      <w:pPr>
        <w:spacing w:line="360" w:lineRule="exact"/>
        <w:jc w:val="left"/>
        <w:rPr>
          <w:rFonts w:ascii="宋体" w:hAnsi="宋体" w:cs="宋体"/>
          <w:color w:val="000000"/>
          <w:szCs w:val="21"/>
          <w:highlight w:val="none"/>
        </w:rPr>
      </w:pPr>
    </w:p>
    <w:p>
      <w:pPr>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备注：</w:t>
      </w:r>
    </w:p>
    <w:p>
      <w:pPr>
        <w:rPr>
          <w:rFonts w:ascii="宋体" w:hAnsi="宋体" w:cs="宋体"/>
          <w:color w:val="000000"/>
          <w:szCs w:val="21"/>
          <w:highlight w:val="none"/>
        </w:rPr>
      </w:pPr>
      <w:r>
        <w:rPr>
          <w:rFonts w:ascii="宋体" w:hAnsi="宋体" w:cs="宋体" w:hint="eastAsia"/>
          <w:color w:val="000000"/>
          <w:szCs w:val="21"/>
          <w:highlight w:val="none"/>
        </w:rPr>
        <w:t>1.本招标文件分为第一册“专用条款”、第二册“通用条款”和第三册“相关政策”。</w:t>
      </w:r>
    </w:p>
    <w:p>
      <w:pPr>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2.“专用条款”是对本次采购项目的具体要求，包含招标公告、招标项目需求、投标文件格式、合同条款及格式、附件等内容。</w:t>
      </w:r>
    </w:p>
    <w:p>
      <w:pPr>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3.“通用条款”是通用于政府采购项目的基础性条款，具有普遍性和通用性。</w:t>
      </w:r>
    </w:p>
    <w:p>
      <w:pPr>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4.当出现“专用条款”和“通用条款”表述不一致或有冲突时，以“专用条款”为准。</w:t>
      </w:r>
    </w:p>
    <w:p>
      <w:pPr>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5.对通用条款的补充内容</w:t>
      </w:r>
    </w:p>
    <w:p>
      <w:pPr>
        <w:pStyle w:val="BodyTextFirstIndent2"/>
        <w:rPr>
          <w:rFonts w:ascii="宋体" w:hAnsi="宋体" w:cs="宋体"/>
          <w:color w:val="000000"/>
          <w:highlight w:val="none"/>
        </w:rPr>
      </w:pPr>
    </w:p>
    <w:p>
      <w:pPr>
        <w:pStyle w:val="Heading1"/>
        <w:spacing w:line="300" w:lineRule="auto"/>
        <w:rPr>
          <w:rFonts w:eastAsia="宋体" w:cs="宋体"/>
          <w:color w:val="000000"/>
          <w:sz w:val="24"/>
          <w:highlight w:val="none"/>
        </w:rPr>
      </w:pPr>
      <w:r>
        <w:rPr>
          <w:rFonts w:eastAsia="宋体" w:cs="宋体" w:hint="eastAsia"/>
          <w:color w:val="000000"/>
          <w:kern w:val="2"/>
          <w:szCs w:val="21"/>
          <w:highlight w:val="none"/>
        </w:rPr>
        <w:br w:type="page"/>
      </w:r>
      <w:bookmarkStart w:id="1" w:name="bt投标文件签署授权委托书"/>
      <w:bookmarkStart w:id="2" w:name="bt合同条款及格式"/>
      <w:bookmarkStart w:id="3" w:name="bt开标一览表"/>
      <w:bookmarkStart w:id="4" w:name="bt其他资料由投标人自定"/>
      <w:bookmarkStart w:id="5" w:name="bt项目管理班子配备情况"/>
      <w:bookmarkStart w:id="6" w:name="bt其他资料2"/>
      <w:bookmarkStart w:id="7" w:name="bt商务标投标文件格式"/>
      <w:bookmarkStart w:id="8" w:name="合同格式"/>
      <w:bookmarkStart w:id="9" w:name="bt投标人情况介绍"/>
      <w:bookmarkStart w:id="10" w:name="bt说明"/>
      <w:bookmarkStart w:id="11" w:name="bt本工程承诺书"/>
      <w:bookmarkStart w:id="12" w:name="bt投标人须知"/>
      <w:bookmarkStart w:id="13" w:name="bt投标函"/>
      <w:bookmarkStart w:id="14" w:name="bt合同格式"/>
      <w:bookmarkStart w:id="15" w:name="bt合同条款"/>
      <w:bookmarkStart w:id="16" w:name="bt技术标投标文件格式"/>
      <w:bookmarkStart w:id="17" w:name="bt投标报价汇总表"/>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eastAsia="宋体" w:cs="宋体" w:hint="eastAsia"/>
          <w:color w:val="000000"/>
          <w:sz w:val="32"/>
          <w:szCs w:val="48"/>
          <w:highlight w:val="none"/>
        </w:rPr>
        <w:t>第一册  专用条款</w:t>
      </w:r>
    </w:p>
    <w:p>
      <w:pPr>
        <w:pStyle w:val="Heading2"/>
        <w:spacing w:line="300" w:lineRule="auto"/>
        <w:rPr>
          <w:rFonts w:cs="宋体"/>
          <w:color w:val="000000"/>
          <w:sz w:val="28"/>
          <w:szCs w:val="21"/>
          <w:highlight w:val="none"/>
        </w:rPr>
      </w:pPr>
      <w:r>
        <w:rPr>
          <w:rFonts w:cs="宋体" w:hint="eastAsia"/>
          <w:color w:val="000000"/>
          <w:sz w:val="28"/>
          <w:szCs w:val="21"/>
          <w:highlight w:val="none"/>
        </w:rPr>
        <w:t>第一章  招标公告</w:t>
      </w:r>
    </w:p>
    <w:p>
      <w:pPr>
        <w:pStyle w:val="Heading3"/>
        <w:wordWrap w:val="0"/>
        <w:jc w:val="right"/>
        <w:rPr>
          <w:rFonts w:eastAsia="宋体" w:cs="宋体" w:hint="eastAsia"/>
          <w:color w:val="000000"/>
          <w:sz w:val="20"/>
          <w:highlight w:val="none"/>
          <w:lang w:eastAsia="zh-CN"/>
        </w:rPr>
      </w:pPr>
      <w:r>
        <w:rPr>
          <w:rFonts w:cs="宋体" w:hint="eastAsia"/>
          <w:b w:val="0"/>
          <w:bCs w:val="0"/>
          <w:color w:val="000000"/>
          <w:sz w:val="20"/>
          <w:highlight w:val="none"/>
        </w:rPr>
        <w:t>文件编码：</w:t>
      </w:r>
      <w:r>
        <w:rPr>
          <w:rFonts w:cs="宋体" w:hint="eastAsia"/>
          <w:b w:val="0"/>
          <w:bCs w:val="0"/>
          <w:color w:val="000000"/>
          <w:sz w:val="20"/>
          <w:highlight w:val="none"/>
          <w:lang w:eastAsia="zh-CN"/>
        </w:rPr>
        <w:t>0722-2023FE5203SZF-0</w:t>
      </w:r>
    </w:p>
    <w:p>
      <w:pPr>
        <w:keepNext/>
        <w:keepLines/>
        <w:spacing w:before="120" w:beforeLines="50" w:after="120" w:afterLines="50"/>
        <w:outlineLvl w:val="2"/>
        <w:rPr>
          <w:rFonts w:ascii="宋体" w:hAnsi="宋体" w:cs="宋体"/>
          <w:b/>
          <w:bCs/>
          <w:color w:val="000000"/>
          <w:sz w:val="24"/>
          <w:highlight w:val="none"/>
        </w:rPr>
      </w:pPr>
      <w:r>
        <w:rPr>
          <w:rFonts w:ascii="宋体" w:hAnsi="宋体" w:cs="宋体" w:hint="eastAsia"/>
          <w:b/>
          <w:bCs/>
          <w:color w:val="000000"/>
          <w:sz w:val="24"/>
          <w:highlight w:val="none"/>
        </w:rPr>
        <w:t>项目概况：</w:t>
      </w:r>
    </w:p>
    <w:p>
      <w:pPr>
        <w:spacing w:line="360" w:lineRule="exact"/>
        <w:ind w:left="105" w:firstLine="315" w:leftChars="50" w:firstLineChars="150"/>
        <w:rPr>
          <w:rFonts w:ascii="宋体" w:hAnsi="宋体" w:cs="宋体"/>
          <w:color w:val="000000"/>
          <w:szCs w:val="21"/>
          <w:highlight w:val="none"/>
        </w:rPr>
      </w:pPr>
      <w:r>
        <w:rPr>
          <w:rFonts w:ascii="宋体" w:hAnsi="宋体" w:cs="宋体" w:hint="eastAsia"/>
          <w:color w:val="000000"/>
          <w:szCs w:val="21"/>
          <w:highlight w:val="none"/>
        </w:rPr>
        <w:t>环境工程-纯水机招标项目的潜在投标人应</w:t>
      </w:r>
      <w:r>
        <w:rPr>
          <w:rStyle w:val="Hyperlink"/>
          <w:rFonts w:ascii="宋体" w:hAnsi="宋体" w:cs="宋体" w:hint="eastAsia"/>
          <w:color w:val="000000"/>
          <w:highlight w:val="none"/>
        </w:rPr>
        <w:t>按本招标公告“三、获取招标文件”要求下载获取本项目的招标文件，并于**年**月**日**:**（北京时间）</w:t>
      </w:r>
      <w:r>
        <w:rPr>
          <w:rStyle w:val="Hyperlink"/>
          <w:rFonts w:ascii="宋体" w:hAnsi="宋体" w:cs="宋体" w:hint="eastAsia"/>
          <w:b/>
          <w:bCs/>
          <w:color w:val="000000"/>
          <w:highlight w:val="none"/>
          <w:shd w:val="clear" w:color="FFFFFF" w:fill="D9D9D9"/>
        </w:rPr>
        <w:t>[具体时间详见“深圳公共资源交易网”招标（采购）公告，以公告公布信息为准]</w:t>
      </w:r>
      <w:r>
        <w:rPr>
          <w:rStyle w:val="Hyperlink"/>
          <w:rFonts w:ascii="宋体" w:hAnsi="宋体" w:cs="宋体" w:hint="eastAsia"/>
          <w:color w:val="000000"/>
          <w:highlight w:val="none"/>
        </w:rPr>
        <w:t>前递交投标文件</w:t>
      </w:r>
      <w:r>
        <w:rPr>
          <w:rFonts w:ascii="宋体" w:hAnsi="宋体" w:cs="宋体" w:hint="eastAsia"/>
          <w:color w:val="000000"/>
          <w:szCs w:val="21"/>
          <w:highlight w:val="none"/>
        </w:rPr>
        <w:t>。</w:t>
      </w:r>
    </w:p>
    <w:p>
      <w:pPr>
        <w:keepNext/>
        <w:keepLines/>
        <w:spacing w:before="120" w:beforeLines="50" w:after="120" w:afterLines="50"/>
        <w:outlineLvl w:val="2"/>
        <w:rPr>
          <w:rFonts w:ascii="宋体" w:hAnsi="宋体" w:cs="宋体"/>
          <w:b/>
          <w:bCs/>
          <w:color w:val="000000"/>
          <w:sz w:val="24"/>
          <w:highlight w:val="none"/>
        </w:rPr>
      </w:pPr>
      <w:r>
        <w:rPr>
          <w:rFonts w:ascii="宋体" w:hAnsi="宋体" w:cs="宋体" w:hint="eastAsia"/>
          <w:b/>
          <w:bCs/>
          <w:color w:val="000000"/>
          <w:sz w:val="24"/>
          <w:highlight w:val="none"/>
        </w:rPr>
        <w:t>一、项目基本情况：</w:t>
      </w:r>
    </w:p>
    <w:p>
      <w:pPr>
        <w:spacing w:line="360" w:lineRule="exact"/>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1.项目编号：</w:t>
      </w:r>
      <w:r>
        <w:rPr>
          <w:rFonts w:ascii="宋体" w:hAnsi="宋体" w:cs="宋体" w:hint="eastAsia"/>
          <w:color w:val="000000"/>
          <w:szCs w:val="21"/>
          <w:highlight w:val="none"/>
          <w:lang w:eastAsia="zh-CN"/>
        </w:rPr>
        <w:t>SZDL2023001829</w:t>
      </w:r>
      <w:r>
        <w:rPr>
          <w:rFonts w:ascii="宋体" w:hAnsi="宋体" w:cs="宋体" w:hint="eastAsia"/>
          <w:color w:val="000000"/>
          <w:szCs w:val="21"/>
          <w:highlight w:val="none"/>
        </w:rPr>
        <w:t xml:space="preserve">    </w:t>
      </w:r>
    </w:p>
    <w:p>
      <w:pPr>
        <w:spacing w:line="360" w:lineRule="exact"/>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2.项目名称：环境工程-</w:t>
      </w:r>
      <w:r>
        <w:rPr>
          <w:rFonts w:ascii="宋体" w:hAnsi="宋体" w:cs="宋体" w:hint="eastAsia"/>
          <w:color w:val="000000"/>
          <w:kern w:val="0"/>
          <w:szCs w:val="21"/>
          <w:highlight w:val="none"/>
        </w:rPr>
        <w:t xml:space="preserve">纯水机   </w:t>
      </w:r>
    </w:p>
    <w:p>
      <w:pPr>
        <w:spacing w:line="360" w:lineRule="exact"/>
        <w:ind w:firstLine="420" w:firstLineChars="200"/>
        <w:rPr>
          <w:rFonts w:ascii="宋体" w:hAnsi="宋体" w:cs="宋体"/>
          <w:color w:val="000000"/>
          <w:szCs w:val="21"/>
          <w:highlight w:val="none"/>
        </w:rPr>
      </w:pPr>
      <w:r>
        <w:rPr>
          <w:rFonts w:ascii="宋体" w:hAnsi="宋体" w:cs="宋体" w:hint="eastAsia"/>
          <w:color w:val="000000"/>
          <w:szCs w:val="21"/>
          <w:highlight w:val="none"/>
        </w:rPr>
        <w:t>3.预算金额：人民币壹佰伍拾叁万陆仟元整（¥1,536,000.00）</w:t>
      </w:r>
    </w:p>
    <w:p>
      <w:pPr>
        <w:spacing w:line="360" w:lineRule="exact"/>
        <w:ind w:left="638" w:hanging="218" w:leftChars="200" w:hangingChars="104"/>
        <w:rPr>
          <w:rFonts w:ascii="宋体" w:hAnsi="宋体" w:cs="宋体" w:hint="eastAsia"/>
          <w:color w:val="000000"/>
          <w:szCs w:val="21"/>
          <w:highlight w:val="none"/>
        </w:rPr>
      </w:pPr>
      <w:r>
        <w:rPr>
          <w:rFonts w:ascii="宋体" w:hAnsi="宋体" w:cs="宋体" w:hint="eastAsia"/>
          <w:color w:val="000000"/>
          <w:szCs w:val="21"/>
          <w:highlight w:val="none"/>
        </w:rPr>
        <w:t>4.最高限价：人民币壹佰伍拾叁万陆仟元整（¥1,536,000.00）</w:t>
      </w:r>
    </w:p>
    <w:p>
      <w:pPr>
        <w:spacing w:line="360" w:lineRule="exact"/>
        <w:ind w:left="638" w:hanging="218" w:leftChars="200" w:hangingChars="104"/>
        <w:rPr>
          <w:rFonts w:ascii="宋体" w:hAnsi="宋体" w:cs="宋体" w:hint="eastAsia"/>
          <w:color w:val="000000"/>
          <w:szCs w:val="21"/>
          <w:highlight w:val="none"/>
        </w:rPr>
      </w:pPr>
      <w:r>
        <w:rPr>
          <w:rFonts w:ascii="宋体" w:hAnsi="宋体" w:cs="宋体" w:hint="eastAsia"/>
          <w:color w:val="000000"/>
          <w:szCs w:val="21"/>
          <w:highlight w:val="none"/>
        </w:rPr>
        <w:t>5.采购需求：</w:t>
      </w:r>
    </w:p>
    <w:tbl>
      <w:tblPr>
        <w:tblStyle w:val="TableNormal"/>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tblPr>
      <w:tblGrid>
        <w:gridCol w:w="936"/>
        <w:gridCol w:w="3173"/>
        <w:gridCol w:w="964"/>
        <w:gridCol w:w="950"/>
        <w:gridCol w:w="2968"/>
        <w:gridCol w:w="944"/>
      </w:tblGrid>
      <w:tr>
        <w:tblPrEx>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tblPrEx>
        <w:trPr>
          <w:trHeight w:val="211"/>
          <w:jc w:val="center"/>
        </w:trPr>
        <w:tc>
          <w:tcPr>
            <w:tcW w:w="471" w:type="pct"/>
            <w:shd w:val="clear" w:color="auto" w:fill="ABCDEF"/>
            <w:vAlign w:val="center"/>
          </w:tcPr>
          <w:p>
            <w:pPr>
              <w:widowControl/>
              <w:spacing w:before="100" w:beforeAutospacing="1" w:after="100" w:afterAutospacing="1"/>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序号</w:t>
            </w:r>
          </w:p>
        </w:tc>
        <w:tc>
          <w:tcPr>
            <w:tcW w:w="1596" w:type="pct"/>
            <w:shd w:val="clear" w:color="auto" w:fill="ABCDEF"/>
            <w:vAlign w:val="center"/>
          </w:tcPr>
          <w:p>
            <w:pPr>
              <w:widowControl/>
              <w:spacing w:before="100" w:beforeAutospacing="1" w:after="100" w:afterAutospacing="1"/>
              <w:jc w:val="center"/>
              <w:rPr>
                <w:rFonts w:ascii="宋体" w:hAnsi="宋体" w:cs="宋体"/>
                <w:b/>
                <w:bCs/>
                <w:color w:val="000000"/>
                <w:kern w:val="0"/>
                <w:szCs w:val="21"/>
                <w:highlight w:val="none"/>
              </w:rPr>
            </w:pPr>
            <w:r>
              <w:rPr>
                <w:rFonts w:ascii="宋体" w:hAnsi="宋体" w:cs="宋体" w:hint="eastAsia"/>
                <w:b/>
                <w:bCs/>
                <w:color w:val="000000"/>
                <w:kern w:val="0"/>
                <w:szCs w:val="21"/>
                <w:highlight w:val="none"/>
              </w:rPr>
              <w:t>标的名称</w:t>
            </w:r>
          </w:p>
        </w:tc>
        <w:tc>
          <w:tcPr>
            <w:tcW w:w="485" w:type="pct"/>
            <w:shd w:val="clear" w:color="auto" w:fill="ABCDEF"/>
            <w:vAlign w:val="center"/>
          </w:tcPr>
          <w:p>
            <w:pPr>
              <w:widowControl/>
              <w:spacing w:before="100" w:beforeAutospacing="1" w:after="100" w:afterAutospacing="1"/>
              <w:jc w:val="center"/>
              <w:rPr>
                <w:rFonts w:ascii="宋体" w:hAnsi="宋体" w:cs="宋体"/>
                <w:b/>
                <w:bCs/>
                <w:color w:val="000000"/>
                <w:kern w:val="0"/>
                <w:szCs w:val="21"/>
                <w:highlight w:val="none"/>
              </w:rPr>
            </w:pPr>
            <w:r>
              <w:rPr>
                <w:rFonts w:ascii="宋体" w:hAnsi="宋体" w:cs="宋体" w:hint="eastAsia"/>
                <w:b/>
                <w:bCs/>
                <w:color w:val="000000"/>
                <w:kern w:val="0"/>
                <w:szCs w:val="21"/>
                <w:highlight w:val="none"/>
              </w:rPr>
              <w:t>单位</w:t>
            </w:r>
          </w:p>
        </w:tc>
        <w:tc>
          <w:tcPr>
            <w:tcW w:w="478" w:type="pct"/>
            <w:shd w:val="clear" w:color="auto" w:fill="ABCDEF"/>
            <w:vAlign w:val="center"/>
          </w:tcPr>
          <w:p>
            <w:pPr>
              <w:widowControl/>
              <w:spacing w:before="100" w:beforeAutospacing="1" w:after="100" w:afterAutospacing="1"/>
              <w:jc w:val="center"/>
              <w:rPr>
                <w:rFonts w:ascii="宋体" w:hAnsi="宋体" w:cs="宋体"/>
                <w:b/>
                <w:bCs/>
                <w:color w:val="000000"/>
                <w:kern w:val="0"/>
                <w:szCs w:val="21"/>
                <w:highlight w:val="none"/>
              </w:rPr>
            </w:pPr>
            <w:r>
              <w:rPr>
                <w:rFonts w:ascii="宋体" w:hAnsi="宋体" w:cs="宋体" w:hint="eastAsia"/>
                <w:b/>
                <w:bCs/>
                <w:color w:val="000000"/>
                <w:kern w:val="0"/>
                <w:szCs w:val="21"/>
                <w:highlight w:val="none"/>
              </w:rPr>
              <w:t>数量</w:t>
            </w:r>
          </w:p>
        </w:tc>
        <w:tc>
          <w:tcPr>
            <w:tcW w:w="1493" w:type="pct"/>
            <w:shd w:val="clear" w:color="auto" w:fill="ABCDEF"/>
            <w:vAlign w:val="center"/>
          </w:tcPr>
          <w:p>
            <w:pPr>
              <w:widowControl/>
              <w:spacing w:before="100" w:beforeAutospacing="1" w:after="100" w:afterAutospacing="1"/>
              <w:jc w:val="center"/>
              <w:rPr>
                <w:rFonts w:ascii="宋体" w:hAnsi="宋体" w:cs="宋体"/>
                <w:b/>
                <w:bCs/>
                <w:color w:val="000000"/>
                <w:kern w:val="0"/>
                <w:szCs w:val="21"/>
                <w:highlight w:val="none"/>
              </w:rPr>
            </w:pPr>
            <w:r>
              <w:rPr>
                <w:rFonts w:ascii="宋体" w:hAnsi="宋体" w:cs="宋体" w:hint="eastAsia"/>
                <w:b/>
                <w:bCs/>
                <w:color w:val="000000"/>
                <w:kern w:val="0"/>
                <w:szCs w:val="21"/>
                <w:highlight w:val="none"/>
              </w:rPr>
              <w:t>简要技术需求（项目需求）</w:t>
            </w:r>
          </w:p>
        </w:tc>
        <w:tc>
          <w:tcPr>
            <w:tcW w:w="475" w:type="pct"/>
            <w:shd w:val="clear" w:color="auto" w:fill="ABCDEF"/>
            <w:vAlign w:val="center"/>
          </w:tcPr>
          <w:p>
            <w:pPr>
              <w:widowControl/>
              <w:spacing w:before="100" w:beforeAutospacing="1" w:after="100" w:afterAutospacing="1"/>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备注</w:t>
            </w:r>
          </w:p>
        </w:tc>
      </w:tr>
      <w:tr>
        <w:tblPrEx>
          <w:tblW w:w="4990" w:type="pct"/>
          <w:jc w:val="center"/>
          <w:tblCellMar>
            <w:top w:w="60" w:type="dxa"/>
            <w:left w:w="60" w:type="dxa"/>
            <w:bottom w:w="60" w:type="dxa"/>
            <w:right w:w="60" w:type="dxa"/>
          </w:tblCellMar>
          <w:tblLook w:val="0000"/>
        </w:tblPrEx>
        <w:trPr>
          <w:trHeight w:val="226"/>
          <w:jc w:val="center"/>
        </w:trPr>
        <w:tc>
          <w:tcPr>
            <w:tcW w:w="471" w:type="pct"/>
            <w:vAlign w:val="center"/>
          </w:tcPr>
          <w:p>
            <w:pPr>
              <w:jc w:val="center"/>
              <w:rPr>
                <w:rFonts w:ascii="宋体" w:hAnsi="宋体" w:hint="eastAsia"/>
                <w:color w:val="000000"/>
                <w:szCs w:val="21"/>
                <w:highlight w:val="none"/>
              </w:rPr>
            </w:pPr>
            <w:r>
              <w:rPr>
                <w:rFonts w:ascii="宋体" w:hAnsi="宋体" w:hint="eastAsia"/>
                <w:color w:val="000000"/>
                <w:szCs w:val="21"/>
                <w:highlight w:val="none"/>
              </w:rPr>
              <w:t>一</w:t>
            </w:r>
          </w:p>
        </w:tc>
        <w:tc>
          <w:tcPr>
            <w:tcW w:w="1596" w:type="pct"/>
            <w:vAlign w:val="center"/>
          </w:tcPr>
          <w:p>
            <w:pPr>
              <w:jc w:val="center"/>
              <w:rPr>
                <w:rFonts w:ascii="宋体" w:hAnsi="宋体" w:hint="eastAsia"/>
                <w:color w:val="000000"/>
                <w:szCs w:val="21"/>
                <w:highlight w:val="none"/>
              </w:rPr>
            </w:pPr>
            <w:r>
              <w:rPr>
                <w:rFonts w:ascii="宋体" w:hAnsi="宋体" w:hint="eastAsia"/>
                <w:color w:val="000000"/>
                <w:szCs w:val="21"/>
                <w:highlight w:val="none"/>
              </w:rPr>
              <w:t>纯水机</w:t>
            </w:r>
          </w:p>
        </w:tc>
        <w:tc>
          <w:tcPr>
            <w:tcW w:w="485" w:type="pct"/>
            <w:vAlign w:val="center"/>
          </w:tcPr>
          <w:p>
            <w:pPr>
              <w:jc w:val="center"/>
              <w:rPr>
                <w:rFonts w:ascii="宋体" w:hAnsi="宋体" w:hint="eastAsia"/>
                <w:color w:val="000000"/>
                <w:szCs w:val="21"/>
                <w:highlight w:val="none"/>
              </w:rPr>
            </w:pPr>
            <w:r>
              <w:rPr>
                <w:rFonts w:ascii="宋体" w:hAnsi="宋体" w:hint="eastAsia"/>
                <w:color w:val="000000"/>
                <w:szCs w:val="21"/>
                <w:highlight w:val="none"/>
              </w:rPr>
              <w:t>套</w:t>
            </w:r>
          </w:p>
        </w:tc>
        <w:tc>
          <w:tcPr>
            <w:tcW w:w="478" w:type="pct"/>
            <w:vAlign w:val="center"/>
          </w:tcPr>
          <w:p>
            <w:pPr>
              <w:jc w:val="center"/>
              <w:rPr>
                <w:rFonts w:ascii="宋体" w:hAnsi="宋体" w:hint="eastAsia"/>
                <w:color w:val="000000"/>
                <w:szCs w:val="21"/>
                <w:highlight w:val="none"/>
              </w:rPr>
            </w:pPr>
            <w:r>
              <w:rPr>
                <w:rFonts w:ascii="宋体" w:hAnsi="宋体" w:hint="eastAsia"/>
                <w:color w:val="000000"/>
                <w:szCs w:val="21"/>
                <w:highlight w:val="none"/>
              </w:rPr>
              <w:t>8</w:t>
            </w:r>
          </w:p>
        </w:tc>
        <w:tc>
          <w:tcPr>
            <w:tcW w:w="1493" w:type="pct"/>
            <w:vAlign w:val="center"/>
          </w:tcPr>
          <w:p>
            <w:pPr>
              <w:widowControl/>
              <w:spacing w:before="100" w:beforeAutospacing="1" w:after="100" w:afterAutospacing="1"/>
              <w:jc w:val="center"/>
              <w:rPr>
                <w:rFonts w:ascii="宋体" w:hAnsi="宋体" w:cs="宋体" w:hint="eastAsia"/>
                <w:color w:val="000000"/>
                <w:kern w:val="0"/>
                <w:szCs w:val="21"/>
                <w:highlight w:val="none"/>
              </w:rPr>
            </w:pPr>
            <w:r>
              <w:rPr>
                <w:rFonts w:ascii="宋体" w:hAnsi="宋体" w:cs="宋体" w:hint="eastAsia"/>
                <w:color w:val="000000"/>
                <w:kern w:val="0"/>
                <w:szCs w:val="21"/>
                <w:highlight w:val="none"/>
              </w:rPr>
              <w:t>详见招标文件</w:t>
            </w:r>
          </w:p>
        </w:tc>
        <w:tc>
          <w:tcPr>
            <w:tcW w:w="475" w:type="pct"/>
            <w:vAlign w:val="center"/>
          </w:tcPr>
          <w:p>
            <w:pPr>
              <w:jc w:val="center"/>
              <w:rPr>
                <w:rFonts w:ascii="宋体" w:hAnsi="宋体"/>
                <w:color w:val="000000"/>
                <w:szCs w:val="21"/>
                <w:highlight w:val="none"/>
              </w:rPr>
            </w:pPr>
          </w:p>
        </w:tc>
      </w:tr>
    </w:tbl>
    <w:p>
      <w:pPr>
        <w:spacing w:before="120" w:beforeLines="50" w:line="360" w:lineRule="auto"/>
        <w:ind w:firstLine="420" w:firstLineChars="200"/>
        <w:rPr>
          <w:rFonts w:ascii="宋体" w:hAnsi="宋体" w:cs="宋体" w:hint="eastAsia"/>
          <w:color w:val="000000"/>
          <w:szCs w:val="21"/>
          <w:highlight w:val="none"/>
        </w:rPr>
      </w:pPr>
      <w:r>
        <w:rPr>
          <w:rFonts w:ascii="宋体" w:hAnsi="宋体" w:cs="宋体" w:hint="eastAsia"/>
          <w:b/>
          <w:bCs/>
          <w:color w:val="000000"/>
          <w:szCs w:val="21"/>
          <w:highlight w:val="none"/>
        </w:rPr>
        <w:t>6.</w:t>
      </w:r>
      <w:r>
        <w:rPr>
          <w:rFonts w:ascii="宋体" w:hAnsi="宋体" w:cs="宋体" w:hint="eastAsia"/>
          <w:b/>
          <w:bCs/>
          <w:color w:val="000000"/>
          <w:highlight w:val="none"/>
        </w:rPr>
        <w:t xml:space="preserve"> </w:t>
      </w:r>
      <w:r>
        <w:rPr>
          <w:rFonts w:ascii="宋体" w:hAnsi="宋体" w:cs="宋体" w:hint="eastAsia"/>
          <w:b/>
          <w:color w:val="000000"/>
          <w:szCs w:val="21"/>
          <w:highlight w:val="none"/>
        </w:rPr>
        <w:t>交货期：</w:t>
      </w:r>
      <w:r>
        <w:rPr>
          <w:rFonts w:ascii="宋体" w:hAnsi="宋体" w:cs="宋体" w:hint="eastAsia"/>
          <w:bCs/>
          <w:color w:val="000000"/>
          <w:szCs w:val="21"/>
          <w:highlight w:val="none"/>
          <w:lang w:val="de-DE"/>
        </w:rPr>
        <w:t>合同签订后180个日历日内</w:t>
      </w:r>
      <w:r>
        <w:rPr>
          <w:rFonts w:ascii="宋体" w:hAnsi="宋体" w:cs="宋体" w:hint="eastAsia"/>
          <w:color w:val="000000"/>
          <w:szCs w:val="21"/>
          <w:highlight w:val="none"/>
        </w:rPr>
        <w:t>。</w:t>
      </w:r>
    </w:p>
    <w:p>
      <w:pPr>
        <w:spacing w:line="360" w:lineRule="exact"/>
        <w:ind w:firstLine="420" w:firstLineChars="200"/>
        <w:rPr>
          <w:rFonts w:ascii="宋体" w:hAnsi="宋体" w:cs="宋体"/>
          <w:b/>
          <w:bCs/>
          <w:color w:val="000000"/>
          <w:sz w:val="24"/>
          <w:highlight w:val="none"/>
        </w:rPr>
      </w:pPr>
      <w:r>
        <w:rPr>
          <w:rFonts w:ascii="宋体" w:hAnsi="宋体" w:cs="宋体" w:hint="eastAsia"/>
          <w:b/>
          <w:color w:val="000000"/>
          <w:szCs w:val="21"/>
          <w:highlight w:val="none"/>
        </w:rPr>
        <w:t>7. 本项目接受进口设备参与投标，不接受联合体参与投标，不允许转包、分包。</w:t>
      </w:r>
    </w:p>
    <w:p>
      <w:pPr>
        <w:keepNext/>
        <w:keepLines/>
        <w:spacing w:before="120" w:beforeLines="50" w:after="120" w:afterLines="50"/>
        <w:outlineLvl w:val="2"/>
        <w:rPr>
          <w:rFonts w:ascii="宋体" w:hAnsi="宋体" w:cs="宋体"/>
          <w:b/>
          <w:bCs/>
          <w:color w:val="000000"/>
          <w:sz w:val="24"/>
          <w:highlight w:val="none"/>
        </w:rPr>
      </w:pPr>
      <w:r>
        <w:rPr>
          <w:rFonts w:ascii="宋体" w:hAnsi="宋体" w:cs="宋体" w:hint="eastAsia"/>
          <w:b/>
          <w:bCs/>
          <w:color w:val="000000"/>
          <w:sz w:val="24"/>
          <w:highlight w:val="none"/>
        </w:rPr>
        <w:t>二、投标人资格要求：</w:t>
      </w:r>
    </w:p>
    <w:p>
      <w:pPr>
        <w:numPr>
          <w:ilvl w:val="0"/>
          <w:numId w:val="9"/>
        </w:numPr>
        <w:spacing w:before="60" w:beforeLines="25" w:after="60" w:afterLines="25" w:line="320" w:lineRule="exact"/>
        <w:rPr>
          <w:rFonts w:ascii="宋体" w:hAnsi="宋体" w:cs="宋体"/>
          <w:color w:val="000000"/>
          <w:kern w:val="0"/>
          <w:szCs w:val="21"/>
          <w:highlight w:val="none"/>
        </w:rPr>
      </w:pPr>
      <w:r>
        <w:rPr>
          <w:rFonts w:ascii="宋体" w:hAnsi="宋体" w:cs="宋体" w:hint="eastAsia"/>
          <w:color w:val="000000"/>
          <w:kern w:val="0"/>
          <w:szCs w:val="21"/>
          <w:highlight w:val="none"/>
        </w:rPr>
        <w:t>满足《中华人民共和国政府采购法》第二十二条规定</w:t>
      </w:r>
      <w:r>
        <w:rPr>
          <w:rFonts w:ascii="宋体" w:hAnsi="宋体" w:cs="宋体" w:hint="eastAsia"/>
          <w:b/>
          <w:color w:val="000000"/>
          <w:kern w:val="0"/>
          <w:szCs w:val="21"/>
          <w:highlight w:val="none"/>
        </w:rPr>
        <w:t>（投标人提供营业执照或事业单位法人证等法人证明扫描件以及《政府采购投标及履约承诺函》，原件备查）</w:t>
      </w:r>
      <w:r>
        <w:rPr>
          <w:rFonts w:ascii="宋体" w:hAnsi="宋体" w:cs="宋体" w:hint="eastAsia"/>
          <w:bCs/>
          <w:color w:val="000000"/>
          <w:kern w:val="0"/>
          <w:szCs w:val="21"/>
          <w:highlight w:val="none"/>
        </w:rPr>
        <w:t>；</w:t>
      </w:r>
    </w:p>
    <w:p>
      <w:pPr>
        <w:numPr>
          <w:ilvl w:val="0"/>
          <w:numId w:val="9"/>
        </w:numPr>
        <w:spacing w:before="60" w:beforeLines="25" w:after="60" w:afterLines="25" w:line="320" w:lineRule="exact"/>
        <w:rPr>
          <w:rFonts w:ascii="宋体" w:hAnsi="宋体" w:cs="宋体"/>
          <w:color w:val="000000"/>
          <w:kern w:val="0"/>
          <w:szCs w:val="21"/>
          <w:highlight w:val="none"/>
        </w:rPr>
      </w:pPr>
      <w:r>
        <w:rPr>
          <w:rFonts w:ascii="宋体" w:hAnsi="宋体" w:cs="宋体" w:hint="eastAsia"/>
          <w:color w:val="000000"/>
          <w:kern w:val="0"/>
          <w:szCs w:val="21"/>
          <w:highlight w:val="none"/>
        </w:rPr>
        <w:t>投标人及其法定代表人参与政府采购项目投标近三年内（投标人成立不足三年的可从成立之日起算）在经营活动中没有重大违法记录</w:t>
      </w:r>
      <w:r>
        <w:rPr>
          <w:rFonts w:ascii="宋体" w:hAnsi="宋体" w:cs="宋体" w:hint="eastAsia"/>
          <w:b/>
          <w:color w:val="000000"/>
          <w:kern w:val="0"/>
          <w:szCs w:val="21"/>
          <w:highlight w:val="none"/>
        </w:rPr>
        <w:t>（由投标人在《政府采购投标及履约承诺函》中作出声明）</w:t>
      </w:r>
      <w:r>
        <w:rPr>
          <w:rFonts w:ascii="宋体" w:hAnsi="宋体" w:cs="宋体" w:hint="eastAsia"/>
          <w:color w:val="000000"/>
          <w:kern w:val="0"/>
          <w:szCs w:val="21"/>
          <w:highlight w:val="none"/>
        </w:rPr>
        <w:t>；</w:t>
      </w:r>
    </w:p>
    <w:p>
      <w:pPr>
        <w:numPr>
          <w:ilvl w:val="0"/>
          <w:numId w:val="9"/>
        </w:numPr>
        <w:spacing w:before="60" w:beforeLines="25" w:after="60" w:afterLines="25" w:line="320" w:lineRule="exact"/>
        <w:rPr>
          <w:rFonts w:ascii="宋体" w:hAnsi="宋体" w:cs="宋体"/>
          <w:color w:val="000000"/>
          <w:kern w:val="0"/>
          <w:szCs w:val="21"/>
          <w:highlight w:val="none"/>
        </w:rPr>
      </w:pPr>
      <w:r>
        <w:rPr>
          <w:rFonts w:ascii="宋体" w:hAnsi="宋体" w:cs="宋体" w:hint="eastAsia"/>
          <w:color w:val="000000"/>
          <w:kern w:val="0"/>
          <w:szCs w:val="21"/>
          <w:highlight w:val="none"/>
        </w:rPr>
        <w:t>参与本项目政府采购活动时不存在被有关部门禁止参与政府采购活动且在有效期内的情况</w:t>
      </w:r>
      <w:r>
        <w:rPr>
          <w:rFonts w:ascii="宋体" w:hAnsi="宋体" w:cs="宋体" w:hint="eastAsia"/>
          <w:b/>
          <w:color w:val="000000"/>
          <w:kern w:val="0"/>
          <w:szCs w:val="21"/>
          <w:highlight w:val="none"/>
        </w:rPr>
        <w:t>（由投标人在《政府采购投标及履约承诺函》中作出声明）</w:t>
      </w:r>
      <w:r>
        <w:rPr>
          <w:rFonts w:ascii="宋体" w:hAnsi="宋体" w:cs="宋体" w:hint="eastAsia"/>
          <w:color w:val="000000"/>
          <w:kern w:val="0"/>
          <w:szCs w:val="21"/>
          <w:highlight w:val="none"/>
        </w:rPr>
        <w:t>；</w:t>
      </w:r>
    </w:p>
    <w:p>
      <w:pPr>
        <w:numPr>
          <w:ilvl w:val="0"/>
          <w:numId w:val="9"/>
        </w:numPr>
        <w:spacing w:before="60" w:beforeLines="25" w:after="60" w:afterLines="25" w:line="320" w:lineRule="exact"/>
        <w:rPr>
          <w:rFonts w:ascii="宋体" w:hAnsi="宋体" w:cs="宋体"/>
          <w:color w:val="000000"/>
          <w:kern w:val="0"/>
          <w:szCs w:val="21"/>
          <w:highlight w:val="none"/>
        </w:rPr>
      </w:pPr>
      <w:r>
        <w:rPr>
          <w:rFonts w:ascii="宋体" w:hAnsi="宋体" w:cs="宋体" w:hint="eastAsia"/>
          <w:color w:val="000000"/>
          <w:kern w:val="0"/>
          <w:szCs w:val="21"/>
          <w:highlight w:val="none"/>
        </w:rPr>
        <w:t>未被列入失信被执行人、重大税收违法案件当事人名单、政府采购严重违法失信行为记录名单”</w:t>
      </w:r>
      <w:r>
        <w:rPr>
          <w:rFonts w:ascii="宋体" w:hAnsi="宋体" w:cs="宋体" w:hint="eastAsia"/>
          <w:b/>
          <w:color w:val="000000"/>
          <w:kern w:val="0"/>
          <w:szCs w:val="21"/>
          <w:highlight w:val="none"/>
        </w:rPr>
        <w:t>（由投标人在《政府采购投标及履约承诺函》中作出声明）</w:t>
      </w:r>
      <w:r>
        <w:rPr>
          <w:rFonts w:ascii="宋体" w:hAnsi="宋体" w:cs="宋体" w:hint="eastAsia"/>
          <w:color w:val="000000"/>
          <w:kern w:val="0"/>
          <w:szCs w:val="21"/>
          <w:highlight w:val="none"/>
        </w:rPr>
        <w:t>；</w:t>
      </w:r>
    </w:p>
    <w:p>
      <w:pPr>
        <w:tabs>
          <w:tab w:val="left" w:pos="420"/>
        </w:tabs>
        <w:spacing w:before="60" w:beforeLines="25" w:after="60" w:afterLines="25" w:line="320" w:lineRule="exact"/>
        <w:ind w:left="420" w:firstLine="105" w:leftChars="200" w:firstLineChars="50"/>
        <w:rPr>
          <w:rFonts w:ascii="宋体" w:hAnsi="宋体" w:cs="宋体"/>
          <w:color w:val="000000"/>
          <w:kern w:val="0"/>
          <w:szCs w:val="21"/>
          <w:highlight w:val="none"/>
        </w:rPr>
      </w:pPr>
      <w:r>
        <w:rPr>
          <w:rFonts w:ascii="宋体" w:hAnsi="宋体" w:cs="宋体" w:hint="eastAsia"/>
          <w:color w:val="000000"/>
          <w:kern w:val="0"/>
          <w:szCs w:val="21"/>
          <w:highlight w:val="none"/>
        </w:rPr>
        <w:t>注：“信用中国”、中国政府采购网”、“深圳信用网”以及“深圳市政府采购监督管理网”为供应商信用信息的查询渠道，相关信息以开标当日的查询信息为准。</w:t>
      </w:r>
    </w:p>
    <w:p>
      <w:pPr>
        <w:numPr>
          <w:ilvl w:val="0"/>
          <w:numId w:val="9"/>
        </w:numPr>
        <w:spacing w:before="60" w:beforeLines="25" w:after="60" w:afterLines="25" w:line="320" w:lineRule="exact"/>
        <w:rPr>
          <w:rFonts w:ascii="宋体" w:hAnsi="宋体" w:cs="宋体"/>
          <w:b/>
          <w:bCs/>
          <w:color w:val="000000"/>
          <w:kern w:val="0"/>
          <w:szCs w:val="21"/>
          <w:highlight w:val="none"/>
        </w:rPr>
      </w:pPr>
      <w:r>
        <w:rPr>
          <w:rFonts w:ascii="宋体" w:hAnsi="宋体" w:cs="宋体" w:hint="eastAsia"/>
          <w:b/>
          <w:bCs/>
          <w:color w:val="000000"/>
          <w:kern w:val="0"/>
          <w:szCs w:val="21"/>
          <w:highlight w:val="none"/>
        </w:rPr>
        <w:t>本项目不属于专门面向特定企业（单位）的采购项目；</w:t>
      </w:r>
    </w:p>
    <w:p>
      <w:pPr>
        <w:numPr>
          <w:ilvl w:val="0"/>
          <w:numId w:val="9"/>
        </w:numPr>
        <w:spacing w:before="60" w:beforeLines="25" w:after="60" w:afterLines="25" w:line="320" w:lineRule="exact"/>
        <w:rPr>
          <w:rFonts w:ascii="宋体" w:hAnsi="宋体" w:cs="宋体"/>
          <w:b/>
          <w:color w:val="000000"/>
          <w:kern w:val="0"/>
          <w:szCs w:val="21"/>
          <w:highlight w:val="none"/>
        </w:rPr>
      </w:pPr>
      <w:r>
        <w:rPr>
          <w:rFonts w:ascii="宋体" w:hAnsi="宋体" w:cs="宋体" w:hint="eastAsia"/>
          <w:b/>
          <w:color w:val="000000"/>
          <w:szCs w:val="21"/>
          <w:highlight w:val="none"/>
        </w:rPr>
        <w:t>本项目接受进口设备参与投标，不接受联合体参与投标，不允许转包、分包</w:t>
      </w:r>
      <w:r>
        <w:rPr>
          <w:rFonts w:ascii="宋体" w:hAnsi="宋体" w:cs="宋体" w:hint="eastAsia"/>
          <w:b/>
          <w:color w:val="000000"/>
          <w:kern w:val="0"/>
          <w:szCs w:val="21"/>
          <w:highlight w:val="none"/>
        </w:rPr>
        <w:t>。</w:t>
      </w:r>
    </w:p>
    <w:p>
      <w:pPr>
        <w:keepNext/>
        <w:keepLines/>
        <w:spacing w:before="120" w:beforeLines="50" w:after="120" w:afterLines="50"/>
        <w:outlineLvl w:val="2"/>
        <w:rPr>
          <w:rFonts w:ascii="宋体" w:hAnsi="宋体" w:cs="宋体"/>
          <w:b/>
          <w:bCs/>
          <w:color w:val="000000"/>
          <w:sz w:val="24"/>
          <w:highlight w:val="none"/>
        </w:rPr>
      </w:pPr>
      <w:r>
        <w:rPr>
          <w:rFonts w:ascii="宋体" w:hAnsi="宋体" w:cs="宋体" w:hint="eastAsia"/>
          <w:b/>
          <w:bCs/>
          <w:color w:val="000000"/>
          <w:sz w:val="24"/>
          <w:highlight w:val="none"/>
        </w:rPr>
        <w:t>三、获取招标文件：</w:t>
      </w:r>
    </w:p>
    <w:p>
      <w:pPr>
        <w:pStyle w:val="a28"/>
        <w:spacing w:line="240" w:lineRule="auto"/>
        <w:ind w:firstLine="525" w:firstLineChars="250"/>
        <w:rPr>
          <w:rFonts w:ascii="宋体" w:hAnsi="宋体" w:cs="宋体" w:hint="eastAsia"/>
          <w:color w:val="000000"/>
          <w:highlight w:val="none"/>
        </w:rPr>
      </w:pPr>
      <w:r>
        <w:rPr>
          <w:rFonts w:ascii="宋体" w:hAnsi="宋体" w:cs="宋体" w:hint="eastAsia"/>
          <w:color w:val="000000"/>
          <w:highlight w:val="none"/>
        </w:rPr>
        <w:t>时间：**年** 月**日至**年**月**日**:**（北京时间）</w:t>
      </w:r>
      <w:r>
        <w:rPr>
          <w:rFonts w:ascii="宋体" w:hAnsi="宋体" w:cs="宋体" w:hint="eastAsia"/>
          <w:b/>
          <w:bCs/>
          <w:color w:val="000000"/>
          <w:highlight w:val="none"/>
          <w:shd w:val="clear" w:color="FFFFFF" w:fill="D9D9D9"/>
        </w:rPr>
        <w:t>[具体时间详见“深圳公共资源交易网”招标（采购）公告，以公告公布信息为准]</w:t>
      </w:r>
      <w:r>
        <w:rPr>
          <w:rFonts w:ascii="宋体" w:hAnsi="宋体" w:cs="宋体" w:hint="eastAsia"/>
          <w:color w:val="000000"/>
          <w:highlight w:val="none"/>
        </w:rPr>
        <w:t>，每天上午00:00至12:00，下午12:00至24:00。</w:t>
      </w:r>
    </w:p>
    <w:p>
      <w:pPr>
        <w:pStyle w:val="a28"/>
        <w:spacing w:line="240" w:lineRule="auto"/>
        <w:ind w:firstLine="420"/>
        <w:rPr>
          <w:rFonts w:ascii="宋体" w:hAnsi="宋体" w:cs="宋体" w:hint="eastAsia"/>
          <w:color w:val="000000"/>
          <w:highlight w:val="none"/>
        </w:rPr>
      </w:pPr>
      <w:r>
        <w:rPr>
          <w:rFonts w:ascii="宋体" w:hAnsi="宋体" w:cs="宋体" w:hint="eastAsia"/>
          <w:color w:val="000000"/>
          <w:highlight w:val="none"/>
        </w:rPr>
        <w:t>地点：登录深圳政府采购智慧平台（http://zfcg.szggzy.com:8081/）下载本项目的招标文件。</w:t>
      </w:r>
    </w:p>
    <w:p>
      <w:pPr>
        <w:pStyle w:val="a28"/>
        <w:spacing w:line="240" w:lineRule="auto"/>
        <w:ind w:firstLine="420"/>
        <w:rPr>
          <w:rFonts w:ascii="宋体" w:hAnsi="宋体" w:cs="宋体" w:hint="eastAsia"/>
          <w:color w:val="000000"/>
          <w:highlight w:val="none"/>
        </w:rPr>
      </w:pPr>
      <w:r>
        <w:rPr>
          <w:rFonts w:ascii="宋体" w:hAnsi="宋体" w:cs="宋体" w:hint="eastAsia"/>
          <w:color w:val="000000"/>
          <w:highlight w:val="none"/>
        </w:rPr>
        <w:t>方式：在线下载。</w:t>
      </w:r>
    </w:p>
    <w:p>
      <w:pPr>
        <w:pStyle w:val="a28"/>
        <w:spacing w:line="240" w:lineRule="auto"/>
        <w:ind w:firstLine="420"/>
        <w:rPr>
          <w:rFonts w:ascii="宋体" w:hAnsi="宋体" w:cs="宋体" w:hint="eastAsia"/>
          <w:color w:val="000000"/>
          <w:highlight w:val="none"/>
        </w:rPr>
      </w:pPr>
      <w:r>
        <w:rPr>
          <w:rFonts w:ascii="宋体" w:hAnsi="宋体" w:cs="宋体" w:hint="eastAsia"/>
          <w:color w:val="000000"/>
          <w:highlight w:val="none"/>
        </w:rPr>
        <w:t>售价：免费。</w:t>
      </w:r>
    </w:p>
    <w:p>
      <w:pPr>
        <w:pStyle w:val="a28"/>
        <w:spacing w:line="240" w:lineRule="auto"/>
        <w:ind w:firstLine="420"/>
        <w:rPr>
          <w:rFonts w:hint="eastAsia"/>
          <w:color w:val="000000"/>
          <w:highlight w:val="none"/>
        </w:rPr>
      </w:pPr>
      <w:r>
        <w:rPr>
          <w:rFonts w:ascii="宋体" w:hAnsi="宋体" w:cs="宋体" w:hint="eastAsia"/>
          <w:color w:val="000000"/>
          <w:highlight w:val="none"/>
        </w:rPr>
        <w:t>凡已注册的深圳市网上政府采购供应商，按照授予的操作权限，可于</w:t>
      </w:r>
      <w:r>
        <w:rPr>
          <w:rFonts w:ascii="宋体" w:hAnsi="宋体" w:cs="宋体" w:hint="eastAsia"/>
          <w:b/>
          <w:bCs/>
          <w:color w:val="000000"/>
          <w:highlight w:val="none"/>
        </w:rPr>
        <w:t>**年**月**日至**年**月**日**:**</w:t>
      </w:r>
      <w:r>
        <w:rPr>
          <w:rFonts w:ascii="宋体" w:hAnsi="宋体" w:cs="宋体" w:hint="eastAsia"/>
          <w:b/>
          <w:bCs/>
          <w:color w:val="000000"/>
          <w:highlight w:val="none"/>
          <w:shd w:val="clear" w:color="FFFFFF" w:fill="D9D9D9"/>
        </w:rPr>
        <w:t xml:space="preserve">[具体时间详见“深圳公共资源交易网”招标（采购）公告，以公告公布信息为准] </w:t>
      </w:r>
      <w:r>
        <w:rPr>
          <w:rFonts w:ascii="宋体" w:hAnsi="宋体" w:cs="宋体" w:hint="eastAsia"/>
          <w:color w:val="000000"/>
          <w:highlight w:val="none"/>
        </w:rPr>
        <w:t>期间登录深圳政府采购智慧平台（http://zfcg.szggzy.com:8081/）下载本项目的招标文件。投标人如确定参加投标，首先要在深圳政府采购智慧平台网上办事子系统（http://zfcg.szggzy.com:8081/TPBidder/memberLogin）网上报名投标，方法为在网上办事子系统后点击“【招标公告】→【我要报名】”；如果网上报名后上传了投标文件，又不参加投标，应再到【我的项目】→【项目流程】→【递交投标(应答)文件】功能点中进行“【撤回本次投标】”操作；如果是未注册为深圳政府采购智慧平台（http://zfcg.szggzy.com:8081/）的供应商，请先办理密钥（请点击），并前往深圳公共资源交易中心绑定深圳政府采购智慧平台用户（地址：深圳市福田区景田东路70号雅枫国际酒店北侧二楼市政府采购业务窗口服务大厅；电子密钥办理咨询电话：0755-83948165），再进行投标报名。在网上报名后，点击“【我的项目】→【项目流程】→【采购文件下载】”进行招标文件的下载。</w:t>
      </w:r>
    </w:p>
    <w:p>
      <w:pPr>
        <w:keepNext/>
        <w:keepLines/>
        <w:spacing w:before="120" w:beforeLines="50" w:after="120" w:afterLines="50" w:line="300" w:lineRule="exact"/>
        <w:outlineLvl w:val="2"/>
        <w:rPr>
          <w:rFonts w:ascii="宋体" w:hAnsi="宋体" w:cs="宋体"/>
          <w:b/>
          <w:bCs/>
          <w:color w:val="000000"/>
          <w:sz w:val="24"/>
          <w:highlight w:val="none"/>
        </w:rPr>
      </w:pPr>
      <w:r>
        <w:rPr>
          <w:rFonts w:ascii="宋体" w:hAnsi="宋体" w:cs="宋体" w:hint="eastAsia"/>
          <w:b/>
          <w:bCs/>
          <w:color w:val="000000"/>
          <w:sz w:val="24"/>
          <w:highlight w:val="none"/>
        </w:rPr>
        <w:t>四、提交投标文件截止时间、开标时间和地点：</w:t>
      </w:r>
    </w:p>
    <w:p>
      <w:pPr>
        <w:widowControl/>
        <w:ind w:left="216" w:hanging="216" w:hangingChars="103"/>
        <w:jc w:val="left"/>
        <w:rPr>
          <w:rFonts w:ascii="宋体" w:hAnsi="宋体" w:cs="宋体" w:hint="eastAsia"/>
          <w:bCs/>
          <w:color w:val="000000"/>
          <w:highlight w:val="none"/>
        </w:rPr>
      </w:pPr>
      <w:r>
        <w:rPr>
          <w:rFonts w:ascii="宋体" w:hAnsi="宋体" w:cs="宋体" w:hint="eastAsia"/>
          <w:bCs/>
          <w:color w:val="000000"/>
          <w:highlight w:val="none"/>
        </w:rPr>
        <w:t>1.投标截止时间：所有投标文件应于**年**月**日**:**（北京时间）</w:t>
      </w:r>
      <w:r>
        <w:rPr>
          <w:rFonts w:ascii="宋体" w:hAnsi="宋体" w:cs="宋体" w:hint="eastAsia"/>
          <w:b/>
          <w:color w:val="000000"/>
          <w:highlight w:val="none"/>
          <w:shd w:val="clear" w:color="FFFFFF" w:fill="D9D9D9"/>
        </w:rPr>
        <w:t>[具体时间详见“深圳公共资源交易网”招标（采购）公告，以公告公布信息为准]</w:t>
      </w:r>
      <w:r>
        <w:rPr>
          <w:rFonts w:ascii="宋体" w:hAnsi="宋体" w:cs="宋体" w:hint="eastAsia"/>
          <w:bCs/>
          <w:color w:val="000000"/>
          <w:highlight w:val="none"/>
        </w:rPr>
        <w:t>之前上传到深圳政府采购智慧平台（http://zfcg.szggzy.com:8081/）。具体操作为登录“深圳政府采购智慧平台用户网上办事子系统（http://zfcg.szggzy.com:8081/TPBidder/memberLogin）”，用“【我的项目】→【项目流程】→【递交投标(应答)文件】”功能点上传投标文件。本项目电子投标文件最大容量为100MB，超过此容量的文件将被拒绝。</w:t>
      </w:r>
    </w:p>
    <w:p>
      <w:pPr>
        <w:widowControl/>
        <w:ind w:left="216" w:hanging="216" w:hangingChars="103"/>
        <w:jc w:val="left"/>
        <w:rPr>
          <w:rFonts w:ascii="宋体" w:hAnsi="宋体" w:cs="宋体" w:hint="eastAsia"/>
          <w:bCs/>
          <w:color w:val="000000"/>
          <w:highlight w:val="none"/>
        </w:rPr>
      </w:pPr>
      <w:r>
        <w:rPr>
          <w:rFonts w:ascii="宋体" w:hAnsi="宋体" w:cs="宋体" w:hint="eastAsia"/>
          <w:bCs/>
          <w:color w:val="000000"/>
          <w:highlight w:val="none"/>
        </w:rPr>
        <w:t>2.开标时间和地点：定于**年**月**日**:**（北京时间）</w:t>
      </w:r>
      <w:r>
        <w:rPr>
          <w:rFonts w:ascii="宋体" w:hAnsi="宋体" w:cs="宋体" w:hint="eastAsia"/>
          <w:b/>
          <w:color w:val="000000"/>
          <w:highlight w:val="none"/>
          <w:shd w:val="clear" w:color="FFFFFF" w:fill="D9D9D9"/>
        </w:rPr>
        <w:t>[具体时间详见“深圳公共资源交易网”招标（采购）公告，以公告公布信息为准]</w:t>
      </w:r>
      <w:r>
        <w:rPr>
          <w:rFonts w:ascii="宋体" w:hAnsi="宋体" w:cs="宋体" w:hint="eastAsia"/>
          <w:bCs/>
          <w:color w:val="000000"/>
          <w:highlight w:val="none"/>
        </w:rPr>
        <w:t>，在中国远东国际招标有限公司（深圳市福田区上步南路1001号锦峰大厦22楼）公开开标。供应商可以登录“深圳政府采购智慧平台用户网上办事子系统（http://zfcg.szggzy.com:8081/TPBidder/memberLogin）”，在“【我的项目】→【项目流程】→【开标及解密】”进行在线解密、查询开标情况。</w:t>
      </w:r>
    </w:p>
    <w:p>
      <w:pPr>
        <w:widowControl/>
        <w:ind w:left="216" w:hanging="216" w:hangingChars="103"/>
        <w:jc w:val="left"/>
        <w:rPr>
          <w:rFonts w:ascii="宋体" w:hAnsi="宋体" w:cs="宋体" w:hint="eastAsia"/>
          <w:bCs/>
          <w:color w:val="000000"/>
          <w:highlight w:val="none"/>
        </w:rPr>
      </w:pPr>
      <w:r>
        <w:rPr>
          <w:rFonts w:ascii="宋体" w:hAnsi="宋体" w:cs="宋体" w:hint="eastAsia"/>
          <w:bCs/>
          <w:color w:val="000000"/>
          <w:highlight w:val="none"/>
        </w:rPr>
        <w:t>3.在线解密：投标人须在开标当日**:** -**:**期间进行解密</w:t>
      </w:r>
      <w:r>
        <w:rPr>
          <w:rFonts w:ascii="宋体" w:hAnsi="宋体" w:cs="宋体" w:hint="eastAsia"/>
          <w:b/>
          <w:color w:val="000000"/>
          <w:highlight w:val="none"/>
          <w:shd w:val="clear" w:color="FFFFFF" w:fill="D9D9D9"/>
        </w:rPr>
        <w:t>[具体时间详见“深圳公共资源交易网”招标（采购）公告，以公告公布信息为准]</w:t>
      </w:r>
      <w:r>
        <w:rPr>
          <w:rFonts w:ascii="宋体" w:hAnsi="宋体" w:cs="宋体" w:hint="eastAsia"/>
          <w:bCs/>
          <w:color w:val="000000"/>
          <w:highlight w:val="none"/>
        </w:rPr>
        <w:t>，逾期未解密的作投标无效处理。解密方法：登录“深圳政府采购智慧平台用户网上办事子系统（http://zfcg.szggzy.com:8081/TPBidder/memberLogin）”，使用本单位制作电子投标文件同一个电子密钥，在“【我的项目】→【项目流程】→【开标及解密】”进行在线解密、查询开标情况。</w:t>
      </w:r>
    </w:p>
    <w:p>
      <w:pPr>
        <w:widowControl/>
        <w:spacing w:line="360" w:lineRule="exact"/>
        <w:ind w:left="248" w:hanging="216" w:hangingChars="103"/>
        <w:jc w:val="left"/>
        <w:outlineLvl w:val="2"/>
        <w:rPr>
          <w:rFonts w:ascii="宋体" w:hAnsi="宋体" w:cs="宋体" w:hint="eastAsia"/>
          <w:b/>
          <w:bCs/>
          <w:color w:val="000000"/>
          <w:sz w:val="24"/>
          <w:highlight w:val="none"/>
        </w:rPr>
      </w:pPr>
      <w:r>
        <w:rPr>
          <w:rFonts w:ascii="宋体" w:hAnsi="宋体" w:cs="宋体" w:hint="eastAsia"/>
          <w:b/>
          <w:bCs/>
          <w:color w:val="000000"/>
          <w:sz w:val="24"/>
          <w:highlight w:val="none"/>
        </w:rPr>
        <w:t>五、公告期限:</w:t>
      </w:r>
    </w:p>
    <w:p>
      <w:pPr>
        <w:widowControl/>
        <w:spacing w:line="360" w:lineRule="exact"/>
        <w:jc w:val="left"/>
        <w:rPr>
          <w:rFonts w:ascii="宋体" w:hAnsi="宋体" w:cs="宋体"/>
          <w:color w:val="000000"/>
          <w:kern w:val="0"/>
          <w:szCs w:val="21"/>
          <w:highlight w:val="none"/>
        </w:rPr>
      </w:pPr>
      <w:r>
        <w:rPr>
          <w:rFonts w:ascii="宋体" w:hAnsi="宋体" w:cs="宋体" w:hint="eastAsia"/>
          <w:color w:val="000000"/>
          <w:kern w:val="0"/>
          <w:szCs w:val="21"/>
          <w:highlight w:val="none"/>
        </w:rPr>
        <w:t>自本公告发布之日起5个工作日。</w:t>
      </w:r>
    </w:p>
    <w:p>
      <w:pPr>
        <w:widowControl/>
        <w:spacing w:line="360" w:lineRule="exact"/>
        <w:ind w:left="248" w:hanging="216" w:hangingChars="103"/>
        <w:jc w:val="left"/>
        <w:outlineLvl w:val="2"/>
        <w:rPr>
          <w:rFonts w:ascii="宋体" w:hAnsi="宋体" w:cs="宋体"/>
          <w:b/>
          <w:bCs/>
          <w:color w:val="000000"/>
          <w:sz w:val="24"/>
          <w:highlight w:val="none"/>
        </w:rPr>
      </w:pPr>
      <w:r>
        <w:rPr>
          <w:rFonts w:ascii="宋体" w:hAnsi="宋体" w:cs="宋体" w:hint="eastAsia"/>
          <w:b/>
          <w:bCs/>
          <w:color w:val="000000"/>
          <w:sz w:val="24"/>
          <w:highlight w:val="none"/>
        </w:rPr>
        <w:t>六、其他补充事宜：</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1.本项目实行网上投标，采用电子投标文件。</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2.</w:t>
      </w:r>
      <w:r>
        <w:rPr>
          <w:rFonts w:ascii="宋体" w:hAnsi="宋体" w:cs="宋体" w:hint="eastAsia"/>
          <w:b/>
          <w:bCs/>
          <w:color w:val="000000"/>
          <w:highlight w:val="none"/>
        </w:rPr>
        <w:t>报名操作：</w:t>
      </w:r>
      <w:r>
        <w:rPr>
          <w:rFonts w:ascii="宋体" w:hAnsi="宋体" w:cs="宋体" w:hint="eastAsia"/>
          <w:color w:val="000000"/>
          <w:highlight w:val="none"/>
        </w:rPr>
        <w:t>投标人如确定参加投标，首先要在深圳政府采购网上报名投标，方法为登录深圳公共资源交易中心网后点击“招标公告”选中要报名标段点击“我要报名”或“代办→邀请提醒”；如果网上报名后上传了投标文件，又不参加投标，应再到【我的项目】→【项目流程】→【递交投标(应答)文件】→【上传投标文件】功能点中进行“撤标”操作；如果是未注册为深圳政府采购的供应商，请访问深圳公共资源交易中心（http://www.szzfcg.cn/）,先办理注册手续（注册咨询：83938966；电子密钥咨询：83948165 4008301330 ），再进行投标报名。在网上报名后，点击“我的项目→项目流程”中进行招标文件的下载。</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3.</w:t>
      </w:r>
      <w:r>
        <w:rPr>
          <w:rFonts w:ascii="宋体" w:hAnsi="宋体" w:cs="宋体" w:hint="eastAsia"/>
          <w:b/>
          <w:bCs/>
          <w:color w:val="000000"/>
          <w:highlight w:val="none"/>
        </w:rPr>
        <w:t>投标操作：</w:t>
      </w:r>
      <w:r>
        <w:rPr>
          <w:rFonts w:ascii="宋体" w:hAnsi="宋体" w:cs="宋体" w:hint="eastAsia"/>
          <w:color w:val="000000"/>
          <w:highlight w:val="none"/>
        </w:rPr>
        <w:t>具体操作为登录“深圳公共资源交易中心网站”，用“我的项目→项目流程→递交投标(应答)文件→上传投标文件”功能点上传投标文件。本项目电子投标文件最大容量为100MB，超过此容量的文件将被拒绝。</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4.</w:t>
      </w:r>
      <w:r>
        <w:rPr>
          <w:rFonts w:ascii="宋体" w:hAnsi="宋体" w:cs="宋体" w:hint="eastAsia"/>
          <w:b/>
          <w:bCs/>
          <w:color w:val="000000"/>
          <w:highlight w:val="none"/>
        </w:rPr>
        <w:t>开标操作：</w:t>
      </w:r>
      <w:r>
        <w:rPr>
          <w:rFonts w:ascii="宋体" w:hAnsi="宋体" w:cs="宋体" w:hint="eastAsia"/>
          <w:color w:val="000000"/>
          <w:highlight w:val="none"/>
        </w:rPr>
        <w:t>投标人可以登录“深圳公共资源交易中心网站”，在系统登录首页面即可查看开标情况。</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5.</w:t>
      </w:r>
      <w:r>
        <w:rPr>
          <w:rFonts w:ascii="宋体" w:hAnsi="宋体" w:cs="宋体" w:hint="eastAsia"/>
          <w:b/>
          <w:bCs/>
          <w:color w:val="000000"/>
          <w:highlight w:val="none"/>
        </w:rPr>
        <w:t>采购（招标）文件澄清/修改事项：</w:t>
      </w:r>
      <w:r>
        <w:rPr>
          <w:rFonts w:ascii="宋体" w:hAnsi="宋体" w:cs="宋体" w:hint="eastAsia"/>
          <w:color w:val="000000"/>
          <w:highlight w:val="none"/>
        </w:rPr>
        <w:t>**年**月**日00:00（北京时间）前</w:t>
      </w:r>
      <w:r>
        <w:rPr>
          <w:rFonts w:ascii="宋体" w:hAnsi="宋体" w:cs="宋体" w:hint="eastAsia"/>
          <w:b/>
          <w:bCs/>
          <w:color w:val="000000"/>
          <w:highlight w:val="none"/>
          <w:shd w:val="clear" w:color="FFFFFF" w:fill="D9D9D9"/>
        </w:rPr>
        <w:t>[具体时间详见“深圳公共资源交易网”招标（采购）公告，以公告公布信息为准]</w:t>
      </w:r>
      <w:r>
        <w:rPr>
          <w:rFonts w:ascii="宋体" w:hAnsi="宋体" w:cs="宋体" w:hint="eastAsia"/>
          <w:color w:val="000000"/>
          <w:highlight w:val="none"/>
        </w:rPr>
        <w:t>，供应商如果认为招标文件存在不明确、不清晰和前后不一致等问题，可登录深圳公共资源交易中心网（http://zfcg.szggzy.com:8081/）→“深圳政府采购智慧平台用户网上办事子系统（http://zfcg.szggzy.com:8081/TPBidder/memberLogin）”，在“【我的项目】→【项目流程】→【提问】”功能点中填写需澄清内容。**年**月**日00:00（北京时间）前</w:t>
      </w:r>
      <w:r>
        <w:rPr>
          <w:rFonts w:ascii="宋体" w:hAnsi="宋体" w:cs="宋体" w:hint="eastAsia"/>
          <w:b/>
          <w:bCs/>
          <w:color w:val="000000"/>
          <w:highlight w:val="none"/>
          <w:shd w:val="clear" w:color="FFFFFF" w:fill="D9D9D9"/>
        </w:rPr>
        <w:t>[具体时间详见“深圳公共资源交易网”招标（采购）公告，以公告公布信息为准]</w:t>
      </w:r>
      <w:r>
        <w:rPr>
          <w:rFonts w:ascii="宋体" w:hAnsi="宋体" w:cs="宋体" w:hint="eastAsia"/>
          <w:color w:val="000000"/>
          <w:highlight w:val="none"/>
        </w:rPr>
        <w:t>将采购文件澄清/修改情况在“【我的项目】→【项目流程】→【答疑澄清文件下载】”中公布，望投标人予以关注。</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6.（重要提示：“提出采购文件澄清要求”不等同于“对采购文件质疑”，供应商提出的澄清要求内容如出现“质疑”字眼，将予以退回。供应商如认为采购文件存在限制性、倾向性、其权益受到损害，应在采购文件公布之日起七个工作日内。请质疑供应商根据深圳公共资源交易中心网（ https://www.szggzy.com/fwdh/fwdhzfcg/bszn1/content_203163.html ）所发布的质疑指引、质疑函模板填写质疑函并提交质疑材料。质疑材料可以采用现场或邮寄方式提交，采用邮寄方式提交的，交邮时间应在本公告发布之日起七个工作日内。现场提交、邮寄地址：深圳市福田区上步南路1001号锦峰大厦22楼。根据《深圳经济特区政府采购条例》第四十二条“供应商投诉的事项应当是经过质疑的事项”的规定，未经正式质疑的，将影响供应商行使向财政部门提起投诉的权利。）</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7.中国远东国际招标有限公司有权对中标供应商就本项目要求提供的相关证明资料（原件）进行审查。供应商提供虚假资料被查实的，则可能面临被取消本项目中标资格、列入不良行为记录名单和三年内禁止参与深圳市政府采购活动的风险。</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8.本招标公告及本项目招标文件所涉及的时间一律为北京时间。投标人有义务在招标活动期间浏览深圳公共资源交易中心网（www.szzfcg.cn）/深圳政府采购智慧平台（http://zfcg.szggzy.com:8081/），在深圳公共资源交易中心（www.szzfcg.cn）/深圳政府采购智慧平台（http://zfcg.szggzy.com:8081/）网上公布的与本次招标项目有关的信息视为已送达各投标人。</w:t>
      </w:r>
    </w:p>
    <w:p>
      <w:pPr>
        <w:widowControl/>
        <w:spacing w:line="320" w:lineRule="exact"/>
        <w:ind w:left="216" w:hanging="216" w:hangingChars="103"/>
        <w:jc w:val="left"/>
        <w:rPr>
          <w:rFonts w:ascii="宋体" w:hAnsi="宋体" w:cs="宋体"/>
          <w:color w:val="000000"/>
          <w:kern w:val="0"/>
          <w:szCs w:val="21"/>
          <w:highlight w:val="none"/>
        </w:rPr>
      </w:pPr>
      <w:r>
        <w:rPr>
          <w:rFonts w:ascii="宋体" w:hAnsi="宋体" w:cs="宋体" w:hint="eastAsia"/>
          <w:color w:val="000000"/>
          <w:highlight w:val="none"/>
        </w:rPr>
        <w:t>9.本项目不需要投标保证金。</w:t>
      </w:r>
    </w:p>
    <w:p>
      <w:pPr>
        <w:widowControl/>
        <w:spacing w:line="360" w:lineRule="exact"/>
        <w:ind w:left="248" w:hanging="216" w:hangingChars="103"/>
        <w:jc w:val="left"/>
        <w:outlineLvl w:val="2"/>
        <w:rPr>
          <w:rFonts w:ascii="宋体" w:hAnsi="宋体" w:cs="宋体"/>
          <w:b/>
          <w:bCs/>
          <w:color w:val="000000"/>
          <w:sz w:val="24"/>
          <w:highlight w:val="none"/>
        </w:rPr>
      </w:pPr>
      <w:r>
        <w:rPr>
          <w:rFonts w:ascii="宋体" w:hAnsi="宋体" w:cs="宋体" w:hint="eastAsia"/>
          <w:b/>
          <w:bCs/>
          <w:color w:val="000000"/>
          <w:sz w:val="24"/>
          <w:highlight w:val="none"/>
        </w:rPr>
        <w:t>七、对本次采购提出询问，请按以下方式联系</w:t>
      </w:r>
    </w:p>
    <w:p>
      <w:pPr>
        <w:widowControl/>
        <w:spacing w:line="360" w:lineRule="auto"/>
        <w:ind w:left="216" w:hanging="216" w:hangingChars="103"/>
        <w:jc w:val="left"/>
        <w:rPr>
          <w:rFonts w:ascii="宋体" w:hAnsi="宋体" w:cs="宋体"/>
          <w:color w:val="000000"/>
          <w:highlight w:val="none"/>
        </w:rPr>
      </w:pPr>
      <w:r>
        <w:rPr>
          <w:rFonts w:ascii="宋体" w:hAnsi="宋体" w:cs="宋体" w:hint="eastAsia"/>
          <w:color w:val="000000"/>
          <w:highlight w:val="none"/>
        </w:rPr>
        <w:t xml:space="preserve">1.采购人信息 </w:t>
      </w:r>
    </w:p>
    <w:p>
      <w:pPr>
        <w:widowControl/>
        <w:spacing w:line="360" w:lineRule="auto"/>
        <w:ind w:left="216" w:hanging="216" w:hangingChars="103"/>
        <w:jc w:val="left"/>
        <w:rPr>
          <w:rFonts w:ascii="宋体" w:hAnsi="宋体" w:cs="宋体" w:hint="eastAsia"/>
          <w:color w:val="000000"/>
          <w:highlight w:val="none"/>
        </w:rPr>
      </w:pPr>
      <w:r>
        <w:rPr>
          <w:rFonts w:ascii="宋体" w:hAnsi="宋体" w:cs="宋体" w:hint="eastAsia"/>
          <w:color w:val="000000"/>
          <w:highlight w:val="none"/>
        </w:rPr>
        <w:t>名    称：清华大学深圳国际研究生院</w:t>
      </w:r>
    </w:p>
    <w:p>
      <w:pPr>
        <w:widowControl/>
        <w:spacing w:line="360" w:lineRule="auto"/>
        <w:ind w:left="216" w:hanging="216" w:hangingChars="103"/>
        <w:jc w:val="left"/>
        <w:rPr>
          <w:rFonts w:ascii="宋体" w:hAnsi="宋体" w:cs="宋体"/>
          <w:color w:val="000000"/>
          <w:highlight w:val="none"/>
        </w:rPr>
      </w:pPr>
      <w:r>
        <w:rPr>
          <w:rFonts w:ascii="宋体" w:hAnsi="宋体" w:cs="宋体" w:hint="eastAsia"/>
          <w:color w:val="000000"/>
          <w:highlight w:val="none"/>
        </w:rPr>
        <w:t>地    址：深圳市南山区西丽大学城清华园区</w:t>
      </w:r>
    </w:p>
    <w:p>
      <w:pPr>
        <w:widowControl/>
        <w:spacing w:line="360" w:lineRule="auto"/>
        <w:ind w:left="216" w:hanging="216" w:hangingChars="103"/>
        <w:jc w:val="left"/>
        <w:rPr>
          <w:rFonts w:ascii="宋体" w:hAnsi="宋体" w:cs="宋体"/>
          <w:color w:val="000000"/>
          <w:highlight w:val="none"/>
        </w:rPr>
      </w:pPr>
      <w:r>
        <w:rPr>
          <w:rFonts w:ascii="宋体" w:hAnsi="宋体" w:cs="宋体" w:hint="eastAsia"/>
          <w:color w:val="000000"/>
          <w:highlight w:val="none"/>
        </w:rPr>
        <w:t xml:space="preserve">联系方式：刘老师  0755-26036029 </w:t>
      </w:r>
    </w:p>
    <w:p>
      <w:pPr>
        <w:widowControl/>
        <w:tabs>
          <w:tab w:val="left" w:pos="2578"/>
        </w:tabs>
        <w:spacing w:line="360" w:lineRule="auto"/>
        <w:ind w:left="216" w:hanging="216" w:hangingChars="103"/>
        <w:jc w:val="left"/>
        <w:rPr>
          <w:rFonts w:ascii="宋体" w:hAnsi="宋体" w:cs="宋体" w:hint="eastAsia"/>
          <w:color w:val="000000"/>
          <w:highlight w:val="none"/>
        </w:rPr>
      </w:pPr>
      <w:r>
        <w:rPr>
          <w:rFonts w:ascii="宋体" w:hAnsi="宋体" w:cs="宋体" w:hint="eastAsia"/>
          <w:color w:val="000000"/>
          <w:highlight w:val="none"/>
        </w:rPr>
        <w:t xml:space="preserve">2.采购代理机构信息 </w:t>
      </w:r>
      <w:r>
        <w:rPr>
          <w:rFonts w:ascii="宋体" w:hAnsi="宋体" w:cs="宋体" w:hint="eastAsia"/>
          <w:color w:val="000000"/>
          <w:highlight w:val="none"/>
        </w:rPr>
        <w:tab/>
      </w:r>
    </w:p>
    <w:p>
      <w:pPr>
        <w:widowControl/>
        <w:spacing w:line="360" w:lineRule="auto"/>
        <w:ind w:left="216" w:hanging="216" w:hangingChars="103"/>
        <w:jc w:val="left"/>
        <w:rPr>
          <w:rFonts w:ascii="宋体" w:hAnsi="宋体" w:cs="宋体"/>
          <w:color w:val="000000"/>
          <w:highlight w:val="none"/>
        </w:rPr>
      </w:pPr>
      <w:r>
        <w:rPr>
          <w:rFonts w:ascii="宋体" w:hAnsi="宋体" w:cs="宋体" w:hint="eastAsia"/>
          <w:color w:val="000000"/>
          <w:highlight w:val="none"/>
        </w:rPr>
        <w:t>名    称：中国远东国际招标有限公司</w:t>
      </w:r>
    </w:p>
    <w:p>
      <w:pPr>
        <w:widowControl/>
        <w:spacing w:line="360" w:lineRule="auto"/>
        <w:ind w:left="216" w:hanging="216" w:hangingChars="103"/>
        <w:jc w:val="left"/>
        <w:rPr>
          <w:rFonts w:ascii="宋体" w:hAnsi="宋体" w:cs="宋体"/>
          <w:color w:val="000000"/>
          <w:highlight w:val="none"/>
        </w:rPr>
      </w:pPr>
      <w:r>
        <w:rPr>
          <w:rFonts w:ascii="宋体" w:hAnsi="宋体" w:cs="宋体" w:hint="eastAsia"/>
          <w:color w:val="000000"/>
          <w:highlight w:val="none"/>
        </w:rPr>
        <w:t xml:space="preserve">地　  址：深圳市福田区上步南路锦峰大厦22B  </w:t>
      </w:r>
    </w:p>
    <w:p>
      <w:pPr>
        <w:widowControl/>
        <w:spacing w:line="360" w:lineRule="auto"/>
        <w:ind w:left="216" w:hanging="216" w:hangingChars="103"/>
        <w:jc w:val="left"/>
        <w:rPr>
          <w:rFonts w:ascii="宋体" w:hAnsi="宋体" w:cs="宋体"/>
          <w:color w:val="000000"/>
          <w:highlight w:val="none"/>
        </w:rPr>
      </w:pPr>
      <w:r>
        <w:rPr>
          <w:rFonts w:ascii="宋体" w:hAnsi="宋体" w:cs="宋体" w:hint="eastAsia"/>
          <w:color w:val="000000"/>
          <w:highlight w:val="none"/>
        </w:rPr>
        <w:t>联系方式：0755-83004312转124</w:t>
      </w:r>
    </w:p>
    <w:p>
      <w:pPr>
        <w:widowControl/>
        <w:spacing w:line="360" w:lineRule="auto"/>
        <w:ind w:left="216" w:hanging="216" w:hangingChars="103"/>
        <w:jc w:val="left"/>
        <w:rPr>
          <w:rFonts w:ascii="宋体" w:hAnsi="宋体" w:cs="宋体"/>
          <w:color w:val="000000"/>
          <w:highlight w:val="none"/>
        </w:rPr>
      </w:pPr>
      <w:r>
        <w:rPr>
          <w:rFonts w:ascii="宋体" w:hAnsi="宋体" w:cs="宋体" w:hint="eastAsia"/>
          <w:color w:val="000000"/>
          <w:highlight w:val="none"/>
        </w:rPr>
        <w:t>3.项目联系方式</w:t>
      </w:r>
    </w:p>
    <w:p>
      <w:pPr>
        <w:widowControl/>
        <w:spacing w:line="360" w:lineRule="auto"/>
        <w:ind w:left="216" w:hanging="216" w:hangingChars="103"/>
        <w:jc w:val="left"/>
        <w:rPr>
          <w:rFonts w:ascii="宋体" w:hAnsi="宋体" w:cs="宋体" w:hint="eastAsia"/>
          <w:color w:val="000000"/>
          <w:highlight w:val="none"/>
        </w:rPr>
      </w:pPr>
      <w:r>
        <w:rPr>
          <w:rFonts w:ascii="宋体" w:hAnsi="宋体" w:cs="宋体" w:hint="eastAsia"/>
          <w:color w:val="000000"/>
          <w:highlight w:val="none"/>
        </w:rPr>
        <w:t>项目联系人：李工</w:t>
      </w:r>
    </w:p>
    <w:p>
      <w:pPr>
        <w:widowControl/>
        <w:spacing w:line="360" w:lineRule="auto"/>
        <w:ind w:left="216" w:hanging="216" w:hangingChars="103"/>
        <w:jc w:val="left"/>
        <w:rPr>
          <w:rFonts w:ascii="宋体" w:hAnsi="宋体" w:cs="宋体" w:hint="eastAsia"/>
          <w:color w:val="000000"/>
          <w:highlight w:val="none"/>
        </w:rPr>
      </w:pPr>
      <w:r>
        <w:rPr>
          <w:rFonts w:ascii="宋体" w:hAnsi="宋体" w:cs="宋体" w:hint="eastAsia"/>
          <w:color w:val="000000"/>
          <w:highlight w:val="none"/>
        </w:rPr>
        <w:t>电　    话：0755-83004312转124</w:t>
      </w:r>
    </w:p>
    <w:p>
      <w:pPr>
        <w:ind w:firstLine="412" w:firstLineChars="196"/>
        <w:rPr>
          <w:b/>
          <w:bCs/>
          <w:color w:val="000000"/>
          <w:highlight w:val="none"/>
          <w:shd w:val="pct10" w:color="auto" w:fill="FFFFFF"/>
        </w:rPr>
      </w:pPr>
    </w:p>
    <w:p>
      <w:pPr>
        <w:ind w:firstLine="412" w:firstLineChars="196"/>
        <w:rPr>
          <w:b/>
          <w:bCs/>
          <w:color w:val="000000"/>
          <w:highlight w:val="none"/>
          <w:shd w:val="pct10" w:color="auto" w:fill="FFFFFF"/>
        </w:rPr>
      </w:pPr>
    </w:p>
    <w:p>
      <w:pPr>
        <w:ind w:firstLine="412" w:firstLineChars="196"/>
        <w:rPr>
          <w:b/>
          <w:bCs/>
          <w:color w:val="000000"/>
          <w:highlight w:val="none"/>
          <w:shd w:val="pct10" w:color="auto" w:fill="FFFFFF"/>
        </w:rPr>
      </w:pPr>
      <w:r>
        <w:rPr>
          <w:b/>
          <w:bCs/>
          <w:color w:val="000000"/>
          <w:highlight w:val="none"/>
          <w:shd w:val="pct10" w:color="auto" w:fill="FFFFFF"/>
        </w:rPr>
        <w:t>“</w:t>
      </w:r>
      <w:r>
        <w:rPr>
          <w:rFonts w:hint="eastAsia"/>
          <w:b/>
          <w:bCs/>
          <w:color w:val="000000"/>
          <w:highlight w:val="none"/>
          <w:shd w:val="pct10" w:color="auto" w:fill="FFFFFF"/>
        </w:rPr>
        <w:t>**</w:t>
      </w:r>
      <w:r>
        <w:rPr>
          <w:b/>
          <w:bCs/>
          <w:color w:val="000000"/>
          <w:highlight w:val="none"/>
          <w:shd w:val="pct10" w:color="auto" w:fill="FFFFFF"/>
        </w:rPr>
        <w:t>”</w:t>
      </w:r>
      <w:r>
        <w:rPr>
          <w:rFonts w:hint="eastAsia"/>
          <w:b/>
          <w:bCs/>
          <w:color w:val="000000"/>
          <w:highlight w:val="none"/>
          <w:shd w:val="pct10" w:color="auto" w:fill="FFFFFF"/>
        </w:rPr>
        <w:t>备注：各项时间节点以“深圳公共资源交易网（https://www.szggzy.com）” 招标（采购）公告的公布信息为准。</w:t>
      </w:r>
    </w:p>
    <w:p>
      <w:pPr>
        <w:pStyle w:val="Heading2"/>
        <w:numPr>
          <w:ilvl w:val="0"/>
          <w:numId w:val="10"/>
        </w:numPr>
        <w:spacing w:line="264" w:lineRule="auto"/>
        <w:rPr>
          <w:rFonts w:cs="宋体" w:hint="eastAsia"/>
          <w:color w:val="000000"/>
          <w:sz w:val="36"/>
          <w:szCs w:val="24"/>
          <w:highlight w:val="none"/>
        </w:rPr>
      </w:pPr>
      <w:r>
        <w:rPr>
          <w:rFonts w:cs="宋体" w:hint="eastAsia"/>
          <w:color w:val="000000"/>
          <w:sz w:val="36"/>
          <w:szCs w:val="24"/>
          <w:highlight w:val="none"/>
        </w:rPr>
        <w:br w:type="page"/>
      </w:r>
      <w:r>
        <w:rPr>
          <w:rFonts w:cs="宋体" w:hint="eastAsia"/>
          <w:color w:val="000000"/>
          <w:sz w:val="36"/>
          <w:szCs w:val="24"/>
          <w:highlight w:val="none"/>
        </w:rPr>
        <w:t xml:space="preserve"> 招标项目需求</w:t>
      </w:r>
    </w:p>
    <w:p>
      <w:pPr>
        <w:numPr>
          <w:ilvl w:val="0"/>
          <w:numId w:val="11"/>
        </w:numPr>
        <w:adjustRightInd w:val="0"/>
        <w:spacing w:before="120" w:beforeLines="50" w:after="120"/>
        <w:jc w:val="center"/>
        <w:textAlignment w:val="baseline"/>
        <w:outlineLvl w:val="1"/>
        <w:rPr>
          <w:rFonts w:hint="eastAsia"/>
          <w:b/>
          <w:bCs/>
          <w:color w:val="000000"/>
          <w:sz w:val="30"/>
          <w:szCs w:val="30"/>
          <w:highlight w:val="none"/>
          <w:shd w:val="pct10" w:color="auto" w:fill="FFFFFF"/>
        </w:rPr>
      </w:pPr>
      <w:r>
        <w:rPr>
          <w:rFonts w:hint="eastAsia"/>
          <w:b/>
          <w:bCs/>
          <w:color w:val="000000"/>
          <w:sz w:val="30"/>
          <w:szCs w:val="30"/>
          <w:highlight w:val="none"/>
          <w:shd w:val="pct10" w:color="auto" w:fill="FFFFFF"/>
        </w:rPr>
        <w:t>采购范围</w:t>
      </w:r>
    </w:p>
    <w:tbl>
      <w:tblPr>
        <w:tblStyle w:val="TableNormal"/>
        <w:tblW w:w="4998" w:type="pct"/>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620"/>
        <w:gridCol w:w="2890"/>
        <w:gridCol w:w="945"/>
        <w:gridCol w:w="1036"/>
        <w:gridCol w:w="1555"/>
        <w:gridCol w:w="1555"/>
        <w:gridCol w:w="1446"/>
      </w:tblGrid>
      <w:tr>
        <w:tblPrEx>
          <w:tblW w:w="4998" w:type="pct"/>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506"/>
          <w:jc w:val="center"/>
        </w:trPr>
        <w:tc>
          <w:tcPr>
            <w:tcW w:w="309" w:type="pct"/>
            <w:vAlign w:val="center"/>
          </w:tcPr>
          <w:p>
            <w:pPr>
              <w:spacing w:before="120" w:beforeLines="50" w:line="360" w:lineRule="auto"/>
              <w:jc w:val="center"/>
              <w:rPr>
                <w:rFonts w:ascii="宋体" w:hAnsi="宋体" w:cs="宋体" w:hint="eastAsia"/>
                <w:b/>
                <w:color w:val="000000"/>
                <w:szCs w:val="21"/>
                <w:highlight w:val="none"/>
              </w:rPr>
            </w:pPr>
            <w:r>
              <w:rPr>
                <w:rFonts w:ascii="宋体" w:hAnsi="宋体" w:cs="宋体" w:hint="eastAsia"/>
                <w:b/>
                <w:color w:val="000000"/>
                <w:szCs w:val="21"/>
                <w:highlight w:val="none"/>
              </w:rPr>
              <w:t>序号</w:t>
            </w:r>
          </w:p>
        </w:tc>
        <w:tc>
          <w:tcPr>
            <w:tcW w:w="1437" w:type="pct"/>
            <w:vAlign w:val="center"/>
          </w:tcPr>
          <w:p>
            <w:pPr>
              <w:spacing w:before="120" w:beforeLines="50" w:line="360" w:lineRule="auto"/>
              <w:jc w:val="center"/>
              <w:rPr>
                <w:rFonts w:ascii="宋体" w:hAnsi="宋体" w:cs="宋体" w:hint="eastAsia"/>
                <w:b/>
                <w:color w:val="000000"/>
                <w:szCs w:val="21"/>
                <w:highlight w:val="none"/>
              </w:rPr>
            </w:pPr>
            <w:r>
              <w:rPr>
                <w:rFonts w:ascii="宋体" w:hAnsi="宋体" w:cs="宋体" w:hint="eastAsia"/>
                <w:b/>
                <w:color w:val="000000"/>
                <w:szCs w:val="21"/>
                <w:highlight w:val="none"/>
              </w:rPr>
              <w:t>名称</w:t>
            </w:r>
          </w:p>
        </w:tc>
        <w:tc>
          <w:tcPr>
            <w:tcW w:w="470" w:type="pct"/>
            <w:vAlign w:val="center"/>
          </w:tcPr>
          <w:p>
            <w:pPr>
              <w:spacing w:before="120" w:beforeLines="50" w:line="360" w:lineRule="auto"/>
              <w:jc w:val="center"/>
              <w:rPr>
                <w:rFonts w:ascii="宋体" w:hAnsi="宋体" w:cs="宋体" w:hint="eastAsia"/>
                <w:b/>
                <w:color w:val="000000"/>
                <w:szCs w:val="21"/>
                <w:highlight w:val="none"/>
              </w:rPr>
            </w:pPr>
            <w:r>
              <w:rPr>
                <w:rFonts w:ascii="宋体" w:hAnsi="宋体" w:cs="宋体" w:hint="eastAsia"/>
                <w:b/>
                <w:color w:val="000000"/>
                <w:szCs w:val="21"/>
                <w:highlight w:val="none"/>
              </w:rPr>
              <w:t>数量</w:t>
            </w:r>
          </w:p>
        </w:tc>
        <w:tc>
          <w:tcPr>
            <w:tcW w:w="515" w:type="pct"/>
            <w:vAlign w:val="center"/>
          </w:tcPr>
          <w:p>
            <w:pPr>
              <w:spacing w:before="120" w:beforeLines="50" w:line="360" w:lineRule="auto"/>
              <w:jc w:val="center"/>
              <w:rPr>
                <w:rFonts w:ascii="宋体" w:hAnsi="宋体" w:cs="宋体" w:hint="eastAsia"/>
                <w:b/>
                <w:color w:val="000000"/>
                <w:szCs w:val="21"/>
                <w:highlight w:val="none"/>
              </w:rPr>
            </w:pPr>
            <w:r>
              <w:rPr>
                <w:rFonts w:ascii="宋体" w:hAnsi="宋体" w:cs="宋体" w:hint="eastAsia"/>
                <w:b/>
                <w:color w:val="000000"/>
                <w:szCs w:val="21"/>
                <w:highlight w:val="none"/>
              </w:rPr>
              <w:t>单位</w:t>
            </w:r>
          </w:p>
        </w:tc>
        <w:tc>
          <w:tcPr>
            <w:tcW w:w="773" w:type="pct"/>
            <w:vAlign w:val="center"/>
          </w:tcPr>
          <w:p>
            <w:pPr>
              <w:spacing w:before="120" w:beforeLines="50" w:line="360" w:lineRule="auto"/>
              <w:jc w:val="center"/>
              <w:rPr>
                <w:rFonts w:ascii="宋体" w:hAnsi="宋体" w:cs="宋体" w:hint="eastAsia"/>
                <w:b/>
                <w:color w:val="000000"/>
                <w:szCs w:val="21"/>
                <w:highlight w:val="none"/>
              </w:rPr>
            </w:pPr>
            <w:r>
              <w:rPr>
                <w:rFonts w:ascii="宋体" w:hAnsi="宋体" w:cs="宋体" w:hint="eastAsia"/>
                <w:b/>
                <w:color w:val="000000"/>
                <w:szCs w:val="21"/>
                <w:highlight w:val="none"/>
              </w:rPr>
              <w:t>分项控制</w:t>
            </w:r>
            <w:r>
              <w:rPr>
                <w:rFonts w:ascii="宋体" w:hAnsi="宋体" w:cs="宋体" w:hint="eastAsia"/>
                <w:b/>
                <w:color w:val="000000"/>
                <w:szCs w:val="21"/>
                <w:highlight w:val="none"/>
                <w:lang w:val="en-US" w:eastAsia="zh-CN"/>
              </w:rPr>
              <w:t>单价</w:t>
            </w:r>
          </w:p>
        </w:tc>
        <w:tc>
          <w:tcPr>
            <w:tcW w:w="773" w:type="pct"/>
            <w:vAlign w:val="center"/>
          </w:tcPr>
          <w:p>
            <w:pPr>
              <w:spacing w:before="120" w:beforeLines="50" w:line="360" w:lineRule="auto"/>
              <w:jc w:val="center"/>
              <w:rPr>
                <w:rFonts w:ascii="宋体" w:eastAsia="宋体" w:hAnsi="宋体" w:cs="宋体" w:hint="default"/>
                <w:b/>
                <w:color w:val="000000"/>
                <w:szCs w:val="21"/>
                <w:highlight w:val="none"/>
                <w:lang w:val="en-US" w:eastAsia="zh-CN"/>
              </w:rPr>
            </w:pPr>
            <w:r>
              <w:rPr>
                <w:rFonts w:ascii="宋体" w:hAnsi="宋体" w:cs="宋体" w:hint="eastAsia"/>
                <w:b/>
                <w:color w:val="000000"/>
                <w:szCs w:val="21"/>
                <w:highlight w:val="none"/>
              </w:rPr>
              <w:t>分项控制</w:t>
            </w:r>
            <w:r>
              <w:rPr>
                <w:rFonts w:ascii="宋体" w:hAnsi="宋体" w:cs="宋体" w:hint="eastAsia"/>
                <w:b/>
                <w:color w:val="000000"/>
                <w:szCs w:val="21"/>
                <w:highlight w:val="none"/>
                <w:lang w:val="en-US" w:eastAsia="zh-CN"/>
              </w:rPr>
              <w:t>小</w:t>
            </w:r>
            <w:r>
              <w:rPr>
                <w:rFonts w:ascii="宋体" w:hAnsi="宋体" w:cs="宋体" w:hint="eastAsia"/>
                <w:b/>
                <w:color w:val="000000"/>
                <w:szCs w:val="21"/>
                <w:highlight w:val="none"/>
                <w:lang w:val="en-US" w:eastAsia="zh-CN"/>
              </w:rPr>
              <w:t>计</w:t>
            </w:r>
          </w:p>
        </w:tc>
        <w:tc>
          <w:tcPr>
            <w:tcW w:w="719" w:type="pct"/>
            <w:vAlign w:val="center"/>
          </w:tcPr>
          <w:p>
            <w:pPr>
              <w:spacing w:before="120" w:beforeLines="50" w:line="360" w:lineRule="auto"/>
              <w:jc w:val="center"/>
              <w:rPr>
                <w:rFonts w:ascii="宋体" w:hAnsi="宋体" w:cs="宋体" w:hint="eastAsia"/>
                <w:b/>
                <w:color w:val="000000"/>
                <w:szCs w:val="21"/>
                <w:highlight w:val="none"/>
              </w:rPr>
            </w:pPr>
            <w:r>
              <w:rPr>
                <w:rFonts w:ascii="宋体" w:hAnsi="宋体" w:cs="宋体" w:hint="eastAsia"/>
                <w:b/>
                <w:color w:val="000000"/>
                <w:szCs w:val="21"/>
                <w:highlight w:val="none"/>
              </w:rPr>
              <w:t>备注</w:t>
            </w:r>
          </w:p>
        </w:tc>
      </w:tr>
      <w:tr>
        <w:tblPrEx>
          <w:tblW w:w="4998" w:type="pct"/>
          <w:jc w:val="center"/>
          <w:tblInd w:w="2" w:type="dxa"/>
          <w:tblCellMar>
            <w:top w:w="0" w:type="dxa"/>
            <w:left w:w="108" w:type="dxa"/>
            <w:bottom w:w="0" w:type="dxa"/>
            <w:right w:w="108" w:type="dxa"/>
          </w:tblCellMar>
          <w:tblLook w:val="0000"/>
        </w:tblPrEx>
        <w:trPr>
          <w:trHeight w:val="508"/>
          <w:jc w:val="center"/>
        </w:trPr>
        <w:tc>
          <w:tcPr>
            <w:tcW w:w="309" w:type="pct"/>
            <w:vAlign w:val="center"/>
          </w:tcPr>
          <w:p>
            <w:pPr>
              <w:spacing w:before="120" w:beforeLines="50" w:line="360" w:lineRule="auto"/>
              <w:jc w:val="center"/>
              <w:rPr>
                <w:rFonts w:ascii="宋体" w:hAnsi="宋体" w:cs="宋体" w:hint="eastAsia"/>
                <w:bCs/>
                <w:color w:val="000000"/>
                <w:szCs w:val="21"/>
                <w:highlight w:val="none"/>
              </w:rPr>
            </w:pPr>
            <w:r>
              <w:rPr>
                <w:rFonts w:ascii="宋体" w:hAnsi="宋体" w:cs="宋体" w:hint="eastAsia"/>
                <w:bCs/>
                <w:color w:val="000000"/>
                <w:szCs w:val="21"/>
                <w:highlight w:val="none"/>
              </w:rPr>
              <w:t>1</w:t>
            </w:r>
          </w:p>
        </w:tc>
        <w:tc>
          <w:tcPr>
            <w:tcW w:w="1437" w:type="pct"/>
            <w:vAlign w:val="center"/>
          </w:tcPr>
          <w:p>
            <w:pPr>
              <w:jc w:val="center"/>
              <w:rPr>
                <w:rFonts w:ascii="宋体" w:hAnsi="宋体" w:cs="宋体" w:hint="eastAsia"/>
                <w:bCs/>
                <w:color w:val="000000"/>
                <w:szCs w:val="21"/>
                <w:highlight w:val="none"/>
              </w:rPr>
            </w:pPr>
            <w:r>
              <w:rPr>
                <w:rFonts w:ascii="宋体" w:hAnsi="宋体" w:cs="宋体" w:hint="eastAsia"/>
                <w:color w:val="000000"/>
                <w:szCs w:val="21"/>
                <w:highlight w:val="none"/>
                <w:lang w:val="zh-TW"/>
              </w:rPr>
              <w:t>纯水机（</w:t>
            </w:r>
            <w:r>
              <w:rPr>
                <w:rFonts w:ascii="宋体" w:hAnsi="宋体" w:cs="宋体" w:hint="eastAsia"/>
                <w:color w:val="000000"/>
                <w:szCs w:val="21"/>
                <w:highlight w:val="none"/>
              </w:rPr>
              <w:t>一</w:t>
            </w:r>
            <w:r>
              <w:rPr>
                <w:rFonts w:ascii="宋体" w:hAnsi="宋体" w:cs="宋体" w:hint="eastAsia"/>
                <w:color w:val="000000"/>
                <w:szCs w:val="21"/>
                <w:highlight w:val="none"/>
                <w:lang w:val="zh-TW"/>
              </w:rPr>
              <w:t>）</w:t>
            </w:r>
          </w:p>
        </w:tc>
        <w:tc>
          <w:tcPr>
            <w:tcW w:w="470" w:type="pct"/>
            <w:vAlign w:val="center"/>
          </w:tcPr>
          <w:p>
            <w:pPr>
              <w:jc w:val="center"/>
              <w:rPr>
                <w:rFonts w:ascii="宋体" w:hAnsi="宋体" w:cs="宋体" w:hint="eastAsia"/>
                <w:bCs/>
                <w:color w:val="000000"/>
                <w:szCs w:val="21"/>
                <w:highlight w:val="none"/>
              </w:rPr>
            </w:pPr>
            <w:r>
              <w:rPr>
                <w:rFonts w:ascii="宋体" w:hAnsi="宋体" w:cs="宋体" w:hint="eastAsia"/>
                <w:color w:val="000000"/>
                <w:szCs w:val="21"/>
                <w:highlight w:val="none"/>
              </w:rPr>
              <w:t>1</w:t>
            </w:r>
          </w:p>
        </w:tc>
        <w:tc>
          <w:tcPr>
            <w:tcW w:w="515"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套</w:t>
            </w:r>
          </w:p>
        </w:tc>
        <w:tc>
          <w:tcPr>
            <w:tcW w:w="1555" w:type="dxa"/>
            <w:vAlign w:val="center"/>
          </w:tcPr>
          <w:p>
            <w:pPr>
              <w:jc w:val="center"/>
              <w:rPr>
                <w:rFonts w:ascii="宋体" w:hAnsi="宋体" w:cs="宋体" w:hint="eastAsia"/>
                <w:color w:val="000000"/>
                <w:szCs w:val="21"/>
                <w:highlight w:val="none"/>
                <w:lang w:val="zh-TW" w:eastAsia="zh-TW"/>
              </w:rPr>
            </w:pPr>
            <w:r>
              <w:rPr>
                <w:rFonts w:ascii="宋体" w:hAnsi="宋体" w:cs="宋体" w:hint="eastAsia"/>
                <w:color w:val="000000"/>
                <w:szCs w:val="21"/>
                <w:highlight w:val="none"/>
                <w:lang w:val="zh-TW" w:eastAsia="zh-TW"/>
              </w:rPr>
              <w:t>¥</w:t>
            </w:r>
            <w:r>
              <w:rPr>
                <w:rFonts w:ascii="宋体" w:hAnsi="宋体" w:cs="宋体" w:hint="eastAsia"/>
                <w:color w:val="000000"/>
                <w:szCs w:val="21"/>
                <w:highlight w:val="none"/>
              </w:rPr>
              <w:t>192</w:t>
            </w:r>
            <w:r>
              <w:rPr>
                <w:rFonts w:ascii="宋体" w:hAnsi="宋体" w:cs="宋体" w:hint="eastAsia"/>
                <w:color w:val="000000"/>
                <w:szCs w:val="21"/>
                <w:highlight w:val="none"/>
                <w:lang w:val="zh-TW" w:eastAsia="zh-TW"/>
              </w:rPr>
              <w:t>,000.00</w:t>
            </w:r>
          </w:p>
        </w:tc>
        <w:tc>
          <w:tcPr>
            <w:tcW w:w="773" w:type="pct"/>
            <w:vAlign w:val="center"/>
          </w:tcPr>
          <w:p>
            <w:pPr>
              <w:jc w:val="center"/>
              <w:rPr>
                <w:rFonts w:ascii="宋体" w:hAnsi="宋体" w:cs="宋体" w:hint="eastAsia"/>
                <w:color w:val="000000"/>
                <w:szCs w:val="21"/>
                <w:highlight w:val="none"/>
                <w:lang w:val="zh-TW" w:eastAsia="zh-TW"/>
              </w:rPr>
            </w:pPr>
            <w:r>
              <w:rPr>
                <w:rFonts w:ascii="宋体" w:hAnsi="宋体" w:cs="宋体" w:hint="eastAsia"/>
                <w:color w:val="000000"/>
                <w:szCs w:val="21"/>
                <w:highlight w:val="none"/>
                <w:lang w:val="zh-TW" w:eastAsia="zh-TW"/>
              </w:rPr>
              <w:t>¥</w:t>
            </w:r>
            <w:r>
              <w:rPr>
                <w:rFonts w:ascii="宋体" w:hAnsi="宋体" w:cs="宋体" w:hint="eastAsia"/>
                <w:color w:val="000000"/>
                <w:szCs w:val="21"/>
                <w:highlight w:val="none"/>
              </w:rPr>
              <w:t>192</w:t>
            </w:r>
            <w:r>
              <w:rPr>
                <w:rFonts w:ascii="宋体" w:hAnsi="宋体" w:cs="宋体" w:hint="eastAsia"/>
                <w:color w:val="000000"/>
                <w:szCs w:val="21"/>
                <w:highlight w:val="none"/>
                <w:lang w:val="zh-TW" w:eastAsia="zh-TW"/>
              </w:rPr>
              <w:t>,000.00</w:t>
            </w:r>
          </w:p>
        </w:tc>
        <w:tc>
          <w:tcPr>
            <w:tcW w:w="719"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lang w:val="zh-TW" w:eastAsia="zh-TW"/>
              </w:rPr>
              <w:t>接受进口</w:t>
            </w:r>
          </w:p>
        </w:tc>
      </w:tr>
      <w:tr>
        <w:tblPrEx>
          <w:tblW w:w="4998" w:type="pct"/>
          <w:jc w:val="center"/>
          <w:tblInd w:w="2" w:type="dxa"/>
          <w:tblCellMar>
            <w:top w:w="0" w:type="dxa"/>
            <w:left w:w="108" w:type="dxa"/>
            <w:bottom w:w="0" w:type="dxa"/>
            <w:right w:w="108" w:type="dxa"/>
          </w:tblCellMar>
          <w:tblLook w:val="0000"/>
        </w:tblPrEx>
        <w:trPr>
          <w:trHeight w:val="508"/>
          <w:jc w:val="center"/>
        </w:trPr>
        <w:tc>
          <w:tcPr>
            <w:tcW w:w="309" w:type="pct"/>
            <w:vAlign w:val="center"/>
          </w:tcPr>
          <w:p>
            <w:pPr>
              <w:spacing w:before="120" w:beforeLines="50" w:line="360" w:lineRule="auto"/>
              <w:jc w:val="center"/>
              <w:rPr>
                <w:rFonts w:ascii="宋体" w:hAnsi="宋体" w:cs="宋体" w:hint="eastAsia"/>
                <w:bCs/>
                <w:color w:val="000000"/>
                <w:szCs w:val="21"/>
                <w:highlight w:val="none"/>
              </w:rPr>
            </w:pPr>
            <w:r>
              <w:rPr>
                <w:rFonts w:ascii="宋体" w:hAnsi="宋体" w:cs="宋体" w:hint="eastAsia"/>
                <w:bCs/>
                <w:color w:val="000000"/>
                <w:szCs w:val="21"/>
                <w:highlight w:val="none"/>
              </w:rPr>
              <w:t>2</w:t>
            </w:r>
          </w:p>
        </w:tc>
        <w:tc>
          <w:tcPr>
            <w:tcW w:w="1437" w:type="pct"/>
            <w:vAlign w:val="center"/>
          </w:tcPr>
          <w:p>
            <w:pPr>
              <w:jc w:val="center"/>
              <w:rPr>
                <w:rFonts w:ascii="宋体" w:hAnsi="宋体" w:cs="宋体" w:hint="eastAsia"/>
                <w:color w:val="000000"/>
                <w:szCs w:val="21"/>
                <w:highlight w:val="none"/>
                <w:lang w:val="zh-TW"/>
              </w:rPr>
            </w:pPr>
            <w:r>
              <w:rPr>
                <w:rFonts w:ascii="宋体" w:hAnsi="宋体" w:cs="宋体" w:hint="eastAsia"/>
                <w:color w:val="000000"/>
                <w:szCs w:val="21"/>
                <w:highlight w:val="none"/>
                <w:lang w:val="zh-TW"/>
              </w:rPr>
              <w:t>纯水机（</w:t>
            </w:r>
            <w:r>
              <w:rPr>
                <w:rFonts w:ascii="宋体" w:hAnsi="宋体" w:cs="宋体" w:hint="eastAsia"/>
                <w:color w:val="000000"/>
                <w:szCs w:val="21"/>
                <w:highlight w:val="none"/>
              </w:rPr>
              <w:t>二</w:t>
            </w:r>
            <w:r>
              <w:rPr>
                <w:rFonts w:ascii="宋体" w:hAnsi="宋体" w:cs="宋体" w:hint="eastAsia"/>
                <w:color w:val="000000"/>
                <w:szCs w:val="21"/>
                <w:highlight w:val="none"/>
                <w:lang w:val="zh-TW"/>
              </w:rPr>
              <w:t>）</w:t>
            </w:r>
          </w:p>
        </w:tc>
        <w:tc>
          <w:tcPr>
            <w:tcW w:w="470" w:type="pct"/>
            <w:vAlign w:val="center"/>
          </w:tcPr>
          <w:p>
            <w:pPr>
              <w:jc w:val="center"/>
              <w:rPr>
                <w:rFonts w:ascii="宋体" w:hAnsi="宋体" w:cs="宋体"/>
                <w:color w:val="000000"/>
                <w:szCs w:val="21"/>
                <w:highlight w:val="none"/>
              </w:rPr>
            </w:pPr>
            <w:r>
              <w:rPr>
                <w:rFonts w:ascii="宋体" w:hAnsi="宋体" w:cs="宋体" w:hint="eastAsia"/>
                <w:color w:val="000000"/>
                <w:szCs w:val="21"/>
                <w:highlight w:val="none"/>
              </w:rPr>
              <w:t>1</w:t>
            </w:r>
          </w:p>
        </w:tc>
        <w:tc>
          <w:tcPr>
            <w:tcW w:w="515"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套</w:t>
            </w:r>
          </w:p>
        </w:tc>
        <w:tc>
          <w:tcPr>
            <w:tcW w:w="1555" w:type="dxa"/>
            <w:vAlign w:val="center"/>
          </w:tcPr>
          <w:p>
            <w:pPr>
              <w:jc w:val="center"/>
              <w:rPr>
                <w:rFonts w:ascii="宋体" w:hAnsi="宋体" w:cs="宋体" w:hint="eastAsia"/>
                <w:color w:val="000000"/>
                <w:szCs w:val="21"/>
                <w:highlight w:val="none"/>
                <w:lang w:val="zh-TW" w:eastAsia="zh-TW"/>
              </w:rPr>
            </w:pPr>
            <w:r>
              <w:rPr>
                <w:rFonts w:ascii="宋体" w:hAnsi="宋体" w:cs="宋体" w:hint="eastAsia"/>
                <w:color w:val="000000"/>
                <w:szCs w:val="21"/>
                <w:highlight w:val="none"/>
                <w:lang w:val="zh-TW" w:eastAsia="zh-TW"/>
              </w:rPr>
              <w:t>¥</w:t>
            </w:r>
            <w:r>
              <w:rPr>
                <w:rFonts w:ascii="宋体" w:hAnsi="宋体" w:cs="宋体" w:hint="eastAsia"/>
                <w:color w:val="000000"/>
                <w:szCs w:val="21"/>
                <w:highlight w:val="none"/>
              </w:rPr>
              <w:t>192</w:t>
            </w:r>
            <w:r>
              <w:rPr>
                <w:rFonts w:ascii="宋体" w:hAnsi="宋体" w:cs="宋体" w:hint="eastAsia"/>
                <w:color w:val="000000"/>
                <w:szCs w:val="21"/>
                <w:highlight w:val="none"/>
                <w:lang w:val="zh-TW" w:eastAsia="zh-TW"/>
              </w:rPr>
              <w:t>,000.00</w:t>
            </w:r>
          </w:p>
        </w:tc>
        <w:tc>
          <w:tcPr>
            <w:tcW w:w="773" w:type="pct"/>
            <w:vAlign w:val="center"/>
          </w:tcPr>
          <w:p>
            <w:pPr>
              <w:jc w:val="center"/>
              <w:rPr>
                <w:rFonts w:ascii="宋体" w:hAnsi="宋体" w:cs="宋体" w:hint="eastAsia"/>
                <w:color w:val="000000"/>
                <w:szCs w:val="21"/>
                <w:highlight w:val="none"/>
                <w:lang w:val="zh-TW" w:eastAsia="zh-TW"/>
              </w:rPr>
            </w:pPr>
            <w:r>
              <w:rPr>
                <w:rFonts w:ascii="宋体" w:hAnsi="宋体" w:cs="宋体" w:hint="eastAsia"/>
                <w:color w:val="000000"/>
                <w:szCs w:val="21"/>
                <w:highlight w:val="none"/>
                <w:lang w:val="zh-TW" w:eastAsia="zh-TW"/>
              </w:rPr>
              <w:t>¥192,000.00</w:t>
            </w:r>
          </w:p>
        </w:tc>
        <w:tc>
          <w:tcPr>
            <w:tcW w:w="719" w:type="pct"/>
            <w:vAlign w:val="center"/>
          </w:tcPr>
          <w:p>
            <w:pPr>
              <w:jc w:val="center"/>
              <w:rPr>
                <w:rFonts w:ascii="宋体" w:hAnsi="宋体" w:cs="宋体" w:hint="eastAsia"/>
                <w:color w:val="000000"/>
                <w:szCs w:val="21"/>
                <w:highlight w:val="none"/>
                <w:lang w:val="zh-TW" w:eastAsia="zh-TW"/>
              </w:rPr>
            </w:pPr>
            <w:r>
              <w:rPr>
                <w:rFonts w:ascii="宋体" w:hAnsi="宋体" w:cs="宋体" w:hint="eastAsia"/>
                <w:color w:val="000000"/>
                <w:szCs w:val="21"/>
                <w:highlight w:val="none"/>
                <w:lang w:val="zh-TW" w:eastAsia="zh-TW"/>
              </w:rPr>
              <w:t>接受进口</w:t>
            </w:r>
          </w:p>
        </w:tc>
      </w:tr>
      <w:tr>
        <w:tblPrEx>
          <w:tblW w:w="4998" w:type="pct"/>
          <w:jc w:val="center"/>
          <w:tblInd w:w="2" w:type="dxa"/>
          <w:tblCellMar>
            <w:top w:w="0" w:type="dxa"/>
            <w:left w:w="108" w:type="dxa"/>
            <w:bottom w:w="0" w:type="dxa"/>
            <w:right w:w="108" w:type="dxa"/>
          </w:tblCellMar>
          <w:tblLook w:val="0000"/>
        </w:tblPrEx>
        <w:trPr>
          <w:trHeight w:val="508"/>
          <w:jc w:val="center"/>
        </w:trPr>
        <w:tc>
          <w:tcPr>
            <w:tcW w:w="309" w:type="pct"/>
            <w:vAlign w:val="center"/>
          </w:tcPr>
          <w:p>
            <w:pPr>
              <w:spacing w:before="120" w:beforeLines="50" w:line="360" w:lineRule="auto"/>
              <w:jc w:val="center"/>
              <w:rPr>
                <w:rFonts w:ascii="宋体" w:hAnsi="宋体" w:cs="宋体"/>
                <w:bCs/>
                <w:color w:val="000000"/>
                <w:szCs w:val="21"/>
                <w:highlight w:val="none"/>
              </w:rPr>
            </w:pPr>
            <w:r>
              <w:rPr>
                <w:rFonts w:ascii="宋体" w:hAnsi="宋体" w:cs="宋体" w:hint="eastAsia"/>
                <w:bCs/>
                <w:color w:val="000000"/>
                <w:szCs w:val="21"/>
                <w:highlight w:val="none"/>
              </w:rPr>
              <w:t>3</w:t>
            </w:r>
          </w:p>
        </w:tc>
        <w:tc>
          <w:tcPr>
            <w:tcW w:w="1437" w:type="pct"/>
            <w:vAlign w:val="center"/>
          </w:tcPr>
          <w:p>
            <w:pPr>
              <w:jc w:val="center"/>
              <w:rPr>
                <w:rFonts w:ascii="宋体" w:hAnsi="宋体" w:cs="宋体" w:hint="eastAsia"/>
                <w:color w:val="000000"/>
                <w:szCs w:val="21"/>
                <w:highlight w:val="none"/>
                <w:lang w:val="zh-TW"/>
              </w:rPr>
            </w:pPr>
            <w:r>
              <w:rPr>
                <w:rFonts w:ascii="宋体" w:hAnsi="宋体" w:cs="宋体" w:hint="eastAsia"/>
                <w:color w:val="000000"/>
                <w:szCs w:val="21"/>
                <w:highlight w:val="none"/>
                <w:lang w:val="zh-TW"/>
              </w:rPr>
              <w:t>纯水机（三）</w:t>
            </w:r>
          </w:p>
        </w:tc>
        <w:tc>
          <w:tcPr>
            <w:tcW w:w="470"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2</w:t>
            </w:r>
          </w:p>
        </w:tc>
        <w:tc>
          <w:tcPr>
            <w:tcW w:w="515"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套</w:t>
            </w:r>
          </w:p>
        </w:tc>
        <w:tc>
          <w:tcPr>
            <w:tcW w:w="1555" w:type="dxa"/>
            <w:vAlign w:val="center"/>
          </w:tcPr>
          <w:p>
            <w:pPr>
              <w:jc w:val="center"/>
              <w:rPr>
                <w:rFonts w:ascii="宋体" w:hAnsi="宋体" w:cs="宋体" w:hint="eastAsia"/>
                <w:color w:val="000000"/>
                <w:szCs w:val="21"/>
                <w:highlight w:val="none"/>
                <w:lang w:val="zh-TW" w:eastAsia="zh-TW"/>
              </w:rPr>
            </w:pPr>
            <w:r>
              <w:rPr>
                <w:rFonts w:ascii="宋体" w:hAnsi="宋体" w:cs="宋体" w:hint="eastAsia"/>
                <w:color w:val="000000"/>
                <w:szCs w:val="21"/>
                <w:highlight w:val="none"/>
                <w:lang w:val="zh-TW" w:eastAsia="zh-TW"/>
              </w:rPr>
              <w:t>¥</w:t>
            </w:r>
            <w:r>
              <w:rPr>
                <w:rFonts w:ascii="宋体" w:hAnsi="宋体" w:cs="宋体" w:hint="eastAsia"/>
                <w:color w:val="000000"/>
                <w:szCs w:val="21"/>
                <w:highlight w:val="none"/>
              </w:rPr>
              <w:t>192</w:t>
            </w:r>
            <w:r>
              <w:rPr>
                <w:rFonts w:ascii="宋体" w:hAnsi="宋体" w:cs="宋体" w:hint="eastAsia"/>
                <w:color w:val="000000"/>
                <w:szCs w:val="21"/>
                <w:highlight w:val="none"/>
                <w:lang w:val="zh-TW" w:eastAsia="zh-TW"/>
              </w:rPr>
              <w:t>,000.00</w:t>
            </w:r>
          </w:p>
        </w:tc>
        <w:tc>
          <w:tcPr>
            <w:tcW w:w="773" w:type="pct"/>
            <w:vAlign w:val="center"/>
          </w:tcPr>
          <w:p>
            <w:pPr>
              <w:jc w:val="center"/>
              <w:rPr>
                <w:rFonts w:ascii="宋体" w:hAnsi="宋体" w:cs="宋体" w:hint="eastAsia"/>
                <w:color w:val="000000"/>
                <w:szCs w:val="21"/>
                <w:highlight w:val="none"/>
                <w:lang w:val="zh-TW" w:eastAsia="zh-TW"/>
              </w:rPr>
            </w:pPr>
            <w:r>
              <w:rPr>
                <w:rFonts w:ascii="宋体" w:hAnsi="宋体" w:cs="宋体" w:hint="eastAsia"/>
                <w:color w:val="000000"/>
                <w:szCs w:val="21"/>
                <w:highlight w:val="none"/>
                <w:lang w:val="zh-TW" w:eastAsia="zh-TW"/>
              </w:rPr>
              <w:t>¥384,000.00</w:t>
            </w:r>
          </w:p>
        </w:tc>
        <w:tc>
          <w:tcPr>
            <w:tcW w:w="719" w:type="pct"/>
            <w:vAlign w:val="center"/>
          </w:tcPr>
          <w:p>
            <w:pPr>
              <w:jc w:val="center"/>
              <w:rPr>
                <w:rFonts w:ascii="宋体" w:hAnsi="宋体" w:cs="宋体" w:hint="eastAsia"/>
                <w:color w:val="000000"/>
                <w:szCs w:val="21"/>
                <w:highlight w:val="none"/>
                <w:lang w:val="zh-TW" w:eastAsia="zh-TW"/>
              </w:rPr>
            </w:pPr>
            <w:r>
              <w:rPr>
                <w:rFonts w:ascii="宋体" w:hAnsi="宋体" w:cs="宋体" w:hint="eastAsia"/>
                <w:color w:val="000000"/>
                <w:szCs w:val="21"/>
                <w:highlight w:val="none"/>
                <w:lang w:val="zh-TW" w:eastAsia="zh-TW"/>
              </w:rPr>
              <w:t>接受进口</w:t>
            </w:r>
          </w:p>
        </w:tc>
      </w:tr>
      <w:tr>
        <w:tblPrEx>
          <w:tblW w:w="4998" w:type="pct"/>
          <w:jc w:val="center"/>
          <w:tblInd w:w="2" w:type="dxa"/>
          <w:tblCellMar>
            <w:top w:w="0" w:type="dxa"/>
            <w:left w:w="108" w:type="dxa"/>
            <w:bottom w:w="0" w:type="dxa"/>
            <w:right w:w="108" w:type="dxa"/>
          </w:tblCellMar>
          <w:tblLook w:val="0000"/>
        </w:tblPrEx>
        <w:trPr>
          <w:trHeight w:val="508"/>
          <w:jc w:val="center"/>
        </w:trPr>
        <w:tc>
          <w:tcPr>
            <w:tcW w:w="309" w:type="pct"/>
            <w:vAlign w:val="center"/>
          </w:tcPr>
          <w:p>
            <w:pPr>
              <w:spacing w:before="120" w:beforeLines="50" w:line="360" w:lineRule="auto"/>
              <w:jc w:val="center"/>
              <w:rPr>
                <w:rFonts w:ascii="宋体" w:hAnsi="宋体" w:cs="宋体"/>
                <w:bCs/>
                <w:color w:val="000000"/>
                <w:szCs w:val="21"/>
                <w:highlight w:val="none"/>
              </w:rPr>
            </w:pPr>
            <w:r>
              <w:rPr>
                <w:rFonts w:ascii="宋体" w:hAnsi="宋体" w:cs="宋体" w:hint="eastAsia"/>
                <w:bCs/>
                <w:color w:val="000000"/>
                <w:szCs w:val="21"/>
                <w:highlight w:val="none"/>
              </w:rPr>
              <w:t>4</w:t>
            </w:r>
          </w:p>
        </w:tc>
        <w:tc>
          <w:tcPr>
            <w:tcW w:w="1437" w:type="pct"/>
            <w:vAlign w:val="center"/>
          </w:tcPr>
          <w:p>
            <w:pPr>
              <w:jc w:val="center"/>
              <w:rPr>
                <w:rFonts w:ascii="宋体" w:hAnsi="宋体" w:cs="宋体" w:hint="eastAsia"/>
                <w:color w:val="000000"/>
                <w:szCs w:val="21"/>
                <w:highlight w:val="none"/>
                <w:lang w:val="zh-TW"/>
              </w:rPr>
            </w:pPr>
            <w:r>
              <w:rPr>
                <w:rFonts w:ascii="宋体" w:hAnsi="宋体" w:cs="宋体" w:hint="eastAsia"/>
                <w:color w:val="000000"/>
                <w:szCs w:val="21"/>
                <w:highlight w:val="none"/>
                <w:lang w:val="zh-TW"/>
              </w:rPr>
              <w:t>纯水机（四）</w:t>
            </w:r>
          </w:p>
        </w:tc>
        <w:tc>
          <w:tcPr>
            <w:tcW w:w="470"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2</w:t>
            </w:r>
          </w:p>
        </w:tc>
        <w:tc>
          <w:tcPr>
            <w:tcW w:w="515"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套</w:t>
            </w:r>
          </w:p>
        </w:tc>
        <w:tc>
          <w:tcPr>
            <w:tcW w:w="1555" w:type="dxa"/>
            <w:vAlign w:val="center"/>
          </w:tcPr>
          <w:p>
            <w:pPr>
              <w:jc w:val="center"/>
              <w:rPr>
                <w:rFonts w:ascii="宋体" w:hAnsi="宋体" w:cs="宋体" w:hint="eastAsia"/>
                <w:color w:val="000000"/>
                <w:szCs w:val="21"/>
                <w:highlight w:val="none"/>
                <w:lang w:val="zh-TW" w:eastAsia="zh-TW"/>
              </w:rPr>
            </w:pPr>
            <w:r>
              <w:rPr>
                <w:rFonts w:ascii="宋体" w:hAnsi="宋体" w:cs="宋体" w:hint="eastAsia"/>
                <w:color w:val="000000"/>
                <w:szCs w:val="21"/>
                <w:highlight w:val="none"/>
                <w:lang w:val="zh-TW" w:eastAsia="zh-TW"/>
              </w:rPr>
              <w:t>¥</w:t>
            </w:r>
            <w:r>
              <w:rPr>
                <w:rFonts w:ascii="宋体" w:hAnsi="宋体" w:cs="宋体" w:hint="eastAsia"/>
                <w:color w:val="000000"/>
                <w:szCs w:val="21"/>
                <w:highlight w:val="none"/>
              </w:rPr>
              <w:t>192</w:t>
            </w:r>
            <w:r>
              <w:rPr>
                <w:rFonts w:ascii="宋体" w:hAnsi="宋体" w:cs="宋体" w:hint="eastAsia"/>
                <w:color w:val="000000"/>
                <w:szCs w:val="21"/>
                <w:highlight w:val="none"/>
                <w:lang w:val="zh-TW" w:eastAsia="zh-TW"/>
              </w:rPr>
              <w:t>,000.00</w:t>
            </w:r>
          </w:p>
        </w:tc>
        <w:tc>
          <w:tcPr>
            <w:tcW w:w="773" w:type="pct"/>
            <w:vAlign w:val="center"/>
          </w:tcPr>
          <w:p>
            <w:pPr>
              <w:jc w:val="center"/>
              <w:rPr>
                <w:rFonts w:ascii="宋体" w:hAnsi="宋体" w:cs="宋体" w:hint="eastAsia"/>
                <w:color w:val="000000"/>
                <w:szCs w:val="21"/>
                <w:highlight w:val="none"/>
                <w:lang w:val="zh-TW" w:eastAsia="zh-TW"/>
              </w:rPr>
            </w:pPr>
            <w:r>
              <w:rPr>
                <w:rFonts w:ascii="宋体" w:hAnsi="宋体" w:cs="宋体" w:hint="eastAsia"/>
                <w:color w:val="000000"/>
                <w:szCs w:val="21"/>
                <w:highlight w:val="none"/>
                <w:lang w:val="zh-TW" w:eastAsia="zh-TW"/>
              </w:rPr>
              <w:t>¥384,000.00</w:t>
            </w:r>
          </w:p>
        </w:tc>
        <w:tc>
          <w:tcPr>
            <w:tcW w:w="719" w:type="pct"/>
            <w:vAlign w:val="center"/>
          </w:tcPr>
          <w:p>
            <w:pPr>
              <w:jc w:val="center"/>
              <w:rPr>
                <w:rFonts w:ascii="宋体" w:hAnsi="宋体" w:cs="宋体" w:hint="eastAsia"/>
                <w:color w:val="000000"/>
                <w:szCs w:val="21"/>
                <w:highlight w:val="none"/>
                <w:lang w:val="zh-TW" w:eastAsia="zh-TW"/>
              </w:rPr>
            </w:pPr>
            <w:r>
              <w:rPr>
                <w:rFonts w:ascii="宋体" w:hAnsi="宋体" w:cs="宋体" w:hint="eastAsia"/>
                <w:color w:val="000000"/>
                <w:szCs w:val="21"/>
                <w:highlight w:val="none"/>
                <w:lang w:val="zh-TW" w:eastAsia="zh-TW"/>
              </w:rPr>
              <w:t>接受进口</w:t>
            </w:r>
          </w:p>
        </w:tc>
      </w:tr>
      <w:tr>
        <w:tblPrEx>
          <w:tblW w:w="4998" w:type="pct"/>
          <w:jc w:val="center"/>
          <w:tblInd w:w="2" w:type="dxa"/>
          <w:tblCellMar>
            <w:top w:w="0" w:type="dxa"/>
            <w:left w:w="108" w:type="dxa"/>
            <w:bottom w:w="0" w:type="dxa"/>
            <w:right w:w="108" w:type="dxa"/>
          </w:tblCellMar>
          <w:tblLook w:val="0000"/>
        </w:tblPrEx>
        <w:trPr>
          <w:trHeight w:val="508"/>
          <w:jc w:val="center"/>
        </w:trPr>
        <w:tc>
          <w:tcPr>
            <w:tcW w:w="309" w:type="pct"/>
            <w:vAlign w:val="center"/>
          </w:tcPr>
          <w:p>
            <w:pPr>
              <w:spacing w:before="120" w:beforeLines="50" w:line="360" w:lineRule="auto"/>
              <w:jc w:val="center"/>
              <w:rPr>
                <w:rFonts w:ascii="宋体" w:hAnsi="宋体" w:cs="宋体"/>
                <w:bCs/>
                <w:color w:val="000000"/>
                <w:szCs w:val="21"/>
                <w:highlight w:val="none"/>
              </w:rPr>
            </w:pPr>
            <w:r>
              <w:rPr>
                <w:rFonts w:ascii="宋体" w:hAnsi="宋体" w:cs="宋体" w:hint="eastAsia"/>
                <w:bCs/>
                <w:color w:val="000000"/>
                <w:szCs w:val="21"/>
                <w:highlight w:val="none"/>
              </w:rPr>
              <w:t>5</w:t>
            </w:r>
          </w:p>
        </w:tc>
        <w:tc>
          <w:tcPr>
            <w:tcW w:w="1437" w:type="pct"/>
            <w:vAlign w:val="center"/>
          </w:tcPr>
          <w:p>
            <w:pPr>
              <w:jc w:val="center"/>
              <w:rPr>
                <w:rFonts w:ascii="宋体" w:hAnsi="宋体" w:cs="宋体" w:hint="eastAsia"/>
                <w:color w:val="000000"/>
                <w:szCs w:val="21"/>
                <w:highlight w:val="none"/>
                <w:lang w:val="zh-TW"/>
              </w:rPr>
            </w:pPr>
            <w:r>
              <w:rPr>
                <w:rFonts w:ascii="宋体" w:hAnsi="宋体" w:cs="宋体" w:hint="eastAsia"/>
                <w:color w:val="000000"/>
                <w:szCs w:val="21"/>
                <w:highlight w:val="none"/>
                <w:lang w:val="zh-TW"/>
              </w:rPr>
              <w:t>纯水机（五）</w:t>
            </w:r>
          </w:p>
        </w:tc>
        <w:tc>
          <w:tcPr>
            <w:tcW w:w="470"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2</w:t>
            </w:r>
          </w:p>
        </w:tc>
        <w:tc>
          <w:tcPr>
            <w:tcW w:w="515"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套</w:t>
            </w:r>
          </w:p>
        </w:tc>
        <w:tc>
          <w:tcPr>
            <w:tcW w:w="1555" w:type="dxa"/>
            <w:vAlign w:val="center"/>
          </w:tcPr>
          <w:p>
            <w:pPr>
              <w:jc w:val="center"/>
              <w:rPr>
                <w:rFonts w:ascii="宋体" w:hAnsi="宋体" w:cs="宋体" w:hint="eastAsia"/>
                <w:color w:val="000000"/>
                <w:szCs w:val="21"/>
                <w:highlight w:val="none"/>
                <w:lang w:val="zh-TW" w:eastAsia="zh-TW"/>
              </w:rPr>
            </w:pPr>
            <w:r>
              <w:rPr>
                <w:rFonts w:ascii="宋体" w:hAnsi="宋体" w:cs="宋体" w:hint="eastAsia"/>
                <w:color w:val="000000"/>
                <w:szCs w:val="21"/>
                <w:highlight w:val="none"/>
                <w:lang w:val="zh-TW" w:eastAsia="zh-TW"/>
              </w:rPr>
              <w:t>¥</w:t>
            </w:r>
            <w:r>
              <w:rPr>
                <w:rFonts w:ascii="宋体" w:hAnsi="宋体" w:cs="宋体" w:hint="eastAsia"/>
                <w:color w:val="000000"/>
                <w:szCs w:val="21"/>
                <w:highlight w:val="none"/>
              </w:rPr>
              <w:t>192</w:t>
            </w:r>
            <w:r>
              <w:rPr>
                <w:rFonts w:ascii="宋体" w:hAnsi="宋体" w:cs="宋体" w:hint="eastAsia"/>
                <w:color w:val="000000"/>
                <w:szCs w:val="21"/>
                <w:highlight w:val="none"/>
                <w:lang w:val="zh-TW" w:eastAsia="zh-TW"/>
              </w:rPr>
              <w:t>,000.00</w:t>
            </w:r>
          </w:p>
        </w:tc>
        <w:tc>
          <w:tcPr>
            <w:tcW w:w="773" w:type="pct"/>
            <w:vAlign w:val="center"/>
          </w:tcPr>
          <w:p>
            <w:pPr>
              <w:jc w:val="center"/>
              <w:rPr>
                <w:rFonts w:ascii="宋体" w:hAnsi="宋体" w:cs="宋体" w:hint="eastAsia"/>
                <w:color w:val="000000"/>
                <w:szCs w:val="21"/>
                <w:highlight w:val="none"/>
                <w:lang w:val="zh-TW" w:eastAsia="zh-TW"/>
              </w:rPr>
            </w:pPr>
            <w:r>
              <w:rPr>
                <w:rFonts w:ascii="宋体" w:hAnsi="宋体" w:cs="宋体" w:hint="eastAsia"/>
                <w:color w:val="000000"/>
                <w:szCs w:val="21"/>
                <w:highlight w:val="none"/>
                <w:lang w:val="zh-TW" w:eastAsia="zh-TW"/>
              </w:rPr>
              <w:t>¥384,000.00</w:t>
            </w:r>
          </w:p>
        </w:tc>
        <w:tc>
          <w:tcPr>
            <w:tcW w:w="719" w:type="pct"/>
            <w:vAlign w:val="center"/>
          </w:tcPr>
          <w:p>
            <w:pPr>
              <w:jc w:val="center"/>
              <w:rPr>
                <w:rFonts w:ascii="宋体" w:hAnsi="宋体" w:cs="宋体" w:hint="eastAsia"/>
                <w:color w:val="000000"/>
                <w:szCs w:val="21"/>
                <w:highlight w:val="none"/>
                <w:lang w:val="zh-TW" w:eastAsia="zh-TW"/>
              </w:rPr>
            </w:pPr>
            <w:r>
              <w:rPr>
                <w:rFonts w:ascii="宋体" w:hAnsi="宋体" w:cs="宋体" w:hint="eastAsia"/>
                <w:color w:val="000000"/>
                <w:szCs w:val="21"/>
                <w:highlight w:val="none"/>
                <w:lang w:val="zh-TW" w:eastAsia="zh-TW"/>
              </w:rPr>
              <w:t>接受进口</w:t>
            </w:r>
          </w:p>
        </w:tc>
      </w:tr>
    </w:tbl>
    <w:p>
      <w:pPr>
        <w:keepNext w:val="0"/>
        <w:keepLines w:val="0"/>
        <w:numPr>
          <w:ilvl w:val="0"/>
          <w:numId w:val="0"/>
        </w:numPr>
        <w:adjustRightInd w:val="0"/>
        <w:snapToGrid w:val="0"/>
        <w:spacing w:before="0" w:beforeLines="0" w:after="0" w:afterLines="0" w:line="360" w:lineRule="auto"/>
        <w:ind w:firstLine="420" w:firstLineChars="200"/>
        <w:jc w:val="left"/>
        <w:textAlignment w:val="auto"/>
        <w:outlineLvl w:val="9"/>
        <w:rPr>
          <w:rFonts w:ascii="宋体" w:eastAsia="宋体" w:hAnsi="宋体" w:cs="宋体" w:hint="eastAsia"/>
          <w:b w:val="0"/>
          <w:bCs w:val="0"/>
          <w:color w:val="000000"/>
          <w:sz w:val="21"/>
          <w:szCs w:val="21"/>
          <w:highlight w:val="none"/>
          <w:shd w:val="clear" w:color="auto" w:fill="auto"/>
        </w:rPr>
      </w:pPr>
    </w:p>
    <w:p>
      <w:pPr>
        <w:numPr>
          <w:ilvl w:val="0"/>
          <w:numId w:val="11"/>
        </w:numPr>
        <w:adjustRightInd w:val="0"/>
        <w:spacing w:before="192" w:beforeLines="80" w:after="120"/>
        <w:jc w:val="center"/>
        <w:textAlignment w:val="baseline"/>
        <w:outlineLvl w:val="1"/>
        <w:rPr>
          <w:rFonts w:ascii="宋体" w:hAnsi="宋体" w:cs="宋体" w:hint="eastAsia"/>
          <w:b/>
          <w:bCs/>
          <w:color w:val="000000"/>
          <w:sz w:val="24"/>
          <w:highlight w:val="none"/>
        </w:rPr>
      </w:pPr>
      <w:r>
        <w:rPr>
          <w:rFonts w:hint="eastAsia"/>
          <w:b/>
          <w:bCs/>
          <w:color w:val="000000"/>
          <w:sz w:val="30"/>
          <w:szCs w:val="30"/>
          <w:highlight w:val="none"/>
          <w:shd w:val="pct10" w:color="auto" w:fill="FFFFFF"/>
        </w:rPr>
        <w:t>技术部分</w:t>
      </w:r>
    </w:p>
    <w:p>
      <w:pPr>
        <w:keepNext w:val="0"/>
        <w:keepLines w:val="0"/>
        <w:adjustRightInd w:val="0"/>
        <w:snapToGrid w:val="0"/>
        <w:spacing w:before="0" w:beforeLines="0" w:after="0" w:afterLines="0" w:line="360" w:lineRule="auto"/>
        <w:ind w:firstLine="420" w:firstLineChars="200"/>
        <w:jc w:val="left"/>
        <w:outlineLvl w:val="9"/>
        <w:rPr>
          <w:rFonts w:ascii="宋体" w:eastAsia="宋体" w:hAnsi="宋体" w:cs="宋体" w:hint="eastAsia"/>
          <w:b w:val="0"/>
          <w:bCs w:val="0"/>
          <w:color w:val="000000"/>
          <w:sz w:val="21"/>
          <w:szCs w:val="21"/>
          <w:highlight w:val="none"/>
          <w:shd w:val="clear" w:color="auto" w:fill="auto"/>
        </w:rPr>
      </w:pPr>
    </w:p>
    <w:p>
      <w:pPr>
        <w:keepNext/>
        <w:keepLines/>
        <w:spacing w:before="120" w:beforeLines="50" w:after="120" w:afterLines="50"/>
        <w:jc w:val="center"/>
        <w:outlineLvl w:val="2"/>
        <w:rPr>
          <w:rFonts w:ascii="宋体" w:hAnsi="宋体" w:cs="宋体"/>
          <w:b/>
          <w:color w:val="000000"/>
          <w:sz w:val="28"/>
          <w:szCs w:val="28"/>
          <w:highlight w:val="none"/>
          <w:shd w:val="clear" w:color="FFFFFF" w:fill="D9D9D9"/>
        </w:rPr>
      </w:pPr>
      <w:r>
        <w:rPr>
          <w:rFonts w:ascii="宋体" w:hAnsi="宋体" w:cs="宋体" w:hint="eastAsia"/>
          <w:b/>
          <w:bCs/>
          <w:color w:val="000000"/>
          <w:sz w:val="28"/>
          <w:szCs w:val="28"/>
          <w:highlight w:val="none"/>
          <w:shd w:val="clear" w:color="FFFFFF" w:fill="D9D9D9"/>
        </w:rPr>
        <w:t>纯水</w:t>
      </w:r>
      <w:r>
        <w:rPr>
          <w:rFonts w:ascii="宋体" w:hAnsi="宋体" w:cs="宋体" w:hint="eastAsia"/>
          <w:b/>
          <w:color w:val="000000"/>
          <w:sz w:val="28"/>
          <w:szCs w:val="28"/>
          <w:highlight w:val="none"/>
          <w:shd w:val="clear" w:color="FFFFFF" w:fill="D9D9D9"/>
        </w:rPr>
        <w:t>机（一）1套</w:t>
      </w:r>
    </w:p>
    <w:p>
      <w:pPr>
        <w:spacing w:before="120" w:beforeLines="50" w:line="360" w:lineRule="auto"/>
        <w:ind w:left="420"/>
        <w:rPr>
          <w:rFonts w:ascii="宋体" w:hAnsi="宋体" w:cs="宋体" w:hint="eastAsia"/>
          <w:b/>
          <w:color w:val="000000"/>
          <w:szCs w:val="21"/>
          <w:highlight w:val="none"/>
        </w:rPr>
      </w:pPr>
      <w:bookmarkStart w:id="18" w:name="_Toc88839307"/>
      <w:r>
        <w:rPr>
          <w:rFonts w:ascii="宋体" w:hAnsi="宋体" w:cs="宋体" w:hint="eastAsia"/>
          <w:b/>
          <w:color w:val="000000"/>
          <w:szCs w:val="21"/>
          <w:highlight w:val="none"/>
        </w:rPr>
        <w:t>1.用途</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纯水机是以自来水作为进水，进行脱盐处理，生产一级超纯水的设备。可用于电感耦合等离子体质谱仪、离子色谱、液质联用仪等仪器，对痕量分析和高灵敏度分析提供超纯水。</w:t>
      </w:r>
      <w:bookmarkStart w:id="19" w:name="_Toc88839304"/>
    </w:p>
    <w:p>
      <w:pPr>
        <w:spacing w:before="120" w:beforeLines="50" w:line="360" w:lineRule="auto"/>
        <w:ind w:left="420"/>
        <w:rPr>
          <w:rFonts w:ascii="宋体" w:hAnsi="宋体" w:cs="宋体" w:hint="eastAsia"/>
          <w:b/>
          <w:color w:val="000000"/>
          <w:szCs w:val="21"/>
          <w:highlight w:val="none"/>
        </w:rPr>
      </w:pPr>
      <w:r>
        <w:rPr>
          <w:rFonts w:ascii="宋体" w:hAnsi="宋体" w:cs="宋体" w:hint="eastAsia"/>
          <w:b/>
          <w:color w:val="000000"/>
          <w:szCs w:val="21"/>
          <w:highlight w:val="none"/>
        </w:rPr>
        <w:t>2.</w:t>
      </w:r>
      <w:bookmarkEnd w:id="19"/>
      <w:r>
        <w:rPr>
          <w:rFonts w:ascii="宋体" w:hAnsi="宋体" w:cs="宋体" w:hint="eastAsia"/>
          <w:b/>
          <w:color w:val="000000"/>
          <w:szCs w:val="21"/>
          <w:highlight w:val="none"/>
        </w:rPr>
        <w:t>配置要求</w:t>
      </w:r>
    </w:p>
    <w:p>
      <w:pPr>
        <w:adjustRightInd w:val="0"/>
        <w:snapToGrid w:val="0"/>
        <w:spacing w:line="360" w:lineRule="auto"/>
        <w:ind w:firstLine="420" w:firstLineChars="200"/>
        <w:rPr>
          <w:rFonts w:ascii="宋体" w:hAnsi="宋体" w:cs="宋体" w:hint="eastAsia"/>
          <w:color w:val="000000"/>
          <w:szCs w:val="21"/>
          <w:highlight w:val="none"/>
        </w:rPr>
      </w:pPr>
      <w:bookmarkStart w:id="20" w:name="_Toc88839305"/>
      <w:r>
        <w:rPr>
          <w:rFonts w:ascii="宋体" w:hAnsi="宋体" w:cs="宋体" w:hint="eastAsia"/>
          <w:color w:val="000000"/>
          <w:szCs w:val="21"/>
          <w:highlight w:val="none"/>
        </w:rPr>
        <w:t>2.1 柜式一体机主机 1台</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2.2 专用取水臂 1台</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2.3 在线连接器（与电感耦合等离子体质谱仪自动进样器连接，有自动在线洗针功能） 1台</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2.4</w:t>
      </w:r>
      <w:r>
        <w:rPr>
          <w:rFonts w:ascii="宋体" w:hAnsi="宋体" w:cs="宋体"/>
          <w:color w:val="000000"/>
          <w:szCs w:val="21"/>
          <w:highlight w:val="none"/>
        </w:rPr>
        <w:t xml:space="preserve"> </w:t>
      </w:r>
      <w:r>
        <w:rPr>
          <w:rFonts w:ascii="宋体" w:hAnsi="宋体" w:cs="宋体" w:hint="eastAsia"/>
          <w:color w:val="000000"/>
          <w:szCs w:val="21"/>
          <w:highlight w:val="none"/>
        </w:rPr>
        <w:t>脚踏开关 1台</w:t>
      </w:r>
    </w:p>
    <w:p>
      <w:pPr>
        <w:spacing w:before="120" w:beforeLines="50" w:line="360" w:lineRule="auto"/>
        <w:ind w:left="420"/>
        <w:rPr>
          <w:rFonts w:ascii="宋体" w:hAnsi="宋体" w:cs="宋体" w:hint="eastAsia"/>
          <w:b/>
          <w:color w:val="000000"/>
          <w:szCs w:val="21"/>
          <w:highlight w:val="none"/>
        </w:rPr>
      </w:pPr>
      <w:r>
        <w:rPr>
          <w:rFonts w:ascii="宋体" w:hAnsi="宋体" w:cs="宋体" w:hint="eastAsia"/>
          <w:b/>
          <w:color w:val="000000"/>
          <w:szCs w:val="21"/>
          <w:highlight w:val="none"/>
        </w:rPr>
        <w:t>3.</w:t>
      </w:r>
      <w:bookmarkEnd w:id="20"/>
      <w:r>
        <w:rPr>
          <w:rFonts w:ascii="宋体" w:hAnsi="宋体" w:cs="宋体" w:hint="eastAsia"/>
          <w:b/>
          <w:color w:val="000000"/>
          <w:szCs w:val="21"/>
          <w:highlight w:val="none"/>
        </w:rPr>
        <w:t>技术要求</w:t>
      </w:r>
    </w:p>
    <w:p>
      <w:pPr>
        <w:adjustRightInd w:val="0"/>
        <w:snapToGrid w:val="0"/>
        <w:spacing w:line="360" w:lineRule="auto"/>
        <w:ind w:firstLine="420" w:firstLineChars="200"/>
        <w:rPr>
          <w:rFonts w:ascii="宋体" w:hAnsi="宋体" w:cs="宋体" w:hint="eastAsia"/>
          <w:color w:val="000000"/>
          <w:szCs w:val="21"/>
          <w:highlight w:val="none"/>
        </w:rPr>
      </w:pPr>
      <w:bookmarkStart w:id="21" w:name="_Hlk142654910"/>
      <w:r>
        <w:rPr>
          <w:rFonts w:ascii="宋体" w:hAnsi="宋体" w:cs="宋体" w:hint="eastAsia"/>
          <w:color w:val="000000"/>
          <w:szCs w:val="21"/>
          <w:highlight w:val="none"/>
        </w:rPr>
        <w:t>3.1纯水机自来水进水，生产一级超纯水，超纯水满足电感耦合等离子体质谱仪、离子色谱、液相色谱、液质联用仪等仪器痕量分析和高灵敏度分析要求用水。</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纯水机是自来水进水的柜式一体机，内部需配置≥60L水箱，不需要放在操作台上，有移动滚轮，机器更换位置方便（投标文件中提供官网技术资料截图或公开发行的技术彩页扫描件，证明本条款均符合要求，否则视为负偏离，原件备查）。</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纯水机主要用于痕量元素分析，可与电感耦合等离子体质谱仪自动进样器连接，有自动清洗进样针功能（投标文件中提供电感耦合等离子体质谱仪厂家技术文件扫描件作为证明依据，否则视为负偏离，原件备查）。</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3.4超纯水总有机碳TOC＜1µg/L，超纯水电阻率18.2MΩ・cm及以上（投标文件中提供官网技术资料截图或公开发行的技术彩页或产品说明书证明扫描件，证明技术参数均符合要求，否则视为负偏离，原件备查）。</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▲3.5自来水进水情况下产超纯水，0.1µm以上微粒数＜50个/mL，0.2</w:t>
      </w:r>
      <w:bookmarkStart w:id="22" w:name="_Hlk144123054"/>
      <w:r>
        <w:rPr>
          <w:rFonts w:ascii="宋体" w:hAnsi="宋体" w:cs="宋体" w:hint="eastAsia"/>
          <w:color w:val="000000"/>
          <w:szCs w:val="21"/>
          <w:highlight w:val="none"/>
        </w:rPr>
        <w:t>µ</w:t>
      </w:r>
      <w:bookmarkEnd w:id="22"/>
      <w:r>
        <w:rPr>
          <w:rFonts w:ascii="宋体" w:hAnsi="宋体" w:cs="宋体" w:hint="eastAsia"/>
          <w:color w:val="000000"/>
          <w:szCs w:val="21"/>
          <w:highlight w:val="none"/>
        </w:rPr>
        <w:t>m以上微粒数＜1个/mL。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3.6自来水进水情况下产出超纯水，需满足经电感耦合等离子体质谱仪检测的代表性元素分析数据（投标文件中提供官网技术资料截图或公开发行的技术彩页或产品说明书证明扫描件，证明本条款所列下列全部元素的技术参数均符合要求，否则视为负偏离，原件备查）：</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Na 钠&lt;0.1ng/L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K 钾&lt;0.1ng/L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Ca钙&lt;0.1ng/L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Mg镁&lt;0.1ng/L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Fe 铁&lt;0.1ng/L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Cu 铜&lt;0.1ng/L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Zn 锌&lt;0.1ng/L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Cd 镉&lt;0.1ng/L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Ni 镍&lt;0.1ng/L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Pb 铅&lt;0.1ng/L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Mn锰&lt;0.1ng/L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Al铝&lt;0.1ng/L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Cr 铬&lt;0.3ng/L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Ti 钛&lt;0.15ng/L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B</w:t>
      </w:r>
      <w:r>
        <w:rPr>
          <w:rFonts w:ascii="宋体" w:hAnsi="宋体" w:cs="宋体"/>
          <w:color w:val="000000"/>
          <w:szCs w:val="21"/>
          <w:highlight w:val="none"/>
        </w:rPr>
        <w:t xml:space="preserve"> </w:t>
      </w:r>
      <w:r>
        <w:rPr>
          <w:rFonts w:ascii="宋体" w:hAnsi="宋体" w:cs="宋体" w:hint="eastAsia"/>
          <w:color w:val="000000"/>
          <w:szCs w:val="21"/>
          <w:highlight w:val="none"/>
        </w:rPr>
        <w:t>硼&lt;10ng/L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Li 锂&lt;0.05ng/L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V 钒&lt;0.01ng/L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Co 钴&lt;0.01ng/L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Ga 镓&lt;0.01ng/L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As 砷&lt;0.01ng/L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Rb 铷&lt;0.01ng/L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Sr 锶&lt;0.01ng/L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Zr 锆&lt;0.1ng/L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Mo 钼&lt;0.05ng/L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Ag 银&lt;0.2ng/L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Cs 铯&lt;0.01ng/L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W</w:t>
      </w:r>
      <w:r>
        <w:rPr>
          <w:rFonts w:ascii="宋体" w:hAnsi="宋体" w:cs="宋体"/>
          <w:color w:val="000000"/>
          <w:szCs w:val="21"/>
          <w:highlight w:val="none"/>
        </w:rPr>
        <w:t xml:space="preserve"> </w:t>
      </w:r>
      <w:r>
        <w:rPr>
          <w:rFonts w:ascii="宋体" w:hAnsi="宋体" w:cs="宋体" w:hint="eastAsia"/>
          <w:color w:val="000000"/>
          <w:szCs w:val="21"/>
          <w:highlight w:val="none"/>
        </w:rPr>
        <w:t>钨&lt;0.05ng/L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U</w:t>
      </w:r>
      <w:r>
        <w:rPr>
          <w:rFonts w:ascii="宋体" w:hAnsi="宋体" w:cs="宋体"/>
          <w:color w:val="000000"/>
          <w:szCs w:val="21"/>
          <w:highlight w:val="none"/>
        </w:rPr>
        <w:t xml:space="preserve"> </w:t>
      </w:r>
      <w:r>
        <w:rPr>
          <w:rFonts w:ascii="宋体" w:hAnsi="宋体" w:cs="宋体" w:hint="eastAsia"/>
          <w:color w:val="000000"/>
          <w:szCs w:val="21"/>
          <w:highlight w:val="none"/>
        </w:rPr>
        <w:t>铀&lt;0.01ng/L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Si 硅&lt;0.1</w:t>
      </w:r>
      <w:bookmarkStart w:id="23" w:name="_Hlk144123070"/>
      <w:r>
        <w:rPr>
          <w:rFonts w:ascii="宋体" w:hAnsi="宋体" w:cs="宋体" w:hint="eastAsia"/>
          <w:color w:val="000000"/>
          <w:szCs w:val="21"/>
          <w:highlight w:val="none"/>
        </w:rPr>
        <w:t>µ</w:t>
      </w:r>
      <w:bookmarkEnd w:id="23"/>
      <w:r>
        <w:rPr>
          <w:rFonts w:ascii="宋体" w:hAnsi="宋体" w:cs="宋体" w:hint="eastAsia"/>
          <w:color w:val="000000"/>
          <w:szCs w:val="21"/>
          <w:highlight w:val="none"/>
        </w:rPr>
        <w:t>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3.7自来水进水情况下产出超纯水阴离子数据（本条款所列下列全部元素的技术参数均符合要求，否则视为负偏离）：</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Br</w:t>
      </w:r>
      <w:r>
        <w:rPr>
          <w:rFonts w:ascii="宋体" w:hAnsi="宋体" w:cs="宋体" w:hint="eastAsia"/>
          <w:color w:val="000000"/>
          <w:szCs w:val="21"/>
          <w:highlight w:val="none"/>
          <w:vertAlign w:val="superscript"/>
        </w:rPr>
        <w:t>-</w:t>
      </w:r>
      <w:r>
        <w:rPr>
          <w:rFonts w:ascii="宋体" w:hAnsi="宋体" w:cs="宋体" w:hint="eastAsia"/>
          <w:color w:val="000000"/>
          <w:szCs w:val="21"/>
          <w:highlight w:val="none"/>
        </w:rPr>
        <w:t xml:space="preserve"> &lt;20ng/L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Cl</w:t>
      </w:r>
      <w:r>
        <w:rPr>
          <w:rFonts w:ascii="宋体" w:hAnsi="宋体" w:cs="宋体" w:hint="eastAsia"/>
          <w:color w:val="000000"/>
          <w:szCs w:val="21"/>
          <w:highlight w:val="none"/>
          <w:vertAlign w:val="superscript"/>
        </w:rPr>
        <w:t>-</w:t>
      </w:r>
      <w:r>
        <w:rPr>
          <w:rFonts w:ascii="宋体" w:hAnsi="宋体" w:cs="宋体" w:hint="eastAsia"/>
          <w:color w:val="000000"/>
          <w:szCs w:val="21"/>
          <w:highlight w:val="none"/>
        </w:rPr>
        <w:t xml:space="preserve"> &lt;20ng/L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F</w:t>
      </w:r>
      <w:r>
        <w:rPr>
          <w:rFonts w:ascii="宋体" w:hAnsi="宋体" w:cs="宋体" w:hint="eastAsia"/>
          <w:color w:val="000000"/>
          <w:szCs w:val="21"/>
          <w:highlight w:val="none"/>
          <w:vertAlign w:val="superscript"/>
        </w:rPr>
        <w:t>-</w:t>
      </w:r>
      <w:r>
        <w:rPr>
          <w:rFonts w:ascii="宋体" w:hAnsi="宋体" w:cs="宋体" w:hint="eastAsia"/>
          <w:color w:val="000000"/>
          <w:szCs w:val="21"/>
          <w:highlight w:val="none"/>
        </w:rPr>
        <w:t xml:space="preserve"> &lt;20ng/L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NO</w:t>
      </w:r>
      <w:r>
        <w:rPr>
          <w:rFonts w:ascii="宋体" w:hAnsi="宋体" w:cs="宋体" w:hint="eastAsia"/>
          <w:color w:val="000000"/>
          <w:szCs w:val="21"/>
          <w:highlight w:val="none"/>
          <w:vertAlign w:val="subscript"/>
        </w:rPr>
        <w:t>3</w:t>
      </w:r>
      <w:r>
        <w:rPr>
          <w:rFonts w:ascii="宋体" w:hAnsi="宋体" w:cs="宋体" w:hint="eastAsia"/>
          <w:color w:val="000000"/>
          <w:szCs w:val="21"/>
          <w:highlight w:val="none"/>
          <w:vertAlign w:val="superscript"/>
        </w:rPr>
        <w:t>-</w:t>
      </w:r>
      <w:r>
        <w:rPr>
          <w:rFonts w:ascii="宋体" w:hAnsi="宋体" w:cs="宋体" w:hint="eastAsia"/>
          <w:color w:val="000000"/>
          <w:szCs w:val="21"/>
          <w:highlight w:val="none"/>
        </w:rPr>
        <w:t>&lt;20ng/L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NO</w:t>
      </w:r>
      <w:r>
        <w:rPr>
          <w:rFonts w:ascii="宋体" w:hAnsi="宋体" w:cs="宋体" w:hint="eastAsia"/>
          <w:color w:val="000000"/>
          <w:szCs w:val="21"/>
          <w:highlight w:val="none"/>
          <w:vertAlign w:val="subscript"/>
        </w:rPr>
        <w:t>2</w:t>
      </w:r>
      <w:r>
        <w:rPr>
          <w:rFonts w:ascii="宋体" w:hAnsi="宋体" w:cs="宋体" w:hint="eastAsia"/>
          <w:color w:val="000000"/>
          <w:szCs w:val="21"/>
          <w:highlight w:val="none"/>
          <w:vertAlign w:val="superscript"/>
        </w:rPr>
        <w:t>-</w:t>
      </w:r>
      <w:r>
        <w:rPr>
          <w:rFonts w:ascii="宋体" w:hAnsi="宋体" w:cs="宋体" w:hint="eastAsia"/>
          <w:color w:val="000000"/>
          <w:szCs w:val="21"/>
          <w:highlight w:val="none"/>
        </w:rPr>
        <w:t>&lt;20ng/L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PO</w:t>
      </w:r>
      <w:r>
        <w:rPr>
          <w:rFonts w:ascii="宋体" w:hAnsi="宋体" w:cs="宋体" w:hint="eastAsia"/>
          <w:color w:val="000000"/>
          <w:szCs w:val="21"/>
          <w:highlight w:val="none"/>
          <w:vertAlign w:val="subscript"/>
        </w:rPr>
        <w:t>4</w:t>
      </w:r>
      <w:r>
        <w:rPr>
          <w:rFonts w:ascii="宋体" w:hAnsi="宋体" w:cs="宋体" w:hint="eastAsia"/>
          <w:color w:val="000000"/>
          <w:szCs w:val="21"/>
          <w:highlight w:val="none"/>
          <w:vertAlign w:val="superscript"/>
        </w:rPr>
        <w:t>3-</w:t>
      </w:r>
      <w:r>
        <w:rPr>
          <w:rFonts w:ascii="宋体" w:hAnsi="宋体" w:cs="宋体" w:hint="eastAsia"/>
          <w:color w:val="000000"/>
          <w:szCs w:val="21"/>
          <w:highlight w:val="none"/>
        </w:rPr>
        <w:t>&lt;20ng/L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SO</w:t>
      </w:r>
      <w:r>
        <w:rPr>
          <w:rFonts w:ascii="宋体" w:hAnsi="宋体" w:cs="宋体" w:hint="eastAsia"/>
          <w:color w:val="000000"/>
          <w:szCs w:val="21"/>
          <w:highlight w:val="none"/>
          <w:vertAlign w:val="subscript"/>
        </w:rPr>
        <w:t>4</w:t>
      </w:r>
      <w:r>
        <w:rPr>
          <w:rFonts w:ascii="宋体" w:hAnsi="宋体" w:cs="宋体" w:hint="eastAsia"/>
          <w:color w:val="000000"/>
          <w:szCs w:val="21"/>
          <w:highlight w:val="none"/>
          <w:vertAlign w:val="superscript"/>
        </w:rPr>
        <w:t>2-</w:t>
      </w:r>
      <w:r>
        <w:rPr>
          <w:rFonts w:ascii="宋体" w:hAnsi="宋体" w:cs="宋体" w:hint="eastAsia"/>
          <w:color w:val="000000"/>
          <w:szCs w:val="21"/>
          <w:highlight w:val="none"/>
        </w:rPr>
        <w:t>&lt;20ng/L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3.8微生物＜0.001cfu/mL；内毒素＜0.01EU/mL。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3.9 RNase＜1pg/mL，DNase＜5pg/mL。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3.10水机配备1台及以上取水臂，取水臂可外接5米及以上。</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▲3.11纯水机配备3处及以上紫外灯模块，水箱配备254nm波长紫外灯，管路配备185nm波长紫外灯，取水臂中配备185nm波长紫外灯，用于消灭分解有机物。</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3.12水机有LED屏，触屏操控主机，屏幕显示水机产水状态、超纯水水质数据，并可以把每分钟的水质数据至少保存两年，方便调整水机。</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▲3.13内置全氧化法TOC在线检测仪，可实时在线检测TOC，也可设置定时检测，精度至少满足±1µg/L。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3.14管路监测系统，如有漏水就会报警自动停机。</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3.15至少满足有三种取水方式：主控屏幕控制取水开关；取水臂控制开关取水；脚踏控制开关（至少配备1个脚踏）。</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3.16有自动定量取水功能，屏幕中选择取水量，可定量放出超纯水。</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3.17单次取水量可以控制为1滴，也可以控制为多滴，或最大取水速度2L/min及以上取水。</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▲3.18超纯水自动净化循环系统，在不取水时，水箱中的水和管路中的水会在净化线路中循环过滤，水箱中的水质不断提升，也避免管路水不流动造成水质下降。</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3.19专用前处理滤芯，去除水中残留氯、微生物、颗粒物等。</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3.20两根及以上反渗透柱，并有反渗透模块水质计，反渗透柱用于去除水中的离子、微粒、有机物等，反渗透模块水质计用于监测反渗透模块功能情况（投标文件中提供官网技术资料截图证明或公开发行的技术彩页或产品说明书扫描件，证明有两根及以上反渗透柱和反渗透模块水质计，原件备查）。</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3.21高效连续电除盐技术模块，高效去除离子，并有连续电除盐技术模块水质计，监测该模块功能情况（投标文件中提供官网资料截图证明或公开发行的技术彩页或产品说明书扫描件，证明有连续电除盐技术模块和连续电除盐技术模块后端水质计，原件备查）。</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w:t>
      </w:r>
      <w:bookmarkStart w:id="24" w:name="_Hlk142570131"/>
      <w:r>
        <w:rPr>
          <w:rFonts w:ascii="宋体" w:hAnsi="宋体" w:cs="宋体" w:hint="eastAsia"/>
          <w:color w:val="000000"/>
          <w:szCs w:val="21"/>
          <w:highlight w:val="none"/>
        </w:rPr>
        <w:t>22可再生树脂复合滤芯去除连续电除盐技术模块处理后的水中离子</w:t>
      </w:r>
      <w:bookmarkEnd w:id="24"/>
      <w:r>
        <w:rPr>
          <w:rFonts w:ascii="宋体" w:hAnsi="宋体" w:cs="宋体" w:hint="eastAsia"/>
          <w:color w:val="000000"/>
          <w:szCs w:val="21"/>
          <w:highlight w:val="none"/>
        </w:rPr>
        <w:t>。</w:t>
      </w:r>
    </w:p>
    <w:p>
      <w:pPr>
        <w:adjustRightInd w:val="0"/>
        <w:snapToGrid w:val="0"/>
        <w:spacing w:line="360" w:lineRule="auto"/>
        <w:ind w:firstLine="420" w:firstLineChars="200"/>
        <w:rPr>
          <w:rFonts w:ascii="宋体" w:hAnsi="宋体" w:cs="宋体" w:hint="eastAsia"/>
          <w:color w:val="000000"/>
          <w:szCs w:val="21"/>
          <w:highlight w:val="none"/>
        </w:rPr>
      </w:pPr>
      <w:bookmarkStart w:id="25" w:name="_Hlk142899105"/>
      <w:r>
        <w:rPr>
          <w:rFonts w:ascii="宋体" w:hAnsi="宋体" w:cs="宋体" w:hint="eastAsia"/>
          <w:color w:val="000000"/>
          <w:szCs w:val="21"/>
          <w:highlight w:val="none"/>
        </w:rPr>
        <w:t>▲3.23两根及以上可再生树脂去离子交换纯化柱，用于除去超纯水中的离子，后端配有超纯水水质计用于监测去离子交换纯化柱模块功能情况（投标文件中提供官网资料截图或公开发行的技术彩页或产品说明书扫描件，证明有两根及以上去离子交换纯化柱和超纯水水质计，原件备查）。</w:t>
      </w:r>
    </w:p>
    <w:p>
      <w:pPr>
        <w:adjustRightInd w:val="0"/>
        <w:snapToGrid w:val="0"/>
        <w:spacing w:line="360" w:lineRule="auto"/>
        <w:ind w:firstLine="420" w:firstLineChars="200"/>
        <w:rPr>
          <w:rFonts w:ascii="宋体" w:hAnsi="宋体" w:cs="宋体" w:hint="eastAsia"/>
          <w:color w:val="000000"/>
          <w:szCs w:val="21"/>
          <w:highlight w:val="none"/>
        </w:rPr>
      </w:pPr>
      <w:bookmarkEnd w:id="25"/>
      <w:r>
        <w:rPr>
          <w:rFonts w:ascii="宋体" w:hAnsi="宋体" w:cs="宋体" w:hint="eastAsia"/>
          <w:color w:val="000000"/>
          <w:szCs w:val="21"/>
          <w:highlight w:val="none"/>
        </w:rPr>
        <w:t>▲3.24配备超滤模块，聚砜系中空纤维超滤滤芯，有效膜面积≥1500cm</w:t>
      </w:r>
      <w:r>
        <w:rPr>
          <w:rFonts w:ascii="宋体" w:hAnsi="宋体" w:cs="宋体" w:hint="eastAsia"/>
          <w:color w:val="000000"/>
          <w:szCs w:val="21"/>
          <w:highlight w:val="none"/>
          <w:vertAlign w:val="superscript"/>
        </w:rPr>
        <w:t>2</w:t>
      </w:r>
      <w:r>
        <w:rPr>
          <w:rFonts w:ascii="宋体" w:hAnsi="宋体" w:cs="宋体" w:hint="eastAsia"/>
          <w:color w:val="000000"/>
          <w:szCs w:val="21"/>
          <w:highlight w:val="none"/>
        </w:rPr>
        <w:t>，使用分子量≥10000Da，去除水中微粒、活菌等。</w:t>
      </w:r>
    </w:p>
    <w:p>
      <w:pPr>
        <w:spacing w:before="120" w:beforeLines="50" w:line="360" w:lineRule="auto"/>
        <w:ind w:left="420"/>
        <w:rPr>
          <w:rFonts w:ascii="宋体" w:hAnsi="宋体" w:cs="宋体" w:hint="eastAsia"/>
          <w:b/>
          <w:color w:val="000000"/>
          <w:szCs w:val="21"/>
          <w:highlight w:val="none"/>
        </w:rPr>
      </w:pPr>
      <w:bookmarkEnd w:id="21"/>
      <w:r>
        <w:rPr>
          <w:rFonts w:ascii="宋体" w:hAnsi="宋体" w:cs="宋体" w:hint="eastAsia"/>
          <w:b/>
          <w:color w:val="000000"/>
          <w:szCs w:val="21"/>
          <w:highlight w:val="none"/>
        </w:rPr>
        <w:t>4.兼容性与后续成本</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后续成本主要为柱、膜等纯水机耗材维护，综合考虑选取耗材更换周期更长、过水量更大的设备，且水机耗材更换单价更低，以降低维护成本。如前处理纯化柱期望更换周期8000L-12000L，反渗透模块纯化柱更换周期8000L-12000L，复合纯化柱期望更换周期8000L-12000L，去离子交换纯化柱期望更换周期8000L-12000L，超滤模块期望更换周期1年半-2年等。</w:t>
      </w:r>
    </w:p>
    <w:p>
      <w:pPr>
        <w:keepNext/>
        <w:keepLines/>
        <w:spacing w:before="120" w:beforeLines="50" w:after="120" w:afterLines="50"/>
        <w:jc w:val="center"/>
        <w:outlineLvl w:val="2"/>
        <w:rPr>
          <w:rFonts w:ascii="宋体" w:hAnsi="宋体" w:cs="宋体" w:hint="eastAsia"/>
          <w:b/>
          <w:bCs/>
          <w:color w:val="000000"/>
          <w:sz w:val="24"/>
          <w:highlight w:val="none"/>
          <w:shd w:val="clear" w:color="FFFFFF" w:fill="D9D9D9"/>
        </w:rPr>
      </w:pPr>
      <w:bookmarkEnd w:id="18"/>
      <w:r>
        <w:rPr>
          <w:rFonts w:ascii="宋体" w:hAnsi="宋体" w:cs="宋体" w:hint="eastAsia"/>
          <w:b/>
          <w:bCs/>
          <w:color w:val="000000"/>
          <w:sz w:val="24"/>
          <w:highlight w:val="none"/>
          <w:shd w:val="clear" w:color="FFFFFF" w:fill="D9D9D9"/>
        </w:rPr>
        <w:t>纯水机（二）1套</w:t>
      </w:r>
    </w:p>
    <w:p>
      <w:pPr>
        <w:spacing w:before="120" w:beforeLines="50" w:line="360" w:lineRule="auto"/>
        <w:ind w:left="420"/>
        <w:rPr>
          <w:rFonts w:ascii="宋体" w:hAnsi="宋体" w:cs="宋体" w:hint="eastAsia"/>
          <w:b/>
          <w:color w:val="000000"/>
          <w:szCs w:val="21"/>
          <w:highlight w:val="none"/>
        </w:rPr>
      </w:pPr>
      <w:r>
        <w:rPr>
          <w:rFonts w:ascii="宋体" w:hAnsi="宋体" w:cs="宋体" w:hint="eastAsia"/>
          <w:b/>
          <w:color w:val="000000"/>
          <w:szCs w:val="21"/>
          <w:highlight w:val="none"/>
        </w:rPr>
        <w:t>1．用途</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纯水机是以自来水作为进水，进行脱盐处理，生产一级超纯水的设备，可用于电感耦合等离子体质谱仪、离子色谱、液相色谱、液质联用仪等仪器，对痕量分析和高灵敏度分析提供超纯水。</w:t>
      </w:r>
    </w:p>
    <w:p>
      <w:pPr>
        <w:spacing w:before="120" w:beforeLines="50" w:line="360" w:lineRule="auto"/>
        <w:ind w:left="420"/>
        <w:rPr>
          <w:rFonts w:ascii="宋体" w:hAnsi="宋体" w:cs="宋体" w:hint="eastAsia"/>
          <w:b/>
          <w:color w:val="000000"/>
          <w:szCs w:val="21"/>
          <w:highlight w:val="none"/>
        </w:rPr>
      </w:pPr>
      <w:r>
        <w:rPr>
          <w:rFonts w:ascii="宋体" w:hAnsi="宋体" w:cs="宋体" w:hint="eastAsia"/>
          <w:b/>
          <w:color w:val="000000"/>
          <w:szCs w:val="21"/>
          <w:highlight w:val="none"/>
        </w:rPr>
        <w:t>2．配置要求</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2.1 柜式一体机主机  1台</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2.2 专用取水臂 1台</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2.3 脚踏开关 1台</w:t>
      </w:r>
    </w:p>
    <w:p>
      <w:pPr>
        <w:spacing w:before="120" w:beforeLines="50" w:line="360" w:lineRule="auto"/>
        <w:ind w:left="420"/>
        <w:rPr>
          <w:rFonts w:ascii="宋体" w:hAnsi="宋体" w:cs="宋体" w:hint="eastAsia"/>
          <w:b/>
          <w:color w:val="000000"/>
          <w:szCs w:val="21"/>
          <w:highlight w:val="none"/>
        </w:rPr>
      </w:pPr>
      <w:r>
        <w:rPr>
          <w:rFonts w:ascii="宋体" w:hAnsi="宋体" w:cs="宋体" w:hint="eastAsia"/>
          <w:b/>
          <w:color w:val="000000"/>
          <w:szCs w:val="21"/>
          <w:highlight w:val="none"/>
        </w:rPr>
        <w:t>3．技术要求</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3.1纯水机自来水进水，生产一级超纯水，超纯水满足电感耦合等离子体质谱仪、离子色谱、液相色谱、液质联用仪等仪器痕量分析和高灵敏度分析要求用水。</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纯水机是自来水进水的柜式一体机，内部需配置≥60L水箱，不需要放在操作台上，有移动滚轮，机器更换位置方便（投标文件中提供官网技术资料截图或公开发行的技术彩页扫描件，证明本条款均符合要求，否则视为负偏离，原件备查）。</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3.3超纯水总有机碳TOC＜1µg/L，超纯水电阻率18.2MΩ・cm及以上（投标文件中提供官网技术资料截图或公开发行的技术彩页或产品说明书证明扫描件，证明技术参数均符合要求，否则视为负偏离，原件备查）。</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▲3.4自来水进水情况下产超纯水，0.1µm以上微粒数＜50个/mL，0.2µm以上微粒数＜1个/mL。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3.5自来水进水情况下产出超纯水，需满足经电感耦合等离子体质谱仪检测的代表性元素分析数据（投标文件中提供官网技术资料截图或公开发行的技术彩页或产品说明书证明扫描件，证明本条款所列下列全部元素的技术参数均符合要求，否则视为负偏离，原件备查）：</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Na 钠&lt;0.1ng/L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K 钾&lt;0.1ng/L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Ca钙&lt;0.1ng/L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Mg镁&lt;0.1ng/L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Fe 铁&lt;0.1ng/L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Cu 铜&lt;0.1ng/L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Zn 锌&lt;0.1ng/L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Cd 镉&lt;0.1ng/L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Ni 镍&lt;0.1ng/L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Pb 铅&lt;0.1ng/L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Mn锰&lt;0.1ng/L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Al铝&lt;0.1ng/L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Cr 铬&lt;0.3ng/L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Ti 钛&lt;0.15ng/L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B</w:t>
      </w:r>
      <w:r>
        <w:rPr>
          <w:rFonts w:ascii="宋体" w:hAnsi="宋体" w:cs="宋体"/>
          <w:color w:val="000000"/>
          <w:szCs w:val="21"/>
          <w:highlight w:val="none"/>
        </w:rPr>
        <w:t xml:space="preserve"> </w:t>
      </w:r>
      <w:r>
        <w:rPr>
          <w:rFonts w:ascii="宋体" w:hAnsi="宋体" w:cs="宋体" w:hint="eastAsia"/>
          <w:color w:val="000000"/>
          <w:szCs w:val="21"/>
          <w:highlight w:val="none"/>
        </w:rPr>
        <w:t>硼&lt;10ng/L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Li 锂&lt;0.05ng/L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V 钒&lt;0.01ng/L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Co 钴&lt;0.01ng/L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Ga 镓&lt;0.01ng/L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As 砷&lt;0.01ng/L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Rb 铷&lt;0.01ng/L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Sr 锶&lt;0.01ng/L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Zr 锆&lt;0.1ng/L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Mo 钼&lt;0.05ng/L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Ag 银&lt;0.2ng/L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Cs 铯&lt;0.01ng/L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W</w:t>
      </w:r>
      <w:r>
        <w:rPr>
          <w:rFonts w:ascii="宋体" w:hAnsi="宋体" w:cs="宋体"/>
          <w:color w:val="000000"/>
          <w:szCs w:val="21"/>
          <w:highlight w:val="none"/>
        </w:rPr>
        <w:t xml:space="preserve"> </w:t>
      </w:r>
      <w:r>
        <w:rPr>
          <w:rFonts w:ascii="宋体" w:hAnsi="宋体" w:cs="宋体" w:hint="eastAsia"/>
          <w:color w:val="000000"/>
          <w:szCs w:val="21"/>
          <w:highlight w:val="none"/>
        </w:rPr>
        <w:t>钨&lt;0.05ng/L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U</w:t>
      </w:r>
      <w:r>
        <w:rPr>
          <w:rFonts w:ascii="宋体" w:hAnsi="宋体" w:cs="宋体"/>
          <w:color w:val="000000"/>
          <w:szCs w:val="21"/>
          <w:highlight w:val="none"/>
        </w:rPr>
        <w:t xml:space="preserve"> </w:t>
      </w:r>
      <w:r>
        <w:rPr>
          <w:rFonts w:ascii="宋体" w:hAnsi="宋体" w:cs="宋体" w:hint="eastAsia"/>
          <w:color w:val="000000"/>
          <w:szCs w:val="21"/>
          <w:highlight w:val="none"/>
        </w:rPr>
        <w:t>铀&lt;0.01ng/L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Si 硅&lt;0.1µg/L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3.6自来水进水情况下产出超纯水阴离子数据（本条款所列下列全部元素的技术参数均符合要求，否则视为负偏离）：</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Br</w:t>
      </w:r>
      <w:r>
        <w:rPr>
          <w:rFonts w:ascii="宋体" w:hAnsi="宋体" w:cs="宋体" w:hint="eastAsia"/>
          <w:color w:val="000000"/>
          <w:szCs w:val="21"/>
          <w:highlight w:val="none"/>
          <w:vertAlign w:val="superscript"/>
        </w:rPr>
        <w:t>-</w:t>
      </w:r>
      <w:r>
        <w:rPr>
          <w:rFonts w:ascii="宋体" w:hAnsi="宋体" w:cs="宋体" w:hint="eastAsia"/>
          <w:color w:val="000000"/>
          <w:szCs w:val="21"/>
          <w:highlight w:val="none"/>
        </w:rPr>
        <w:t>&lt;20ng/L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Cl</w:t>
      </w:r>
      <w:r>
        <w:rPr>
          <w:rFonts w:ascii="宋体" w:hAnsi="宋体" w:cs="宋体" w:hint="eastAsia"/>
          <w:color w:val="000000"/>
          <w:szCs w:val="21"/>
          <w:highlight w:val="none"/>
          <w:vertAlign w:val="superscript"/>
        </w:rPr>
        <w:t>-</w:t>
      </w:r>
      <w:r>
        <w:rPr>
          <w:rFonts w:ascii="宋体" w:hAnsi="宋体" w:cs="宋体" w:hint="eastAsia"/>
          <w:color w:val="000000"/>
          <w:szCs w:val="21"/>
          <w:highlight w:val="none"/>
        </w:rPr>
        <w:t>&lt;20ng/L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F</w:t>
      </w:r>
      <w:r>
        <w:rPr>
          <w:rFonts w:ascii="宋体" w:hAnsi="宋体" w:cs="宋体" w:hint="eastAsia"/>
          <w:color w:val="000000"/>
          <w:szCs w:val="21"/>
          <w:highlight w:val="none"/>
          <w:vertAlign w:val="superscript"/>
        </w:rPr>
        <w:t>-</w:t>
      </w:r>
      <w:r>
        <w:rPr>
          <w:rFonts w:ascii="宋体" w:hAnsi="宋体" w:cs="宋体" w:hint="eastAsia"/>
          <w:color w:val="000000"/>
          <w:szCs w:val="21"/>
          <w:highlight w:val="none"/>
        </w:rPr>
        <w:t>&lt;20ng/L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NO</w:t>
      </w:r>
      <w:r>
        <w:rPr>
          <w:rFonts w:ascii="宋体" w:hAnsi="宋体" w:cs="宋体" w:hint="eastAsia"/>
          <w:color w:val="000000"/>
          <w:szCs w:val="21"/>
          <w:highlight w:val="none"/>
          <w:vertAlign w:val="subscript"/>
        </w:rPr>
        <w:t>3</w:t>
      </w:r>
      <w:r>
        <w:rPr>
          <w:rFonts w:ascii="宋体" w:hAnsi="宋体" w:cs="宋体" w:hint="eastAsia"/>
          <w:color w:val="000000"/>
          <w:szCs w:val="21"/>
          <w:highlight w:val="none"/>
          <w:vertAlign w:val="superscript"/>
        </w:rPr>
        <w:t>-</w:t>
      </w:r>
      <w:r>
        <w:rPr>
          <w:rFonts w:ascii="宋体" w:hAnsi="宋体" w:cs="宋体" w:hint="eastAsia"/>
          <w:color w:val="000000"/>
          <w:szCs w:val="21"/>
          <w:highlight w:val="none"/>
        </w:rPr>
        <w:t>&lt;20ng/L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NO</w:t>
      </w:r>
      <w:r>
        <w:rPr>
          <w:rFonts w:ascii="宋体" w:hAnsi="宋体" w:cs="宋体" w:hint="eastAsia"/>
          <w:color w:val="000000"/>
          <w:szCs w:val="21"/>
          <w:highlight w:val="none"/>
          <w:vertAlign w:val="subscript"/>
        </w:rPr>
        <w:t>2</w:t>
      </w:r>
      <w:r>
        <w:rPr>
          <w:rFonts w:ascii="宋体" w:hAnsi="宋体" w:cs="宋体" w:hint="eastAsia"/>
          <w:color w:val="000000"/>
          <w:szCs w:val="21"/>
          <w:highlight w:val="none"/>
          <w:vertAlign w:val="superscript"/>
        </w:rPr>
        <w:t>-</w:t>
      </w:r>
      <w:r>
        <w:rPr>
          <w:rFonts w:ascii="宋体" w:hAnsi="宋体" w:cs="宋体" w:hint="eastAsia"/>
          <w:color w:val="000000"/>
          <w:szCs w:val="21"/>
          <w:highlight w:val="none"/>
        </w:rPr>
        <w:t>&lt;20ng/L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PO</w:t>
      </w:r>
      <w:r>
        <w:rPr>
          <w:rFonts w:ascii="宋体" w:hAnsi="宋体" w:cs="宋体" w:hint="eastAsia"/>
          <w:color w:val="000000"/>
          <w:szCs w:val="21"/>
          <w:highlight w:val="none"/>
          <w:vertAlign w:val="subscript"/>
        </w:rPr>
        <w:t>4</w:t>
      </w:r>
      <w:r>
        <w:rPr>
          <w:rFonts w:ascii="宋体" w:hAnsi="宋体" w:cs="宋体" w:hint="eastAsia"/>
          <w:color w:val="000000"/>
          <w:szCs w:val="21"/>
          <w:highlight w:val="none"/>
          <w:vertAlign w:val="superscript"/>
        </w:rPr>
        <w:t>3-</w:t>
      </w:r>
      <w:r>
        <w:rPr>
          <w:rFonts w:ascii="宋体" w:hAnsi="宋体" w:cs="宋体" w:hint="eastAsia"/>
          <w:color w:val="000000"/>
          <w:szCs w:val="21"/>
          <w:highlight w:val="none"/>
        </w:rPr>
        <w:t>&lt;20ng/L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SO</w:t>
      </w:r>
      <w:r>
        <w:rPr>
          <w:rFonts w:ascii="宋体" w:hAnsi="宋体" w:cs="宋体" w:hint="eastAsia"/>
          <w:color w:val="000000"/>
          <w:szCs w:val="21"/>
          <w:highlight w:val="none"/>
          <w:vertAlign w:val="subscript"/>
        </w:rPr>
        <w:t>4</w:t>
      </w:r>
      <w:r>
        <w:rPr>
          <w:rFonts w:ascii="宋体" w:hAnsi="宋体" w:cs="宋体" w:hint="eastAsia"/>
          <w:color w:val="000000"/>
          <w:szCs w:val="21"/>
          <w:highlight w:val="none"/>
          <w:vertAlign w:val="superscript"/>
        </w:rPr>
        <w:t>2-</w:t>
      </w:r>
      <w:r>
        <w:rPr>
          <w:rFonts w:ascii="宋体" w:hAnsi="宋体" w:cs="宋体" w:hint="eastAsia"/>
          <w:color w:val="000000"/>
          <w:szCs w:val="21"/>
          <w:highlight w:val="none"/>
        </w:rPr>
        <w:t>&lt;20ng/L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3.7微生物＜0.001cfu/mL；内毒素＜0.01EU/mL。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3.8 RNase＜1pg/mL，DNase＜5pg/mL。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3.9水机配备1台及以上取水臂，取水臂可外接5米及以上。</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▲3.10纯水机配备3处及以上紫外灯模块，水箱配备254nm波长紫外灯，管路配备185nm波长紫外灯，取水臂中配备185nm波长紫外灯，用于消灭分解有机物。</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3.11水机有LED屏，触屏操控主机，屏幕显示水机产水状态、超纯水水质数据，并可以把每分钟的水质数据至少保存两年，方便调整水机。</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▲3.12内置全氧化法TOC在线检测仪，可实时在线检测TOC，也可设置定时检测，精度至少满足±1µg/L。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3.13管路监测系统，如有漏水就会报警自动停机。</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3.14至少满足有三种取水方式：主控屏幕控制取水开关；取水臂控制开关取水；脚踏控制开关（至少配备1个脚踏）。</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3.15有自动定量取水功能，屏幕中选择取水量，可定量放出超纯水。</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3.16单次取水量可以控制为1滴，也可以控制为多滴，或最大取水速度2L/min及以上取水。</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▲3.17超纯水自动净化循环系统，在不取水时，水箱中的水和管路中的水会在净化线路中循环过滤，水箱中的水质不断提升，也避免管路水不流动造成水质下降。</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3.18专用前处理滤芯，去除水中残留氯、微生物、颗粒物等。</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3.19两根及以上反渗透柱，并有反渗透模块水质计，反渗透柱用于去除水中的离子、微粒、有机物等，反渗透模块水质计用于监测反渗透模块功能情况（投标文件中提供官网技术资料截图证明或公开发行的技术彩页或产品说明书扫描件，证明有两根及以上反渗透柱和反渗透模块水质计，原件备查）。</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3.20高效连续电除盐技术模块，高效去除离子，并有连续电除盐技术模块水质计，监测该模块功能情况（投标文件中提供官网资料截图证明或公开发行的技术彩页或产品说明书扫描件，证明有连续电除盐技术模块和连续电除盐技术模块后端水质计，原件备查）。</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3.21可再生树脂复合滤芯去除连续电除盐技术模块处理后的水中离子。</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3.22两根及以上可再生树脂去离子交换纯化柱，用于除去超纯水中的离子，后端配有超纯水水质计用于监测去离子交换纯化柱模块功能情况（投标文件中提供官网资料截图或公开发行的技术彩页或产品说明书扫描件，证明有两根及以上去离子交换纯化柱和超纯水水质计，原件备查）。</w:t>
      </w:r>
    </w:p>
    <w:p>
      <w:pPr>
        <w:adjustRightInd w:val="0"/>
        <w:snapToGrid w:val="0"/>
        <w:spacing w:line="360" w:lineRule="auto"/>
        <w:ind w:firstLine="420" w:firstLineChars="200"/>
        <w:rPr>
          <w:rFonts w:hint="eastAsia"/>
          <w:color w:val="000000"/>
          <w:sz w:val="24"/>
          <w:highlight w:val="none"/>
        </w:rPr>
      </w:pPr>
      <w:r>
        <w:rPr>
          <w:rFonts w:ascii="宋体" w:hAnsi="宋体" w:cs="宋体" w:hint="eastAsia"/>
          <w:color w:val="000000"/>
          <w:szCs w:val="21"/>
          <w:highlight w:val="none"/>
        </w:rPr>
        <w:t>▲3.23配备超滤模块，聚砜系中空纤维超滤滤芯，有效膜面积≥1500cm</w:t>
      </w:r>
      <w:r>
        <w:rPr>
          <w:rFonts w:ascii="宋体" w:hAnsi="宋体" w:cs="宋体" w:hint="eastAsia"/>
          <w:color w:val="000000"/>
          <w:szCs w:val="21"/>
          <w:highlight w:val="none"/>
          <w:vertAlign w:val="superscript"/>
        </w:rPr>
        <w:t>2</w:t>
      </w:r>
      <w:r>
        <w:rPr>
          <w:rFonts w:ascii="宋体" w:hAnsi="宋体" w:cs="宋体" w:hint="eastAsia"/>
          <w:color w:val="000000"/>
          <w:szCs w:val="21"/>
          <w:highlight w:val="none"/>
        </w:rPr>
        <w:t>，使用分子量≥10000Da，去除水中微粒、活菌等。</w:t>
      </w:r>
    </w:p>
    <w:p>
      <w:pPr>
        <w:spacing w:before="120" w:beforeLines="50" w:line="360" w:lineRule="auto"/>
        <w:ind w:left="420"/>
        <w:rPr>
          <w:rFonts w:ascii="宋体" w:hAnsi="宋体" w:cs="宋体" w:hint="eastAsia"/>
          <w:b/>
          <w:color w:val="000000"/>
          <w:szCs w:val="21"/>
          <w:highlight w:val="none"/>
        </w:rPr>
      </w:pPr>
      <w:r>
        <w:rPr>
          <w:rFonts w:ascii="宋体" w:hAnsi="宋体" w:cs="宋体" w:hint="eastAsia"/>
          <w:b/>
          <w:color w:val="000000"/>
          <w:szCs w:val="21"/>
          <w:highlight w:val="none"/>
        </w:rPr>
        <w:t>4.兼容性与后续成本</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后续成本主要为柱、膜等纯水机耗材维护，综合考虑选取耗材更换周期更长、过水量更大的设备，且水机耗材更换单价更低，以降低维护成本。如前处理纯化柱期望更换周期8000L-12000L，反渗透纯化柱更换周期8000L-12000L，复合纯化柱期望更换周期8000L-12000L，去离子交换纯化柱期望更换周期8000L-12000L，超滤模块期望更换周期1年半-2年等。</w:t>
      </w:r>
    </w:p>
    <w:p>
      <w:pPr>
        <w:keepNext/>
        <w:keepLines/>
        <w:spacing w:before="120" w:beforeLines="50" w:after="120" w:afterLines="50"/>
        <w:jc w:val="center"/>
        <w:outlineLvl w:val="2"/>
        <w:rPr>
          <w:rFonts w:ascii="宋体" w:hAnsi="宋体" w:cs="宋体" w:hint="eastAsia"/>
          <w:b/>
          <w:bCs/>
          <w:color w:val="000000"/>
          <w:sz w:val="24"/>
          <w:highlight w:val="none"/>
          <w:shd w:val="clear" w:color="FFFFFF" w:fill="D9D9D9"/>
        </w:rPr>
      </w:pPr>
      <w:r>
        <w:rPr>
          <w:rFonts w:ascii="宋体" w:hAnsi="宋体" w:cs="宋体" w:hint="eastAsia"/>
          <w:b/>
          <w:bCs/>
          <w:color w:val="000000"/>
          <w:sz w:val="24"/>
          <w:highlight w:val="none"/>
          <w:shd w:val="clear" w:color="FFFFFF" w:fill="D9D9D9"/>
        </w:rPr>
        <w:t>纯水机（三）2套</w:t>
      </w:r>
    </w:p>
    <w:p>
      <w:pPr>
        <w:spacing w:before="120" w:beforeLines="50" w:line="360" w:lineRule="auto"/>
        <w:ind w:left="420"/>
        <w:rPr>
          <w:rFonts w:ascii="宋体" w:hAnsi="宋体" w:cs="宋体" w:hint="eastAsia"/>
          <w:b/>
          <w:color w:val="000000"/>
          <w:szCs w:val="21"/>
          <w:highlight w:val="none"/>
        </w:rPr>
      </w:pPr>
      <w:r>
        <w:rPr>
          <w:rFonts w:ascii="宋体" w:hAnsi="宋体" w:cs="宋体" w:hint="eastAsia"/>
          <w:b/>
          <w:color w:val="000000"/>
          <w:szCs w:val="21"/>
          <w:highlight w:val="none"/>
        </w:rPr>
        <w:t>1．用途</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纯水机是以自来水作为进水，进行脱氯处理后制造纯水。通过活性炭筒除去残留氯，并通过反渗透模块除去90%以上的离子类等，最后通过离子交换树脂柱进一步除去离子后得到超纯水，可用于电感耦合等离子体质谱仪、液相色谱、离子色谱、液质联用等设备用水及实验用水。</w:t>
      </w:r>
    </w:p>
    <w:p>
      <w:pPr>
        <w:spacing w:before="120" w:beforeLines="50" w:line="360" w:lineRule="auto"/>
        <w:ind w:left="420"/>
        <w:rPr>
          <w:rFonts w:ascii="宋体" w:hAnsi="宋体" w:cs="宋体" w:hint="eastAsia"/>
          <w:b/>
          <w:color w:val="000000"/>
          <w:szCs w:val="21"/>
          <w:highlight w:val="none"/>
        </w:rPr>
      </w:pPr>
      <w:r>
        <w:rPr>
          <w:rFonts w:ascii="宋体" w:hAnsi="宋体" w:cs="宋体" w:hint="eastAsia"/>
          <w:b/>
          <w:color w:val="000000"/>
          <w:szCs w:val="21"/>
          <w:highlight w:val="none"/>
        </w:rPr>
        <w:t>2．配置要求</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2.1 主机（其中包括纯水模块、超纯水模块） 1台</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2.2 超纯水专用60L水箱 1台</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2.3 专用取水臂 1台</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2.4 脚踏开关1台</w:t>
      </w:r>
    </w:p>
    <w:p>
      <w:pPr>
        <w:spacing w:before="120" w:beforeLines="50" w:line="360" w:lineRule="auto"/>
        <w:ind w:left="420"/>
        <w:rPr>
          <w:rFonts w:ascii="宋体" w:hAnsi="宋体" w:cs="宋体" w:hint="eastAsia"/>
          <w:b/>
          <w:color w:val="000000"/>
          <w:szCs w:val="21"/>
          <w:highlight w:val="none"/>
        </w:rPr>
      </w:pPr>
      <w:r>
        <w:rPr>
          <w:rFonts w:ascii="宋体" w:hAnsi="宋体" w:cs="宋体" w:hint="eastAsia"/>
          <w:b/>
          <w:color w:val="000000"/>
          <w:szCs w:val="21"/>
          <w:highlight w:val="none"/>
        </w:rPr>
        <w:t>3．技术要求</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3.1纯水机为台式组合机，水机自来水进水，包含纯水模块、超纯水模块，可生产一级超纯水，同时可以取纯水使用。</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3.2超纯水总有机碳TOC＜1µg/L，超纯水电阻率18.2MΩ・cm及以上。</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自来水进水情况下产出超纯水，需满足经电感耦合等离子体质谱仪检测的代表性元素分析数据（投标文件中提供官网技术资料截图或公开发行的技术彩页或产品说明书证明扫描件，证明技术参数均符合要求，否则视为负偏离，原件备查）：</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Na＜3ng/L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K＜3ng/L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Ca＜3ng/L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Mg＜3ng/L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Fe＜3ng/L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Cu＜3ng/L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Zn＜3ng/L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Cd＜3ng/L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Ni＜3ng/L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Pb＜3ng/L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Mn＜3ng/L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Al＜3ng/L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Cr＜3ng/L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Ti＜3ng/L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B＜20ng/L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3.4微生物＜0.01cfu/mL；内毒素＜0.1EU/mL。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3.5纯水机配备3处及以上紫外灯模块，水箱需配备254nm波长紫外灯，管路需配备185nm波长紫外灯，取水臂中需配备185nm波长紫外灯，用于消灭分解有机物。</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3.6水机有LED屏，触屏操控主机，屏幕显示水机产水状态、超纯水水质数据并可以把每分钟的水质数据至少保存两年，方便调整水机。</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3.7内置全氧化法TOC检测仪，可实时在线检测TOC，也可以设置定时检测，精度至少满足±1µg/L。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3.8管路监测系统，如有漏水就会报警自动停机。</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3.9至少满足有四种取水方式：主控屏幕控制取水，取水臂控制取水，脚踏开关控制取水（至少配备1个脚踏），水箱水口取水。</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3.10有自动定量取水功能，屏幕中选择取水量，会定量放出超纯水；单次取水量可以控制为1滴，也可以控制为多滴，或最大取水速度2L/min及以上取水。</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3.11超纯水自动净化循环系统，在不取水时，水箱中的水和管路中的水会在净化线路中循环过滤，会让水箱中的水质不断提升，也避免管路水不流动造成水质下降。</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3.12专用前处理滤芯，去除水中残留氯；反渗透模块去除供水中的离子、微粒、有机物等。</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3.13高效连续电除盐技术模块，高效去除离子。</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3.14两根及以上离子交换树脂滤芯去除水中离子（投标文件中提供官网资料截图证明或公开发行的技术彩页或产品说明书扫描件，证明有两根及以上离子交换树脂滤芯，否则视为负偏离，原件备查）。</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3.15两根及以上可再生树脂去离子交换纯化柱，用于除去超纯水中的离子，后端配有超纯水水质计用于监测去离子交换纯化柱模块功能情况（投标文件中提供官网资料截图或公开发行的技术彩页或产品说明书扫描件，证明有两根及以上去离子交换纯化柱和超纯水水质计，原件备查）。</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3.16超滤模块去除超纯水中微粒、活菌。</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3.17纯水每小时制造15L及以上，超纯水每小时制造10L及以上。</w:t>
      </w:r>
    </w:p>
    <w:p>
      <w:pPr>
        <w:spacing w:before="120" w:beforeLines="50" w:line="360" w:lineRule="auto"/>
        <w:ind w:left="420"/>
        <w:rPr>
          <w:rFonts w:ascii="宋体" w:hAnsi="宋体" w:cs="宋体" w:hint="eastAsia"/>
          <w:b/>
          <w:color w:val="000000"/>
          <w:szCs w:val="21"/>
          <w:highlight w:val="none"/>
        </w:rPr>
      </w:pPr>
      <w:r>
        <w:rPr>
          <w:rFonts w:ascii="宋体" w:hAnsi="宋体" w:cs="宋体" w:hint="eastAsia"/>
          <w:b/>
          <w:color w:val="000000"/>
          <w:szCs w:val="21"/>
          <w:highlight w:val="none"/>
        </w:rPr>
        <w:t>4.兼容性与后续成本</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后续成本主要为柱、膜等纯水机耗材维护，综合考虑选取耗材更换周期更长、过水量更大的设备，且水机耗材更换单价更低，以降低维护成本。如前处理纯化柱期望更换周期8000L-12000L，反渗透纯化柱更换周期8000L-12000L，离子交换树脂纯化柱期望更换周期8000L-12000L，去离子交换纯化柱期望更换周期8000L-12000L，超滤模块膜期望更换周期1年半-2年等。</w:t>
      </w:r>
    </w:p>
    <w:p>
      <w:pPr>
        <w:keepNext/>
        <w:keepLines/>
        <w:spacing w:before="120" w:beforeLines="50" w:after="120" w:afterLines="50"/>
        <w:jc w:val="center"/>
        <w:outlineLvl w:val="2"/>
        <w:rPr>
          <w:rFonts w:ascii="宋体" w:hAnsi="宋体" w:cs="宋体" w:hint="eastAsia"/>
          <w:b/>
          <w:bCs/>
          <w:color w:val="000000"/>
          <w:sz w:val="24"/>
          <w:highlight w:val="none"/>
          <w:shd w:val="clear" w:color="FFFFFF" w:fill="D9D9D9"/>
        </w:rPr>
      </w:pPr>
      <w:r>
        <w:rPr>
          <w:rFonts w:ascii="宋体" w:hAnsi="宋体" w:cs="宋体" w:hint="eastAsia"/>
          <w:b/>
          <w:bCs/>
          <w:color w:val="000000"/>
          <w:sz w:val="24"/>
          <w:highlight w:val="none"/>
          <w:shd w:val="clear" w:color="FFFFFF" w:fill="D9D9D9"/>
        </w:rPr>
        <w:t>纯水机（四）2套</w:t>
      </w:r>
    </w:p>
    <w:p>
      <w:pPr>
        <w:spacing w:before="120" w:beforeLines="50" w:line="360" w:lineRule="auto"/>
        <w:ind w:left="420"/>
        <w:rPr>
          <w:rFonts w:ascii="宋体" w:hAnsi="宋体" w:cs="宋体" w:hint="eastAsia"/>
          <w:b/>
          <w:color w:val="000000"/>
          <w:szCs w:val="21"/>
          <w:highlight w:val="none"/>
        </w:rPr>
      </w:pPr>
      <w:r>
        <w:rPr>
          <w:rFonts w:ascii="宋体" w:hAnsi="宋体" w:cs="宋体" w:hint="eastAsia"/>
          <w:b/>
          <w:color w:val="000000"/>
          <w:szCs w:val="21"/>
          <w:highlight w:val="none"/>
        </w:rPr>
        <w:t>1．用途</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纯水机是以自来水作为进水，在造水系统中通过活性炭滤芯去除残留氯，再通过反渗透模块去除90%以上的离子制造去离子水，并将去离子水存储于装置之中的水罐，然后在循环系统中通过UV氧化灯、超纯水去离子交换纯化柱滤芯、超滤膜进行处理制造超纯水的装置。</w:t>
      </w:r>
    </w:p>
    <w:p>
      <w:pPr>
        <w:spacing w:before="120" w:beforeLines="50" w:line="360" w:lineRule="auto"/>
        <w:ind w:left="420"/>
        <w:rPr>
          <w:rFonts w:ascii="宋体" w:hAnsi="宋体" w:cs="宋体" w:hint="eastAsia"/>
          <w:b/>
          <w:color w:val="000000"/>
          <w:szCs w:val="21"/>
          <w:highlight w:val="none"/>
        </w:rPr>
      </w:pPr>
      <w:r>
        <w:rPr>
          <w:rFonts w:ascii="宋体" w:hAnsi="宋体" w:cs="宋体" w:hint="eastAsia"/>
          <w:b/>
          <w:color w:val="000000"/>
          <w:szCs w:val="21"/>
          <w:highlight w:val="none"/>
        </w:rPr>
        <w:t>2．配置要求</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2.1 主机1台</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2.2 专用60L水箱 1台</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2.3 专用取水臂 1台</w:t>
      </w:r>
    </w:p>
    <w:p>
      <w:pPr>
        <w:spacing w:before="120" w:beforeLines="50" w:line="360" w:lineRule="auto"/>
        <w:ind w:left="420"/>
        <w:rPr>
          <w:rFonts w:ascii="宋体" w:hAnsi="宋体" w:cs="宋体" w:hint="eastAsia"/>
          <w:b/>
          <w:color w:val="000000"/>
          <w:szCs w:val="21"/>
          <w:highlight w:val="none"/>
        </w:rPr>
      </w:pPr>
      <w:r>
        <w:rPr>
          <w:rFonts w:ascii="宋体" w:hAnsi="宋体" w:cs="宋体" w:hint="eastAsia"/>
          <w:b/>
          <w:color w:val="000000"/>
          <w:szCs w:val="21"/>
          <w:highlight w:val="none"/>
        </w:rPr>
        <w:t>3．技术要求</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3.1纯水机为台式一体机，以自来水进水，生产一级超纯水，同时可以取纯水使用，外配60L及以上水箱。</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3.2超纯水总有机碳TOC≤3µg/L，超纯水电阻率：18.2MΩ・cm以上。</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3.3自来水进水情况下产出超纯水，需满足经电感耦合等离子体质谱仪检测的代表性元素分析数据（本条款所列下列全部元素的技术参数均符合要求，否则视为负偏离）：</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Na＜5ng/L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K＜5ng/L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Ca＜5ng/L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Mg＜5ng/L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Fe＜5ng/L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Cu＜5ng/L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Zn＜5ng/L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Cd＜5ng/L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Ni＜5ng/L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Pb＜5ng/L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Mn＜5ng/L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Al＜5ng/L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Cr＜5ng/L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Ti＜5ng/L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B＜20ng/L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3.4微生物＜0.01cfu/mL；内毒素＜0.1EU/mL。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3.5纯水机配备3处及以上紫外灯模块，水箱需配备254nm波长紫外灯，管路需配备185nm波长紫外灯，取水臂中需配备185nm波长紫外灯，用于消灭分解有机物。</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3.6水机有LED主控屏，屏幕显示水机产水状态、超纯水水质数据，触屏操控，方便调节水机。</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3.7管路监测系统，如有漏水就会报警自动停机。</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3.8至少满足有四种取水方式：主控屏幕控制取水，取水臂控制取水，脚踏开关控制取水（至少配备1个脚踏），水箱水口取水。</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3.9有自动定量取水功能，屏幕中选择取水量，会定量放出超纯水；单次取水量可以控制为1滴，也可以控制为多滴，或最大取水速度2L/min及以上取水。</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3.10超纯水自动净化循环系统，在不取水时，水箱中的水和管路中的水会在净化线路中循环过滤，会让水箱中的水质不断提升，也避免管路水不流动造成水质下降。</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3.11专用前处理滤芯，去除水中残留氯；反渗透模块去除供水中的离子、微粒、有机物等。</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3.12一根及以上去离子交换纯化柱滤芯用除去超纯水中的离子。</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3.13 超滤模块去除超纯水中微粒、活菌。</w:t>
      </w:r>
    </w:p>
    <w:p>
      <w:pPr>
        <w:adjustRightInd w:val="0"/>
        <w:snapToGrid w:val="0"/>
        <w:spacing w:line="360" w:lineRule="auto"/>
        <w:ind w:firstLine="420" w:firstLineChars="200"/>
        <w:rPr>
          <w:rFonts w:hint="eastAsia"/>
          <w:color w:val="000000"/>
          <w:sz w:val="24"/>
          <w:highlight w:val="none"/>
        </w:rPr>
      </w:pPr>
      <w:r>
        <w:rPr>
          <w:rFonts w:ascii="宋体" w:hAnsi="宋体" w:cs="宋体" w:hint="eastAsia"/>
          <w:color w:val="000000"/>
          <w:szCs w:val="21"/>
          <w:highlight w:val="none"/>
        </w:rPr>
        <w:t>3.14纯水每小时制造12L及以上，超纯水每小时制造8L及以上。</w:t>
      </w:r>
    </w:p>
    <w:p>
      <w:pPr>
        <w:spacing w:before="120" w:beforeLines="50" w:line="360" w:lineRule="auto"/>
        <w:ind w:left="420"/>
        <w:rPr>
          <w:rFonts w:ascii="宋体" w:hAnsi="宋体" w:cs="宋体" w:hint="eastAsia"/>
          <w:b/>
          <w:color w:val="000000"/>
          <w:szCs w:val="21"/>
          <w:highlight w:val="none"/>
        </w:rPr>
      </w:pPr>
      <w:r>
        <w:rPr>
          <w:rFonts w:ascii="宋体" w:hAnsi="宋体" w:cs="宋体" w:hint="eastAsia"/>
          <w:b/>
          <w:color w:val="000000"/>
          <w:szCs w:val="21"/>
          <w:highlight w:val="none"/>
        </w:rPr>
        <w:t>4.兼容性与后续成本</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后续成本主要为柱、膜等纯水机耗材维护，综合考虑选取耗材更换周期更长、过水量更大的设备，且水机耗材更换单价更低，以降低维护成本。如前处理纯化柱期望更换周期8000L-12000L，反渗透纯化柱更换周期8000L-12000L，去离子交换纯化柱期望更换周期8000L-12000L，超滤模块膜期望更换周期1年-1年半等。</w:t>
      </w:r>
    </w:p>
    <w:p>
      <w:pPr>
        <w:keepNext/>
        <w:keepLines/>
        <w:spacing w:before="120" w:beforeLines="50" w:after="120" w:afterLines="50"/>
        <w:jc w:val="center"/>
        <w:outlineLvl w:val="2"/>
        <w:rPr>
          <w:rFonts w:ascii="宋体" w:hAnsi="宋体" w:cs="宋体" w:hint="eastAsia"/>
          <w:b/>
          <w:bCs/>
          <w:color w:val="000000"/>
          <w:sz w:val="24"/>
          <w:highlight w:val="none"/>
          <w:shd w:val="clear" w:color="FFFFFF" w:fill="D9D9D9"/>
        </w:rPr>
      </w:pPr>
      <w:r>
        <w:rPr>
          <w:rFonts w:ascii="宋体" w:hAnsi="宋体" w:cs="宋体" w:hint="eastAsia"/>
          <w:b/>
          <w:bCs/>
          <w:color w:val="000000"/>
          <w:sz w:val="24"/>
          <w:highlight w:val="none"/>
          <w:shd w:val="clear" w:color="FFFFFF" w:fill="D9D9D9"/>
        </w:rPr>
        <w:t>纯水机（五）2套</w:t>
      </w:r>
    </w:p>
    <w:p>
      <w:pPr>
        <w:spacing w:before="120" w:beforeLines="50" w:line="360" w:lineRule="auto"/>
        <w:ind w:left="420"/>
        <w:rPr>
          <w:rFonts w:ascii="宋体" w:hAnsi="宋体" w:cs="宋体" w:hint="eastAsia"/>
          <w:b/>
          <w:color w:val="000000"/>
          <w:szCs w:val="21"/>
          <w:highlight w:val="none"/>
        </w:rPr>
      </w:pPr>
      <w:r>
        <w:rPr>
          <w:rFonts w:ascii="宋体" w:hAnsi="宋体" w:cs="宋体" w:hint="eastAsia"/>
          <w:b/>
          <w:color w:val="000000"/>
          <w:szCs w:val="21"/>
          <w:highlight w:val="none"/>
        </w:rPr>
        <w:t>1．用途</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纯水机是以自来水作为进水，通过活性炭过滤器除去残留氯，并通过反渗透模块除去90%以上的离子类等，最后通过滤芯纯水器进一步除去离子后得到纯水，纯水可用于实验室分析、水浴用水，高压灭菌锅用水以及超纯水系统的进水，或用来清洗玻璃器皿。</w:t>
      </w:r>
    </w:p>
    <w:p>
      <w:pPr>
        <w:spacing w:before="120" w:beforeLines="50" w:line="360" w:lineRule="auto"/>
        <w:ind w:left="420"/>
        <w:rPr>
          <w:rFonts w:ascii="宋体" w:hAnsi="宋体" w:cs="宋体" w:hint="eastAsia"/>
          <w:b/>
          <w:color w:val="000000"/>
          <w:szCs w:val="21"/>
          <w:highlight w:val="none"/>
        </w:rPr>
      </w:pPr>
      <w:r>
        <w:rPr>
          <w:rFonts w:ascii="宋体" w:hAnsi="宋体" w:cs="宋体" w:hint="eastAsia"/>
          <w:b/>
          <w:color w:val="000000"/>
          <w:szCs w:val="21"/>
          <w:highlight w:val="none"/>
        </w:rPr>
        <w:t>2．配置要求</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2.1 纯水机主机（含取水口、水箱） 1台</w:t>
      </w:r>
    </w:p>
    <w:p>
      <w:pPr>
        <w:spacing w:before="120" w:beforeLines="50" w:line="360" w:lineRule="auto"/>
        <w:ind w:left="420"/>
        <w:rPr>
          <w:rFonts w:ascii="宋体" w:hAnsi="宋体" w:cs="宋体" w:hint="eastAsia"/>
          <w:b/>
          <w:color w:val="000000"/>
          <w:szCs w:val="21"/>
          <w:highlight w:val="none"/>
        </w:rPr>
      </w:pPr>
      <w:r>
        <w:rPr>
          <w:rFonts w:ascii="宋体" w:hAnsi="宋体" w:cs="宋体" w:hint="eastAsia"/>
          <w:b/>
          <w:color w:val="000000"/>
          <w:szCs w:val="21"/>
          <w:highlight w:val="none"/>
        </w:rPr>
        <w:t>3．技术要求</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 水质：电导率1µS/cm以下。</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 净化柱采用可再生树脂净化水质，再生树脂可以再生，减少耗材成本。</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 每小时生产100L及以上纯水，每天最大生产纯水水量≥1500L。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3.4 LED显示屏，可触屏控制水机。</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3.5 纯水机内部20L及以上水箱。</w:t>
      </w:r>
    </w:p>
    <w:p>
      <w:pPr>
        <w:spacing w:before="120" w:beforeLines="50" w:line="360" w:lineRule="auto"/>
        <w:ind w:left="420"/>
        <w:rPr>
          <w:rFonts w:ascii="宋体" w:hAnsi="宋体" w:cs="宋体" w:hint="eastAsia"/>
          <w:b/>
          <w:color w:val="000000"/>
          <w:szCs w:val="21"/>
          <w:highlight w:val="none"/>
        </w:rPr>
      </w:pPr>
      <w:r>
        <w:rPr>
          <w:rFonts w:ascii="宋体" w:hAnsi="宋体" w:cs="宋体" w:hint="eastAsia"/>
          <w:b/>
          <w:color w:val="000000"/>
          <w:szCs w:val="21"/>
          <w:highlight w:val="none"/>
        </w:rPr>
        <w:t>4. 兼容性与后续成本</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后续成本主要为柱、膜等纯水机耗材维护，综合考虑选取耗材更换周期更长、过水量更大的设备，且水机耗材更换单价更低，以降低维护成本。如活性炭柱期望更换周期20000L-22000L，反渗透纯化柱更换周期2年，树脂模块期望更换周期10000L-12000L等。</w:t>
      </w:r>
    </w:p>
    <w:p>
      <w:pPr>
        <w:numPr>
          <w:ilvl w:val="0"/>
          <w:numId w:val="11"/>
        </w:numPr>
        <w:adjustRightInd w:val="0"/>
        <w:spacing w:before="120" w:beforeLines="50" w:after="120"/>
        <w:jc w:val="center"/>
        <w:textAlignment w:val="baseline"/>
        <w:outlineLvl w:val="1"/>
        <w:rPr>
          <w:rFonts w:ascii="宋体" w:hAnsi="宋体" w:cs="宋体"/>
          <w:b/>
          <w:bCs/>
          <w:color w:val="000000"/>
          <w:sz w:val="32"/>
          <w:szCs w:val="32"/>
          <w:highlight w:val="none"/>
          <w:shd w:val="clear" w:color="FFFFFF" w:fill="D9D9D9"/>
        </w:rPr>
      </w:pPr>
      <w:r>
        <w:rPr>
          <w:b/>
          <w:bCs/>
          <w:color w:val="000000"/>
          <w:sz w:val="30"/>
          <w:szCs w:val="30"/>
          <w:highlight w:val="none"/>
          <w:shd w:val="pct10" w:color="auto" w:fill="FFFFFF"/>
        </w:rPr>
        <w:t>商务</w:t>
      </w:r>
      <w:r>
        <w:rPr>
          <w:rFonts w:hint="eastAsia"/>
          <w:b/>
          <w:bCs/>
          <w:color w:val="000000"/>
          <w:sz w:val="30"/>
          <w:szCs w:val="30"/>
          <w:highlight w:val="none"/>
          <w:shd w:val="pct10" w:color="auto" w:fill="FFFFFF"/>
        </w:rPr>
        <w:t>部分</w:t>
      </w:r>
    </w:p>
    <w:p>
      <w:pPr>
        <w:numPr>
          <w:ilvl w:val="0"/>
          <w:numId w:val="12"/>
        </w:numPr>
        <w:autoSpaceDE w:val="0"/>
        <w:autoSpaceDN w:val="0"/>
        <w:adjustRightInd w:val="0"/>
        <w:spacing w:line="360" w:lineRule="auto"/>
        <w:rPr>
          <w:rFonts w:ascii="宋体" w:hAnsi="宋体" w:cs="宋体" w:hint="eastAsia"/>
          <w:b/>
          <w:color w:val="000000"/>
          <w:szCs w:val="21"/>
          <w:highlight w:val="none"/>
        </w:rPr>
      </w:pPr>
      <w:r>
        <w:rPr>
          <w:rFonts w:ascii="宋体" w:hAnsi="宋体" w:cs="宋体" w:hint="eastAsia"/>
          <w:b/>
          <w:bCs/>
          <w:color w:val="000000"/>
          <w:kern w:val="0"/>
          <w:szCs w:val="21"/>
          <w:highlight w:val="none"/>
          <w:lang w:val="zh-CN"/>
        </w:rPr>
        <w:t>★</w:t>
      </w:r>
      <w:r>
        <w:rPr>
          <w:rFonts w:ascii="宋体" w:hAnsi="宋体" w:cs="宋体" w:hint="eastAsia"/>
          <w:b/>
          <w:color w:val="000000"/>
          <w:szCs w:val="21"/>
          <w:highlight w:val="none"/>
        </w:rPr>
        <w:t>付款方式</w:t>
      </w:r>
    </w:p>
    <w:p>
      <w:pPr>
        <w:spacing w:line="360" w:lineRule="auto"/>
        <w:ind w:firstLine="368" w:firstLineChars="175"/>
        <w:rPr>
          <w:rFonts w:ascii="宋体" w:hAnsi="宋体" w:cs="宋体" w:hint="eastAsia"/>
          <w:b/>
          <w:bCs/>
          <w:color w:val="000000"/>
          <w:szCs w:val="21"/>
          <w:highlight w:val="none"/>
        </w:rPr>
      </w:pPr>
      <w:r>
        <w:rPr>
          <w:rFonts w:ascii="宋体" w:hAnsi="宋体" w:cs="宋体" w:hint="eastAsia"/>
          <w:b/>
          <w:bCs/>
          <w:color w:val="000000"/>
          <w:szCs w:val="21"/>
          <w:highlight w:val="none"/>
        </w:rPr>
        <w:t>1.国内合同：</w:t>
      </w:r>
    </w:p>
    <w:p>
      <w:pPr>
        <w:spacing w:line="360" w:lineRule="auto"/>
        <w:ind w:firstLine="368" w:firstLineChars="175"/>
        <w:rPr>
          <w:rFonts w:ascii="宋体" w:hAnsi="宋体" w:cs="宋体"/>
          <w:color w:val="000000"/>
          <w:szCs w:val="21"/>
          <w:highlight w:val="none"/>
          <w:lang w:val="zh-CN"/>
        </w:rPr>
      </w:pPr>
      <w:r>
        <w:rPr>
          <w:rFonts w:ascii="宋体" w:hAnsi="宋体" w:cs="宋体" w:hint="eastAsia"/>
          <w:color w:val="000000"/>
          <w:szCs w:val="21"/>
          <w:highlight w:val="none"/>
          <w:lang w:val="zh-CN"/>
        </w:rPr>
        <w:t>（1）合同签订前中标人需出具合同金额的5%履约保证金，</w:t>
      </w:r>
      <w:r>
        <w:rPr>
          <w:rFonts w:ascii="宋体" w:hAnsi="宋体" w:cs="宋体" w:hint="eastAsia"/>
          <w:color w:val="000000"/>
          <w:szCs w:val="21"/>
          <w:highlight w:val="none"/>
        </w:rPr>
        <w:t>中标人</w:t>
      </w:r>
      <w:r>
        <w:rPr>
          <w:rFonts w:ascii="宋体" w:hAnsi="宋体" w:cs="宋体" w:hint="eastAsia"/>
          <w:color w:val="000000"/>
          <w:szCs w:val="21"/>
          <w:highlight w:val="none"/>
          <w:lang w:val="zh-CN"/>
        </w:rPr>
        <w:t>以保函形式缴纳或提交。履约保证金在中标人履行完成合同约定权利义务事项在合同期满之日起 30 日内按原方式退还，不计利息。</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w:t>
      </w:r>
      <w:r>
        <w:rPr>
          <w:rFonts w:ascii="宋体" w:hAnsi="宋体" w:cs="宋体"/>
          <w:color w:val="000000"/>
          <w:szCs w:val="21"/>
          <w:highlight w:val="none"/>
          <w:lang w:val="zh-CN"/>
        </w:rPr>
        <w:t>2</w:t>
      </w:r>
      <w:r>
        <w:rPr>
          <w:rFonts w:ascii="宋体" w:hAnsi="宋体" w:cs="宋体" w:hint="eastAsia"/>
          <w:color w:val="000000"/>
          <w:szCs w:val="21"/>
          <w:highlight w:val="none"/>
          <w:lang w:val="zh-CN"/>
        </w:rPr>
        <w:t>）合同生效后，采购人在15日内，向中标人支付合同价款的65%，作为预付款；</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w:t>
      </w:r>
      <w:r>
        <w:rPr>
          <w:rFonts w:ascii="宋体" w:hAnsi="宋体" w:cs="宋体"/>
          <w:color w:val="000000"/>
          <w:szCs w:val="21"/>
          <w:highlight w:val="none"/>
          <w:lang w:val="zh-CN"/>
        </w:rPr>
        <w:t>3</w:t>
      </w:r>
      <w:r>
        <w:rPr>
          <w:rFonts w:ascii="宋体" w:hAnsi="宋体" w:cs="宋体" w:hint="eastAsia"/>
          <w:color w:val="000000"/>
          <w:szCs w:val="21"/>
          <w:highlight w:val="none"/>
          <w:lang w:val="zh-CN"/>
        </w:rPr>
        <w:t>）中标人按照合同约定交付全部合同货物，完成安装、调试并经采购人验收合格后，采购人在收到中标人提交的下列全部单据并经审核无误后15日内，向中标人支付合同价款的35%。</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① 中标人出具的交货清单原件一份；</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② 采购人签署的收货清单复印件一份；</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③ 货物验收记录复印件一份；</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④ 制造商出具的出厂质量合格证原件一份；</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⑤ 增值税（专用/普通）发票原件一份。</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w:t>
      </w:r>
      <w:r>
        <w:rPr>
          <w:rFonts w:ascii="宋体" w:hAnsi="宋体" w:cs="宋体"/>
          <w:color w:val="000000"/>
          <w:szCs w:val="21"/>
          <w:highlight w:val="none"/>
          <w:lang w:val="zh-CN"/>
        </w:rPr>
        <w:t>4</w:t>
      </w:r>
      <w:r>
        <w:rPr>
          <w:rFonts w:ascii="宋体" w:hAnsi="宋体" w:cs="宋体" w:hint="eastAsia"/>
          <w:color w:val="000000"/>
          <w:szCs w:val="21"/>
          <w:highlight w:val="none"/>
          <w:lang w:val="zh-CN"/>
        </w:rPr>
        <w:t>）质量保证期自验收合格之日起计。</w:t>
      </w:r>
    </w:p>
    <w:p>
      <w:pPr>
        <w:spacing w:line="360" w:lineRule="auto"/>
        <w:ind w:firstLine="368" w:firstLineChars="175"/>
        <w:rPr>
          <w:rFonts w:ascii="宋体" w:hAnsi="宋体" w:cs="宋体" w:hint="eastAsia"/>
          <w:b/>
          <w:bCs/>
          <w:color w:val="000000"/>
          <w:szCs w:val="21"/>
          <w:highlight w:val="none"/>
          <w:lang w:val="zh-CN"/>
        </w:rPr>
      </w:pPr>
      <w:r>
        <w:rPr>
          <w:rFonts w:ascii="宋体" w:hAnsi="宋体" w:cs="宋体" w:hint="eastAsia"/>
          <w:b/>
          <w:bCs/>
          <w:color w:val="000000"/>
          <w:szCs w:val="21"/>
          <w:highlight w:val="none"/>
        </w:rPr>
        <w:t>2.</w:t>
      </w:r>
      <w:r>
        <w:rPr>
          <w:rFonts w:ascii="宋体" w:hAnsi="宋体" w:cs="宋体" w:hint="eastAsia"/>
          <w:b/>
          <w:bCs/>
          <w:color w:val="000000"/>
          <w:szCs w:val="21"/>
          <w:highlight w:val="none"/>
          <w:lang w:val="zh-CN"/>
        </w:rPr>
        <w:t>进口（外贸）合同：</w:t>
      </w:r>
    </w:p>
    <w:p>
      <w:pPr>
        <w:spacing w:line="360" w:lineRule="auto"/>
        <w:ind w:firstLine="368" w:firstLineChars="175"/>
        <w:rPr>
          <w:rFonts w:ascii="宋体" w:hAnsi="宋体" w:cs="宋体" w:hint="eastAsia"/>
          <w:color w:val="000000"/>
          <w:szCs w:val="21"/>
          <w:highlight w:val="none"/>
        </w:rPr>
      </w:pPr>
      <w:r>
        <w:rPr>
          <w:rFonts w:ascii="宋体" w:hAnsi="宋体" w:cs="宋体" w:hint="eastAsia"/>
          <w:color w:val="000000"/>
          <w:szCs w:val="21"/>
          <w:highlight w:val="none"/>
        </w:rPr>
        <w:t>货款支付上限为：中标/成交人民币价格。</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rPr>
        <w:t>信用证付款</w:t>
      </w:r>
    </w:p>
    <w:p>
      <w:pPr>
        <w:spacing w:line="360" w:lineRule="auto"/>
        <w:ind w:firstLine="368" w:firstLineChars="175"/>
        <w:rPr>
          <w:rFonts w:ascii="宋体" w:hAnsi="宋体" w:cs="宋体"/>
          <w:color w:val="000000"/>
          <w:szCs w:val="21"/>
          <w:highlight w:val="none"/>
          <w:lang w:val="zh-CN"/>
        </w:rPr>
      </w:pPr>
      <w:r>
        <w:rPr>
          <w:rFonts w:ascii="宋体" w:hAnsi="宋体" w:cs="宋体" w:hint="eastAsia"/>
          <w:color w:val="000000"/>
          <w:szCs w:val="21"/>
          <w:highlight w:val="none"/>
          <w:lang w:val="zh-CN"/>
        </w:rPr>
        <w:t>（1）合同签订前中标人需出具合同金额的5 %履约保证金，</w:t>
      </w:r>
      <w:r>
        <w:rPr>
          <w:rFonts w:ascii="宋体" w:hAnsi="宋体" w:cs="宋体" w:hint="eastAsia"/>
          <w:color w:val="000000"/>
          <w:szCs w:val="21"/>
          <w:highlight w:val="none"/>
        </w:rPr>
        <w:t>中标人</w:t>
      </w:r>
      <w:r>
        <w:rPr>
          <w:rFonts w:ascii="宋体" w:hAnsi="宋体" w:cs="宋体" w:hint="eastAsia"/>
          <w:color w:val="000000"/>
          <w:szCs w:val="21"/>
          <w:highlight w:val="none"/>
          <w:lang w:val="zh-CN"/>
        </w:rPr>
        <w:t>以保函形式缴纳或提交。履约保证金在中标人履行完成合同约定权利义务事项在合同期满之日起 30 日内按原方式退还，不计利息。</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w:t>
      </w:r>
      <w:r>
        <w:rPr>
          <w:rFonts w:ascii="宋体" w:hAnsi="宋体" w:cs="宋体"/>
          <w:color w:val="000000"/>
          <w:szCs w:val="21"/>
          <w:highlight w:val="none"/>
          <w:lang w:val="zh-CN"/>
        </w:rPr>
        <w:t>2</w:t>
      </w:r>
      <w:r>
        <w:rPr>
          <w:rFonts w:ascii="宋体" w:hAnsi="宋体" w:cs="宋体" w:hint="eastAsia"/>
          <w:color w:val="000000"/>
          <w:szCs w:val="21"/>
          <w:highlight w:val="none"/>
          <w:lang w:val="zh-CN"/>
        </w:rPr>
        <w:t>）签</w:t>
      </w:r>
      <w:r>
        <w:rPr>
          <w:rFonts w:ascii="宋体" w:hAnsi="宋体" w:cs="宋体" w:hint="eastAsia"/>
          <w:color w:val="000000"/>
          <w:szCs w:val="21"/>
          <w:highlight w:val="none"/>
        </w:rPr>
        <w:t>订</w:t>
      </w:r>
      <w:r>
        <w:rPr>
          <w:rFonts w:ascii="宋体" w:hAnsi="宋体" w:cs="宋体" w:hint="eastAsia"/>
          <w:color w:val="000000"/>
          <w:szCs w:val="21"/>
          <w:highlight w:val="none"/>
          <w:lang w:val="zh-CN"/>
        </w:rPr>
        <w:t>外贸合同后，买方代理收到买方65%货款后，买方代理对外开具合同总额的65 %不可撤销信用证给卖方；</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w:t>
      </w:r>
      <w:r>
        <w:rPr>
          <w:rFonts w:ascii="宋体" w:hAnsi="宋体" w:cs="宋体"/>
          <w:color w:val="000000"/>
          <w:szCs w:val="21"/>
          <w:highlight w:val="none"/>
          <w:lang w:val="zh-CN"/>
        </w:rPr>
        <w:t>3</w:t>
      </w:r>
      <w:r>
        <w:rPr>
          <w:rFonts w:ascii="宋体" w:hAnsi="宋体" w:cs="宋体" w:hint="eastAsia"/>
          <w:color w:val="000000"/>
          <w:szCs w:val="21"/>
          <w:highlight w:val="none"/>
          <w:lang w:val="zh-CN"/>
        </w:rPr>
        <w:t>）货到验收合格后，买方代理收到买方35%货款后，买方代理电汇支付35%货款给卖方（合同执行期间产生的外币汇率损失由卖方承担）。</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w:t>
      </w:r>
      <w:r>
        <w:rPr>
          <w:rFonts w:ascii="宋体" w:hAnsi="宋体" w:cs="宋体"/>
          <w:color w:val="000000"/>
          <w:szCs w:val="21"/>
          <w:highlight w:val="none"/>
          <w:lang w:val="zh-CN"/>
        </w:rPr>
        <w:t>4</w:t>
      </w:r>
      <w:r>
        <w:rPr>
          <w:rFonts w:ascii="宋体" w:hAnsi="宋体" w:cs="宋体" w:hint="eastAsia"/>
          <w:color w:val="000000"/>
          <w:szCs w:val="21"/>
          <w:highlight w:val="none"/>
          <w:lang w:val="zh-CN"/>
        </w:rPr>
        <w:t>）质量保证期自验收合格之日起计。</w:t>
      </w:r>
    </w:p>
    <w:p>
      <w:pPr>
        <w:spacing w:line="360" w:lineRule="auto"/>
        <w:ind w:firstLine="368" w:firstLineChars="175"/>
        <w:rPr>
          <w:rFonts w:ascii="宋体" w:hAnsi="宋体" w:cs="宋体" w:hint="eastAsia"/>
          <w:color w:val="000000"/>
          <w:szCs w:val="21"/>
          <w:highlight w:val="none"/>
        </w:rPr>
      </w:pPr>
      <w:r>
        <w:rPr>
          <w:rFonts w:ascii="宋体" w:hAnsi="宋体" w:cs="宋体" w:hint="eastAsia"/>
          <w:color w:val="000000"/>
          <w:szCs w:val="21"/>
          <w:highlight w:val="none"/>
          <w:lang w:val="zh-CN"/>
        </w:rPr>
        <w:t>所有付款计划均以政府财政部门划拨款项时间为准，采购人不承担因财政审批或拨款延迟造成延迟付款的违约责任</w:t>
      </w:r>
      <w:r>
        <w:rPr>
          <w:rFonts w:ascii="宋体" w:hAnsi="宋体" w:cs="宋体" w:hint="eastAsia"/>
          <w:color w:val="000000"/>
          <w:szCs w:val="21"/>
          <w:highlight w:val="none"/>
        </w:rPr>
        <w:t>。</w:t>
      </w:r>
    </w:p>
    <w:p>
      <w:pPr>
        <w:spacing w:line="360" w:lineRule="auto"/>
        <w:ind w:firstLine="368" w:firstLineChars="175"/>
        <w:rPr>
          <w:rFonts w:ascii="宋体" w:hAnsi="宋体" w:cs="宋体" w:hint="eastAsia"/>
          <w:color w:val="000000"/>
          <w:szCs w:val="21"/>
          <w:highlight w:val="none"/>
        </w:rPr>
      </w:pPr>
      <w:r>
        <w:rPr>
          <w:rFonts w:ascii="宋体" w:hAnsi="宋体" w:cs="宋体" w:hint="eastAsia"/>
          <w:color w:val="000000"/>
          <w:szCs w:val="21"/>
          <w:highlight w:val="none"/>
        </w:rPr>
        <w:t>（</w:t>
      </w:r>
      <w:r>
        <w:rPr>
          <w:rFonts w:ascii="宋体" w:hAnsi="宋体" w:cs="宋体"/>
          <w:color w:val="000000"/>
          <w:szCs w:val="21"/>
          <w:highlight w:val="none"/>
        </w:rPr>
        <w:t>5</w:t>
      </w:r>
      <w:r>
        <w:rPr>
          <w:rFonts w:ascii="宋体" w:hAnsi="宋体" w:cs="宋体" w:hint="eastAsia"/>
          <w:color w:val="000000"/>
          <w:szCs w:val="21"/>
          <w:highlight w:val="none"/>
        </w:rPr>
        <w:t>）如果采用外币结算，汇率取开标日中国人民银行公布的汇率中间价。</w:t>
      </w:r>
    </w:p>
    <w:p>
      <w:pPr>
        <w:numPr>
          <w:ilvl w:val="0"/>
          <w:numId w:val="12"/>
        </w:numPr>
        <w:autoSpaceDE w:val="0"/>
        <w:autoSpaceDN w:val="0"/>
        <w:adjustRightInd w:val="0"/>
        <w:spacing w:line="360" w:lineRule="auto"/>
        <w:rPr>
          <w:rFonts w:ascii="宋体" w:hAnsi="宋体" w:cs="宋体" w:hint="eastAsia"/>
          <w:b/>
          <w:color w:val="000000"/>
          <w:szCs w:val="21"/>
          <w:highlight w:val="none"/>
          <w:lang w:val="zh-CN"/>
        </w:rPr>
      </w:pPr>
      <w:r>
        <w:rPr>
          <w:rFonts w:ascii="宋体" w:hAnsi="宋体" w:cs="宋体" w:hint="eastAsia"/>
          <w:b/>
          <w:color w:val="000000"/>
          <w:szCs w:val="21"/>
          <w:highlight w:val="none"/>
          <w:lang w:val="zh-CN"/>
        </w:rPr>
        <w:t>关于交货</w:t>
      </w:r>
    </w:p>
    <w:p>
      <w:pPr>
        <w:spacing w:line="360" w:lineRule="auto"/>
        <w:ind w:firstLine="368" w:firstLineChars="175"/>
        <w:rPr>
          <w:rFonts w:ascii="宋体" w:hAnsi="宋体" w:cs="宋体" w:hint="eastAsia"/>
          <w:bCs/>
          <w:color w:val="000000"/>
          <w:szCs w:val="21"/>
          <w:highlight w:val="none"/>
          <w:lang w:val="zh-CN"/>
        </w:rPr>
      </w:pPr>
      <w:r>
        <w:rPr>
          <w:rFonts w:ascii="宋体" w:hAnsi="宋体" w:cs="宋体" w:hint="eastAsia"/>
          <w:b/>
          <w:color w:val="000000"/>
          <w:szCs w:val="21"/>
          <w:highlight w:val="none"/>
          <w:lang w:val="zh-CN"/>
        </w:rPr>
        <w:t>★1</w:t>
      </w:r>
      <w:r>
        <w:rPr>
          <w:rFonts w:ascii="宋体" w:hAnsi="宋体" w:cs="宋体"/>
          <w:b/>
          <w:color w:val="000000"/>
          <w:szCs w:val="21"/>
          <w:highlight w:val="none"/>
          <w:lang w:val="zh-CN"/>
        </w:rPr>
        <w:t>.</w:t>
      </w:r>
      <w:r>
        <w:rPr>
          <w:rFonts w:ascii="宋体" w:hAnsi="宋体" w:cs="宋体" w:hint="eastAsia"/>
          <w:color w:val="000000"/>
          <w:szCs w:val="21"/>
          <w:highlight w:val="none"/>
        </w:rPr>
        <w:t>交货时间：合同签订后180个日历日内</w:t>
      </w:r>
      <w:r>
        <w:rPr>
          <w:rFonts w:ascii="宋体" w:hAnsi="宋体" w:cs="宋体" w:hint="eastAsia"/>
          <w:bCs/>
          <w:color w:val="000000"/>
          <w:szCs w:val="21"/>
          <w:highlight w:val="none"/>
          <w:lang w:val="zh-CN"/>
        </w:rPr>
        <w:t>。</w:t>
      </w:r>
    </w:p>
    <w:p>
      <w:pPr>
        <w:spacing w:line="360" w:lineRule="auto"/>
        <w:ind w:firstLine="368" w:firstLineChars="175"/>
        <w:rPr>
          <w:rFonts w:ascii="宋体" w:hAnsi="宋体" w:cs="宋体" w:hint="eastAsia"/>
          <w:bCs/>
          <w:color w:val="000000"/>
          <w:szCs w:val="21"/>
          <w:highlight w:val="none"/>
        </w:rPr>
      </w:pPr>
      <w:r>
        <w:rPr>
          <w:rFonts w:ascii="宋体" w:hAnsi="宋体" w:cs="宋体"/>
          <w:bCs/>
          <w:color w:val="000000"/>
          <w:szCs w:val="21"/>
          <w:highlight w:val="none"/>
        </w:rPr>
        <w:t>2.</w:t>
      </w:r>
      <w:r>
        <w:rPr>
          <w:rFonts w:ascii="宋体" w:hAnsi="宋体" w:cs="宋体" w:hint="eastAsia"/>
          <w:bCs/>
          <w:color w:val="000000"/>
          <w:szCs w:val="21"/>
          <w:highlight w:val="none"/>
        </w:rPr>
        <w:t>交货地点：</w:t>
      </w:r>
      <w:r>
        <w:rPr>
          <w:rFonts w:ascii="宋体" w:hAnsi="宋体" w:cs="宋体" w:hint="eastAsia"/>
          <w:color w:val="000000"/>
          <w:szCs w:val="21"/>
          <w:highlight w:val="none"/>
          <w:lang w:val="de-DE"/>
        </w:rPr>
        <w:t>清华大学深圳国际研究生院用户指定地点</w:t>
      </w:r>
      <w:r>
        <w:rPr>
          <w:rFonts w:ascii="宋体" w:hAnsi="宋体" w:cs="宋体" w:hint="eastAsia"/>
          <w:color w:val="000000"/>
          <w:szCs w:val="21"/>
          <w:highlight w:val="none"/>
          <w:lang w:val="zh-CN"/>
        </w:rPr>
        <w:t>。</w:t>
      </w:r>
    </w:p>
    <w:p>
      <w:pPr>
        <w:spacing w:line="360" w:lineRule="auto"/>
        <w:ind w:firstLine="368" w:firstLineChars="175"/>
        <w:rPr>
          <w:rFonts w:ascii="宋体" w:hAnsi="宋体" w:cs="宋体" w:hint="eastAsia"/>
          <w:bCs/>
          <w:color w:val="000000"/>
          <w:szCs w:val="21"/>
          <w:highlight w:val="none"/>
          <w:lang w:val="zh-CN"/>
        </w:rPr>
      </w:pPr>
      <w:r>
        <w:rPr>
          <w:rFonts w:ascii="宋体" w:hAnsi="宋体" w:cs="宋体"/>
          <w:bCs/>
          <w:color w:val="000000"/>
          <w:szCs w:val="21"/>
          <w:highlight w:val="none"/>
        </w:rPr>
        <w:t>3.</w:t>
      </w:r>
      <w:r>
        <w:rPr>
          <w:rFonts w:hint="eastAsia"/>
          <w:color w:val="000000"/>
          <w:highlight w:val="none"/>
        </w:rPr>
        <w:t>投标人需承担的设备运输、安装调试、验收检测和提供设备操作说明书、图纸等其他类似的义务。</w:t>
      </w:r>
    </w:p>
    <w:p>
      <w:pPr>
        <w:numPr>
          <w:ilvl w:val="0"/>
          <w:numId w:val="12"/>
        </w:numPr>
        <w:autoSpaceDE w:val="0"/>
        <w:autoSpaceDN w:val="0"/>
        <w:adjustRightInd w:val="0"/>
        <w:spacing w:line="360" w:lineRule="auto"/>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关于验收</w:t>
      </w:r>
    </w:p>
    <w:p>
      <w:pPr>
        <w:spacing w:line="360" w:lineRule="auto"/>
        <w:ind w:firstLine="368" w:firstLineChars="175"/>
        <w:rPr>
          <w:rFonts w:ascii="宋体" w:hAnsi="宋体" w:cs="宋体" w:hint="eastAsia"/>
          <w:color w:val="000000"/>
          <w:szCs w:val="21"/>
          <w:highlight w:val="none"/>
          <w:lang w:val="zh-CN"/>
        </w:rPr>
      </w:pPr>
      <w:r>
        <w:rPr>
          <w:rFonts w:ascii="宋体" w:hAnsi="宋体" w:cs="宋体"/>
          <w:color w:val="000000"/>
          <w:szCs w:val="21"/>
          <w:highlight w:val="none"/>
        </w:rPr>
        <w:t>1.</w:t>
      </w:r>
      <w:r>
        <w:rPr>
          <w:rFonts w:ascii="宋体" w:hAnsi="宋体" w:cs="宋体" w:hint="eastAsia"/>
          <w:color w:val="000000"/>
          <w:szCs w:val="21"/>
          <w:highlight w:val="none"/>
          <w:lang w:val="zh-CN"/>
        </w:rPr>
        <w:t>投标人货物经过双方检验认可后，签署验收报告，产品保修期自验收合格之日起算，由投标人提供产品保修文件。</w:t>
      </w:r>
    </w:p>
    <w:p>
      <w:pPr>
        <w:spacing w:line="360" w:lineRule="auto"/>
        <w:ind w:firstLine="368" w:firstLineChars="175"/>
        <w:rPr>
          <w:rFonts w:ascii="宋体" w:hAnsi="宋体" w:cs="宋体" w:hint="eastAsia"/>
          <w:color w:val="000000"/>
          <w:szCs w:val="21"/>
          <w:highlight w:val="none"/>
          <w:lang w:val="zh-CN"/>
        </w:rPr>
      </w:pPr>
      <w:r>
        <w:rPr>
          <w:rFonts w:ascii="宋体" w:hAnsi="宋体" w:cs="宋体"/>
          <w:color w:val="000000"/>
          <w:szCs w:val="21"/>
          <w:highlight w:val="none"/>
          <w:lang w:val="zh-CN"/>
        </w:rPr>
        <w:t>2.</w:t>
      </w:r>
      <w:r>
        <w:rPr>
          <w:rFonts w:ascii="宋体" w:hAnsi="宋体" w:cs="宋体" w:hint="eastAsia"/>
          <w:color w:val="000000"/>
          <w:szCs w:val="21"/>
          <w:highlight w:val="none"/>
          <w:lang w:val="zh-CN"/>
        </w:rPr>
        <w:t>当满足以下条件时，采购人才向中标人签发货物验收报告：</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a、中标人已按照合同规定提供了全部产品及完整的技术资料。</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b、货物符合招标文件技术规格书的要求，性能满足要求。</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c、货物具备产品合格证。</w:t>
      </w:r>
    </w:p>
    <w:p>
      <w:pPr>
        <w:numPr>
          <w:ilvl w:val="0"/>
          <w:numId w:val="12"/>
        </w:numPr>
        <w:autoSpaceDE w:val="0"/>
        <w:autoSpaceDN w:val="0"/>
        <w:adjustRightInd w:val="0"/>
        <w:spacing w:line="360" w:lineRule="auto"/>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售后服务</w:t>
      </w:r>
    </w:p>
    <w:p>
      <w:pPr>
        <w:spacing w:line="360" w:lineRule="auto"/>
        <w:ind w:firstLine="368" w:firstLineChars="175"/>
        <w:rPr>
          <w:rFonts w:ascii="宋体" w:hAnsi="宋体" w:cs="宋体" w:hint="eastAsia"/>
          <w:b/>
          <w:bCs/>
          <w:color w:val="000000"/>
          <w:szCs w:val="21"/>
          <w:highlight w:val="none"/>
          <w:lang w:val="zh-CN"/>
        </w:rPr>
      </w:pPr>
      <w:r>
        <w:rPr>
          <w:rFonts w:ascii="宋体" w:hAnsi="宋体" w:cs="宋体" w:hint="eastAsia"/>
          <w:b/>
          <w:bCs/>
          <w:color w:val="000000"/>
          <w:szCs w:val="21"/>
          <w:highlight w:val="none"/>
          <w:lang w:val="zh-CN"/>
        </w:rPr>
        <w:t>免费保修期内售后服务要求：</w:t>
      </w:r>
    </w:p>
    <w:p>
      <w:pPr>
        <w:spacing w:line="360" w:lineRule="auto"/>
        <w:ind w:firstLine="368" w:firstLineChars="175"/>
        <w:rPr>
          <w:rFonts w:ascii="宋体" w:hAnsi="宋体" w:cs="宋体" w:hint="eastAsia"/>
          <w:b/>
          <w:bCs/>
          <w:color w:val="000000"/>
          <w:szCs w:val="21"/>
          <w:highlight w:val="none"/>
          <w:lang w:val="zh-CN"/>
        </w:rPr>
      </w:pPr>
      <w:r>
        <w:rPr>
          <w:rFonts w:ascii="宋体" w:hAnsi="宋体" w:cs="宋体" w:hint="eastAsia"/>
          <w:b/>
          <w:bCs/>
          <w:color w:val="000000"/>
          <w:szCs w:val="21"/>
          <w:highlight w:val="none"/>
          <w:lang w:val="zh-CN"/>
        </w:rPr>
        <w:t>★1.合同货物整体质量保证期为验收合格之日起12个月。如果对本项目货物中关键部件的质量保证期有特殊要求的，双方可以在</w:t>
      </w:r>
      <w:r>
        <w:rPr>
          <w:rFonts w:ascii="宋体" w:hAnsi="宋体" w:cs="宋体" w:hint="eastAsia"/>
          <w:b/>
          <w:bCs/>
          <w:color w:val="000000"/>
          <w:szCs w:val="21"/>
          <w:highlight w:val="none"/>
        </w:rPr>
        <w:t>合同</w:t>
      </w:r>
      <w:r>
        <w:rPr>
          <w:rFonts w:ascii="宋体" w:hAnsi="宋体" w:cs="宋体" w:hint="eastAsia"/>
          <w:b/>
          <w:bCs/>
          <w:color w:val="000000"/>
          <w:szCs w:val="21"/>
          <w:highlight w:val="none"/>
          <w:lang w:val="zh-CN"/>
        </w:rPr>
        <w:t>补充条款中约定。</w:t>
      </w:r>
    </w:p>
    <w:p>
      <w:pPr>
        <w:spacing w:line="360" w:lineRule="auto"/>
        <w:ind w:firstLine="368" w:firstLineChars="175"/>
        <w:rPr>
          <w:rFonts w:ascii="宋体" w:hAnsi="宋体" w:cs="宋体" w:hint="eastAsia"/>
          <w:color w:val="000000"/>
          <w:szCs w:val="21"/>
          <w:highlight w:val="none"/>
          <w:lang w:val="zh-CN"/>
        </w:rPr>
      </w:pPr>
      <w:bookmarkStart w:id="26" w:name="_Hlk96337424"/>
      <w:r>
        <w:rPr>
          <w:rFonts w:ascii="宋体" w:hAnsi="宋体" w:cs="宋体" w:hint="eastAsia"/>
          <w:color w:val="000000"/>
          <w:szCs w:val="21"/>
          <w:highlight w:val="none"/>
          <w:lang w:val="zh-CN"/>
        </w:rPr>
        <w:t>2.免费提供原厂技术人员对采购人的操作技术培训和相关技术资料。培训时间不少于5天。</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3.中标人应为质量保证期服务配备充足的技术人员、工具和备件并保证提供的联系方式畅通。中标人应在收到采购人通知后4小时内作出响应，如需中标人到合同货物现场，中标人应在收到采购人通知后72小时内到达，并在到达后7日内解决合同货物的故障（重大故障除外）。如果中标人未在上述时间内作出响应，则采购人有权自行或委托他人解决相关问题或查找和解决合同货物的故障，中标人应承担由此发生的全部费用。</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4.中标人在质量保证期内应对设备进行定期巡检。</w:t>
      </w:r>
      <w:bookmarkEnd w:id="26"/>
    </w:p>
    <w:p>
      <w:pPr>
        <w:spacing w:line="360" w:lineRule="auto"/>
        <w:ind w:firstLine="368" w:firstLineChars="175"/>
        <w:rPr>
          <w:rFonts w:ascii="宋体" w:hAnsi="宋体" w:cs="宋体" w:hint="eastAsia"/>
          <w:b/>
          <w:bCs/>
          <w:color w:val="000000"/>
          <w:szCs w:val="21"/>
          <w:highlight w:val="none"/>
          <w:lang w:val="zh-CN"/>
        </w:rPr>
      </w:pPr>
      <w:r>
        <w:rPr>
          <w:rFonts w:ascii="宋体" w:hAnsi="宋体" w:cs="宋体" w:hint="eastAsia"/>
          <w:b/>
          <w:bCs/>
          <w:color w:val="000000"/>
          <w:szCs w:val="21"/>
          <w:highlight w:val="none"/>
          <w:lang w:val="zh-CN"/>
        </w:rPr>
        <w:t>免费保修期外售后服务要求：</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rPr>
        <w:t>1.</w:t>
      </w:r>
      <w:r>
        <w:rPr>
          <w:rFonts w:ascii="宋体" w:hAnsi="宋体" w:cs="宋体" w:hint="eastAsia"/>
          <w:color w:val="000000"/>
          <w:szCs w:val="21"/>
          <w:highlight w:val="none"/>
          <w:lang w:val="zh-CN"/>
        </w:rPr>
        <w:t>软件更新：设备主体不升级情况下，确保所提供的软件可随设备终身免费有效使用。</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rPr>
        <w:t>2.</w:t>
      </w:r>
      <w:r>
        <w:rPr>
          <w:rFonts w:ascii="宋体" w:hAnsi="宋体" w:cs="宋体" w:hint="eastAsia"/>
          <w:color w:val="000000"/>
          <w:szCs w:val="21"/>
          <w:highlight w:val="none"/>
          <w:lang w:val="zh-CN"/>
        </w:rPr>
        <w:t>整机承保及费用：需对所提供的设备终身承保，延保费用不高于同期同类型设备维修或维护的市场价格。</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rPr>
        <w:t>3.</w:t>
      </w:r>
      <w:r>
        <w:rPr>
          <w:rFonts w:ascii="宋体" w:hAnsi="宋体" w:cs="宋体" w:hint="eastAsia"/>
          <w:color w:val="000000"/>
          <w:szCs w:val="21"/>
          <w:highlight w:val="none"/>
          <w:lang w:val="zh-CN"/>
        </w:rPr>
        <w:t>年度巡检：中标人厂家工程师每年两次上门回访主动维护设备、使用培训。</w:t>
      </w:r>
    </w:p>
    <w:p>
      <w:pPr>
        <w:spacing w:line="360" w:lineRule="auto"/>
        <w:ind w:firstLine="368" w:firstLineChars="175"/>
        <w:rPr>
          <w:rFonts w:ascii="宋体" w:hAnsi="宋体" w:cs="宋体" w:hint="eastAsia"/>
          <w:color w:val="000000"/>
          <w:szCs w:val="21"/>
          <w:highlight w:val="none"/>
        </w:rPr>
      </w:pPr>
      <w:r>
        <w:rPr>
          <w:rFonts w:ascii="宋体" w:hAnsi="宋体" w:cs="宋体" w:hint="eastAsia"/>
          <w:color w:val="000000"/>
          <w:szCs w:val="21"/>
          <w:highlight w:val="none"/>
        </w:rPr>
        <w:t>4.</w:t>
      </w:r>
      <w:r>
        <w:rPr>
          <w:rFonts w:ascii="宋体" w:hAnsi="宋体" w:cs="宋体" w:hint="eastAsia"/>
          <w:color w:val="000000"/>
          <w:szCs w:val="21"/>
          <w:highlight w:val="none"/>
          <w:lang w:val="zh-CN"/>
        </w:rPr>
        <w:t>质保期外设备维修：仍按照质保期内约定的响应时间进行响应，设备维修、耗材更换费用不高于设备配置清单中配件、耗材的价格。</w:t>
      </w:r>
    </w:p>
    <w:p>
      <w:pPr>
        <w:numPr>
          <w:ilvl w:val="0"/>
          <w:numId w:val="12"/>
        </w:numPr>
        <w:autoSpaceDE w:val="0"/>
        <w:autoSpaceDN w:val="0"/>
        <w:adjustRightInd w:val="0"/>
        <w:spacing w:line="360" w:lineRule="auto"/>
        <w:rPr>
          <w:rFonts w:ascii="宋体" w:hAnsi="宋体" w:cs="宋体" w:hint="eastAsia"/>
          <w:b/>
          <w:bCs/>
          <w:color w:val="000000"/>
          <w:kern w:val="0"/>
          <w:szCs w:val="21"/>
          <w:highlight w:val="none"/>
          <w:lang w:val="zh-CN"/>
        </w:rPr>
      </w:pPr>
      <w:r>
        <w:rPr>
          <w:rFonts w:hint="eastAsia"/>
          <w:b/>
          <w:bCs/>
          <w:color w:val="000000"/>
          <w:highlight w:val="none"/>
        </w:rPr>
        <w:t>关于质量</w:t>
      </w:r>
    </w:p>
    <w:p>
      <w:pPr>
        <w:spacing w:line="360" w:lineRule="auto"/>
        <w:ind w:firstLine="368" w:firstLineChars="175"/>
        <w:rPr>
          <w:rFonts w:ascii="宋体" w:hAnsi="宋体" w:cs="宋体" w:hint="eastAsia"/>
          <w:color w:val="000000"/>
          <w:szCs w:val="21"/>
          <w:highlight w:val="none"/>
          <w:lang w:val="zh-CN"/>
        </w:rPr>
      </w:pPr>
      <w:r>
        <w:rPr>
          <w:rFonts w:ascii="宋体" w:hAnsi="宋体" w:cs="宋体"/>
          <w:color w:val="000000"/>
          <w:szCs w:val="21"/>
          <w:highlight w:val="none"/>
          <w:lang w:val="zh-CN"/>
        </w:rPr>
        <w:t>1.</w:t>
      </w:r>
      <w:r>
        <w:rPr>
          <w:rFonts w:ascii="宋体" w:hAnsi="宋体" w:cs="宋体" w:hint="eastAsia"/>
          <w:color w:val="000000"/>
          <w:szCs w:val="21"/>
          <w:highlight w:val="none"/>
          <w:lang w:val="zh-CN"/>
        </w:rPr>
        <w:t>中标人保证所供货物系最好材料、最好的工艺制造，货物应是新的和未用过的，并且其品质和规格完全符合本合同规定。品质保证期为自货物验收合格日起1年。</w:t>
      </w:r>
    </w:p>
    <w:p>
      <w:pPr>
        <w:spacing w:line="360" w:lineRule="auto"/>
        <w:ind w:firstLine="368" w:firstLineChars="175"/>
        <w:rPr>
          <w:rFonts w:ascii="宋体" w:hAnsi="宋体" w:cs="宋体" w:hint="eastAsia"/>
          <w:b/>
          <w:bCs/>
          <w:color w:val="000000"/>
          <w:szCs w:val="21"/>
          <w:highlight w:val="none"/>
          <w:lang w:val="zh-CN"/>
        </w:rPr>
      </w:pPr>
      <w:r>
        <w:rPr>
          <w:rFonts w:ascii="宋体" w:hAnsi="宋体" w:cs="宋体" w:hint="eastAsia"/>
          <w:b/>
          <w:bCs/>
          <w:color w:val="000000"/>
          <w:szCs w:val="21"/>
          <w:highlight w:val="none"/>
          <w:lang w:val="zh-CN"/>
        </w:rPr>
        <w:t>★</w:t>
      </w:r>
      <w:r>
        <w:rPr>
          <w:rFonts w:ascii="宋体" w:hAnsi="宋体" w:cs="宋体"/>
          <w:b/>
          <w:bCs/>
          <w:color w:val="000000"/>
          <w:szCs w:val="21"/>
          <w:highlight w:val="none"/>
          <w:lang w:val="zh-CN"/>
        </w:rPr>
        <w:t>2.</w:t>
      </w:r>
      <w:r>
        <w:rPr>
          <w:rFonts w:ascii="宋体" w:hAnsi="宋体" w:cs="宋体" w:hint="eastAsia"/>
          <w:b/>
          <w:bCs/>
          <w:color w:val="000000"/>
          <w:szCs w:val="21"/>
          <w:highlight w:val="none"/>
          <w:lang w:val="zh-CN"/>
        </w:rPr>
        <w:t>中标人所交付产品、工程或服务需符合其投标承诺，不得在投标阶段为了中标而盲目虚假承诺、低价恶性竞争，在履约阶段则通过偷工减料、以次充好而获取利润。</w:t>
      </w:r>
    </w:p>
    <w:p>
      <w:pPr>
        <w:numPr>
          <w:ilvl w:val="0"/>
          <w:numId w:val="12"/>
        </w:numPr>
        <w:autoSpaceDE w:val="0"/>
        <w:autoSpaceDN w:val="0"/>
        <w:adjustRightInd w:val="0"/>
        <w:spacing w:line="360" w:lineRule="auto"/>
        <w:rPr>
          <w:rFonts w:ascii="宋体" w:hAnsi="宋体" w:cs="宋体" w:hint="eastAsia"/>
          <w:b/>
          <w:bCs/>
          <w:color w:val="000000"/>
          <w:kern w:val="0"/>
          <w:szCs w:val="21"/>
          <w:highlight w:val="none"/>
          <w:lang w:val="zh-CN"/>
        </w:rPr>
      </w:pPr>
      <w:r>
        <w:rPr>
          <w:rFonts w:ascii="宋体" w:hAnsi="宋体" w:cs="宋体" w:hint="eastAsia"/>
          <w:b/>
          <w:bCs/>
          <w:color w:val="000000"/>
          <w:kern w:val="0"/>
          <w:szCs w:val="21"/>
          <w:highlight w:val="none"/>
          <w:lang w:val="zh-CN"/>
        </w:rPr>
        <w:t>知识产权要求</w:t>
      </w:r>
    </w:p>
    <w:p>
      <w:pPr>
        <w:spacing w:line="360" w:lineRule="auto"/>
        <w:ind w:firstLine="420" w:firstLineChars="200"/>
        <w:rPr>
          <w:rFonts w:ascii="宋体" w:hAnsi="宋体" w:cs="宋体" w:hint="eastAsia"/>
          <w:color w:val="000000"/>
          <w:szCs w:val="21"/>
          <w:highlight w:val="none"/>
        </w:rPr>
      </w:pPr>
      <w:r>
        <w:rPr>
          <w:rFonts w:ascii="宋体" w:hAnsi="宋体" w:cs="宋体"/>
          <w:color w:val="000000"/>
          <w:szCs w:val="21"/>
          <w:highlight w:val="none"/>
        </w:rPr>
        <w:t>1.</w:t>
      </w:r>
      <w:r>
        <w:rPr>
          <w:rFonts w:ascii="宋体" w:hAnsi="宋体" w:cs="宋体" w:hint="eastAsia"/>
          <w:color w:val="000000"/>
          <w:szCs w:val="21"/>
          <w:highlight w:val="none"/>
        </w:rPr>
        <w:t>采购人在履行合同过程中提供给中标人的全部图纸、文件和其他含有数据和信息的资料，其知识产权属于采购人。未经采购人同意，中标人不得将其用于本合同目的之外的其他用途，且不得擅自向第三方转让、披露。</w:t>
      </w:r>
    </w:p>
    <w:p>
      <w:pPr>
        <w:spacing w:line="360" w:lineRule="auto"/>
        <w:ind w:firstLine="420" w:firstLineChars="200"/>
        <w:rPr>
          <w:rFonts w:ascii="宋体" w:hAnsi="宋体" w:cs="宋体" w:hint="eastAsia"/>
          <w:color w:val="000000"/>
          <w:szCs w:val="21"/>
          <w:highlight w:val="none"/>
        </w:rPr>
      </w:pPr>
      <w:r>
        <w:rPr>
          <w:rFonts w:ascii="宋体" w:hAnsi="宋体" w:cs="宋体"/>
          <w:color w:val="000000"/>
          <w:szCs w:val="21"/>
          <w:highlight w:val="none"/>
        </w:rPr>
        <w:t>2.</w:t>
      </w:r>
      <w:r>
        <w:rPr>
          <w:rFonts w:ascii="宋体" w:hAnsi="宋体" w:cs="宋体" w:hint="eastAsia"/>
          <w:color w:val="000000"/>
          <w:szCs w:val="21"/>
          <w:highlight w:val="none"/>
        </w:rPr>
        <w:t>如合同货物涉及知识产权，则中标人保证采购人在使用合同货物的过程中免于受到第三方提出的有关知识产权侵权的主张、索赔或诉讼的损失。</w:t>
      </w:r>
    </w:p>
    <w:p>
      <w:pPr>
        <w:spacing w:line="360" w:lineRule="auto"/>
        <w:ind w:firstLine="420" w:firstLineChars="200"/>
        <w:rPr>
          <w:rFonts w:ascii="宋体" w:hAnsi="宋体" w:cs="宋体" w:hint="eastAsia"/>
          <w:color w:val="000000"/>
          <w:szCs w:val="21"/>
          <w:highlight w:val="none"/>
        </w:rPr>
      </w:pPr>
      <w:r>
        <w:rPr>
          <w:rFonts w:ascii="宋体" w:hAnsi="宋体" w:cs="宋体"/>
          <w:color w:val="000000"/>
          <w:szCs w:val="21"/>
          <w:highlight w:val="none"/>
        </w:rPr>
        <w:t>3.</w:t>
      </w:r>
      <w:r>
        <w:rPr>
          <w:rFonts w:ascii="宋体" w:hAnsi="宋体" w:cs="宋体" w:hint="eastAsia"/>
          <w:color w:val="000000"/>
          <w:szCs w:val="21"/>
          <w:highlight w:val="none"/>
        </w:rPr>
        <w:t>如果采购人收到任何第三方有关知识产权的主张、索赔或诉讼，中标人应自付费用处理与第三方的索赔或诉讼，并赔偿采购人因此发生的费用和遭受的损失。如果中标人拒绝处理前述索赔或诉讼，采购人以自己的名义进行这些索赔或诉讼，因此发生的费用和遭受的损失均由中标人承担。</w:t>
      </w:r>
    </w:p>
    <w:p>
      <w:pPr>
        <w:numPr>
          <w:ilvl w:val="0"/>
          <w:numId w:val="12"/>
        </w:numPr>
        <w:autoSpaceDE w:val="0"/>
        <w:autoSpaceDN w:val="0"/>
        <w:spacing w:before="120" w:beforeLines="50" w:after="120" w:afterLines="50" w:line="360" w:lineRule="auto"/>
        <w:rPr>
          <w:rFonts w:hint="eastAsia"/>
          <w:b/>
          <w:bCs/>
          <w:color w:val="000000"/>
          <w:highlight w:val="none"/>
        </w:rPr>
      </w:pPr>
      <w:r>
        <w:rPr>
          <w:rFonts w:ascii="宋体" w:hAnsi="宋体" w:cs="宋体" w:hint="eastAsia"/>
          <w:b/>
          <w:bCs/>
          <w:color w:val="000000"/>
          <w:kern w:val="0"/>
          <w:szCs w:val="21"/>
          <w:highlight w:val="none"/>
          <w:lang w:val="zh-CN"/>
        </w:rPr>
        <w:t>★</w:t>
      </w:r>
      <w:r>
        <w:rPr>
          <w:rFonts w:hint="eastAsia"/>
          <w:b/>
          <w:bCs/>
          <w:color w:val="000000"/>
          <w:szCs w:val="21"/>
          <w:highlight w:val="none"/>
        </w:rPr>
        <w:t>如果所投产品为进口，则投标人必须提供由设备制造商或授权的中国总代理签署的合法有效的针对所投标产品对应商品授权书；若所投产品为国产产品，则无需提供</w:t>
      </w:r>
      <w:r>
        <w:rPr>
          <w:rFonts w:ascii="宋体" w:hAnsi="宋体" w:cs="宋体" w:hint="eastAsia"/>
          <w:b/>
          <w:bCs/>
          <w:color w:val="000000"/>
          <w:kern w:val="0"/>
          <w:szCs w:val="21"/>
          <w:highlight w:val="none"/>
          <w:lang w:val="zh-CN"/>
        </w:rPr>
        <w:t>。</w:t>
      </w:r>
    </w:p>
    <w:p>
      <w:pPr>
        <w:numPr>
          <w:ilvl w:val="0"/>
          <w:numId w:val="12"/>
        </w:numPr>
        <w:autoSpaceDE w:val="0"/>
        <w:autoSpaceDN w:val="0"/>
        <w:adjustRightInd w:val="0"/>
        <w:spacing w:line="360" w:lineRule="auto"/>
        <w:rPr>
          <w:rFonts w:ascii="宋体" w:hAnsi="宋体" w:cs="宋体" w:hint="eastAsia"/>
          <w:b/>
          <w:bCs/>
          <w:color w:val="000000"/>
          <w:kern w:val="0"/>
          <w:szCs w:val="21"/>
          <w:highlight w:val="none"/>
          <w:lang w:val="zh-CN"/>
        </w:rPr>
      </w:pPr>
      <w:r>
        <w:rPr>
          <w:rFonts w:ascii="宋体" w:hAnsi="宋体" w:cs="宋体" w:hint="eastAsia"/>
          <w:b/>
          <w:bCs/>
          <w:color w:val="000000"/>
          <w:kern w:val="0"/>
          <w:szCs w:val="21"/>
          <w:highlight w:val="none"/>
          <w:lang w:val="zh-CN"/>
        </w:rPr>
        <w:t>★报价方式及要求</w:t>
      </w:r>
    </w:p>
    <w:p>
      <w:pPr>
        <w:pStyle w:val="NormalWeb"/>
        <w:spacing w:line="360" w:lineRule="auto"/>
        <w:ind w:left="420"/>
        <w:rPr>
          <w:rFonts w:ascii="宋体" w:hAnsi="宋体" w:cs="宋体" w:hint="eastAsia"/>
          <w:b/>
          <w:bCs/>
          <w:color w:val="000000"/>
          <w:sz w:val="21"/>
          <w:szCs w:val="21"/>
          <w:highlight w:val="none"/>
        </w:rPr>
      </w:pPr>
      <w:r>
        <w:rPr>
          <w:rFonts w:ascii="宋体" w:hAnsi="宋体" w:cs="宋体" w:hint="eastAsia"/>
          <w:b/>
          <w:bCs/>
          <w:color w:val="000000"/>
          <w:sz w:val="21"/>
          <w:szCs w:val="21"/>
          <w:highlight w:val="none"/>
        </w:rPr>
        <w:t>1.国产货物报价要求：</w:t>
      </w:r>
    </w:p>
    <w:p>
      <w:pPr>
        <w:pStyle w:val="NormalWeb"/>
        <w:spacing w:line="360" w:lineRule="auto"/>
        <w:ind w:firstLine="420" w:firstLineChars="200"/>
        <w:rPr>
          <w:rFonts w:ascii="宋体" w:hAnsi="宋体" w:cs="宋体" w:hint="eastAsia"/>
          <w:color w:val="000000"/>
          <w:sz w:val="21"/>
          <w:szCs w:val="21"/>
          <w:highlight w:val="none"/>
        </w:rPr>
      </w:pPr>
      <w:r>
        <w:rPr>
          <w:rFonts w:ascii="宋体" w:hAnsi="宋体" w:cs="宋体" w:hint="eastAsia"/>
          <w:color w:val="000000"/>
          <w:sz w:val="21"/>
          <w:szCs w:val="21"/>
          <w:highlight w:val="none"/>
        </w:rPr>
        <w:t>人民币报价，投标价包含仪器设备的价款、税费、包装、运输、装卸、安装、调试、技术指导、培训、咨询、服务、保险、检测、验收合格交付使用之前以及技术和售后服务、质保期退运返修等其他所有费用。</w:t>
      </w:r>
    </w:p>
    <w:p>
      <w:pPr>
        <w:pStyle w:val="NormalWeb"/>
        <w:spacing w:line="360" w:lineRule="auto"/>
        <w:ind w:left="420"/>
        <w:rPr>
          <w:rFonts w:ascii="宋体" w:hAnsi="宋体" w:cs="宋体" w:hint="eastAsia"/>
          <w:b/>
          <w:bCs/>
          <w:color w:val="000000"/>
          <w:sz w:val="21"/>
          <w:szCs w:val="21"/>
          <w:highlight w:val="none"/>
        </w:rPr>
      </w:pPr>
      <w:r>
        <w:rPr>
          <w:rFonts w:ascii="宋体" w:hAnsi="宋体" w:cs="宋体" w:hint="eastAsia"/>
          <w:b/>
          <w:bCs/>
          <w:color w:val="000000"/>
          <w:sz w:val="21"/>
          <w:szCs w:val="21"/>
          <w:highlight w:val="none"/>
        </w:rPr>
        <w:t>2.进口货物报价要求：</w:t>
      </w:r>
    </w:p>
    <w:p>
      <w:pPr>
        <w:pStyle w:val="NormalWeb"/>
        <w:spacing w:line="360" w:lineRule="auto"/>
        <w:ind w:firstLine="420" w:firstLineChars="200"/>
        <w:rPr>
          <w:rFonts w:ascii="宋体" w:hAnsi="宋体" w:cs="宋体" w:hint="eastAsia"/>
          <w:color w:val="000000"/>
          <w:sz w:val="21"/>
          <w:szCs w:val="21"/>
          <w:highlight w:val="none"/>
        </w:rPr>
      </w:pPr>
      <w:r>
        <w:rPr>
          <w:rFonts w:ascii="宋体" w:hAnsi="宋体" w:cs="宋体" w:hint="eastAsia"/>
          <w:color w:val="000000"/>
          <w:sz w:val="21"/>
          <w:szCs w:val="21"/>
          <w:highlight w:val="none"/>
        </w:rPr>
        <w:t>（1）人民币报价（如为免税价须特别标注；若无法办理免税，所有税费由中标人承担），投标价格中应包含仪器设备购置、包装运输及保险（境内、外）、装卸安装、调试、技术服务培训、检测、质保期内设备及部件故障的更换，维修、退运（境内、外）、外贸代理费、杂费等其他所有费用。未注明人民币免税价的，则一律按人民币含税价执行。</w:t>
      </w:r>
    </w:p>
    <w:p>
      <w:pPr>
        <w:pStyle w:val="NormalWeb"/>
        <w:spacing w:line="360" w:lineRule="auto"/>
        <w:ind w:firstLine="420" w:firstLineChars="200"/>
        <w:rPr>
          <w:rFonts w:ascii="宋体" w:hAnsi="宋体" w:cs="宋体" w:hint="eastAsia"/>
          <w:color w:val="000000"/>
          <w:sz w:val="21"/>
          <w:szCs w:val="21"/>
          <w:highlight w:val="none"/>
        </w:rPr>
      </w:pPr>
      <w:r>
        <w:rPr>
          <w:rFonts w:ascii="宋体" w:hAnsi="宋体" w:cs="宋体" w:hint="eastAsia"/>
          <w:color w:val="000000"/>
          <w:sz w:val="21"/>
          <w:szCs w:val="21"/>
          <w:highlight w:val="none"/>
        </w:rPr>
        <w:t>（2）进口免税产品报价说明：本项目采购的是用于教学、科研的仪器设备，对于 “接受进口”的货物，如果投标人选用进口产品投标并且所选用产品符合免税政策，投标人应报CIP清华大学深圳国际研究生院的免税人民币价(不包括进口关税和增值税)，报价中须包含代理服务费。若供应商所投产品的原产地为美国，且在中国针对美国惩罚性关税清单内，供应商的投标报价应包含惩罚性关税，但不包含原进口关税和增值税，惩罚性关税由中标人支付。</w:t>
      </w:r>
    </w:p>
    <w:p>
      <w:pPr>
        <w:pStyle w:val="NormalWeb"/>
        <w:ind w:left="782"/>
        <w:rPr>
          <w:rFonts w:hint="eastAsia"/>
          <w:b/>
          <w:bCs/>
          <w:color w:val="000000"/>
          <w:sz w:val="21"/>
          <w:szCs w:val="21"/>
          <w:highlight w:val="none"/>
        </w:rPr>
      </w:pPr>
      <w:r>
        <w:rPr>
          <w:rFonts w:hint="eastAsia"/>
          <w:b/>
          <w:bCs/>
          <w:color w:val="000000"/>
          <w:sz w:val="21"/>
          <w:szCs w:val="21"/>
          <w:highlight w:val="none"/>
        </w:rPr>
        <w:t>注：</w:t>
      </w:r>
    </w:p>
    <w:p>
      <w:pPr>
        <w:pStyle w:val="NormalWeb"/>
        <w:spacing w:line="360" w:lineRule="auto"/>
        <w:ind w:firstLine="420" w:firstLineChars="200"/>
        <w:rPr>
          <w:rFonts w:ascii="宋体" w:hAnsi="宋体" w:cs="宋体" w:hint="eastAsia"/>
          <w:color w:val="000000"/>
          <w:sz w:val="21"/>
          <w:szCs w:val="21"/>
          <w:highlight w:val="none"/>
        </w:rPr>
      </w:pPr>
      <w:r>
        <w:rPr>
          <w:rFonts w:ascii="宋体" w:hAnsi="宋体" w:cs="宋体" w:hint="eastAsia"/>
          <w:color w:val="000000"/>
          <w:sz w:val="21"/>
          <w:szCs w:val="21"/>
          <w:highlight w:val="none"/>
        </w:rPr>
        <w:t>1）若本项目需要使用美元结算时，则按中国银行（现汇卖出价）开标当日开标时人民币兑美元的汇率作为结算汇率；</w:t>
      </w:r>
    </w:p>
    <w:p>
      <w:pPr>
        <w:pStyle w:val="NormalWeb"/>
        <w:spacing w:line="360" w:lineRule="auto"/>
        <w:ind w:firstLine="420" w:firstLineChars="200"/>
        <w:rPr>
          <w:rFonts w:ascii="宋体" w:hAnsi="宋体" w:cs="宋体" w:hint="eastAsia"/>
          <w:color w:val="000000"/>
          <w:sz w:val="21"/>
          <w:szCs w:val="21"/>
          <w:highlight w:val="none"/>
        </w:rPr>
      </w:pPr>
      <w:r>
        <w:rPr>
          <w:rFonts w:ascii="宋体" w:hAnsi="宋体" w:cs="宋体" w:hint="eastAsia"/>
          <w:color w:val="000000"/>
          <w:sz w:val="21"/>
          <w:szCs w:val="21"/>
          <w:highlight w:val="none"/>
        </w:rPr>
        <w:t>2）若参与投标的进口货物免税报价时，如有国内供货部分需在《投标分项报价表》上注明含税报价，届时需要提供税务局出具的有效发票，否则不予支付该部分货款。</w:t>
      </w:r>
    </w:p>
    <w:p>
      <w:pPr>
        <w:pStyle w:val="NormalWeb"/>
        <w:spacing w:line="360" w:lineRule="auto"/>
        <w:ind w:firstLine="420" w:firstLineChars="200"/>
        <w:rPr>
          <w:rFonts w:ascii="宋体" w:hAnsi="宋体" w:cs="宋体" w:hint="eastAsia"/>
          <w:color w:val="000000"/>
          <w:sz w:val="21"/>
          <w:szCs w:val="21"/>
          <w:highlight w:val="none"/>
        </w:rPr>
      </w:pPr>
      <w:r>
        <w:rPr>
          <w:rFonts w:ascii="宋体" w:hAnsi="宋体" w:cs="宋体" w:hint="eastAsia"/>
          <w:color w:val="000000"/>
          <w:sz w:val="21"/>
          <w:szCs w:val="21"/>
          <w:highlight w:val="none"/>
        </w:rPr>
        <w:t>3）依据国家相关法律法规，项目中不可免税部分请单报人民币含税价格。</w:t>
      </w:r>
    </w:p>
    <w:p>
      <w:pPr>
        <w:pStyle w:val="NormalWeb"/>
        <w:spacing w:line="360" w:lineRule="auto"/>
        <w:ind w:firstLine="420" w:firstLineChars="200"/>
        <w:rPr>
          <w:rFonts w:ascii="宋体" w:hAnsi="宋体" w:cs="宋体" w:hint="eastAsia"/>
          <w:color w:val="000000"/>
          <w:sz w:val="21"/>
          <w:szCs w:val="21"/>
          <w:highlight w:val="none"/>
        </w:rPr>
      </w:pPr>
      <w:r>
        <w:rPr>
          <w:rFonts w:ascii="宋体" w:hAnsi="宋体" w:cs="宋体" w:hint="eastAsia"/>
          <w:color w:val="000000"/>
          <w:sz w:val="21"/>
          <w:szCs w:val="21"/>
          <w:highlight w:val="none"/>
        </w:rPr>
        <w:t>4)若投标人所投产品产地为美国，且在国家加征关税范围内的，则投标人报价中须包含此项费，采购人不再另行支付。</w:t>
      </w:r>
    </w:p>
    <w:p>
      <w:pPr>
        <w:pStyle w:val="a28"/>
        <w:ind w:firstLine="420"/>
        <w:rPr>
          <w:rFonts w:ascii="Times New Roman" w:hint="eastAsia"/>
          <w:b/>
          <w:bCs/>
          <w:color w:val="000000"/>
          <w:kern w:val="2"/>
          <w:sz w:val="30"/>
          <w:szCs w:val="30"/>
          <w:highlight w:val="none"/>
          <w:shd w:val="pct10" w:color="auto" w:fill="FFFFFF"/>
        </w:rPr>
      </w:pPr>
      <w:r>
        <w:rPr>
          <w:rFonts w:ascii="宋体" w:hAnsi="宋体" w:cs="宋体" w:hint="eastAsia"/>
          <w:color w:val="000000"/>
          <w:kern w:val="2"/>
          <w:szCs w:val="21"/>
          <w:highlight w:val="none"/>
        </w:rPr>
        <w:t>3.</w:t>
      </w:r>
      <w:r>
        <w:rPr>
          <w:rFonts w:ascii="宋体" w:hAnsi="宋体" w:cs="宋体" w:hint="eastAsia"/>
          <w:bCs/>
          <w:color w:val="000000"/>
          <w:kern w:val="2"/>
          <w:szCs w:val="21"/>
          <w:highlight w:val="none"/>
        </w:rPr>
        <w:t>投标人不得以低于成本的报价竞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tabs>
          <w:tab w:val="left" w:pos="900"/>
        </w:tabs>
        <w:spacing w:line="288" w:lineRule="auto"/>
        <w:ind w:left="482" w:hanging="482"/>
        <w:rPr>
          <w:rFonts w:ascii="宋体" w:hAnsi="宋体" w:cs="宋体" w:hint="eastAsia"/>
          <w:bCs/>
          <w:color w:val="000000"/>
          <w:szCs w:val="21"/>
          <w:highlight w:val="none"/>
          <w:lang w:val="zh-CN"/>
        </w:rPr>
      </w:pPr>
    </w:p>
    <w:p>
      <w:pPr>
        <w:tabs>
          <w:tab w:val="left" w:pos="900"/>
        </w:tabs>
        <w:spacing w:line="288" w:lineRule="auto"/>
        <w:ind w:left="482" w:hanging="482"/>
        <w:rPr>
          <w:rFonts w:ascii="宋体" w:hAnsi="宋体" w:cs="宋体"/>
          <w:bCs/>
          <w:color w:val="000000"/>
          <w:szCs w:val="21"/>
          <w:highlight w:val="none"/>
          <w:lang w:val="zh-CN"/>
        </w:rPr>
      </w:pPr>
      <w:r>
        <w:rPr>
          <w:rFonts w:ascii="宋体" w:hAnsi="宋体" w:cs="宋体" w:hint="eastAsia"/>
          <w:bCs/>
          <w:color w:val="000000"/>
          <w:szCs w:val="21"/>
          <w:highlight w:val="none"/>
          <w:lang w:val="zh-CN"/>
        </w:rPr>
        <w:t>注：</w:t>
      </w:r>
    </w:p>
    <w:p>
      <w:pPr>
        <w:numPr>
          <w:ilvl w:val="0"/>
          <w:numId w:val="13"/>
        </w:numPr>
        <w:tabs>
          <w:tab w:val="left" w:pos="142"/>
          <w:tab w:val="left" w:pos="425"/>
          <w:tab w:val="left" w:pos="567"/>
          <w:tab w:val="left" w:pos="709"/>
        </w:tabs>
        <w:spacing w:line="288" w:lineRule="auto"/>
        <w:rPr>
          <w:rFonts w:ascii="宋体" w:hAnsi="宋体" w:cs="宋体"/>
          <w:bCs/>
          <w:color w:val="000000"/>
          <w:kern w:val="0"/>
          <w:szCs w:val="21"/>
          <w:highlight w:val="none"/>
          <w:lang w:val="zh-CN"/>
        </w:rPr>
      </w:pPr>
      <w:r>
        <w:rPr>
          <w:rFonts w:ascii="宋体" w:hAnsi="宋体" w:cs="宋体" w:hint="eastAsia"/>
          <w:bCs/>
          <w:color w:val="000000"/>
          <w:szCs w:val="21"/>
          <w:highlight w:val="none"/>
          <w:lang w:val="zh-CN"/>
        </w:rPr>
        <w:t>超出</w:t>
      </w:r>
      <w:r>
        <w:rPr>
          <w:rFonts w:ascii="宋体" w:hAnsi="宋体" w:cs="宋体" w:hint="eastAsia"/>
          <w:bCs/>
          <w:color w:val="000000"/>
          <w:szCs w:val="21"/>
          <w:highlight w:val="none"/>
        </w:rPr>
        <w:t>本项目</w:t>
      </w:r>
      <w:r>
        <w:rPr>
          <w:rFonts w:ascii="宋体" w:hAnsi="宋体" w:cs="宋体" w:hint="eastAsia"/>
          <w:bCs/>
          <w:color w:val="000000"/>
          <w:szCs w:val="21"/>
          <w:highlight w:val="none"/>
          <w:lang w:val="zh-CN"/>
        </w:rPr>
        <w:t>预算金额/最高限价/分项控制金额的投标，作投标无效处理</w:t>
      </w:r>
      <w:r>
        <w:rPr>
          <w:rFonts w:ascii="宋体" w:hAnsi="宋体" w:cs="宋体" w:hint="eastAsia"/>
          <w:bCs/>
          <w:color w:val="000000"/>
          <w:kern w:val="0"/>
          <w:szCs w:val="21"/>
          <w:highlight w:val="none"/>
          <w:lang w:val="zh-CN"/>
        </w:rPr>
        <w:t>。</w:t>
      </w:r>
    </w:p>
    <w:p>
      <w:pPr>
        <w:numPr>
          <w:ilvl w:val="0"/>
          <w:numId w:val="13"/>
        </w:numPr>
        <w:tabs>
          <w:tab w:val="left" w:pos="142"/>
          <w:tab w:val="left" w:pos="425"/>
          <w:tab w:val="left" w:pos="567"/>
          <w:tab w:val="left" w:pos="709"/>
        </w:tabs>
        <w:spacing w:line="288" w:lineRule="auto"/>
        <w:rPr>
          <w:rFonts w:ascii="宋体" w:hAnsi="宋体" w:cs="宋体"/>
          <w:bCs/>
          <w:color w:val="000000"/>
          <w:szCs w:val="21"/>
          <w:highlight w:val="none"/>
          <w:lang w:val="zh-CN"/>
        </w:rPr>
      </w:pPr>
      <w:r>
        <w:rPr>
          <w:rFonts w:ascii="宋体" w:hAnsi="宋体" w:cs="宋体" w:hint="eastAsia"/>
          <w:bCs/>
          <w:color w:val="000000"/>
          <w:szCs w:val="21"/>
          <w:highlight w:val="none"/>
          <w:lang w:val="zh-CN"/>
        </w:rPr>
        <w:t>本《</w:t>
      </w:r>
      <w:r>
        <w:rPr>
          <w:rFonts w:ascii="宋体" w:hAnsi="宋体" w:cs="宋体" w:hint="eastAsia"/>
          <w:bCs/>
          <w:color w:val="000000"/>
          <w:szCs w:val="21"/>
          <w:highlight w:val="none"/>
        </w:rPr>
        <w:t>招标项目需求</w:t>
      </w:r>
      <w:r>
        <w:rPr>
          <w:rFonts w:ascii="宋体" w:hAnsi="宋体" w:cs="宋体" w:hint="eastAsia"/>
          <w:bCs/>
          <w:color w:val="000000"/>
          <w:szCs w:val="21"/>
          <w:highlight w:val="none"/>
          <w:lang w:val="zh-CN"/>
        </w:rPr>
        <w:t>》所提有关技术和商务要求（</w:t>
      </w:r>
      <w:r>
        <w:rPr>
          <w:rFonts w:ascii="宋体" w:hAnsi="宋体" w:cs="宋体" w:hint="eastAsia"/>
          <w:b/>
          <w:bCs/>
          <w:color w:val="000000"/>
          <w:szCs w:val="21"/>
          <w:highlight w:val="none"/>
          <w:lang w:val="zh-CN"/>
        </w:rPr>
        <w:t>打“★”的条款必须满足，否则作投标无效处理； “</w:t>
      </w:r>
      <w:r>
        <w:rPr>
          <w:rFonts w:hint="eastAsia"/>
          <w:color w:val="000000"/>
          <w:sz w:val="24"/>
          <w:highlight w:val="none"/>
        </w:rPr>
        <w:t>▲</w:t>
      </w:r>
      <w:r>
        <w:rPr>
          <w:rFonts w:ascii="宋体" w:hAnsi="宋体" w:cs="宋体" w:hint="eastAsia"/>
          <w:b/>
          <w:bCs/>
          <w:color w:val="000000"/>
          <w:szCs w:val="21"/>
          <w:highlight w:val="none"/>
          <w:lang w:val="zh-CN"/>
        </w:rPr>
        <w:t>”为重点扣分项</w:t>
      </w:r>
      <w:r>
        <w:rPr>
          <w:rFonts w:ascii="宋体" w:hAnsi="宋体" w:cs="宋体" w:hint="eastAsia"/>
          <w:bCs/>
          <w:color w:val="000000"/>
          <w:szCs w:val="21"/>
          <w:highlight w:val="none"/>
          <w:lang w:val="zh-CN"/>
        </w:rPr>
        <w:t>）；仅供参考，投标人在投标文件中可提出替代标准，但此替代标准应不低于招标文件技术要求。</w:t>
      </w:r>
    </w:p>
    <w:p>
      <w:pPr>
        <w:numPr>
          <w:ilvl w:val="0"/>
          <w:numId w:val="13"/>
        </w:numPr>
        <w:tabs>
          <w:tab w:val="left" w:pos="142"/>
          <w:tab w:val="left" w:pos="425"/>
          <w:tab w:val="left" w:pos="567"/>
          <w:tab w:val="left" w:pos="709"/>
        </w:tabs>
        <w:spacing w:line="288" w:lineRule="auto"/>
        <w:ind w:left="482" w:hanging="482"/>
        <w:rPr>
          <w:rFonts w:ascii="宋体" w:hAnsi="宋体" w:cs="宋体"/>
          <w:bCs/>
          <w:color w:val="000000"/>
          <w:szCs w:val="21"/>
          <w:highlight w:val="none"/>
          <w:lang w:val="zh-CN"/>
        </w:rPr>
      </w:pPr>
      <w:r>
        <w:rPr>
          <w:rFonts w:ascii="宋体" w:hAnsi="宋体" w:cs="宋体" w:hint="eastAsia"/>
          <w:bCs/>
          <w:color w:val="000000"/>
          <w:szCs w:val="21"/>
          <w:highlight w:val="none"/>
          <w:lang w:val="zh-CN"/>
        </w:rPr>
        <w:t>评审委员会有权对以谋取中标为目的的技术规格模糊响应（如有意照搬照抄招标文件的技术要求）或虚假响应予以认定。投标人上述行为一经发现或查实，除扣分或投标无效外，招标代理机构可视情况报政府采购监督管理部门做进一步处理。</w:t>
      </w:r>
    </w:p>
    <w:p>
      <w:pPr>
        <w:numPr>
          <w:ilvl w:val="0"/>
          <w:numId w:val="13"/>
        </w:numPr>
        <w:tabs>
          <w:tab w:val="left" w:pos="142"/>
          <w:tab w:val="left" w:pos="425"/>
          <w:tab w:val="left" w:pos="567"/>
          <w:tab w:val="left" w:pos="709"/>
        </w:tabs>
        <w:spacing w:line="288" w:lineRule="auto"/>
        <w:ind w:left="482" w:hanging="482"/>
        <w:rPr>
          <w:rFonts w:ascii="宋体" w:hAnsi="宋体" w:cs="宋体"/>
          <w:bCs/>
          <w:color w:val="000000"/>
          <w:szCs w:val="21"/>
          <w:highlight w:val="none"/>
          <w:lang w:val="zh-CN"/>
        </w:rPr>
      </w:pPr>
      <w:r>
        <w:rPr>
          <w:rFonts w:ascii="宋体" w:hAnsi="宋体" w:cs="宋体" w:hint="eastAsia"/>
          <w:bCs/>
          <w:color w:val="000000"/>
          <w:szCs w:val="21"/>
          <w:highlight w:val="none"/>
          <w:lang w:val="zh-CN"/>
        </w:rPr>
        <w:t>当招标文件中出现前后表述不一致的时候，以招标文件中对投标人责任规定较严格的为准。</w:t>
      </w:r>
    </w:p>
    <w:p>
      <w:pPr>
        <w:numPr>
          <w:ilvl w:val="0"/>
          <w:numId w:val="13"/>
        </w:numPr>
        <w:tabs>
          <w:tab w:val="left" w:pos="142"/>
          <w:tab w:val="left" w:pos="425"/>
          <w:tab w:val="left" w:pos="567"/>
          <w:tab w:val="left" w:pos="709"/>
        </w:tabs>
        <w:spacing w:line="288" w:lineRule="auto"/>
        <w:ind w:left="482" w:hanging="482"/>
        <w:rPr>
          <w:rFonts w:ascii="宋体" w:hAnsi="宋体" w:cs="宋体"/>
          <w:bCs/>
          <w:color w:val="000000"/>
          <w:szCs w:val="21"/>
          <w:highlight w:val="none"/>
          <w:lang w:val="zh-CN"/>
        </w:rPr>
      </w:pPr>
      <w:r>
        <w:rPr>
          <w:rFonts w:ascii="宋体" w:hAnsi="宋体" w:cs="宋体" w:hint="eastAsia"/>
          <w:bCs/>
          <w:color w:val="000000"/>
          <w:szCs w:val="21"/>
          <w:highlight w:val="none"/>
          <w:lang w:val="zh-CN"/>
        </w:rPr>
        <w:t>当投标文件中出现前后表述不一致的时候，以投标文件中对投标人责任规定较严格的为准。</w:t>
      </w:r>
    </w:p>
    <w:p>
      <w:pPr>
        <w:numPr>
          <w:ilvl w:val="0"/>
          <w:numId w:val="13"/>
        </w:numPr>
        <w:tabs>
          <w:tab w:val="left" w:pos="142"/>
          <w:tab w:val="left" w:pos="425"/>
          <w:tab w:val="left" w:pos="567"/>
          <w:tab w:val="left" w:pos="709"/>
        </w:tabs>
        <w:spacing w:line="288" w:lineRule="auto"/>
        <w:ind w:left="482" w:hanging="482"/>
        <w:rPr>
          <w:rFonts w:ascii="宋体" w:hAnsi="宋体" w:cs="宋体"/>
          <w:bCs/>
          <w:color w:val="000000"/>
          <w:szCs w:val="21"/>
          <w:highlight w:val="none"/>
          <w:lang w:val="zh-CN"/>
        </w:rPr>
      </w:pPr>
      <w:r>
        <w:rPr>
          <w:rFonts w:ascii="宋体" w:hAnsi="宋体" w:cs="宋体" w:hint="eastAsia"/>
          <w:bCs/>
          <w:color w:val="000000"/>
          <w:szCs w:val="21"/>
          <w:highlight w:val="none"/>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按投标报价由低到高排列，得分和价格均相同的，按评审因素的量化指标由高到低排列。以上情况仍相同的，则采取随机抽取方式确定（a抽签编号：投标一览表序号作为抽签序号；b由采购人或评审委员会组长从中抽选一名作为确定获得中标人推荐资格的投标人），其他同品牌投标人不作为中标候选人；多家投标人提供的核心产品品牌相同的，按上述规定处理。</w:t>
      </w:r>
    </w:p>
    <w:p>
      <w:pPr>
        <w:numPr>
          <w:ilvl w:val="0"/>
          <w:numId w:val="13"/>
        </w:numPr>
        <w:tabs>
          <w:tab w:val="left" w:pos="142"/>
          <w:tab w:val="left" w:pos="425"/>
          <w:tab w:val="left" w:pos="567"/>
          <w:tab w:val="left" w:pos="709"/>
        </w:tabs>
        <w:spacing w:line="288" w:lineRule="auto"/>
        <w:ind w:left="482" w:hanging="482"/>
        <w:rPr>
          <w:rFonts w:ascii="宋体" w:hAnsi="宋体" w:cs="宋体"/>
          <w:bCs/>
          <w:color w:val="000000"/>
          <w:szCs w:val="21"/>
          <w:highlight w:val="none"/>
        </w:rPr>
      </w:pPr>
      <w:r>
        <w:rPr>
          <w:rFonts w:ascii="宋体" w:hAnsi="宋体" w:cs="宋体" w:hint="eastAsia"/>
          <w:bCs/>
          <w:color w:val="000000"/>
          <w:szCs w:val="21"/>
          <w:highlight w:val="none"/>
          <w:lang w:val="zh-CN"/>
        </w:rPr>
        <w:t>招标文件中如出现参考品牌，那么参考品牌仅作为参考使用，投标人在投标时可提供参考品牌产品也可提供同等品牌或优于参考品牌的产品参与投标。</w:t>
      </w:r>
    </w:p>
    <w:p>
      <w:pPr>
        <w:numPr>
          <w:ilvl w:val="0"/>
          <w:numId w:val="13"/>
        </w:numPr>
        <w:tabs>
          <w:tab w:val="left" w:pos="142"/>
          <w:tab w:val="clear" w:pos="425"/>
          <w:tab w:val="left" w:pos="567"/>
          <w:tab w:val="left" w:pos="709"/>
        </w:tabs>
        <w:spacing w:line="288" w:lineRule="auto"/>
        <w:ind w:left="482" w:hanging="482"/>
        <w:rPr>
          <w:rFonts w:ascii="宋体" w:hAnsi="宋体" w:cs="宋体"/>
          <w:bCs/>
          <w:color w:val="000000"/>
          <w:kern w:val="0"/>
          <w:szCs w:val="21"/>
          <w:highlight w:val="none"/>
          <w:lang w:val="zh-CN"/>
        </w:rPr>
      </w:pPr>
      <w:r>
        <w:rPr>
          <w:rFonts w:ascii="宋体" w:hAnsi="宋体" w:cs="宋体" w:hint="eastAsia"/>
          <w:bCs/>
          <w:color w:val="000000"/>
          <w:kern w:val="0"/>
          <w:szCs w:val="21"/>
          <w:highlight w:val="none"/>
          <w:lang w:val="zh-CN"/>
        </w:rPr>
        <w:t>根据“财政部、发展改革委、生态环境部、市场监督总局联合下发《关于调整优化节能产品 环境标志产品政府采购执行机制的通知》（财库〔2019〕9号）”的要求，所投产品属于已列入“财政部、生态环境部《关于印发环境标志产品政府采购品目清单的通知》（财库〔2019〕18号），财政部、发展改革委《关于印发节能产品政府采购品目清单的通知》（财库〔2019〕19号）”的，需出具“国家确定的认证机构出具的、处于有效期之内的节能产品、环境标志产品认证证书”</w:t>
      </w:r>
      <w:r>
        <w:rPr>
          <w:rFonts w:ascii="宋体" w:hAnsi="宋体" w:cs="宋体" w:hint="eastAsia"/>
          <w:bCs/>
          <w:color w:val="000000"/>
          <w:kern w:val="0"/>
          <w:szCs w:val="21"/>
          <w:highlight w:val="none"/>
        </w:rPr>
        <w:t>扫描件</w:t>
      </w:r>
      <w:r>
        <w:rPr>
          <w:rFonts w:ascii="宋体" w:hAnsi="宋体" w:cs="宋体" w:hint="eastAsia"/>
          <w:bCs/>
          <w:color w:val="000000"/>
          <w:kern w:val="0"/>
          <w:szCs w:val="21"/>
          <w:highlight w:val="none"/>
          <w:lang w:val="zh-CN"/>
        </w:rPr>
        <w:t>并在《技术条款偏离表》的说明栏中说明</w:t>
      </w:r>
      <w:r>
        <w:rPr>
          <w:rFonts w:ascii="宋体" w:hAnsi="宋体" w:cs="宋体" w:hint="eastAsia"/>
          <w:bCs/>
          <w:color w:val="000000"/>
          <w:szCs w:val="21"/>
          <w:highlight w:val="none"/>
          <w:lang w:val="zh-CN"/>
        </w:rPr>
        <w:t>。</w:t>
      </w:r>
    </w:p>
    <w:p>
      <w:pPr>
        <w:numPr>
          <w:ilvl w:val="0"/>
          <w:numId w:val="13"/>
        </w:numPr>
        <w:tabs>
          <w:tab w:val="left" w:pos="142"/>
          <w:tab w:val="clear" w:pos="425"/>
          <w:tab w:val="left" w:pos="567"/>
          <w:tab w:val="left" w:pos="709"/>
        </w:tabs>
        <w:spacing w:line="288" w:lineRule="auto"/>
        <w:ind w:left="482" w:hanging="482"/>
        <w:rPr>
          <w:rFonts w:ascii="宋体" w:hAnsi="宋体" w:cs="宋体"/>
          <w:bCs/>
          <w:color w:val="000000"/>
          <w:kern w:val="0"/>
          <w:szCs w:val="21"/>
          <w:highlight w:val="none"/>
          <w:lang w:val="zh-CN"/>
        </w:rPr>
      </w:pPr>
      <w:r>
        <w:rPr>
          <w:rFonts w:ascii="宋体" w:hAnsi="宋体" w:cs="宋体" w:hint="eastAsia"/>
          <w:bCs/>
          <w:color w:val="000000"/>
          <w:kern w:val="0"/>
          <w:szCs w:val="21"/>
          <w:highlight w:val="none"/>
          <w:lang w:val="zh-CN"/>
        </w:rPr>
        <w:t>若本项目是允许进口产品参与投标的项目，则不限制潜在的同类国产产品参与竞争，不对国产产品实行歧视性待遇，不对不同来源或不同品牌的进口产品实行差别待遇，不限制或者拒绝符合要求的国产产品中标（成交）。</w:t>
      </w:r>
    </w:p>
    <w:p>
      <w:pPr>
        <w:numPr>
          <w:ilvl w:val="0"/>
          <w:numId w:val="13"/>
        </w:numPr>
        <w:tabs>
          <w:tab w:val="left" w:pos="142"/>
          <w:tab w:val="clear" w:pos="425"/>
          <w:tab w:val="left" w:pos="567"/>
          <w:tab w:val="left" w:pos="709"/>
        </w:tabs>
        <w:spacing w:line="288" w:lineRule="auto"/>
        <w:ind w:left="482" w:hanging="482"/>
        <w:rPr>
          <w:rFonts w:ascii="宋体" w:hAnsi="宋体" w:cs="宋体"/>
          <w:bCs/>
          <w:color w:val="000000"/>
          <w:kern w:val="0"/>
          <w:szCs w:val="21"/>
          <w:highlight w:val="none"/>
          <w:lang w:val="zh-CN"/>
        </w:rPr>
      </w:pPr>
      <w:r>
        <w:rPr>
          <w:rFonts w:ascii="宋体" w:hAnsi="宋体" w:cs="宋体" w:hint="eastAsia"/>
          <w:bCs/>
          <w:color w:val="000000"/>
          <w:kern w:val="0"/>
          <w:szCs w:val="21"/>
          <w:highlight w:val="none"/>
          <w:lang w:val="zh-CN"/>
        </w:rPr>
        <w:t>投标报价合理性的提交及认定：</w:t>
      </w:r>
    </w:p>
    <w:p>
      <w:pPr>
        <w:tabs>
          <w:tab w:val="left" w:pos="142"/>
          <w:tab w:val="left" w:pos="567"/>
          <w:tab w:val="left" w:pos="709"/>
        </w:tabs>
        <w:spacing w:line="288" w:lineRule="auto"/>
        <w:ind w:firstLine="420" w:firstLineChars="200"/>
        <w:rPr>
          <w:rFonts w:ascii="宋体" w:hAnsi="宋体" w:cs="宋体"/>
          <w:bCs/>
          <w:color w:val="000000"/>
          <w:kern w:val="0"/>
          <w:szCs w:val="21"/>
          <w:highlight w:val="none"/>
          <w:lang w:val="zh-CN"/>
        </w:rPr>
      </w:pPr>
      <w:r>
        <w:rPr>
          <w:rFonts w:ascii="宋体" w:hAnsi="宋体" w:cs="宋体" w:hint="eastAsia"/>
          <w:bCs/>
          <w:color w:val="000000"/>
          <w:kern w:val="0"/>
          <w:szCs w:val="21"/>
          <w:highlight w:val="none"/>
          <w:lang w:val="zh-CN"/>
        </w:rPr>
        <w:t>a.投标报价合理性说明的提交方式：现场或电子邮件提交（邮箱地址：dwq@zgyd11.com）。</w:t>
      </w:r>
    </w:p>
    <w:p>
      <w:pPr>
        <w:tabs>
          <w:tab w:val="left" w:pos="142"/>
          <w:tab w:val="left" w:pos="567"/>
          <w:tab w:val="left" w:pos="709"/>
        </w:tabs>
        <w:spacing w:line="288" w:lineRule="auto"/>
        <w:ind w:left="399" w:leftChars="190"/>
        <w:rPr>
          <w:rFonts w:ascii="宋体" w:hAnsi="宋体" w:cs="宋体"/>
          <w:bCs/>
          <w:color w:val="000000"/>
          <w:kern w:val="0"/>
          <w:szCs w:val="21"/>
          <w:highlight w:val="none"/>
          <w:lang w:val="zh-CN"/>
        </w:rPr>
      </w:pPr>
      <w:r>
        <w:rPr>
          <w:rFonts w:ascii="宋体" w:hAnsi="宋体" w:cs="宋体" w:hint="eastAsia"/>
          <w:bCs/>
          <w:color w:val="000000"/>
          <w:kern w:val="0"/>
          <w:szCs w:val="21"/>
          <w:highlight w:val="none"/>
          <w:lang w:val="zh-CN"/>
        </w:rPr>
        <w:t>b.若评审委员会成员对是否须由投标人作出报价合理性说明，以及书面说明是否采纳等判断不一致的，按照“少数服从多数”的原则确定评审委员会的意见。</w:t>
      </w:r>
    </w:p>
    <w:p>
      <w:pPr>
        <w:pStyle w:val="Heading2"/>
        <w:spacing w:line="300" w:lineRule="auto"/>
        <w:rPr>
          <w:rFonts w:cs="宋体"/>
          <w:color w:val="000000"/>
          <w:sz w:val="28"/>
          <w:szCs w:val="21"/>
          <w:highlight w:val="none"/>
        </w:rPr>
      </w:pPr>
      <w:r>
        <w:rPr>
          <w:rFonts w:cs="宋体" w:hint="eastAsia"/>
          <w:color w:val="000000"/>
          <w:sz w:val="28"/>
          <w:szCs w:val="21"/>
          <w:highlight w:val="none"/>
        </w:rPr>
        <w:br w:type="page"/>
      </w:r>
      <w:r>
        <w:rPr>
          <w:rFonts w:cs="宋体" w:hint="eastAsia"/>
          <w:color w:val="000000"/>
          <w:sz w:val="28"/>
          <w:szCs w:val="21"/>
          <w:highlight w:val="none"/>
        </w:rPr>
        <w:t>第三章  投标文件格式、附件</w:t>
      </w:r>
    </w:p>
    <w:p>
      <w:pPr>
        <w:spacing w:line="300" w:lineRule="auto"/>
        <w:rPr>
          <w:rFonts w:ascii="宋体" w:hAnsi="宋体" w:cs="宋体"/>
          <w:b/>
          <w:color w:val="000000"/>
          <w:szCs w:val="21"/>
          <w:highlight w:val="none"/>
        </w:rPr>
      </w:pPr>
      <w:r>
        <w:rPr>
          <w:rFonts w:ascii="宋体" w:hAnsi="宋体" w:cs="宋体" w:hint="eastAsia"/>
          <w:b/>
          <w:color w:val="000000"/>
          <w:szCs w:val="21"/>
          <w:highlight w:val="none"/>
        </w:rPr>
        <w:t>特别提醒：</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rPr>
          <w:rFonts w:ascii="宋体" w:hAnsi="宋体" w:cs="宋体"/>
          <w:color w:val="000000"/>
          <w:szCs w:val="21"/>
          <w:highlight w:val="none"/>
        </w:rPr>
      </w:pPr>
      <w:r>
        <w:rPr>
          <w:rFonts w:ascii="宋体" w:hAnsi="宋体" w:cs="宋体" w:hint="eastAsia"/>
          <w:color w:val="000000"/>
          <w:szCs w:val="21"/>
          <w:highlight w:val="none"/>
        </w:rPr>
        <w:t xml:space="preserve">    投标文件正文（信息公开部分）必须编制于“标书”，投标文件附件（非信息公开部分）必须编制于“附件”，如下图所示。</w:t>
      </w:r>
    </w:p>
    <w:p>
      <w:pPr>
        <w:spacing w:line="300" w:lineRule="auto"/>
        <w:jc w:val="center"/>
        <w:rPr>
          <w:rFonts w:ascii="宋体" w:hAnsi="宋体" w:cs="宋体"/>
          <w:b/>
          <w:color w:val="000000"/>
          <w:szCs w:val="21"/>
          <w:highlight w:val="none"/>
        </w:rPr>
      </w:pPr>
      <w:r>
        <w:rPr>
          <w:rFonts w:ascii="宋体" w:hAnsi="宋体" w:cs="宋体"/>
          <w:b/>
          <w:color w:val="000000"/>
          <w:szCs w:val="21"/>
          <w:highlight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 o:spid="_x0000_i1025" type="#_x0000_t75" style="height:269.9pt;mso-position-horizontal-relative:char;mso-position-vertical-relative:line;mso-wrap-style:square;width:415.7pt" filled="f" stroked="f">
            <v:stroke linestyle="single"/>
            <v:imagedata r:id="rId10" o:title=""/>
            <v:path o:extrusionok="f"/>
            <o:lock v:ext="edit" aspectratio="t"/>
            <w10:wrap type="none"/>
            <w10:anchorlock/>
          </v:shape>
        </w:pict>
      </w:r>
    </w:p>
    <w:p>
      <w:pPr>
        <w:spacing w:line="300" w:lineRule="auto"/>
        <w:jc w:val="center"/>
        <w:rPr>
          <w:rFonts w:ascii="宋体" w:hAnsi="宋体" w:cs="宋体"/>
          <w:b/>
          <w:color w:val="000000"/>
          <w:szCs w:val="21"/>
          <w:highlight w:val="none"/>
        </w:rPr>
      </w:pPr>
    </w:p>
    <w:p>
      <w:pPr>
        <w:ind w:firstLine="424" w:firstLineChars="202"/>
        <w:rPr>
          <w:rFonts w:ascii="宋体" w:hAnsi="宋体" w:cs="宋体" w:hint="eastAsia"/>
          <w:color w:val="000000"/>
          <w:szCs w:val="21"/>
          <w:highlight w:val="none"/>
        </w:rPr>
      </w:pPr>
      <w:r>
        <w:rPr>
          <w:rFonts w:ascii="宋体" w:hAnsi="宋体" w:cs="宋体" w:hint="eastAsia"/>
          <w:color w:val="000000"/>
          <w:szCs w:val="21"/>
          <w:highlight w:val="none"/>
        </w:rPr>
        <w:t>我招标代理机构公布投标文件正文（信息公开部分）时为计算机截取信息自动公布，如投标人误将涉及个人隐私的信息放入投标文件正文，相关后果由投标人自负；如投标人将必须放于投标文件正文（信息公开部分）的内容放入投标文件附件（非信息公开部分）以回避信息公开、证明文件与业绩等相关资料列放位置错误，由此引发的不利于投标人的后果由投标人承担。</w:t>
      </w:r>
    </w:p>
    <w:p>
      <w:pPr>
        <w:ind w:firstLine="424" w:firstLineChars="202"/>
        <w:rPr>
          <w:rFonts w:ascii="宋体" w:hAnsi="宋体" w:cs="宋体" w:hint="eastAsia"/>
          <w:color w:val="000000"/>
          <w:szCs w:val="21"/>
          <w:highlight w:val="none"/>
        </w:rPr>
      </w:pPr>
    </w:p>
    <w:p>
      <w:pPr>
        <w:ind w:firstLine="424" w:firstLineChars="202"/>
        <w:rPr>
          <w:rFonts w:ascii="宋体" w:hAnsi="宋体" w:cs="宋体" w:hint="eastAsia"/>
          <w:color w:val="000000"/>
          <w:szCs w:val="21"/>
          <w:highlight w:val="none"/>
        </w:rPr>
      </w:pPr>
      <w:r>
        <w:rPr>
          <w:rFonts w:ascii="宋体" w:hAnsi="宋体" w:cs="宋体" w:hint="eastAsia"/>
          <w:color w:val="000000"/>
          <w:szCs w:val="21"/>
          <w:highlight w:val="none"/>
        </w:rPr>
        <w:t>各投标供应商：</w:t>
      </w:r>
    </w:p>
    <w:p>
      <w:pPr>
        <w:ind w:firstLine="424" w:firstLineChars="202"/>
        <w:rPr>
          <w:rFonts w:ascii="宋体" w:hAnsi="宋体" w:cs="宋体" w:hint="eastAsia"/>
          <w:color w:val="000000"/>
          <w:szCs w:val="21"/>
          <w:highlight w:val="none"/>
        </w:rPr>
      </w:pPr>
      <w:r>
        <w:rPr>
          <w:rFonts w:ascii="宋体" w:hAnsi="宋体" w:cs="宋体" w:hint="eastAsia"/>
          <w:color w:val="000000"/>
          <w:szCs w:val="21"/>
          <w:highlight w:val="none"/>
        </w:rPr>
        <w:t>根据《中华人民共和国政府采购法》、《深圳经济特区政府采购条例》及《深圳市财政局关于进一步规范政府采购中标（成交）结果公示（公开）信息的通知》等的规定，为增强各供应商诚信守法、公平竞争意识，规范各供应商投标行为，有效遏制投标供应商在政府采购活动中的串通投标、造假等不诚信行为，促进我市政府采购市场诚信体系建设，确保我市政府采购工作公开、公平和公正，中国远东国际招标有限公司将依法依规对投标信息予以公示，望各投标供应商给予配合，履行好自身的权益和义务。</w:t>
      </w:r>
    </w:p>
    <w:p>
      <w:pPr>
        <w:ind w:firstLine="424" w:firstLineChars="202"/>
        <w:rPr>
          <w:rFonts w:ascii="宋体" w:hAnsi="宋体" w:cs="宋体" w:hint="eastAsia"/>
          <w:color w:val="000000"/>
          <w:szCs w:val="21"/>
          <w:highlight w:val="none"/>
        </w:rPr>
      </w:pPr>
      <w:r>
        <w:rPr>
          <w:rFonts w:ascii="宋体" w:hAnsi="宋体" w:cs="宋体" w:hint="eastAsia"/>
          <w:color w:val="000000"/>
          <w:szCs w:val="21"/>
          <w:highlight w:val="none"/>
        </w:rPr>
        <w:t>望各供应商要珍惜本次投标机会，诚实、守信、依法、依规投标。</w:t>
      </w:r>
    </w:p>
    <w:p>
      <w:pPr>
        <w:ind w:firstLine="424" w:firstLineChars="202"/>
        <w:rPr>
          <w:rFonts w:ascii="宋体" w:hAnsi="宋体" w:cs="宋体" w:hint="eastAsia"/>
          <w:color w:val="000000"/>
          <w:szCs w:val="21"/>
          <w:highlight w:val="none"/>
        </w:rPr>
      </w:pPr>
    </w:p>
    <w:p>
      <w:pPr>
        <w:ind w:firstLine="424" w:firstLineChars="202"/>
        <w:rPr>
          <w:rFonts w:ascii="宋体" w:hAnsi="宋体" w:cs="宋体" w:hint="eastAsia"/>
          <w:color w:val="000000"/>
          <w:szCs w:val="21"/>
          <w:highlight w:val="none"/>
        </w:rPr>
      </w:pPr>
      <w:r>
        <w:rPr>
          <w:rFonts w:ascii="宋体" w:hAnsi="宋体" w:cs="宋体" w:hint="eastAsia"/>
          <w:color w:val="000000"/>
          <w:szCs w:val="21"/>
          <w:highlight w:val="none"/>
        </w:rPr>
        <w:t>备注：</w:t>
      </w:r>
    </w:p>
    <w:p>
      <w:pPr>
        <w:ind w:firstLine="424" w:firstLineChars="202"/>
        <w:rPr>
          <w:rFonts w:ascii="宋体" w:hAnsi="宋体" w:cs="宋体" w:hint="eastAsia"/>
          <w:color w:val="000000"/>
          <w:szCs w:val="21"/>
          <w:highlight w:val="none"/>
        </w:rPr>
      </w:pPr>
      <w:r>
        <w:rPr>
          <w:rFonts w:ascii="宋体" w:hAnsi="宋体" w:cs="宋体" w:hint="eastAsia"/>
          <w:color w:val="000000"/>
          <w:szCs w:val="21"/>
          <w:highlight w:val="none"/>
        </w:rPr>
        <w:t>1.本项目为网上电子投标项目，投标文件不需法人或授权委托人另行签字，无需加盖单位公章，招标文件专用条款另有规定的除外。</w:t>
      </w:r>
    </w:p>
    <w:p>
      <w:pPr>
        <w:ind w:firstLine="424" w:firstLineChars="202"/>
        <w:rPr>
          <w:rFonts w:ascii="宋体" w:hAnsi="宋体" w:cs="宋体" w:hint="eastAsia"/>
          <w:color w:val="000000"/>
          <w:szCs w:val="21"/>
          <w:highlight w:val="none"/>
        </w:rPr>
      </w:pPr>
      <w:r>
        <w:rPr>
          <w:rFonts w:ascii="宋体" w:hAnsi="宋体" w:cs="宋体" w:hint="eastAsia"/>
          <w:color w:val="000000"/>
          <w:szCs w:val="21"/>
          <w:highlight w:val="none"/>
        </w:rPr>
        <w:t>2.关于“开标一览表”的评标说明：“开标一览表”中除“投标总价”外，其他信息不作评审依据。</w:t>
      </w:r>
    </w:p>
    <w:p>
      <w:pPr>
        <w:ind w:firstLine="424" w:firstLineChars="202"/>
        <w:rPr>
          <w:rFonts w:ascii="宋体" w:hAnsi="宋体" w:cs="宋体"/>
          <w:bCs/>
          <w:color w:val="000000"/>
          <w:sz w:val="24"/>
          <w:highlight w:val="none"/>
        </w:rPr>
      </w:pPr>
      <w:r>
        <w:rPr>
          <w:rFonts w:ascii="宋体" w:hAnsi="宋体" w:cs="宋体" w:hint="eastAsia"/>
          <w:color w:val="000000"/>
          <w:szCs w:val="21"/>
          <w:highlight w:val="none"/>
        </w:rPr>
        <w:t>3.关于投标书编制软件中“开标一览表”的填写说明：“开标一览表”中“完工期”一栏的填写内容不作任何要求，由投标人自行填写</w:t>
      </w:r>
      <w:r>
        <w:rPr>
          <w:rFonts w:ascii="宋体" w:hAnsi="宋体" w:cs="宋体" w:hint="eastAsia"/>
          <w:bCs/>
          <w:color w:val="000000"/>
          <w:szCs w:val="21"/>
          <w:highlight w:val="none"/>
        </w:rPr>
        <w:t>。</w:t>
      </w:r>
    </w:p>
    <w:p>
      <w:pPr>
        <w:spacing w:line="360" w:lineRule="auto"/>
        <w:ind w:firstLine="424" w:firstLineChars="202"/>
        <w:rPr>
          <w:rFonts w:ascii="宋体" w:hAnsi="宋体" w:cs="宋体"/>
          <w:b/>
          <w:bCs/>
          <w:color w:val="000000"/>
          <w:sz w:val="24"/>
          <w:highlight w:val="none"/>
          <w:shd w:val="pct10" w:color="auto" w:fill="FFFFFF"/>
        </w:rPr>
      </w:pPr>
    </w:p>
    <w:p>
      <w:pPr>
        <w:keepNext/>
        <w:keepLines/>
        <w:adjustRightInd w:val="0"/>
        <w:spacing w:before="260" w:after="260" w:line="360" w:lineRule="auto"/>
        <w:ind w:firstLine="2617" w:firstLineChars="1246"/>
        <w:textAlignment w:val="baseline"/>
        <w:outlineLvl w:val="1"/>
        <w:rPr>
          <w:rFonts w:ascii="宋体" w:hAnsi="宋体" w:cs="宋体"/>
          <w:b/>
          <w:bCs/>
          <w:color w:val="000000"/>
          <w:kern w:val="0"/>
          <w:sz w:val="30"/>
          <w:szCs w:val="30"/>
          <w:highlight w:val="none"/>
        </w:rPr>
      </w:pPr>
      <w:r>
        <w:rPr>
          <w:rFonts w:ascii="宋体" w:hAnsi="宋体" w:cs="宋体" w:hint="eastAsia"/>
          <w:b/>
          <w:bCs/>
          <w:color w:val="000000"/>
          <w:kern w:val="0"/>
          <w:sz w:val="30"/>
          <w:szCs w:val="30"/>
          <w:highlight w:val="none"/>
        </w:rPr>
        <w:br w:type="page"/>
      </w:r>
      <w:r>
        <w:rPr>
          <w:rFonts w:ascii="宋体" w:hAnsi="宋体" w:cs="宋体" w:hint="eastAsia"/>
          <w:b/>
          <w:bCs/>
          <w:color w:val="000000"/>
          <w:kern w:val="0"/>
          <w:sz w:val="30"/>
          <w:szCs w:val="30"/>
          <w:highlight w:val="none"/>
        </w:rPr>
        <w:t>投标文件目录</w:t>
      </w:r>
    </w:p>
    <w:p>
      <w:pPr>
        <w:numPr>
          <w:ilvl w:val="0"/>
          <w:numId w:val="14"/>
        </w:numPr>
        <w:spacing w:before="240" w:beforeLines="100" w:line="360" w:lineRule="auto"/>
        <w:rPr>
          <w:rFonts w:ascii="宋体" w:hAnsi="宋体" w:cs="宋体"/>
          <w:b/>
          <w:color w:val="000000"/>
          <w:szCs w:val="21"/>
          <w:highlight w:val="none"/>
        </w:rPr>
      </w:pPr>
      <w:r>
        <w:rPr>
          <w:rFonts w:ascii="宋体" w:hAnsi="宋体" w:cs="宋体" w:hint="eastAsia"/>
          <w:b/>
          <w:color w:val="000000"/>
          <w:szCs w:val="21"/>
          <w:highlight w:val="none"/>
        </w:rPr>
        <w:t>信息公开部分</w:t>
      </w:r>
    </w:p>
    <w:p>
      <w:pPr>
        <w:numPr>
          <w:ilvl w:val="0"/>
          <w:numId w:val="15"/>
        </w:numPr>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开标一览表</w:t>
      </w:r>
    </w:p>
    <w:p>
      <w:pPr>
        <w:numPr>
          <w:ilvl w:val="0"/>
          <w:numId w:val="15"/>
        </w:numPr>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项目分项报价表</w:t>
      </w:r>
    </w:p>
    <w:p>
      <w:pPr>
        <w:numPr>
          <w:ilvl w:val="0"/>
          <w:numId w:val="15"/>
        </w:numPr>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中小企业声明函、监狱企业的证明文件或残疾人福利性单位声明函</w:t>
      </w:r>
    </w:p>
    <w:p>
      <w:pPr>
        <w:numPr>
          <w:ilvl w:val="0"/>
          <w:numId w:val="15"/>
        </w:numPr>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政府采购违法行为风险知悉确认书</w:t>
      </w:r>
    </w:p>
    <w:p>
      <w:pPr>
        <w:numPr>
          <w:ilvl w:val="0"/>
          <w:numId w:val="15"/>
        </w:numPr>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资格性审查文件(详见资格性检查表)</w:t>
      </w:r>
    </w:p>
    <w:p>
      <w:pPr>
        <w:numPr>
          <w:ilvl w:val="0"/>
          <w:numId w:val="15"/>
        </w:numPr>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符合性审查文件(详见符合性检查表)</w:t>
      </w:r>
    </w:p>
    <w:p>
      <w:pPr>
        <w:numPr>
          <w:ilvl w:val="0"/>
          <w:numId w:val="15"/>
        </w:numPr>
        <w:spacing w:before="240" w:beforeLines="100" w:line="360" w:lineRule="auto"/>
        <w:rPr>
          <w:rFonts w:ascii="宋体" w:hAnsi="宋体" w:cs="宋体" w:hint="eastAsia"/>
          <w:color w:val="000000"/>
          <w:kern w:val="0"/>
          <w:szCs w:val="21"/>
          <w:highlight w:val="none"/>
        </w:rPr>
      </w:pPr>
      <w:r>
        <w:rPr>
          <w:rFonts w:ascii="宋体" w:hAnsi="宋体" w:cs="宋体" w:hint="eastAsia"/>
          <w:color w:val="000000"/>
          <w:kern w:val="0"/>
          <w:szCs w:val="21"/>
          <w:highlight w:val="none"/>
        </w:rPr>
        <w:t>技术条款偏离情况</w:t>
      </w:r>
    </w:p>
    <w:p>
      <w:pPr>
        <w:numPr>
          <w:ilvl w:val="0"/>
          <w:numId w:val="15"/>
        </w:numPr>
        <w:spacing w:before="240" w:beforeLines="100" w:line="360" w:lineRule="auto"/>
        <w:rPr>
          <w:rFonts w:ascii="宋体" w:hAnsi="宋体" w:cs="宋体" w:hint="eastAsia"/>
          <w:color w:val="000000"/>
          <w:kern w:val="0"/>
          <w:szCs w:val="21"/>
          <w:highlight w:val="none"/>
        </w:rPr>
      </w:pPr>
      <w:r>
        <w:rPr>
          <w:rFonts w:ascii="宋体" w:hAnsi="宋体" w:cs="宋体" w:hint="eastAsia"/>
          <w:color w:val="000000"/>
          <w:kern w:val="0"/>
          <w:szCs w:val="21"/>
          <w:highlight w:val="none"/>
        </w:rPr>
        <w:t>免费保修期内售后服务条款偏离情况</w:t>
      </w:r>
    </w:p>
    <w:p>
      <w:pPr>
        <w:numPr>
          <w:ilvl w:val="0"/>
          <w:numId w:val="15"/>
        </w:numPr>
        <w:spacing w:before="240" w:beforeLines="100" w:line="360" w:lineRule="auto"/>
        <w:rPr>
          <w:rFonts w:ascii="宋体" w:hAnsi="宋体" w:cs="宋体" w:hint="eastAsia"/>
          <w:color w:val="000000"/>
          <w:kern w:val="0"/>
          <w:szCs w:val="21"/>
          <w:highlight w:val="none"/>
        </w:rPr>
      </w:pPr>
      <w:r>
        <w:rPr>
          <w:rFonts w:ascii="宋体" w:hAnsi="宋体" w:cs="宋体" w:hint="eastAsia"/>
          <w:color w:val="000000"/>
          <w:kern w:val="0"/>
          <w:szCs w:val="21"/>
          <w:highlight w:val="none"/>
        </w:rPr>
        <w:t>免费保修期外售后服务条款偏离情况</w:t>
      </w:r>
    </w:p>
    <w:p>
      <w:pPr>
        <w:numPr>
          <w:ilvl w:val="0"/>
          <w:numId w:val="15"/>
        </w:numPr>
        <w:spacing w:before="240" w:beforeLines="100" w:line="360" w:lineRule="auto"/>
        <w:rPr>
          <w:rFonts w:ascii="宋体" w:hAnsi="宋体" w:cs="宋体" w:hint="eastAsia"/>
          <w:color w:val="000000"/>
          <w:kern w:val="0"/>
          <w:szCs w:val="21"/>
          <w:highlight w:val="none"/>
        </w:rPr>
      </w:pPr>
      <w:r>
        <w:rPr>
          <w:rFonts w:ascii="宋体" w:hAnsi="宋体" w:cs="宋体" w:hint="eastAsia"/>
          <w:color w:val="000000"/>
          <w:kern w:val="0"/>
          <w:szCs w:val="21"/>
          <w:highlight w:val="none"/>
        </w:rPr>
        <w:t>其他商务条款偏离情况</w:t>
      </w:r>
    </w:p>
    <w:p>
      <w:pPr>
        <w:numPr>
          <w:ilvl w:val="0"/>
          <w:numId w:val="15"/>
        </w:numPr>
        <w:spacing w:before="240" w:beforeLines="100" w:line="360" w:lineRule="auto"/>
        <w:rPr>
          <w:rFonts w:ascii="宋体" w:hAnsi="宋体" w:cs="宋体"/>
          <w:color w:val="000000"/>
          <w:szCs w:val="21"/>
          <w:highlight w:val="none"/>
        </w:rPr>
      </w:pPr>
      <w:r>
        <w:rPr>
          <w:rFonts w:ascii="宋体" w:hAnsi="宋体" w:cs="宋体" w:hint="eastAsia"/>
          <w:color w:val="000000"/>
          <w:szCs w:val="21"/>
          <w:highlight w:val="none"/>
        </w:rPr>
        <w:t>投标人认为有必要提供的其他材料1</w:t>
      </w:r>
    </w:p>
    <w:p>
      <w:pPr>
        <w:tabs>
          <w:tab w:val="left" w:pos="567"/>
        </w:tabs>
        <w:spacing w:before="240" w:beforeLines="100" w:line="360" w:lineRule="auto"/>
        <w:ind w:left="420"/>
        <w:rPr>
          <w:rFonts w:ascii="宋体" w:hAnsi="宋体" w:cs="宋体"/>
          <w:b/>
          <w:color w:val="000000"/>
          <w:szCs w:val="21"/>
          <w:highlight w:val="none"/>
        </w:rPr>
      </w:pPr>
      <w:r>
        <w:rPr>
          <w:rFonts w:ascii="宋体" w:hAnsi="宋体" w:cs="宋体" w:hint="eastAsia"/>
          <w:b/>
          <w:color w:val="000000"/>
          <w:szCs w:val="21"/>
          <w:highlight w:val="none"/>
        </w:rPr>
        <w:t>二、非信息公开部分（请放附件）</w:t>
      </w:r>
    </w:p>
    <w:p>
      <w:pPr>
        <w:numPr>
          <w:ilvl w:val="0"/>
          <w:numId w:val="16"/>
        </w:numPr>
        <w:tabs>
          <w:tab w:val="left" w:pos="567"/>
        </w:tabs>
        <w:spacing w:before="240" w:beforeLines="100" w:line="360" w:lineRule="auto"/>
        <w:rPr>
          <w:rFonts w:ascii="宋体" w:hAnsi="宋体" w:cs="宋体" w:hint="eastAsia"/>
          <w:color w:val="000000"/>
          <w:szCs w:val="21"/>
          <w:highlight w:val="none"/>
          <w:lang w:val="zh-CN" w:bidi="zh-CN"/>
        </w:rPr>
      </w:pPr>
      <w:r>
        <w:rPr>
          <w:rFonts w:ascii="宋体" w:hAnsi="宋体" w:cs="宋体" w:hint="eastAsia"/>
          <w:color w:val="000000"/>
          <w:szCs w:val="21"/>
          <w:highlight w:val="none"/>
        </w:rPr>
        <w:t>法定代表人(负责人)资格证明书和投标文件签署授权委托书(详见符合性检查表)</w:t>
      </w:r>
    </w:p>
    <w:p>
      <w:pPr>
        <w:numPr>
          <w:ilvl w:val="0"/>
          <w:numId w:val="16"/>
        </w:numPr>
        <w:tabs>
          <w:tab w:val="left" w:pos="567"/>
        </w:tabs>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投标人认为有必要提供的其他材料2</w:t>
      </w:r>
    </w:p>
    <w:p>
      <w:pPr>
        <w:numPr>
          <w:ilvl w:val="0"/>
          <w:numId w:val="16"/>
        </w:numPr>
        <w:tabs>
          <w:tab w:val="left" w:pos="567"/>
        </w:tabs>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投标人联络信息</w:t>
      </w:r>
    </w:p>
    <w:p>
      <w:pPr>
        <w:pStyle w:val="NormalIndent"/>
        <w:rPr>
          <w:rFonts w:hint="eastAsia"/>
          <w:color w:val="000000"/>
          <w:highlight w:val="none"/>
        </w:rPr>
      </w:pPr>
    </w:p>
    <w:p>
      <w:pPr>
        <w:pStyle w:val="Footer"/>
        <w:tabs>
          <w:tab w:val="center" w:pos="4153"/>
          <w:tab w:val="right" w:pos="8306"/>
        </w:tabs>
        <w:rPr>
          <w:rFonts w:hint="eastAsia"/>
          <w:color w:val="000000"/>
          <w:highlight w:val="none"/>
        </w:rPr>
      </w:pPr>
    </w:p>
    <w:p>
      <w:pPr>
        <w:tabs>
          <w:tab w:val="left" w:pos="567"/>
        </w:tabs>
        <w:spacing w:line="360" w:lineRule="auto"/>
        <w:ind w:left="399" w:firstLine="105" w:leftChars="190" w:firstLineChars="50"/>
        <w:jc w:val="center"/>
        <w:outlineLvl w:val="2"/>
        <w:rPr>
          <w:rFonts w:cs="宋体"/>
          <w:b/>
          <w:color w:val="000000"/>
          <w:sz w:val="24"/>
          <w:highlight w:val="none"/>
        </w:rPr>
      </w:pPr>
      <w:r>
        <w:rPr>
          <w:rFonts w:cs="宋体"/>
          <w:color w:val="000000"/>
          <w:sz w:val="24"/>
          <w:highlight w:val="none"/>
        </w:rPr>
        <w:br w:type="page"/>
      </w:r>
      <w:r>
        <w:rPr>
          <w:rFonts w:cs="宋体" w:hint="eastAsia"/>
          <w:b/>
          <w:color w:val="000000"/>
          <w:sz w:val="24"/>
          <w:highlight w:val="none"/>
        </w:rPr>
        <w:t>一、投标函</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致：中国远东国际招标有限公司</w:t>
      </w:r>
    </w:p>
    <w:p>
      <w:pPr>
        <w:spacing w:after="120" w:afterLines="50" w:line="36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1.根据已收到贵方的项目编号为</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的</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项目的招标文件，遵照《深圳经济特区政府采购条例》和《深圳网上政府采购管理暂行办法》等有关规定，我单位经研究上述招标文件的专用条款及通用条款后，我方愿以投标书编制软件中《开标一览表》中填写的投标报价并按招标文件要求承包上述项目并修补其任何缺陷。</w:t>
      </w:r>
    </w:p>
    <w:p>
      <w:pPr>
        <w:spacing w:after="120" w:afterLines="50" w:line="36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20" w:afterLines="50" w:line="36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3.如果我方中标，我方将按照合同规定提交履约担保（可提供保函或现金）。</w:t>
      </w:r>
    </w:p>
    <w:p>
      <w:pPr>
        <w:spacing w:after="120" w:afterLines="50" w:line="360" w:lineRule="auto"/>
        <w:ind w:firstLine="412" w:firstLineChars="196"/>
        <w:rPr>
          <w:rFonts w:ascii="宋体" w:hAnsi="宋体" w:cs="宋体"/>
          <w:color w:val="000000"/>
          <w:szCs w:val="21"/>
          <w:highlight w:val="none"/>
        </w:rPr>
      </w:pPr>
      <w:r>
        <w:rPr>
          <w:rFonts w:ascii="宋体" w:hAnsi="宋体" w:cs="宋体" w:hint="eastAsia"/>
          <w:color w:val="000000"/>
          <w:szCs w:val="21"/>
          <w:highlight w:val="none"/>
        </w:rPr>
        <w:t>4.我方同意所递交的投标文件在“对通用条款的补充内容”中的投标有效期内有效，在此期间内我方的投标有可能中标，我方将受此约束。</w:t>
      </w:r>
    </w:p>
    <w:p>
      <w:pPr>
        <w:spacing w:after="120" w:afterLines="50" w:line="360" w:lineRule="auto"/>
        <w:ind w:firstLine="412" w:firstLineChars="196"/>
        <w:rPr>
          <w:rFonts w:ascii="宋体" w:hAnsi="宋体" w:cs="宋体"/>
          <w:color w:val="000000"/>
          <w:szCs w:val="21"/>
          <w:highlight w:val="none"/>
        </w:rPr>
      </w:pPr>
      <w:r>
        <w:rPr>
          <w:rFonts w:ascii="宋体" w:hAnsi="宋体" w:cs="宋体" w:hint="eastAsia"/>
          <w:color w:val="000000"/>
          <w:szCs w:val="21"/>
          <w:highlight w:val="none"/>
        </w:rPr>
        <w:t>5.除非另外达成协议并生效，贵方的中标通知书和本投标文件将构成约束我们双方的合同。</w:t>
      </w:r>
    </w:p>
    <w:p>
      <w:pPr>
        <w:spacing w:after="120" w:afterLines="50" w:line="360" w:lineRule="auto"/>
        <w:ind w:firstLine="412" w:firstLineChars="196"/>
        <w:rPr>
          <w:rFonts w:ascii="宋体" w:hAnsi="宋体" w:cs="宋体"/>
          <w:color w:val="000000"/>
          <w:szCs w:val="21"/>
          <w:highlight w:val="none"/>
        </w:rPr>
      </w:pPr>
      <w:r>
        <w:rPr>
          <w:rFonts w:ascii="宋体" w:hAnsi="宋体" w:cs="宋体" w:hint="eastAsia"/>
          <w:color w:val="000000"/>
          <w:szCs w:val="21"/>
          <w:highlight w:val="none"/>
        </w:rPr>
        <w:t>6.我方理解贵方将不受必须接受你们所收到的最低报价或其它任何投标文件的约束。</w:t>
      </w:r>
    </w:p>
    <w:p>
      <w:pPr>
        <w:spacing w:after="120" w:afterLines="50" w:line="360" w:lineRule="auto"/>
        <w:ind w:firstLine="412" w:firstLineChars="196"/>
        <w:rPr>
          <w:rFonts w:ascii="宋体" w:hAnsi="宋体" w:cs="宋体"/>
          <w:color w:val="000000"/>
          <w:szCs w:val="21"/>
          <w:highlight w:val="none"/>
        </w:rPr>
      </w:pPr>
    </w:p>
    <w:p>
      <w:pPr>
        <w:spacing w:line="360" w:lineRule="auto"/>
        <w:ind w:left="540" w:leftChars="257"/>
        <w:rPr>
          <w:rFonts w:ascii="宋体" w:hAnsi="宋体" w:cs="宋体"/>
          <w:color w:val="000000"/>
          <w:szCs w:val="21"/>
          <w:highlight w:val="none"/>
        </w:rPr>
      </w:pPr>
      <w:r>
        <w:rPr>
          <w:rFonts w:ascii="宋体" w:hAnsi="宋体" w:cs="宋体" w:hint="eastAsia"/>
          <w:color w:val="000000"/>
          <w:szCs w:val="21"/>
          <w:highlight w:val="none"/>
        </w:rPr>
        <w:t>投标人：</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 xml:space="preserve">    </w:t>
      </w:r>
    </w:p>
    <w:p>
      <w:pPr>
        <w:spacing w:line="360" w:lineRule="auto"/>
        <w:ind w:left="540" w:leftChars="257"/>
        <w:rPr>
          <w:rFonts w:ascii="宋体" w:hAnsi="宋体" w:cs="宋体"/>
          <w:color w:val="000000"/>
          <w:szCs w:val="21"/>
          <w:highlight w:val="none"/>
          <w:u w:val="single"/>
        </w:rPr>
      </w:pPr>
      <w:r>
        <w:rPr>
          <w:rFonts w:ascii="宋体" w:hAnsi="宋体" w:cs="宋体" w:hint="eastAsia"/>
          <w:color w:val="000000"/>
          <w:szCs w:val="21"/>
          <w:highlight w:val="none"/>
        </w:rPr>
        <w:t>单位地址：</w:t>
      </w:r>
      <w:r>
        <w:rPr>
          <w:rFonts w:ascii="宋体" w:hAnsi="宋体" w:cs="宋体" w:hint="eastAsia"/>
          <w:color w:val="000000"/>
          <w:szCs w:val="21"/>
          <w:highlight w:val="none"/>
          <w:u w:val="single"/>
        </w:rPr>
        <w:t xml:space="preserve">               </w:t>
      </w:r>
    </w:p>
    <w:p>
      <w:pPr>
        <w:spacing w:line="360" w:lineRule="auto"/>
        <w:ind w:left="540" w:leftChars="257"/>
        <w:rPr>
          <w:rFonts w:ascii="宋体" w:hAnsi="宋体" w:cs="宋体"/>
          <w:color w:val="000000"/>
          <w:szCs w:val="21"/>
          <w:highlight w:val="none"/>
          <w:u w:val="single"/>
        </w:rPr>
      </w:pPr>
      <w:r>
        <w:rPr>
          <w:rFonts w:ascii="宋体" w:hAnsi="宋体" w:cs="宋体" w:hint="eastAsia"/>
          <w:color w:val="000000"/>
          <w:szCs w:val="21"/>
          <w:highlight w:val="none"/>
        </w:rPr>
        <w:t>法定代表人或其委托代理人：</w:t>
      </w:r>
      <w:r>
        <w:rPr>
          <w:rFonts w:ascii="宋体" w:hAnsi="宋体" w:cs="宋体" w:hint="eastAsia"/>
          <w:color w:val="000000"/>
          <w:szCs w:val="21"/>
          <w:highlight w:val="none"/>
          <w:u w:val="single"/>
        </w:rPr>
        <w:t xml:space="preserve">                   </w:t>
      </w:r>
    </w:p>
    <w:p>
      <w:pPr>
        <w:spacing w:line="360" w:lineRule="auto"/>
        <w:ind w:left="540" w:leftChars="257"/>
        <w:rPr>
          <w:rFonts w:ascii="宋体" w:hAnsi="宋体" w:cs="宋体"/>
          <w:color w:val="000000"/>
          <w:szCs w:val="21"/>
          <w:highlight w:val="none"/>
          <w:u w:val="single"/>
        </w:rPr>
      </w:pPr>
      <w:r>
        <w:rPr>
          <w:rFonts w:ascii="宋体" w:hAnsi="宋体" w:cs="宋体" w:hint="eastAsia"/>
          <w:color w:val="000000"/>
          <w:szCs w:val="21"/>
          <w:highlight w:val="none"/>
        </w:rPr>
        <w:t>电话：</w:t>
      </w:r>
      <w:r>
        <w:rPr>
          <w:rFonts w:ascii="宋体" w:hAnsi="宋体" w:cs="宋体" w:hint="eastAsia"/>
          <w:color w:val="000000"/>
          <w:szCs w:val="21"/>
          <w:highlight w:val="none"/>
          <w:u w:val="single"/>
        </w:rPr>
        <w:t xml:space="preserve">          </w:t>
      </w:r>
    </w:p>
    <w:p>
      <w:pPr>
        <w:spacing w:line="360" w:lineRule="auto"/>
        <w:ind w:left="540" w:leftChars="257"/>
        <w:rPr>
          <w:rFonts w:ascii="宋体" w:hAnsi="宋体" w:cs="宋体"/>
          <w:color w:val="000000"/>
          <w:szCs w:val="21"/>
          <w:highlight w:val="none"/>
          <w:u w:val="single"/>
        </w:rPr>
      </w:pPr>
      <w:r>
        <w:rPr>
          <w:rFonts w:ascii="宋体" w:hAnsi="宋体" w:cs="宋体" w:hint="eastAsia"/>
          <w:color w:val="000000"/>
          <w:szCs w:val="21"/>
          <w:highlight w:val="none"/>
        </w:rPr>
        <w:t>传真：</w:t>
      </w:r>
      <w:r>
        <w:rPr>
          <w:rFonts w:ascii="宋体" w:hAnsi="宋体" w:cs="宋体" w:hint="eastAsia"/>
          <w:color w:val="000000"/>
          <w:szCs w:val="21"/>
          <w:highlight w:val="none"/>
          <w:u w:val="single"/>
        </w:rPr>
        <w:t xml:space="preserve">            </w:t>
      </w:r>
    </w:p>
    <w:p>
      <w:pPr>
        <w:spacing w:line="360" w:lineRule="auto"/>
        <w:ind w:left="540" w:leftChars="257"/>
        <w:rPr>
          <w:rFonts w:ascii="宋体" w:hAnsi="宋体" w:cs="宋体"/>
          <w:color w:val="000000"/>
          <w:szCs w:val="21"/>
          <w:highlight w:val="none"/>
        </w:rPr>
      </w:pPr>
      <w:r>
        <w:rPr>
          <w:rFonts w:ascii="宋体" w:hAnsi="宋体" w:cs="宋体" w:hint="eastAsia"/>
          <w:color w:val="000000"/>
          <w:szCs w:val="21"/>
          <w:highlight w:val="none"/>
        </w:rPr>
        <w:t>开户银行名称：</w:t>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rPr>
        <w:tab/>
      </w:r>
    </w:p>
    <w:p>
      <w:pPr>
        <w:spacing w:line="360" w:lineRule="auto"/>
        <w:ind w:left="540" w:leftChars="257"/>
        <w:rPr>
          <w:rFonts w:ascii="宋体" w:hAnsi="宋体" w:cs="宋体"/>
          <w:color w:val="000000"/>
          <w:szCs w:val="21"/>
          <w:highlight w:val="none"/>
        </w:rPr>
      </w:pPr>
      <w:r>
        <w:rPr>
          <w:rFonts w:ascii="宋体" w:hAnsi="宋体" w:cs="宋体" w:hint="eastAsia"/>
          <w:color w:val="000000"/>
          <w:szCs w:val="21"/>
          <w:highlight w:val="none"/>
        </w:rPr>
        <w:t>开户银行帐号：</w:t>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p>
    <w:p>
      <w:pPr>
        <w:spacing w:line="360" w:lineRule="auto"/>
        <w:ind w:left="540" w:leftChars="257"/>
        <w:rPr>
          <w:rFonts w:ascii="宋体" w:hAnsi="宋体" w:cs="宋体"/>
          <w:color w:val="000000"/>
          <w:szCs w:val="21"/>
          <w:highlight w:val="none"/>
        </w:rPr>
      </w:pPr>
      <w:r>
        <w:rPr>
          <w:rFonts w:ascii="宋体" w:hAnsi="宋体" w:cs="宋体" w:hint="eastAsia"/>
          <w:color w:val="000000"/>
          <w:szCs w:val="21"/>
          <w:highlight w:val="none"/>
        </w:rPr>
        <w:t>开户银行地址：</w:t>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rPr>
        <w:tab/>
      </w:r>
    </w:p>
    <w:p>
      <w:pPr>
        <w:spacing w:line="360" w:lineRule="auto"/>
        <w:ind w:left="540" w:leftChars="257"/>
        <w:rPr>
          <w:rFonts w:ascii="宋体" w:hAnsi="宋体" w:cs="宋体"/>
          <w:color w:val="000000"/>
          <w:szCs w:val="21"/>
          <w:highlight w:val="none"/>
        </w:rPr>
      </w:pPr>
      <w:r>
        <w:rPr>
          <w:rFonts w:ascii="宋体" w:hAnsi="宋体" w:cs="宋体" w:hint="eastAsia"/>
          <w:color w:val="000000"/>
          <w:szCs w:val="21"/>
          <w:highlight w:val="none"/>
        </w:rPr>
        <w:t>开户银行电话：</w:t>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p>
    <w:p>
      <w:pPr>
        <w:spacing w:line="360" w:lineRule="auto"/>
        <w:ind w:firstLine="540" w:firstLineChars="257"/>
        <w:rPr>
          <w:rFonts w:ascii="宋体" w:hAnsi="宋体" w:cs="宋体"/>
          <w:color w:val="000000"/>
          <w:sz w:val="24"/>
          <w:highlight w:val="none"/>
        </w:rPr>
      </w:pPr>
      <w:r>
        <w:rPr>
          <w:rFonts w:ascii="宋体" w:hAnsi="宋体" w:cs="宋体" w:hint="eastAsia"/>
          <w:color w:val="000000"/>
          <w:szCs w:val="21"/>
          <w:highlight w:val="none"/>
        </w:rPr>
        <w:t>日期：</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年</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月</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日</w:t>
      </w:r>
      <w:r>
        <w:rPr>
          <w:rFonts w:ascii="宋体" w:hAnsi="宋体" w:cs="宋体" w:hint="eastAsia"/>
          <w:color w:val="000000"/>
          <w:sz w:val="24"/>
          <w:highlight w:val="none"/>
        </w:rPr>
        <w:t xml:space="preserve">                                </w:t>
      </w:r>
    </w:p>
    <w:p>
      <w:pPr>
        <w:spacing w:after="120" w:afterLines="50" w:line="360" w:lineRule="auto"/>
        <w:ind w:firstLine="412" w:firstLineChars="196"/>
        <w:rPr>
          <w:rFonts w:ascii="宋体" w:hAnsi="宋体" w:cs="宋体"/>
          <w:color w:val="000000"/>
          <w:szCs w:val="21"/>
          <w:highlight w:val="none"/>
        </w:rPr>
      </w:pPr>
    </w:p>
    <w:p>
      <w:pPr>
        <w:spacing w:after="120" w:afterLines="50"/>
        <w:ind w:firstLine="412" w:firstLineChars="196"/>
        <w:rPr>
          <w:rFonts w:ascii="宋体" w:hAnsi="宋体" w:cs="宋体"/>
          <w:color w:val="000000"/>
          <w:szCs w:val="21"/>
          <w:highlight w:val="none"/>
        </w:rPr>
      </w:pPr>
    </w:p>
    <w:p>
      <w:pPr>
        <w:widowControl/>
        <w:jc w:val="left"/>
        <w:rPr>
          <w:rFonts w:ascii="宋体" w:hAnsi="宋体" w:cs="宋体"/>
          <w:bCs/>
          <w:color w:val="000000"/>
          <w:kern w:val="0"/>
          <w:sz w:val="24"/>
          <w:szCs w:val="32"/>
          <w:highlight w:val="none"/>
        </w:rPr>
      </w:pPr>
    </w:p>
    <w:p>
      <w:pPr>
        <w:pStyle w:val="Heading3"/>
        <w:numPr>
          <w:ilvl w:val="0"/>
          <w:numId w:val="17"/>
        </w:numPr>
        <w:jc w:val="center"/>
        <w:rPr>
          <w:rFonts w:cs="宋体"/>
          <w:color w:val="000000"/>
          <w:kern w:val="0"/>
          <w:sz w:val="24"/>
          <w:highlight w:val="none"/>
        </w:rPr>
      </w:pPr>
      <w:r>
        <w:rPr>
          <w:rFonts w:cs="宋体" w:hint="eastAsia"/>
          <w:color w:val="000000"/>
          <w:kern w:val="0"/>
          <w:sz w:val="24"/>
          <w:highlight w:val="none"/>
        </w:rPr>
        <w:br w:type="page"/>
      </w:r>
      <w:r>
        <w:rPr>
          <w:rFonts w:cs="宋体" w:hint="eastAsia"/>
          <w:color w:val="000000"/>
          <w:kern w:val="0"/>
          <w:sz w:val="24"/>
          <w:highlight w:val="none"/>
        </w:rPr>
        <w:t>政府采购投标及履约承诺函</w:t>
      </w:r>
    </w:p>
    <w:p>
      <w:pPr>
        <w:rPr>
          <w:rFonts w:ascii="宋体" w:hAnsi="宋体" w:cs="宋体"/>
          <w:color w:val="000000"/>
          <w:highlight w:val="none"/>
        </w:rPr>
      </w:pPr>
    </w:p>
    <w:p>
      <w:pPr>
        <w:rPr>
          <w:rFonts w:ascii="宋体" w:hAnsi="宋体" w:cs="宋体"/>
          <w:b/>
          <w:bCs/>
          <w:color w:val="000000"/>
          <w:szCs w:val="21"/>
          <w:highlight w:val="none"/>
        </w:rPr>
      </w:pPr>
      <w:r>
        <w:rPr>
          <w:rFonts w:ascii="宋体" w:hAnsi="宋体" w:cs="宋体" w:hint="eastAsia"/>
          <w:b/>
          <w:bCs/>
          <w:color w:val="000000"/>
          <w:szCs w:val="21"/>
          <w:highlight w:val="none"/>
        </w:rPr>
        <w:t>致：中国远东国际招标有限公司</w:t>
      </w:r>
    </w:p>
    <w:p>
      <w:pPr>
        <w:pStyle w:val="a29"/>
        <w:rPr>
          <w:rFonts w:ascii="宋体" w:hAnsi="宋体" w:cs="宋体"/>
          <w:color w:val="000000"/>
          <w:highlight w:val="none"/>
        </w:rPr>
      </w:pPr>
    </w:p>
    <w:p>
      <w:pPr>
        <w:spacing w:line="360" w:lineRule="auto"/>
        <w:ind w:firstLine="420" w:firstLineChars="200"/>
        <w:rPr>
          <w:rFonts w:ascii="宋体" w:hAnsi="宋体" w:cs="宋体"/>
          <w:color w:val="000000"/>
          <w:highlight w:val="none"/>
        </w:rPr>
      </w:pPr>
      <w:r>
        <w:rPr>
          <w:rFonts w:ascii="宋体" w:hAnsi="宋体" w:cs="宋体" w:hint="eastAsia"/>
          <w:color w:val="000000"/>
          <w:highlight w:val="none"/>
        </w:rPr>
        <w:t>我单位深知本项目对采购人的重要性和紧迫性，亦了解采购人对廉政建设的相关要求，因此我单位承诺如下：</w:t>
      </w:r>
    </w:p>
    <w:p>
      <w:pPr>
        <w:numPr>
          <w:ilvl w:val="0"/>
          <w:numId w:val="18"/>
        </w:numPr>
        <w:spacing w:line="360" w:lineRule="auto"/>
        <w:rPr>
          <w:rFonts w:ascii="宋体" w:hAnsi="宋体" w:cs="宋体"/>
          <w:color w:val="000000"/>
          <w:highlight w:val="none"/>
        </w:rPr>
      </w:pPr>
      <w:r>
        <w:rPr>
          <w:rFonts w:ascii="宋体" w:hAnsi="宋体" w:cs="宋体" w:hint="eastAsia"/>
          <w:color w:val="000000"/>
          <w:highlight w:val="none"/>
        </w:rPr>
        <w:t>我单位自愿参加采购代理机构组织的招标采购活动。按照《深圳经济特区知识产权保护条例》第五十三条等规定和活动组织方发布的有关文件要求，我单位郑重承诺：我单位所提供的货物或服务未侵犯他人知识产权，并承诺在实施本项目时不侵犯他人知识产权，若违反承诺，我单位将依法承担相应的刑事、行政和民事责任（优先选择和解、调解、行政裁决、仲裁等方式解决知识产权纠纷），并根据与采购人签订的协议承担违约责任。</w:t>
      </w:r>
    </w:p>
    <w:p>
      <w:pPr>
        <w:numPr>
          <w:ilvl w:val="0"/>
          <w:numId w:val="18"/>
        </w:numPr>
        <w:spacing w:line="360" w:lineRule="auto"/>
        <w:rPr>
          <w:rFonts w:ascii="宋体" w:hAnsi="宋体" w:cs="宋体"/>
          <w:color w:val="000000"/>
          <w:highlight w:val="none"/>
        </w:rPr>
      </w:pPr>
      <w:r>
        <w:rPr>
          <w:rFonts w:ascii="宋体" w:hAnsi="宋体" w:cs="宋体" w:hint="eastAsia"/>
          <w:color w:val="000000"/>
          <w:highlight w:val="none"/>
        </w:rPr>
        <w:t>我单位承诺近三年内我单位及我单位法定代表人无行贿犯罪记录。</w:t>
      </w:r>
    </w:p>
    <w:p>
      <w:pPr>
        <w:numPr>
          <w:ilvl w:val="0"/>
          <w:numId w:val="18"/>
        </w:numPr>
        <w:spacing w:line="360" w:lineRule="auto"/>
        <w:rPr>
          <w:rFonts w:ascii="宋体" w:hAnsi="宋体" w:cs="宋体"/>
          <w:color w:val="000000"/>
          <w:highlight w:val="none"/>
        </w:rPr>
      </w:pPr>
      <w:r>
        <w:rPr>
          <w:rFonts w:ascii="宋体" w:hAnsi="宋体" w:cs="宋体" w:hint="eastAsia"/>
          <w:color w:val="000000"/>
          <w:highlight w:val="none"/>
        </w:rPr>
        <w:t>我单位承诺参与本项目投标前三年内我单位及我单位法定代表人，在经营活动中没有违法记录。</w:t>
      </w:r>
    </w:p>
    <w:p>
      <w:pPr>
        <w:numPr>
          <w:ilvl w:val="0"/>
          <w:numId w:val="18"/>
        </w:numPr>
        <w:spacing w:line="360" w:lineRule="auto"/>
        <w:rPr>
          <w:rFonts w:ascii="宋体" w:hAnsi="宋体" w:cs="宋体"/>
          <w:color w:val="000000"/>
          <w:highlight w:val="none"/>
        </w:rPr>
      </w:pPr>
      <w:r>
        <w:rPr>
          <w:rFonts w:ascii="宋体" w:hAnsi="宋体" w:cs="宋体" w:hint="eastAsia"/>
          <w:color w:val="000000"/>
          <w:highlight w:val="none"/>
        </w:rPr>
        <w:t>我单位参与本项目政府采购活动时不存在被有关部门禁止参与政府采购活动且在有效期内的情况。</w:t>
      </w:r>
    </w:p>
    <w:p>
      <w:pPr>
        <w:numPr>
          <w:ilvl w:val="0"/>
          <w:numId w:val="18"/>
        </w:numPr>
        <w:spacing w:line="360" w:lineRule="auto"/>
        <w:rPr>
          <w:rFonts w:ascii="宋体" w:hAnsi="宋体" w:cs="宋体"/>
          <w:color w:val="000000"/>
          <w:highlight w:val="none"/>
        </w:rPr>
      </w:pPr>
      <w:r>
        <w:rPr>
          <w:rFonts w:ascii="宋体" w:hAnsi="宋体" w:cs="宋体" w:hint="eastAsia"/>
          <w:color w:val="000000"/>
          <w:highlight w:val="none"/>
        </w:rPr>
        <w:t>我单位符合《深圳市经济特区政府采购条例》第18条和《深圳市经济特区政府采购条例实施细则》第12条和第13条的规定。</w:t>
      </w:r>
    </w:p>
    <w:p>
      <w:pPr>
        <w:numPr>
          <w:ilvl w:val="0"/>
          <w:numId w:val="18"/>
        </w:numPr>
        <w:spacing w:line="360" w:lineRule="auto"/>
        <w:rPr>
          <w:rFonts w:ascii="宋体" w:hAnsi="宋体" w:cs="宋体"/>
          <w:color w:val="000000"/>
          <w:highlight w:val="none"/>
        </w:rPr>
      </w:pPr>
      <w:r>
        <w:rPr>
          <w:rFonts w:ascii="宋体" w:hAnsi="宋体" w:cs="宋体" w:hint="eastAsia"/>
          <w:color w:val="000000"/>
          <w:highlight w:val="none"/>
        </w:rPr>
        <w:t>我单位具备《中华人民共和国政府采购法》第二十二条的条件。</w:t>
      </w:r>
    </w:p>
    <w:p>
      <w:pPr>
        <w:numPr>
          <w:ilvl w:val="0"/>
          <w:numId w:val="18"/>
        </w:numPr>
        <w:spacing w:line="360" w:lineRule="auto"/>
        <w:rPr>
          <w:rFonts w:ascii="宋体" w:hAnsi="宋体" w:cs="宋体"/>
          <w:color w:val="000000"/>
          <w:highlight w:val="none"/>
        </w:rPr>
      </w:pPr>
      <w:r>
        <w:rPr>
          <w:rFonts w:ascii="宋体" w:hAnsi="宋体" w:cs="宋体" w:hint="eastAsia"/>
          <w:color w:val="000000"/>
          <w:kern w:val="0"/>
          <w:szCs w:val="21"/>
          <w:highlight w:val="none"/>
        </w:rPr>
        <w:t>我单位承诺符合国家和深圳市关于诚信管理的要求，至投标截止时间，我单位未被“信用中国”、中国政府采购网、“深圳信用网”以及“深圳市政府采购监督管理网”等官网列入“失信被执行人、重大税收违法案件当事人名单、政府采购严重违法失信行为记录名单”</w:t>
      </w:r>
      <w:r>
        <w:rPr>
          <w:rFonts w:ascii="宋体" w:hAnsi="宋体" w:cs="宋体" w:hint="eastAsia"/>
          <w:color w:val="000000"/>
          <w:highlight w:val="none"/>
        </w:rPr>
        <w:t xml:space="preserve"> ；</w:t>
      </w:r>
    </w:p>
    <w:p>
      <w:pPr>
        <w:numPr>
          <w:ilvl w:val="0"/>
          <w:numId w:val="18"/>
        </w:numPr>
        <w:spacing w:line="360" w:lineRule="auto"/>
        <w:rPr>
          <w:rFonts w:ascii="宋体" w:hAnsi="宋体" w:cs="宋体"/>
          <w:color w:val="000000"/>
          <w:highlight w:val="none"/>
        </w:rPr>
      </w:pPr>
      <w:r>
        <w:rPr>
          <w:rFonts w:ascii="宋体" w:hAnsi="宋体" w:cs="宋体" w:hint="eastAsia"/>
          <w:color w:val="000000"/>
          <w:highlight w:val="none"/>
        </w:rPr>
        <w:t>我单位参与该项目投标，严格遵循公平竞争的原则，不恶意串通，不妨碍其他投标人的竞争行为，不损害采购人或者其他投标人的合法权益。我单位已清楚，如违反上述要求，将作投标无效处理，并自动放弃本项目所有投标事宜；</w:t>
      </w:r>
    </w:p>
    <w:p>
      <w:pPr>
        <w:numPr>
          <w:ilvl w:val="0"/>
          <w:numId w:val="18"/>
        </w:numPr>
        <w:spacing w:line="360" w:lineRule="auto"/>
        <w:rPr>
          <w:rFonts w:ascii="宋体" w:hAnsi="宋体" w:cs="宋体"/>
          <w:color w:val="000000"/>
          <w:highlight w:val="none"/>
        </w:rPr>
      </w:pPr>
      <w:r>
        <w:rPr>
          <w:rFonts w:ascii="宋体" w:hAnsi="宋体" w:cs="宋体" w:hint="eastAsia"/>
          <w:color w:val="000000"/>
          <w:highlight w:val="none"/>
        </w:rPr>
        <w:t>我单位如果中标，做到诚实守信，依照本项目招标文件需求内容、签署的采购合同及本单位在投标中所作的一切承诺履；</w:t>
      </w:r>
    </w:p>
    <w:p>
      <w:pPr>
        <w:numPr>
          <w:ilvl w:val="0"/>
          <w:numId w:val="18"/>
        </w:numPr>
        <w:spacing w:line="360" w:lineRule="auto"/>
        <w:rPr>
          <w:rFonts w:ascii="宋体" w:hAnsi="宋体" w:cs="宋体"/>
          <w:color w:val="000000"/>
          <w:highlight w:val="none"/>
        </w:rPr>
      </w:pPr>
      <w:r>
        <w:rPr>
          <w:rFonts w:ascii="宋体" w:hAnsi="宋体" w:cs="宋体" w:hint="eastAsia"/>
          <w:color w:val="000000"/>
          <w:highlight w:val="none"/>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8"/>
        </w:numPr>
        <w:spacing w:line="360" w:lineRule="auto"/>
        <w:rPr>
          <w:rFonts w:ascii="宋体" w:hAnsi="宋体" w:cs="宋体"/>
          <w:color w:val="000000"/>
          <w:highlight w:val="none"/>
        </w:rPr>
      </w:pPr>
      <w:r>
        <w:rPr>
          <w:rFonts w:ascii="宋体" w:hAnsi="宋体" w:cs="宋体" w:hint="eastAsia"/>
          <w:color w:val="000000"/>
          <w:highlight w:val="none"/>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8"/>
        </w:numPr>
        <w:spacing w:line="360" w:lineRule="auto"/>
        <w:rPr>
          <w:rFonts w:ascii="宋体" w:hAnsi="宋体" w:cs="宋体" w:hint="eastAsia"/>
          <w:b/>
          <w:bCs/>
          <w:color w:val="000000"/>
          <w:highlight w:val="none"/>
        </w:rPr>
      </w:pPr>
      <w:r>
        <w:rPr>
          <w:rFonts w:ascii="宋体" w:hAnsi="宋体" w:cs="宋体" w:hint="eastAsia"/>
          <w:b/>
          <w:bCs/>
          <w:color w:val="000000"/>
          <w:highlight w:val="none"/>
        </w:rPr>
        <w:t>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不存在“不同供应商的董事、股东或其他高级管理人员为同一人的”情形；不存在串通投标、恶意串通或者视为串通投标的情形。</w:t>
      </w:r>
    </w:p>
    <w:p>
      <w:pPr>
        <w:numPr>
          <w:ilvl w:val="0"/>
          <w:numId w:val="18"/>
        </w:numPr>
        <w:spacing w:line="360" w:lineRule="auto"/>
        <w:rPr>
          <w:rFonts w:ascii="宋体" w:hAnsi="宋体" w:cs="宋体" w:hint="eastAsia"/>
          <w:b/>
          <w:bCs/>
          <w:color w:val="000000"/>
          <w:highlight w:val="none"/>
        </w:rPr>
      </w:pPr>
      <w:r>
        <w:rPr>
          <w:rFonts w:ascii="宋体" w:hAnsi="宋体" w:cs="宋体" w:hint="eastAsia"/>
          <w:b/>
          <w:bCs/>
          <w:color w:val="000000"/>
          <w:highlight w:val="none"/>
        </w:rPr>
        <w:t>我单位保证，若所投货物涉及《财政部生态环境部关于印发节能产品政府采购品目清单的通知》（财库〔2019〕19号）列明的政府采购强制产品的，则所投该产品符合节能产品的认证要求。</w:t>
      </w:r>
    </w:p>
    <w:p>
      <w:pPr>
        <w:numPr>
          <w:ilvl w:val="0"/>
          <w:numId w:val="18"/>
        </w:numPr>
        <w:spacing w:line="360" w:lineRule="auto"/>
        <w:rPr>
          <w:rFonts w:ascii="宋体" w:hAnsi="宋体" w:cs="宋体" w:hint="eastAsia"/>
          <w:color w:val="000000"/>
          <w:highlight w:val="none"/>
        </w:rPr>
      </w:pPr>
      <w:r>
        <w:rPr>
          <w:rFonts w:ascii="宋体" w:hAnsi="宋体" w:cs="宋体" w:hint="eastAsia"/>
          <w:color w:val="000000"/>
          <w:highlight w:val="none"/>
        </w:rPr>
        <w:t>已知悉并同意中标（成交）结果信息公示（公开）的内容。</w:t>
      </w:r>
    </w:p>
    <w:p>
      <w:pPr>
        <w:numPr>
          <w:ilvl w:val="0"/>
          <w:numId w:val="18"/>
        </w:numPr>
        <w:spacing w:line="360" w:lineRule="auto"/>
        <w:rPr>
          <w:rFonts w:ascii="宋体" w:hAnsi="宋体" w:cs="宋体"/>
          <w:color w:val="000000"/>
          <w:highlight w:val="none"/>
        </w:rPr>
      </w:pPr>
      <w:r>
        <w:rPr>
          <w:rFonts w:ascii="宋体" w:hAnsi="宋体" w:cs="宋体" w:hint="eastAsia"/>
          <w:color w:val="000000"/>
          <w:highlight w:val="none"/>
        </w:rPr>
        <w:t>我单位承诺不非法转包、分包。</w:t>
      </w:r>
    </w:p>
    <w:p>
      <w:pPr>
        <w:numPr>
          <w:ilvl w:val="0"/>
          <w:numId w:val="18"/>
        </w:numPr>
        <w:spacing w:line="360" w:lineRule="auto"/>
        <w:rPr>
          <w:rFonts w:ascii="宋体" w:hAnsi="宋体" w:cs="宋体"/>
          <w:color w:val="000000"/>
          <w:highlight w:val="none"/>
        </w:rPr>
      </w:pPr>
      <w:r>
        <w:rPr>
          <w:rFonts w:ascii="宋体" w:hAnsi="宋体" w:cs="宋体" w:hint="eastAsia"/>
          <w:color w:val="000000"/>
          <w:highlight w:val="none"/>
        </w:rPr>
        <w:t>我单位承诺未参与本项目的采购需求、技术指标、商务指标等内容的设定，不存在对其他投标单位不公平的行为。</w:t>
      </w:r>
    </w:p>
    <w:p>
      <w:pPr>
        <w:numPr>
          <w:ilvl w:val="0"/>
          <w:numId w:val="18"/>
        </w:numPr>
        <w:spacing w:line="360" w:lineRule="auto"/>
        <w:rPr>
          <w:rFonts w:ascii="宋体" w:hAnsi="宋体" w:cs="宋体"/>
          <w:color w:val="000000"/>
          <w:highlight w:val="none"/>
        </w:rPr>
      </w:pPr>
      <w:r>
        <w:rPr>
          <w:rFonts w:ascii="宋体" w:hAnsi="宋体" w:cs="宋体" w:hint="eastAsia"/>
          <w:color w:val="000000"/>
          <w:highlight w:val="none"/>
        </w:rPr>
        <w:t>我单位承诺不对采购人进行贿赂，进行有偿报答。</w:t>
      </w:r>
    </w:p>
    <w:p>
      <w:pPr>
        <w:numPr>
          <w:ilvl w:val="0"/>
          <w:numId w:val="18"/>
        </w:numPr>
        <w:spacing w:line="360" w:lineRule="auto"/>
        <w:rPr>
          <w:rFonts w:ascii="宋体" w:hAnsi="宋体" w:cs="宋体"/>
          <w:color w:val="000000"/>
          <w:highlight w:val="none"/>
        </w:rPr>
      </w:pPr>
      <w:r>
        <w:rPr>
          <w:rFonts w:ascii="宋体" w:hAnsi="宋体" w:cs="宋体" w:hint="eastAsia"/>
          <w:color w:val="000000"/>
          <w:highlight w:val="none"/>
        </w:rPr>
        <w:t>我单位承诺不对采购人进行任何形式的利益输送。</w:t>
      </w:r>
    </w:p>
    <w:p>
      <w:pPr>
        <w:numPr>
          <w:ilvl w:val="0"/>
          <w:numId w:val="18"/>
        </w:numPr>
        <w:spacing w:line="360" w:lineRule="auto"/>
        <w:rPr>
          <w:rFonts w:ascii="宋体" w:hAnsi="宋体" w:cs="宋体"/>
          <w:color w:val="000000"/>
          <w:highlight w:val="none"/>
        </w:rPr>
      </w:pPr>
      <w:r>
        <w:rPr>
          <w:rFonts w:ascii="宋体" w:hAnsi="宋体" w:cs="宋体" w:hint="eastAsia"/>
          <w:color w:val="000000"/>
          <w:highlight w:val="none"/>
        </w:rPr>
        <w:t>我单位承诺不对采购人进行宴请和娱乐等消费活动。</w:t>
      </w:r>
    </w:p>
    <w:p>
      <w:pPr>
        <w:numPr>
          <w:ilvl w:val="0"/>
          <w:numId w:val="18"/>
        </w:numPr>
        <w:spacing w:line="360" w:lineRule="auto"/>
        <w:rPr>
          <w:rFonts w:ascii="宋体" w:hAnsi="宋体" w:cs="宋体"/>
          <w:color w:val="000000"/>
          <w:highlight w:val="none"/>
        </w:rPr>
      </w:pPr>
      <w:r>
        <w:rPr>
          <w:rFonts w:ascii="宋体" w:hAnsi="宋体" w:cs="宋体" w:hint="eastAsia"/>
          <w:color w:val="000000"/>
          <w:highlight w:val="none"/>
        </w:rPr>
        <w:t>我单位承诺不对采购人进行赠送各种礼品、现金、有价证券、中介费、好处费等行为。</w:t>
      </w:r>
    </w:p>
    <w:p>
      <w:pPr>
        <w:spacing w:line="360" w:lineRule="auto"/>
        <w:ind w:firstLine="420" w:firstLineChars="200"/>
        <w:rPr>
          <w:rFonts w:ascii="宋体" w:hAnsi="宋体" w:cs="宋体"/>
          <w:color w:val="000000"/>
          <w:highlight w:val="none"/>
        </w:rPr>
      </w:pPr>
      <w:r>
        <w:rPr>
          <w:rFonts w:ascii="宋体" w:hAnsi="宋体" w:cs="宋体" w:hint="eastAsia"/>
          <w:color w:val="000000"/>
          <w:highlight w:val="none"/>
        </w:rPr>
        <w:t>以上承诺，如有违反，愿依照国家相关法律处理，并承担由此给采购人带来的损失。</w:t>
      </w:r>
    </w:p>
    <w:p>
      <w:pPr>
        <w:pStyle w:val="a28"/>
        <w:spacing w:line="360" w:lineRule="auto"/>
        <w:ind w:firstLine="420"/>
        <w:rPr>
          <w:rFonts w:ascii="宋体" w:hAnsi="宋体" w:cs="宋体"/>
          <w:color w:val="000000"/>
          <w:highlight w:val="none"/>
        </w:rPr>
      </w:pPr>
    </w:p>
    <w:p>
      <w:pPr>
        <w:snapToGrid w:val="0"/>
        <w:spacing w:line="360" w:lineRule="auto"/>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投标人代表：_____________________________</w:t>
      </w:r>
    </w:p>
    <w:p>
      <w:pPr>
        <w:snapToGrid w:val="0"/>
        <w:spacing w:line="360" w:lineRule="auto"/>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投标人名称：_____________________________</w:t>
      </w:r>
    </w:p>
    <w:p>
      <w:pPr>
        <w:snapToGrid w:val="0"/>
        <w:spacing w:line="360" w:lineRule="auto"/>
        <w:ind w:right="105" w:firstLine="560"/>
        <w:jc w:val="right"/>
        <w:rPr>
          <w:rFonts w:ascii="宋体" w:hAnsi="宋体" w:cs="宋体"/>
          <w:color w:val="000000"/>
          <w:szCs w:val="21"/>
          <w:highlight w:val="none"/>
          <w:u w:val="single"/>
        </w:rPr>
      </w:pPr>
      <w:r>
        <w:rPr>
          <w:rFonts w:ascii="宋体" w:hAnsi="宋体" w:cs="宋体" w:hint="eastAsia"/>
          <w:b/>
          <w:bCs/>
          <w:color w:val="000000"/>
          <w:szCs w:val="21"/>
          <w:highlight w:val="none"/>
        </w:rPr>
        <w:t>日期：_____________________________</w:t>
      </w:r>
      <w:r>
        <w:rPr>
          <w:rFonts w:ascii="宋体" w:hAnsi="宋体" w:cs="宋体" w:hint="eastAsia"/>
          <w:b/>
          <w:bCs/>
          <w:color w:val="000000"/>
          <w:szCs w:val="21"/>
          <w:highlight w:val="none"/>
          <w:u w:val="single"/>
        </w:rPr>
        <w:t xml:space="preserve">   </w:t>
      </w:r>
      <w:r>
        <w:rPr>
          <w:rFonts w:ascii="宋体" w:hAnsi="宋体" w:cs="宋体" w:hint="eastAsia"/>
          <w:color w:val="000000"/>
          <w:szCs w:val="21"/>
          <w:highlight w:val="none"/>
          <w:u w:val="single"/>
        </w:rPr>
        <w:t xml:space="preserve"> </w:t>
      </w:r>
    </w:p>
    <w:p>
      <w:pPr>
        <w:snapToGrid w:val="0"/>
        <w:spacing w:line="360" w:lineRule="auto"/>
        <w:ind w:right="105" w:firstLine="560"/>
        <w:jc w:val="right"/>
        <w:rPr>
          <w:rFonts w:ascii="宋体" w:hAnsi="宋体" w:cs="宋体"/>
          <w:color w:val="000000"/>
          <w:szCs w:val="21"/>
          <w:highlight w:val="none"/>
          <w:u w:val="single"/>
        </w:rPr>
      </w:pPr>
      <w:r>
        <w:rPr>
          <w:rFonts w:ascii="宋体" w:hAnsi="宋体" w:cs="宋体" w:hint="eastAsia"/>
          <w:color w:val="000000"/>
          <w:szCs w:val="21"/>
          <w:highlight w:val="none"/>
          <w:u w:val="single"/>
        </w:rPr>
        <w:t xml:space="preserve">                             </w:t>
      </w:r>
    </w:p>
    <w:p>
      <w:pPr>
        <w:rPr>
          <w:rFonts w:ascii="宋体" w:hAnsi="宋体" w:cs="宋体"/>
          <w:color w:val="000000"/>
          <w:highlight w:val="none"/>
        </w:rPr>
      </w:pPr>
      <w:r>
        <w:rPr>
          <w:rFonts w:ascii="宋体" w:hAnsi="宋体" w:cs="宋体" w:hint="eastAsia"/>
          <w:b/>
          <w:color w:val="000000"/>
          <w:szCs w:val="21"/>
          <w:highlight w:val="none"/>
        </w:rPr>
        <w:t>注：若投标人有</w:t>
      </w:r>
      <w:r>
        <w:rPr>
          <w:rFonts w:ascii="宋体" w:hAnsi="宋体" w:cs="宋体" w:hint="eastAsia"/>
          <w:b/>
          <w:bCs/>
          <w:color w:val="000000"/>
          <w:szCs w:val="21"/>
          <w:highlight w:val="none"/>
        </w:rPr>
        <w:t>上述任意一个行为，</w:t>
      </w:r>
      <w:r>
        <w:rPr>
          <w:rFonts w:ascii="宋体" w:hAnsi="宋体" w:cs="宋体" w:hint="eastAsia"/>
          <w:b/>
          <w:color w:val="000000"/>
          <w:szCs w:val="21"/>
          <w:highlight w:val="none"/>
        </w:rPr>
        <w:t>不可提供该承诺函，否则按相关规定处理；若没有</w:t>
      </w:r>
      <w:r>
        <w:rPr>
          <w:rFonts w:ascii="宋体" w:hAnsi="宋体" w:cs="宋体" w:hint="eastAsia"/>
          <w:b/>
          <w:bCs/>
          <w:color w:val="000000"/>
          <w:szCs w:val="21"/>
          <w:highlight w:val="none"/>
        </w:rPr>
        <w:t>上述</w:t>
      </w:r>
    </w:p>
    <w:p>
      <w:pPr>
        <w:ind w:firstLine="420" w:firstLineChars="200"/>
        <w:rPr>
          <w:rFonts w:ascii="宋体" w:hAnsi="宋体" w:cs="宋体"/>
          <w:color w:val="000000"/>
          <w:highlight w:val="none"/>
        </w:rPr>
      </w:pPr>
      <w:r>
        <w:rPr>
          <w:rFonts w:ascii="宋体" w:hAnsi="宋体" w:cs="宋体" w:hint="eastAsia"/>
          <w:b/>
          <w:bCs/>
          <w:color w:val="000000"/>
          <w:szCs w:val="21"/>
          <w:highlight w:val="none"/>
        </w:rPr>
        <w:t>行为</w:t>
      </w:r>
      <w:r>
        <w:rPr>
          <w:rFonts w:ascii="宋体" w:hAnsi="宋体" w:cs="宋体" w:hint="eastAsia"/>
          <w:b/>
          <w:color w:val="000000"/>
          <w:szCs w:val="21"/>
          <w:highlight w:val="none"/>
        </w:rPr>
        <w:t>按要求填写，不得更改承诺内容。</w:t>
      </w:r>
    </w:p>
    <w:p>
      <w:pPr>
        <w:spacing w:line="300" w:lineRule="auto"/>
        <w:ind w:firstLine="645"/>
        <w:rPr>
          <w:rFonts w:ascii="宋体" w:hAnsi="宋体" w:cs="宋体"/>
          <w:color w:val="000000"/>
          <w:szCs w:val="21"/>
          <w:highlight w:val="none"/>
        </w:rPr>
      </w:pPr>
      <w:r>
        <w:rPr>
          <w:rFonts w:ascii="宋体" w:hAnsi="宋体" w:cs="宋体" w:hint="eastAsia"/>
          <w:color w:val="000000"/>
          <w:szCs w:val="21"/>
          <w:highlight w:val="none"/>
        </w:rPr>
        <w:t xml:space="preserve">                             </w:t>
      </w:r>
    </w:p>
    <w:p>
      <w:pPr>
        <w:spacing w:line="300" w:lineRule="auto"/>
        <w:ind w:firstLine="645"/>
        <w:rPr>
          <w:rFonts w:ascii="宋体" w:hAnsi="宋体" w:cs="宋体"/>
          <w:color w:val="000000"/>
          <w:szCs w:val="21"/>
          <w:highlight w:val="none"/>
        </w:rPr>
      </w:pPr>
    </w:p>
    <w:p>
      <w:pPr>
        <w:spacing w:line="300" w:lineRule="auto"/>
        <w:ind w:firstLine="645"/>
        <w:rPr>
          <w:rFonts w:ascii="宋体" w:hAnsi="宋体" w:cs="宋体"/>
          <w:color w:val="000000"/>
          <w:szCs w:val="21"/>
          <w:highlight w:val="none"/>
        </w:rPr>
      </w:pPr>
    </w:p>
    <w:p>
      <w:pPr>
        <w:spacing w:line="300" w:lineRule="auto"/>
        <w:ind w:firstLine="645"/>
        <w:rPr>
          <w:rFonts w:ascii="宋体" w:hAnsi="宋体" w:cs="宋体"/>
          <w:color w:val="000000"/>
          <w:szCs w:val="21"/>
          <w:highlight w:val="none"/>
        </w:rPr>
      </w:pPr>
    </w:p>
    <w:p>
      <w:pPr>
        <w:spacing w:line="300" w:lineRule="auto"/>
        <w:ind w:firstLine="645"/>
        <w:rPr>
          <w:rFonts w:ascii="宋体" w:hAnsi="宋体" w:cs="宋体"/>
          <w:color w:val="000000"/>
          <w:szCs w:val="21"/>
          <w:highlight w:val="none"/>
        </w:rPr>
      </w:pPr>
    </w:p>
    <w:p>
      <w:pPr>
        <w:spacing w:line="300" w:lineRule="auto"/>
        <w:ind w:firstLine="645"/>
        <w:rPr>
          <w:rFonts w:ascii="宋体" w:hAnsi="宋体" w:cs="宋体"/>
          <w:color w:val="000000"/>
          <w:szCs w:val="21"/>
          <w:highlight w:val="none"/>
        </w:rPr>
      </w:pPr>
    </w:p>
    <w:p>
      <w:pPr>
        <w:spacing w:line="300" w:lineRule="auto"/>
        <w:ind w:firstLine="645"/>
        <w:rPr>
          <w:rFonts w:ascii="宋体" w:hAnsi="宋体" w:cs="宋体"/>
          <w:color w:val="000000"/>
          <w:szCs w:val="21"/>
          <w:highlight w:val="none"/>
        </w:rPr>
      </w:pPr>
    </w:p>
    <w:p>
      <w:pPr>
        <w:spacing w:line="300" w:lineRule="auto"/>
        <w:ind w:firstLine="645"/>
        <w:rPr>
          <w:rFonts w:ascii="宋体" w:hAnsi="宋体" w:cs="宋体"/>
          <w:color w:val="000000"/>
          <w:szCs w:val="21"/>
          <w:highlight w:val="none"/>
        </w:rPr>
      </w:pPr>
    </w:p>
    <w:p>
      <w:pPr>
        <w:spacing w:line="300" w:lineRule="auto"/>
        <w:rPr>
          <w:rFonts w:ascii="宋体" w:hAnsi="宋体" w:cs="宋体"/>
          <w:b/>
          <w:color w:val="000000"/>
          <w:szCs w:val="21"/>
          <w:highlight w:val="none"/>
        </w:rPr>
      </w:pPr>
      <w:r>
        <w:rPr>
          <w:rFonts w:ascii="宋体" w:hAnsi="宋体" w:cs="宋体" w:hint="eastAsia"/>
          <w:color w:val="000000"/>
          <w:szCs w:val="21"/>
          <w:highlight w:val="none"/>
        </w:rPr>
        <w:t xml:space="preserve">  </w:t>
      </w:r>
    </w:p>
    <w:p>
      <w:pPr>
        <w:pStyle w:val="Heading3"/>
        <w:spacing w:line="300" w:lineRule="auto"/>
        <w:jc w:val="center"/>
        <w:rPr>
          <w:rFonts w:cs="宋体"/>
          <w:color w:val="000000"/>
          <w:sz w:val="21"/>
          <w:szCs w:val="21"/>
          <w:highlight w:val="none"/>
        </w:rPr>
        <w:sectPr>
          <w:headerReference w:type="default" r:id="rId11"/>
          <w:footerReference w:type="default" r:id="rId12"/>
          <w:headerReference w:type="first" r:id="rId13"/>
          <w:pgSz w:w="11907" w:h="16840"/>
          <w:pgMar w:top="1440" w:right="992" w:bottom="1440" w:left="1080" w:header="851" w:footer="992" w:gutter="0"/>
          <w:cols w:space="720"/>
          <w:titlePg/>
          <w:docGrid w:linePitch="462"/>
        </w:sectPr>
      </w:pPr>
    </w:p>
    <w:p>
      <w:pPr>
        <w:pStyle w:val="Heading3"/>
        <w:spacing w:line="300" w:lineRule="auto"/>
        <w:jc w:val="center"/>
        <w:rPr>
          <w:rFonts w:cs="宋体"/>
          <w:color w:val="000000"/>
          <w:sz w:val="24"/>
          <w:szCs w:val="24"/>
          <w:highlight w:val="none"/>
        </w:rPr>
      </w:pPr>
      <w:r>
        <w:rPr>
          <w:rFonts w:cs="宋体"/>
          <w:color w:val="000000"/>
          <w:sz w:val="24"/>
          <w:szCs w:val="24"/>
          <w:highlight w:val="none"/>
        </w:rPr>
        <w:br w:type="page"/>
      </w:r>
      <w:r>
        <w:rPr>
          <w:rFonts w:cs="宋体" w:hint="eastAsia"/>
          <w:color w:val="000000"/>
          <w:sz w:val="24"/>
          <w:szCs w:val="24"/>
          <w:highlight w:val="none"/>
        </w:rPr>
        <w:t>三、投标报价表</w:t>
      </w:r>
    </w:p>
    <w:p>
      <w:pPr>
        <w:pStyle w:val="Heading3"/>
        <w:spacing w:line="300" w:lineRule="auto"/>
        <w:jc w:val="center"/>
        <w:rPr>
          <w:rFonts w:cs="宋体"/>
          <w:b w:val="0"/>
          <w:color w:val="000000"/>
          <w:sz w:val="24"/>
          <w:highlight w:val="none"/>
        </w:rPr>
      </w:pPr>
      <w:r>
        <w:rPr>
          <w:rFonts w:cs="宋体" w:hint="eastAsia"/>
          <w:b w:val="0"/>
          <w:color w:val="000000"/>
          <w:sz w:val="24"/>
          <w:highlight w:val="none"/>
        </w:rPr>
        <w:t>（一）投标一览表</w:t>
      </w:r>
    </w:p>
    <w:p>
      <w:pPr>
        <w:spacing w:after="60" w:line="360" w:lineRule="exact"/>
        <w:jc w:val="left"/>
        <w:rPr>
          <w:rFonts w:ascii="宋体" w:hAnsi="宋体" w:cs="宋体"/>
          <w:b/>
          <w:color w:val="000000"/>
          <w:highlight w:val="none"/>
        </w:rPr>
      </w:pPr>
      <w:r>
        <w:rPr>
          <w:rFonts w:ascii="宋体" w:hAnsi="宋体" w:cs="宋体" w:hint="eastAsia"/>
          <w:b/>
          <w:color w:val="000000"/>
          <w:highlight w:val="none"/>
        </w:rPr>
        <w:t>投标人名称__________________                                    项目编号____________________</w:t>
      </w:r>
    </w:p>
    <w:tbl>
      <w:tblPr>
        <w:tblStyle w:val="TableNormal"/>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530"/>
        <w:gridCol w:w="1644"/>
        <w:gridCol w:w="902"/>
        <w:gridCol w:w="1116"/>
        <w:gridCol w:w="691"/>
        <w:gridCol w:w="1182"/>
        <w:gridCol w:w="868"/>
        <w:gridCol w:w="683"/>
        <w:gridCol w:w="778"/>
        <w:gridCol w:w="1535"/>
      </w:tblGrid>
      <w:tr>
        <w:tblPrEx>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151"/>
          <w:jc w:val="center"/>
        </w:trPr>
        <w:tc>
          <w:tcPr>
            <w:tcW w:w="267" w:type="pct"/>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序号</w:t>
            </w:r>
          </w:p>
        </w:tc>
        <w:tc>
          <w:tcPr>
            <w:tcW w:w="828" w:type="pct"/>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货物名称</w:t>
            </w:r>
          </w:p>
        </w:tc>
        <w:tc>
          <w:tcPr>
            <w:tcW w:w="454" w:type="pct"/>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数量和单位</w:t>
            </w:r>
          </w:p>
        </w:tc>
        <w:tc>
          <w:tcPr>
            <w:tcW w:w="562" w:type="pct"/>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主要制造商名称和产地</w:t>
            </w:r>
          </w:p>
        </w:tc>
        <w:tc>
          <w:tcPr>
            <w:tcW w:w="348" w:type="pct"/>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品牌和型号</w:t>
            </w:r>
          </w:p>
        </w:tc>
        <w:tc>
          <w:tcPr>
            <w:tcW w:w="595" w:type="pct"/>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价格条件</w:t>
            </w:r>
          </w:p>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（含税/免税）</w:t>
            </w:r>
          </w:p>
        </w:tc>
        <w:tc>
          <w:tcPr>
            <w:tcW w:w="437" w:type="pct"/>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投标币种</w:t>
            </w:r>
          </w:p>
        </w:tc>
        <w:tc>
          <w:tcPr>
            <w:tcW w:w="344" w:type="pct"/>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投标总价</w:t>
            </w:r>
          </w:p>
        </w:tc>
        <w:tc>
          <w:tcPr>
            <w:tcW w:w="392" w:type="pct"/>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交货期</w:t>
            </w:r>
          </w:p>
        </w:tc>
        <w:tc>
          <w:tcPr>
            <w:tcW w:w="768" w:type="pct"/>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投标声明（关境内/关境外）</w:t>
            </w:r>
          </w:p>
        </w:tc>
      </w:tr>
      <w:tr>
        <w:tblPrEx>
          <w:tblW w:w="4980" w:type="pct"/>
          <w:jc w:val="center"/>
          <w:tblCellMar>
            <w:top w:w="0" w:type="dxa"/>
            <w:left w:w="108" w:type="dxa"/>
            <w:bottom w:w="0" w:type="dxa"/>
            <w:right w:w="108" w:type="dxa"/>
          </w:tblCellMar>
          <w:tblLook w:val="0000"/>
        </w:tblPrEx>
        <w:trPr>
          <w:trHeight w:val="435"/>
          <w:jc w:val="center"/>
        </w:trPr>
        <w:tc>
          <w:tcPr>
            <w:tcW w:w="267" w:type="pct"/>
            <w:vAlign w:val="center"/>
          </w:tcPr>
          <w:p>
            <w:pPr>
              <w:spacing w:line="300" w:lineRule="atLeast"/>
              <w:jc w:val="center"/>
              <w:rPr>
                <w:rFonts w:ascii="宋体" w:hAnsi="宋体" w:cs="宋体" w:hint="eastAsia"/>
                <w:bCs/>
                <w:color w:val="000000"/>
                <w:szCs w:val="21"/>
                <w:highlight w:val="none"/>
              </w:rPr>
            </w:pPr>
            <w:r>
              <w:rPr>
                <w:rFonts w:ascii="宋体" w:hAnsi="宋体" w:cs="宋体" w:hint="eastAsia"/>
                <w:bCs/>
                <w:color w:val="000000"/>
                <w:szCs w:val="21"/>
                <w:highlight w:val="none"/>
              </w:rPr>
              <w:t>1</w:t>
            </w:r>
          </w:p>
        </w:tc>
        <w:tc>
          <w:tcPr>
            <w:tcW w:w="828" w:type="pct"/>
            <w:vAlign w:val="center"/>
          </w:tcPr>
          <w:p>
            <w:pPr>
              <w:spacing w:line="300" w:lineRule="atLeast"/>
              <w:jc w:val="center"/>
              <w:rPr>
                <w:rFonts w:ascii="宋体" w:hAnsi="宋体" w:cs="宋体" w:hint="eastAsia"/>
                <w:bCs/>
                <w:color w:val="000000"/>
                <w:szCs w:val="21"/>
                <w:highlight w:val="none"/>
              </w:rPr>
            </w:pPr>
            <w:r>
              <w:rPr>
                <w:rFonts w:ascii="宋体" w:hAnsi="宋体" w:cs="宋体" w:hint="eastAsia"/>
                <w:bCs/>
                <w:color w:val="000000"/>
                <w:szCs w:val="21"/>
                <w:highlight w:val="none"/>
              </w:rPr>
              <w:t>纯水机</w:t>
            </w:r>
          </w:p>
        </w:tc>
        <w:tc>
          <w:tcPr>
            <w:tcW w:w="454" w:type="pct"/>
            <w:vAlign w:val="center"/>
          </w:tcPr>
          <w:p>
            <w:pPr>
              <w:spacing w:line="300" w:lineRule="atLeast"/>
              <w:jc w:val="center"/>
              <w:rPr>
                <w:rFonts w:ascii="宋体" w:hAnsi="宋体" w:cs="宋体" w:hint="eastAsia"/>
                <w:bCs/>
                <w:color w:val="000000"/>
                <w:szCs w:val="21"/>
                <w:highlight w:val="none"/>
              </w:rPr>
            </w:pPr>
            <w:r>
              <w:rPr>
                <w:rFonts w:ascii="宋体" w:hAnsi="宋体" w:cs="宋体" w:hint="eastAsia"/>
                <w:bCs/>
                <w:color w:val="000000"/>
                <w:szCs w:val="21"/>
                <w:highlight w:val="none"/>
              </w:rPr>
              <w:t>8套</w:t>
            </w:r>
          </w:p>
        </w:tc>
        <w:tc>
          <w:tcPr>
            <w:tcW w:w="562" w:type="pct"/>
            <w:vAlign w:val="center"/>
          </w:tcPr>
          <w:p>
            <w:pPr>
              <w:spacing w:line="300" w:lineRule="atLeast"/>
              <w:jc w:val="center"/>
              <w:rPr>
                <w:rFonts w:ascii="宋体" w:hAnsi="宋体" w:cs="宋体"/>
                <w:color w:val="000000"/>
                <w:sz w:val="22"/>
                <w:szCs w:val="22"/>
                <w:highlight w:val="none"/>
              </w:rPr>
            </w:pPr>
          </w:p>
        </w:tc>
        <w:tc>
          <w:tcPr>
            <w:tcW w:w="348" w:type="pct"/>
            <w:vAlign w:val="center"/>
          </w:tcPr>
          <w:p>
            <w:pPr>
              <w:spacing w:line="300" w:lineRule="atLeast"/>
              <w:jc w:val="center"/>
              <w:rPr>
                <w:rFonts w:ascii="宋体" w:hAnsi="宋体" w:cs="宋体"/>
                <w:color w:val="000000"/>
                <w:sz w:val="22"/>
                <w:szCs w:val="22"/>
                <w:highlight w:val="none"/>
              </w:rPr>
            </w:pPr>
          </w:p>
        </w:tc>
        <w:tc>
          <w:tcPr>
            <w:tcW w:w="595" w:type="pct"/>
            <w:vAlign w:val="center"/>
          </w:tcPr>
          <w:p>
            <w:pPr>
              <w:widowControl/>
              <w:spacing w:line="300" w:lineRule="atLeast"/>
              <w:jc w:val="center"/>
              <w:rPr>
                <w:rFonts w:ascii="宋体" w:hAnsi="宋体" w:cs="宋体"/>
                <w:color w:val="000000"/>
                <w:kern w:val="0"/>
                <w:szCs w:val="21"/>
                <w:highlight w:val="none"/>
              </w:rPr>
            </w:pPr>
          </w:p>
        </w:tc>
        <w:tc>
          <w:tcPr>
            <w:tcW w:w="437" w:type="pct"/>
            <w:vAlign w:val="center"/>
          </w:tcPr>
          <w:p>
            <w:pPr>
              <w:widowControl/>
              <w:spacing w:line="300" w:lineRule="atLeast"/>
              <w:jc w:val="center"/>
              <w:rPr>
                <w:rFonts w:ascii="宋体" w:hAnsi="宋体" w:cs="宋体"/>
                <w:color w:val="000000"/>
                <w:kern w:val="0"/>
                <w:szCs w:val="21"/>
                <w:highlight w:val="none"/>
              </w:rPr>
            </w:pPr>
            <w:r>
              <w:rPr>
                <w:rFonts w:ascii="宋体" w:hAnsi="宋体" w:cs="宋体" w:hint="eastAsia"/>
                <w:color w:val="000000"/>
                <w:kern w:val="0"/>
                <w:szCs w:val="21"/>
                <w:highlight w:val="none"/>
              </w:rPr>
              <w:t>人民币</w:t>
            </w:r>
          </w:p>
        </w:tc>
        <w:tc>
          <w:tcPr>
            <w:tcW w:w="344" w:type="pct"/>
            <w:vAlign w:val="center"/>
          </w:tcPr>
          <w:p>
            <w:pPr>
              <w:spacing w:line="300" w:lineRule="atLeast"/>
              <w:rPr>
                <w:rFonts w:ascii="宋体" w:hAnsi="宋体" w:cs="宋体"/>
                <w:color w:val="000000"/>
                <w:sz w:val="22"/>
                <w:szCs w:val="22"/>
                <w:highlight w:val="none"/>
              </w:rPr>
            </w:pPr>
            <w:r>
              <w:rPr>
                <w:rFonts w:ascii="宋体" w:hAnsi="宋体" w:cs="宋体" w:hint="eastAsia"/>
                <w:color w:val="000000"/>
                <w:sz w:val="22"/>
                <w:szCs w:val="22"/>
                <w:highlight w:val="none"/>
              </w:rPr>
              <w:t>¥</w:t>
            </w:r>
          </w:p>
        </w:tc>
        <w:tc>
          <w:tcPr>
            <w:tcW w:w="392" w:type="pct"/>
            <w:vAlign w:val="center"/>
          </w:tcPr>
          <w:p>
            <w:pPr>
              <w:spacing w:line="300" w:lineRule="atLeast"/>
              <w:jc w:val="center"/>
              <w:rPr>
                <w:rFonts w:ascii="宋体" w:hAnsi="宋体" w:cs="宋体"/>
                <w:color w:val="000000"/>
                <w:sz w:val="22"/>
                <w:szCs w:val="22"/>
                <w:highlight w:val="none"/>
              </w:rPr>
            </w:pPr>
          </w:p>
        </w:tc>
        <w:tc>
          <w:tcPr>
            <w:tcW w:w="768" w:type="pct"/>
            <w:vAlign w:val="center"/>
          </w:tcPr>
          <w:p>
            <w:pPr>
              <w:spacing w:line="300" w:lineRule="atLeast"/>
              <w:jc w:val="center"/>
              <w:rPr>
                <w:rFonts w:ascii="宋体" w:hAnsi="宋体" w:cs="宋体"/>
                <w:color w:val="000000"/>
                <w:sz w:val="22"/>
                <w:szCs w:val="22"/>
                <w:highlight w:val="none"/>
              </w:rPr>
            </w:pPr>
          </w:p>
        </w:tc>
      </w:tr>
      <w:tr>
        <w:tblPrEx>
          <w:tblW w:w="4980" w:type="pct"/>
          <w:jc w:val="center"/>
          <w:tblCellMar>
            <w:top w:w="0" w:type="dxa"/>
            <w:left w:w="108" w:type="dxa"/>
            <w:bottom w:w="0" w:type="dxa"/>
            <w:right w:w="108" w:type="dxa"/>
          </w:tblCellMar>
          <w:tblLook w:val="0000"/>
        </w:tblPrEx>
        <w:trPr>
          <w:trHeight w:val="435"/>
          <w:jc w:val="center"/>
        </w:trPr>
        <w:tc>
          <w:tcPr>
            <w:tcW w:w="5000" w:type="pct"/>
            <w:gridSpan w:val="10"/>
            <w:vAlign w:val="center"/>
          </w:tcPr>
          <w:p>
            <w:pPr>
              <w:spacing w:line="300" w:lineRule="atLeast"/>
              <w:jc w:val="left"/>
              <w:rPr>
                <w:rFonts w:ascii="宋体" w:hAnsi="宋体" w:cs="宋体"/>
                <w:color w:val="000000"/>
                <w:sz w:val="22"/>
                <w:szCs w:val="22"/>
                <w:highlight w:val="none"/>
              </w:rPr>
            </w:pPr>
            <w:r>
              <w:rPr>
                <w:rFonts w:ascii="宋体" w:hAnsi="宋体" w:cs="宋体" w:hint="eastAsia"/>
                <w:b/>
                <w:bCs/>
                <w:color w:val="000000"/>
                <w:kern w:val="0"/>
                <w:szCs w:val="21"/>
                <w:highlight w:val="none"/>
              </w:rPr>
              <w:t>合计：¥           （人民币：          ）</w:t>
            </w:r>
          </w:p>
        </w:tc>
      </w:tr>
    </w:tbl>
    <w:p>
      <w:pPr>
        <w:spacing w:line="300" w:lineRule="auto"/>
        <w:ind w:left="425"/>
        <w:rPr>
          <w:rFonts w:ascii="宋体" w:hAnsi="宋体" w:cs="宋体" w:hint="eastAsia"/>
          <w:b/>
          <w:bCs/>
          <w:color w:val="000000"/>
          <w:szCs w:val="21"/>
          <w:highlight w:val="none"/>
        </w:rPr>
      </w:pPr>
    </w:p>
    <w:p>
      <w:pPr>
        <w:spacing w:line="300" w:lineRule="auto"/>
        <w:ind w:left="425"/>
        <w:rPr>
          <w:rFonts w:ascii="宋体" w:hAnsi="宋体" w:cs="宋体"/>
          <w:b/>
          <w:bCs/>
          <w:color w:val="000000"/>
          <w:szCs w:val="21"/>
          <w:highlight w:val="none"/>
        </w:rPr>
      </w:pPr>
      <w:r>
        <w:rPr>
          <w:rFonts w:ascii="宋体" w:hAnsi="宋体" w:cs="宋体" w:hint="eastAsia"/>
          <w:b/>
          <w:bCs/>
          <w:color w:val="000000"/>
          <w:szCs w:val="21"/>
          <w:highlight w:val="none"/>
        </w:rPr>
        <w:t>注：具体报价要求详见招标文件第一册第二章商务部分。</w:t>
      </w:r>
    </w:p>
    <w:p>
      <w:pPr>
        <w:snapToGrid w:val="0"/>
        <w:spacing w:line="360" w:lineRule="exact"/>
        <w:ind w:firstLine="525" w:firstLineChars="250"/>
        <w:jc w:val="right"/>
        <w:rPr>
          <w:rFonts w:ascii="宋体" w:hAnsi="宋体" w:cs="宋体"/>
          <w:b/>
          <w:bCs/>
          <w:color w:val="000000"/>
          <w:szCs w:val="21"/>
          <w:highlight w:val="none"/>
        </w:rPr>
      </w:pP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投标人代表：_____________________________</w:t>
      </w: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投标人名称：_____________________________</w:t>
      </w:r>
    </w:p>
    <w:p>
      <w:pPr>
        <w:tabs>
          <w:tab w:val="left" w:pos="3138"/>
          <w:tab w:val="right" w:pos="9642"/>
        </w:tabs>
        <w:snapToGrid w:val="0"/>
        <w:spacing w:line="360" w:lineRule="exact"/>
        <w:ind w:right="105" w:firstLine="560"/>
        <w:jc w:val="right"/>
        <w:rPr>
          <w:rFonts w:ascii="宋体" w:hAnsi="宋体" w:cs="宋体"/>
          <w:b/>
          <w:bCs/>
          <w:color w:val="000000"/>
          <w:szCs w:val="21"/>
          <w:highlight w:val="none"/>
        </w:rPr>
        <w:sectPr>
          <w:type w:val="continuous"/>
          <w:pgSz w:w="11907" w:h="16840"/>
          <w:pgMar w:top="1440" w:right="1077" w:bottom="1440" w:left="1077" w:header="851" w:footer="992" w:gutter="0"/>
          <w:cols w:space="720"/>
          <w:titlePg/>
          <w:docGrid w:linePitch="462"/>
        </w:sectPr>
      </w:pPr>
      <w:r>
        <w:rPr>
          <w:rFonts w:ascii="宋体" w:hAnsi="宋体" w:cs="宋体"/>
          <w:b/>
          <w:bCs/>
          <w:color w:val="000000"/>
          <w:szCs w:val="21"/>
          <w:highlight w:val="none"/>
        </w:rPr>
        <w:tab/>
      </w:r>
      <w:r>
        <w:rPr>
          <w:rFonts w:ascii="宋体" w:hAnsi="宋体" w:cs="宋体"/>
          <w:b/>
          <w:bCs/>
          <w:color w:val="000000"/>
          <w:szCs w:val="21"/>
          <w:highlight w:val="none"/>
        </w:rPr>
        <w:tab/>
      </w:r>
      <w:r>
        <w:rPr>
          <w:rFonts w:ascii="宋体" w:hAnsi="宋体" w:cs="宋体" w:hint="eastAsia"/>
          <w:b/>
          <w:bCs/>
          <w:color w:val="000000"/>
          <w:szCs w:val="21"/>
          <w:highlight w:val="none"/>
        </w:rPr>
        <w:t>日期：____________________________</w:t>
      </w:r>
    </w:p>
    <w:p>
      <w:pPr>
        <w:pStyle w:val="Heading3"/>
        <w:spacing w:before="120" w:after="120" w:line="300" w:lineRule="auto"/>
        <w:jc w:val="center"/>
        <w:rPr>
          <w:rFonts w:cs="宋体"/>
          <w:b w:val="0"/>
          <w:color w:val="000000"/>
          <w:sz w:val="24"/>
          <w:highlight w:val="none"/>
        </w:rPr>
      </w:pPr>
      <w:r>
        <w:rPr>
          <w:rFonts w:cs="宋体"/>
          <w:b w:val="0"/>
          <w:color w:val="000000"/>
          <w:sz w:val="24"/>
          <w:highlight w:val="none"/>
        </w:rPr>
        <w:br w:type="page"/>
      </w:r>
      <w:r>
        <w:rPr>
          <w:rFonts w:cs="宋体" w:hint="eastAsia"/>
          <w:bCs w:val="0"/>
          <w:color w:val="000000"/>
          <w:sz w:val="24"/>
          <w:highlight w:val="none"/>
        </w:rPr>
        <w:t>（二）项目分项报价表</w:t>
      </w:r>
    </w:p>
    <w:p>
      <w:pPr>
        <w:spacing w:after="60" w:line="360" w:lineRule="auto"/>
        <w:jc w:val="center"/>
        <w:rPr>
          <w:rFonts w:ascii="宋体" w:hAnsi="宋体" w:cs="宋体" w:hint="eastAsia"/>
          <w:b/>
          <w:color w:val="000000"/>
          <w:highlight w:val="none"/>
        </w:rPr>
      </w:pPr>
      <w:r>
        <w:rPr>
          <w:rFonts w:ascii="宋体" w:hAnsi="宋体" w:cs="宋体" w:hint="eastAsia"/>
          <w:b/>
          <w:color w:val="000000"/>
          <w:highlight w:val="none"/>
        </w:rPr>
        <w:t>投标人名称__________________   项目编号____________________</w:t>
      </w:r>
    </w:p>
    <w:tbl>
      <w:tblPr>
        <w:tblStyle w:val="TableNorm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704"/>
        <w:gridCol w:w="1591"/>
        <w:gridCol w:w="600"/>
        <w:gridCol w:w="629"/>
        <w:gridCol w:w="956"/>
        <w:gridCol w:w="465"/>
        <w:gridCol w:w="656"/>
        <w:gridCol w:w="1145"/>
        <w:gridCol w:w="800"/>
        <w:gridCol w:w="812"/>
        <w:gridCol w:w="677"/>
        <w:gridCol w:w="607"/>
      </w:tblGrid>
      <w:tr>
        <w:tblPrEx>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462"/>
        </w:trPr>
        <w:tc>
          <w:tcPr>
            <w:tcW w:w="365" w:type="pct"/>
            <w:vAlign w:val="center"/>
          </w:tcPr>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序号</w:t>
            </w:r>
          </w:p>
        </w:tc>
        <w:tc>
          <w:tcPr>
            <w:tcW w:w="825" w:type="pct"/>
            <w:noWrap/>
            <w:vAlign w:val="center"/>
          </w:tcPr>
          <w:p>
            <w:pPr>
              <w:spacing w:line="360" w:lineRule="auto"/>
              <w:jc w:val="center"/>
              <w:rPr>
                <w:rFonts w:ascii="宋体" w:hAnsi="宋体" w:cs="宋体" w:hint="eastAsia"/>
                <w:b/>
                <w:color w:val="000000"/>
                <w:sz w:val="18"/>
                <w:szCs w:val="18"/>
                <w:highlight w:val="none"/>
              </w:rPr>
            </w:pPr>
            <w:r>
              <w:rPr>
                <w:rFonts w:ascii="宋体" w:hAnsi="宋体" w:cs="宋体" w:hint="eastAsia"/>
                <w:b/>
                <w:color w:val="000000"/>
                <w:sz w:val="18"/>
                <w:szCs w:val="18"/>
                <w:highlight w:val="none"/>
              </w:rPr>
              <w:t>名称</w:t>
            </w:r>
          </w:p>
        </w:tc>
        <w:tc>
          <w:tcPr>
            <w:tcW w:w="311" w:type="pct"/>
            <w:vAlign w:val="center"/>
          </w:tcPr>
          <w:p>
            <w:pPr>
              <w:spacing w:line="360" w:lineRule="auto"/>
              <w:jc w:val="center"/>
              <w:rPr>
                <w:rFonts w:ascii="宋体" w:hAnsi="宋体" w:cs="宋体" w:hint="eastAsia"/>
                <w:b/>
                <w:color w:val="000000"/>
                <w:sz w:val="18"/>
                <w:szCs w:val="18"/>
                <w:highlight w:val="none"/>
              </w:rPr>
            </w:pPr>
            <w:r>
              <w:rPr>
                <w:rFonts w:ascii="宋体" w:hAnsi="宋体" w:cs="宋体" w:hint="eastAsia"/>
                <w:b/>
                <w:color w:val="000000"/>
                <w:sz w:val="18"/>
                <w:szCs w:val="18"/>
                <w:highlight w:val="none"/>
              </w:rPr>
              <w:t>单位</w:t>
            </w:r>
          </w:p>
        </w:tc>
        <w:tc>
          <w:tcPr>
            <w:tcW w:w="326" w:type="pct"/>
            <w:noWrap/>
            <w:vAlign w:val="center"/>
          </w:tcPr>
          <w:p>
            <w:pPr>
              <w:spacing w:line="360" w:lineRule="auto"/>
              <w:jc w:val="center"/>
              <w:rPr>
                <w:rFonts w:ascii="宋体" w:hAnsi="宋体" w:cs="宋体" w:hint="eastAsia"/>
                <w:b/>
                <w:color w:val="000000"/>
                <w:sz w:val="18"/>
                <w:szCs w:val="18"/>
                <w:highlight w:val="none"/>
              </w:rPr>
            </w:pPr>
            <w:r>
              <w:rPr>
                <w:rFonts w:ascii="宋体" w:hAnsi="宋体" w:cs="宋体" w:hint="eastAsia"/>
                <w:b/>
                <w:color w:val="000000"/>
                <w:sz w:val="18"/>
                <w:szCs w:val="18"/>
                <w:highlight w:val="none"/>
              </w:rPr>
              <w:t>数量</w:t>
            </w:r>
          </w:p>
        </w:tc>
        <w:tc>
          <w:tcPr>
            <w:tcW w:w="496" w:type="pct"/>
            <w:vAlign w:val="center"/>
          </w:tcPr>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主要制造商名称和产地</w:t>
            </w:r>
          </w:p>
        </w:tc>
        <w:tc>
          <w:tcPr>
            <w:tcW w:w="241" w:type="pct"/>
            <w:vAlign w:val="center"/>
          </w:tcPr>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品牌</w:t>
            </w:r>
          </w:p>
        </w:tc>
        <w:tc>
          <w:tcPr>
            <w:tcW w:w="340" w:type="pct"/>
            <w:vAlign w:val="center"/>
          </w:tcPr>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规格型号</w:t>
            </w:r>
          </w:p>
        </w:tc>
        <w:tc>
          <w:tcPr>
            <w:tcW w:w="594" w:type="pct"/>
            <w:vAlign w:val="center"/>
          </w:tcPr>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价格条件</w:t>
            </w:r>
          </w:p>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（含税/免税）</w:t>
            </w:r>
          </w:p>
        </w:tc>
        <w:tc>
          <w:tcPr>
            <w:tcW w:w="415" w:type="pct"/>
            <w:vAlign w:val="center"/>
          </w:tcPr>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投标币种</w:t>
            </w:r>
          </w:p>
        </w:tc>
        <w:tc>
          <w:tcPr>
            <w:tcW w:w="421" w:type="pct"/>
            <w:vAlign w:val="center"/>
          </w:tcPr>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单价（元）</w:t>
            </w:r>
          </w:p>
        </w:tc>
        <w:tc>
          <w:tcPr>
            <w:tcW w:w="351" w:type="pct"/>
            <w:vAlign w:val="center"/>
          </w:tcPr>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小计（元）</w:t>
            </w:r>
          </w:p>
        </w:tc>
        <w:tc>
          <w:tcPr>
            <w:tcW w:w="311" w:type="pct"/>
            <w:vAlign w:val="center"/>
          </w:tcPr>
          <w:p>
            <w:pPr>
              <w:spacing w:line="360" w:lineRule="auto"/>
              <w:jc w:val="center"/>
              <w:rPr>
                <w:rFonts w:ascii="宋体" w:hAnsi="宋体" w:cs="宋体" w:hint="eastAsia"/>
                <w:b/>
                <w:color w:val="000000"/>
                <w:sz w:val="18"/>
                <w:szCs w:val="18"/>
                <w:highlight w:val="none"/>
              </w:rPr>
            </w:pPr>
            <w:r>
              <w:rPr>
                <w:rFonts w:ascii="宋体" w:hAnsi="宋体" w:cs="宋体" w:hint="eastAsia"/>
                <w:b/>
                <w:color w:val="000000"/>
                <w:sz w:val="18"/>
                <w:szCs w:val="18"/>
                <w:highlight w:val="none"/>
              </w:rPr>
              <w:t>备注</w:t>
            </w:r>
          </w:p>
        </w:tc>
      </w:tr>
      <w:tr>
        <w:tblPrEx>
          <w:tblW w:w="5216" w:type="pct"/>
          <w:tblLayout w:type="fixed"/>
          <w:tblCellMar>
            <w:top w:w="0" w:type="dxa"/>
            <w:left w:w="108" w:type="dxa"/>
            <w:bottom w:w="0" w:type="dxa"/>
            <w:right w:w="108" w:type="dxa"/>
          </w:tblCellMar>
          <w:tblLook w:val="0000"/>
        </w:tblPrEx>
        <w:trPr>
          <w:trHeight w:val="600"/>
        </w:trPr>
        <w:tc>
          <w:tcPr>
            <w:tcW w:w="365" w:type="pct"/>
            <w:vAlign w:val="center"/>
          </w:tcPr>
          <w:p>
            <w:pPr>
              <w:jc w:val="center"/>
              <w:rPr>
                <w:rFonts w:ascii="宋体" w:hAnsi="宋体" w:hint="eastAsia"/>
                <w:color w:val="000000"/>
                <w:sz w:val="18"/>
                <w:szCs w:val="18"/>
                <w:highlight w:val="none"/>
                <w:lang w:val="zh-TW" w:eastAsia="zh-TW"/>
              </w:rPr>
            </w:pPr>
            <w:r>
              <w:rPr>
                <w:rFonts w:ascii="宋体" w:hAnsi="宋体" w:hint="eastAsia"/>
                <w:color w:val="000000"/>
                <w:sz w:val="18"/>
                <w:szCs w:val="18"/>
                <w:highlight w:val="none"/>
                <w:lang w:val="zh-TW" w:eastAsia="zh-TW"/>
              </w:rPr>
              <w:t>1</w:t>
            </w:r>
          </w:p>
        </w:tc>
        <w:tc>
          <w:tcPr>
            <w:tcW w:w="825" w:type="pct"/>
            <w:vAlign w:val="center"/>
          </w:tcPr>
          <w:p>
            <w:pPr>
              <w:jc w:val="center"/>
              <w:rPr>
                <w:rFonts w:ascii="宋体" w:hAnsi="宋体" w:hint="eastAsia"/>
                <w:color w:val="000000"/>
                <w:sz w:val="18"/>
                <w:szCs w:val="18"/>
                <w:highlight w:val="none"/>
                <w:lang w:val="zh-TW" w:eastAsia="zh-TW"/>
              </w:rPr>
            </w:pPr>
            <w:r>
              <w:rPr>
                <w:rFonts w:ascii="宋体" w:hAnsi="宋体" w:hint="eastAsia"/>
                <w:color w:val="000000"/>
                <w:sz w:val="18"/>
                <w:szCs w:val="18"/>
                <w:highlight w:val="none"/>
                <w:lang w:val="zh-TW"/>
              </w:rPr>
              <w:t>纯水机（</w:t>
            </w:r>
            <w:r>
              <w:rPr>
                <w:rFonts w:ascii="宋体" w:hAnsi="宋体" w:hint="eastAsia"/>
                <w:color w:val="000000"/>
                <w:sz w:val="18"/>
                <w:szCs w:val="18"/>
                <w:highlight w:val="none"/>
              </w:rPr>
              <w:t>一</w:t>
            </w:r>
            <w:r>
              <w:rPr>
                <w:rFonts w:ascii="宋体" w:hAnsi="宋体" w:hint="eastAsia"/>
                <w:color w:val="000000"/>
                <w:sz w:val="18"/>
                <w:szCs w:val="18"/>
                <w:highlight w:val="none"/>
                <w:lang w:val="zh-TW"/>
              </w:rPr>
              <w:t>）</w:t>
            </w:r>
          </w:p>
        </w:tc>
        <w:tc>
          <w:tcPr>
            <w:tcW w:w="311" w:type="pct"/>
            <w:vAlign w:val="center"/>
          </w:tcPr>
          <w:p>
            <w:pPr>
              <w:jc w:val="center"/>
              <w:rPr>
                <w:rFonts w:ascii="宋体" w:hAnsi="宋体" w:hint="eastAsia"/>
                <w:color w:val="000000"/>
                <w:sz w:val="18"/>
                <w:szCs w:val="18"/>
                <w:highlight w:val="none"/>
              </w:rPr>
            </w:pPr>
            <w:r>
              <w:rPr>
                <w:rFonts w:ascii="宋体" w:hAnsi="宋体" w:hint="eastAsia"/>
                <w:color w:val="000000"/>
                <w:sz w:val="18"/>
                <w:szCs w:val="18"/>
                <w:highlight w:val="none"/>
              </w:rPr>
              <w:t>套</w:t>
            </w:r>
          </w:p>
        </w:tc>
        <w:tc>
          <w:tcPr>
            <w:tcW w:w="326" w:type="pct"/>
            <w:vAlign w:val="center"/>
          </w:tcPr>
          <w:p>
            <w:pPr>
              <w:jc w:val="center"/>
              <w:rPr>
                <w:rFonts w:ascii="宋体" w:hAnsi="宋体" w:hint="eastAsia"/>
                <w:color w:val="000000"/>
                <w:sz w:val="18"/>
                <w:szCs w:val="18"/>
                <w:highlight w:val="none"/>
                <w:lang w:val="zh-TW" w:eastAsia="zh-TW"/>
              </w:rPr>
            </w:pPr>
            <w:r>
              <w:rPr>
                <w:rFonts w:ascii="宋体" w:hAnsi="宋体" w:hint="eastAsia"/>
                <w:color w:val="000000"/>
                <w:sz w:val="18"/>
                <w:szCs w:val="18"/>
                <w:highlight w:val="none"/>
              </w:rPr>
              <w:t>1</w:t>
            </w:r>
          </w:p>
        </w:tc>
        <w:tc>
          <w:tcPr>
            <w:tcW w:w="496" w:type="pct"/>
            <w:vAlign w:val="center"/>
          </w:tcPr>
          <w:p>
            <w:pPr>
              <w:spacing w:line="300" w:lineRule="exact"/>
              <w:jc w:val="center"/>
              <w:rPr>
                <w:rFonts w:ascii="宋体" w:hAnsi="宋体" w:cs="宋体"/>
                <w:b/>
                <w:color w:val="000000"/>
                <w:sz w:val="18"/>
                <w:szCs w:val="18"/>
                <w:highlight w:val="none"/>
              </w:rPr>
            </w:pPr>
          </w:p>
        </w:tc>
        <w:tc>
          <w:tcPr>
            <w:tcW w:w="241" w:type="pct"/>
            <w:vAlign w:val="center"/>
          </w:tcPr>
          <w:p>
            <w:pPr>
              <w:spacing w:line="300" w:lineRule="exact"/>
              <w:jc w:val="center"/>
              <w:rPr>
                <w:rFonts w:ascii="宋体" w:hAnsi="宋体" w:cs="宋体"/>
                <w:b/>
                <w:color w:val="000000"/>
                <w:sz w:val="18"/>
                <w:szCs w:val="18"/>
                <w:highlight w:val="none"/>
              </w:rPr>
            </w:pPr>
          </w:p>
        </w:tc>
        <w:tc>
          <w:tcPr>
            <w:tcW w:w="340" w:type="pct"/>
            <w:vAlign w:val="center"/>
          </w:tcPr>
          <w:p>
            <w:pPr>
              <w:spacing w:line="300" w:lineRule="exact"/>
              <w:jc w:val="center"/>
              <w:rPr>
                <w:rFonts w:ascii="宋体" w:hAnsi="宋体" w:cs="宋体"/>
                <w:b/>
                <w:color w:val="000000"/>
                <w:sz w:val="18"/>
                <w:szCs w:val="18"/>
                <w:highlight w:val="none"/>
              </w:rPr>
            </w:pPr>
          </w:p>
        </w:tc>
        <w:tc>
          <w:tcPr>
            <w:tcW w:w="594" w:type="pct"/>
            <w:vAlign w:val="center"/>
          </w:tcPr>
          <w:p>
            <w:pPr>
              <w:spacing w:line="300" w:lineRule="exact"/>
              <w:jc w:val="center"/>
              <w:rPr>
                <w:rFonts w:ascii="宋体" w:hAnsi="宋体" w:cs="宋体"/>
                <w:b/>
                <w:color w:val="000000"/>
                <w:sz w:val="18"/>
                <w:szCs w:val="18"/>
                <w:highlight w:val="none"/>
              </w:rPr>
            </w:pPr>
          </w:p>
        </w:tc>
        <w:tc>
          <w:tcPr>
            <w:tcW w:w="415" w:type="pct"/>
            <w:vAlign w:val="center"/>
          </w:tcPr>
          <w:p>
            <w:pPr>
              <w:widowControl/>
              <w:spacing w:line="300" w:lineRule="exact"/>
              <w:jc w:val="center"/>
              <w:rPr>
                <w:rFonts w:ascii="宋体" w:hAnsi="宋体" w:cs="宋体"/>
                <w:b/>
                <w:color w:val="000000"/>
                <w:kern w:val="0"/>
                <w:sz w:val="18"/>
                <w:szCs w:val="18"/>
                <w:highlight w:val="none"/>
              </w:rPr>
            </w:pPr>
          </w:p>
        </w:tc>
        <w:tc>
          <w:tcPr>
            <w:tcW w:w="421" w:type="pct"/>
            <w:vAlign w:val="center"/>
          </w:tcPr>
          <w:p>
            <w:pPr>
              <w:spacing w:line="300" w:lineRule="exact"/>
              <w:jc w:val="left"/>
              <w:rPr>
                <w:rFonts w:ascii="宋体" w:hAnsi="宋体" w:cs="宋体"/>
                <w:bCs/>
                <w:color w:val="000000"/>
                <w:sz w:val="18"/>
                <w:szCs w:val="18"/>
                <w:highlight w:val="none"/>
              </w:rPr>
            </w:pPr>
            <w:r>
              <w:rPr>
                <w:rFonts w:ascii="宋体" w:hAnsi="宋体" w:cs="宋体" w:hint="eastAsia"/>
                <w:bCs/>
                <w:color w:val="000000"/>
                <w:sz w:val="18"/>
                <w:szCs w:val="18"/>
                <w:highlight w:val="none"/>
              </w:rPr>
              <w:t>¥</w:t>
            </w:r>
          </w:p>
        </w:tc>
        <w:tc>
          <w:tcPr>
            <w:tcW w:w="351" w:type="pct"/>
            <w:vAlign w:val="center"/>
          </w:tcPr>
          <w:p>
            <w:pPr>
              <w:spacing w:line="300" w:lineRule="exact"/>
              <w:jc w:val="left"/>
              <w:rPr>
                <w:rFonts w:ascii="宋体" w:hAnsi="宋体" w:cs="宋体"/>
                <w:bCs/>
                <w:color w:val="000000"/>
                <w:sz w:val="18"/>
                <w:szCs w:val="18"/>
                <w:highlight w:val="none"/>
              </w:rPr>
            </w:pPr>
            <w:r>
              <w:rPr>
                <w:rFonts w:ascii="宋体" w:hAnsi="宋体" w:cs="宋体" w:hint="eastAsia"/>
                <w:bCs/>
                <w:color w:val="000000"/>
                <w:sz w:val="18"/>
                <w:szCs w:val="18"/>
                <w:highlight w:val="none"/>
              </w:rPr>
              <w:t>¥</w:t>
            </w:r>
          </w:p>
        </w:tc>
        <w:tc>
          <w:tcPr>
            <w:tcW w:w="311" w:type="pct"/>
            <w:vAlign w:val="center"/>
          </w:tcPr>
          <w:p>
            <w:pPr>
              <w:spacing w:line="300" w:lineRule="exact"/>
              <w:jc w:val="left"/>
              <w:rPr>
                <w:rFonts w:ascii="宋体" w:hAnsi="宋体" w:cs="宋体" w:hint="eastAsia"/>
                <w:b/>
                <w:color w:val="000000"/>
                <w:sz w:val="18"/>
                <w:szCs w:val="18"/>
                <w:highlight w:val="none"/>
              </w:rPr>
            </w:pPr>
          </w:p>
        </w:tc>
      </w:tr>
      <w:tr>
        <w:tblPrEx>
          <w:tblW w:w="5216" w:type="pct"/>
          <w:tblLayout w:type="fixed"/>
          <w:tblCellMar>
            <w:top w:w="0" w:type="dxa"/>
            <w:left w:w="108" w:type="dxa"/>
            <w:bottom w:w="0" w:type="dxa"/>
            <w:right w:w="108" w:type="dxa"/>
          </w:tblCellMar>
          <w:tblLook w:val="0000"/>
        </w:tblPrEx>
        <w:trPr>
          <w:trHeight w:val="600"/>
        </w:trPr>
        <w:tc>
          <w:tcPr>
            <w:tcW w:w="365" w:type="pct"/>
            <w:vAlign w:val="center"/>
          </w:tcPr>
          <w:p>
            <w:pPr>
              <w:jc w:val="center"/>
              <w:rPr>
                <w:rFonts w:ascii="宋体" w:hAnsi="宋体" w:hint="eastAsia"/>
                <w:color w:val="000000"/>
                <w:sz w:val="18"/>
                <w:szCs w:val="18"/>
                <w:highlight w:val="none"/>
                <w:lang w:val="zh-TW" w:eastAsia="zh-TW"/>
              </w:rPr>
            </w:pPr>
            <w:r>
              <w:rPr>
                <w:rFonts w:ascii="宋体" w:hAnsi="宋体" w:hint="eastAsia"/>
                <w:color w:val="000000"/>
                <w:sz w:val="18"/>
                <w:szCs w:val="18"/>
                <w:highlight w:val="none"/>
                <w:lang w:val="zh-TW" w:eastAsia="zh-TW"/>
              </w:rPr>
              <w:t>2</w:t>
            </w:r>
          </w:p>
        </w:tc>
        <w:tc>
          <w:tcPr>
            <w:tcW w:w="825" w:type="pct"/>
            <w:vAlign w:val="center"/>
          </w:tcPr>
          <w:p>
            <w:pPr>
              <w:jc w:val="center"/>
              <w:rPr>
                <w:rFonts w:ascii="宋体" w:hAnsi="宋体" w:hint="eastAsia"/>
                <w:color w:val="000000"/>
                <w:sz w:val="18"/>
                <w:szCs w:val="18"/>
                <w:highlight w:val="none"/>
                <w:lang w:val="zh-TW" w:eastAsia="zh-TW"/>
              </w:rPr>
            </w:pPr>
            <w:r>
              <w:rPr>
                <w:rFonts w:ascii="宋体" w:hAnsi="宋体" w:hint="eastAsia"/>
                <w:color w:val="000000"/>
                <w:sz w:val="18"/>
                <w:szCs w:val="18"/>
                <w:highlight w:val="none"/>
                <w:lang w:val="zh-TW"/>
              </w:rPr>
              <w:t>纯水机（</w:t>
            </w:r>
            <w:r>
              <w:rPr>
                <w:rFonts w:ascii="宋体" w:hAnsi="宋体" w:hint="eastAsia"/>
                <w:color w:val="000000"/>
                <w:sz w:val="18"/>
                <w:szCs w:val="18"/>
                <w:highlight w:val="none"/>
              </w:rPr>
              <w:t>二</w:t>
            </w:r>
            <w:r>
              <w:rPr>
                <w:rFonts w:ascii="宋体" w:hAnsi="宋体" w:hint="eastAsia"/>
                <w:color w:val="000000"/>
                <w:sz w:val="18"/>
                <w:szCs w:val="18"/>
                <w:highlight w:val="none"/>
                <w:lang w:val="zh-TW"/>
              </w:rPr>
              <w:t>）</w:t>
            </w:r>
          </w:p>
        </w:tc>
        <w:tc>
          <w:tcPr>
            <w:tcW w:w="311" w:type="pct"/>
            <w:vAlign w:val="center"/>
          </w:tcPr>
          <w:p>
            <w:pPr>
              <w:jc w:val="center"/>
              <w:rPr>
                <w:rFonts w:ascii="宋体" w:hAnsi="宋体" w:hint="eastAsia"/>
                <w:color w:val="000000"/>
                <w:sz w:val="18"/>
                <w:szCs w:val="18"/>
                <w:highlight w:val="none"/>
                <w:lang w:val="zh-TW" w:eastAsia="zh-TW"/>
              </w:rPr>
            </w:pPr>
            <w:r>
              <w:rPr>
                <w:rFonts w:ascii="宋体" w:hAnsi="宋体" w:hint="eastAsia"/>
                <w:color w:val="000000"/>
                <w:sz w:val="18"/>
                <w:szCs w:val="18"/>
                <w:highlight w:val="none"/>
              </w:rPr>
              <w:t>套</w:t>
            </w:r>
          </w:p>
        </w:tc>
        <w:tc>
          <w:tcPr>
            <w:tcW w:w="326" w:type="pct"/>
            <w:vAlign w:val="center"/>
          </w:tcPr>
          <w:p>
            <w:pPr>
              <w:jc w:val="center"/>
              <w:rPr>
                <w:rFonts w:ascii="宋体" w:hAnsi="宋体" w:hint="eastAsia"/>
                <w:color w:val="000000"/>
                <w:sz w:val="18"/>
                <w:szCs w:val="18"/>
                <w:highlight w:val="none"/>
                <w:lang w:val="zh-TW" w:eastAsia="zh-TW"/>
              </w:rPr>
            </w:pPr>
            <w:r>
              <w:rPr>
                <w:rFonts w:ascii="宋体" w:hAnsi="宋体" w:hint="eastAsia"/>
                <w:color w:val="000000"/>
                <w:sz w:val="18"/>
                <w:szCs w:val="18"/>
                <w:highlight w:val="none"/>
              </w:rPr>
              <w:t>1</w:t>
            </w:r>
          </w:p>
        </w:tc>
        <w:tc>
          <w:tcPr>
            <w:tcW w:w="496" w:type="pct"/>
          </w:tcPr>
          <w:p>
            <w:pPr>
              <w:widowControl/>
              <w:snapToGrid w:val="0"/>
              <w:spacing w:line="300" w:lineRule="exact"/>
              <w:rPr>
                <w:rFonts w:ascii="宋体" w:hAnsi="宋体" w:hint="eastAsia"/>
                <w:bCs/>
                <w:color w:val="000000"/>
                <w:sz w:val="18"/>
                <w:szCs w:val="18"/>
                <w:highlight w:val="none"/>
              </w:rPr>
            </w:pPr>
          </w:p>
        </w:tc>
        <w:tc>
          <w:tcPr>
            <w:tcW w:w="241" w:type="pct"/>
            <w:vAlign w:val="center"/>
          </w:tcPr>
          <w:p>
            <w:pPr>
              <w:spacing w:line="300" w:lineRule="exact"/>
              <w:jc w:val="center"/>
              <w:rPr>
                <w:rFonts w:ascii="宋体" w:hAnsi="宋体" w:cs="宋体"/>
                <w:color w:val="000000"/>
                <w:sz w:val="18"/>
                <w:szCs w:val="18"/>
                <w:highlight w:val="none"/>
              </w:rPr>
            </w:pPr>
          </w:p>
        </w:tc>
        <w:tc>
          <w:tcPr>
            <w:tcW w:w="340" w:type="pct"/>
            <w:vAlign w:val="center"/>
          </w:tcPr>
          <w:p>
            <w:pPr>
              <w:spacing w:line="300" w:lineRule="exact"/>
              <w:jc w:val="center"/>
              <w:rPr>
                <w:rFonts w:ascii="宋体" w:hAnsi="宋体" w:cs="宋体"/>
                <w:color w:val="000000"/>
                <w:sz w:val="18"/>
                <w:szCs w:val="18"/>
                <w:highlight w:val="none"/>
              </w:rPr>
            </w:pPr>
          </w:p>
        </w:tc>
        <w:tc>
          <w:tcPr>
            <w:tcW w:w="594" w:type="pct"/>
            <w:vAlign w:val="center"/>
          </w:tcPr>
          <w:p>
            <w:pPr>
              <w:spacing w:line="300" w:lineRule="exact"/>
              <w:jc w:val="center"/>
              <w:rPr>
                <w:rFonts w:ascii="宋体" w:hAnsi="宋体" w:cs="宋体"/>
                <w:color w:val="000000"/>
                <w:sz w:val="18"/>
                <w:szCs w:val="18"/>
                <w:highlight w:val="none"/>
              </w:rPr>
            </w:pPr>
          </w:p>
        </w:tc>
        <w:tc>
          <w:tcPr>
            <w:tcW w:w="415" w:type="pct"/>
            <w:vAlign w:val="center"/>
          </w:tcPr>
          <w:p>
            <w:pPr>
              <w:spacing w:line="300" w:lineRule="exact"/>
              <w:jc w:val="center"/>
              <w:rPr>
                <w:color w:val="000000"/>
                <w:sz w:val="18"/>
                <w:szCs w:val="18"/>
                <w:highlight w:val="none"/>
              </w:rPr>
            </w:pPr>
          </w:p>
        </w:tc>
        <w:tc>
          <w:tcPr>
            <w:tcW w:w="421" w:type="pct"/>
            <w:vAlign w:val="center"/>
          </w:tcPr>
          <w:p>
            <w:pPr>
              <w:spacing w:line="300" w:lineRule="exact"/>
              <w:rPr>
                <w:bCs/>
                <w:color w:val="000000"/>
                <w:sz w:val="18"/>
                <w:szCs w:val="18"/>
                <w:highlight w:val="none"/>
              </w:rPr>
            </w:pPr>
            <w:r>
              <w:rPr>
                <w:rFonts w:ascii="宋体" w:hAnsi="宋体" w:cs="宋体" w:hint="eastAsia"/>
                <w:bCs/>
                <w:color w:val="000000"/>
                <w:sz w:val="18"/>
                <w:szCs w:val="18"/>
                <w:highlight w:val="none"/>
              </w:rPr>
              <w:t>¥</w:t>
            </w:r>
          </w:p>
        </w:tc>
        <w:tc>
          <w:tcPr>
            <w:tcW w:w="351" w:type="pct"/>
            <w:vAlign w:val="center"/>
          </w:tcPr>
          <w:p>
            <w:pPr>
              <w:spacing w:line="300" w:lineRule="exact"/>
              <w:rPr>
                <w:bCs/>
                <w:color w:val="000000"/>
                <w:sz w:val="18"/>
                <w:szCs w:val="18"/>
                <w:highlight w:val="none"/>
              </w:rPr>
            </w:pPr>
            <w:r>
              <w:rPr>
                <w:rFonts w:ascii="宋体" w:hAnsi="宋体" w:cs="宋体" w:hint="eastAsia"/>
                <w:bCs/>
                <w:color w:val="000000"/>
                <w:sz w:val="18"/>
                <w:szCs w:val="18"/>
                <w:highlight w:val="none"/>
              </w:rPr>
              <w:t>¥</w:t>
            </w:r>
          </w:p>
        </w:tc>
        <w:tc>
          <w:tcPr>
            <w:tcW w:w="311" w:type="pct"/>
            <w:vAlign w:val="center"/>
          </w:tcPr>
          <w:p>
            <w:pPr>
              <w:spacing w:line="300" w:lineRule="exact"/>
              <w:rPr>
                <w:rFonts w:ascii="宋体" w:hAnsi="宋体" w:cs="宋体" w:hint="eastAsia"/>
                <w:bCs/>
                <w:color w:val="000000"/>
                <w:sz w:val="18"/>
                <w:szCs w:val="18"/>
                <w:highlight w:val="none"/>
              </w:rPr>
            </w:pPr>
          </w:p>
        </w:tc>
      </w:tr>
      <w:tr>
        <w:tblPrEx>
          <w:tblW w:w="5216" w:type="pct"/>
          <w:tblLayout w:type="fixed"/>
          <w:tblCellMar>
            <w:top w:w="0" w:type="dxa"/>
            <w:left w:w="108" w:type="dxa"/>
            <w:bottom w:w="0" w:type="dxa"/>
            <w:right w:w="108" w:type="dxa"/>
          </w:tblCellMar>
          <w:tblLook w:val="0000"/>
        </w:tblPrEx>
        <w:trPr>
          <w:trHeight w:val="600"/>
        </w:trPr>
        <w:tc>
          <w:tcPr>
            <w:tcW w:w="365" w:type="pct"/>
            <w:vAlign w:val="center"/>
          </w:tcPr>
          <w:p>
            <w:pPr>
              <w:jc w:val="center"/>
              <w:rPr>
                <w:rFonts w:ascii="宋体" w:hAnsi="宋体" w:hint="eastAsia"/>
                <w:color w:val="000000"/>
                <w:sz w:val="18"/>
                <w:szCs w:val="18"/>
                <w:highlight w:val="none"/>
              </w:rPr>
            </w:pPr>
            <w:r>
              <w:rPr>
                <w:rFonts w:ascii="宋体" w:hAnsi="宋体" w:hint="eastAsia"/>
                <w:color w:val="000000"/>
                <w:sz w:val="18"/>
                <w:szCs w:val="18"/>
                <w:highlight w:val="none"/>
              </w:rPr>
              <w:t>3</w:t>
            </w:r>
          </w:p>
        </w:tc>
        <w:tc>
          <w:tcPr>
            <w:tcW w:w="825" w:type="pct"/>
            <w:vAlign w:val="center"/>
          </w:tcPr>
          <w:p>
            <w:pPr>
              <w:jc w:val="center"/>
              <w:rPr>
                <w:rFonts w:ascii="宋体" w:hAnsi="宋体" w:hint="eastAsia"/>
                <w:color w:val="000000"/>
                <w:sz w:val="18"/>
                <w:szCs w:val="18"/>
                <w:highlight w:val="none"/>
                <w:lang w:val="zh-TW" w:eastAsia="zh-TW"/>
              </w:rPr>
            </w:pPr>
            <w:r>
              <w:rPr>
                <w:rFonts w:ascii="宋体" w:hAnsi="宋体" w:hint="eastAsia"/>
                <w:color w:val="000000"/>
                <w:sz w:val="18"/>
                <w:szCs w:val="18"/>
                <w:highlight w:val="none"/>
                <w:lang w:val="zh-TW"/>
              </w:rPr>
              <w:t>纯水机（三）</w:t>
            </w:r>
          </w:p>
        </w:tc>
        <w:tc>
          <w:tcPr>
            <w:tcW w:w="311" w:type="pct"/>
            <w:vAlign w:val="center"/>
          </w:tcPr>
          <w:p>
            <w:pPr>
              <w:jc w:val="center"/>
              <w:rPr>
                <w:rFonts w:ascii="宋体" w:hAnsi="宋体" w:hint="eastAsia"/>
                <w:color w:val="000000"/>
                <w:sz w:val="18"/>
                <w:szCs w:val="18"/>
                <w:highlight w:val="none"/>
                <w:lang w:val="zh-TW" w:eastAsia="zh-TW"/>
              </w:rPr>
            </w:pPr>
            <w:r>
              <w:rPr>
                <w:rFonts w:ascii="宋体" w:hAnsi="宋体" w:hint="eastAsia"/>
                <w:color w:val="000000"/>
                <w:sz w:val="18"/>
                <w:szCs w:val="18"/>
                <w:highlight w:val="none"/>
              </w:rPr>
              <w:t>套</w:t>
            </w:r>
          </w:p>
        </w:tc>
        <w:tc>
          <w:tcPr>
            <w:tcW w:w="326" w:type="pct"/>
            <w:vAlign w:val="center"/>
          </w:tcPr>
          <w:p>
            <w:pPr>
              <w:jc w:val="center"/>
              <w:rPr>
                <w:rFonts w:ascii="宋体" w:hAnsi="宋体" w:hint="eastAsia"/>
                <w:color w:val="000000"/>
                <w:sz w:val="18"/>
                <w:szCs w:val="18"/>
                <w:highlight w:val="none"/>
                <w:lang w:val="zh-TW" w:eastAsia="zh-TW"/>
              </w:rPr>
            </w:pPr>
            <w:r>
              <w:rPr>
                <w:rFonts w:ascii="宋体" w:hAnsi="宋体" w:hint="eastAsia"/>
                <w:color w:val="000000"/>
                <w:sz w:val="18"/>
                <w:szCs w:val="18"/>
                <w:highlight w:val="none"/>
              </w:rPr>
              <w:t>2</w:t>
            </w:r>
          </w:p>
        </w:tc>
        <w:tc>
          <w:tcPr>
            <w:tcW w:w="496" w:type="pct"/>
          </w:tcPr>
          <w:p>
            <w:pPr>
              <w:widowControl/>
              <w:snapToGrid w:val="0"/>
              <w:spacing w:line="300" w:lineRule="exact"/>
              <w:rPr>
                <w:rFonts w:ascii="宋体" w:hAnsi="宋体" w:hint="eastAsia"/>
                <w:bCs/>
                <w:color w:val="000000"/>
                <w:sz w:val="18"/>
                <w:szCs w:val="18"/>
                <w:highlight w:val="none"/>
              </w:rPr>
            </w:pPr>
          </w:p>
        </w:tc>
        <w:tc>
          <w:tcPr>
            <w:tcW w:w="241" w:type="pct"/>
            <w:vAlign w:val="center"/>
          </w:tcPr>
          <w:p>
            <w:pPr>
              <w:spacing w:line="300" w:lineRule="exact"/>
              <w:jc w:val="center"/>
              <w:rPr>
                <w:rFonts w:ascii="宋体" w:hAnsi="宋体" w:cs="宋体"/>
                <w:color w:val="000000"/>
                <w:sz w:val="18"/>
                <w:szCs w:val="18"/>
                <w:highlight w:val="none"/>
              </w:rPr>
            </w:pPr>
          </w:p>
        </w:tc>
        <w:tc>
          <w:tcPr>
            <w:tcW w:w="340" w:type="pct"/>
            <w:vAlign w:val="center"/>
          </w:tcPr>
          <w:p>
            <w:pPr>
              <w:spacing w:line="300" w:lineRule="exact"/>
              <w:jc w:val="center"/>
              <w:rPr>
                <w:rFonts w:ascii="宋体" w:hAnsi="宋体" w:cs="宋体"/>
                <w:color w:val="000000"/>
                <w:sz w:val="18"/>
                <w:szCs w:val="18"/>
                <w:highlight w:val="none"/>
              </w:rPr>
            </w:pPr>
          </w:p>
        </w:tc>
        <w:tc>
          <w:tcPr>
            <w:tcW w:w="594" w:type="pct"/>
            <w:vAlign w:val="center"/>
          </w:tcPr>
          <w:p>
            <w:pPr>
              <w:spacing w:line="300" w:lineRule="exact"/>
              <w:jc w:val="center"/>
              <w:rPr>
                <w:rFonts w:ascii="宋体" w:hAnsi="宋体" w:cs="宋体"/>
                <w:color w:val="000000"/>
                <w:sz w:val="18"/>
                <w:szCs w:val="18"/>
                <w:highlight w:val="none"/>
              </w:rPr>
            </w:pPr>
          </w:p>
        </w:tc>
        <w:tc>
          <w:tcPr>
            <w:tcW w:w="415" w:type="pct"/>
            <w:vAlign w:val="center"/>
          </w:tcPr>
          <w:p>
            <w:pPr>
              <w:spacing w:line="300" w:lineRule="exact"/>
              <w:jc w:val="center"/>
              <w:rPr>
                <w:color w:val="000000"/>
                <w:sz w:val="18"/>
                <w:szCs w:val="18"/>
                <w:highlight w:val="none"/>
              </w:rPr>
            </w:pPr>
          </w:p>
        </w:tc>
        <w:tc>
          <w:tcPr>
            <w:tcW w:w="813" w:type="dxa"/>
            <w:vAlign w:val="center"/>
          </w:tcPr>
          <w:p>
            <w:pPr>
              <w:spacing w:line="300" w:lineRule="exact"/>
              <w:jc w:val="left"/>
              <w:rPr>
                <w:rFonts w:ascii="宋体" w:hAnsi="宋体" w:cs="宋体" w:hint="eastAsia"/>
                <w:bCs/>
                <w:color w:val="000000"/>
                <w:sz w:val="18"/>
                <w:szCs w:val="18"/>
                <w:highlight w:val="none"/>
              </w:rPr>
            </w:pPr>
            <w:r>
              <w:rPr>
                <w:rFonts w:ascii="宋体" w:hAnsi="宋体" w:cs="宋体" w:hint="eastAsia"/>
                <w:bCs/>
                <w:color w:val="000000"/>
                <w:sz w:val="18"/>
                <w:szCs w:val="18"/>
                <w:highlight w:val="none"/>
              </w:rPr>
              <w:t>¥</w:t>
            </w:r>
          </w:p>
        </w:tc>
        <w:tc>
          <w:tcPr>
            <w:tcW w:w="677" w:type="dxa"/>
            <w:vAlign w:val="center"/>
          </w:tcPr>
          <w:p>
            <w:pPr>
              <w:spacing w:line="300" w:lineRule="exact"/>
              <w:jc w:val="left"/>
              <w:rPr>
                <w:rFonts w:ascii="宋体" w:hAnsi="宋体" w:cs="宋体" w:hint="eastAsia"/>
                <w:bCs/>
                <w:color w:val="000000"/>
                <w:sz w:val="18"/>
                <w:szCs w:val="18"/>
                <w:highlight w:val="none"/>
              </w:rPr>
            </w:pPr>
            <w:r>
              <w:rPr>
                <w:rFonts w:ascii="宋体" w:hAnsi="宋体" w:cs="宋体" w:hint="eastAsia"/>
                <w:bCs/>
                <w:color w:val="000000"/>
                <w:sz w:val="18"/>
                <w:szCs w:val="18"/>
                <w:highlight w:val="none"/>
              </w:rPr>
              <w:t>¥</w:t>
            </w:r>
          </w:p>
        </w:tc>
        <w:tc>
          <w:tcPr>
            <w:tcW w:w="311" w:type="pct"/>
            <w:vAlign w:val="center"/>
          </w:tcPr>
          <w:p>
            <w:pPr>
              <w:spacing w:line="300" w:lineRule="exact"/>
              <w:rPr>
                <w:rFonts w:ascii="宋体" w:hAnsi="宋体" w:cs="宋体" w:hint="eastAsia"/>
                <w:bCs/>
                <w:color w:val="000000"/>
                <w:sz w:val="18"/>
                <w:szCs w:val="18"/>
                <w:highlight w:val="none"/>
              </w:rPr>
            </w:pPr>
          </w:p>
        </w:tc>
      </w:tr>
      <w:tr>
        <w:tblPrEx>
          <w:tblW w:w="5216" w:type="pct"/>
          <w:tblLayout w:type="fixed"/>
          <w:tblCellMar>
            <w:top w:w="0" w:type="dxa"/>
            <w:left w:w="108" w:type="dxa"/>
            <w:bottom w:w="0" w:type="dxa"/>
            <w:right w:w="108" w:type="dxa"/>
          </w:tblCellMar>
          <w:tblLook w:val="0000"/>
        </w:tblPrEx>
        <w:trPr>
          <w:trHeight w:val="600"/>
        </w:trPr>
        <w:tc>
          <w:tcPr>
            <w:tcW w:w="365" w:type="pct"/>
            <w:vAlign w:val="center"/>
          </w:tcPr>
          <w:p>
            <w:pPr>
              <w:jc w:val="center"/>
              <w:rPr>
                <w:rFonts w:ascii="宋体" w:hAnsi="宋体" w:hint="eastAsia"/>
                <w:color w:val="000000"/>
                <w:sz w:val="18"/>
                <w:szCs w:val="18"/>
                <w:highlight w:val="none"/>
              </w:rPr>
            </w:pPr>
            <w:r>
              <w:rPr>
                <w:rFonts w:ascii="宋体" w:hAnsi="宋体" w:hint="eastAsia"/>
                <w:color w:val="000000"/>
                <w:sz w:val="18"/>
                <w:szCs w:val="18"/>
                <w:highlight w:val="none"/>
              </w:rPr>
              <w:t>4</w:t>
            </w:r>
          </w:p>
        </w:tc>
        <w:tc>
          <w:tcPr>
            <w:tcW w:w="825" w:type="pct"/>
            <w:vAlign w:val="center"/>
          </w:tcPr>
          <w:p>
            <w:pPr>
              <w:jc w:val="center"/>
              <w:rPr>
                <w:rFonts w:ascii="宋体" w:hAnsi="宋体" w:hint="eastAsia"/>
                <w:color w:val="000000"/>
                <w:sz w:val="18"/>
                <w:szCs w:val="18"/>
                <w:highlight w:val="none"/>
                <w:lang w:val="zh-TW" w:eastAsia="zh-TW"/>
              </w:rPr>
            </w:pPr>
            <w:r>
              <w:rPr>
                <w:rFonts w:ascii="宋体" w:hAnsi="宋体" w:hint="eastAsia"/>
                <w:color w:val="000000"/>
                <w:sz w:val="18"/>
                <w:szCs w:val="18"/>
                <w:highlight w:val="none"/>
                <w:lang w:val="zh-TW"/>
              </w:rPr>
              <w:t>纯水机（四）</w:t>
            </w:r>
          </w:p>
        </w:tc>
        <w:tc>
          <w:tcPr>
            <w:tcW w:w="311" w:type="pct"/>
            <w:vAlign w:val="center"/>
          </w:tcPr>
          <w:p>
            <w:pPr>
              <w:jc w:val="center"/>
              <w:rPr>
                <w:rFonts w:ascii="宋体" w:hAnsi="宋体" w:hint="eastAsia"/>
                <w:color w:val="000000"/>
                <w:sz w:val="18"/>
                <w:szCs w:val="18"/>
                <w:highlight w:val="none"/>
                <w:lang w:val="zh-TW" w:eastAsia="zh-TW"/>
              </w:rPr>
            </w:pPr>
            <w:r>
              <w:rPr>
                <w:rFonts w:ascii="宋体" w:hAnsi="宋体" w:hint="eastAsia"/>
                <w:color w:val="000000"/>
                <w:sz w:val="18"/>
                <w:szCs w:val="18"/>
                <w:highlight w:val="none"/>
              </w:rPr>
              <w:t>套</w:t>
            </w:r>
          </w:p>
        </w:tc>
        <w:tc>
          <w:tcPr>
            <w:tcW w:w="326" w:type="pct"/>
            <w:vAlign w:val="center"/>
          </w:tcPr>
          <w:p>
            <w:pPr>
              <w:jc w:val="center"/>
              <w:rPr>
                <w:rFonts w:ascii="宋体" w:hAnsi="宋体" w:hint="eastAsia"/>
                <w:color w:val="000000"/>
                <w:sz w:val="18"/>
                <w:szCs w:val="18"/>
                <w:highlight w:val="none"/>
                <w:lang w:val="zh-TW" w:eastAsia="zh-TW"/>
              </w:rPr>
            </w:pPr>
            <w:r>
              <w:rPr>
                <w:rFonts w:ascii="宋体" w:hAnsi="宋体" w:hint="eastAsia"/>
                <w:color w:val="000000"/>
                <w:sz w:val="18"/>
                <w:szCs w:val="18"/>
                <w:highlight w:val="none"/>
              </w:rPr>
              <w:t>2</w:t>
            </w:r>
          </w:p>
        </w:tc>
        <w:tc>
          <w:tcPr>
            <w:tcW w:w="496" w:type="pct"/>
          </w:tcPr>
          <w:p>
            <w:pPr>
              <w:widowControl/>
              <w:snapToGrid w:val="0"/>
              <w:spacing w:line="300" w:lineRule="exact"/>
              <w:rPr>
                <w:rFonts w:ascii="宋体" w:hAnsi="宋体" w:hint="eastAsia"/>
                <w:bCs/>
                <w:color w:val="000000"/>
                <w:sz w:val="18"/>
                <w:szCs w:val="18"/>
                <w:highlight w:val="none"/>
              </w:rPr>
            </w:pPr>
          </w:p>
        </w:tc>
        <w:tc>
          <w:tcPr>
            <w:tcW w:w="241" w:type="pct"/>
            <w:vAlign w:val="center"/>
          </w:tcPr>
          <w:p>
            <w:pPr>
              <w:spacing w:line="300" w:lineRule="exact"/>
              <w:jc w:val="center"/>
              <w:rPr>
                <w:rFonts w:ascii="宋体" w:hAnsi="宋体" w:cs="宋体"/>
                <w:color w:val="000000"/>
                <w:sz w:val="18"/>
                <w:szCs w:val="18"/>
                <w:highlight w:val="none"/>
              </w:rPr>
            </w:pPr>
          </w:p>
        </w:tc>
        <w:tc>
          <w:tcPr>
            <w:tcW w:w="340" w:type="pct"/>
            <w:vAlign w:val="center"/>
          </w:tcPr>
          <w:p>
            <w:pPr>
              <w:spacing w:line="300" w:lineRule="exact"/>
              <w:jc w:val="center"/>
              <w:rPr>
                <w:rFonts w:ascii="宋体" w:hAnsi="宋体" w:cs="宋体"/>
                <w:color w:val="000000"/>
                <w:sz w:val="18"/>
                <w:szCs w:val="18"/>
                <w:highlight w:val="none"/>
              </w:rPr>
            </w:pPr>
          </w:p>
        </w:tc>
        <w:tc>
          <w:tcPr>
            <w:tcW w:w="594" w:type="pct"/>
            <w:vAlign w:val="center"/>
          </w:tcPr>
          <w:p>
            <w:pPr>
              <w:spacing w:line="300" w:lineRule="exact"/>
              <w:jc w:val="center"/>
              <w:rPr>
                <w:rFonts w:ascii="宋体" w:hAnsi="宋体" w:cs="宋体"/>
                <w:color w:val="000000"/>
                <w:sz w:val="18"/>
                <w:szCs w:val="18"/>
                <w:highlight w:val="none"/>
              </w:rPr>
            </w:pPr>
          </w:p>
        </w:tc>
        <w:tc>
          <w:tcPr>
            <w:tcW w:w="415" w:type="pct"/>
            <w:vAlign w:val="center"/>
          </w:tcPr>
          <w:p>
            <w:pPr>
              <w:spacing w:line="300" w:lineRule="exact"/>
              <w:jc w:val="center"/>
              <w:rPr>
                <w:color w:val="000000"/>
                <w:sz w:val="18"/>
                <w:szCs w:val="18"/>
                <w:highlight w:val="none"/>
              </w:rPr>
            </w:pPr>
          </w:p>
        </w:tc>
        <w:tc>
          <w:tcPr>
            <w:tcW w:w="813" w:type="dxa"/>
            <w:vAlign w:val="center"/>
          </w:tcPr>
          <w:p>
            <w:pPr>
              <w:spacing w:line="300" w:lineRule="exact"/>
              <w:rPr>
                <w:rFonts w:ascii="宋体" w:hAnsi="宋体" w:cs="宋体" w:hint="eastAsia"/>
                <w:bCs/>
                <w:color w:val="000000"/>
                <w:sz w:val="18"/>
                <w:szCs w:val="18"/>
                <w:highlight w:val="none"/>
              </w:rPr>
            </w:pPr>
            <w:r>
              <w:rPr>
                <w:rFonts w:ascii="宋体" w:hAnsi="宋体" w:cs="宋体" w:hint="eastAsia"/>
                <w:bCs/>
                <w:color w:val="000000"/>
                <w:sz w:val="18"/>
                <w:szCs w:val="18"/>
                <w:highlight w:val="none"/>
              </w:rPr>
              <w:t>¥</w:t>
            </w:r>
          </w:p>
        </w:tc>
        <w:tc>
          <w:tcPr>
            <w:tcW w:w="677" w:type="dxa"/>
            <w:vAlign w:val="center"/>
          </w:tcPr>
          <w:p>
            <w:pPr>
              <w:spacing w:line="300" w:lineRule="exact"/>
              <w:rPr>
                <w:rFonts w:ascii="宋体" w:hAnsi="宋体" w:cs="宋体" w:hint="eastAsia"/>
                <w:bCs/>
                <w:color w:val="000000"/>
                <w:sz w:val="18"/>
                <w:szCs w:val="18"/>
                <w:highlight w:val="none"/>
              </w:rPr>
            </w:pPr>
            <w:r>
              <w:rPr>
                <w:rFonts w:ascii="宋体" w:hAnsi="宋体" w:cs="宋体" w:hint="eastAsia"/>
                <w:bCs/>
                <w:color w:val="000000"/>
                <w:sz w:val="18"/>
                <w:szCs w:val="18"/>
                <w:highlight w:val="none"/>
              </w:rPr>
              <w:t>¥</w:t>
            </w:r>
          </w:p>
        </w:tc>
        <w:tc>
          <w:tcPr>
            <w:tcW w:w="311" w:type="pct"/>
            <w:vAlign w:val="center"/>
          </w:tcPr>
          <w:p>
            <w:pPr>
              <w:spacing w:line="300" w:lineRule="exact"/>
              <w:rPr>
                <w:rFonts w:ascii="宋体" w:hAnsi="宋体" w:cs="宋体" w:hint="eastAsia"/>
                <w:bCs/>
                <w:color w:val="000000"/>
                <w:sz w:val="18"/>
                <w:szCs w:val="18"/>
                <w:highlight w:val="none"/>
              </w:rPr>
            </w:pPr>
          </w:p>
        </w:tc>
      </w:tr>
      <w:tr>
        <w:tblPrEx>
          <w:tblW w:w="5216" w:type="pct"/>
          <w:tblLayout w:type="fixed"/>
          <w:tblCellMar>
            <w:top w:w="0" w:type="dxa"/>
            <w:left w:w="108" w:type="dxa"/>
            <w:bottom w:w="0" w:type="dxa"/>
            <w:right w:w="108" w:type="dxa"/>
          </w:tblCellMar>
          <w:tblLook w:val="0000"/>
        </w:tblPrEx>
        <w:trPr>
          <w:trHeight w:val="600"/>
        </w:trPr>
        <w:tc>
          <w:tcPr>
            <w:tcW w:w="365" w:type="pct"/>
            <w:vAlign w:val="center"/>
          </w:tcPr>
          <w:p>
            <w:pPr>
              <w:jc w:val="center"/>
              <w:rPr>
                <w:rFonts w:ascii="宋体" w:hAnsi="宋体" w:hint="eastAsia"/>
                <w:color w:val="000000"/>
                <w:sz w:val="18"/>
                <w:szCs w:val="18"/>
                <w:highlight w:val="none"/>
              </w:rPr>
            </w:pPr>
            <w:r>
              <w:rPr>
                <w:rFonts w:ascii="宋体" w:hAnsi="宋体" w:hint="eastAsia"/>
                <w:color w:val="000000"/>
                <w:sz w:val="18"/>
                <w:szCs w:val="18"/>
                <w:highlight w:val="none"/>
              </w:rPr>
              <w:t>5</w:t>
            </w:r>
          </w:p>
        </w:tc>
        <w:tc>
          <w:tcPr>
            <w:tcW w:w="825" w:type="pct"/>
            <w:vAlign w:val="center"/>
          </w:tcPr>
          <w:p>
            <w:pPr>
              <w:jc w:val="center"/>
              <w:rPr>
                <w:rFonts w:ascii="宋体" w:hAnsi="宋体" w:hint="eastAsia"/>
                <w:color w:val="000000"/>
                <w:sz w:val="18"/>
                <w:szCs w:val="18"/>
                <w:highlight w:val="none"/>
                <w:lang w:val="zh-TW" w:eastAsia="zh-TW"/>
              </w:rPr>
            </w:pPr>
            <w:r>
              <w:rPr>
                <w:rFonts w:ascii="宋体" w:hAnsi="宋体" w:hint="eastAsia"/>
                <w:color w:val="000000"/>
                <w:sz w:val="18"/>
                <w:szCs w:val="18"/>
                <w:highlight w:val="none"/>
                <w:lang w:val="zh-TW"/>
              </w:rPr>
              <w:t>纯水机（五）</w:t>
            </w:r>
          </w:p>
        </w:tc>
        <w:tc>
          <w:tcPr>
            <w:tcW w:w="311" w:type="pct"/>
            <w:vAlign w:val="center"/>
          </w:tcPr>
          <w:p>
            <w:pPr>
              <w:jc w:val="center"/>
              <w:rPr>
                <w:rFonts w:ascii="宋体" w:hAnsi="宋体" w:hint="eastAsia"/>
                <w:color w:val="000000"/>
                <w:sz w:val="18"/>
                <w:szCs w:val="18"/>
                <w:highlight w:val="none"/>
                <w:lang w:val="zh-TW" w:eastAsia="zh-TW"/>
              </w:rPr>
            </w:pPr>
            <w:r>
              <w:rPr>
                <w:rFonts w:ascii="宋体" w:hAnsi="宋体" w:hint="eastAsia"/>
                <w:color w:val="000000"/>
                <w:sz w:val="18"/>
                <w:szCs w:val="18"/>
                <w:highlight w:val="none"/>
              </w:rPr>
              <w:t>套</w:t>
            </w:r>
          </w:p>
        </w:tc>
        <w:tc>
          <w:tcPr>
            <w:tcW w:w="326" w:type="pct"/>
            <w:vAlign w:val="center"/>
          </w:tcPr>
          <w:p>
            <w:pPr>
              <w:jc w:val="center"/>
              <w:rPr>
                <w:rFonts w:ascii="宋体" w:hAnsi="宋体" w:hint="eastAsia"/>
                <w:color w:val="000000"/>
                <w:sz w:val="18"/>
                <w:szCs w:val="18"/>
                <w:highlight w:val="none"/>
                <w:lang w:val="zh-TW" w:eastAsia="zh-TW"/>
              </w:rPr>
            </w:pPr>
            <w:r>
              <w:rPr>
                <w:rFonts w:ascii="宋体" w:hAnsi="宋体" w:hint="eastAsia"/>
                <w:color w:val="000000"/>
                <w:sz w:val="18"/>
                <w:szCs w:val="18"/>
                <w:highlight w:val="none"/>
              </w:rPr>
              <w:t>2</w:t>
            </w:r>
          </w:p>
        </w:tc>
        <w:tc>
          <w:tcPr>
            <w:tcW w:w="496" w:type="pct"/>
          </w:tcPr>
          <w:p>
            <w:pPr>
              <w:widowControl/>
              <w:snapToGrid w:val="0"/>
              <w:spacing w:line="300" w:lineRule="exact"/>
              <w:rPr>
                <w:rFonts w:ascii="宋体" w:hAnsi="宋体" w:hint="eastAsia"/>
                <w:bCs/>
                <w:color w:val="000000"/>
                <w:sz w:val="18"/>
                <w:szCs w:val="18"/>
                <w:highlight w:val="none"/>
              </w:rPr>
            </w:pPr>
          </w:p>
        </w:tc>
        <w:tc>
          <w:tcPr>
            <w:tcW w:w="241" w:type="pct"/>
            <w:vAlign w:val="center"/>
          </w:tcPr>
          <w:p>
            <w:pPr>
              <w:spacing w:line="300" w:lineRule="exact"/>
              <w:jc w:val="center"/>
              <w:rPr>
                <w:rFonts w:ascii="宋体" w:hAnsi="宋体" w:cs="宋体"/>
                <w:color w:val="000000"/>
                <w:sz w:val="18"/>
                <w:szCs w:val="18"/>
                <w:highlight w:val="none"/>
              </w:rPr>
            </w:pPr>
          </w:p>
        </w:tc>
        <w:tc>
          <w:tcPr>
            <w:tcW w:w="340" w:type="pct"/>
            <w:vAlign w:val="center"/>
          </w:tcPr>
          <w:p>
            <w:pPr>
              <w:spacing w:line="300" w:lineRule="exact"/>
              <w:jc w:val="center"/>
              <w:rPr>
                <w:rFonts w:ascii="宋体" w:hAnsi="宋体" w:cs="宋体"/>
                <w:color w:val="000000"/>
                <w:sz w:val="18"/>
                <w:szCs w:val="18"/>
                <w:highlight w:val="none"/>
              </w:rPr>
            </w:pPr>
          </w:p>
        </w:tc>
        <w:tc>
          <w:tcPr>
            <w:tcW w:w="594" w:type="pct"/>
            <w:vAlign w:val="center"/>
          </w:tcPr>
          <w:p>
            <w:pPr>
              <w:spacing w:line="300" w:lineRule="exact"/>
              <w:jc w:val="center"/>
              <w:rPr>
                <w:rFonts w:ascii="宋体" w:hAnsi="宋体" w:cs="宋体"/>
                <w:color w:val="000000"/>
                <w:sz w:val="18"/>
                <w:szCs w:val="18"/>
                <w:highlight w:val="none"/>
              </w:rPr>
            </w:pPr>
          </w:p>
        </w:tc>
        <w:tc>
          <w:tcPr>
            <w:tcW w:w="415" w:type="pct"/>
            <w:vAlign w:val="center"/>
          </w:tcPr>
          <w:p>
            <w:pPr>
              <w:spacing w:line="300" w:lineRule="exact"/>
              <w:jc w:val="center"/>
              <w:rPr>
                <w:color w:val="000000"/>
                <w:sz w:val="18"/>
                <w:szCs w:val="18"/>
                <w:highlight w:val="none"/>
              </w:rPr>
            </w:pPr>
          </w:p>
        </w:tc>
        <w:tc>
          <w:tcPr>
            <w:tcW w:w="813" w:type="dxa"/>
            <w:vAlign w:val="center"/>
          </w:tcPr>
          <w:p>
            <w:pPr>
              <w:spacing w:line="300" w:lineRule="exact"/>
              <w:jc w:val="left"/>
              <w:rPr>
                <w:rFonts w:ascii="宋体" w:hAnsi="宋体" w:cs="宋体" w:hint="eastAsia"/>
                <w:bCs/>
                <w:color w:val="000000"/>
                <w:sz w:val="18"/>
                <w:szCs w:val="18"/>
                <w:highlight w:val="none"/>
              </w:rPr>
            </w:pPr>
            <w:r>
              <w:rPr>
                <w:rFonts w:ascii="宋体" w:hAnsi="宋体" w:cs="宋体" w:hint="eastAsia"/>
                <w:bCs/>
                <w:color w:val="000000"/>
                <w:sz w:val="18"/>
                <w:szCs w:val="18"/>
                <w:highlight w:val="none"/>
              </w:rPr>
              <w:t>¥</w:t>
            </w:r>
          </w:p>
        </w:tc>
        <w:tc>
          <w:tcPr>
            <w:tcW w:w="677" w:type="dxa"/>
            <w:vAlign w:val="center"/>
          </w:tcPr>
          <w:p>
            <w:pPr>
              <w:spacing w:line="300" w:lineRule="exact"/>
              <w:jc w:val="left"/>
              <w:rPr>
                <w:rFonts w:ascii="宋体" w:hAnsi="宋体" w:cs="宋体" w:hint="eastAsia"/>
                <w:bCs/>
                <w:color w:val="000000"/>
                <w:sz w:val="18"/>
                <w:szCs w:val="18"/>
                <w:highlight w:val="none"/>
              </w:rPr>
            </w:pPr>
            <w:r>
              <w:rPr>
                <w:rFonts w:ascii="宋体" w:hAnsi="宋体" w:cs="宋体" w:hint="eastAsia"/>
                <w:bCs/>
                <w:color w:val="000000"/>
                <w:sz w:val="18"/>
                <w:szCs w:val="18"/>
                <w:highlight w:val="none"/>
              </w:rPr>
              <w:t>¥</w:t>
            </w:r>
          </w:p>
        </w:tc>
        <w:tc>
          <w:tcPr>
            <w:tcW w:w="311" w:type="pct"/>
            <w:vAlign w:val="center"/>
          </w:tcPr>
          <w:p>
            <w:pPr>
              <w:spacing w:line="300" w:lineRule="exact"/>
              <w:rPr>
                <w:rFonts w:ascii="宋体" w:hAnsi="宋体" w:cs="宋体" w:hint="eastAsia"/>
                <w:bCs/>
                <w:color w:val="000000"/>
                <w:sz w:val="18"/>
                <w:szCs w:val="18"/>
                <w:highlight w:val="none"/>
              </w:rPr>
            </w:pPr>
          </w:p>
        </w:tc>
      </w:tr>
      <w:tr>
        <w:tblPrEx>
          <w:tblW w:w="5216" w:type="pct"/>
          <w:tblLayout w:type="fixed"/>
          <w:tblCellMar>
            <w:top w:w="0" w:type="dxa"/>
            <w:left w:w="108" w:type="dxa"/>
            <w:bottom w:w="0" w:type="dxa"/>
            <w:right w:w="108" w:type="dxa"/>
          </w:tblCellMar>
          <w:tblLook w:val="0000"/>
        </w:tblPrEx>
        <w:trPr>
          <w:trHeight w:val="227"/>
        </w:trPr>
        <w:tc>
          <w:tcPr>
            <w:tcW w:w="365" w:type="pct"/>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825" w:type="pct"/>
          </w:tcPr>
          <w:p>
            <w:pPr>
              <w:widowControl/>
              <w:snapToGrid w:val="0"/>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311" w:type="pct"/>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326" w:type="pct"/>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496" w:type="pct"/>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241" w:type="pct"/>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340" w:type="pct"/>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594" w:type="pct"/>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415" w:type="pct"/>
            <w:vAlign w:val="center"/>
          </w:tcPr>
          <w:p>
            <w:pPr>
              <w:widowControl/>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421" w:type="pct"/>
            <w:vAlign w:val="center"/>
          </w:tcPr>
          <w:p>
            <w:pPr>
              <w:widowControl/>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351" w:type="pct"/>
            <w:vAlign w:val="center"/>
          </w:tcPr>
          <w:p>
            <w:pPr>
              <w:widowControl/>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311" w:type="pct"/>
            <w:vAlign w:val="center"/>
          </w:tcPr>
          <w:p>
            <w:pPr>
              <w:widowControl/>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r>
      <w:tr>
        <w:tblPrEx>
          <w:tblW w:w="5216" w:type="pct"/>
          <w:tblLayout w:type="fixed"/>
          <w:tblCellMar>
            <w:top w:w="0" w:type="dxa"/>
            <w:left w:w="108" w:type="dxa"/>
            <w:bottom w:w="0" w:type="dxa"/>
            <w:right w:w="108" w:type="dxa"/>
          </w:tblCellMar>
          <w:tblLook w:val="0000"/>
        </w:tblPrEx>
        <w:trPr>
          <w:trHeight w:val="227"/>
        </w:trPr>
        <w:tc>
          <w:tcPr>
            <w:tcW w:w="5000" w:type="pct"/>
            <w:gridSpan w:val="12"/>
            <w:vAlign w:val="center"/>
          </w:tcPr>
          <w:p>
            <w:pPr>
              <w:spacing w:line="300" w:lineRule="exact"/>
              <w:jc w:val="left"/>
              <w:rPr>
                <w:rFonts w:ascii="宋体" w:hAnsi="宋体" w:cs="宋体" w:hint="eastAsia"/>
                <w:color w:val="000000"/>
                <w:sz w:val="18"/>
                <w:szCs w:val="18"/>
                <w:highlight w:val="none"/>
              </w:rPr>
            </w:pPr>
            <w:r>
              <w:rPr>
                <w:rFonts w:ascii="宋体" w:hAnsi="宋体" w:cs="宋体" w:hint="eastAsia"/>
                <w:color w:val="000000"/>
                <w:sz w:val="18"/>
                <w:szCs w:val="18"/>
                <w:highlight w:val="none"/>
              </w:rPr>
              <w:t xml:space="preserve">合计：¥ </w:t>
            </w:r>
            <w:r>
              <w:rPr>
                <w:rFonts w:ascii="宋体" w:hAnsi="宋体" w:cs="宋体" w:hint="eastAsia"/>
                <w:color w:val="000000"/>
                <w:sz w:val="18"/>
                <w:szCs w:val="18"/>
                <w:highlight w:val="none"/>
                <w:u w:val="single"/>
              </w:rPr>
              <w:t xml:space="preserve">          </w:t>
            </w:r>
            <w:r>
              <w:rPr>
                <w:rFonts w:ascii="宋体" w:hAnsi="宋体" w:cs="宋体" w:hint="eastAsia"/>
                <w:color w:val="000000"/>
                <w:sz w:val="18"/>
                <w:szCs w:val="18"/>
                <w:highlight w:val="none"/>
              </w:rPr>
              <w:t>（人民币：</w:t>
            </w:r>
            <w:r>
              <w:rPr>
                <w:rFonts w:ascii="宋体" w:hAnsi="宋体" w:cs="宋体" w:hint="eastAsia"/>
                <w:color w:val="000000"/>
                <w:sz w:val="18"/>
                <w:szCs w:val="18"/>
                <w:highlight w:val="none"/>
                <w:u w:val="single"/>
              </w:rPr>
              <w:t xml:space="preserve">          </w:t>
            </w:r>
            <w:r>
              <w:rPr>
                <w:rFonts w:ascii="宋体" w:hAnsi="宋体" w:cs="宋体" w:hint="eastAsia"/>
                <w:b/>
                <w:color w:val="000000"/>
                <w:sz w:val="18"/>
                <w:szCs w:val="18"/>
                <w:highlight w:val="none"/>
              </w:rPr>
              <w:t>）</w:t>
            </w:r>
          </w:p>
        </w:tc>
      </w:tr>
    </w:tbl>
    <w:p>
      <w:pPr>
        <w:numPr>
          <w:ilvl w:val="0"/>
          <w:numId w:val="19"/>
        </w:numPr>
        <w:spacing w:before="120" w:beforeLines="50" w:line="360" w:lineRule="auto"/>
        <w:jc w:val="left"/>
        <w:rPr>
          <w:rFonts w:ascii="宋体" w:hAnsi="宋体" w:cs="宋体" w:hint="eastAsia"/>
          <w:color w:val="000000"/>
          <w:szCs w:val="21"/>
          <w:highlight w:val="none"/>
        </w:rPr>
      </w:pPr>
      <w:r>
        <w:rPr>
          <w:rFonts w:ascii="宋体" w:hAnsi="宋体" w:cs="宋体" w:hint="eastAsia"/>
          <w:color w:val="000000"/>
          <w:szCs w:val="21"/>
          <w:highlight w:val="none"/>
        </w:rPr>
        <w:t>所有价格应按“招标文件”中规定的货币单位填写；投标总价应为以上各分项价格之和；投标总价和项目报价表中单个采购预算条目报价均不得超过对应的财政预算限额，否则将导致无效投标。</w:t>
      </w:r>
    </w:p>
    <w:p>
      <w:pPr>
        <w:numPr>
          <w:ilvl w:val="0"/>
          <w:numId w:val="19"/>
        </w:numPr>
        <w:spacing w:line="360" w:lineRule="auto"/>
        <w:jc w:val="left"/>
        <w:rPr>
          <w:rFonts w:ascii="宋体" w:hAnsi="宋体" w:cs="宋体" w:hint="eastAsia"/>
          <w:color w:val="000000"/>
          <w:szCs w:val="21"/>
          <w:highlight w:val="none"/>
        </w:rPr>
      </w:pPr>
      <w:r>
        <w:rPr>
          <w:rFonts w:ascii="宋体" w:hAnsi="宋体" w:cs="宋体" w:hint="eastAsia"/>
          <w:color w:val="000000"/>
          <w:szCs w:val="21"/>
          <w:highlight w:val="none"/>
        </w:rPr>
        <w:t>具体报价要求详见招标文件第一册第二章商务部分。</w:t>
      </w:r>
    </w:p>
    <w:p>
      <w:pPr>
        <w:numPr>
          <w:ilvl w:val="0"/>
          <w:numId w:val="19"/>
        </w:numPr>
        <w:spacing w:line="360" w:lineRule="auto"/>
        <w:jc w:val="left"/>
        <w:rPr>
          <w:rFonts w:ascii="宋体" w:hAnsi="宋体" w:cs="宋体" w:hint="eastAsia"/>
          <w:color w:val="000000"/>
          <w:szCs w:val="21"/>
          <w:highlight w:val="none"/>
        </w:rPr>
      </w:pPr>
      <w:r>
        <w:rPr>
          <w:rFonts w:ascii="宋体" w:hAnsi="宋体" w:cs="宋体" w:hint="eastAsia"/>
          <w:color w:val="000000"/>
          <w:szCs w:val="21"/>
          <w:highlight w:val="none"/>
        </w:rPr>
        <w:t>投标人不得以低于成本的报价竞标；评审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审委员会应当将其作为无效投标处理。</w:t>
      </w:r>
    </w:p>
    <w:p>
      <w:pPr>
        <w:numPr>
          <w:ilvl w:val="0"/>
          <w:numId w:val="19"/>
        </w:numPr>
        <w:spacing w:line="360" w:lineRule="auto"/>
        <w:jc w:val="left"/>
        <w:rPr>
          <w:rFonts w:ascii="宋体" w:hAnsi="宋体" w:cs="宋体"/>
          <w:color w:val="000000"/>
          <w:szCs w:val="21"/>
          <w:highlight w:val="none"/>
        </w:rPr>
      </w:pPr>
      <w:r>
        <w:rPr>
          <w:rFonts w:ascii="宋体" w:hAnsi="宋体" w:cs="宋体" w:hint="eastAsia"/>
          <w:color w:val="000000"/>
          <w:szCs w:val="21"/>
          <w:highlight w:val="none"/>
        </w:rPr>
        <w:t>开标一览表的投标总价必须与项目投标报价表的投标总价一致。</w:t>
      </w:r>
    </w:p>
    <w:p>
      <w:pPr>
        <w:numPr>
          <w:ilvl w:val="0"/>
          <w:numId w:val="19"/>
        </w:numPr>
        <w:spacing w:line="360" w:lineRule="auto"/>
        <w:jc w:val="left"/>
        <w:rPr>
          <w:rFonts w:ascii="宋体" w:hAnsi="宋体" w:cs="宋体"/>
          <w:color w:val="000000"/>
          <w:szCs w:val="21"/>
          <w:highlight w:val="none"/>
        </w:rPr>
      </w:pPr>
      <w:r>
        <w:rPr>
          <w:rFonts w:ascii="宋体" w:hAnsi="宋体" w:cs="宋体" w:hint="eastAsia"/>
          <w:color w:val="000000"/>
          <w:szCs w:val="21"/>
          <w:highlight w:val="none"/>
        </w:rPr>
        <w:t>“原产地”是指该产品的实际生产加工地，而非品牌总公司所在地。</w:t>
      </w:r>
    </w:p>
    <w:p>
      <w:pPr>
        <w:snapToGrid w:val="0"/>
        <w:spacing w:line="360" w:lineRule="auto"/>
        <w:jc w:val="left"/>
        <w:rPr>
          <w:rFonts w:ascii="宋体" w:hAnsi="宋体" w:cs="宋体" w:hint="eastAsia"/>
          <w:color w:val="000000"/>
          <w:szCs w:val="21"/>
          <w:highlight w:val="none"/>
        </w:rPr>
      </w:pPr>
      <w:r>
        <w:rPr>
          <w:rFonts w:ascii="宋体" w:hAnsi="宋体" w:cs="宋体" w:hint="eastAsia"/>
          <w:color w:val="000000"/>
          <w:szCs w:val="21"/>
          <w:highlight w:val="none"/>
        </w:rPr>
        <w:t>详细填写所投货物的制造商名称；若如所投产品属于定制类的非量产货物或无具体型号的货物，可以不填写型号等信息，但应当标注投标产品为定制产品。</w:t>
      </w:r>
    </w:p>
    <w:p>
      <w:pPr>
        <w:pStyle w:val="a28"/>
        <w:ind w:firstLine="420"/>
        <w:rPr>
          <w:rFonts w:hint="eastAsia"/>
          <w:color w:val="000000"/>
          <w:highlight w:val="none"/>
        </w:rPr>
      </w:pPr>
    </w:p>
    <w:p>
      <w:pPr>
        <w:pStyle w:val="Footer"/>
        <w:tabs>
          <w:tab w:val="center" w:pos="4153"/>
          <w:tab w:val="right" w:pos="8306"/>
        </w:tabs>
        <w:rPr>
          <w:rFonts w:hint="eastAsia"/>
          <w:color w:val="000000"/>
          <w:highlight w:val="none"/>
        </w:rPr>
      </w:pPr>
    </w:p>
    <w:p>
      <w:pPr>
        <w:snapToGrid w:val="0"/>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投标人代表：_____________________________</w:t>
      </w:r>
    </w:p>
    <w:p>
      <w:pPr>
        <w:snapToGrid w:val="0"/>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投标人名称：_____________________________</w:t>
      </w:r>
    </w:p>
    <w:p>
      <w:pPr>
        <w:tabs>
          <w:tab w:val="left" w:pos="3138"/>
          <w:tab w:val="right" w:pos="9642"/>
        </w:tabs>
        <w:snapToGrid w:val="0"/>
        <w:ind w:right="105" w:firstLine="560"/>
        <w:jc w:val="right"/>
        <w:rPr>
          <w:rFonts w:ascii="宋体" w:hAnsi="宋体" w:cs="宋体"/>
          <w:color w:val="000000"/>
          <w:highlight w:val="none"/>
        </w:rPr>
      </w:pPr>
      <w:r>
        <w:rPr>
          <w:rFonts w:ascii="宋体" w:hAnsi="宋体" w:cs="宋体"/>
          <w:b/>
          <w:bCs/>
          <w:color w:val="000000"/>
          <w:szCs w:val="21"/>
          <w:highlight w:val="none"/>
        </w:rPr>
        <w:tab/>
      </w:r>
      <w:r>
        <w:rPr>
          <w:rFonts w:ascii="宋体" w:hAnsi="宋体" w:cs="宋体" w:hint="eastAsia"/>
          <w:b/>
          <w:bCs/>
          <w:color w:val="000000"/>
          <w:szCs w:val="21"/>
          <w:highlight w:val="none"/>
        </w:rPr>
        <w:t>日期：____________________________</w:t>
      </w:r>
    </w:p>
    <w:p>
      <w:pPr>
        <w:jc w:val="center"/>
        <w:rPr>
          <w:rFonts w:ascii="宋体" w:hAnsi="宋体" w:cs="宋体"/>
          <w:b/>
          <w:color w:val="000000"/>
          <w:sz w:val="24"/>
          <w:highlight w:val="none"/>
          <w:shd w:val="clear" w:color="FFFFFF" w:fill="D9D9D9"/>
        </w:rPr>
        <w:sectPr>
          <w:type w:val="continuous"/>
          <w:pgSz w:w="11907" w:h="16840"/>
          <w:pgMar w:top="1080" w:right="1440" w:bottom="1080" w:left="1440" w:header="851" w:footer="992" w:gutter="0"/>
          <w:cols w:space="720"/>
          <w:titlePg/>
          <w:docGrid w:linePitch="462"/>
        </w:sectPr>
      </w:pPr>
    </w:p>
    <w:p>
      <w:pPr>
        <w:numPr>
          <w:ilvl w:val="0"/>
          <w:numId w:val="20"/>
        </w:numPr>
        <w:tabs>
          <w:tab w:val="left" w:pos="720"/>
        </w:tabs>
        <w:spacing w:line="300" w:lineRule="auto"/>
        <w:ind w:left="482" w:hanging="482"/>
        <w:jc w:val="center"/>
        <w:rPr>
          <w:rFonts w:ascii="宋体" w:hAnsi="宋体" w:cs="宋体"/>
          <w:b/>
          <w:color w:val="000000"/>
          <w:sz w:val="24"/>
          <w:highlight w:val="none"/>
        </w:rPr>
      </w:pPr>
      <w:r>
        <w:rPr>
          <w:rFonts w:ascii="宋体" w:hAnsi="宋体" w:cs="宋体" w:hint="eastAsia"/>
          <w:b/>
          <w:color w:val="000000"/>
          <w:sz w:val="24"/>
          <w:highlight w:val="none"/>
        </w:rPr>
        <w:t>核心产品的品牌情况</w:t>
      </w:r>
    </w:p>
    <w:p>
      <w:pPr>
        <w:spacing w:line="300" w:lineRule="auto"/>
        <w:ind w:firstLine="420" w:firstLineChars="200"/>
        <w:rPr>
          <w:rFonts w:ascii="宋体" w:hAnsi="宋体" w:cs="宋体"/>
          <w:b/>
          <w:color w:val="000000"/>
          <w:sz w:val="24"/>
          <w:highlight w:val="none"/>
        </w:rPr>
      </w:pPr>
    </w:p>
    <w:p>
      <w:pPr>
        <w:spacing w:line="300" w:lineRule="auto"/>
        <w:ind w:firstLine="420" w:firstLineChars="200"/>
        <w:rPr>
          <w:rFonts w:ascii="宋体" w:hAnsi="宋体" w:cs="宋体"/>
          <w:b/>
          <w:color w:val="000000"/>
          <w:szCs w:val="21"/>
          <w:highlight w:val="none"/>
        </w:rPr>
      </w:pPr>
      <w:r>
        <w:rPr>
          <w:rFonts w:ascii="宋体" w:hAnsi="宋体" w:cs="宋体" w:hint="eastAsia"/>
          <w:b/>
          <w:color w:val="000000"/>
          <w:szCs w:val="21"/>
          <w:highlight w:val="none"/>
        </w:rPr>
        <w:t>我公司所投核心产品的品牌为：</w:t>
      </w:r>
      <w:r>
        <w:rPr>
          <w:rFonts w:ascii="宋体" w:hAnsi="宋体" w:cs="宋体" w:hint="eastAsia"/>
          <w:b/>
          <w:color w:val="000000"/>
          <w:szCs w:val="21"/>
          <w:highlight w:val="none"/>
          <w:u w:val="single"/>
        </w:rPr>
        <w:t xml:space="preserve">               </w:t>
      </w:r>
      <w:r>
        <w:rPr>
          <w:rFonts w:ascii="宋体" w:hAnsi="宋体" w:cs="宋体" w:hint="eastAsia"/>
          <w:b/>
          <w:color w:val="000000"/>
          <w:szCs w:val="21"/>
          <w:highlight w:val="none"/>
        </w:rPr>
        <w:t>。</w:t>
      </w:r>
    </w:p>
    <w:p>
      <w:pPr>
        <w:spacing w:line="300" w:lineRule="auto"/>
        <w:ind w:firstLine="420" w:firstLineChars="200"/>
        <w:rPr>
          <w:rFonts w:ascii="宋体" w:hAnsi="宋体" w:cs="宋体"/>
          <w:b/>
          <w:color w:val="000000"/>
          <w:szCs w:val="21"/>
          <w:highlight w:val="none"/>
        </w:rPr>
      </w:pP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备注：招标文件未列明核心品牌的，无需填写该项。</w:t>
      </w:r>
    </w:p>
    <w:p>
      <w:pPr>
        <w:spacing w:line="300" w:lineRule="auto"/>
        <w:ind w:firstLine="420" w:firstLineChars="200"/>
        <w:rPr>
          <w:rFonts w:ascii="宋体" w:hAnsi="宋体" w:cs="宋体"/>
          <w:b/>
          <w:color w:val="000000"/>
          <w:sz w:val="24"/>
          <w:highlight w:val="none"/>
        </w:rPr>
      </w:pPr>
    </w:p>
    <w:p>
      <w:pPr>
        <w:pStyle w:val="a29"/>
        <w:rPr>
          <w:rFonts w:ascii="宋体" w:hAnsi="宋体" w:cs="宋体"/>
          <w:color w:val="000000"/>
          <w:highlight w:val="none"/>
        </w:rPr>
      </w:pPr>
    </w:p>
    <w:p>
      <w:pPr>
        <w:pStyle w:val="a29"/>
        <w:rPr>
          <w:rFonts w:ascii="宋体" w:hAnsi="宋体" w:cs="宋体"/>
          <w:color w:val="000000"/>
          <w:highlight w:val="none"/>
        </w:rPr>
      </w:pPr>
    </w:p>
    <w:p>
      <w:pPr>
        <w:spacing w:line="300" w:lineRule="auto"/>
        <w:rPr>
          <w:rFonts w:ascii="宋体" w:hAnsi="宋体" w:cs="宋体"/>
          <w:b/>
          <w:color w:val="000000"/>
          <w:sz w:val="24"/>
          <w:highlight w:val="none"/>
        </w:rPr>
      </w:pPr>
    </w:p>
    <w:p>
      <w:pPr>
        <w:numPr>
          <w:ilvl w:val="0"/>
          <w:numId w:val="20"/>
        </w:numPr>
        <w:tabs>
          <w:tab w:val="left" w:pos="720"/>
        </w:tabs>
        <w:spacing w:line="300" w:lineRule="auto"/>
        <w:ind w:left="482" w:hanging="482"/>
        <w:jc w:val="center"/>
        <w:rPr>
          <w:rFonts w:ascii="宋体" w:hAnsi="宋体" w:cs="宋体"/>
          <w:b/>
          <w:color w:val="000000"/>
          <w:sz w:val="24"/>
          <w:highlight w:val="none"/>
        </w:rPr>
      </w:pPr>
      <w:r>
        <w:rPr>
          <w:rFonts w:ascii="宋体" w:hAnsi="宋体" w:cs="宋体" w:hint="eastAsia"/>
          <w:b/>
          <w:color w:val="000000"/>
          <w:sz w:val="24"/>
          <w:highlight w:val="none"/>
        </w:rPr>
        <w:t>可选配件报价清单（不包括在总报价内）</w:t>
      </w:r>
    </w:p>
    <w:p>
      <w:pPr>
        <w:spacing w:line="300" w:lineRule="auto"/>
        <w:ind w:firstLine="420" w:firstLineChars="200"/>
        <w:rPr>
          <w:rFonts w:ascii="宋体" w:hAnsi="宋体" w:cs="宋体"/>
          <w:b/>
          <w:bCs/>
          <w:color w:val="000000"/>
          <w:szCs w:val="21"/>
          <w:highlight w:val="none"/>
        </w:rPr>
      </w:pPr>
      <w:r>
        <w:rPr>
          <w:rFonts w:ascii="宋体" w:hAnsi="宋体" w:cs="宋体" w:hint="eastAsia"/>
          <w:b/>
          <w:bCs/>
          <w:color w:val="000000"/>
          <w:szCs w:val="21"/>
          <w:highlight w:val="none"/>
        </w:rPr>
        <w:t>注：格式参照《（一）项目报价表》表格，但须提供相应的品牌、规格型号、原产地、单价等详细信息</w:t>
      </w:r>
    </w:p>
    <w:p>
      <w:pPr>
        <w:spacing w:line="300" w:lineRule="auto"/>
        <w:ind w:firstLine="420" w:firstLineChars="200"/>
        <w:rPr>
          <w:rFonts w:ascii="宋体" w:hAnsi="宋体" w:cs="宋体"/>
          <w:b/>
          <w:bCs/>
          <w:color w:val="000000"/>
          <w:sz w:val="24"/>
          <w:highlight w:val="none"/>
        </w:rPr>
      </w:pPr>
    </w:p>
    <w:p>
      <w:pPr>
        <w:spacing w:line="300" w:lineRule="auto"/>
        <w:ind w:firstLine="420" w:firstLineChars="200"/>
        <w:rPr>
          <w:rFonts w:ascii="宋体" w:hAnsi="宋体" w:cs="宋体"/>
          <w:b/>
          <w:bCs/>
          <w:color w:val="000000"/>
          <w:sz w:val="24"/>
          <w:highlight w:val="none"/>
        </w:rPr>
      </w:pPr>
    </w:p>
    <w:p>
      <w:pPr>
        <w:pStyle w:val="a29"/>
        <w:rPr>
          <w:rFonts w:ascii="宋体" w:hAnsi="宋体" w:cs="宋体"/>
          <w:color w:val="000000"/>
          <w:highlight w:val="none"/>
        </w:rPr>
      </w:pPr>
    </w:p>
    <w:p>
      <w:pPr>
        <w:pStyle w:val="a29"/>
        <w:rPr>
          <w:rFonts w:ascii="宋体" w:hAnsi="宋体" w:cs="宋体"/>
          <w:color w:val="000000"/>
          <w:highlight w:val="none"/>
        </w:rPr>
      </w:pPr>
    </w:p>
    <w:p>
      <w:pPr>
        <w:numPr>
          <w:ilvl w:val="0"/>
          <w:numId w:val="20"/>
        </w:numPr>
        <w:tabs>
          <w:tab w:val="left" w:pos="720"/>
        </w:tabs>
        <w:spacing w:line="300" w:lineRule="auto"/>
        <w:ind w:left="482" w:hanging="482"/>
        <w:jc w:val="center"/>
        <w:rPr>
          <w:rFonts w:ascii="宋体" w:hAnsi="宋体" w:cs="宋体"/>
          <w:color w:val="000000"/>
          <w:sz w:val="24"/>
          <w:highlight w:val="none"/>
        </w:rPr>
        <w:sectPr>
          <w:pgSz w:w="11907" w:h="16840"/>
          <w:pgMar w:top="1440" w:right="1080" w:bottom="1440" w:left="1080" w:header="851" w:footer="992" w:gutter="0"/>
          <w:cols w:space="720"/>
          <w:titlePg/>
          <w:docGrid w:linePitch="462"/>
        </w:sectPr>
      </w:pPr>
      <w:r>
        <w:rPr>
          <w:rFonts w:ascii="宋体" w:hAnsi="宋体" w:cs="宋体" w:hint="eastAsia"/>
          <w:b/>
          <w:color w:val="000000"/>
          <w:sz w:val="24"/>
          <w:highlight w:val="none"/>
        </w:rPr>
        <w:t>供应商认为需要涉及的其他内容报价清单</w:t>
      </w:r>
    </w:p>
    <w:p>
      <w:pPr>
        <w:pStyle w:val="Heading3"/>
        <w:spacing w:line="300" w:lineRule="auto"/>
        <w:jc w:val="center"/>
        <w:rPr>
          <w:rFonts w:cs="宋体"/>
          <w:color w:val="000000"/>
          <w:sz w:val="24"/>
          <w:szCs w:val="24"/>
          <w:highlight w:val="none"/>
        </w:rPr>
      </w:pPr>
      <w:r>
        <w:rPr>
          <w:rFonts w:cs="宋体" w:hint="eastAsia"/>
          <w:color w:val="000000"/>
          <w:sz w:val="24"/>
          <w:szCs w:val="24"/>
          <w:highlight w:val="none"/>
        </w:rPr>
        <w:t>四、联合体协议书</w:t>
      </w:r>
      <w:r>
        <w:rPr>
          <w:rFonts w:cs="宋体" w:hint="eastAsia"/>
          <w:color w:val="000000"/>
          <w:sz w:val="24"/>
          <w:szCs w:val="24"/>
          <w:highlight w:val="none"/>
          <w:shd w:val="pct10" w:color="auto" w:fill="FFFFFF"/>
        </w:rPr>
        <w:t>（本项目不适用）</w:t>
      </w:r>
    </w:p>
    <w:p>
      <w:pPr>
        <w:widowControl/>
        <w:wordWrap w:val="0"/>
        <w:spacing w:before="100" w:beforeAutospacing="1" w:after="100" w:afterAutospacing="1" w:line="360" w:lineRule="auto"/>
        <w:jc w:val="left"/>
        <w:rPr>
          <w:rFonts w:ascii="宋体" w:hAnsi="宋体" w:cs="宋体"/>
          <w:color w:val="000000"/>
          <w:kern w:val="0"/>
          <w:szCs w:val="21"/>
          <w:highlight w:val="none"/>
        </w:rPr>
      </w:pPr>
      <w:r>
        <w:rPr>
          <w:rFonts w:ascii="宋体" w:hAnsi="宋体" w:cs="宋体" w:hint="eastAsia"/>
          <w:color w:val="000000"/>
          <w:kern w:val="0"/>
          <w:szCs w:val="21"/>
          <w:highlight w:val="none"/>
        </w:rPr>
        <w:t>   （甲公司名称）  、  （乙公司名称）  ……联合体协议书愿意组成联合体，参加 （项目名称）投标。现就有关事宜订立协议如下：</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1．    （甲公司名称） 为联合体主办人，（乙公司名称） 为联合体成员；</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2．联合体内部有关事项规定如下：</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（1）联合体由主办人负责与业主联系；</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（2）投标工作由联合体主办人负责，由双方组成的投标小组具体实施；</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（3）联合体将严格按照招标文件的各项要求，递交投标文件，切实执行一切合同文件，共同承担合同规定的一切义务和责任，同时按照内部职责的划分，承担自身所负的责任和风险；</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（4）如中标，联合体内部将签订服务协议书，各自按协议规定负责服务；</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主办人  （甲公司名称）  承担总服务量的    ％，联合体成员   （乙公司名称） 承担总服务量的    ％；</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（5）投标工作和联合体在中标后服务实施过程中的有关费用按各自承担的工作量分摊。</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3．本协议书自签署之日起生效，在上述2（4）所述的联合体服务协议书签订后自行失效；联合体主办人应立即将该服务协议书送交业主一份。</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4．本协议书正本一式三份，送交业主一份，联合体成员各一份；副本一式六份，联合体成员各执三份。</w:t>
      </w:r>
    </w:p>
    <w:p>
      <w:pPr>
        <w:widowControl/>
        <w:wordWrap w:val="0"/>
        <w:spacing w:before="100" w:beforeAutospacing="1" w:after="100" w:afterAutospacing="1" w:line="360" w:lineRule="exact"/>
        <w:jc w:val="left"/>
        <w:rPr>
          <w:rFonts w:ascii="宋体" w:hAnsi="宋体" w:cs="宋体"/>
          <w:color w:val="000000"/>
          <w:kern w:val="0"/>
          <w:szCs w:val="21"/>
          <w:highlight w:val="none"/>
        </w:rPr>
      </w:pPr>
    </w:p>
    <w:p>
      <w:pPr>
        <w:widowControl/>
        <w:wordWrap w:val="0"/>
        <w:spacing w:before="100" w:beforeAutospacing="1" w:after="100" w:afterAutospacing="1" w:line="360" w:lineRule="exact"/>
        <w:jc w:val="left"/>
        <w:rPr>
          <w:rFonts w:ascii="宋体" w:hAnsi="宋体" w:cs="宋体"/>
          <w:color w:val="000000"/>
          <w:kern w:val="0"/>
          <w:szCs w:val="21"/>
          <w:highlight w:val="none"/>
        </w:rPr>
      </w:pPr>
      <w:r>
        <w:rPr>
          <w:rFonts w:ascii="宋体" w:hAnsi="宋体" w:cs="宋体" w:hint="eastAsia"/>
          <w:color w:val="000000"/>
          <w:kern w:val="0"/>
          <w:szCs w:val="21"/>
          <w:highlight w:val="none"/>
        </w:rPr>
        <w:t>甲公司名称：（全称）  （盖章）          乙公司名称：（全称）  （盖章）  </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法定代表人：         （职务）             法定代表人：       （职务）     </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              （姓名）                          （姓名）     </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              （签名）                         （签名）     </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      年    月    日              年   月    日</w:t>
      </w:r>
    </w:p>
    <w:p>
      <w:pPr>
        <w:pStyle w:val="BodyTextIndent2"/>
        <w:spacing w:before="120" w:after="120"/>
        <w:rPr>
          <w:rFonts w:cs="宋体"/>
          <w:color w:val="000000"/>
          <w:highlight w:val="none"/>
        </w:rPr>
      </w:pPr>
    </w:p>
    <w:p>
      <w:pPr>
        <w:pStyle w:val="Heading3"/>
        <w:spacing w:line="300" w:lineRule="auto"/>
        <w:jc w:val="center"/>
        <w:rPr>
          <w:rFonts w:cs="宋体"/>
          <w:color w:val="000000"/>
          <w:sz w:val="24"/>
          <w:highlight w:val="none"/>
        </w:rPr>
      </w:pPr>
      <w:r>
        <w:rPr>
          <w:rFonts w:cs="宋体" w:hint="eastAsia"/>
          <w:color w:val="000000"/>
          <w:sz w:val="24"/>
          <w:highlight w:val="none"/>
        </w:rPr>
        <w:br w:type="page"/>
      </w:r>
      <w:r>
        <w:rPr>
          <w:rFonts w:cs="宋体" w:hint="eastAsia"/>
          <w:color w:val="000000"/>
          <w:sz w:val="24"/>
          <w:highlight w:val="none"/>
        </w:rPr>
        <w:t>五、投标人情况介绍</w:t>
      </w:r>
    </w:p>
    <w:p>
      <w:pPr>
        <w:spacing w:line="300" w:lineRule="auto"/>
        <w:outlineLvl w:val="3"/>
        <w:rPr>
          <w:rFonts w:ascii="宋体" w:hAnsi="宋体" w:cs="宋体"/>
          <w:b/>
          <w:bCs/>
          <w:color w:val="000000"/>
          <w:sz w:val="24"/>
          <w:highlight w:val="none"/>
        </w:rPr>
      </w:pPr>
      <w:r>
        <w:rPr>
          <w:rFonts w:ascii="宋体" w:hAnsi="宋体" w:cs="宋体" w:hint="eastAsia"/>
          <w:b/>
          <w:bCs/>
          <w:color w:val="000000"/>
          <w:sz w:val="24"/>
          <w:highlight w:val="none"/>
        </w:rPr>
        <w:t>（一）投标人</w:t>
      </w:r>
      <w:r>
        <w:rPr>
          <w:rFonts w:ascii="宋体" w:hAnsi="宋体" w:cs="宋体" w:hint="eastAsia"/>
          <w:b/>
          <w:color w:val="000000"/>
          <w:sz w:val="24"/>
          <w:highlight w:val="none"/>
        </w:rPr>
        <w:t>资格证明文件</w:t>
      </w:r>
    </w:p>
    <w:p>
      <w:pPr>
        <w:spacing w:before="120" w:beforeLines="50" w:line="300" w:lineRule="auto"/>
        <w:ind w:firstLine="309" w:firstLineChars="147"/>
        <w:rPr>
          <w:rFonts w:ascii="宋体" w:hAnsi="宋体" w:cs="宋体"/>
          <w:bCs/>
          <w:color w:val="000000"/>
          <w:highlight w:val="none"/>
        </w:rPr>
      </w:pPr>
      <w:r>
        <w:rPr>
          <w:rFonts w:ascii="宋体" w:hAnsi="宋体" w:cs="宋体" w:hint="eastAsia"/>
          <w:bCs/>
          <w:color w:val="000000"/>
          <w:highlight w:val="none"/>
        </w:rPr>
        <w:t>特别提示：投标人须按本招标文件第一章招标公告 “投标人资质要求”提供相关的资质证明，未提供或提供不完整、不符合要求的，投标文件将按无效投标处理。</w:t>
      </w:r>
    </w:p>
    <w:p>
      <w:pPr>
        <w:spacing w:line="300" w:lineRule="auto"/>
        <w:outlineLvl w:val="3"/>
        <w:rPr>
          <w:rFonts w:ascii="宋体" w:hAnsi="宋体" w:cs="宋体"/>
          <w:b/>
          <w:bCs/>
          <w:color w:val="000000"/>
          <w:sz w:val="24"/>
          <w:highlight w:val="none"/>
        </w:rPr>
      </w:pPr>
      <w:r>
        <w:rPr>
          <w:rFonts w:ascii="宋体" w:hAnsi="宋体" w:cs="宋体" w:hint="eastAsia"/>
          <w:b/>
          <w:bCs/>
          <w:color w:val="000000"/>
          <w:sz w:val="24"/>
          <w:highlight w:val="none"/>
        </w:rPr>
        <w:t>（二）中小企业声明函（详见第三册“相关政策”）</w:t>
      </w:r>
    </w:p>
    <w:p>
      <w:pPr>
        <w:spacing w:line="300" w:lineRule="auto"/>
        <w:jc w:val="left"/>
        <w:outlineLvl w:val="3"/>
        <w:rPr>
          <w:rFonts w:ascii="宋体" w:hAnsi="宋体" w:cs="宋体"/>
          <w:b/>
          <w:color w:val="000000"/>
          <w:kern w:val="0"/>
          <w:sz w:val="24"/>
          <w:szCs w:val="32"/>
          <w:highlight w:val="none"/>
        </w:rPr>
      </w:pPr>
      <w:r>
        <w:rPr>
          <w:rFonts w:ascii="宋体" w:hAnsi="宋体" w:cs="宋体" w:hint="eastAsia"/>
          <w:b/>
          <w:color w:val="000000"/>
          <w:sz w:val="24"/>
          <w:highlight w:val="none"/>
        </w:rPr>
        <w:t>（三）</w:t>
      </w:r>
      <w:r>
        <w:rPr>
          <w:rFonts w:ascii="宋体" w:hAnsi="宋体" w:cs="宋体" w:hint="eastAsia"/>
          <w:b/>
          <w:color w:val="000000"/>
          <w:kern w:val="0"/>
          <w:sz w:val="24"/>
          <w:szCs w:val="32"/>
          <w:highlight w:val="none"/>
        </w:rPr>
        <w:t>残疾人福利性单位声明函（</w:t>
      </w:r>
      <w:r>
        <w:rPr>
          <w:rFonts w:ascii="宋体" w:hAnsi="宋体" w:cs="宋体" w:hint="eastAsia"/>
          <w:b/>
          <w:bCs/>
          <w:color w:val="000000"/>
          <w:kern w:val="0"/>
          <w:sz w:val="24"/>
          <w:szCs w:val="32"/>
          <w:highlight w:val="none"/>
        </w:rPr>
        <w:t>（详见第三册“相关政策”）</w:t>
      </w:r>
    </w:p>
    <w:p>
      <w:pPr>
        <w:spacing w:line="300" w:lineRule="auto"/>
        <w:outlineLvl w:val="3"/>
        <w:rPr>
          <w:rFonts w:ascii="宋体" w:hAnsi="宋体" w:cs="宋体"/>
          <w:b/>
          <w:bCs/>
          <w:color w:val="000000"/>
          <w:kern w:val="0"/>
          <w:sz w:val="24"/>
          <w:szCs w:val="32"/>
          <w:highlight w:val="none"/>
        </w:rPr>
      </w:pPr>
      <w:r>
        <w:rPr>
          <w:rFonts w:ascii="宋体" w:hAnsi="宋体" w:cs="宋体" w:hint="eastAsia"/>
          <w:b/>
          <w:bCs/>
          <w:color w:val="000000"/>
          <w:kern w:val="0"/>
          <w:sz w:val="24"/>
          <w:szCs w:val="32"/>
          <w:highlight w:val="none"/>
        </w:rPr>
        <w:t>（四）或省级以上监狱管理局、戒毒管理局（含新疆生产建设兵团）出具的属于监狱企业的证明文件）</w:t>
      </w:r>
    </w:p>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省级以上监狱管理局、戒毒管理局（含新疆生产建设兵团）出具的属于监狱企业的证明文件</w:t>
      </w:r>
    </w:p>
    <w:p>
      <w:pPr>
        <w:spacing w:line="300" w:lineRule="auto"/>
        <w:ind w:firstLine="420" w:firstLineChars="200"/>
        <w:jc w:val="center"/>
        <w:rPr>
          <w:rFonts w:ascii="宋体" w:hAnsi="宋体" w:cs="宋体"/>
          <w:b/>
          <w:color w:val="000000"/>
          <w:szCs w:val="21"/>
          <w:highlight w:val="none"/>
        </w:rPr>
      </w:pPr>
      <w:r>
        <w:rPr>
          <w:rFonts w:ascii="宋体" w:hAnsi="宋体" w:cs="宋体" w:hint="eastAsia"/>
          <w:b/>
          <w:color w:val="000000"/>
          <w:szCs w:val="21"/>
          <w:highlight w:val="none"/>
        </w:rPr>
        <w:t>（样表）</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本单位郑重声明，根据《财政部司法部关于政府采购支持监狱企业发展有关问题的通知》（财库〔2014〕68号）的规定，本单位为符合条件的监狱企业，且本单位参加_（采购单位名称）_单位的（采购项目名称）项目采购活动，并提供:□本单位制造的货物;□由本单位承担的工程、提供服务;□提供其他监狱企业制造的货物（承诺人在□处打√）。本条所称货物是指单一产品采购项目中的货物，或者非单一产品采购项目中的核心产品（货物）。</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本单位对上述声明的真实性负责。如有虚假，将依法承担相应责任。</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附：省级以上监狱管理局、戒毒管理局（含新疆生产建设兵团）出具的监狱企业证明文件。</w:t>
      </w:r>
    </w:p>
    <w:p>
      <w:pPr>
        <w:wordWrap w:val="0"/>
        <w:spacing w:line="300" w:lineRule="auto"/>
        <w:ind w:firstLine="420" w:firstLineChars="200"/>
        <w:jc w:val="right"/>
        <w:rPr>
          <w:rFonts w:ascii="宋体" w:hAnsi="宋体" w:cs="宋体"/>
          <w:b/>
          <w:color w:val="000000"/>
          <w:szCs w:val="21"/>
          <w:highlight w:val="none"/>
        </w:rPr>
      </w:pPr>
      <w:r>
        <w:rPr>
          <w:rFonts w:ascii="宋体" w:hAnsi="宋体" w:cs="宋体" w:hint="eastAsia"/>
          <w:b/>
          <w:color w:val="000000"/>
          <w:szCs w:val="21"/>
          <w:highlight w:val="none"/>
        </w:rPr>
        <w:t xml:space="preserve">单位名称（盖章）：       </w:t>
      </w:r>
    </w:p>
    <w:p>
      <w:pPr>
        <w:wordWrap w:val="0"/>
        <w:spacing w:line="300" w:lineRule="auto"/>
        <w:ind w:firstLine="420" w:firstLineChars="200"/>
        <w:jc w:val="right"/>
        <w:rPr>
          <w:rFonts w:ascii="宋体" w:hAnsi="宋体" w:cs="宋体"/>
          <w:b/>
          <w:color w:val="000000"/>
          <w:szCs w:val="21"/>
          <w:highlight w:val="none"/>
        </w:rPr>
      </w:pPr>
      <w:r>
        <w:rPr>
          <w:rFonts w:ascii="宋体" w:hAnsi="宋体" w:cs="宋体" w:hint="eastAsia"/>
          <w:b/>
          <w:color w:val="000000"/>
          <w:szCs w:val="21"/>
          <w:highlight w:val="none"/>
        </w:rPr>
        <w:t xml:space="preserve">日期：      </w:t>
      </w:r>
    </w:p>
    <w:p>
      <w:pPr>
        <w:pStyle w:val="NormalIndent"/>
        <w:spacing w:line="300" w:lineRule="auto"/>
        <w:rPr>
          <w:rFonts w:ascii="宋体" w:hAnsi="宋体" w:cs="宋体"/>
          <w:b/>
          <w:bCs/>
          <w:color w:val="000000"/>
          <w:sz w:val="24"/>
          <w:highlight w:val="none"/>
        </w:rPr>
      </w:pPr>
    </w:p>
    <w:p>
      <w:pPr>
        <w:pStyle w:val="NormalIndent"/>
        <w:spacing w:line="300" w:lineRule="auto"/>
        <w:rPr>
          <w:rFonts w:ascii="宋体" w:hAnsi="宋体" w:cs="宋体"/>
          <w:b/>
          <w:bCs/>
          <w:color w:val="000000"/>
          <w:sz w:val="24"/>
          <w:highlight w:val="none"/>
        </w:rPr>
      </w:pPr>
    </w:p>
    <w:p>
      <w:pPr>
        <w:pStyle w:val="NormalIndent"/>
        <w:spacing w:line="300" w:lineRule="auto"/>
        <w:rPr>
          <w:rFonts w:ascii="宋体" w:hAnsi="宋体" w:cs="宋体"/>
          <w:b/>
          <w:bCs/>
          <w:color w:val="000000"/>
          <w:sz w:val="24"/>
          <w:highlight w:val="none"/>
        </w:rPr>
      </w:pPr>
    </w:p>
    <w:p>
      <w:pPr>
        <w:pStyle w:val="NormalIndent"/>
        <w:spacing w:line="300" w:lineRule="auto"/>
        <w:rPr>
          <w:rFonts w:ascii="宋体" w:hAnsi="宋体" w:cs="宋体"/>
          <w:color w:val="000000"/>
          <w:highlight w:val="none"/>
        </w:rPr>
      </w:pPr>
      <w:r>
        <w:rPr>
          <w:rFonts w:ascii="宋体" w:hAnsi="宋体" w:cs="宋体" w:hint="eastAsia"/>
          <w:b/>
          <w:bCs/>
          <w:color w:val="000000"/>
          <w:sz w:val="24"/>
          <w:highlight w:val="none"/>
        </w:rPr>
        <w:br w:type="page"/>
      </w:r>
    </w:p>
    <w:p>
      <w:pPr>
        <w:spacing w:line="300" w:lineRule="auto"/>
        <w:outlineLvl w:val="3"/>
        <w:rPr>
          <w:rFonts w:ascii="宋体" w:hAnsi="宋体" w:cs="宋体"/>
          <w:b/>
          <w:color w:val="000000"/>
          <w:sz w:val="24"/>
          <w:highlight w:val="none"/>
        </w:rPr>
      </w:pPr>
      <w:r>
        <w:rPr>
          <w:rFonts w:ascii="宋体" w:hAnsi="宋体" w:cs="宋体" w:hint="eastAsia"/>
          <w:b/>
          <w:bCs/>
          <w:color w:val="000000"/>
          <w:sz w:val="24"/>
          <w:highlight w:val="none"/>
        </w:rPr>
        <w:t>（</w:t>
      </w:r>
      <w:r>
        <w:rPr>
          <w:rFonts w:ascii="宋体" w:hAnsi="宋体" w:cs="宋体" w:hint="eastAsia"/>
          <w:b/>
          <w:color w:val="000000"/>
          <w:sz w:val="24"/>
          <w:highlight w:val="none"/>
        </w:rPr>
        <w:t>五）投标人资质情况（格式自定）</w:t>
      </w:r>
    </w:p>
    <w:p>
      <w:pPr>
        <w:pStyle w:val="NormalIndent"/>
        <w:spacing w:line="300" w:lineRule="auto"/>
        <w:rPr>
          <w:rFonts w:ascii="宋体" w:hAnsi="宋体" w:cs="宋体"/>
          <w:b/>
          <w:color w:val="000000"/>
          <w:sz w:val="24"/>
          <w:highlight w:val="none"/>
        </w:rPr>
      </w:pPr>
    </w:p>
    <w:p>
      <w:pPr>
        <w:spacing w:line="300" w:lineRule="auto"/>
        <w:outlineLvl w:val="3"/>
        <w:rPr>
          <w:rFonts w:ascii="宋体" w:hAnsi="宋体" w:cs="宋体"/>
          <w:b/>
          <w:bCs/>
          <w:color w:val="000000"/>
          <w:sz w:val="24"/>
          <w:highlight w:val="none"/>
        </w:rPr>
      </w:pPr>
      <w:r>
        <w:rPr>
          <w:rFonts w:ascii="宋体" w:hAnsi="宋体" w:cs="宋体" w:hint="eastAsia"/>
          <w:b/>
          <w:color w:val="000000"/>
          <w:sz w:val="24"/>
          <w:highlight w:val="none"/>
        </w:rPr>
        <w:t>（六）</w:t>
      </w:r>
      <w:r>
        <w:rPr>
          <w:rFonts w:ascii="宋体" w:hAnsi="宋体" w:cs="宋体" w:hint="eastAsia"/>
          <w:b/>
          <w:bCs/>
          <w:color w:val="000000"/>
          <w:sz w:val="24"/>
          <w:highlight w:val="none"/>
        </w:rPr>
        <w:t>业绩</w:t>
      </w:r>
      <w:r>
        <w:rPr>
          <w:rFonts w:ascii="宋体" w:hAnsi="宋体" w:cs="宋体" w:hint="eastAsia"/>
          <w:b/>
          <w:color w:val="000000"/>
          <w:sz w:val="24"/>
          <w:highlight w:val="none"/>
        </w:rPr>
        <w:t>（可选）</w:t>
      </w:r>
    </w:p>
    <w:tbl>
      <w:tblPr>
        <w:tblStyle w:val="TableNorm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994"/>
        <w:gridCol w:w="1175"/>
        <w:gridCol w:w="1900"/>
        <w:gridCol w:w="1487"/>
        <w:gridCol w:w="1438"/>
        <w:gridCol w:w="2001"/>
      </w:tblGrid>
      <w:tr>
        <w:tblPrEx>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jc w:val="center"/>
        </w:trPr>
        <w:tc>
          <w:tcPr>
            <w:tcW w:w="994"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采购人</w:t>
            </w:r>
          </w:p>
        </w:tc>
        <w:tc>
          <w:tcPr>
            <w:tcW w:w="1175"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项目名称</w:t>
            </w:r>
          </w:p>
        </w:tc>
        <w:tc>
          <w:tcPr>
            <w:tcW w:w="1900"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项目规模（金额）</w:t>
            </w:r>
          </w:p>
        </w:tc>
        <w:tc>
          <w:tcPr>
            <w:tcW w:w="1487"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合同签订日期</w:t>
            </w:r>
          </w:p>
        </w:tc>
        <w:tc>
          <w:tcPr>
            <w:tcW w:w="1438"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履约验收时间</w:t>
            </w:r>
          </w:p>
        </w:tc>
        <w:tc>
          <w:tcPr>
            <w:tcW w:w="2001"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完成质量情况（以履约验收报告为准）</w:t>
            </w:r>
          </w:p>
        </w:tc>
      </w:tr>
      <w:tr>
        <w:tblPrEx>
          <w:tblW w:w="0" w:type="auto"/>
          <w:jc w:val="center"/>
          <w:tblLayout w:type="fixed"/>
          <w:tblCellMar>
            <w:top w:w="0" w:type="dxa"/>
            <w:left w:w="108" w:type="dxa"/>
            <w:bottom w:w="0" w:type="dxa"/>
            <w:right w:w="108" w:type="dxa"/>
          </w:tblCellMar>
          <w:tblLook w:val="0000"/>
        </w:tblPrEx>
        <w:trPr>
          <w:jc w:val="center"/>
        </w:trPr>
        <w:tc>
          <w:tcPr>
            <w:tcW w:w="994" w:type="dxa"/>
            <w:vAlign w:val="center"/>
          </w:tcPr>
          <w:p>
            <w:pPr>
              <w:spacing w:line="300" w:lineRule="auto"/>
              <w:ind w:firstLine="420" w:firstLineChars="200"/>
              <w:rPr>
                <w:rFonts w:ascii="宋体" w:hAnsi="宋体" w:cs="宋体"/>
                <w:color w:val="000000"/>
                <w:szCs w:val="21"/>
                <w:highlight w:val="none"/>
              </w:rPr>
            </w:pPr>
          </w:p>
        </w:tc>
        <w:tc>
          <w:tcPr>
            <w:tcW w:w="1175" w:type="dxa"/>
            <w:vAlign w:val="center"/>
          </w:tcPr>
          <w:p>
            <w:pPr>
              <w:spacing w:line="300" w:lineRule="auto"/>
              <w:ind w:firstLine="420" w:firstLineChars="200"/>
              <w:rPr>
                <w:rFonts w:ascii="宋体" w:hAnsi="宋体" w:cs="宋体"/>
                <w:color w:val="000000"/>
                <w:szCs w:val="21"/>
                <w:highlight w:val="none"/>
              </w:rPr>
            </w:pPr>
          </w:p>
        </w:tc>
        <w:tc>
          <w:tcPr>
            <w:tcW w:w="1900" w:type="dxa"/>
            <w:vAlign w:val="center"/>
          </w:tcPr>
          <w:p>
            <w:pPr>
              <w:spacing w:line="300" w:lineRule="auto"/>
              <w:ind w:firstLine="420" w:firstLineChars="200"/>
              <w:rPr>
                <w:rFonts w:ascii="宋体" w:hAnsi="宋体" w:cs="宋体"/>
                <w:color w:val="000000"/>
                <w:szCs w:val="21"/>
                <w:highlight w:val="none"/>
              </w:rPr>
            </w:pPr>
          </w:p>
        </w:tc>
        <w:tc>
          <w:tcPr>
            <w:tcW w:w="1487" w:type="dxa"/>
            <w:vAlign w:val="center"/>
          </w:tcPr>
          <w:p>
            <w:pPr>
              <w:spacing w:line="300" w:lineRule="auto"/>
              <w:ind w:firstLine="420" w:firstLineChars="200"/>
              <w:rPr>
                <w:rFonts w:ascii="宋体" w:hAnsi="宋体" w:cs="宋体"/>
                <w:color w:val="000000"/>
                <w:szCs w:val="21"/>
                <w:highlight w:val="none"/>
              </w:rPr>
            </w:pPr>
          </w:p>
        </w:tc>
        <w:tc>
          <w:tcPr>
            <w:tcW w:w="1438" w:type="dxa"/>
            <w:vAlign w:val="center"/>
          </w:tcPr>
          <w:p>
            <w:pPr>
              <w:spacing w:line="300" w:lineRule="auto"/>
              <w:ind w:firstLine="420" w:firstLineChars="200"/>
              <w:rPr>
                <w:rFonts w:ascii="宋体" w:hAnsi="宋体" w:cs="宋体"/>
                <w:color w:val="000000"/>
                <w:szCs w:val="21"/>
                <w:highlight w:val="none"/>
              </w:rPr>
            </w:pPr>
          </w:p>
        </w:tc>
        <w:tc>
          <w:tcPr>
            <w:tcW w:w="2001" w:type="dxa"/>
            <w:vAlign w:val="center"/>
          </w:tcPr>
          <w:p>
            <w:pPr>
              <w:spacing w:line="300" w:lineRule="auto"/>
              <w:ind w:firstLine="420" w:firstLineChars="200"/>
              <w:rPr>
                <w:rFonts w:ascii="宋体" w:hAnsi="宋体" w:cs="宋体"/>
                <w:color w:val="000000"/>
                <w:szCs w:val="21"/>
                <w:highlight w:val="none"/>
              </w:rPr>
            </w:pPr>
          </w:p>
        </w:tc>
      </w:tr>
      <w:tr>
        <w:tblPrEx>
          <w:tblW w:w="0" w:type="auto"/>
          <w:jc w:val="center"/>
          <w:tblLayout w:type="fixed"/>
          <w:tblCellMar>
            <w:top w:w="0" w:type="dxa"/>
            <w:left w:w="108" w:type="dxa"/>
            <w:bottom w:w="0" w:type="dxa"/>
            <w:right w:w="108" w:type="dxa"/>
          </w:tblCellMar>
          <w:tblLook w:val="0000"/>
        </w:tblPrEx>
        <w:trPr>
          <w:jc w:val="center"/>
        </w:trPr>
        <w:tc>
          <w:tcPr>
            <w:tcW w:w="994" w:type="dxa"/>
            <w:vAlign w:val="center"/>
          </w:tcPr>
          <w:p>
            <w:pPr>
              <w:spacing w:line="300" w:lineRule="auto"/>
              <w:ind w:firstLine="420" w:firstLineChars="200"/>
              <w:rPr>
                <w:rFonts w:ascii="宋体" w:hAnsi="宋体" w:cs="宋体"/>
                <w:color w:val="000000"/>
                <w:szCs w:val="21"/>
                <w:highlight w:val="none"/>
              </w:rPr>
            </w:pPr>
          </w:p>
        </w:tc>
        <w:tc>
          <w:tcPr>
            <w:tcW w:w="1175" w:type="dxa"/>
            <w:vAlign w:val="center"/>
          </w:tcPr>
          <w:p>
            <w:pPr>
              <w:spacing w:line="300" w:lineRule="auto"/>
              <w:ind w:firstLine="420" w:firstLineChars="200"/>
              <w:rPr>
                <w:rFonts w:ascii="宋体" w:hAnsi="宋体" w:cs="宋体"/>
                <w:color w:val="000000"/>
                <w:szCs w:val="21"/>
                <w:highlight w:val="none"/>
              </w:rPr>
            </w:pPr>
          </w:p>
        </w:tc>
        <w:tc>
          <w:tcPr>
            <w:tcW w:w="1900" w:type="dxa"/>
            <w:vAlign w:val="center"/>
          </w:tcPr>
          <w:p>
            <w:pPr>
              <w:spacing w:line="300" w:lineRule="auto"/>
              <w:ind w:firstLine="420" w:firstLineChars="200"/>
              <w:rPr>
                <w:rFonts w:ascii="宋体" w:hAnsi="宋体" w:cs="宋体"/>
                <w:color w:val="000000"/>
                <w:szCs w:val="21"/>
                <w:highlight w:val="none"/>
              </w:rPr>
            </w:pPr>
          </w:p>
        </w:tc>
        <w:tc>
          <w:tcPr>
            <w:tcW w:w="1487" w:type="dxa"/>
            <w:vAlign w:val="center"/>
          </w:tcPr>
          <w:p>
            <w:pPr>
              <w:spacing w:line="300" w:lineRule="auto"/>
              <w:ind w:firstLine="420" w:firstLineChars="200"/>
              <w:rPr>
                <w:rFonts w:ascii="宋体" w:hAnsi="宋体" w:cs="宋体"/>
                <w:color w:val="000000"/>
                <w:szCs w:val="21"/>
                <w:highlight w:val="none"/>
              </w:rPr>
            </w:pPr>
          </w:p>
        </w:tc>
        <w:tc>
          <w:tcPr>
            <w:tcW w:w="1438" w:type="dxa"/>
            <w:vAlign w:val="center"/>
          </w:tcPr>
          <w:p>
            <w:pPr>
              <w:spacing w:line="300" w:lineRule="auto"/>
              <w:ind w:firstLine="420" w:firstLineChars="200"/>
              <w:rPr>
                <w:rFonts w:ascii="宋体" w:hAnsi="宋体" w:cs="宋体"/>
                <w:color w:val="000000"/>
                <w:szCs w:val="21"/>
                <w:highlight w:val="none"/>
              </w:rPr>
            </w:pPr>
          </w:p>
        </w:tc>
        <w:tc>
          <w:tcPr>
            <w:tcW w:w="2001" w:type="dxa"/>
            <w:vAlign w:val="center"/>
          </w:tcPr>
          <w:p>
            <w:pPr>
              <w:spacing w:line="300" w:lineRule="auto"/>
              <w:ind w:firstLine="420" w:firstLineChars="200"/>
              <w:rPr>
                <w:rFonts w:ascii="宋体" w:hAnsi="宋体" w:cs="宋体"/>
                <w:color w:val="000000"/>
                <w:szCs w:val="21"/>
                <w:highlight w:val="none"/>
              </w:rPr>
            </w:pPr>
          </w:p>
        </w:tc>
      </w:tr>
      <w:tr>
        <w:tblPrEx>
          <w:tblW w:w="0" w:type="auto"/>
          <w:jc w:val="center"/>
          <w:tblLayout w:type="fixed"/>
          <w:tblCellMar>
            <w:top w:w="0" w:type="dxa"/>
            <w:left w:w="108" w:type="dxa"/>
            <w:bottom w:w="0" w:type="dxa"/>
            <w:right w:w="108" w:type="dxa"/>
          </w:tblCellMar>
          <w:tblLook w:val="0000"/>
        </w:tblPrEx>
        <w:trPr>
          <w:jc w:val="center"/>
        </w:trPr>
        <w:tc>
          <w:tcPr>
            <w:tcW w:w="994" w:type="dxa"/>
            <w:vAlign w:val="center"/>
          </w:tcPr>
          <w:p>
            <w:pPr>
              <w:spacing w:line="300" w:lineRule="auto"/>
              <w:ind w:firstLine="420" w:firstLineChars="200"/>
              <w:rPr>
                <w:rFonts w:ascii="宋体" w:hAnsi="宋体" w:cs="宋体"/>
                <w:color w:val="000000"/>
                <w:szCs w:val="21"/>
                <w:highlight w:val="none"/>
              </w:rPr>
            </w:pPr>
          </w:p>
        </w:tc>
        <w:tc>
          <w:tcPr>
            <w:tcW w:w="1175" w:type="dxa"/>
            <w:vAlign w:val="center"/>
          </w:tcPr>
          <w:p>
            <w:pPr>
              <w:spacing w:line="300" w:lineRule="auto"/>
              <w:ind w:firstLine="420" w:firstLineChars="200"/>
              <w:rPr>
                <w:rFonts w:ascii="宋体" w:hAnsi="宋体" w:cs="宋体"/>
                <w:color w:val="000000"/>
                <w:szCs w:val="21"/>
                <w:highlight w:val="none"/>
              </w:rPr>
            </w:pPr>
          </w:p>
        </w:tc>
        <w:tc>
          <w:tcPr>
            <w:tcW w:w="1900" w:type="dxa"/>
            <w:vAlign w:val="center"/>
          </w:tcPr>
          <w:p>
            <w:pPr>
              <w:spacing w:line="300" w:lineRule="auto"/>
              <w:ind w:firstLine="420" w:firstLineChars="200"/>
              <w:rPr>
                <w:rFonts w:ascii="宋体" w:hAnsi="宋体" w:cs="宋体"/>
                <w:color w:val="000000"/>
                <w:szCs w:val="21"/>
                <w:highlight w:val="none"/>
              </w:rPr>
            </w:pPr>
          </w:p>
        </w:tc>
        <w:tc>
          <w:tcPr>
            <w:tcW w:w="1487" w:type="dxa"/>
            <w:vAlign w:val="center"/>
          </w:tcPr>
          <w:p>
            <w:pPr>
              <w:spacing w:line="300" w:lineRule="auto"/>
              <w:ind w:firstLine="420" w:firstLineChars="200"/>
              <w:rPr>
                <w:rFonts w:ascii="宋体" w:hAnsi="宋体" w:cs="宋体"/>
                <w:color w:val="000000"/>
                <w:szCs w:val="21"/>
                <w:highlight w:val="none"/>
              </w:rPr>
            </w:pPr>
          </w:p>
        </w:tc>
        <w:tc>
          <w:tcPr>
            <w:tcW w:w="1438" w:type="dxa"/>
            <w:vAlign w:val="center"/>
          </w:tcPr>
          <w:p>
            <w:pPr>
              <w:spacing w:line="300" w:lineRule="auto"/>
              <w:ind w:firstLine="420" w:firstLineChars="200"/>
              <w:rPr>
                <w:rFonts w:ascii="宋体" w:hAnsi="宋体" w:cs="宋体"/>
                <w:color w:val="000000"/>
                <w:szCs w:val="21"/>
                <w:highlight w:val="none"/>
              </w:rPr>
            </w:pPr>
          </w:p>
        </w:tc>
        <w:tc>
          <w:tcPr>
            <w:tcW w:w="2001" w:type="dxa"/>
            <w:vAlign w:val="center"/>
          </w:tcPr>
          <w:p>
            <w:pPr>
              <w:spacing w:line="300" w:lineRule="auto"/>
              <w:ind w:firstLine="420" w:firstLineChars="200"/>
              <w:rPr>
                <w:rFonts w:ascii="宋体" w:hAnsi="宋体" w:cs="宋体"/>
                <w:color w:val="000000"/>
                <w:szCs w:val="21"/>
                <w:highlight w:val="none"/>
              </w:rPr>
            </w:pPr>
          </w:p>
        </w:tc>
      </w:tr>
    </w:tbl>
    <w:p>
      <w:pPr>
        <w:pStyle w:val="NormalIndent"/>
        <w:spacing w:line="300" w:lineRule="auto"/>
        <w:rPr>
          <w:rFonts w:ascii="宋体" w:hAnsi="宋体" w:cs="宋体"/>
          <w:b/>
          <w:color w:val="000000"/>
          <w:szCs w:val="21"/>
          <w:highlight w:val="none"/>
        </w:rPr>
      </w:pPr>
      <w:r>
        <w:rPr>
          <w:rFonts w:ascii="宋体" w:hAnsi="宋体" w:cs="宋体" w:hint="eastAsia"/>
          <w:b/>
          <w:color w:val="000000"/>
          <w:szCs w:val="21"/>
          <w:highlight w:val="none"/>
        </w:rPr>
        <w:t>注：后附相关证明材料（具体要求详见评标信息）</w:t>
      </w:r>
    </w:p>
    <w:p>
      <w:pPr>
        <w:pStyle w:val="NormalIndent"/>
        <w:spacing w:line="300" w:lineRule="auto"/>
        <w:rPr>
          <w:rFonts w:ascii="宋体" w:hAnsi="宋体" w:cs="宋体"/>
          <w:b/>
          <w:color w:val="000000"/>
          <w:sz w:val="24"/>
          <w:highlight w:val="none"/>
        </w:rPr>
      </w:pPr>
    </w:p>
    <w:p>
      <w:pPr>
        <w:spacing w:line="300" w:lineRule="auto"/>
        <w:outlineLvl w:val="3"/>
        <w:rPr>
          <w:rFonts w:ascii="宋体" w:hAnsi="宋体" w:cs="宋体"/>
          <w:b/>
          <w:color w:val="000000"/>
          <w:sz w:val="24"/>
          <w:highlight w:val="none"/>
        </w:rPr>
      </w:pPr>
      <w:r>
        <w:rPr>
          <w:rFonts w:ascii="宋体" w:hAnsi="宋体" w:cs="宋体" w:hint="eastAsia"/>
          <w:b/>
          <w:color w:val="000000"/>
          <w:sz w:val="24"/>
          <w:highlight w:val="none"/>
        </w:rPr>
        <w:t>（七）投标人认为需提供的其他证明文件</w:t>
      </w:r>
    </w:p>
    <w:p>
      <w:pPr>
        <w:pStyle w:val="Heading3"/>
        <w:spacing w:line="300" w:lineRule="auto"/>
        <w:jc w:val="center"/>
        <w:rPr>
          <w:rFonts w:cs="宋体" w:hint="eastAsia"/>
          <w:color w:val="000000"/>
          <w:sz w:val="24"/>
          <w:highlight w:val="none"/>
        </w:rPr>
      </w:pPr>
      <w:r>
        <w:rPr>
          <w:rFonts w:cs="宋体" w:hint="eastAsia"/>
          <w:color w:val="000000"/>
          <w:sz w:val="24"/>
          <w:highlight w:val="none"/>
        </w:rPr>
        <w:br w:type="page"/>
      </w:r>
      <w:r>
        <w:rPr>
          <w:rFonts w:cs="宋体" w:hint="eastAsia"/>
          <w:color w:val="000000"/>
          <w:sz w:val="24"/>
          <w:highlight w:val="none"/>
        </w:rPr>
        <w:t>六、招标项目需求偏离表</w:t>
      </w:r>
    </w:p>
    <w:p>
      <w:pPr>
        <w:pStyle w:val="Heading3"/>
        <w:spacing w:line="300" w:lineRule="auto"/>
        <w:jc w:val="center"/>
        <w:rPr>
          <w:rFonts w:cs="宋体"/>
          <w:color w:val="000000"/>
          <w:sz w:val="24"/>
          <w:highlight w:val="none"/>
        </w:rPr>
      </w:pPr>
      <w:r>
        <w:rPr>
          <w:rFonts w:cs="宋体" w:hint="eastAsia"/>
          <w:color w:val="000000"/>
          <w:sz w:val="24"/>
          <w:highlight w:val="none"/>
        </w:rPr>
        <w:t>1.技术条款偏离表</w:t>
      </w:r>
    </w:p>
    <w:p>
      <w:pPr>
        <w:spacing w:after="60" w:line="360" w:lineRule="exact"/>
        <w:rPr>
          <w:rFonts w:ascii="宋体" w:hAnsi="宋体" w:cs="宋体"/>
          <w:color w:val="000000"/>
          <w:highlight w:val="none"/>
        </w:rPr>
      </w:pPr>
      <w:r>
        <w:rPr>
          <w:rFonts w:ascii="宋体" w:hAnsi="宋体" w:cs="宋体" w:hint="eastAsia"/>
          <w:color w:val="000000"/>
          <w:highlight w:val="none"/>
        </w:rPr>
        <w:t>投标人名称__________________项目编号____________________</w:t>
      </w:r>
    </w:p>
    <w:tbl>
      <w:tblPr>
        <w:tblStyle w:val="TableNormal"/>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086"/>
        <w:gridCol w:w="1603"/>
        <w:gridCol w:w="2138"/>
        <w:gridCol w:w="2099"/>
        <w:gridCol w:w="1928"/>
        <w:gridCol w:w="1473"/>
      </w:tblGrid>
      <w:tr>
        <w:tblPrEx>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580"/>
          <w:jc w:val="center"/>
        </w:trPr>
        <w:tc>
          <w:tcPr>
            <w:tcW w:w="1086" w:type="dxa"/>
            <w:vAlign w:val="center"/>
          </w:tcPr>
          <w:p>
            <w:pPr>
              <w:spacing w:line="300" w:lineRule="auto"/>
              <w:jc w:val="center"/>
              <w:rPr>
                <w:rFonts w:ascii="宋体" w:hAnsi="宋体" w:cs="宋体"/>
                <w:b/>
                <w:bCs/>
                <w:color w:val="000000"/>
                <w:szCs w:val="21"/>
                <w:highlight w:val="none"/>
              </w:rPr>
            </w:pPr>
            <w:r>
              <w:rPr>
                <w:rFonts w:ascii="宋体" w:hAnsi="宋体" w:cs="宋体" w:hint="eastAsia"/>
                <w:b/>
                <w:bCs/>
                <w:color w:val="000000"/>
                <w:szCs w:val="21"/>
                <w:highlight w:val="none"/>
              </w:rPr>
              <w:t>序号</w:t>
            </w:r>
          </w:p>
        </w:tc>
        <w:tc>
          <w:tcPr>
            <w:tcW w:w="1603" w:type="dxa"/>
            <w:vAlign w:val="center"/>
          </w:tcPr>
          <w:p>
            <w:pPr>
              <w:spacing w:line="300" w:lineRule="auto"/>
              <w:jc w:val="center"/>
              <w:rPr>
                <w:rFonts w:ascii="宋体" w:hAnsi="宋体" w:cs="宋体"/>
                <w:b/>
                <w:bCs/>
                <w:color w:val="000000"/>
                <w:szCs w:val="21"/>
                <w:highlight w:val="none"/>
              </w:rPr>
            </w:pPr>
            <w:r>
              <w:rPr>
                <w:rFonts w:ascii="宋体" w:hAnsi="宋体" w:cs="宋体" w:hint="eastAsia"/>
                <w:b/>
                <w:bCs/>
                <w:color w:val="000000"/>
                <w:szCs w:val="21"/>
                <w:highlight w:val="none"/>
              </w:rPr>
              <w:t>货物名称</w:t>
            </w:r>
          </w:p>
        </w:tc>
        <w:tc>
          <w:tcPr>
            <w:tcW w:w="2138" w:type="dxa"/>
            <w:vAlign w:val="center"/>
          </w:tcPr>
          <w:p>
            <w:pPr>
              <w:spacing w:line="300" w:lineRule="auto"/>
              <w:jc w:val="center"/>
              <w:rPr>
                <w:rFonts w:ascii="宋体" w:hAnsi="宋体" w:cs="宋体"/>
                <w:b/>
                <w:bCs/>
                <w:color w:val="000000"/>
                <w:szCs w:val="21"/>
                <w:highlight w:val="none"/>
              </w:rPr>
            </w:pPr>
            <w:r>
              <w:rPr>
                <w:rFonts w:ascii="宋体" w:hAnsi="宋体" w:cs="宋体" w:hint="eastAsia"/>
                <w:b/>
                <w:bCs/>
                <w:color w:val="000000"/>
                <w:szCs w:val="21"/>
                <w:highlight w:val="none"/>
              </w:rPr>
              <w:t>招标技术要求</w:t>
            </w:r>
          </w:p>
        </w:tc>
        <w:tc>
          <w:tcPr>
            <w:tcW w:w="2099" w:type="dxa"/>
            <w:vAlign w:val="center"/>
          </w:tcPr>
          <w:p>
            <w:pPr>
              <w:spacing w:line="300" w:lineRule="auto"/>
              <w:jc w:val="center"/>
              <w:rPr>
                <w:rFonts w:ascii="宋体" w:hAnsi="宋体" w:cs="宋体"/>
                <w:b/>
                <w:bCs/>
                <w:color w:val="000000"/>
                <w:szCs w:val="21"/>
                <w:highlight w:val="none"/>
              </w:rPr>
            </w:pPr>
            <w:r>
              <w:rPr>
                <w:rFonts w:ascii="宋体" w:hAnsi="宋体" w:cs="宋体" w:hint="eastAsia"/>
                <w:b/>
                <w:bCs/>
                <w:color w:val="000000"/>
                <w:szCs w:val="21"/>
                <w:highlight w:val="none"/>
              </w:rPr>
              <w:t>投标技术响应</w:t>
            </w:r>
          </w:p>
        </w:tc>
        <w:tc>
          <w:tcPr>
            <w:tcW w:w="1928" w:type="dxa"/>
            <w:vAlign w:val="center"/>
          </w:tcPr>
          <w:p>
            <w:pPr>
              <w:spacing w:line="300" w:lineRule="auto"/>
              <w:jc w:val="center"/>
              <w:rPr>
                <w:rFonts w:ascii="宋体" w:hAnsi="宋体" w:cs="宋体"/>
                <w:b/>
                <w:bCs/>
                <w:color w:val="000000"/>
                <w:szCs w:val="21"/>
                <w:highlight w:val="none"/>
              </w:rPr>
            </w:pPr>
            <w:r>
              <w:rPr>
                <w:rFonts w:ascii="宋体" w:hAnsi="宋体" w:cs="宋体" w:hint="eastAsia"/>
                <w:b/>
                <w:bCs/>
                <w:color w:val="000000"/>
                <w:szCs w:val="21"/>
                <w:highlight w:val="none"/>
              </w:rPr>
              <w:t>偏离情况</w:t>
            </w:r>
          </w:p>
        </w:tc>
        <w:tc>
          <w:tcPr>
            <w:tcW w:w="1473" w:type="dxa"/>
            <w:vAlign w:val="center"/>
          </w:tcPr>
          <w:p>
            <w:pPr>
              <w:spacing w:line="300" w:lineRule="auto"/>
              <w:jc w:val="center"/>
              <w:rPr>
                <w:rFonts w:ascii="宋体" w:hAnsi="宋体" w:cs="宋体"/>
                <w:b/>
                <w:bCs/>
                <w:color w:val="000000"/>
                <w:szCs w:val="21"/>
                <w:highlight w:val="none"/>
              </w:rPr>
            </w:pPr>
            <w:r>
              <w:rPr>
                <w:rFonts w:ascii="宋体" w:hAnsi="宋体" w:cs="宋体" w:hint="eastAsia"/>
                <w:b/>
                <w:bCs/>
                <w:color w:val="000000"/>
                <w:szCs w:val="21"/>
                <w:highlight w:val="none"/>
              </w:rPr>
              <w:t>说明</w:t>
            </w:r>
          </w:p>
        </w:tc>
      </w:tr>
      <w:tr>
        <w:tblPrEx>
          <w:tblW w:w="10327" w:type="dxa"/>
          <w:jc w:val="center"/>
          <w:tblLayout w:type="fixed"/>
          <w:tblCellMar>
            <w:top w:w="0" w:type="dxa"/>
            <w:left w:w="108" w:type="dxa"/>
            <w:bottom w:w="0" w:type="dxa"/>
            <w:right w:w="108" w:type="dxa"/>
          </w:tblCellMar>
          <w:tblLook w:val="0000"/>
        </w:tblPrEx>
        <w:trPr>
          <w:trHeight w:val="261"/>
          <w:jc w:val="center"/>
        </w:trPr>
        <w:tc>
          <w:tcPr>
            <w:tcW w:w="1086" w:type="dxa"/>
          </w:tcPr>
          <w:p>
            <w:pPr>
              <w:spacing w:line="300" w:lineRule="auto"/>
              <w:rPr>
                <w:rFonts w:ascii="宋体" w:hAnsi="宋体" w:cs="宋体"/>
                <w:color w:val="000000"/>
                <w:sz w:val="24"/>
                <w:highlight w:val="none"/>
              </w:rPr>
            </w:pPr>
          </w:p>
        </w:tc>
        <w:tc>
          <w:tcPr>
            <w:tcW w:w="1603" w:type="dxa"/>
          </w:tcPr>
          <w:p>
            <w:pPr>
              <w:spacing w:line="300" w:lineRule="auto"/>
              <w:rPr>
                <w:rFonts w:ascii="宋体" w:hAnsi="宋体" w:cs="宋体"/>
                <w:color w:val="000000"/>
                <w:sz w:val="24"/>
                <w:highlight w:val="none"/>
              </w:rPr>
            </w:pPr>
          </w:p>
        </w:tc>
        <w:tc>
          <w:tcPr>
            <w:tcW w:w="2138" w:type="dxa"/>
          </w:tcPr>
          <w:p>
            <w:pPr>
              <w:spacing w:line="300" w:lineRule="auto"/>
              <w:rPr>
                <w:rFonts w:ascii="宋体" w:hAnsi="宋体" w:cs="宋体"/>
                <w:color w:val="000000"/>
                <w:sz w:val="24"/>
                <w:highlight w:val="none"/>
              </w:rPr>
            </w:pPr>
          </w:p>
        </w:tc>
        <w:tc>
          <w:tcPr>
            <w:tcW w:w="2099" w:type="dxa"/>
          </w:tcPr>
          <w:p>
            <w:pPr>
              <w:spacing w:line="300" w:lineRule="auto"/>
              <w:rPr>
                <w:rFonts w:ascii="宋体" w:hAnsi="宋体" w:cs="宋体"/>
                <w:color w:val="000000"/>
                <w:sz w:val="24"/>
                <w:highlight w:val="none"/>
              </w:rPr>
            </w:pPr>
          </w:p>
        </w:tc>
        <w:tc>
          <w:tcPr>
            <w:tcW w:w="1928" w:type="dxa"/>
          </w:tcPr>
          <w:p>
            <w:pPr>
              <w:spacing w:line="300" w:lineRule="auto"/>
              <w:rPr>
                <w:rFonts w:ascii="宋体" w:hAnsi="宋体" w:cs="宋体"/>
                <w:color w:val="000000"/>
                <w:sz w:val="24"/>
                <w:highlight w:val="none"/>
              </w:rPr>
            </w:pPr>
          </w:p>
        </w:tc>
        <w:tc>
          <w:tcPr>
            <w:tcW w:w="1473" w:type="dxa"/>
          </w:tcPr>
          <w:p>
            <w:pPr>
              <w:spacing w:line="300" w:lineRule="auto"/>
              <w:rPr>
                <w:rFonts w:ascii="宋体" w:hAnsi="宋体" w:cs="宋体"/>
                <w:color w:val="000000"/>
                <w:sz w:val="24"/>
                <w:highlight w:val="none"/>
              </w:rPr>
            </w:pPr>
          </w:p>
        </w:tc>
      </w:tr>
      <w:tr>
        <w:tblPrEx>
          <w:tblW w:w="10327" w:type="dxa"/>
          <w:jc w:val="center"/>
          <w:tblLayout w:type="fixed"/>
          <w:tblCellMar>
            <w:top w:w="0" w:type="dxa"/>
            <w:left w:w="108" w:type="dxa"/>
            <w:bottom w:w="0" w:type="dxa"/>
            <w:right w:w="108" w:type="dxa"/>
          </w:tblCellMar>
          <w:tblLook w:val="0000"/>
        </w:tblPrEx>
        <w:trPr>
          <w:trHeight w:val="261"/>
          <w:jc w:val="center"/>
        </w:trPr>
        <w:tc>
          <w:tcPr>
            <w:tcW w:w="1086" w:type="dxa"/>
          </w:tcPr>
          <w:p>
            <w:pPr>
              <w:spacing w:line="300" w:lineRule="auto"/>
              <w:rPr>
                <w:rFonts w:ascii="宋体" w:hAnsi="宋体" w:cs="宋体"/>
                <w:color w:val="000000"/>
                <w:sz w:val="24"/>
                <w:highlight w:val="none"/>
              </w:rPr>
            </w:pPr>
          </w:p>
        </w:tc>
        <w:tc>
          <w:tcPr>
            <w:tcW w:w="1603" w:type="dxa"/>
          </w:tcPr>
          <w:p>
            <w:pPr>
              <w:spacing w:line="300" w:lineRule="auto"/>
              <w:rPr>
                <w:rFonts w:ascii="宋体" w:hAnsi="宋体" w:cs="宋体"/>
                <w:color w:val="000000"/>
                <w:sz w:val="24"/>
                <w:highlight w:val="none"/>
              </w:rPr>
            </w:pPr>
          </w:p>
        </w:tc>
        <w:tc>
          <w:tcPr>
            <w:tcW w:w="2138" w:type="dxa"/>
          </w:tcPr>
          <w:p>
            <w:pPr>
              <w:spacing w:line="300" w:lineRule="auto"/>
              <w:rPr>
                <w:rFonts w:ascii="宋体" w:hAnsi="宋体" w:cs="宋体"/>
                <w:color w:val="000000"/>
                <w:sz w:val="24"/>
                <w:highlight w:val="none"/>
              </w:rPr>
            </w:pPr>
          </w:p>
        </w:tc>
        <w:tc>
          <w:tcPr>
            <w:tcW w:w="2099" w:type="dxa"/>
          </w:tcPr>
          <w:p>
            <w:pPr>
              <w:spacing w:line="300" w:lineRule="auto"/>
              <w:rPr>
                <w:rFonts w:ascii="宋体" w:hAnsi="宋体" w:cs="宋体"/>
                <w:color w:val="000000"/>
                <w:sz w:val="24"/>
                <w:highlight w:val="none"/>
              </w:rPr>
            </w:pPr>
          </w:p>
        </w:tc>
        <w:tc>
          <w:tcPr>
            <w:tcW w:w="1928" w:type="dxa"/>
          </w:tcPr>
          <w:p>
            <w:pPr>
              <w:spacing w:line="300" w:lineRule="auto"/>
              <w:rPr>
                <w:rFonts w:ascii="宋体" w:hAnsi="宋体" w:cs="宋体"/>
                <w:color w:val="000000"/>
                <w:sz w:val="24"/>
                <w:highlight w:val="none"/>
              </w:rPr>
            </w:pPr>
          </w:p>
        </w:tc>
        <w:tc>
          <w:tcPr>
            <w:tcW w:w="1473" w:type="dxa"/>
          </w:tcPr>
          <w:p>
            <w:pPr>
              <w:spacing w:line="300" w:lineRule="auto"/>
              <w:rPr>
                <w:rFonts w:ascii="宋体" w:hAnsi="宋体" w:cs="宋体"/>
                <w:color w:val="000000"/>
                <w:sz w:val="24"/>
                <w:highlight w:val="none"/>
              </w:rPr>
            </w:pPr>
          </w:p>
        </w:tc>
      </w:tr>
      <w:tr>
        <w:tblPrEx>
          <w:tblW w:w="10327" w:type="dxa"/>
          <w:jc w:val="center"/>
          <w:tblLayout w:type="fixed"/>
          <w:tblCellMar>
            <w:top w:w="0" w:type="dxa"/>
            <w:left w:w="108" w:type="dxa"/>
            <w:bottom w:w="0" w:type="dxa"/>
            <w:right w:w="108" w:type="dxa"/>
          </w:tblCellMar>
          <w:tblLook w:val="0000"/>
        </w:tblPrEx>
        <w:trPr>
          <w:trHeight w:val="261"/>
          <w:jc w:val="center"/>
        </w:trPr>
        <w:tc>
          <w:tcPr>
            <w:tcW w:w="1086" w:type="dxa"/>
          </w:tcPr>
          <w:p>
            <w:pPr>
              <w:spacing w:line="300" w:lineRule="auto"/>
              <w:rPr>
                <w:rFonts w:ascii="宋体" w:hAnsi="宋体" w:cs="宋体"/>
                <w:color w:val="000000"/>
                <w:sz w:val="24"/>
                <w:highlight w:val="none"/>
              </w:rPr>
            </w:pPr>
          </w:p>
        </w:tc>
        <w:tc>
          <w:tcPr>
            <w:tcW w:w="1603" w:type="dxa"/>
          </w:tcPr>
          <w:p>
            <w:pPr>
              <w:spacing w:line="300" w:lineRule="auto"/>
              <w:rPr>
                <w:rFonts w:ascii="宋体" w:hAnsi="宋体" w:cs="宋体"/>
                <w:color w:val="000000"/>
                <w:sz w:val="24"/>
                <w:highlight w:val="none"/>
              </w:rPr>
            </w:pPr>
          </w:p>
        </w:tc>
        <w:tc>
          <w:tcPr>
            <w:tcW w:w="2138" w:type="dxa"/>
          </w:tcPr>
          <w:p>
            <w:pPr>
              <w:spacing w:line="300" w:lineRule="auto"/>
              <w:rPr>
                <w:rFonts w:ascii="宋体" w:hAnsi="宋体" w:cs="宋体"/>
                <w:color w:val="000000"/>
                <w:sz w:val="24"/>
                <w:highlight w:val="none"/>
              </w:rPr>
            </w:pPr>
          </w:p>
        </w:tc>
        <w:tc>
          <w:tcPr>
            <w:tcW w:w="2099" w:type="dxa"/>
          </w:tcPr>
          <w:p>
            <w:pPr>
              <w:spacing w:line="300" w:lineRule="auto"/>
              <w:rPr>
                <w:rFonts w:ascii="宋体" w:hAnsi="宋体" w:cs="宋体"/>
                <w:color w:val="000000"/>
                <w:sz w:val="24"/>
                <w:highlight w:val="none"/>
              </w:rPr>
            </w:pPr>
          </w:p>
        </w:tc>
        <w:tc>
          <w:tcPr>
            <w:tcW w:w="1928" w:type="dxa"/>
          </w:tcPr>
          <w:p>
            <w:pPr>
              <w:spacing w:line="300" w:lineRule="auto"/>
              <w:rPr>
                <w:rFonts w:ascii="宋体" w:hAnsi="宋体" w:cs="宋体"/>
                <w:color w:val="000000"/>
                <w:sz w:val="24"/>
                <w:highlight w:val="none"/>
              </w:rPr>
            </w:pPr>
          </w:p>
        </w:tc>
        <w:tc>
          <w:tcPr>
            <w:tcW w:w="1473" w:type="dxa"/>
          </w:tcPr>
          <w:p>
            <w:pPr>
              <w:spacing w:line="300" w:lineRule="auto"/>
              <w:rPr>
                <w:rFonts w:ascii="宋体" w:hAnsi="宋体" w:cs="宋体"/>
                <w:color w:val="000000"/>
                <w:sz w:val="24"/>
                <w:highlight w:val="none"/>
              </w:rPr>
            </w:pPr>
          </w:p>
        </w:tc>
      </w:tr>
      <w:tr>
        <w:tblPrEx>
          <w:tblW w:w="10327" w:type="dxa"/>
          <w:jc w:val="center"/>
          <w:tblLayout w:type="fixed"/>
          <w:tblCellMar>
            <w:top w:w="0" w:type="dxa"/>
            <w:left w:w="108" w:type="dxa"/>
            <w:bottom w:w="0" w:type="dxa"/>
            <w:right w:w="108" w:type="dxa"/>
          </w:tblCellMar>
          <w:tblLook w:val="0000"/>
        </w:tblPrEx>
        <w:trPr>
          <w:trHeight w:val="261"/>
          <w:jc w:val="center"/>
        </w:trPr>
        <w:tc>
          <w:tcPr>
            <w:tcW w:w="1086" w:type="dxa"/>
          </w:tcPr>
          <w:p>
            <w:pPr>
              <w:spacing w:line="300" w:lineRule="auto"/>
              <w:rPr>
                <w:rFonts w:ascii="宋体" w:hAnsi="宋体" w:cs="宋体"/>
                <w:color w:val="000000"/>
                <w:sz w:val="24"/>
                <w:highlight w:val="none"/>
              </w:rPr>
            </w:pPr>
          </w:p>
        </w:tc>
        <w:tc>
          <w:tcPr>
            <w:tcW w:w="1603" w:type="dxa"/>
          </w:tcPr>
          <w:p>
            <w:pPr>
              <w:spacing w:line="300" w:lineRule="auto"/>
              <w:rPr>
                <w:rFonts w:ascii="宋体" w:hAnsi="宋体" w:cs="宋体"/>
                <w:color w:val="000000"/>
                <w:sz w:val="24"/>
                <w:highlight w:val="none"/>
              </w:rPr>
            </w:pPr>
          </w:p>
        </w:tc>
        <w:tc>
          <w:tcPr>
            <w:tcW w:w="2138" w:type="dxa"/>
          </w:tcPr>
          <w:p>
            <w:pPr>
              <w:spacing w:line="300" w:lineRule="auto"/>
              <w:rPr>
                <w:rFonts w:ascii="宋体" w:hAnsi="宋体" w:cs="宋体"/>
                <w:color w:val="000000"/>
                <w:sz w:val="24"/>
                <w:highlight w:val="none"/>
              </w:rPr>
            </w:pPr>
          </w:p>
        </w:tc>
        <w:tc>
          <w:tcPr>
            <w:tcW w:w="2099" w:type="dxa"/>
          </w:tcPr>
          <w:p>
            <w:pPr>
              <w:spacing w:line="300" w:lineRule="auto"/>
              <w:rPr>
                <w:rFonts w:ascii="宋体" w:hAnsi="宋体" w:cs="宋体"/>
                <w:color w:val="000000"/>
                <w:sz w:val="24"/>
                <w:highlight w:val="none"/>
              </w:rPr>
            </w:pPr>
          </w:p>
        </w:tc>
        <w:tc>
          <w:tcPr>
            <w:tcW w:w="1928" w:type="dxa"/>
          </w:tcPr>
          <w:p>
            <w:pPr>
              <w:spacing w:line="300" w:lineRule="auto"/>
              <w:rPr>
                <w:rFonts w:ascii="宋体" w:hAnsi="宋体" w:cs="宋体"/>
                <w:color w:val="000000"/>
                <w:sz w:val="24"/>
                <w:highlight w:val="none"/>
              </w:rPr>
            </w:pPr>
          </w:p>
        </w:tc>
        <w:tc>
          <w:tcPr>
            <w:tcW w:w="1473" w:type="dxa"/>
          </w:tcPr>
          <w:p>
            <w:pPr>
              <w:spacing w:line="300" w:lineRule="auto"/>
              <w:rPr>
                <w:rFonts w:ascii="宋体" w:hAnsi="宋体" w:cs="宋体"/>
                <w:color w:val="000000"/>
                <w:sz w:val="24"/>
                <w:highlight w:val="none"/>
              </w:rPr>
            </w:pPr>
          </w:p>
        </w:tc>
      </w:tr>
    </w:tbl>
    <w:p>
      <w:pPr>
        <w:spacing w:line="300" w:lineRule="auto"/>
        <w:rPr>
          <w:rFonts w:ascii="宋体" w:hAnsi="宋体" w:cs="宋体"/>
          <w:color w:val="000000"/>
          <w:szCs w:val="21"/>
          <w:highlight w:val="none"/>
        </w:rPr>
      </w:pPr>
      <w:r>
        <w:rPr>
          <w:rFonts w:ascii="宋体" w:hAnsi="宋体" w:cs="宋体" w:hint="eastAsia"/>
          <w:color w:val="000000"/>
          <w:szCs w:val="21"/>
          <w:highlight w:val="none"/>
        </w:rPr>
        <w:t>备注：</w:t>
      </w:r>
    </w:p>
    <w:p>
      <w:pPr>
        <w:spacing w:line="300" w:lineRule="auto"/>
        <w:rPr>
          <w:rFonts w:ascii="宋体" w:hAnsi="宋体" w:cs="宋体"/>
          <w:b/>
          <w:color w:val="000000"/>
          <w:szCs w:val="21"/>
          <w:highlight w:val="none"/>
          <w:shd w:val="pct10" w:color="auto" w:fill="FFFFFF"/>
        </w:rPr>
      </w:pPr>
      <w:r>
        <w:rPr>
          <w:rFonts w:ascii="宋体" w:hAnsi="宋体" w:cs="宋体" w:hint="eastAsia"/>
          <w:color w:val="000000"/>
          <w:szCs w:val="21"/>
          <w:highlight w:val="none"/>
        </w:rPr>
        <w:t>1、“招标技术要求”一栏应</w:t>
      </w:r>
      <w:r>
        <w:rPr>
          <w:rFonts w:ascii="宋体" w:hAnsi="宋体" w:cs="宋体" w:hint="eastAsia"/>
          <w:b/>
          <w:color w:val="000000"/>
          <w:szCs w:val="21"/>
          <w:highlight w:val="none"/>
        </w:rPr>
        <w:t>填写招标文件第二章</w:t>
      </w:r>
      <w:r>
        <w:rPr>
          <w:rFonts w:ascii="宋体" w:hAnsi="宋体" w:cs="宋体" w:hint="eastAsia"/>
          <w:color w:val="000000"/>
          <w:szCs w:val="21"/>
          <w:highlight w:val="none"/>
        </w:rPr>
        <w:t>“技术部分”的内容进行填写；</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2、“投标技术响应”一栏必须详细填写投标产品的具体参数，并应对照招标技术要求一一对应响应；</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3、“偏离情况”一栏应如实填写“正偏离”、“负偏离”或“无偏离”。</w:t>
      </w:r>
    </w:p>
    <w:p>
      <w:pPr>
        <w:spacing w:line="300" w:lineRule="auto"/>
        <w:rPr>
          <w:rFonts w:ascii="宋体" w:hAnsi="宋体" w:cs="宋体"/>
          <w:b/>
          <w:color w:val="000000"/>
          <w:szCs w:val="21"/>
          <w:highlight w:val="none"/>
        </w:rPr>
      </w:pPr>
      <w:r>
        <w:rPr>
          <w:rFonts w:ascii="宋体" w:hAnsi="宋体" w:cs="宋体" w:hint="eastAsia"/>
          <w:color w:val="000000"/>
          <w:szCs w:val="21"/>
          <w:highlight w:val="none"/>
        </w:rPr>
        <w:t>4、投标产品的技术参数应按《技术条款偏离表》中的要求提供相应的证明资料</w:t>
      </w:r>
      <w:r>
        <w:rPr>
          <w:rFonts w:ascii="宋体" w:hAnsi="宋体" w:cs="宋体" w:hint="eastAsia"/>
          <w:b/>
          <w:bCs/>
          <w:color w:val="000000"/>
          <w:szCs w:val="21"/>
          <w:highlight w:val="none"/>
        </w:rPr>
        <w:t>（证明资料须附于本表后）</w:t>
      </w:r>
      <w:r>
        <w:rPr>
          <w:rFonts w:ascii="宋体" w:hAnsi="宋体" w:cs="宋体" w:hint="eastAsia"/>
          <w:color w:val="000000"/>
          <w:szCs w:val="21"/>
          <w:highlight w:val="none"/>
        </w:rPr>
        <w:t>，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r>
        <w:rPr>
          <w:rFonts w:ascii="宋体" w:hAnsi="宋体" w:cs="宋体" w:hint="eastAsia"/>
          <w:b/>
          <w:color w:val="000000"/>
          <w:szCs w:val="21"/>
          <w:highlight w:val="none"/>
        </w:rPr>
        <w:t>若《技术条款偏离表》中未要求提供相应证明材料的，投标人可以不提供。</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5、证明资料（均为扫描件）的提供要求：</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rPr>
          <w:rFonts w:ascii="宋体" w:hAnsi="宋体" w:cs="宋体"/>
          <w:color w:val="000000"/>
          <w:szCs w:val="21"/>
          <w:highlight w:val="none"/>
        </w:rPr>
      </w:pPr>
      <w:r>
        <w:rPr>
          <w:rFonts w:ascii="宋体" w:hAnsi="宋体" w:cs="宋体" w:hint="eastAsia"/>
          <w:color w:val="000000"/>
          <w:szCs w:val="21"/>
          <w:highlight w:val="none"/>
        </w:rPr>
        <w:t>（2）我国政府机构出具的产品检验和核准证件应为证件正面、背面和附件标注的全部具体内容；产品检验和核准证件的尺寸和清晰度应该能够在电脑上被阅读、识别和判断。</w:t>
      </w:r>
    </w:p>
    <w:p>
      <w:pPr>
        <w:jc w:val="left"/>
        <w:rPr>
          <w:rFonts w:ascii="宋体" w:hAnsi="宋体" w:cs="宋体" w:hint="eastAsia"/>
          <w:color w:val="000000"/>
          <w:szCs w:val="21"/>
          <w:highlight w:val="none"/>
        </w:rPr>
      </w:pPr>
      <w:r>
        <w:rPr>
          <w:rFonts w:ascii="宋体" w:hAnsi="宋体" w:cs="宋体" w:hint="eastAsia"/>
          <w:color w:val="000000"/>
          <w:szCs w:val="21"/>
          <w:highlight w:val="none"/>
        </w:rPr>
        <w:t>6、评审委员会有权对以谋取中标为目的的技术规格模糊响应（如有意照搬照抄招标文件的技术要求）或虚假响应予以认定，并视情况经集中采购机构报市政府采购监督管理部门予以处罚。</w:t>
      </w:r>
    </w:p>
    <w:p>
      <w:pPr>
        <w:pStyle w:val="a28"/>
        <w:ind w:firstLine="420"/>
        <w:rPr>
          <w:rFonts w:ascii="宋体" w:hAnsi="宋体" w:cs="宋体" w:hint="eastAsia"/>
          <w:color w:val="000000"/>
          <w:szCs w:val="21"/>
          <w:highlight w:val="none"/>
        </w:rPr>
      </w:pPr>
    </w:p>
    <w:p>
      <w:pPr>
        <w:pStyle w:val="a28"/>
        <w:ind w:firstLine="420"/>
        <w:rPr>
          <w:rFonts w:ascii="宋体" w:hAnsi="宋体" w:cs="宋体" w:hint="eastAsia"/>
          <w:color w:val="000000"/>
          <w:szCs w:val="21"/>
          <w:highlight w:val="none"/>
        </w:rPr>
      </w:pP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投标人代表：_____________________________</w:t>
      </w: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投标人名称：_____________________________</w:t>
      </w:r>
    </w:p>
    <w:p>
      <w:pPr>
        <w:tabs>
          <w:tab w:val="left" w:pos="3138"/>
          <w:tab w:val="right" w:pos="9642"/>
        </w:tabs>
        <w:snapToGrid w:val="0"/>
        <w:spacing w:line="360" w:lineRule="exact"/>
        <w:ind w:right="105" w:firstLine="560"/>
        <w:jc w:val="left"/>
        <w:rPr>
          <w:rFonts w:ascii="宋体" w:hAnsi="宋体" w:cs="宋体"/>
          <w:color w:val="000000"/>
          <w:szCs w:val="21"/>
          <w:highlight w:val="none"/>
          <w:u w:val="single"/>
        </w:rPr>
      </w:pPr>
      <w:r>
        <w:rPr>
          <w:rFonts w:ascii="宋体" w:hAnsi="宋体" w:cs="宋体"/>
          <w:b/>
          <w:bCs/>
          <w:color w:val="000000"/>
          <w:szCs w:val="21"/>
          <w:highlight w:val="none"/>
        </w:rPr>
        <w:tab/>
      </w:r>
      <w:r>
        <w:rPr>
          <w:rFonts w:ascii="宋体" w:hAnsi="宋体" w:cs="宋体"/>
          <w:b/>
          <w:bCs/>
          <w:color w:val="000000"/>
          <w:szCs w:val="21"/>
          <w:highlight w:val="none"/>
        </w:rPr>
        <w:tab/>
      </w:r>
      <w:r>
        <w:rPr>
          <w:rFonts w:ascii="宋体" w:hAnsi="宋体" w:cs="宋体" w:hint="eastAsia"/>
          <w:b/>
          <w:bCs/>
          <w:color w:val="000000"/>
          <w:szCs w:val="21"/>
          <w:highlight w:val="none"/>
        </w:rPr>
        <w:t>日期：____________________________</w:t>
      </w:r>
    </w:p>
    <w:p>
      <w:pPr>
        <w:pStyle w:val="Heading3"/>
        <w:spacing w:before="120" w:after="120" w:line="300" w:lineRule="auto"/>
        <w:jc w:val="center"/>
        <w:rPr>
          <w:rFonts w:cs="宋体"/>
          <w:color w:val="000000"/>
          <w:sz w:val="24"/>
          <w:highlight w:val="none"/>
        </w:rPr>
      </w:pPr>
      <w:r>
        <w:rPr>
          <w:rFonts w:cs="宋体"/>
          <w:color w:val="000000"/>
          <w:sz w:val="24"/>
          <w:highlight w:val="none"/>
        </w:rPr>
        <w:br w:type="page"/>
      </w:r>
      <w:r>
        <w:rPr>
          <w:rFonts w:cs="宋体" w:hint="eastAsia"/>
          <w:color w:val="000000"/>
          <w:sz w:val="24"/>
          <w:highlight w:val="none"/>
        </w:rPr>
        <w:t>2.商务条款偏离表</w:t>
      </w:r>
    </w:p>
    <w:p>
      <w:pPr>
        <w:spacing w:after="60" w:line="360" w:lineRule="exact"/>
        <w:jc w:val="center"/>
        <w:rPr>
          <w:rFonts w:ascii="宋体" w:hAnsi="宋体" w:cs="宋体"/>
          <w:b/>
          <w:color w:val="000000"/>
          <w:highlight w:val="none"/>
        </w:rPr>
      </w:pPr>
      <w:r>
        <w:rPr>
          <w:rFonts w:ascii="宋体" w:hAnsi="宋体" w:cs="宋体" w:hint="eastAsia"/>
          <w:b/>
          <w:color w:val="000000"/>
          <w:highlight w:val="none"/>
        </w:rPr>
        <w:t>投标人名称__________________项目编号____________________</w:t>
      </w:r>
    </w:p>
    <w:tbl>
      <w:tblPr>
        <w:tblStyle w:val="TableNormal"/>
        <w:tblpPr w:leftFromText="180" w:rightFromText="180" w:vertAnchor="text" w:tblpXSpec="center" w:tblpX="1"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874"/>
        <w:gridCol w:w="1142"/>
        <w:gridCol w:w="2093"/>
        <w:gridCol w:w="2093"/>
        <w:gridCol w:w="1522"/>
        <w:gridCol w:w="1712"/>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458"/>
          <w:jc w:val="center"/>
        </w:trPr>
        <w:tc>
          <w:tcPr>
            <w:tcW w:w="874" w:type="dxa"/>
            <w:vAlign w:val="center"/>
          </w:tcPr>
          <w:p>
            <w:pPr>
              <w:jc w:val="center"/>
              <w:rPr>
                <w:rFonts w:ascii="宋体" w:hAnsi="宋体" w:cs="宋体"/>
                <w:b/>
                <w:bCs/>
                <w:color w:val="000000"/>
                <w:sz w:val="22"/>
                <w:szCs w:val="22"/>
                <w:highlight w:val="none"/>
              </w:rPr>
            </w:pPr>
            <w:r>
              <w:rPr>
                <w:rFonts w:ascii="宋体" w:hAnsi="宋体" w:cs="宋体" w:hint="eastAsia"/>
                <w:b/>
                <w:bCs/>
                <w:color w:val="000000"/>
                <w:sz w:val="22"/>
                <w:szCs w:val="22"/>
                <w:highlight w:val="none"/>
              </w:rPr>
              <w:t>序号</w:t>
            </w:r>
          </w:p>
        </w:tc>
        <w:tc>
          <w:tcPr>
            <w:tcW w:w="1142" w:type="dxa"/>
            <w:vAlign w:val="center"/>
          </w:tcPr>
          <w:p>
            <w:pPr>
              <w:jc w:val="center"/>
              <w:rPr>
                <w:rFonts w:ascii="宋体" w:hAnsi="宋体" w:cs="宋体"/>
                <w:b/>
                <w:bCs/>
                <w:color w:val="000000"/>
                <w:sz w:val="22"/>
                <w:szCs w:val="22"/>
                <w:highlight w:val="none"/>
              </w:rPr>
            </w:pPr>
            <w:r>
              <w:rPr>
                <w:rFonts w:ascii="宋体" w:hAnsi="宋体" w:cs="宋体" w:hint="eastAsia"/>
                <w:b/>
                <w:bCs/>
                <w:color w:val="000000"/>
                <w:sz w:val="22"/>
                <w:szCs w:val="22"/>
                <w:highlight w:val="none"/>
              </w:rPr>
              <w:t>目录</w:t>
            </w:r>
          </w:p>
        </w:tc>
        <w:tc>
          <w:tcPr>
            <w:tcW w:w="2093" w:type="dxa"/>
            <w:vAlign w:val="center"/>
          </w:tcPr>
          <w:p>
            <w:pPr>
              <w:jc w:val="center"/>
              <w:rPr>
                <w:rFonts w:ascii="宋体" w:hAnsi="宋体" w:cs="宋体"/>
                <w:b/>
                <w:bCs/>
                <w:color w:val="000000"/>
                <w:sz w:val="22"/>
                <w:szCs w:val="22"/>
                <w:highlight w:val="none"/>
              </w:rPr>
            </w:pPr>
            <w:r>
              <w:rPr>
                <w:rFonts w:ascii="宋体" w:hAnsi="宋体" w:cs="宋体" w:hint="eastAsia"/>
                <w:b/>
                <w:bCs/>
                <w:color w:val="000000"/>
                <w:sz w:val="22"/>
                <w:szCs w:val="22"/>
                <w:highlight w:val="none"/>
              </w:rPr>
              <w:t>招标商务条款</w:t>
            </w:r>
          </w:p>
        </w:tc>
        <w:tc>
          <w:tcPr>
            <w:tcW w:w="2093" w:type="dxa"/>
            <w:vAlign w:val="center"/>
          </w:tcPr>
          <w:p>
            <w:pPr>
              <w:jc w:val="center"/>
              <w:rPr>
                <w:rFonts w:ascii="宋体" w:hAnsi="宋体" w:cs="宋体"/>
                <w:b/>
                <w:bCs/>
                <w:color w:val="000000"/>
                <w:sz w:val="22"/>
                <w:szCs w:val="22"/>
                <w:highlight w:val="none"/>
              </w:rPr>
            </w:pPr>
            <w:r>
              <w:rPr>
                <w:rFonts w:ascii="宋体" w:hAnsi="宋体" w:cs="宋体" w:hint="eastAsia"/>
                <w:b/>
                <w:bCs/>
                <w:color w:val="000000"/>
                <w:sz w:val="22"/>
                <w:szCs w:val="22"/>
                <w:highlight w:val="none"/>
              </w:rPr>
              <w:t>投标商务条款</w:t>
            </w:r>
          </w:p>
        </w:tc>
        <w:tc>
          <w:tcPr>
            <w:tcW w:w="1522" w:type="dxa"/>
            <w:vAlign w:val="center"/>
          </w:tcPr>
          <w:p>
            <w:pPr>
              <w:jc w:val="center"/>
              <w:rPr>
                <w:rFonts w:ascii="宋体" w:hAnsi="宋体" w:cs="宋体"/>
                <w:b/>
                <w:bCs/>
                <w:color w:val="000000"/>
                <w:sz w:val="22"/>
                <w:szCs w:val="22"/>
                <w:highlight w:val="none"/>
              </w:rPr>
            </w:pPr>
            <w:r>
              <w:rPr>
                <w:rFonts w:ascii="宋体" w:hAnsi="宋体" w:cs="宋体" w:hint="eastAsia"/>
                <w:b/>
                <w:bCs/>
                <w:color w:val="000000"/>
                <w:sz w:val="20"/>
                <w:szCs w:val="22"/>
                <w:highlight w:val="none"/>
              </w:rPr>
              <w:t>偏离情况</w:t>
            </w:r>
          </w:p>
        </w:tc>
        <w:tc>
          <w:tcPr>
            <w:tcW w:w="1712" w:type="dxa"/>
            <w:vAlign w:val="center"/>
          </w:tcPr>
          <w:p>
            <w:pPr>
              <w:jc w:val="center"/>
              <w:rPr>
                <w:rFonts w:ascii="宋体" w:hAnsi="宋体" w:cs="宋体"/>
                <w:b/>
                <w:bCs/>
                <w:color w:val="000000"/>
                <w:sz w:val="22"/>
                <w:szCs w:val="22"/>
                <w:highlight w:val="none"/>
              </w:rPr>
            </w:pPr>
            <w:r>
              <w:rPr>
                <w:rFonts w:ascii="宋体" w:hAnsi="宋体" w:cs="宋体" w:hint="eastAsia"/>
                <w:b/>
                <w:bCs/>
                <w:color w:val="000000"/>
                <w:sz w:val="22"/>
                <w:szCs w:val="22"/>
                <w:highlight w:val="none"/>
              </w:rPr>
              <w:t>说明</w:t>
            </w:r>
          </w:p>
        </w:tc>
      </w:tr>
      <w:tr>
        <w:tblPrEx>
          <w:tblW w:w="0" w:type="auto"/>
          <w:jc w:val="center"/>
          <w:tblLayout w:type="fixed"/>
          <w:tblCellMar>
            <w:top w:w="0" w:type="dxa"/>
            <w:left w:w="108" w:type="dxa"/>
            <w:bottom w:w="0" w:type="dxa"/>
            <w:right w:w="108" w:type="dxa"/>
          </w:tblCellMar>
          <w:tblLook w:val="0000"/>
        </w:tblPrEx>
        <w:trPr>
          <w:trHeight w:val="458"/>
          <w:jc w:val="center"/>
        </w:trPr>
        <w:tc>
          <w:tcPr>
            <w:tcW w:w="874" w:type="dxa"/>
            <w:vAlign w:val="center"/>
          </w:tcPr>
          <w:p>
            <w:pPr>
              <w:jc w:val="center"/>
              <w:rPr>
                <w:rFonts w:ascii="宋体" w:hAnsi="宋体" w:cs="宋体"/>
                <w:color w:val="000000"/>
                <w:sz w:val="22"/>
                <w:szCs w:val="22"/>
                <w:highlight w:val="none"/>
              </w:rPr>
            </w:pPr>
            <w:r>
              <w:rPr>
                <w:rFonts w:ascii="宋体" w:hAnsi="宋体" w:cs="宋体" w:hint="eastAsia"/>
                <w:color w:val="000000"/>
                <w:sz w:val="22"/>
                <w:szCs w:val="22"/>
                <w:highlight w:val="none"/>
              </w:rPr>
              <w:t>1</w:t>
            </w:r>
          </w:p>
        </w:tc>
        <w:tc>
          <w:tcPr>
            <w:tcW w:w="1142"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1522" w:type="dxa"/>
            <w:vAlign w:val="center"/>
          </w:tcPr>
          <w:p>
            <w:pPr>
              <w:rPr>
                <w:rFonts w:ascii="宋体" w:hAnsi="宋体" w:cs="宋体"/>
                <w:color w:val="000000"/>
                <w:sz w:val="22"/>
                <w:szCs w:val="22"/>
                <w:highlight w:val="none"/>
              </w:rPr>
            </w:pPr>
          </w:p>
        </w:tc>
        <w:tc>
          <w:tcPr>
            <w:tcW w:w="1712" w:type="dxa"/>
            <w:vAlign w:val="center"/>
          </w:tcPr>
          <w:p>
            <w:pPr>
              <w:rPr>
                <w:rFonts w:ascii="宋体" w:hAnsi="宋体" w:cs="宋体"/>
                <w:color w:val="000000"/>
                <w:sz w:val="22"/>
                <w:szCs w:val="22"/>
                <w:highlight w:val="none"/>
              </w:rPr>
            </w:pPr>
          </w:p>
        </w:tc>
      </w:tr>
      <w:tr>
        <w:tblPrEx>
          <w:tblW w:w="0" w:type="auto"/>
          <w:jc w:val="center"/>
          <w:tblLayout w:type="fixed"/>
          <w:tblCellMar>
            <w:top w:w="0" w:type="dxa"/>
            <w:left w:w="108" w:type="dxa"/>
            <w:bottom w:w="0" w:type="dxa"/>
            <w:right w:w="108" w:type="dxa"/>
          </w:tblCellMar>
          <w:tblLook w:val="0000"/>
        </w:tblPrEx>
        <w:trPr>
          <w:trHeight w:val="458"/>
          <w:jc w:val="center"/>
        </w:trPr>
        <w:tc>
          <w:tcPr>
            <w:tcW w:w="874" w:type="dxa"/>
            <w:vAlign w:val="center"/>
          </w:tcPr>
          <w:p>
            <w:pPr>
              <w:jc w:val="center"/>
              <w:rPr>
                <w:rFonts w:ascii="宋体" w:hAnsi="宋体" w:cs="宋体"/>
                <w:color w:val="000000"/>
                <w:sz w:val="22"/>
                <w:szCs w:val="22"/>
                <w:highlight w:val="none"/>
              </w:rPr>
            </w:pPr>
            <w:r>
              <w:rPr>
                <w:rFonts w:ascii="宋体" w:hAnsi="宋体" w:cs="宋体" w:hint="eastAsia"/>
                <w:color w:val="000000"/>
                <w:sz w:val="22"/>
                <w:szCs w:val="22"/>
                <w:highlight w:val="none"/>
              </w:rPr>
              <w:t>2</w:t>
            </w:r>
          </w:p>
        </w:tc>
        <w:tc>
          <w:tcPr>
            <w:tcW w:w="1142"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1522" w:type="dxa"/>
            <w:vAlign w:val="center"/>
          </w:tcPr>
          <w:p>
            <w:pPr>
              <w:rPr>
                <w:rFonts w:ascii="宋体" w:hAnsi="宋体" w:cs="宋体"/>
                <w:color w:val="000000"/>
                <w:sz w:val="22"/>
                <w:szCs w:val="22"/>
                <w:highlight w:val="none"/>
              </w:rPr>
            </w:pPr>
          </w:p>
        </w:tc>
        <w:tc>
          <w:tcPr>
            <w:tcW w:w="1712" w:type="dxa"/>
            <w:vAlign w:val="center"/>
          </w:tcPr>
          <w:p>
            <w:pPr>
              <w:rPr>
                <w:rFonts w:ascii="宋体" w:hAnsi="宋体" w:cs="宋体"/>
                <w:color w:val="000000"/>
                <w:sz w:val="22"/>
                <w:szCs w:val="22"/>
                <w:highlight w:val="none"/>
              </w:rPr>
            </w:pPr>
          </w:p>
        </w:tc>
      </w:tr>
      <w:tr>
        <w:tblPrEx>
          <w:tblW w:w="0" w:type="auto"/>
          <w:jc w:val="center"/>
          <w:tblLayout w:type="fixed"/>
          <w:tblCellMar>
            <w:top w:w="0" w:type="dxa"/>
            <w:left w:w="108" w:type="dxa"/>
            <w:bottom w:w="0" w:type="dxa"/>
            <w:right w:w="108" w:type="dxa"/>
          </w:tblCellMar>
          <w:tblLook w:val="0000"/>
        </w:tblPrEx>
        <w:trPr>
          <w:trHeight w:val="458"/>
          <w:jc w:val="center"/>
        </w:trPr>
        <w:tc>
          <w:tcPr>
            <w:tcW w:w="874" w:type="dxa"/>
            <w:vAlign w:val="center"/>
          </w:tcPr>
          <w:p>
            <w:pPr>
              <w:jc w:val="center"/>
              <w:rPr>
                <w:rFonts w:ascii="宋体" w:hAnsi="宋体" w:cs="宋体"/>
                <w:color w:val="000000"/>
                <w:sz w:val="22"/>
                <w:szCs w:val="22"/>
                <w:highlight w:val="none"/>
              </w:rPr>
            </w:pPr>
            <w:r>
              <w:rPr>
                <w:rFonts w:ascii="宋体" w:hAnsi="宋体" w:cs="宋体" w:hint="eastAsia"/>
                <w:color w:val="000000"/>
                <w:sz w:val="22"/>
                <w:szCs w:val="22"/>
                <w:highlight w:val="none"/>
              </w:rPr>
              <w:t>3</w:t>
            </w:r>
          </w:p>
        </w:tc>
        <w:tc>
          <w:tcPr>
            <w:tcW w:w="1142"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1522" w:type="dxa"/>
            <w:vAlign w:val="center"/>
          </w:tcPr>
          <w:p>
            <w:pPr>
              <w:rPr>
                <w:rFonts w:ascii="宋体" w:hAnsi="宋体" w:cs="宋体"/>
                <w:color w:val="000000"/>
                <w:sz w:val="22"/>
                <w:szCs w:val="22"/>
                <w:highlight w:val="none"/>
              </w:rPr>
            </w:pPr>
          </w:p>
        </w:tc>
        <w:tc>
          <w:tcPr>
            <w:tcW w:w="1712" w:type="dxa"/>
            <w:vAlign w:val="center"/>
          </w:tcPr>
          <w:p>
            <w:pPr>
              <w:rPr>
                <w:rFonts w:ascii="宋体" w:hAnsi="宋体" w:cs="宋体"/>
                <w:color w:val="000000"/>
                <w:sz w:val="22"/>
                <w:szCs w:val="22"/>
                <w:highlight w:val="none"/>
              </w:rPr>
            </w:pPr>
          </w:p>
        </w:tc>
      </w:tr>
      <w:tr>
        <w:tblPrEx>
          <w:tblW w:w="0" w:type="auto"/>
          <w:jc w:val="center"/>
          <w:tblLayout w:type="fixed"/>
          <w:tblCellMar>
            <w:top w:w="0" w:type="dxa"/>
            <w:left w:w="108" w:type="dxa"/>
            <w:bottom w:w="0" w:type="dxa"/>
            <w:right w:w="108" w:type="dxa"/>
          </w:tblCellMar>
          <w:tblLook w:val="0000"/>
        </w:tblPrEx>
        <w:trPr>
          <w:trHeight w:val="487"/>
          <w:jc w:val="center"/>
        </w:trPr>
        <w:tc>
          <w:tcPr>
            <w:tcW w:w="874" w:type="dxa"/>
            <w:vAlign w:val="center"/>
          </w:tcPr>
          <w:p>
            <w:pPr>
              <w:jc w:val="center"/>
              <w:rPr>
                <w:rFonts w:ascii="宋体" w:hAnsi="宋体" w:cs="宋体"/>
                <w:color w:val="000000"/>
                <w:sz w:val="22"/>
                <w:szCs w:val="22"/>
                <w:highlight w:val="none"/>
              </w:rPr>
            </w:pPr>
            <w:r>
              <w:rPr>
                <w:rFonts w:ascii="宋体" w:hAnsi="宋体" w:cs="宋体" w:hint="eastAsia"/>
                <w:color w:val="000000"/>
                <w:sz w:val="22"/>
                <w:szCs w:val="22"/>
                <w:highlight w:val="none"/>
              </w:rPr>
              <w:t>4</w:t>
            </w:r>
          </w:p>
        </w:tc>
        <w:tc>
          <w:tcPr>
            <w:tcW w:w="1142"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1522" w:type="dxa"/>
            <w:vAlign w:val="center"/>
          </w:tcPr>
          <w:p>
            <w:pPr>
              <w:rPr>
                <w:rFonts w:ascii="宋体" w:hAnsi="宋体" w:cs="宋体"/>
                <w:color w:val="000000"/>
                <w:sz w:val="22"/>
                <w:szCs w:val="22"/>
                <w:highlight w:val="none"/>
              </w:rPr>
            </w:pPr>
          </w:p>
        </w:tc>
        <w:tc>
          <w:tcPr>
            <w:tcW w:w="1712" w:type="dxa"/>
            <w:vAlign w:val="center"/>
          </w:tcPr>
          <w:p>
            <w:pPr>
              <w:rPr>
                <w:rFonts w:ascii="宋体" w:hAnsi="宋体" w:cs="宋体"/>
                <w:color w:val="000000"/>
                <w:sz w:val="22"/>
                <w:szCs w:val="22"/>
                <w:highlight w:val="none"/>
              </w:rPr>
            </w:pPr>
          </w:p>
        </w:tc>
      </w:tr>
    </w:tbl>
    <w:p>
      <w:pPr>
        <w:spacing w:line="300" w:lineRule="auto"/>
        <w:rPr>
          <w:rFonts w:ascii="宋体" w:hAnsi="宋体" w:cs="宋体"/>
          <w:b/>
          <w:color w:val="000000"/>
          <w:szCs w:val="21"/>
          <w:highlight w:val="none"/>
        </w:rPr>
      </w:pPr>
      <w:r>
        <w:rPr>
          <w:rFonts w:ascii="宋体" w:hAnsi="宋体" w:cs="宋体" w:hint="eastAsia"/>
          <w:b/>
          <w:color w:val="000000"/>
          <w:szCs w:val="21"/>
          <w:highlight w:val="none"/>
        </w:rPr>
        <w:t>备注：</w:t>
      </w:r>
    </w:p>
    <w:p>
      <w:pPr>
        <w:spacing w:line="300" w:lineRule="auto"/>
        <w:rPr>
          <w:rFonts w:ascii="宋体" w:hAnsi="宋体" w:cs="宋体"/>
          <w:b/>
          <w:color w:val="000000"/>
          <w:szCs w:val="21"/>
          <w:highlight w:val="none"/>
          <w:shd w:val="pct10" w:color="auto" w:fill="FFFFFF"/>
        </w:rPr>
      </w:pPr>
      <w:r>
        <w:rPr>
          <w:rFonts w:ascii="宋体" w:hAnsi="宋体" w:cs="宋体" w:hint="eastAsia"/>
          <w:color w:val="000000"/>
          <w:szCs w:val="21"/>
          <w:highlight w:val="none"/>
        </w:rPr>
        <w:t>1. “招标商务要求”一栏应</w:t>
      </w:r>
      <w:r>
        <w:rPr>
          <w:rFonts w:ascii="宋体" w:hAnsi="宋体" w:cs="宋体" w:hint="eastAsia"/>
          <w:b/>
          <w:color w:val="000000"/>
          <w:szCs w:val="21"/>
          <w:highlight w:val="none"/>
        </w:rPr>
        <w:t>填写招标文件第二章</w:t>
      </w:r>
      <w:r>
        <w:rPr>
          <w:rFonts w:ascii="宋体" w:hAnsi="宋体" w:cs="宋体" w:hint="eastAsia"/>
          <w:color w:val="000000"/>
          <w:szCs w:val="21"/>
          <w:highlight w:val="none"/>
        </w:rPr>
        <w:t>“商务部分”的内容进行填写；</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2.“投标商务条款”一栏必须详细填写投标商务条款的内容。</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3. “偏离情况”栏中应如实填写“正偏离”、“负偏离”或“无偏离”。</w:t>
      </w:r>
    </w:p>
    <w:p>
      <w:pPr>
        <w:spacing w:line="300" w:lineRule="auto"/>
        <w:rPr>
          <w:rFonts w:ascii="宋体" w:hAnsi="宋体" w:cs="宋体" w:hint="eastAsia"/>
          <w:color w:val="000000"/>
          <w:szCs w:val="21"/>
          <w:highlight w:val="none"/>
        </w:rPr>
      </w:pPr>
      <w:r>
        <w:rPr>
          <w:rFonts w:ascii="宋体" w:hAnsi="宋体" w:cs="宋体" w:hint="eastAsia"/>
          <w:color w:val="000000"/>
          <w:szCs w:val="21"/>
          <w:highlight w:val="none"/>
        </w:rPr>
        <w:t>4. 交货期条款为不可负偏离条款，投标文件响应为“负偏离”的，投标文件将按无效投标处理。</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5、证明资料（均为扫描件）的提供要求：如商务部分要求投标人提供证明材料或承诺须附与本表后。</w:t>
      </w:r>
    </w:p>
    <w:p>
      <w:pPr>
        <w:spacing w:line="300" w:lineRule="auto"/>
        <w:rPr>
          <w:rFonts w:ascii="宋体" w:hAnsi="宋体" w:cs="宋体"/>
          <w:color w:val="000000"/>
          <w:szCs w:val="21"/>
          <w:highlight w:val="none"/>
        </w:rPr>
      </w:pP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投标人代表：_____________________________</w:t>
      </w: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投标人名称：_____________________________</w:t>
      </w:r>
    </w:p>
    <w:p>
      <w:pPr>
        <w:tabs>
          <w:tab w:val="left" w:pos="3138"/>
          <w:tab w:val="right" w:pos="9642"/>
        </w:tabs>
        <w:snapToGrid w:val="0"/>
        <w:spacing w:line="360" w:lineRule="exact"/>
        <w:ind w:right="105" w:firstLine="560"/>
        <w:jc w:val="left"/>
        <w:rPr>
          <w:rFonts w:ascii="宋体" w:hAnsi="宋体" w:cs="宋体"/>
          <w:color w:val="000000"/>
          <w:szCs w:val="21"/>
          <w:highlight w:val="none"/>
          <w:u w:val="single"/>
        </w:rPr>
      </w:pPr>
      <w:r>
        <w:rPr>
          <w:rFonts w:ascii="宋体" w:hAnsi="宋体" w:cs="宋体"/>
          <w:b/>
          <w:bCs/>
          <w:color w:val="000000"/>
          <w:szCs w:val="21"/>
          <w:highlight w:val="none"/>
        </w:rPr>
        <w:tab/>
      </w:r>
      <w:r>
        <w:rPr>
          <w:rFonts w:ascii="宋体" w:hAnsi="宋体" w:cs="宋体"/>
          <w:b/>
          <w:bCs/>
          <w:color w:val="000000"/>
          <w:szCs w:val="21"/>
          <w:highlight w:val="none"/>
        </w:rPr>
        <w:tab/>
      </w:r>
      <w:r>
        <w:rPr>
          <w:rFonts w:ascii="宋体" w:hAnsi="宋体" w:cs="宋体" w:hint="eastAsia"/>
          <w:b/>
          <w:bCs/>
          <w:color w:val="000000"/>
          <w:szCs w:val="21"/>
          <w:highlight w:val="none"/>
        </w:rPr>
        <w:t>日期：____________________________</w:t>
      </w:r>
    </w:p>
    <w:p>
      <w:pPr>
        <w:snapToGrid w:val="0"/>
        <w:spacing w:line="360" w:lineRule="exact"/>
        <w:ind w:firstLine="525" w:firstLineChars="250"/>
        <w:jc w:val="right"/>
        <w:rPr>
          <w:rFonts w:ascii="宋体" w:hAnsi="宋体" w:cs="宋体" w:hint="eastAsia"/>
          <w:b/>
          <w:bCs/>
          <w:color w:val="000000"/>
          <w:szCs w:val="21"/>
          <w:highlight w:val="none"/>
        </w:rPr>
      </w:pPr>
    </w:p>
    <w:p>
      <w:pPr>
        <w:snapToGrid w:val="0"/>
        <w:spacing w:line="360" w:lineRule="exact"/>
        <w:ind w:firstLine="525" w:firstLineChars="250"/>
        <w:jc w:val="right"/>
        <w:rPr>
          <w:rFonts w:ascii="宋体" w:hAnsi="宋体" w:cs="宋体" w:hint="eastAsia"/>
          <w:b/>
          <w:bCs/>
          <w:color w:val="000000"/>
          <w:szCs w:val="21"/>
          <w:highlight w:val="none"/>
        </w:rPr>
      </w:pPr>
    </w:p>
    <w:p>
      <w:pPr>
        <w:pStyle w:val="Heading3"/>
        <w:spacing w:line="300" w:lineRule="auto"/>
        <w:jc w:val="center"/>
        <w:rPr>
          <w:rFonts w:cs="宋体"/>
          <w:color w:val="000000"/>
          <w:sz w:val="24"/>
          <w:highlight w:val="none"/>
        </w:rPr>
      </w:pPr>
      <w:r>
        <w:rPr>
          <w:rFonts w:cs="宋体" w:hint="eastAsia"/>
          <w:color w:val="000000"/>
          <w:sz w:val="24"/>
          <w:highlight w:val="none"/>
        </w:rPr>
        <w:t>七、货物说明一览表</w:t>
      </w:r>
    </w:p>
    <w:p>
      <w:pPr>
        <w:spacing w:after="60" w:line="360" w:lineRule="exact"/>
        <w:ind w:firstLine="210" w:firstLineChars="100"/>
        <w:jc w:val="center"/>
        <w:rPr>
          <w:rFonts w:ascii="宋体" w:hAnsi="宋体" w:cs="宋体"/>
          <w:b/>
          <w:color w:val="000000"/>
          <w:highlight w:val="none"/>
        </w:rPr>
      </w:pPr>
      <w:r>
        <w:rPr>
          <w:rFonts w:ascii="宋体" w:hAnsi="宋体" w:cs="宋体" w:hint="eastAsia"/>
          <w:b/>
          <w:color w:val="000000"/>
          <w:highlight w:val="none"/>
        </w:rPr>
        <w:t>投标人名称__________________                          项目编号____________________</w:t>
      </w:r>
    </w:p>
    <w:tbl>
      <w:tblPr>
        <w:tblStyle w:val="TableNormal"/>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842"/>
        <w:gridCol w:w="942"/>
        <w:gridCol w:w="1285"/>
        <w:gridCol w:w="1188"/>
        <w:gridCol w:w="788"/>
        <w:gridCol w:w="749"/>
        <w:gridCol w:w="762"/>
        <w:gridCol w:w="1142"/>
        <w:gridCol w:w="915"/>
        <w:gridCol w:w="1276"/>
        <w:gridCol w:w="26"/>
      </w:tblGrid>
      <w:tr>
        <w:tblPrEx>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302"/>
          <w:jc w:val="center"/>
        </w:trPr>
        <w:tc>
          <w:tcPr>
            <w:tcW w:w="842"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包号</w:t>
            </w:r>
          </w:p>
        </w:tc>
        <w:tc>
          <w:tcPr>
            <w:tcW w:w="942" w:type="dxa"/>
            <w:vAlign w:val="center"/>
          </w:tcPr>
          <w:p>
            <w:pPr>
              <w:spacing w:line="300" w:lineRule="auto"/>
              <w:jc w:val="center"/>
              <w:rPr>
                <w:rFonts w:ascii="宋体" w:hAnsi="宋体" w:cs="宋体" w:hint="eastAsia"/>
                <w:color w:val="000000"/>
                <w:sz w:val="24"/>
                <w:highlight w:val="none"/>
              </w:rPr>
            </w:pPr>
            <w:r>
              <w:rPr>
                <w:rFonts w:ascii="宋体" w:hAnsi="宋体" w:cs="宋体" w:hint="eastAsia"/>
                <w:color w:val="000000"/>
                <w:sz w:val="24"/>
                <w:highlight w:val="none"/>
              </w:rPr>
              <w:t>序号</w:t>
            </w:r>
          </w:p>
        </w:tc>
        <w:tc>
          <w:tcPr>
            <w:tcW w:w="1285"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货物</w:t>
            </w:r>
          </w:p>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名称</w:t>
            </w:r>
          </w:p>
        </w:tc>
        <w:tc>
          <w:tcPr>
            <w:tcW w:w="1188"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制造商名称</w:t>
            </w:r>
          </w:p>
        </w:tc>
        <w:tc>
          <w:tcPr>
            <w:tcW w:w="788"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品牌</w:t>
            </w:r>
          </w:p>
        </w:tc>
        <w:tc>
          <w:tcPr>
            <w:tcW w:w="749"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型号</w:t>
            </w:r>
          </w:p>
        </w:tc>
        <w:tc>
          <w:tcPr>
            <w:tcW w:w="762"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数量</w:t>
            </w:r>
          </w:p>
        </w:tc>
        <w:tc>
          <w:tcPr>
            <w:tcW w:w="1142"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交货期</w:t>
            </w:r>
          </w:p>
        </w:tc>
        <w:tc>
          <w:tcPr>
            <w:tcW w:w="915"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交货地点</w:t>
            </w:r>
          </w:p>
        </w:tc>
        <w:tc>
          <w:tcPr>
            <w:tcW w:w="1302" w:type="dxa"/>
            <w:gridSpan w:val="2"/>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是否属于进口产品</w:t>
            </w:r>
          </w:p>
        </w:tc>
      </w:tr>
      <w:tr>
        <w:tblPrEx>
          <w:tblW w:w="9915" w:type="dxa"/>
          <w:jc w:val="center"/>
          <w:tblLayout w:type="fixed"/>
          <w:tblCellMar>
            <w:top w:w="0" w:type="dxa"/>
            <w:left w:w="108" w:type="dxa"/>
            <w:bottom w:w="0" w:type="dxa"/>
            <w:right w:w="108" w:type="dxa"/>
          </w:tblCellMar>
          <w:tblLook w:val="0000"/>
        </w:tblPrEx>
        <w:trPr>
          <w:gridAfter w:val="1"/>
          <w:wAfter w:w="26" w:type="dxa"/>
          <w:trHeight w:val="267"/>
          <w:jc w:val="center"/>
        </w:trPr>
        <w:tc>
          <w:tcPr>
            <w:tcW w:w="842" w:type="dxa"/>
          </w:tcPr>
          <w:p>
            <w:pPr>
              <w:spacing w:line="300" w:lineRule="auto"/>
              <w:rPr>
                <w:rFonts w:ascii="宋体" w:hAnsi="宋体" w:cs="宋体"/>
                <w:color w:val="000000"/>
                <w:sz w:val="24"/>
                <w:highlight w:val="none"/>
              </w:rPr>
            </w:pPr>
          </w:p>
        </w:tc>
        <w:tc>
          <w:tcPr>
            <w:tcW w:w="942" w:type="dxa"/>
          </w:tcPr>
          <w:p>
            <w:pPr>
              <w:spacing w:line="300" w:lineRule="auto"/>
              <w:rPr>
                <w:rFonts w:ascii="宋体" w:hAnsi="宋体" w:cs="宋体"/>
                <w:color w:val="000000"/>
                <w:sz w:val="24"/>
                <w:highlight w:val="none"/>
              </w:rPr>
            </w:pPr>
          </w:p>
        </w:tc>
        <w:tc>
          <w:tcPr>
            <w:tcW w:w="1285" w:type="dxa"/>
          </w:tcPr>
          <w:p>
            <w:pPr>
              <w:spacing w:line="300" w:lineRule="auto"/>
              <w:rPr>
                <w:rFonts w:ascii="宋体" w:hAnsi="宋体" w:cs="宋体"/>
                <w:color w:val="000000"/>
                <w:sz w:val="24"/>
                <w:highlight w:val="none"/>
              </w:rPr>
            </w:pPr>
          </w:p>
        </w:tc>
        <w:tc>
          <w:tcPr>
            <w:tcW w:w="1188" w:type="dxa"/>
          </w:tcPr>
          <w:p>
            <w:pPr>
              <w:spacing w:line="300" w:lineRule="auto"/>
              <w:rPr>
                <w:rFonts w:ascii="宋体" w:hAnsi="宋体" w:cs="宋体"/>
                <w:color w:val="000000"/>
                <w:sz w:val="24"/>
                <w:highlight w:val="none"/>
              </w:rPr>
            </w:pPr>
          </w:p>
        </w:tc>
        <w:tc>
          <w:tcPr>
            <w:tcW w:w="788" w:type="dxa"/>
          </w:tcPr>
          <w:p>
            <w:pPr>
              <w:spacing w:line="300" w:lineRule="auto"/>
              <w:rPr>
                <w:rFonts w:ascii="宋体" w:hAnsi="宋体" w:cs="宋体"/>
                <w:color w:val="000000"/>
                <w:sz w:val="24"/>
                <w:highlight w:val="none"/>
              </w:rPr>
            </w:pPr>
          </w:p>
        </w:tc>
        <w:tc>
          <w:tcPr>
            <w:tcW w:w="749" w:type="dxa"/>
          </w:tcPr>
          <w:p>
            <w:pPr>
              <w:spacing w:line="300" w:lineRule="auto"/>
              <w:rPr>
                <w:rFonts w:ascii="宋体" w:hAnsi="宋体" w:cs="宋体"/>
                <w:color w:val="000000"/>
                <w:sz w:val="24"/>
                <w:highlight w:val="none"/>
              </w:rPr>
            </w:pPr>
          </w:p>
        </w:tc>
        <w:tc>
          <w:tcPr>
            <w:tcW w:w="762" w:type="dxa"/>
          </w:tcPr>
          <w:p>
            <w:pPr>
              <w:spacing w:line="300" w:lineRule="auto"/>
              <w:rPr>
                <w:rFonts w:ascii="宋体" w:hAnsi="宋体" w:cs="宋体"/>
                <w:color w:val="000000"/>
                <w:sz w:val="24"/>
                <w:highlight w:val="none"/>
              </w:rPr>
            </w:pPr>
          </w:p>
        </w:tc>
        <w:tc>
          <w:tcPr>
            <w:tcW w:w="1142" w:type="dxa"/>
          </w:tcPr>
          <w:p>
            <w:pPr>
              <w:spacing w:line="300" w:lineRule="auto"/>
              <w:rPr>
                <w:rFonts w:ascii="宋体" w:hAnsi="宋体" w:cs="宋体"/>
                <w:color w:val="000000"/>
                <w:sz w:val="24"/>
                <w:highlight w:val="none"/>
              </w:rPr>
            </w:pPr>
          </w:p>
        </w:tc>
        <w:tc>
          <w:tcPr>
            <w:tcW w:w="915" w:type="dxa"/>
          </w:tcPr>
          <w:p>
            <w:pPr>
              <w:spacing w:line="300" w:lineRule="auto"/>
              <w:rPr>
                <w:rFonts w:ascii="宋体" w:hAnsi="宋体" w:cs="宋体"/>
                <w:color w:val="000000"/>
                <w:sz w:val="24"/>
                <w:highlight w:val="none"/>
              </w:rPr>
            </w:pPr>
          </w:p>
        </w:tc>
        <w:tc>
          <w:tcPr>
            <w:tcW w:w="1276" w:type="dxa"/>
          </w:tcPr>
          <w:p>
            <w:pPr>
              <w:spacing w:line="300" w:lineRule="auto"/>
              <w:rPr>
                <w:rFonts w:ascii="宋体" w:hAnsi="宋体" w:cs="宋体"/>
                <w:color w:val="000000"/>
                <w:sz w:val="24"/>
                <w:highlight w:val="none"/>
              </w:rPr>
            </w:pPr>
          </w:p>
        </w:tc>
      </w:tr>
      <w:tr>
        <w:tblPrEx>
          <w:tblW w:w="9915" w:type="dxa"/>
          <w:jc w:val="center"/>
          <w:tblLayout w:type="fixed"/>
          <w:tblCellMar>
            <w:top w:w="0" w:type="dxa"/>
            <w:left w:w="108" w:type="dxa"/>
            <w:bottom w:w="0" w:type="dxa"/>
            <w:right w:w="108" w:type="dxa"/>
          </w:tblCellMar>
          <w:tblLook w:val="0000"/>
        </w:tblPrEx>
        <w:trPr>
          <w:gridAfter w:val="1"/>
          <w:wAfter w:w="26" w:type="dxa"/>
          <w:trHeight w:val="267"/>
          <w:jc w:val="center"/>
        </w:trPr>
        <w:tc>
          <w:tcPr>
            <w:tcW w:w="842" w:type="dxa"/>
          </w:tcPr>
          <w:p>
            <w:pPr>
              <w:spacing w:line="300" w:lineRule="auto"/>
              <w:rPr>
                <w:rFonts w:ascii="宋体" w:hAnsi="宋体" w:cs="宋体"/>
                <w:color w:val="000000"/>
                <w:sz w:val="24"/>
                <w:highlight w:val="none"/>
              </w:rPr>
            </w:pPr>
          </w:p>
        </w:tc>
        <w:tc>
          <w:tcPr>
            <w:tcW w:w="942" w:type="dxa"/>
          </w:tcPr>
          <w:p>
            <w:pPr>
              <w:spacing w:line="300" w:lineRule="auto"/>
              <w:rPr>
                <w:rFonts w:ascii="宋体" w:hAnsi="宋体" w:cs="宋体"/>
                <w:color w:val="000000"/>
                <w:sz w:val="24"/>
                <w:highlight w:val="none"/>
              </w:rPr>
            </w:pPr>
          </w:p>
        </w:tc>
        <w:tc>
          <w:tcPr>
            <w:tcW w:w="1285" w:type="dxa"/>
          </w:tcPr>
          <w:p>
            <w:pPr>
              <w:spacing w:line="300" w:lineRule="auto"/>
              <w:rPr>
                <w:rFonts w:ascii="宋体" w:hAnsi="宋体" w:cs="宋体"/>
                <w:color w:val="000000"/>
                <w:sz w:val="24"/>
                <w:highlight w:val="none"/>
              </w:rPr>
            </w:pPr>
          </w:p>
        </w:tc>
        <w:tc>
          <w:tcPr>
            <w:tcW w:w="1188" w:type="dxa"/>
          </w:tcPr>
          <w:p>
            <w:pPr>
              <w:spacing w:line="300" w:lineRule="auto"/>
              <w:rPr>
                <w:rFonts w:ascii="宋体" w:hAnsi="宋体" w:cs="宋体"/>
                <w:color w:val="000000"/>
                <w:sz w:val="24"/>
                <w:highlight w:val="none"/>
              </w:rPr>
            </w:pPr>
          </w:p>
        </w:tc>
        <w:tc>
          <w:tcPr>
            <w:tcW w:w="788" w:type="dxa"/>
          </w:tcPr>
          <w:p>
            <w:pPr>
              <w:spacing w:line="300" w:lineRule="auto"/>
              <w:rPr>
                <w:rFonts w:ascii="宋体" w:hAnsi="宋体" w:cs="宋体"/>
                <w:color w:val="000000"/>
                <w:sz w:val="24"/>
                <w:highlight w:val="none"/>
              </w:rPr>
            </w:pPr>
          </w:p>
        </w:tc>
        <w:tc>
          <w:tcPr>
            <w:tcW w:w="749" w:type="dxa"/>
          </w:tcPr>
          <w:p>
            <w:pPr>
              <w:spacing w:line="300" w:lineRule="auto"/>
              <w:rPr>
                <w:rFonts w:ascii="宋体" w:hAnsi="宋体" w:cs="宋体"/>
                <w:color w:val="000000"/>
                <w:sz w:val="24"/>
                <w:highlight w:val="none"/>
              </w:rPr>
            </w:pPr>
          </w:p>
        </w:tc>
        <w:tc>
          <w:tcPr>
            <w:tcW w:w="762" w:type="dxa"/>
          </w:tcPr>
          <w:p>
            <w:pPr>
              <w:spacing w:line="300" w:lineRule="auto"/>
              <w:rPr>
                <w:rFonts w:ascii="宋体" w:hAnsi="宋体" w:cs="宋体"/>
                <w:color w:val="000000"/>
                <w:sz w:val="24"/>
                <w:highlight w:val="none"/>
              </w:rPr>
            </w:pPr>
          </w:p>
        </w:tc>
        <w:tc>
          <w:tcPr>
            <w:tcW w:w="1142" w:type="dxa"/>
          </w:tcPr>
          <w:p>
            <w:pPr>
              <w:spacing w:line="300" w:lineRule="auto"/>
              <w:rPr>
                <w:rFonts w:ascii="宋体" w:hAnsi="宋体" w:cs="宋体"/>
                <w:color w:val="000000"/>
                <w:sz w:val="24"/>
                <w:highlight w:val="none"/>
              </w:rPr>
            </w:pPr>
          </w:p>
        </w:tc>
        <w:tc>
          <w:tcPr>
            <w:tcW w:w="915" w:type="dxa"/>
          </w:tcPr>
          <w:p>
            <w:pPr>
              <w:spacing w:line="300" w:lineRule="auto"/>
              <w:rPr>
                <w:rFonts w:ascii="宋体" w:hAnsi="宋体" w:cs="宋体"/>
                <w:color w:val="000000"/>
                <w:sz w:val="24"/>
                <w:highlight w:val="none"/>
              </w:rPr>
            </w:pPr>
          </w:p>
        </w:tc>
        <w:tc>
          <w:tcPr>
            <w:tcW w:w="1276" w:type="dxa"/>
          </w:tcPr>
          <w:p>
            <w:pPr>
              <w:spacing w:line="300" w:lineRule="auto"/>
              <w:rPr>
                <w:rFonts w:ascii="宋体" w:hAnsi="宋体" w:cs="宋体"/>
                <w:color w:val="000000"/>
                <w:sz w:val="24"/>
                <w:highlight w:val="none"/>
              </w:rPr>
            </w:pPr>
          </w:p>
        </w:tc>
      </w:tr>
      <w:tr>
        <w:tblPrEx>
          <w:tblW w:w="9915" w:type="dxa"/>
          <w:jc w:val="center"/>
          <w:tblLayout w:type="fixed"/>
          <w:tblCellMar>
            <w:top w:w="0" w:type="dxa"/>
            <w:left w:w="108" w:type="dxa"/>
            <w:bottom w:w="0" w:type="dxa"/>
            <w:right w:w="108" w:type="dxa"/>
          </w:tblCellMar>
          <w:tblLook w:val="0000"/>
        </w:tblPrEx>
        <w:trPr>
          <w:gridAfter w:val="1"/>
          <w:wAfter w:w="26" w:type="dxa"/>
          <w:trHeight w:val="267"/>
          <w:jc w:val="center"/>
        </w:trPr>
        <w:tc>
          <w:tcPr>
            <w:tcW w:w="842" w:type="dxa"/>
          </w:tcPr>
          <w:p>
            <w:pPr>
              <w:spacing w:line="300" w:lineRule="auto"/>
              <w:rPr>
                <w:rFonts w:ascii="宋体" w:hAnsi="宋体" w:cs="宋体"/>
                <w:color w:val="000000"/>
                <w:sz w:val="24"/>
                <w:highlight w:val="none"/>
              </w:rPr>
            </w:pPr>
          </w:p>
        </w:tc>
        <w:tc>
          <w:tcPr>
            <w:tcW w:w="942" w:type="dxa"/>
          </w:tcPr>
          <w:p>
            <w:pPr>
              <w:spacing w:line="300" w:lineRule="auto"/>
              <w:rPr>
                <w:rFonts w:ascii="宋体" w:hAnsi="宋体" w:cs="宋体"/>
                <w:color w:val="000000"/>
                <w:sz w:val="24"/>
                <w:highlight w:val="none"/>
              </w:rPr>
            </w:pPr>
          </w:p>
        </w:tc>
        <w:tc>
          <w:tcPr>
            <w:tcW w:w="1285" w:type="dxa"/>
          </w:tcPr>
          <w:p>
            <w:pPr>
              <w:spacing w:line="300" w:lineRule="auto"/>
              <w:rPr>
                <w:rFonts w:ascii="宋体" w:hAnsi="宋体" w:cs="宋体"/>
                <w:color w:val="000000"/>
                <w:sz w:val="24"/>
                <w:highlight w:val="none"/>
              </w:rPr>
            </w:pPr>
          </w:p>
        </w:tc>
        <w:tc>
          <w:tcPr>
            <w:tcW w:w="1188" w:type="dxa"/>
          </w:tcPr>
          <w:p>
            <w:pPr>
              <w:spacing w:line="300" w:lineRule="auto"/>
              <w:rPr>
                <w:rFonts w:ascii="宋体" w:hAnsi="宋体" w:cs="宋体"/>
                <w:color w:val="000000"/>
                <w:sz w:val="24"/>
                <w:highlight w:val="none"/>
              </w:rPr>
            </w:pPr>
          </w:p>
        </w:tc>
        <w:tc>
          <w:tcPr>
            <w:tcW w:w="788" w:type="dxa"/>
          </w:tcPr>
          <w:p>
            <w:pPr>
              <w:spacing w:line="300" w:lineRule="auto"/>
              <w:rPr>
                <w:rFonts w:ascii="宋体" w:hAnsi="宋体" w:cs="宋体"/>
                <w:color w:val="000000"/>
                <w:sz w:val="24"/>
                <w:highlight w:val="none"/>
              </w:rPr>
            </w:pPr>
          </w:p>
        </w:tc>
        <w:tc>
          <w:tcPr>
            <w:tcW w:w="749" w:type="dxa"/>
          </w:tcPr>
          <w:p>
            <w:pPr>
              <w:spacing w:line="300" w:lineRule="auto"/>
              <w:rPr>
                <w:rFonts w:ascii="宋体" w:hAnsi="宋体" w:cs="宋体"/>
                <w:color w:val="000000"/>
                <w:sz w:val="24"/>
                <w:highlight w:val="none"/>
              </w:rPr>
            </w:pPr>
          </w:p>
        </w:tc>
        <w:tc>
          <w:tcPr>
            <w:tcW w:w="762" w:type="dxa"/>
          </w:tcPr>
          <w:p>
            <w:pPr>
              <w:spacing w:line="300" w:lineRule="auto"/>
              <w:rPr>
                <w:rFonts w:ascii="宋体" w:hAnsi="宋体" w:cs="宋体"/>
                <w:color w:val="000000"/>
                <w:sz w:val="24"/>
                <w:highlight w:val="none"/>
              </w:rPr>
            </w:pPr>
          </w:p>
        </w:tc>
        <w:tc>
          <w:tcPr>
            <w:tcW w:w="1142" w:type="dxa"/>
          </w:tcPr>
          <w:p>
            <w:pPr>
              <w:spacing w:line="300" w:lineRule="auto"/>
              <w:rPr>
                <w:rFonts w:ascii="宋体" w:hAnsi="宋体" w:cs="宋体"/>
                <w:color w:val="000000"/>
                <w:sz w:val="24"/>
                <w:highlight w:val="none"/>
              </w:rPr>
            </w:pPr>
          </w:p>
        </w:tc>
        <w:tc>
          <w:tcPr>
            <w:tcW w:w="915" w:type="dxa"/>
          </w:tcPr>
          <w:p>
            <w:pPr>
              <w:spacing w:line="300" w:lineRule="auto"/>
              <w:rPr>
                <w:rFonts w:ascii="宋体" w:hAnsi="宋体" w:cs="宋体"/>
                <w:color w:val="000000"/>
                <w:sz w:val="24"/>
                <w:highlight w:val="none"/>
              </w:rPr>
            </w:pPr>
          </w:p>
        </w:tc>
        <w:tc>
          <w:tcPr>
            <w:tcW w:w="1276" w:type="dxa"/>
          </w:tcPr>
          <w:p>
            <w:pPr>
              <w:spacing w:line="300" w:lineRule="auto"/>
              <w:rPr>
                <w:rFonts w:ascii="宋体" w:hAnsi="宋体" w:cs="宋体"/>
                <w:color w:val="000000"/>
                <w:sz w:val="24"/>
                <w:highlight w:val="none"/>
              </w:rPr>
            </w:pPr>
          </w:p>
        </w:tc>
      </w:tr>
      <w:tr>
        <w:tblPrEx>
          <w:tblW w:w="9915" w:type="dxa"/>
          <w:jc w:val="center"/>
          <w:tblLayout w:type="fixed"/>
          <w:tblCellMar>
            <w:top w:w="0" w:type="dxa"/>
            <w:left w:w="108" w:type="dxa"/>
            <w:bottom w:w="0" w:type="dxa"/>
            <w:right w:w="108" w:type="dxa"/>
          </w:tblCellMar>
          <w:tblLook w:val="0000"/>
        </w:tblPrEx>
        <w:trPr>
          <w:gridAfter w:val="1"/>
          <w:wAfter w:w="26" w:type="dxa"/>
          <w:trHeight w:val="267"/>
          <w:jc w:val="center"/>
        </w:trPr>
        <w:tc>
          <w:tcPr>
            <w:tcW w:w="842" w:type="dxa"/>
          </w:tcPr>
          <w:p>
            <w:pPr>
              <w:spacing w:line="300" w:lineRule="auto"/>
              <w:rPr>
                <w:rFonts w:ascii="宋体" w:hAnsi="宋体" w:cs="宋体"/>
                <w:color w:val="000000"/>
                <w:sz w:val="24"/>
                <w:highlight w:val="none"/>
              </w:rPr>
            </w:pPr>
          </w:p>
        </w:tc>
        <w:tc>
          <w:tcPr>
            <w:tcW w:w="942" w:type="dxa"/>
          </w:tcPr>
          <w:p>
            <w:pPr>
              <w:spacing w:line="300" w:lineRule="auto"/>
              <w:rPr>
                <w:rFonts w:ascii="宋体" w:hAnsi="宋体" w:cs="宋体"/>
                <w:color w:val="000000"/>
                <w:sz w:val="24"/>
                <w:highlight w:val="none"/>
              </w:rPr>
            </w:pPr>
          </w:p>
        </w:tc>
        <w:tc>
          <w:tcPr>
            <w:tcW w:w="1285" w:type="dxa"/>
          </w:tcPr>
          <w:p>
            <w:pPr>
              <w:spacing w:line="300" w:lineRule="auto"/>
              <w:rPr>
                <w:rFonts w:ascii="宋体" w:hAnsi="宋体" w:cs="宋体"/>
                <w:color w:val="000000"/>
                <w:sz w:val="24"/>
                <w:highlight w:val="none"/>
              </w:rPr>
            </w:pPr>
          </w:p>
        </w:tc>
        <w:tc>
          <w:tcPr>
            <w:tcW w:w="1188" w:type="dxa"/>
          </w:tcPr>
          <w:p>
            <w:pPr>
              <w:spacing w:line="300" w:lineRule="auto"/>
              <w:rPr>
                <w:rFonts w:ascii="宋体" w:hAnsi="宋体" w:cs="宋体"/>
                <w:color w:val="000000"/>
                <w:sz w:val="24"/>
                <w:highlight w:val="none"/>
              </w:rPr>
            </w:pPr>
          </w:p>
        </w:tc>
        <w:tc>
          <w:tcPr>
            <w:tcW w:w="788" w:type="dxa"/>
          </w:tcPr>
          <w:p>
            <w:pPr>
              <w:spacing w:line="300" w:lineRule="auto"/>
              <w:rPr>
                <w:rFonts w:ascii="宋体" w:hAnsi="宋体" w:cs="宋体"/>
                <w:color w:val="000000"/>
                <w:sz w:val="24"/>
                <w:highlight w:val="none"/>
              </w:rPr>
            </w:pPr>
          </w:p>
        </w:tc>
        <w:tc>
          <w:tcPr>
            <w:tcW w:w="749" w:type="dxa"/>
          </w:tcPr>
          <w:p>
            <w:pPr>
              <w:spacing w:line="300" w:lineRule="auto"/>
              <w:rPr>
                <w:rFonts w:ascii="宋体" w:hAnsi="宋体" w:cs="宋体"/>
                <w:color w:val="000000"/>
                <w:sz w:val="24"/>
                <w:highlight w:val="none"/>
              </w:rPr>
            </w:pPr>
          </w:p>
        </w:tc>
        <w:tc>
          <w:tcPr>
            <w:tcW w:w="762" w:type="dxa"/>
          </w:tcPr>
          <w:p>
            <w:pPr>
              <w:spacing w:line="300" w:lineRule="auto"/>
              <w:rPr>
                <w:rFonts w:ascii="宋体" w:hAnsi="宋体" w:cs="宋体"/>
                <w:color w:val="000000"/>
                <w:sz w:val="24"/>
                <w:highlight w:val="none"/>
              </w:rPr>
            </w:pPr>
          </w:p>
        </w:tc>
        <w:tc>
          <w:tcPr>
            <w:tcW w:w="1142" w:type="dxa"/>
          </w:tcPr>
          <w:p>
            <w:pPr>
              <w:spacing w:line="300" w:lineRule="auto"/>
              <w:rPr>
                <w:rFonts w:ascii="宋体" w:hAnsi="宋体" w:cs="宋体"/>
                <w:color w:val="000000"/>
                <w:sz w:val="24"/>
                <w:highlight w:val="none"/>
              </w:rPr>
            </w:pPr>
          </w:p>
        </w:tc>
        <w:tc>
          <w:tcPr>
            <w:tcW w:w="915" w:type="dxa"/>
          </w:tcPr>
          <w:p>
            <w:pPr>
              <w:spacing w:line="300" w:lineRule="auto"/>
              <w:rPr>
                <w:rFonts w:ascii="宋体" w:hAnsi="宋体" w:cs="宋体"/>
                <w:color w:val="000000"/>
                <w:sz w:val="24"/>
                <w:highlight w:val="none"/>
              </w:rPr>
            </w:pPr>
          </w:p>
        </w:tc>
        <w:tc>
          <w:tcPr>
            <w:tcW w:w="1276" w:type="dxa"/>
          </w:tcPr>
          <w:p>
            <w:pPr>
              <w:spacing w:line="300" w:lineRule="auto"/>
              <w:rPr>
                <w:rFonts w:ascii="宋体" w:hAnsi="宋体" w:cs="宋体"/>
                <w:color w:val="000000"/>
                <w:sz w:val="24"/>
                <w:highlight w:val="none"/>
              </w:rPr>
            </w:pPr>
          </w:p>
        </w:tc>
      </w:tr>
      <w:tr>
        <w:tblPrEx>
          <w:tblW w:w="9915" w:type="dxa"/>
          <w:jc w:val="center"/>
          <w:tblLayout w:type="fixed"/>
          <w:tblCellMar>
            <w:top w:w="0" w:type="dxa"/>
            <w:left w:w="108" w:type="dxa"/>
            <w:bottom w:w="0" w:type="dxa"/>
            <w:right w:w="108" w:type="dxa"/>
          </w:tblCellMar>
          <w:tblLook w:val="0000"/>
        </w:tblPrEx>
        <w:trPr>
          <w:gridAfter w:val="1"/>
          <w:wAfter w:w="26" w:type="dxa"/>
          <w:trHeight w:val="267"/>
          <w:jc w:val="center"/>
        </w:trPr>
        <w:tc>
          <w:tcPr>
            <w:tcW w:w="842" w:type="dxa"/>
          </w:tcPr>
          <w:p>
            <w:pPr>
              <w:spacing w:line="300" w:lineRule="auto"/>
              <w:rPr>
                <w:rFonts w:ascii="宋体" w:hAnsi="宋体" w:cs="宋体"/>
                <w:color w:val="000000"/>
                <w:sz w:val="24"/>
                <w:highlight w:val="none"/>
              </w:rPr>
            </w:pPr>
          </w:p>
        </w:tc>
        <w:tc>
          <w:tcPr>
            <w:tcW w:w="942" w:type="dxa"/>
          </w:tcPr>
          <w:p>
            <w:pPr>
              <w:spacing w:line="300" w:lineRule="auto"/>
              <w:rPr>
                <w:rFonts w:ascii="宋体" w:hAnsi="宋体" w:cs="宋体"/>
                <w:color w:val="000000"/>
                <w:sz w:val="24"/>
                <w:highlight w:val="none"/>
              </w:rPr>
            </w:pPr>
          </w:p>
        </w:tc>
        <w:tc>
          <w:tcPr>
            <w:tcW w:w="1285" w:type="dxa"/>
          </w:tcPr>
          <w:p>
            <w:pPr>
              <w:spacing w:line="300" w:lineRule="auto"/>
              <w:rPr>
                <w:rFonts w:ascii="宋体" w:hAnsi="宋体" w:cs="宋体"/>
                <w:color w:val="000000"/>
                <w:sz w:val="24"/>
                <w:highlight w:val="none"/>
              </w:rPr>
            </w:pPr>
          </w:p>
        </w:tc>
        <w:tc>
          <w:tcPr>
            <w:tcW w:w="1188" w:type="dxa"/>
          </w:tcPr>
          <w:p>
            <w:pPr>
              <w:spacing w:line="300" w:lineRule="auto"/>
              <w:rPr>
                <w:rFonts w:ascii="宋体" w:hAnsi="宋体" w:cs="宋体"/>
                <w:color w:val="000000"/>
                <w:sz w:val="24"/>
                <w:highlight w:val="none"/>
              </w:rPr>
            </w:pPr>
          </w:p>
        </w:tc>
        <w:tc>
          <w:tcPr>
            <w:tcW w:w="788" w:type="dxa"/>
          </w:tcPr>
          <w:p>
            <w:pPr>
              <w:spacing w:line="300" w:lineRule="auto"/>
              <w:rPr>
                <w:rFonts w:ascii="宋体" w:hAnsi="宋体" w:cs="宋体"/>
                <w:color w:val="000000"/>
                <w:sz w:val="24"/>
                <w:highlight w:val="none"/>
              </w:rPr>
            </w:pPr>
          </w:p>
        </w:tc>
        <w:tc>
          <w:tcPr>
            <w:tcW w:w="749" w:type="dxa"/>
          </w:tcPr>
          <w:p>
            <w:pPr>
              <w:spacing w:line="300" w:lineRule="auto"/>
              <w:rPr>
                <w:rFonts w:ascii="宋体" w:hAnsi="宋体" w:cs="宋体"/>
                <w:color w:val="000000"/>
                <w:sz w:val="24"/>
                <w:highlight w:val="none"/>
              </w:rPr>
            </w:pPr>
          </w:p>
        </w:tc>
        <w:tc>
          <w:tcPr>
            <w:tcW w:w="762" w:type="dxa"/>
          </w:tcPr>
          <w:p>
            <w:pPr>
              <w:spacing w:line="300" w:lineRule="auto"/>
              <w:rPr>
                <w:rFonts w:ascii="宋体" w:hAnsi="宋体" w:cs="宋体"/>
                <w:color w:val="000000"/>
                <w:sz w:val="24"/>
                <w:highlight w:val="none"/>
              </w:rPr>
            </w:pPr>
          </w:p>
        </w:tc>
        <w:tc>
          <w:tcPr>
            <w:tcW w:w="1142" w:type="dxa"/>
          </w:tcPr>
          <w:p>
            <w:pPr>
              <w:spacing w:line="300" w:lineRule="auto"/>
              <w:rPr>
                <w:rFonts w:ascii="宋体" w:hAnsi="宋体" w:cs="宋体"/>
                <w:color w:val="000000"/>
                <w:sz w:val="24"/>
                <w:highlight w:val="none"/>
              </w:rPr>
            </w:pPr>
          </w:p>
        </w:tc>
        <w:tc>
          <w:tcPr>
            <w:tcW w:w="915" w:type="dxa"/>
          </w:tcPr>
          <w:p>
            <w:pPr>
              <w:spacing w:line="300" w:lineRule="auto"/>
              <w:rPr>
                <w:rFonts w:ascii="宋体" w:hAnsi="宋体" w:cs="宋体"/>
                <w:color w:val="000000"/>
                <w:sz w:val="24"/>
                <w:highlight w:val="none"/>
              </w:rPr>
            </w:pPr>
          </w:p>
        </w:tc>
        <w:tc>
          <w:tcPr>
            <w:tcW w:w="1276" w:type="dxa"/>
          </w:tcPr>
          <w:p>
            <w:pPr>
              <w:spacing w:line="300" w:lineRule="auto"/>
              <w:rPr>
                <w:rFonts w:ascii="宋体" w:hAnsi="宋体" w:cs="宋体"/>
                <w:color w:val="000000"/>
                <w:sz w:val="24"/>
                <w:highlight w:val="none"/>
              </w:rPr>
            </w:pPr>
          </w:p>
        </w:tc>
      </w:tr>
      <w:tr>
        <w:tblPrEx>
          <w:tblW w:w="9915" w:type="dxa"/>
          <w:jc w:val="center"/>
          <w:tblLayout w:type="fixed"/>
          <w:tblCellMar>
            <w:top w:w="0" w:type="dxa"/>
            <w:left w:w="108" w:type="dxa"/>
            <w:bottom w:w="0" w:type="dxa"/>
            <w:right w:w="108" w:type="dxa"/>
          </w:tblCellMar>
          <w:tblLook w:val="0000"/>
        </w:tblPrEx>
        <w:trPr>
          <w:gridAfter w:val="1"/>
          <w:wAfter w:w="26" w:type="dxa"/>
          <w:trHeight w:val="267"/>
          <w:jc w:val="center"/>
        </w:trPr>
        <w:tc>
          <w:tcPr>
            <w:tcW w:w="842" w:type="dxa"/>
          </w:tcPr>
          <w:p>
            <w:pPr>
              <w:spacing w:line="300" w:lineRule="auto"/>
              <w:rPr>
                <w:rFonts w:ascii="宋体" w:hAnsi="宋体" w:cs="宋体"/>
                <w:color w:val="000000"/>
                <w:sz w:val="24"/>
                <w:highlight w:val="none"/>
              </w:rPr>
            </w:pPr>
          </w:p>
        </w:tc>
        <w:tc>
          <w:tcPr>
            <w:tcW w:w="942" w:type="dxa"/>
          </w:tcPr>
          <w:p>
            <w:pPr>
              <w:spacing w:line="300" w:lineRule="auto"/>
              <w:rPr>
                <w:rFonts w:ascii="宋体" w:hAnsi="宋体" w:cs="宋体"/>
                <w:color w:val="000000"/>
                <w:sz w:val="24"/>
                <w:highlight w:val="none"/>
              </w:rPr>
            </w:pPr>
          </w:p>
        </w:tc>
        <w:tc>
          <w:tcPr>
            <w:tcW w:w="1285" w:type="dxa"/>
          </w:tcPr>
          <w:p>
            <w:pPr>
              <w:spacing w:line="300" w:lineRule="auto"/>
              <w:rPr>
                <w:rFonts w:ascii="宋体" w:hAnsi="宋体" w:cs="宋体"/>
                <w:color w:val="000000"/>
                <w:sz w:val="24"/>
                <w:highlight w:val="none"/>
              </w:rPr>
            </w:pPr>
          </w:p>
        </w:tc>
        <w:tc>
          <w:tcPr>
            <w:tcW w:w="1188" w:type="dxa"/>
          </w:tcPr>
          <w:p>
            <w:pPr>
              <w:spacing w:line="300" w:lineRule="auto"/>
              <w:rPr>
                <w:rFonts w:ascii="宋体" w:hAnsi="宋体" w:cs="宋体"/>
                <w:color w:val="000000"/>
                <w:sz w:val="24"/>
                <w:highlight w:val="none"/>
              </w:rPr>
            </w:pPr>
          </w:p>
        </w:tc>
        <w:tc>
          <w:tcPr>
            <w:tcW w:w="788" w:type="dxa"/>
          </w:tcPr>
          <w:p>
            <w:pPr>
              <w:spacing w:line="300" w:lineRule="auto"/>
              <w:rPr>
                <w:rFonts w:ascii="宋体" w:hAnsi="宋体" w:cs="宋体"/>
                <w:color w:val="000000"/>
                <w:sz w:val="24"/>
                <w:highlight w:val="none"/>
              </w:rPr>
            </w:pPr>
          </w:p>
        </w:tc>
        <w:tc>
          <w:tcPr>
            <w:tcW w:w="749" w:type="dxa"/>
          </w:tcPr>
          <w:p>
            <w:pPr>
              <w:spacing w:line="300" w:lineRule="auto"/>
              <w:rPr>
                <w:rFonts w:ascii="宋体" w:hAnsi="宋体" w:cs="宋体"/>
                <w:color w:val="000000"/>
                <w:sz w:val="24"/>
                <w:highlight w:val="none"/>
              </w:rPr>
            </w:pPr>
          </w:p>
        </w:tc>
        <w:tc>
          <w:tcPr>
            <w:tcW w:w="762" w:type="dxa"/>
          </w:tcPr>
          <w:p>
            <w:pPr>
              <w:spacing w:line="300" w:lineRule="auto"/>
              <w:rPr>
                <w:rFonts w:ascii="宋体" w:hAnsi="宋体" w:cs="宋体"/>
                <w:color w:val="000000"/>
                <w:sz w:val="24"/>
                <w:highlight w:val="none"/>
              </w:rPr>
            </w:pPr>
          </w:p>
        </w:tc>
        <w:tc>
          <w:tcPr>
            <w:tcW w:w="1142" w:type="dxa"/>
          </w:tcPr>
          <w:p>
            <w:pPr>
              <w:spacing w:line="300" w:lineRule="auto"/>
              <w:rPr>
                <w:rFonts w:ascii="宋体" w:hAnsi="宋体" w:cs="宋体"/>
                <w:color w:val="000000"/>
                <w:sz w:val="24"/>
                <w:highlight w:val="none"/>
              </w:rPr>
            </w:pPr>
          </w:p>
        </w:tc>
        <w:tc>
          <w:tcPr>
            <w:tcW w:w="915" w:type="dxa"/>
          </w:tcPr>
          <w:p>
            <w:pPr>
              <w:spacing w:line="300" w:lineRule="auto"/>
              <w:rPr>
                <w:rFonts w:ascii="宋体" w:hAnsi="宋体" w:cs="宋体"/>
                <w:color w:val="000000"/>
                <w:sz w:val="24"/>
                <w:highlight w:val="none"/>
              </w:rPr>
            </w:pPr>
          </w:p>
        </w:tc>
        <w:tc>
          <w:tcPr>
            <w:tcW w:w="1276" w:type="dxa"/>
          </w:tcPr>
          <w:p>
            <w:pPr>
              <w:spacing w:line="300" w:lineRule="auto"/>
              <w:rPr>
                <w:rFonts w:ascii="宋体" w:hAnsi="宋体" w:cs="宋体"/>
                <w:color w:val="000000"/>
                <w:sz w:val="24"/>
                <w:highlight w:val="none"/>
              </w:rPr>
            </w:pPr>
          </w:p>
        </w:tc>
      </w:tr>
      <w:tr>
        <w:tblPrEx>
          <w:tblW w:w="9915" w:type="dxa"/>
          <w:jc w:val="center"/>
          <w:tblLayout w:type="fixed"/>
          <w:tblCellMar>
            <w:top w:w="0" w:type="dxa"/>
            <w:left w:w="108" w:type="dxa"/>
            <w:bottom w:w="0" w:type="dxa"/>
            <w:right w:w="108" w:type="dxa"/>
          </w:tblCellMar>
          <w:tblLook w:val="0000"/>
        </w:tblPrEx>
        <w:trPr>
          <w:gridAfter w:val="1"/>
          <w:wAfter w:w="26" w:type="dxa"/>
          <w:trHeight w:val="278"/>
          <w:jc w:val="center"/>
        </w:trPr>
        <w:tc>
          <w:tcPr>
            <w:tcW w:w="842" w:type="dxa"/>
          </w:tcPr>
          <w:p>
            <w:pPr>
              <w:spacing w:line="300" w:lineRule="auto"/>
              <w:rPr>
                <w:rFonts w:ascii="宋体" w:hAnsi="宋体" w:cs="宋体"/>
                <w:color w:val="000000"/>
                <w:sz w:val="24"/>
                <w:highlight w:val="none"/>
              </w:rPr>
            </w:pPr>
          </w:p>
        </w:tc>
        <w:tc>
          <w:tcPr>
            <w:tcW w:w="942" w:type="dxa"/>
          </w:tcPr>
          <w:p>
            <w:pPr>
              <w:spacing w:line="300" w:lineRule="auto"/>
              <w:rPr>
                <w:rFonts w:ascii="宋体" w:hAnsi="宋体" w:cs="宋体"/>
                <w:color w:val="000000"/>
                <w:sz w:val="24"/>
                <w:highlight w:val="none"/>
              </w:rPr>
            </w:pPr>
          </w:p>
        </w:tc>
        <w:tc>
          <w:tcPr>
            <w:tcW w:w="1285" w:type="dxa"/>
          </w:tcPr>
          <w:p>
            <w:pPr>
              <w:spacing w:line="300" w:lineRule="auto"/>
              <w:rPr>
                <w:rFonts w:ascii="宋体" w:hAnsi="宋体" w:cs="宋体"/>
                <w:color w:val="000000"/>
                <w:sz w:val="24"/>
                <w:highlight w:val="none"/>
              </w:rPr>
            </w:pPr>
          </w:p>
        </w:tc>
        <w:tc>
          <w:tcPr>
            <w:tcW w:w="1188" w:type="dxa"/>
          </w:tcPr>
          <w:p>
            <w:pPr>
              <w:spacing w:line="300" w:lineRule="auto"/>
              <w:rPr>
                <w:rFonts w:ascii="宋体" w:hAnsi="宋体" w:cs="宋体"/>
                <w:color w:val="000000"/>
                <w:sz w:val="24"/>
                <w:highlight w:val="none"/>
              </w:rPr>
            </w:pPr>
          </w:p>
        </w:tc>
        <w:tc>
          <w:tcPr>
            <w:tcW w:w="788" w:type="dxa"/>
          </w:tcPr>
          <w:p>
            <w:pPr>
              <w:spacing w:line="300" w:lineRule="auto"/>
              <w:rPr>
                <w:rFonts w:ascii="宋体" w:hAnsi="宋体" w:cs="宋体"/>
                <w:color w:val="000000"/>
                <w:sz w:val="24"/>
                <w:highlight w:val="none"/>
              </w:rPr>
            </w:pPr>
          </w:p>
        </w:tc>
        <w:tc>
          <w:tcPr>
            <w:tcW w:w="749" w:type="dxa"/>
          </w:tcPr>
          <w:p>
            <w:pPr>
              <w:spacing w:line="300" w:lineRule="auto"/>
              <w:rPr>
                <w:rFonts w:ascii="宋体" w:hAnsi="宋体" w:cs="宋体"/>
                <w:color w:val="000000"/>
                <w:sz w:val="24"/>
                <w:highlight w:val="none"/>
              </w:rPr>
            </w:pPr>
          </w:p>
        </w:tc>
        <w:tc>
          <w:tcPr>
            <w:tcW w:w="762" w:type="dxa"/>
          </w:tcPr>
          <w:p>
            <w:pPr>
              <w:spacing w:line="300" w:lineRule="auto"/>
              <w:rPr>
                <w:rFonts w:ascii="宋体" w:hAnsi="宋体" w:cs="宋体"/>
                <w:color w:val="000000"/>
                <w:sz w:val="24"/>
                <w:highlight w:val="none"/>
              </w:rPr>
            </w:pPr>
          </w:p>
        </w:tc>
        <w:tc>
          <w:tcPr>
            <w:tcW w:w="1142" w:type="dxa"/>
          </w:tcPr>
          <w:p>
            <w:pPr>
              <w:spacing w:line="300" w:lineRule="auto"/>
              <w:rPr>
                <w:rFonts w:ascii="宋体" w:hAnsi="宋体" w:cs="宋体"/>
                <w:color w:val="000000"/>
                <w:sz w:val="24"/>
                <w:highlight w:val="none"/>
              </w:rPr>
            </w:pPr>
          </w:p>
        </w:tc>
        <w:tc>
          <w:tcPr>
            <w:tcW w:w="915" w:type="dxa"/>
          </w:tcPr>
          <w:p>
            <w:pPr>
              <w:spacing w:line="300" w:lineRule="auto"/>
              <w:rPr>
                <w:rFonts w:ascii="宋体" w:hAnsi="宋体" w:cs="宋体"/>
                <w:color w:val="000000"/>
                <w:sz w:val="24"/>
                <w:highlight w:val="none"/>
              </w:rPr>
            </w:pPr>
          </w:p>
        </w:tc>
        <w:tc>
          <w:tcPr>
            <w:tcW w:w="1276" w:type="dxa"/>
          </w:tcPr>
          <w:p>
            <w:pPr>
              <w:spacing w:line="300" w:lineRule="auto"/>
              <w:rPr>
                <w:rFonts w:ascii="宋体" w:hAnsi="宋体" w:cs="宋体"/>
                <w:color w:val="000000"/>
                <w:sz w:val="24"/>
                <w:highlight w:val="none"/>
              </w:rPr>
            </w:pPr>
          </w:p>
        </w:tc>
      </w:tr>
    </w:tbl>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投标人代表：_____________________________</w:t>
      </w: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投标人名称：_____________________________</w:t>
      </w:r>
    </w:p>
    <w:p>
      <w:pPr>
        <w:tabs>
          <w:tab w:val="left" w:pos="3138"/>
          <w:tab w:val="right" w:pos="9642"/>
        </w:tabs>
        <w:snapToGrid w:val="0"/>
        <w:spacing w:line="360" w:lineRule="exact"/>
        <w:ind w:right="105" w:firstLine="560"/>
        <w:jc w:val="left"/>
        <w:rPr>
          <w:rFonts w:ascii="宋体" w:hAnsi="宋体" w:cs="宋体"/>
          <w:color w:val="000000"/>
          <w:szCs w:val="21"/>
          <w:highlight w:val="none"/>
          <w:u w:val="single"/>
        </w:rPr>
      </w:pPr>
      <w:r>
        <w:rPr>
          <w:rFonts w:ascii="宋体" w:hAnsi="宋体" w:cs="宋体"/>
          <w:b/>
          <w:bCs/>
          <w:color w:val="000000"/>
          <w:szCs w:val="21"/>
          <w:highlight w:val="none"/>
        </w:rPr>
        <w:tab/>
      </w:r>
      <w:r>
        <w:rPr>
          <w:rFonts w:ascii="宋体" w:hAnsi="宋体" w:cs="宋体"/>
          <w:b/>
          <w:bCs/>
          <w:color w:val="000000"/>
          <w:szCs w:val="21"/>
          <w:highlight w:val="none"/>
        </w:rPr>
        <w:tab/>
      </w:r>
      <w:r>
        <w:rPr>
          <w:rFonts w:ascii="宋体" w:hAnsi="宋体" w:cs="宋体" w:hint="eastAsia"/>
          <w:b/>
          <w:bCs/>
          <w:color w:val="000000"/>
          <w:szCs w:val="21"/>
          <w:highlight w:val="none"/>
        </w:rPr>
        <w:t>日期：____________________________</w:t>
      </w:r>
    </w:p>
    <w:p>
      <w:pPr>
        <w:spacing w:line="300" w:lineRule="auto"/>
        <w:rPr>
          <w:rFonts w:ascii="宋体" w:hAnsi="宋体" w:cs="宋体"/>
          <w:color w:val="000000"/>
          <w:sz w:val="24"/>
          <w:highlight w:val="none"/>
        </w:rPr>
      </w:pPr>
    </w:p>
    <w:p>
      <w:pPr>
        <w:pStyle w:val="a28"/>
        <w:ind w:firstLine="420"/>
        <w:rPr>
          <w:rFonts w:ascii="Times New Roman"/>
          <w:color w:val="000000"/>
          <w:highlight w:val="none"/>
        </w:rPr>
      </w:pPr>
    </w:p>
    <w:p>
      <w:pPr>
        <w:pStyle w:val="Heading3"/>
        <w:spacing w:before="120" w:after="120" w:line="360" w:lineRule="exact"/>
        <w:jc w:val="center"/>
        <w:rPr>
          <w:rFonts w:cs="宋体"/>
          <w:color w:val="000000"/>
          <w:szCs w:val="21"/>
          <w:highlight w:val="none"/>
        </w:rPr>
      </w:pPr>
      <w:r>
        <w:rPr>
          <w:rFonts w:cs="宋体" w:hint="eastAsia"/>
          <w:color w:val="000000"/>
          <w:szCs w:val="21"/>
          <w:highlight w:val="none"/>
        </w:rPr>
        <w:t>八、招标代理服务费承诺书</w:t>
      </w:r>
    </w:p>
    <w:p>
      <w:pPr>
        <w:spacing w:after="60" w:line="300" w:lineRule="auto"/>
        <w:rPr>
          <w:rFonts w:ascii="宋体" w:hAnsi="宋体" w:cs="宋体"/>
          <w:b/>
          <w:bCs/>
          <w:color w:val="000000"/>
          <w:sz w:val="24"/>
          <w:highlight w:val="none"/>
        </w:rPr>
      </w:pPr>
    </w:p>
    <w:p>
      <w:pPr>
        <w:spacing w:after="60" w:line="300" w:lineRule="auto"/>
        <w:rPr>
          <w:rFonts w:ascii="宋体" w:hAnsi="宋体" w:cs="宋体"/>
          <w:b/>
          <w:color w:val="000000"/>
          <w:sz w:val="24"/>
          <w:highlight w:val="none"/>
        </w:rPr>
      </w:pPr>
      <w:r>
        <w:rPr>
          <w:rFonts w:ascii="宋体" w:hAnsi="宋体" w:cs="宋体" w:hint="eastAsia"/>
          <w:b/>
          <w:bCs/>
          <w:color w:val="000000"/>
          <w:sz w:val="24"/>
          <w:highlight w:val="none"/>
        </w:rPr>
        <w:t>致：中国</w:t>
      </w:r>
      <w:r>
        <w:rPr>
          <w:rFonts w:ascii="宋体" w:hAnsi="宋体" w:cs="宋体" w:hint="eastAsia"/>
          <w:b/>
          <w:color w:val="000000"/>
          <w:sz w:val="24"/>
          <w:highlight w:val="none"/>
        </w:rPr>
        <w:t>远东国际招标有限公司</w:t>
      </w:r>
    </w:p>
    <w:p>
      <w:pPr>
        <w:widowControl/>
        <w:autoSpaceDE w:val="0"/>
        <w:autoSpaceDN w:val="0"/>
        <w:spacing w:line="360" w:lineRule="auto"/>
        <w:ind w:right="28" w:firstLine="420" w:firstLineChars="200"/>
        <w:textAlignment w:val="bottom"/>
        <w:rPr>
          <w:rFonts w:ascii="宋体" w:hAnsi="宋体" w:cs="宋体"/>
          <w:color w:val="000000"/>
          <w:szCs w:val="21"/>
          <w:highlight w:val="none"/>
        </w:rPr>
      </w:pPr>
      <w:r>
        <w:rPr>
          <w:rFonts w:ascii="宋体" w:hAnsi="宋体" w:cs="宋体" w:hint="eastAsia"/>
          <w:color w:val="000000"/>
          <w:szCs w:val="21"/>
          <w:highlight w:val="none"/>
        </w:rPr>
        <w:t>我们在贵司代理的</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项目（项目编号：</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招标采购中若获中标，我们承诺并保证在收到“领取《中标（成交）通知书》通知”的电子邮件后5个工作日内按本项目《招标文件》的规定，以现金或电汇向贵公司指定的中国远东国际招标有限公司分公司的银行帐号一次性支付全额招标代理服务费。如有违反，我们全责承担因我方违反行为而可能引起的诚信记录、无法合规签订合同及顺利完成后续审计验收工作、经济损失赔偿等法律后果。</w:t>
      </w:r>
    </w:p>
    <w:p>
      <w:pPr>
        <w:widowControl/>
        <w:autoSpaceDE w:val="0"/>
        <w:autoSpaceDN w:val="0"/>
        <w:spacing w:line="360" w:lineRule="auto"/>
        <w:ind w:left="420" w:right="28" w:firstLine="63" w:leftChars="200" w:firstLineChars="30"/>
        <w:textAlignment w:val="bottom"/>
        <w:rPr>
          <w:rFonts w:ascii="宋体" w:hAnsi="宋体" w:cs="宋体"/>
          <w:color w:val="000000"/>
          <w:szCs w:val="21"/>
          <w:highlight w:val="none"/>
        </w:rPr>
      </w:pPr>
      <w:r>
        <w:rPr>
          <w:rFonts w:ascii="宋体" w:hAnsi="宋体" w:cs="宋体" w:hint="eastAsia"/>
          <w:color w:val="000000"/>
          <w:szCs w:val="21"/>
          <w:highlight w:val="none"/>
        </w:rPr>
        <w:t>特此承诺。</w:t>
      </w: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投标人代表：_____________________________</w:t>
      </w: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投标人名称：_____________________________</w:t>
      </w:r>
    </w:p>
    <w:p>
      <w:pPr>
        <w:snapToGrid w:val="0"/>
        <w:spacing w:line="360" w:lineRule="exact"/>
        <w:ind w:right="105" w:firstLine="560"/>
        <w:jc w:val="right"/>
        <w:rPr>
          <w:rFonts w:ascii="宋体" w:hAnsi="宋体" w:cs="宋体"/>
          <w:color w:val="000000"/>
          <w:szCs w:val="21"/>
          <w:highlight w:val="none"/>
          <w:u w:val="single"/>
        </w:rPr>
      </w:pPr>
      <w:r>
        <w:rPr>
          <w:rFonts w:ascii="宋体" w:hAnsi="宋体" w:cs="宋体" w:hint="eastAsia"/>
          <w:b/>
          <w:bCs/>
          <w:color w:val="000000"/>
          <w:szCs w:val="21"/>
          <w:highlight w:val="none"/>
        </w:rPr>
        <w:t>日期：_____________________________</w:t>
      </w:r>
    </w:p>
    <w:p>
      <w:pPr>
        <w:pStyle w:val="a28"/>
        <w:ind w:firstLine="420"/>
        <w:rPr>
          <w:rFonts w:ascii="Times New Roman"/>
          <w:color w:val="000000"/>
          <w:highlight w:val="none"/>
        </w:rPr>
      </w:pPr>
    </w:p>
    <w:p>
      <w:pPr>
        <w:pStyle w:val="a28"/>
        <w:ind w:firstLine="420"/>
        <w:rPr>
          <w:rFonts w:ascii="Times New Roman"/>
          <w:color w:val="000000"/>
          <w:highlight w:val="none"/>
        </w:rPr>
      </w:pPr>
    </w:p>
    <w:p>
      <w:pPr>
        <w:spacing w:line="300" w:lineRule="auto"/>
        <w:jc w:val="center"/>
        <w:rPr>
          <w:rFonts w:ascii="宋体" w:hAnsi="宋体" w:cs="宋体"/>
          <w:color w:val="000000"/>
          <w:highlight w:val="none"/>
        </w:rPr>
      </w:pPr>
      <w:r>
        <w:rPr>
          <w:rFonts w:ascii="宋体" w:hAnsi="宋体" w:cs="宋体" w:hint="eastAsia"/>
          <w:b/>
          <w:color w:val="000000"/>
          <w:szCs w:val="21"/>
          <w:highlight w:val="none"/>
        </w:rPr>
        <w:t>注：按要求填写，不得更改承诺内。</w:t>
      </w:r>
    </w:p>
    <w:p>
      <w:pPr>
        <w:pStyle w:val="Heading3"/>
        <w:spacing w:line="300" w:lineRule="auto"/>
        <w:jc w:val="center"/>
        <w:rPr>
          <w:rFonts w:cs="宋体"/>
          <w:color w:val="000000"/>
          <w:szCs w:val="21"/>
          <w:highlight w:val="none"/>
        </w:rPr>
      </w:pPr>
      <w:r>
        <w:rPr>
          <w:rFonts w:cs="宋体"/>
          <w:color w:val="000000"/>
          <w:szCs w:val="21"/>
          <w:highlight w:val="none"/>
        </w:rPr>
        <w:br w:type="page"/>
      </w:r>
      <w:r>
        <w:rPr>
          <w:rFonts w:cs="宋体" w:hint="eastAsia"/>
          <w:color w:val="000000"/>
          <w:szCs w:val="21"/>
          <w:highlight w:val="none"/>
        </w:rPr>
        <w:t>九、法定代表人证明书</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    </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同志，现任我单位</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职务，为法定代表人，特此证明。</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签发日期：</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 xml:space="preserve"> 有效日期：</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 xml:space="preserve"> 单位：</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 xml:space="preserve">        </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附：代表人性别：   年龄：      身份证号码：</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营业执照号码：                 经济性质：</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主营（产）：</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兼营（产）：</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进口物品经营许可证号码：</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主营：</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兼营：</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说明：1、法定代表人为企业事业单位、国家机关、社会团体的主要行政负责人。</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      2、内容必须填写真实、清楚，涂改无效，不得转让、买卖.</w:t>
      </w:r>
    </w:p>
    <w:p>
      <w:pPr>
        <w:spacing w:line="300" w:lineRule="auto"/>
        <w:rPr>
          <w:rFonts w:ascii="宋体" w:hAnsi="宋体" w:cs="宋体"/>
          <w:b/>
          <w:color w:val="000000"/>
          <w:szCs w:val="21"/>
          <w:highlight w:val="none"/>
        </w:rPr>
      </w:pPr>
    </w:p>
    <w:p>
      <w:pPr>
        <w:spacing w:line="300" w:lineRule="auto"/>
        <w:rPr>
          <w:rFonts w:ascii="宋体" w:hAnsi="宋体" w:cs="宋体"/>
          <w:b/>
          <w:bCs/>
          <w:color w:val="000000"/>
          <w:sz w:val="24"/>
          <w:highlight w:val="none"/>
        </w:rPr>
      </w:pPr>
      <w:r>
        <w:rPr>
          <w:rFonts w:ascii="宋体" w:hAnsi="宋体" w:cs="宋体" w:hint="eastAsia"/>
          <w:b/>
          <w:color w:val="000000"/>
          <w:szCs w:val="21"/>
          <w:highlight w:val="none"/>
        </w:rPr>
        <w:t>附：要求必须提供法定代表人（负责人）身份证（境外人员无法提供身份证的，可提供护照）扫描件（正反两面）。</w:t>
      </w:r>
    </w:p>
    <w:p>
      <w:pPr>
        <w:pStyle w:val="Heading3"/>
        <w:spacing w:line="300" w:lineRule="auto"/>
        <w:jc w:val="center"/>
        <w:rPr>
          <w:rFonts w:cs="宋体"/>
          <w:color w:val="000000"/>
          <w:szCs w:val="21"/>
          <w:highlight w:val="none"/>
        </w:rPr>
      </w:pPr>
      <w:r>
        <w:rPr>
          <w:rFonts w:cs="宋体" w:hint="eastAsia"/>
          <w:color w:val="000000"/>
          <w:szCs w:val="21"/>
          <w:highlight w:val="none"/>
        </w:rPr>
        <w:t>十、投标文件签署授权委托书</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本授权委托书声明：我</w:t>
      </w:r>
      <w:r>
        <w:rPr>
          <w:rFonts w:ascii="宋体" w:hAnsi="宋体" w:cs="宋体" w:hint="eastAsia"/>
          <w:color w:val="000000"/>
          <w:szCs w:val="21"/>
          <w:highlight w:val="none"/>
          <w:u w:val="single"/>
        </w:rPr>
        <w:t>（姓名）</w:t>
      </w:r>
      <w:r>
        <w:rPr>
          <w:rFonts w:ascii="宋体" w:hAnsi="宋体" w:cs="宋体" w:hint="eastAsia"/>
          <w:color w:val="000000"/>
          <w:szCs w:val="21"/>
          <w:highlight w:val="none"/>
        </w:rPr>
        <w:t>系</w:t>
      </w:r>
      <w:r>
        <w:rPr>
          <w:rFonts w:ascii="宋体" w:hAnsi="宋体" w:cs="宋体" w:hint="eastAsia"/>
          <w:color w:val="000000"/>
          <w:szCs w:val="21"/>
          <w:highlight w:val="none"/>
          <w:u w:val="single"/>
        </w:rPr>
        <w:t>（投标供应商名称）</w:t>
      </w:r>
      <w:r>
        <w:rPr>
          <w:rFonts w:ascii="宋体" w:hAnsi="宋体" w:cs="宋体" w:hint="eastAsia"/>
          <w:color w:val="000000"/>
          <w:szCs w:val="21"/>
          <w:highlight w:val="none"/>
        </w:rPr>
        <w:t>的法定代表人</w:t>
      </w:r>
      <w:r>
        <w:rPr>
          <w:rFonts w:ascii="宋体" w:hAnsi="宋体" w:cs="宋体" w:hint="eastAsia"/>
          <w:color w:val="000000"/>
          <w:kern w:val="0"/>
          <w:sz w:val="24"/>
          <w:highlight w:val="none"/>
          <w:u w:val="single"/>
        </w:rPr>
        <w:t>（负责人）</w:t>
      </w:r>
      <w:r>
        <w:rPr>
          <w:rFonts w:ascii="宋体" w:hAnsi="宋体" w:cs="宋体" w:hint="eastAsia"/>
          <w:color w:val="000000"/>
          <w:szCs w:val="21"/>
          <w:highlight w:val="none"/>
        </w:rPr>
        <w:t>，现授权委托</w:t>
      </w:r>
      <w:r>
        <w:rPr>
          <w:rFonts w:ascii="宋体" w:hAnsi="宋体" w:cs="宋体" w:hint="eastAsia"/>
          <w:color w:val="000000"/>
          <w:szCs w:val="21"/>
          <w:highlight w:val="none"/>
          <w:u w:val="single"/>
        </w:rPr>
        <w:t>（姓名）</w:t>
      </w:r>
      <w:r>
        <w:rPr>
          <w:rFonts w:ascii="宋体" w:hAnsi="宋体" w:cs="宋体" w:hint="eastAsia"/>
          <w:color w:val="000000"/>
          <w:szCs w:val="21"/>
          <w:highlight w:val="none"/>
        </w:rPr>
        <w:t>为我公司签署本项目已递交的投标文件的法定代表人</w:t>
      </w:r>
      <w:r>
        <w:rPr>
          <w:rFonts w:ascii="宋体" w:hAnsi="宋体" w:cs="宋体" w:hint="eastAsia"/>
          <w:color w:val="000000"/>
          <w:kern w:val="0"/>
          <w:sz w:val="24"/>
          <w:highlight w:val="none"/>
          <w:u w:val="single"/>
        </w:rPr>
        <w:t>（负责人）</w:t>
      </w:r>
      <w:r>
        <w:rPr>
          <w:rFonts w:ascii="宋体" w:hAnsi="宋体" w:cs="宋体" w:hint="eastAsia"/>
          <w:color w:val="000000"/>
          <w:szCs w:val="21"/>
          <w:highlight w:val="none"/>
        </w:rPr>
        <w:t>的授权委托代理人，代理人全权代表我所签署的本项目已递交的投标文件内容我均承认。</w:t>
      </w:r>
    </w:p>
    <w:p>
      <w:pPr>
        <w:pStyle w:val="NormalIndent"/>
        <w:spacing w:line="300" w:lineRule="auto"/>
        <w:rPr>
          <w:rFonts w:ascii="宋体" w:hAnsi="宋体" w:cs="宋体"/>
          <w:color w:val="000000"/>
          <w:szCs w:val="21"/>
          <w:highlight w:val="none"/>
        </w:rPr>
      </w:pPr>
      <w:r>
        <w:rPr>
          <w:rFonts w:ascii="宋体" w:hAnsi="宋体" w:cs="宋体" w:hint="eastAsia"/>
          <w:color w:val="000000"/>
          <w:szCs w:val="21"/>
          <w:highlight w:val="none"/>
        </w:rPr>
        <w:t>代理人无转委托权，特此委托。</w:t>
      </w:r>
    </w:p>
    <w:p>
      <w:pPr>
        <w:pStyle w:val="NormalIndent"/>
        <w:spacing w:line="300" w:lineRule="auto"/>
        <w:rPr>
          <w:rFonts w:ascii="宋体" w:hAnsi="宋体" w:cs="宋体"/>
          <w:color w:val="000000"/>
          <w:szCs w:val="21"/>
          <w:highlight w:val="none"/>
        </w:rPr>
      </w:pPr>
    </w:p>
    <w:p>
      <w:pPr>
        <w:spacing w:line="300" w:lineRule="auto"/>
        <w:ind w:left="540" w:leftChars="257"/>
        <w:rPr>
          <w:rFonts w:ascii="宋体" w:hAnsi="宋体" w:cs="宋体"/>
          <w:color w:val="000000"/>
          <w:szCs w:val="21"/>
          <w:highlight w:val="none"/>
          <w:u w:val="single"/>
        </w:rPr>
      </w:pPr>
      <w:r>
        <w:rPr>
          <w:rFonts w:ascii="宋体" w:hAnsi="宋体" w:cs="宋体" w:hint="eastAsia"/>
          <w:color w:val="000000"/>
          <w:szCs w:val="21"/>
          <w:highlight w:val="none"/>
        </w:rPr>
        <w:t>代理人：</w:t>
      </w:r>
      <w:r>
        <w:rPr>
          <w:rFonts w:ascii="宋体" w:hAnsi="宋体" w:cs="宋体" w:hint="eastAsia"/>
          <w:color w:val="000000"/>
          <w:szCs w:val="21"/>
          <w:highlight w:val="none"/>
          <w:u w:val="single"/>
        </w:rPr>
        <w:t xml:space="preserve">       </w:t>
      </w:r>
    </w:p>
    <w:p>
      <w:pPr>
        <w:spacing w:line="300" w:lineRule="auto"/>
        <w:ind w:left="540" w:leftChars="257"/>
        <w:rPr>
          <w:rFonts w:ascii="宋体" w:hAnsi="宋体" w:cs="宋体"/>
          <w:color w:val="000000"/>
          <w:szCs w:val="21"/>
          <w:highlight w:val="none"/>
        </w:rPr>
      </w:pPr>
      <w:r>
        <w:rPr>
          <w:rFonts w:ascii="宋体" w:hAnsi="宋体" w:cs="宋体" w:hint="eastAsia"/>
          <w:color w:val="000000"/>
          <w:szCs w:val="21"/>
          <w:highlight w:val="none"/>
        </w:rPr>
        <w:t>联系电话：</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手机：</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邮箱：</w:t>
      </w:r>
      <w:r>
        <w:rPr>
          <w:rFonts w:ascii="宋体" w:hAnsi="宋体" w:cs="宋体" w:hint="eastAsia"/>
          <w:color w:val="000000"/>
          <w:szCs w:val="21"/>
          <w:highlight w:val="none"/>
          <w:u w:val="single"/>
        </w:rPr>
        <w:t xml:space="preserve">       </w:t>
      </w:r>
    </w:p>
    <w:p>
      <w:pPr>
        <w:spacing w:line="300" w:lineRule="auto"/>
        <w:ind w:left="540" w:leftChars="257"/>
        <w:rPr>
          <w:rFonts w:ascii="宋体" w:hAnsi="宋体" w:cs="宋体"/>
          <w:color w:val="000000"/>
          <w:szCs w:val="21"/>
          <w:highlight w:val="none"/>
          <w:u w:val="single"/>
        </w:rPr>
      </w:pPr>
      <w:r>
        <w:rPr>
          <w:rFonts w:ascii="宋体" w:hAnsi="宋体" w:cs="宋体" w:hint="eastAsia"/>
          <w:color w:val="000000"/>
          <w:szCs w:val="21"/>
          <w:highlight w:val="none"/>
        </w:rPr>
        <w:t>身份证号码：</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职务：</w:t>
      </w:r>
      <w:r>
        <w:rPr>
          <w:rFonts w:ascii="宋体" w:hAnsi="宋体" w:cs="宋体" w:hint="eastAsia"/>
          <w:color w:val="000000"/>
          <w:szCs w:val="21"/>
          <w:highlight w:val="none"/>
          <w:u w:val="single"/>
        </w:rPr>
        <w:t xml:space="preserve">       </w:t>
      </w:r>
    </w:p>
    <w:p>
      <w:pPr>
        <w:spacing w:line="300" w:lineRule="auto"/>
        <w:ind w:left="540" w:leftChars="257"/>
        <w:rPr>
          <w:rFonts w:ascii="宋体" w:hAnsi="宋体" w:cs="宋体"/>
          <w:b/>
          <w:color w:val="000000"/>
          <w:sz w:val="32"/>
          <w:szCs w:val="32"/>
          <w:highlight w:val="none"/>
        </w:rPr>
      </w:pPr>
      <w:r>
        <w:rPr>
          <w:rFonts w:ascii="宋体" w:hAnsi="宋体" w:cs="宋体" w:hint="eastAsia"/>
          <w:color w:val="000000"/>
          <w:szCs w:val="21"/>
          <w:highlight w:val="none"/>
        </w:rPr>
        <w:t>授权委托日期：</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年</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月</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日</w:t>
      </w:r>
    </w:p>
    <w:p>
      <w:pPr>
        <w:spacing w:line="300" w:lineRule="auto"/>
        <w:rPr>
          <w:rFonts w:ascii="宋体" w:hAnsi="宋体" w:cs="宋体"/>
          <w:b/>
          <w:color w:val="000000"/>
          <w:szCs w:val="21"/>
          <w:highlight w:val="none"/>
        </w:rPr>
      </w:pPr>
    </w:p>
    <w:p>
      <w:pPr>
        <w:spacing w:line="300" w:lineRule="auto"/>
        <w:rPr>
          <w:rFonts w:ascii="宋体" w:hAnsi="宋体" w:cs="宋体"/>
          <w:b/>
          <w:color w:val="000000"/>
          <w:szCs w:val="21"/>
          <w:highlight w:val="none"/>
        </w:rPr>
      </w:pPr>
      <w:r>
        <w:rPr>
          <w:rFonts w:ascii="宋体" w:hAnsi="宋体" w:cs="宋体" w:hint="eastAsia"/>
          <w:b/>
          <w:color w:val="000000"/>
          <w:szCs w:val="21"/>
          <w:highlight w:val="none"/>
        </w:rPr>
        <w:t>附：要求必须提供代理人身份证（境外人员无法提供身份证的，可提供护照）扫描件（正反两面）。</w:t>
      </w:r>
    </w:p>
    <w:p>
      <w:pPr>
        <w:rPr>
          <w:rFonts w:cs="宋体"/>
          <w:color w:val="000000"/>
          <w:szCs w:val="21"/>
          <w:highlight w:val="none"/>
        </w:rPr>
      </w:pPr>
      <w:r>
        <w:rPr>
          <w:rFonts w:cs="宋体" w:hint="eastAsia"/>
          <w:color w:val="000000"/>
          <w:szCs w:val="21"/>
          <w:highlight w:val="none"/>
        </w:rPr>
        <w:br w:type="page"/>
      </w:r>
    </w:p>
    <w:p>
      <w:pPr>
        <w:pStyle w:val="Heading3"/>
        <w:spacing w:line="300" w:lineRule="auto"/>
        <w:jc w:val="center"/>
        <w:rPr>
          <w:rFonts w:cs="宋体"/>
          <w:color w:val="000000"/>
          <w:sz w:val="24"/>
          <w:szCs w:val="24"/>
          <w:highlight w:val="none"/>
        </w:rPr>
      </w:pPr>
      <w:r>
        <w:rPr>
          <w:rFonts w:cs="宋体" w:hint="eastAsia"/>
          <w:color w:val="000000"/>
          <w:szCs w:val="21"/>
          <w:highlight w:val="none"/>
        </w:rPr>
        <w:t>十一、项目实施方案</w:t>
      </w:r>
    </w:p>
    <w:p>
      <w:pPr>
        <w:spacing w:line="300" w:lineRule="auto"/>
        <w:rPr>
          <w:rFonts w:ascii="宋体" w:hAnsi="宋体" w:cs="宋体"/>
          <w:color w:val="000000"/>
          <w:sz w:val="24"/>
          <w:highlight w:val="none"/>
        </w:rPr>
      </w:pPr>
      <w:r>
        <w:rPr>
          <w:rFonts w:ascii="宋体" w:hAnsi="宋体" w:cs="宋体" w:hint="eastAsia"/>
          <w:color w:val="000000"/>
          <w:sz w:val="24"/>
          <w:highlight w:val="none"/>
        </w:rPr>
        <w:t>主要内容应包括(根据项目实际情况适当调整内容)：</w:t>
      </w:r>
    </w:p>
    <w:p>
      <w:pPr>
        <w:spacing w:line="300" w:lineRule="auto"/>
        <w:rPr>
          <w:rFonts w:ascii="宋体" w:hAnsi="宋体" w:cs="宋体"/>
          <w:color w:val="000000"/>
          <w:sz w:val="24"/>
          <w:highlight w:val="none"/>
        </w:rPr>
      </w:pPr>
      <w:r>
        <w:rPr>
          <w:rFonts w:ascii="宋体" w:hAnsi="宋体" w:cs="宋体" w:hint="eastAsia"/>
          <w:color w:val="000000"/>
          <w:sz w:val="24"/>
          <w:highlight w:val="none"/>
        </w:rPr>
        <w:t>1、项目交货期、实施进度表</w:t>
      </w:r>
    </w:p>
    <w:p>
      <w:pPr>
        <w:spacing w:line="300" w:lineRule="auto"/>
        <w:rPr>
          <w:rFonts w:ascii="宋体" w:hAnsi="宋体" w:cs="宋体"/>
          <w:color w:val="000000"/>
          <w:sz w:val="24"/>
          <w:highlight w:val="none"/>
        </w:rPr>
      </w:pPr>
      <w:r>
        <w:rPr>
          <w:rFonts w:ascii="宋体" w:hAnsi="宋体" w:cs="宋体" w:hint="eastAsia"/>
          <w:color w:val="000000"/>
          <w:sz w:val="24"/>
          <w:highlight w:val="none"/>
        </w:rPr>
        <w:t>2、相关配套措施</w:t>
      </w:r>
    </w:p>
    <w:p>
      <w:pPr>
        <w:spacing w:line="300" w:lineRule="auto"/>
        <w:rPr>
          <w:rFonts w:ascii="宋体" w:hAnsi="宋体" w:cs="宋体"/>
          <w:b/>
          <w:bCs/>
          <w:color w:val="000000"/>
          <w:sz w:val="24"/>
          <w:highlight w:val="none"/>
        </w:rPr>
      </w:pPr>
      <w:r>
        <w:rPr>
          <w:rFonts w:ascii="宋体" w:hAnsi="宋体" w:cs="宋体" w:hint="eastAsia"/>
          <w:b/>
          <w:bCs/>
          <w:color w:val="000000"/>
          <w:sz w:val="24"/>
          <w:highlight w:val="none"/>
        </w:rPr>
        <w:t>备注：该部分须与“技术保障措施”、“施工安全保障措施”、“商务需求”等部分承诺的内容相呼应，不得前后矛盾。</w:t>
      </w:r>
    </w:p>
    <w:p>
      <w:pPr>
        <w:pStyle w:val="Heading3"/>
        <w:spacing w:line="300" w:lineRule="auto"/>
        <w:jc w:val="center"/>
        <w:rPr>
          <w:rFonts w:cs="宋体"/>
          <w:color w:val="000000"/>
          <w:szCs w:val="21"/>
          <w:highlight w:val="none"/>
        </w:rPr>
      </w:pPr>
      <w:r>
        <w:rPr>
          <w:rFonts w:cs="宋体" w:hint="eastAsia"/>
          <w:color w:val="000000"/>
          <w:szCs w:val="21"/>
          <w:highlight w:val="none"/>
        </w:rPr>
        <w:t>十二、售后服务方案</w:t>
      </w:r>
    </w:p>
    <w:p>
      <w:pPr>
        <w:spacing w:line="300" w:lineRule="auto"/>
        <w:rPr>
          <w:rFonts w:ascii="宋体" w:hAnsi="宋体" w:cs="宋体"/>
          <w:color w:val="000000"/>
          <w:sz w:val="24"/>
          <w:highlight w:val="none"/>
        </w:rPr>
      </w:pPr>
    </w:p>
    <w:p>
      <w:pPr>
        <w:spacing w:line="300" w:lineRule="auto"/>
        <w:rPr>
          <w:rFonts w:ascii="宋体" w:hAnsi="宋体" w:cs="宋体"/>
          <w:color w:val="000000"/>
          <w:sz w:val="24"/>
          <w:highlight w:val="none"/>
        </w:rPr>
      </w:pPr>
      <w:r>
        <w:rPr>
          <w:rFonts w:ascii="宋体" w:hAnsi="宋体" w:cs="宋体" w:hint="eastAsia"/>
          <w:color w:val="000000"/>
          <w:sz w:val="24"/>
          <w:highlight w:val="none"/>
        </w:rPr>
        <w:t>主要内容应包括(根据项目实际情况适当调整内容)：</w:t>
      </w:r>
    </w:p>
    <w:p>
      <w:pPr>
        <w:spacing w:line="300" w:lineRule="auto"/>
        <w:rPr>
          <w:rFonts w:ascii="宋体" w:hAnsi="宋体" w:cs="宋体"/>
          <w:color w:val="000000"/>
          <w:sz w:val="24"/>
          <w:highlight w:val="none"/>
        </w:rPr>
      </w:pPr>
      <w:r>
        <w:rPr>
          <w:rFonts w:ascii="宋体" w:hAnsi="宋体" w:cs="宋体" w:hint="eastAsia"/>
          <w:color w:val="000000"/>
          <w:sz w:val="24"/>
          <w:highlight w:val="none"/>
        </w:rPr>
        <w:t>1、保修期；</w:t>
      </w:r>
    </w:p>
    <w:p>
      <w:pPr>
        <w:spacing w:line="300" w:lineRule="auto"/>
        <w:rPr>
          <w:rFonts w:ascii="宋体" w:hAnsi="宋体" w:cs="宋体"/>
          <w:color w:val="000000"/>
          <w:sz w:val="24"/>
          <w:highlight w:val="none"/>
        </w:rPr>
      </w:pPr>
      <w:r>
        <w:rPr>
          <w:rFonts w:ascii="宋体" w:hAnsi="宋体" w:cs="宋体" w:hint="eastAsia"/>
          <w:color w:val="000000"/>
          <w:sz w:val="24"/>
          <w:highlight w:val="none"/>
        </w:rPr>
        <w:t>2、故障或技术支持响应时间；</w:t>
      </w:r>
    </w:p>
    <w:p>
      <w:pPr>
        <w:spacing w:line="300" w:lineRule="auto"/>
        <w:rPr>
          <w:rFonts w:ascii="宋体" w:hAnsi="宋体" w:cs="宋体"/>
          <w:color w:val="000000"/>
          <w:sz w:val="24"/>
          <w:highlight w:val="none"/>
        </w:rPr>
      </w:pPr>
      <w:r>
        <w:rPr>
          <w:rFonts w:ascii="宋体" w:hAnsi="宋体" w:cs="宋体" w:hint="eastAsia"/>
          <w:color w:val="000000"/>
          <w:sz w:val="24"/>
          <w:highlight w:val="none"/>
        </w:rPr>
        <w:t>3、投标人承诺的其他维修维护方案、措施</w:t>
      </w:r>
    </w:p>
    <w:p>
      <w:pPr>
        <w:spacing w:line="300" w:lineRule="auto"/>
        <w:rPr>
          <w:rFonts w:ascii="宋体" w:hAnsi="宋体" w:cs="宋体"/>
          <w:color w:val="000000"/>
          <w:sz w:val="24"/>
          <w:highlight w:val="none"/>
        </w:rPr>
      </w:pPr>
      <w:r>
        <w:rPr>
          <w:rFonts w:ascii="宋体" w:hAnsi="宋体" w:cs="宋体" w:hint="eastAsia"/>
          <w:color w:val="000000"/>
          <w:sz w:val="24"/>
          <w:highlight w:val="none"/>
        </w:rPr>
        <w:t>4、质量保证及违约承诺。</w:t>
      </w:r>
    </w:p>
    <w:p>
      <w:pPr>
        <w:spacing w:line="300" w:lineRule="auto"/>
        <w:rPr>
          <w:rFonts w:ascii="宋体" w:hAnsi="宋体" w:cs="宋体"/>
          <w:b/>
          <w:color w:val="000000"/>
          <w:sz w:val="24"/>
          <w:highlight w:val="none"/>
        </w:rPr>
      </w:pPr>
      <w:r>
        <w:rPr>
          <w:rFonts w:ascii="宋体" w:hAnsi="宋体" w:cs="宋体" w:hint="eastAsia"/>
          <w:b/>
          <w:color w:val="000000"/>
          <w:sz w:val="24"/>
          <w:highlight w:val="none"/>
        </w:rPr>
        <w:t>备注：该部分须与“商务需求”承诺的内容相呼应，不得前后矛盾。</w:t>
      </w:r>
    </w:p>
    <w:p>
      <w:pPr>
        <w:spacing w:line="300" w:lineRule="auto"/>
        <w:rPr>
          <w:rFonts w:ascii="宋体" w:hAnsi="宋体" w:cs="宋体"/>
          <w:color w:val="000000"/>
          <w:highlight w:val="none"/>
        </w:rPr>
      </w:pPr>
    </w:p>
    <w:p>
      <w:pPr>
        <w:pStyle w:val="Heading3"/>
        <w:spacing w:line="300" w:lineRule="auto"/>
        <w:jc w:val="center"/>
        <w:rPr>
          <w:rFonts w:cs="宋体"/>
          <w:color w:val="000000"/>
          <w:szCs w:val="21"/>
          <w:highlight w:val="none"/>
        </w:rPr>
      </w:pPr>
      <w:r>
        <w:rPr>
          <w:rFonts w:cs="宋体"/>
          <w:color w:val="000000"/>
          <w:szCs w:val="21"/>
          <w:highlight w:val="none"/>
        </w:rPr>
        <w:br w:type="page"/>
      </w:r>
      <w:r>
        <w:rPr>
          <w:rFonts w:cs="宋体" w:hint="eastAsia"/>
          <w:color w:val="000000"/>
          <w:szCs w:val="21"/>
          <w:highlight w:val="none"/>
        </w:rPr>
        <w:t>十三、</w:t>
      </w:r>
      <w:r>
        <w:rPr>
          <w:rFonts w:cs="宋体"/>
          <w:color w:val="000000"/>
          <w:szCs w:val="21"/>
          <w:highlight w:val="none"/>
        </w:rPr>
        <w:t>政府采购违法行为风险知悉确认书</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本公司（单位）在投标前已充分知悉以下情形为参与政府采购活动时的重大风险事项，并承诺已对下述风险提示事项重点排查，做到严谨、诚信、依法依规参与政府采购活动。</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一、本公司（单位）已充分知悉“隐瞒真实情况，提供虚假资料”的法定情形，相关情形包括但不限于：</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（一）通过转让或者租借等方式从其他单位获取资格或者资质证书投标的。</w:t>
      </w:r>
    </w:p>
    <w:p>
      <w:pPr>
        <w:widowControl/>
        <w:snapToGrid w:val="0"/>
        <w:spacing w:line="360" w:lineRule="auto"/>
        <w:ind w:firstLine="525" w:firstLineChars="250"/>
        <w:jc w:val="left"/>
        <w:textAlignment w:val="baseline"/>
        <w:rPr>
          <w:rFonts w:ascii="宋体" w:hAnsi="宋体"/>
          <w:color w:val="000000"/>
          <w:kern w:val="0"/>
          <w:szCs w:val="21"/>
          <w:highlight w:val="none"/>
        </w:rPr>
      </w:pPr>
      <w:r>
        <w:rPr>
          <w:rFonts w:ascii="宋体" w:hAnsi="宋体"/>
          <w:color w:val="000000"/>
          <w:kern w:val="0"/>
          <w:szCs w:val="21"/>
          <w:highlight w:val="none"/>
        </w:rPr>
        <w:t>（二）由其他单位或者其他单位负责人在投标供应商编制的投标文件上加盖印章或者签字的。</w:t>
      </w:r>
    </w:p>
    <w:p>
      <w:pPr>
        <w:widowControl/>
        <w:snapToGrid w:val="0"/>
        <w:spacing w:line="360" w:lineRule="auto"/>
        <w:ind w:firstLine="525" w:firstLineChars="250"/>
        <w:jc w:val="left"/>
        <w:textAlignment w:val="baseline"/>
        <w:rPr>
          <w:rFonts w:ascii="宋体" w:hAnsi="宋体"/>
          <w:color w:val="000000"/>
          <w:kern w:val="0"/>
          <w:szCs w:val="21"/>
          <w:highlight w:val="none"/>
        </w:rPr>
      </w:pPr>
      <w:r>
        <w:rPr>
          <w:rFonts w:ascii="宋体" w:hAnsi="宋体"/>
          <w:color w:val="000000"/>
          <w:kern w:val="0"/>
          <w:szCs w:val="21"/>
          <w:highlight w:val="none"/>
        </w:rPr>
        <w:t>（三）项目负责人或者主要技术人员不是本单位人员的。</w:t>
      </w:r>
    </w:p>
    <w:p>
      <w:pPr>
        <w:widowControl/>
        <w:snapToGrid w:val="0"/>
        <w:spacing w:line="360" w:lineRule="auto"/>
        <w:ind w:firstLine="525" w:firstLineChars="250"/>
        <w:jc w:val="left"/>
        <w:textAlignment w:val="baseline"/>
        <w:rPr>
          <w:rFonts w:ascii="宋体" w:hAnsi="宋体"/>
          <w:color w:val="000000"/>
          <w:kern w:val="0"/>
          <w:szCs w:val="21"/>
          <w:highlight w:val="none"/>
        </w:rPr>
      </w:pPr>
      <w:r>
        <w:rPr>
          <w:rFonts w:ascii="宋体" w:hAnsi="宋体"/>
          <w:color w:val="000000"/>
          <w:kern w:val="0"/>
          <w:szCs w:val="21"/>
          <w:highlight w:val="none"/>
        </w:rPr>
        <w:t>（四）投标保证金不是从投标供应商基本账户转出的。</w:t>
      </w:r>
    </w:p>
    <w:p>
      <w:pPr>
        <w:widowControl/>
        <w:snapToGrid w:val="0"/>
        <w:spacing w:line="360" w:lineRule="auto"/>
        <w:ind w:firstLine="525" w:firstLineChars="250"/>
        <w:jc w:val="left"/>
        <w:textAlignment w:val="baseline"/>
        <w:rPr>
          <w:rFonts w:ascii="宋体" w:hAnsi="宋体"/>
          <w:color w:val="000000"/>
          <w:kern w:val="0"/>
          <w:szCs w:val="21"/>
          <w:highlight w:val="none"/>
        </w:rPr>
      </w:pPr>
      <w:r>
        <w:rPr>
          <w:rFonts w:ascii="宋体" w:hAnsi="宋体"/>
          <w:color w:val="000000"/>
          <w:kern w:val="0"/>
          <w:szCs w:val="21"/>
          <w:highlight w:val="none"/>
        </w:rPr>
        <w:t>（五）其他隐瞒真实情况、提供虚假资料的行为。</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二、本公司（单位）已充分知悉“与其他采购参加人串通投标”的法定情形，相关情形包括但不限于：</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（一）投标供应商之间相互约定给予未中标的供应商利益补偿。</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（二）不同投标供应商的法定代表人、主要经营负责人、项目投标授权代表人、项目负责人、主要技术人员为同一人、属同一单位或者在同一单位缴纳社会保险。</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（三）不同投标供应商的投标文件由同一单位或者同一人编制，或者由同一人分阶段参与编制的。</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（四）不同投标供应商的投标文件或部分投标文件相互混装。</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（五）不同投标供应商的投标文件内容存在非正常一致。</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（六）由同一单位工作人员为两家以上（含两家）供应商进行同一项投标活动的。</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（七）不同投标人的投标报价呈规律性差异。</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（八）不同投标人的投标保证金从同一单位或者个人的账户转出。</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（九）主管部门依照法律、法规认定的其他情形。</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三、本公司（单位）已充分知悉下列情形所对应的法律风险，并在投标前已对相关风险事项进行排查。</w:t>
      </w:r>
    </w:p>
    <w:p>
      <w:pPr>
        <w:widowControl/>
        <w:snapToGrid w:val="0"/>
        <w:spacing w:line="360" w:lineRule="auto"/>
        <w:ind w:firstLine="315" w:firstLineChars="150"/>
        <w:jc w:val="left"/>
        <w:textAlignment w:val="baseline"/>
        <w:rPr>
          <w:rFonts w:ascii="宋体" w:hAnsi="宋体"/>
          <w:color w:val="000000"/>
          <w:kern w:val="0"/>
          <w:szCs w:val="21"/>
          <w:highlight w:val="none"/>
        </w:rPr>
      </w:pPr>
      <w:r>
        <w:rPr>
          <w:rFonts w:ascii="宋体" w:hAnsi="宋体"/>
          <w:color w:val="000000"/>
          <w:kern w:val="0"/>
          <w:szCs w:val="21"/>
          <w:highlight w:val="none"/>
        </w:rPr>
        <w:t>（一）对于从其他主体获取的投标资料，供应商应审慎核查，确保投标资料的真实性。如主管部门查实投标文件中存在虚假资料的，无论相关资料是否由第三方或本公司（单位）员工提供，均不影响</w:t>
      </w:r>
    </w:p>
    <w:p>
      <w:pPr>
        <w:widowControl/>
        <w:snapToGrid w:val="0"/>
        <w:spacing w:line="360" w:lineRule="auto"/>
        <w:jc w:val="left"/>
        <w:textAlignment w:val="baseline"/>
        <w:rPr>
          <w:rFonts w:ascii="宋体" w:hAnsi="宋体"/>
          <w:color w:val="000000"/>
          <w:kern w:val="0"/>
          <w:szCs w:val="21"/>
          <w:highlight w:val="none"/>
        </w:rPr>
      </w:pPr>
      <w:r>
        <w:rPr>
          <w:rFonts w:ascii="宋体" w:hAnsi="宋体"/>
          <w:color w:val="000000"/>
          <w:kern w:val="0"/>
          <w:szCs w:val="21"/>
          <w:highlight w:val="none"/>
        </w:rPr>
        <w:t>主管部门对供应商存在“隐瞒真实情况，提供虚假资料”违法行为的认定。</w:t>
      </w:r>
    </w:p>
    <w:p>
      <w:pPr>
        <w:widowControl/>
        <w:snapToGrid w:val="0"/>
        <w:spacing w:line="360" w:lineRule="auto"/>
        <w:ind w:firstLine="315" w:firstLineChars="150"/>
        <w:jc w:val="left"/>
        <w:textAlignment w:val="baseline"/>
        <w:rPr>
          <w:rFonts w:ascii="宋体" w:hAnsi="宋体"/>
          <w:color w:val="000000"/>
          <w:kern w:val="0"/>
          <w:szCs w:val="21"/>
          <w:highlight w:val="none"/>
        </w:rPr>
      </w:pPr>
      <w:r>
        <w:rPr>
          <w:rFonts w:ascii="宋体" w:hAnsi="宋体"/>
          <w:color w:val="000000"/>
          <w:kern w:val="0"/>
          <w:szCs w:val="21"/>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widowControl/>
        <w:snapToGrid w:val="0"/>
        <w:spacing w:line="360" w:lineRule="auto"/>
        <w:ind w:firstLine="315" w:firstLineChars="150"/>
        <w:jc w:val="left"/>
        <w:textAlignment w:val="baseline"/>
        <w:rPr>
          <w:rFonts w:ascii="宋体" w:hAnsi="宋体"/>
          <w:color w:val="000000"/>
          <w:kern w:val="0"/>
          <w:szCs w:val="21"/>
          <w:highlight w:val="none"/>
        </w:rPr>
      </w:pPr>
      <w:r>
        <w:rPr>
          <w:rFonts w:ascii="宋体" w:hAnsi="宋体"/>
          <w:color w:val="000000"/>
          <w:kern w:val="0"/>
          <w:szCs w:val="21"/>
          <w:highlight w:val="none"/>
        </w:rPr>
        <w:t>（三）对于涉及安全生产、特种作业、抢险救灾、防疫等政府采购项目，供应商实施提供虚假资料、串通投标等违法行为的，主管部门将依法从严处理。</w:t>
      </w:r>
    </w:p>
    <w:p>
      <w:pPr>
        <w:widowControl/>
        <w:snapToGrid w:val="0"/>
        <w:spacing w:line="360" w:lineRule="auto"/>
        <w:ind w:firstLine="315" w:firstLineChars="150"/>
        <w:jc w:val="left"/>
        <w:textAlignment w:val="baseline"/>
        <w:rPr>
          <w:rFonts w:ascii="宋体" w:hAnsi="宋体"/>
          <w:color w:val="000000"/>
          <w:kern w:val="0"/>
          <w:szCs w:val="21"/>
          <w:highlight w:val="none"/>
        </w:rPr>
      </w:pPr>
      <w:r>
        <w:rPr>
          <w:rFonts w:ascii="宋体" w:hAnsi="宋体"/>
          <w:color w:val="000000"/>
          <w:kern w:val="0"/>
          <w:szCs w:val="21"/>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（六）单位负责人为同一人或者存在直接控股、管理关系的不同供应商，不得参加同一合同项下的政府采购活动。相关情形如查实，依法作投标无效处理；涉嫌串通投标等违法行为的，主管部门将依法调查处理。</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四、本公司（单位）已充分知悉政府采购违法、违规行为的法律后果。经查实，若投标供应商存在政府采购违法、违规行为，主管部门将依据《深圳经济特区政府采购条例》第五十七条的规定，处以</w:t>
      </w:r>
    </w:p>
    <w:p>
      <w:pPr>
        <w:widowControl/>
        <w:snapToGrid w:val="0"/>
        <w:spacing w:line="360" w:lineRule="auto"/>
        <w:jc w:val="left"/>
        <w:textAlignment w:val="baseline"/>
        <w:rPr>
          <w:rFonts w:ascii="宋体" w:hAnsi="宋体"/>
          <w:color w:val="000000"/>
          <w:kern w:val="0"/>
          <w:szCs w:val="21"/>
          <w:highlight w:val="none"/>
        </w:rPr>
      </w:pPr>
      <w:r>
        <w:rPr>
          <w:rFonts w:ascii="宋体" w:hAnsi="宋体"/>
          <w:color w:val="000000"/>
          <w:kern w:val="0"/>
          <w:szCs w:val="21"/>
          <w:highlight w:val="none"/>
        </w:rPr>
        <w:t>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widowControl/>
        <w:snapToGrid w:val="0"/>
        <w:spacing w:line="360" w:lineRule="auto"/>
        <w:jc w:val="left"/>
        <w:textAlignment w:val="baseline"/>
        <w:rPr>
          <w:rFonts w:ascii="宋体" w:hAnsi="宋体"/>
          <w:color w:val="000000"/>
          <w:kern w:val="0"/>
          <w:szCs w:val="21"/>
          <w:highlight w:val="none"/>
        </w:rPr>
      </w:pPr>
    </w:p>
    <w:p>
      <w:pPr>
        <w:widowControl/>
        <w:snapToGrid w:val="0"/>
        <w:spacing w:line="360" w:lineRule="auto"/>
        <w:ind w:firstLine="420" w:firstLineChars="200"/>
        <w:jc w:val="left"/>
        <w:textAlignment w:val="baseline"/>
        <w:rPr>
          <w:rFonts w:ascii="宋体" w:hAnsi="宋体"/>
          <w:color w:val="000000"/>
          <w:kern w:val="0"/>
          <w:szCs w:val="21"/>
          <w:highlight w:val="none"/>
          <w:u w:val="double"/>
        </w:rPr>
      </w:pPr>
      <w:r>
        <w:rPr>
          <w:rFonts w:ascii="宋体" w:hAnsi="宋体"/>
          <w:color w:val="000000"/>
          <w:kern w:val="0"/>
          <w:szCs w:val="21"/>
          <w:highlight w:val="none"/>
          <w:u w:val="double"/>
        </w:rPr>
        <w:t>以下文字请投标供应商抄写并确认：“本公司（单位）已仔细阅读《政府采购违法行为风险知悉确认书》，充分知悉违法行为的法律后果，并承诺将严谨、诚信、依法依规参与政府采购活动”。</w:t>
      </w:r>
    </w:p>
    <w:p>
      <w:pPr>
        <w:pStyle w:val="a"/>
        <w:rPr>
          <w:color w:val="000000"/>
          <w:highlight w:val="none"/>
        </w:rPr>
      </w:pPr>
    </w:p>
    <w:p>
      <w:pPr>
        <w:widowControl/>
        <w:pBdr>
          <w:bottom w:val="single" w:sz="4" w:space="0" w:color="auto"/>
        </w:pBdr>
        <w:snapToGrid w:val="0"/>
        <w:ind w:firstLine="1890" w:firstLineChars="900"/>
        <w:jc w:val="left"/>
        <w:textAlignment w:val="baseline"/>
        <w:rPr>
          <w:rFonts w:ascii="宋体" w:hAnsi="宋体"/>
          <w:color w:val="000000"/>
          <w:kern w:val="0"/>
          <w:szCs w:val="21"/>
          <w:highlight w:val="none"/>
          <w:u w:val="single"/>
        </w:rPr>
      </w:pPr>
    </w:p>
    <w:p>
      <w:pPr>
        <w:pStyle w:val="BodyTextFirstIndent2"/>
        <w:spacing w:after="0"/>
        <w:ind w:left="0" w:leftChars="0"/>
        <w:rPr>
          <w:color w:val="000000"/>
          <w:highlight w:val="none"/>
        </w:rPr>
      </w:pPr>
      <w:r>
        <w:rPr>
          <w:rFonts w:hint="eastAsia"/>
          <w:color w:val="000000"/>
          <w:highlight w:val="none"/>
        </w:rPr>
        <w:t xml:space="preserve"> </w:t>
      </w:r>
    </w:p>
    <w:p>
      <w:pPr>
        <w:widowControl/>
        <w:pBdr>
          <w:bottom w:val="single" w:sz="4" w:space="0" w:color="auto"/>
        </w:pBdr>
        <w:snapToGrid w:val="0"/>
        <w:spacing w:line="360" w:lineRule="auto"/>
        <w:ind w:firstLine="5460" w:firstLineChars="2600"/>
        <w:jc w:val="left"/>
        <w:textAlignment w:val="baseline"/>
        <w:rPr>
          <w:rFonts w:ascii="宋体" w:hAnsi="宋体" w:hint="eastAsia"/>
          <w:color w:val="000000"/>
          <w:kern w:val="0"/>
          <w:szCs w:val="21"/>
          <w:highlight w:val="none"/>
        </w:rPr>
      </w:pPr>
    </w:p>
    <w:p>
      <w:pPr>
        <w:pStyle w:val="BodyTextFirstIndent2"/>
        <w:rPr>
          <w:rFonts w:hint="eastAsia"/>
          <w:color w:val="000000"/>
          <w:highlight w:val="none"/>
        </w:rPr>
      </w:pPr>
    </w:p>
    <w:p>
      <w:pPr>
        <w:widowControl/>
        <w:pBdr>
          <w:bottom w:val="single" w:sz="4" w:space="0" w:color="auto"/>
        </w:pBdr>
        <w:snapToGrid w:val="0"/>
        <w:spacing w:line="360" w:lineRule="auto"/>
        <w:ind w:firstLine="5460" w:firstLineChars="2600"/>
        <w:jc w:val="left"/>
        <w:textAlignment w:val="baseline"/>
        <w:rPr>
          <w:rFonts w:ascii="宋体" w:hAnsi="宋体" w:hint="eastAsia"/>
          <w:color w:val="000000"/>
          <w:kern w:val="0"/>
          <w:szCs w:val="21"/>
          <w:highlight w:val="none"/>
        </w:rPr>
      </w:pPr>
    </w:p>
    <w:p>
      <w:pPr>
        <w:widowControl/>
        <w:snapToGrid w:val="0"/>
        <w:spacing w:line="360" w:lineRule="auto"/>
        <w:ind w:firstLine="5460" w:firstLineChars="2600"/>
        <w:jc w:val="left"/>
        <w:textAlignment w:val="baseline"/>
        <w:rPr>
          <w:rFonts w:ascii="宋体" w:hAnsi="宋体" w:hint="eastAsia"/>
          <w:color w:val="000000"/>
          <w:kern w:val="0"/>
          <w:szCs w:val="21"/>
          <w:highlight w:val="none"/>
        </w:rPr>
      </w:pPr>
    </w:p>
    <w:p>
      <w:pPr>
        <w:widowControl/>
        <w:snapToGrid w:val="0"/>
        <w:spacing w:line="360" w:lineRule="auto"/>
        <w:ind w:firstLine="5460" w:firstLineChars="2600"/>
        <w:jc w:val="left"/>
        <w:textAlignment w:val="baseline"/>
        <w:rPr>
          <w:rFonts w:ascii="宋体" w:hAnsi="宋体"/>
          <w:color w:val="000000"/>
          <w:kern w:val="0"/>
          <w:szCs w:val="21"/>
          <w:highlight w:val="none"/>
          <w:u w:val="single"/>
        </w:rPr>
      </w:pPr>
      <w:r>
        <w:rPr>
          <w:rFonts w:ascii="宋体" w:hAnsi="宋体" w:hint="eastAsia"/>
          <w:color w:val="000000"/>
          <w:kern w:val="0"/>
          <w:szCs w:val="21"/>
          <w:highlight w:val="none"/>
        </w:rPr>
        <w:t>负责人/</w:t>
      </w:r>
      <w:r>
        <w:rPr>
          <w:rFonts w:ascii="宋体" w:hAnsi="宋体"/>
          <w:color w:val="000000"/>
          <w:kern w:val="0"/>
          <w:szCs w:val="21"/>
          <w:highlight w:val="none"/>
        </w:rPr>
        <w:t>投标授权代表</w:t>
      </w:r>
      <w:r>
        <w:rPr>
          <w:rFonts w:ascii="宋体" w:hAnsi="宋体" w:hint="eastAsia"/>
          <w:color w:val="000000"/>
          <w:kern w:val="0"/>
          <w:szCs w:val="21"/>
          <w:highlight w:val="none"/>
        </w:rPr>
        <w:t>签名</w:t>
      </w:r>
      <w:r>
        <w:rPr>
          <w:rFonts w:ascii="宋体" w:hAnsi="宋体"/>
          <w:color w:val="000000"/>
          <w:kern w:val="0"/>
          <w:szCs w:val="21"/>
          <w:highlight w:val="none"/>
        </w:rPr>
        <w:t>：</w:t>
      </w:r>
    </w:p>
    <w:p>
      <w:pPr>
        <w:widowControl/>
        <w:snapToGrid w:val="0"/>
        <w:spacing w:line="360" w:lineRule="auto"/>
        <w:ind w:left="5460" w:leftChars="2600"/>
        <w:jc w:val="left"/>
        <w:textAlignment w:val="baseline"/>
        <w:rPr>
          <w:rFonts w:ascii="宋体" w:hAnsi="宋体" w:hint="eastAsia"/>
          <w:color w:val="000000"/>
          <w:kern w:val="0"/>
          <w:szCs w:val="21"/>
          <w:highlight w:val="none"/>
        </w:rPr>
      </w:pPr>
      <w:r>
        <w:rPr>
          <w:rFonts w:ascii="宋体" w:hAnsi="宋体" w:hint="eastAsia"/>
          <w:color w:val="000000"/>
          <w:kern w:val="0"/>
          <w:szCs w:val="21"/>
          <w:highlight w:val="none"/>
        </w:rPr>
        <w:t>知悉人（公章）</w:t>
      </w:r>
      <w:r>
        <w:rPr>
          <w:rFonts w:ascii="宋体" w:hAnsi="宋体"/>
          <w:color w:val="000000"/>
          <w:kern w:val="0"/>
          <w:szCs w:val="21"/>
          <w:highlight w:val="none"/>
        </w:rPr>
        <w:t>：                                                    日期：</w:t>
      </w:r>
    </w:p>
    <w:p>
      <w:pPr>
        <w:pStyle w:val="BodyText"/>
        <w:rPr>
          <w:color w:val="000000"/>
          <w:highlight w:val="none"/>
        </w:rPr>
      </w:pPr>
    </w:p>
    <w:p>
      <w:pPr>
        <w:spacing w:after="120"/>
        <w:rPr>
          <w:rFonts w:ascii="宋体" w:hAnsi="宋体" w:cs="宋体" w:hint="eastAsia"/>
          <w:color w:val="000000"/>
          <w:szCs w:val="21"/>
          <w:highlight w:val="none"/>
        </w:rPr>
      </w:pPr>
    </w:p>
    <w:p>
      <w:pPr>
        <w:keepNext/>
        <w:keepLines/>
        <w:spacing w:before="120" w:after="120" w:line="360" w:lineRule="exact"/>
        <w:jc w:val="center"/>
        <w:outlineLvl w:val="2"/>
        <w:rPr>
          <w:rFonts w:ascii="宋体" w:hAnsi="宋体" w:cs="宋体"/>
          <w:b/>
          <w:bCs/>
          <w:color w:val="000000"/>
          <w:sz w:val="28"/>
          <w:szCs w:val="32"/>
          <w:highlight w:val="none"/>
        </w:rPr>
      </w:pPr>
      <w:r>
        <w:rPr>
          <w:rFonts w:ascii="宋体" w:hAnsi="宋体" w:cs="宋体" w:hint="eastAsia"/>
          <w:b/>
          <w:bCs/>
          <w:color w:val="000000"/>
          <w:sz w:val="28"/>
          <w:szCs w:val="32"/>
          <w:highlight w:val="none"/>
        </w:rPr>
        <w:t>十四、投标人联络信息</w:t>
      </w:r>
    </w:p>
    <w:p>
      <w:pPr>
        <w:spacing w:after="120"/>
        <w:rPr>
          <w:rFonts w:ascii="宋体" w:hAnsi="宋体" w:cs="宋体"/>
          <w:color w:val="000000"/>
          <w:highlight w:val="none"/>
        </w:rPr>
      </w:pPr>
      <w:r>
        <w:rPr>
          <w:rFonts w:ascii="宋体" w:hAnsi="宋体" w:cs="宋体" w:hint="eastAsia"/>
          <w:color w:val="000000"/>
          <w:highlight w:val="none"/>
        </w:rPr>
        <w:t>以下信息投标人必须真实准确填写，若因填写不实造成快递延误送达，其责任由投标人承担！</w:t>
      </w:r>
    </w:p>
    <w:p>
      <w:pPr>
        <w:spacing w:after="120"/>
        <w:rPr>
          <w:rFonts w:ascii="宋体" w:hAnsi="宋体" w:cs="宋体"/>
          <w:color w:val="000000"/>
          <w:szCs w:val="21"/>
          <w:highlight w:val="none"/>
        </w:rPr>
      </w:pPr>
      <w:r>
        <w:rPr>
          <w:rFonts w:ascii="宋体" w:hAnsi="宋体" w:cs="宋体" w:hint="eastAsia"/>
          <w:color w:val="000000"/>
          <w:szCs w:val="21"/>
          <w:highlight w:val="none"/>
        </w:rPr>
        <w:t>收件人：</w:t>
      </w:r>
    </w:p>
    <w:p>
      <w:pPr>
        <w:spacing w:after="120"/>
        <w:rPr>
          <w:rFonts w:ascii="宋体" w:hAnsi="宋体" w:cs="宋体"/>
          <w:color w:val="000000"/>
          <w:szCs w:val="21"/>
          <w:highlight w:val="none"/>
        </w:rPr>
      </w:pPr>
      <w:r>
        <w:rPr>
          <w:rFonts w:ascii="宋体" w:hAnsi="宋体" w:cs="宋体" w:hint="eastAsia"/>
          <w:color w:val="000000"/>
          <w:szCs w:val="21"/>
          <w:highlight w:val="none"/>
        </w:rPr>
        <w:t>收件人联系方式（手机号）：</w:t>
      </w:r>
    </w:p>
    <w:p>
      <w:pPr>
        <w:spacing w:after="120"/>
        <w:rPr>
          <w:rFonts w:ascii="宋体" w:hAnsi="宋体" w:cs="宋体"/>
          <w:color w:val="000000"/>
          <w:szCs w:val="21"/>
          <w:highlight w:val="none"/>
        </w:rPr>
      </w:pPr>
      <w:r>
        <w:rPr>
          <w:rFonts w:ascii="宋体" w:hAnsi="宋体" w:cs="宋体" w:hint="eastAsia"/>
          <w:color w:val="000000"/>
          <w:szCs w:val="21"/>
          <w:highlight w:val="none"/>
        </w:rPr>
        <w:t>收件人地址：</w:t>
      </w:r>
    </w:p>
    <w:p>
      <w:pPr>
        <w:spacing w:after="120"/>
        <w:rPr>
          <w:rFonts w:ascii="宋体" w:hAnsi="宋体" w:cs="宋体"/>
          <w:color w:val="000000"/>
          <w:szCs w:val="21"/>
          <w:highlight w:val="none"/>
        </w:rPr>
      </w:pPr>
      <w:r>
        <w:rPr>
          <w:rFonts w:ascii="宋体" w:hAnsi="宋体" w:cs="宋体" w:hint="eastAsia"/>
          <w:color w:val="000000"/>
          <w:szCs w:val="21"/>
          <w:highlight w:val="none"/>
        </w:rPr>
        <w:t>邮箱（E-Mail）：</w:t>
      </w:r>
    </w:p>
    <w:p>
      <w:pPr>
        <w:pStyle w:val="a28"/>
        <w:ind w:firstLine="420"/>
        <w:rPr>
          <w:rFonts w:ascii="宋体" w:hAnsi="宋体" w:cs="宋体"/>
          <w:color w:val="000000"/>
          <w:highlight w:val="none"/>
        </w:rPr>
      </w:pPr>
    </w:p>
    <w:p>
      <w:pPr>
        <w:spacing w:line="300" w:lineRule="auto"/>
        <w:rPr>
          <w:rFonts w:ascii="宋体" w:hAnsi="宋体" w:cs="宋体"/>
          <w:color w:val="000000"/>
          <w:highlight w:val="none"/>
        </w:rPr>
      </w:pPr>
    </w:p>
    <w:p>
      <w:pPr>
        <w:pStyle w:val="Heading2"/>
        <w:spacing w:line="300" w:lineRule="auto"/>
        <w:rPr>
          <w:rFonts w:cs="宋体"/>
          <w:color w:val="000000"/>
          <w:sz w:val="28"/>
          <w:szCs w:val="21"/>
          <w:highlight w:val="none"/>
        </w:rPr>
      </w:pPr>
      <w:r>
        <w:rPr>
          <w:rFonts w:cs="宋体"/>
          <w:color w:val="000000"/>
          <w:highlight w:val="none"/>
        </w:rPr>
        <w:br w:type="page"/>
      </w:r>
      <w:r>
        <w:rPr>
          <w:rFonts w:cs="宋体" w:hint="eastAsia"/>
          <w:color w:val="000000"/>
          <w:sz w:val="28"/>
          <w:szCs w:val="21"/>
          <w:highlight w:val="none"/>
        </w:rPr>
        <w:t>第四章  合同及履约情况反馈格式</w:t>
      </w:r>
    </w:p>
    <w:p>
      <w:pPr>
        <w:pStyle w:val="Heading3"/>
        <w:spacing w:line="300" w:lineRule="auto"/>
        <w:jc w:val="center"/>
        <w:rPr>
          <w:rFonts w:cs="宋体"/>
          <w:color w:val="000000"/>
          <w:sz w:val="24"/>
          <w:highlight w:val="none"/>
        </w:rPr>
      </w:pPr>
      <w:bookmarkStart w:id="27" w:name="_Toc84303603"/>
      <w:bookmarkStart w:id="28" w:name="_Toc73521592"/>
      <w:bookmarkStart w:id="29" w:name="_Toc73517685"/>
      <w:bookmarkStart w:id="30" w:name="_Toc100052414"/>
      <w:bookmarkStart w:id="31" w:name="_Toc73518163"/>
      <w:bookmarkStart w:id="32" w:name="_Toc73521680"/>
      <w:bookmarkStart w:id="33" w:name="_Toc101074886"/>
      <w:r>
        <w:rPr>
          <w:rFonts w:cs="宋体" w:hint="eastAsia"/>
          <w:color w:val="000000"/>
          <w:sz w:val="24"/>
          <w:highlight w:val="none"/>
        </w:rPr>
        <w:t>一、合同条款</w:t>
      </w:r>
    </w:p>
    <w:p>
      <w:pPr>
        <w:spacing w:line="300" w:lineRule="auto"/>
        <w:jc w:val="center"/>
        <w:rPr>
          <w:rFonts w:ascii="宋体" w:hAnsi="宋体" w:cs="宋体"/>
          <w:color w:val="000000"/>
          <w:highlight w:val="none"/>
        </w:rPr>
      </w:pPr>
      <w:r>
        <w:rPr>
          <w:rFonts w:ascii="宋体" w:hAnsi="宋体" w:cs="宋体" w:hint="eastAsia"/>
          <w:b/>
          <w:color w:val="000000"/>
          <w:sz w:val="24"/>
          <w:highlight w:val="none"/>
        </w:rPr>
        <w:t>（仅供参考，项目具体要求以招标项目需求为准）</w:t>
      </w:r>
    </w:p>
    <w:p>
      <w:pPr>
        <w:spacing w:line="360" w:lineRule="auto"/>
        <w:rPr>
          <w:rFonts w:ascii="宋体" w:hAnsi="宋体" w:cs="宋体"/>
          <w:b/>
          <w:bCs/>
          <w:color w:val="000000"/>
          <w:szCs w:val="21"/>
          <w:highlight w:val="none"/>
        </w:rPr>
      </w:pPr>
      <w:r>
        <w:rPr>
          <w:rFonts w:ascii="宋体" w:hAnsi="宋体" w:cs="宋体" w:hint="eastAsia"/>
          <w:b/>
          <w:bCs/>
          <w:color w:val="000000"/>
          <w:szCs w:val="21"/>
          <w:highlight w:val="none"/>
        </w:rPr>
        <w:t>甲方：</w:t>
      </w:r>
    </w:p>
    <w:p>
      <w:pPr>
        <w:spacing w:line="360" w:lineRule="auto"/>
        <w:rPr>
          <w:rFonts w:ascii="宋体" w:hAnsi="宋体" w:cs="宋体"/>
          <w:b/>
          <w:bCs/>
          <w:color w:val="000000"/>
          <w:szCs w:val="21"/>
          <w:highlight w:val="none"/>
        </w:rPr>
      </w:pPr>
      <w:r>
        <w:rPr>
          <w:rFonts w:ascii="宋体" w:hAnsi="宋体" w:cs="宋体" w:hint="eastAsia"/>
          <w:b/>
          <w:bCs/>
          <w:color w:val="000000"/>
          <w:szCs w:val="21"/>
          <w:highlight w:val="none"/>
        </w:rPr>
        <w:t>乙方：</w:t>
      </w:r>
    </w:p>
    <w:p>
      <w:pPr>
        <w:spacing w:line="36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根据中国远东国际招标有限公司就</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项目（项目编号：</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）的招标采购结果，</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单位为中标（成交）方。按照《中华人民共和国民法典》和《深圳经济特区政府采购条例》，依照采购文件和中标（成交）方的响应与承诺，经采购人</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（以下简称甲方）和中标（成交）方</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（以下简称乙方）协商、确定，达成以下合同条款：</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第一条 合同标的</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乙方根据甲方需求提供下列货物：</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1、货物名称：</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2、规格：</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3、数量：</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第二条 合同价款</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本合同项下总价款为人民币（大写）:</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 xml:space="preserve">  </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分项价款详见</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本合同总价款已包括乙方为履行本合同义务所发生的一切费用，系固定不变价格，且不随通货膨胀的影响而波动。</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第三条 权利保证</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第四条 质量保证</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1、乙方所提供的货物的技术规格符合招标(采购)文件规定的技术规格，货物符合中华人民共和国的设计和制造生产标准或行业标准。</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2、乙方应保证货物是全新、未使用过的原装合格正品（包括零部件），并完全符合甲方要求的质量、规格和性能的要求。如货物安装或配置了软件的，乙方保证相关软件均为正版软件。</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3、乙方保证交货时一并提供货物的质量合格凭证或文件。</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第五条 交货和验收</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1、乙方应按照本合同或招（采）投标文件规定的时间和方式向甲方交付货物，交货地点由甲方指定。因交货产生的费用由乙方自行承担。</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交付货物时间：</w:t>
      </w:r>
      <w:r>
        <w:rPr>
          <w:rFonts w:ascii="宋体" w:hAnsi="宋体" w:cs="宋体" w:hint="eastAsia"/>
          <w:color w:val="000000"/>
          <w:szCs w:val="21"/>
          <w:highlight w:val="none"/>
          <w:u w:val="single"/>
        </w:rPr>
        <w:t xml:space="preserve">                 </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甲方指定交货地点：</w:t>
      </w:r>
      <w:r>
        <w:rPr>
          <w:rFonts w:ascii="宋体" w:hAnsi="宋体" w:cs="宋体" w:hint="eastAsia"/>
          <w:color w:val="000000"/>
          <w:szCs w:val="21"/>
          <w:highlight w:val="none"/>
          <w:u w:val="single"/>
        </w:rPr>
        <w:t xml:space="preserve">                </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2、乙方交付的货物应当完全符合招投标文件所规定的货物、数量、质量和规格要求。乙方提供的货物不符合招（采）投标文件和合同规定的，甲方有权拒收货物，由此引起的风险，由乙方承担。</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4、甲方应当在到货后的_____个工作日内对货物进行验收；需要乙方对货物或系统进行安装调试的，甲方应在货物安装调试完毕后的_____个工作日内进行质量验收。</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第六条 保修及其他服务</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1、乙方应按照国家有关法律法规规章和“三包”规定和招标文件的要求及乙方在投标文件的相关承诺提供保修及其他服务。</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保修期内，乙方负责对其提供的货物进行维修和系统维护，不再收取任何费用。所有货物保修服务方式均为乙方上门保修，即由乙方派员到货物使用现场维修，由此产生的一切费用均由乙方承担。保修期后的货物维护另行协商。</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第七条 履约保证金</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1、乙方可自主选择履约保证金方式：□现金、□非现金其它方式</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2、履约保证金的缴付、退还、补偿等</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a、乙方应在签订本合同之日，向甲方或甲方指定的机构提交履约保证金_________元。</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b、如乙方未能履行合同规定的义务，甲方有权从履约保证金中取得补偿。</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c、甲方在乙方履行完毕本合同项下全部义务后______天内无息退还乙方。</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第八条 货款支付</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1、付款方式：_________</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2、付款期限：_________</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3、其它约定：________</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第九条 违约责任</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１、甲方无正当理由拒收货物、拒付货物款的，由甲方向乙方偿付合同总价的</w:t>
      </w:r>
      <w:r>
        <w:rPr>
          <w:rFonts w:ascii="宋体" w:hAnsi="宋体" w:cs="宋体" w:hint="eastAsia"/>
          <w:color w:val="000000"/>
          <w:szCs w:val="21"/>
          <w:highlight w:val="none"/>
          <w:u w:val="single"/>
        </w:rPr>
        <w:t>xx</w:t>
      </w:r>
      <w:r>
        <w:rPr>
          <w:rFonts w:ascii="宋体" w:hAnsi="宋体" w:cs="宋体" w:hint="eastAsia"/>
          <w:color w:val="000000"/>
          <w:szCs w:val="21"/>
          <w:highlight w:val="none"/>
        </w:rPr>
        <w:t>%违约金。</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２、甲方未按合同规定的期限向乙方支付货款的，每逾期1天甲方向乙方偿付欠款总额的</w:t>
      </w:r>
      <w:r>
        <w:rPr>
          <w:rFonts w:ascii="宋体" w:hAnsi="宋体" w:cs="宋体" w:hint="eastAsia"/>
          <w:color w:val="000000"/>
          <w:szCs w:val="21"/>
          <w:highlight w:val="none"/>
          <w:u w:val="single"/>
        </w:rPr>
        <w:t>xx</w:t>
      </w:r>
      <w:r>
        <w:rPr>
          <w:rFonts w:ascii="宋体" w:hAnsi="宋体" w:cs="宋体" w:hint="eastAsia"/>
          <w:color w:val="000000"/>
          <w:szCs w:val="21"/>
          <w:highlight w:val="none"/>
        </w:rPr>
        <w:t>‰滞纳金，但累计滞纳金总额不超过欠款总额的</w:t>
      </w:r>
      <w:r>
        <w:rPr>
          <w:rFonts w:ascii="宋体" w:hAnsi="宋体" w:cs="宋体" w:hint="eastAsia"/>
          <w:color w:val="000000"/>
          <w:szCs w:val="21"/>
          <w:highlight w:val="none"/>
          <w:u w:val="single"/>
        </w:rPr>
        <w:t>xx</w:t>
      </w:r>
      <w:r>
        <w:rPr>
          <w:rFonts w:ascii="宋体" w:hAnsi="宋体" w:cs="宋体" w:hint="eastAsia"/>
          <w:color w:val="000000"/>
          <w:szCs w:val="21"/>
          <w:highlight w:val="none"/>
        </w:rPr>
        <w:t>% 。</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３、乙方逾期交付货物的，每逾期1天，乙方向甲方偿付逾期交货部分货款总额的</w:t>
      </w:r>
      <w:r>
        <w:rPr>
          <w:rFonts w:ascii="宋体" w:hAnsi="宋体" w:cs="宋体" w:hint="eastAsia"/>
          <w:color w:val="000000"/>
          <w:szCs w:val="21"/>
          <w:highlight w:val="none"/>
          <w:u w:val="single"/>
        </w:rPr>
        <w:t>xx</w:t>
      </w:r>
      <w:r>
        <w:rPr>
          <w:rFonts w:ascii="宋体" w:hAnsi="宋体" w:cs="宋体" w:hint="eastAsia"/>
          <w:color w:val="000000"/>
          <w:szCs w:val="21"/>
          <w:highlight w:val="none"/>
        </w:rPr>
        <w:t>‰的滞纳金。如乙方逾期交货达天，甲方有权解除合同，履约保证金不予退回，同时乙方应向甲方支付合同总价</w:t>
      </w:r>
      <w:r>
        <w:rPr>
          <w:rFonts w:ascii="宋体" w:hAnsi="宋体" w:cs="宋体" w:hint="eastAsia"/>
          <w:color w:val="000000"/>
          <w:szCs w:val="21"/>
          <w:highlight w:val="none"/>
          <w:u w:val="single"/>
        </w:rPr>
        <w:t>xx</w:t>
      </w:r>
      <w:r>
        <w:rPr>
          <w:rFonts w:ascii="宋体" w:hAnsi="宋体" w:cs="宋体" w:hint="eastAsia"/>
          <w:color w:val="000000"/>
          <w:szCs w:val="21"/>
          <w:highlight w:val="none"/>
        </w:rPr>
        <w:t>％的违约金。</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4、乙方所交付的货物品种、型号、规格不符合合同规定的，甲方有权拒收。甲方拒收的，乙方应向甲方支付货款总额</w:t>
      </w:r>
      <w:r>
        <w:rPr>
          <w:rFonts w:ascii="宋体" w:hAnsi="宋体" w:cs="宋体" w:hint="eastAsia"/>
          <w:color w:val="000000"/>
          <w:szCs w:val="21"/>
          <w:highlight w:val="none"/>
          <w:u w:val="single"/>
        </w:rPr>
        <w:t>xx</w:t>
      </w:r>
      <w:r>
        <w:rPr>
          <w:rFonts w:ascii="宋体" w:hAnsi="宋体" w:cs="宋体" w:hint="eastAsia"/>
          <w:color w:val="000000"/>
          <w:szCs w:val="21"/>
          <w:highlight w:val="none"/>
        </w:rPr>
        <w:t>%的违约金。</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5、在乙方承诺的或国家规定的质量保证期内（取两者中最长的期限），如经乙方两次维修或更换，货物仍不能达到合同约定的质量标准，甲方有权退货，乙方应退回全部货款并赔偿甲方因此遭受的损失。</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6、乙方未履行本合同项下的其他义务或违反其在投标文件中的相关承诺的，应按合同总价款的</w:t>
      </w:r>
      <w:r>
        <w:rPr>
          <w:rFonts w:ascii="宋体" w:hAnsi="宋体" w:cs="宋体" w:hint="eastAsia"/>
          <w:color w:val="000000"/>
          <w:szCs w:val="21"/>
          <w:highlight w:val="none"/>
          <w:u w:val="single"/>
        </w:rPr>
        <w:t>xx</w:t>
      </w:r>
      <w:r>
        <w:rPr>
          <w:rFonts w:ascii="宋体" w:hAnsi="宋体" w:cs="宋体" w:hint="eastAsia"/>
          <w:color w:val="000000"/>
          <w:szCs w:val="21"/>
          <w:highlight w:val="none"/>
        </w:rPr>
        <w:t>%向甲方承担违约责任。</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7、乙方在承担上述一项或多项违约责任后，仍应继续履行合同规定的义务（甲方解除合同的除外）。甲方未能及时追究乙方的任何一项违约责任并不表明甲方放弃追究乙方该项或其他违约责任。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第十条 合同的变更和终止</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除《中华人民共和国政府采购法》第49条、第50条规定的情形外，本合同一经签订，甲乙双方不得擅自变更、中止或终止合同。</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第十一条 争议的解决</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1、因货物的质量问题发生争议的，应当邀请国家认可的质量检测机构对货物质量进行鉴定。货物符合标准的，鉴定费由甲方承担；货物不符合质量标准的，鉴定费由乙方承担。</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2、因履行本合同引起的或与本合同有关的争议，甲、乙双方应首先通过友好协商解决，如果协商不能解决争议，则向甲方所在地有管辖权的人民法院提起诉讼。</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第十二条 合同生效及其他</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1、下列文件均为本合同的组成部分：</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（1）本项目招标（采购）文件、答疑及补充通知；</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（2）乙方的投标（应答）文件；</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（3）本合同执行中甲乙双方共同签署的补充与修正文件。</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2、本合同一式</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份，甲、乙方双方各执</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份，具有同等法律效力。本合同自双方法定代表人（或授权代表）签字并盖章之日起生效。</w:t>
      </w:r>
    </w:p>
    <w:p>
      <w:pPr>
        <w:spacing w:line="360" w:lineRule="auto"/>
        <w:rPr>
          <w:rFonts w:ascii="宋体" w:hAnsi="宋体" w:cs="宋体"/>
          <w:color w:val="000000"/>
          <w:szCs w:val="21"/>
          <w:highlight w:val="none"/>
        </w:rPr>
      </w:pPr>
    </w:p>
    <w:p>
      <w:pPr>
        <w:spacing w:line="360" w:lineRule="auto"/>
        <w:rPr>
          <w:rFonts w:ascii="宋体" w:hAnsi="宋体" w:cs="宋体"/>
          <w:color w:val="000000"/>
          <w:szCs w:val="21"/>
          <w:highlight w:val="none"/>
        </w:rPr>
      </w:pPr>
    </w:p>
    <w:p>
      <w:pPr>
        <w:spacing w:line="360" w:lineRule="auto"/>
        <w:rPr>
          <w:rFonts w:ascii="宋体" w:hAnsi="宋体" w:cs="宋体"/>
          <w:color w:val="000000"/>
          <w:szCs w:val="21"/>
          <w:highlight w:val="none"/>
        </w:rPr>
      </w:pPr>
      <w:r>
        <w:rPr>
          <w:rFonts w:ascii="宋体" w:hAnsi="宋体" w:cs="宋体" w:hint="eastAsia"/>
          <w:color w:val="000000"/>
          <w:szCs w:val="21"/>
          <w:highlight w:val="none"/>
        </w:rPr>
        <w:t>甲方（采购人）：   （盖章）                     乙方（供应商）：    （盖章）</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 xml:space="preserve">法定代表人：                                    法定代表人： </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委托代理人：                                    委托代理人：</w:t>
      </w:r>
    </w:p>
    <w:p>
      <w:pPr>
        <w:spacing w:line="360" w:lineRule="auto"/>
        <w:rPr>
          <w:rFonts w:ascii="宋体" w:hAnsi="宋体" w:cs="宋体"/>
          <w:b/>
          <w:color w:val="000000"/>
          <w:szCs w:val="21"/>
          <w:highlight w:val="none"/>
        </w:rPr>
      </w:pPr>
      <w:r>
        <w:rPr>
          <w:rFonts w:ascii="宋体" w:hAnsi="宋体" w:cs="宋体" w:hint="eastAsia"/>
          <w:color w:val="000000"/>
          <w:szCs w:val="21"/>
          <w:highlight w:val="none"/>
        </w:rPr>
        <w:t>日期：   年     月    日                        日期：   年     月    日</w:t>
      </w:r>
    </w:p>
    <w:p>
      <w:pPr>
        <w:pStyle w:val="NormalIndent"/>
        <w:spacing w:line="300" w:lineRule="auto"/>
        <w:rPr>
          <w:rFonts w:ascii="宋体" w:hAnsi="宋体" w:cs="宋体"/>
          <w:color w:val="000000"/>
          <w:szCs w:val="21"/>
          <w:highlight w:val="none"/>
        </w:rPr>
      </w:pPr>
      <w:bookmarkEnd w:id="27"/>
      <w:bookmarkEnd w:id="28"/>
      <w:bookmarkEnd w:id="29"/>
      <w:bookmarkEnd w:id="30"/>
      <w:bookmarkEnd w:id="31"/>
      <w:bookmarkEnd w:id="32"/>
      <w:bookmarkEnd w:id="33"/>
    </w:p>
    <w:p>
      <w:pPr>
        <w:pStyle w:val="Heading3"/>
        <w:spacing w:line="300" w:lineRule="auto"/>
        <w:jc w:val="center"/>
        <w:rPr>
          <w:rFonts w:cs="宋体"/>
          <w:color w:val="000000"/>
          <w:kern w:val="0"/>
          <w:sz w:val="24"/>
          <w:szCs w:val="24"/>
          <w:highlight w:val="none"/>
        </w:rPr>
      </w:pPr>
      <w:r>
        <w:rPr>
          <w:rFonts w:cs="宋体" w:hint="eastAsia"/>
          <w:color w:val="000000"/>
          <w:kern w:val="0"/>
          <w:sz w:val="24"/>
          <w:szCs w:val="24"/>
          <w:highlight w:val="none"/>
        </w:rPr>
        <w:br w:type="page"/>
      </w:r>
      <w:r>
        <w:rPr>
          <w:rFonts w:cs="宋体" w:hint="eastAsia"/>
          <w:color w:val="000000"/>
          <w:kern w:val="0"/>
          <w:sz w:val="24"/>
          <w:szCs w:val="24"/>
          <w:highlight w:val="none"/>
        </w:rPr>
        <w:t>二、政府采购履约情况反馈表</w:t>
      </w:r>
    </w:p>
    <w:p>
      <w:pPr>
        <w:spacing w:line="300" w:lineRule="auto"/>
        <w:jc w:val="center"/>
        <w:rPr>
          <w:rFonts w:ascii="宋体" w:hAnsi="宋体" w:cs="宋体"/>
          <w:b/>
          <w:color w:val="000000"/>
          <w:szCs w:val="21"/>
          <w:highlight w:val="none"/>
        </w:rPr>
      </w:pPr>
      <w:r>
        <w:rPr>
          <w:rFonts w:ascii="宋体" w:hAnsi="宋体" w:cs="宋体" w:hint="eastAsia"/>
          <w:b/>
          <w:color w:val="000000"/>
          <w:szCs w:val="21"/>
          <w:highlight w:val="none"/>
        </w:rPr>
        <w:t>采购人名称：                       联系人及电话：</w:t>
      </w:r>
    </w:p>
    <w:p>
      <w:pPr>
        <w:spacing w:line="300" w:lineRule="auto"/>
        <w:rPr>
          <w:rFonts w:ascii="宋体" w:hAnsi="宋体" w:cs="宋体"/>
          <w:b/>
          <w:color w:val="000000"/>
          <w:szCs w:val="21"/>
          <w:highlight w:val="none"/>
        </w:rPr>
      </w:pPr>
    </w:p>
    <w:tbl>
      <w:tblPr>
        <w:tblStyle w:val="TableNormal"/>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0" w:type="dxa"/>
          <w:left w:w="108" w:type="dxa"/>
          <w:bottom w:w="0" w:type="dxa"/>
          <w:right w:w="108" w:type="dxa"/>
        </w:tblCellMar>
        <w:tblLook w:val="0000"/>
      </w:tblPr>
      <w:tblGrid>
        <w:gridCol w:w="842"/>
        <w:gridCol w:w="720"/>
        <w:gridCol w:w="720"/>
        <w:gridCol w:w="2520"/>
        <w:gridCol w:w="1980"/>
        <w:gridCol w:w="2135"/>
      </w:tblGrid>
      <w:tr>
        <w:tblPrEx>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0" w:type="dxa"/>
            <w:left w:w="108" w:type="dxa"/>
            <w:bottom w:w="0" w:type="dxa"/>
            <w:right w:w="108" w:type="dxa"/>
          </w:tblCellMar>
          <w:tblLook w:val="0000"/>
        </w:tblPrEx>
        <w:trPr>
          <w:trHeight w:val="450"/>
          <w:jc w:val="center"/>
        </w:trPr>
        <w:tc>
          <w:tcPr>
            <w:tcW w:w="2282" w:type="dxa"/>
            <w:gridSpan w:val="3"/>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采购项目名称</w:t>
            </w:r>
          </w:p>
        </w:tc>
        <w:tc>
          <w:tcPr>
            <w:tcW w:w="2520" w:type="dxa"/>
            <w:vAlign w:val="center"/>
          </w:tcPr>
          <w:p>
            <w:pPr>
              <w:spacing w:line="300" w:lineRule="auto"/>
              <w:jc w:val="center"/>
              <w:rPr>
                <w:rFonts w:ascii="宋体" w:hAnsi="宋体" w:cs="宋体"/>
                <w:color w:val="000000"/>
                <w:szCs w:val="21"/>
                <w:highlight w:val="none"/>
              </w:rPr>
            </w:pPr>
          </w:p>
        </w:tc>
        <w:tc>
          <w:tcPr>
            <w:tcW w:w="1980"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项目编号</w:t>
            </w:r>
          </w:p>
        </w:tc>
        <w:tc>
          <w:tcPr>
            <w:tcW w:w="2135" w:type="dxa"/>
            <w:vAlign w:val="center"/>
          </w:tcPr>
          <w:p>
            <w:pPr>
              <w:spacing w:line="300" w:lineRule="auto"/>
              <w:jc w:val="center"/>
              <w:rPr>
                <w:rFonts w:ascii="宋体" w:hAnsi="宋体" w:cs="宋体"/>
                <w:color w:val="000000"/>
                <w:szCs w:val="21"/>
                <w:highlight w:val="none"/>
              </w:rPr>
            </w:pPr>
          </w:p>
        </w:tc>
      </w:tr>
      <w:tr>
        <w:tblPrEx>
          <w:tblW w:w="0" w:type="auto"/>
          <w:jc w:val="center"/>
          <w:tblLayout w:type="fixed"/>
          <w:tblCellMar>
            <w:top w:w="0" w:type="dxa"/>
            <w:left w:w="108" w:type="dxa"/>
            <w:bottom w:w="0" w:type="dxa"/>
            <w:right w:w="108" w:type="dxa"/>
          </w:tblCellMar>
          <w:tblLook w:val="0000"/>
        </w:tblPrEx>
        <w:trPr>
          <w:trHeight w:val="461"/>
          <w:jc w:val="center"/>
        </w:trPr>
        <w:tc>
          <w:tcPr>
            <w:tcW w:w="2282" w:type="dxa"/>
            <w:gridSpan w:val="3"/>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中标供应商名称</w:t>
            </w:r>
          </w:p>
        </w:tc>
        <w:tc>
          <w:tcPr>
            <w:tcW w:w="2520" w:type="dxa"/>
            <w:vAlign w:val="center"/>
          </w:tcPr>
          <w:p>
            <w:pPr>
              <w:spacing w:line="300" w:lineRule="auto"/>
              <w:jc w:val="center"/>
              <w:rPr>
                <w:rFonts w:ascii="宋体" w:hAnsi="宋体" w:cs="宋体"/>
                <w:color w:val="000000"/>
                <w:szCs w:val="21"/>
                <w:highlight w:val="none"/>
              </w:rPr>
            </w:pPr>
          </w:p>
        </w:tc>
        <w:tc>
          <w:tcPr>
            <w:tcW w:w="1980"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供应商</w:t>
            </w:r>
          </w:p>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联系人及电话</w:t>
            </w:r>
          </w:p>
        </w:tc>
        <w:tc>
          <w:tcPr>
            <w:tcW w:w="2135" w:type="dxa"/>
            <w:vAlign w:val="center"/>
          </w:tcPr>
          <w:p>
            <w:pPr>
              <w:spacing w:line="300" w:lineRule="auto"/>
              <w:jc w:val="center"/>
              <w:rPr>
                <w:rFonts w:ascii="宋体" w:hAnsi="宋体" w:cs="宋体"/>
                <w:color w:val="000000"/>
                <w:szCs w:val="21"/>
                <w:highlight w:val="none"/>
              </w:rPr>
            </w:pPr>
          </w:p>
        </w:tc>
      </w:tr>
      <w:tr>
        <w:tblPrEx>
          <w:tblW w:w="0" w:type="auto"/>
          <w:jc w:val="center"/>
          <w:tblLayout w:type="fixed"/>
          <w:tblCellMar>
            <w:top w:w="0" w:type="dxa"/>
            <w:left w:w="108" w:type="dxa"/>
            <w:bottom w:w="0" w:type="dxa"/>
            <w:right w:w="108" w:type="dxa"/>
          </w:tblCellMar>
          <w:tblLook w:val="0000"/>
        </w:tblPrEx>
        <w:trPr>
          <w:trHeight w:val="438"/>
          <w:jc w:val="center"/>
        </w:trPr>
        <w:tc>
          <w:tcPr>
            <w:tcW w:w="2282" w:type="dxa"/>
            <w:gridSpan w:val="3"/>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中标金额</w:t>
            </w:r>
          </w:p>
        </w:tc>
        <w:tc>
          <w:tcPr>
            <w:tcW w:w="2520" w:type="dxa"/>
            <w:vAlign w:val="center"/>
          </w:tcPr>
          <w:p>
            <w:pPr>
              <w:spacing w:line="300" w:lineRule="auto"/>
              <w:jc w:val="center"/>
              <w:rPr>
                <w:rFonts w:ascii="宋体" w:hAnsi="宋体" w:cs="宋体"/>
                <w:color w:val="000000"/>
                <w:szCs w:val="21"/>
                <w:highlight w:val="none"/>
              </w:rPr>
            </w:pPr>
          </w:p>
        </w:tc>
        <w:tc>
          <w:tcPr>
            <w:tcW w:w="1980"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合同履约时间</w:t>
            </w:r>
          </w:p>
        </w:tc>
        <w:tc>
          <w:tcPr>
            <w:tcW w:w="2135" w:type="dxa"/>
            <w:vAlign w:val="center"/>
          </w:tcPr>
          <w:p>
            <w:pPr>
              <w:spacing w:line="300" w:lineRule="auto"/>
              <w:rPr>
                <w:rFonts w:ascii="宋体" w:hAnsi="宋体" w:cs="宋体"/>
                <w:color w:val="000000"/>
                <w:szCs w:val="21"/>
                <w:highlight w:val="none"/>
              </w:rPr>
            </w:pPr>
            <w:r>
              <w:rPr>
                <w:rFonts w:ascii="宋体" w:hAnsi="宋体" w:cs="宋体" w:hint="eastAsia"/>
                <w:color w:val="000000"/>
                <w:szCs w:val="21"/>
                <w:highlight w:val="none"/>
              </w:rPr>
              <w:t>自       至</w:t>
            </w:r>
          </w:p>
        </w:tc>
      </w:tr>
      <w:tr>
        <w:tblPrEx>
          <w:tblW w:w="0" w:type="auto"/>
          <w:jc w:val="center"/>
          <w:tblLayout w:type="fixed"/>
          <w:tblCellMar>
            <w:top w:w="0" w:type="dxa"/>
            <w:left w:w="108" w:type="dxa"/>
            <w:bottom w:w="0" w:type="dxa"/>
            <w:right w:w="108" w:type="dxa"/>
          </w:tblCellMar>
          <w:tblLook w:val="0000"/>
        </w:tblPrEx>
        <w:trPr>
          <w:trHeight w:val="544"/>
          <w:jc w:val="center"/>
        </w:trPr>
        <w:tc>
          <w:tcPr>
            <w:tcW w:w="842" w:type="dxa"/>
            <w:vMerge w:val="restart"/>
            <w:vAlign w:val="center"/>
          </w:tcPr>
          <w:p>
            <w:pPr>
              <w:spacing w:line="300" w:lineRule="auto"/>
              <w:jc w:val="center"/>
              <w:rPr>
                <w:rFonts w:ascii="宋体" w:hAnsi="宋体" w:cs="宋体"/>
                <w:b/>
                <w:color w:val="000000"/>
                <w:szCs w:val="21"/>
                <w:highlight w:val="none"/>
              </w:rPr>
            </w:pPr>
            <w:r>
              <w:rPr>
                <w:rFonts w:ascii="宋体" w:hAnsi="宋体" w:cs="宋体" w:hint="eastAsia"/>
                <w:b/>
                <w:color w:val="000000"/>
                <w:szCs w:val="21"/>
                <w:highlight w:val="none"/>
              </w:rPr>
              <w:t>履约情况评价</w:t>
            </w:r>
          </w:p>
        </w:tc>
        <w:tc>
          <w:tcPr>
            <w:tcW w:w="1440" w:type="dxa"/>
            <w:gridSpan w:val="2"/>
            <w:tcBorders>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总体评价</w:t>
            </w:r>
          </w:p>
        </w:tc>
        <w:tc>
          <w:tcPr>
            <w:tcW w:w="6635" w:type="dxa"/>
            <w:gridSpan w:val="3"/>
            <w:tcBorders>
              <w:left w:val="single" w:sz="4" w:space="0" w:color="auto"/>
            </w:tcBorders>
            <w:vAlign w:val="center"/>
          </w:tcPr>
          <w:p>
            <w:pPr>
              <w:spacing w:line="300" w:lineRule="auto"/>
              <w:ind w:firstLine="105" w:firstLineChars="50"/>
              <w:jc w:val="center"/>
              <w:rPr>
                <w:rFonts w:ascii="宋体" w:hAnsi="宋体" w:cs="宋体"/>
                <w:color w:val="000000"/>
                <w:szCs w:val="21"/>
                <w:highlight w:val="none"/>
              </w:rPr>
            </w:pPr>
            <w:r>
              <w:rPr>
                <w:rFonts w:ascii="宋体" w:hAnsi="宋体" w:cs="宋体" w:hint="eastAsia"/>
                <w:color w:val="000000"/>
                <w:szCs w:val="21"/>
                <w:highlight w:val="none"/>
              </w:rPr>
              <w:t>□ 优          □ 良          □ 中           □ 差</w:t>
            </w:r>
          </w:p>
        </w:tc>
      </w:tr>
      <w:tr>
        <w:tblPrEx>
          <w:tblW w:w="0" w:type="auto"/>
          <w:jc w:val="center"/>
          <w:tblLayout w:type="fixed"/>
          <w:tblCellMar>
            <w:top w:w="0" w:type="dxa"/>
            <w:left w:w="108" w:type="dxa"/>
            <w:bottom w:w="0" w:type="dxa"/>
            <w:right w:w="108" w:type="dxa"/>
          </w:tblCellMar>
          <w:tblLook w:val="0000"/>
        </w:tblPrEx>
        <w:trPr>
          <w:trHeight w:val="458"/>
          <w:jc w:val="center"/>
        </w:trPr>
        <w:tc>
          <w:tcPr>
            <w:tcW w:w="842" w:type="dxa"/>
            <w:vMerge/>
            <w:vAlign w:val="center"/>
          </w:tcPr>
          <w:p>
            <w:pPr>
              <w:spacing w:line="300" w:lineRule="auto"/>
              <w:jc w:val="center"/>
              <w:rPr>
                <w:rFonts w:ascii="宋体" w:hAnsi="宋体" w:cs="宋体"/>
                <w:color w:val="000000"/>
                <w:szCs w:val="21"/>
                <w:highlight w:val="none"/>
              </w:rPr>
            </w:pPr>
          </w:p>
        </w:tc>
        <w:tc>
          <w:tcPr>
            <w:tcW w:w="720" w:type="dxa"/>
            <w:vMerge w:val="restart"/>
            <w:tcBorders>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分项评价</w:t>
            </w:r>
          </w:p>
        </w:tc>
        <w:tc>
          <w:tcPr>
            <w:tcW w:w="720" w:type="dxa"/>
            <w:tcBorders>
              <w:left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质量方面</w:t>
            </w:r>
          </w:p>
        </w:tc>
        <w:tc>
          <w:tcPr>
            <w:tcW w:w="6635" w:type="dxa"/>
            <w:gridSpan w:val="3"/>
            <w:tcBorders>
              <w:lef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 xml:space="preserve"> □ 优          □ 良          □ 中           □ 差</w:t>
            </w:r>
          </w:p>
        </w:tc>
      </w:tr>
      <w:tr>
        <w:tblPrEx>
          <w:tblW w:w="0" w:type="auto"/>
          <w:jc w:val="center"/>
          <w:tblLayout w:type="fixed"/>
          <w:tblCellMar>
            <w:top w:w="0" w:type="dxa"/>
            <w:left w:w="108" w:type="dxa"/>
            <w:bottom w:w="0" w:type="dxa"/>
            <w:right w:w="108" w:type="dxa"/>
          </w:tblCellMar>
          <w:tblLook w:val="0000"/>
        </w:tblPrEx>
        <w:trPr>
          <w:trHeight w:val="458"/>
          <w:jc w:val="center"/>
        </w:trPr>
        <w:tc>
          <w:tcPr>
            <w:tcW w:w="842" w:type="dxa"/>
            <w:vMerge/>
            <w:vAlign w:val="center"/>
          </w:tcPr>
          <w:p>
            <w:pPr>
              <w:spacing w:line="300" w:lineRule="auto"/>
              <w:jc w:val="center"/>
              <w:rPr>
                <w:rFonts w:ascii="宋体" w:hAnsi="宋体" w:cs="宋体"/>
                <w:color w:val="000000"/>
                <w:szCs w:val="21"/>
                <w:highlight w:val="none"/>
              </w:rPr>
            </w:pPr>
          </w:p>
        </w:tc>
        <w:tc>
          <w:tcPr>
            <w:tcW w:w="720" w:type="dxa"/>
            <w:vMerge/>
            <w:tcBorders>
              <w:right w:val="single" w:sz="4" w:space="0" w:color="auto"/>
            </w:tcBorders>
            <w:vAlign w:val="center"/>
          </w:tcPr>
          <w:p>
            <w:pPr>
              <w:spacing w:line="300" w:lineRule="auto"/>
              <w:jc w:val="center"/>
              <w:rPr>
                <w:rFonts w:ascii="宋体" w:hAnsi="宋体" w:cs="宋体"/>
                <w:color w:val="000000"/>
                <w:szCs w:val="21"/>
                <w:highlight w:val="none"/>
              </w:rPr>
            </w:pPr>
          </w:p>
        </w:tc>
        <w:tc>
          <w:tcPr>
            <w:tcW w:w="720" w:type="dxa"/>
            <w:tcBorders>
              <w:left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价格方面</w:t>
            </w:r>
          </w:p>
        </w:tc>
        <w:tc>
          <w:tcPr>
            <w:tcW w:w="6635" w:type="dxa"/>
            <w:gridSpan w:val="3"/>
            <w:tcBorders>
              <w:lef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 xml:space="preserve"> □ 优          □ 良          □ 中           □ 差</w:t>
            </w:r>
          </w:p>
        </w:tc>
      </w:tr>
      <w:tr>
        <w:tblPrEx>
          <w:tblW w:w="0" w:type="auto"/>
          <w:jc w:val="center"/>
          <w:tblLayout w:type="fixed"/>
          <w:tblCellMar>
            <w:top w:w="0" w:type="dxa"/>
            <w:left w:w="108" w:type="dxa"/>
            <w:bottom w:w="0" w:type="dxa"/>
            <w:right w:w="108" w:type="dxa"/>
          </w:tblCellMar>
          <w:tblLook w:val="0000"/>
        </w:tblPrEx>
        <w:trPr>
          <w:trHeight w:val="458"/>
          <w:jc w:val="center"/>
        </w:trPr>
        <w:tc>
          <w:tcPr>
            <w:tcW w:w="842" w:type="dxa"/>
            <w:vMerge/>
            <w:vAlign w:val="center"/>
          </w:tcPr>
          <w:p>
            <w:pPr>
              <w:spacing w:line="300" w:lineRule="auto"/>
              <w:jc w:val="center"/>
              <w:rPr>
                <w:rFonts w:ascii="宋体" w:hAnsi="宋体" w:cs="宋体"/>
                <w:color w:val="000000"/>
                <w:szCs w:val="21"/>
                <w:highlight w:val="none"/>
              </w:rPr>
            </w:pPr>
          </w:p>
        </w:tc>
        <w:tc>
          <w:tcPr>
            <w:tcW w:w="720" w:type="dxa"/>
            <w:vMerge/>
            <w:tcBorders>
              <w:right w:val="single" w:sz="4" w:space="0" w:color="auto"/>
            </w:tcBorders>
            <w:vAlign w:val="center"/>
          </w:tcPr>
          <w:p>
            <w:pPr>
              <w:spacing w:line="300" w:lineRule="auto"/>
              <w:jc w:val="center"/>
              <w:rPr>
                <w:rFonts w:ascii="宋体" w:hAnsi="宋体" w:cs="宋体"/>
                <w:color w:val="000000"/>
                <w:szCs w:val="21"/>
                <w:highlight w:val="none"/>
              </w:rPr>
            </w:pPr>
          </w:p>
        </w:tc>
        <w:tc>
          <w:tcPr>
            <w:tcW w:w="720" w:type="dxa"/>
            <w:tcBorders>
              <w:left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服务方面</w:t>
            </w:r>
          </w:p>
        </w:tc>
        <w:tc>
          <w:tcPr>
            <w:tcW w:w="6635" w:type="dxa"/>
            <w:gridSpan w:val="3"/>
            <w:tcBorders>
              <w:lef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 xml:space="preserve"> □ 优          □ 良          □ 中           □ 差</w:t>
            </w:r>
          </w:p>
        </w:tc>
      </w:tr>
      <w:tr>
        <w:tblPrEx>
          <w:tblW w:w="0" w:type="auto"/>
          <w:jc w:val="center"/>
          <w:tblLayout w:type="fixed"/>
          <w:tblCellMar>
            <w:top w:w="0" w:type="dxa"/>
            <w:left w:w="108" w:type="dxa"/>
            <w:bottom w:w="0" w:type="dxa"/>
            <w:right w:w="108" w:type="dxa"/>
          </w:tblCellMar>
          <w:tblLook w:val="0000"/>
        </w:tblPrEx>
        <w:trPr>
          <w:trHeight w:val="458"/>
          <w:jc w:val="center"/>
        </w:trPr>
        <w:tc>
          <w:tcPr>
            <w:tcW w:w="842" w:type="dxa"/>
            <w:vMerge/>
            <w:vAlign w:val="center"/>
          </w:tcPr>
          <w:p>
            <w:pPr>
              <w:spacing w:line="300" w:lineRule="auto"/>
              <w:jc w:val="center"/>
              <w:rPr>
                <w:rFonts w:ascii="宋体" w:hAnsi="宋体" w:cs="宋体"/>
                <w:color w:val="000000"/>
                <w:szCs w:val="21"/>
                <w:highlight w:val="none"/>
              </w:rPr>
            </w:pPr>
          </w:p>
        </w:tc>
        <w:tc>
          <w:tcPr>
            <w:tcW w:w="720" w:type="dxa"/>
            <w:vMerge/>
            <w:tcBorders>
              <w:right w:val="single" w:sz="4" w:space="0" w:color="auto"/>
            </w:tcBorders>
            <w:vAlign w:val="center"/>
          </w:tcPr>
          <w:p>
            <w:pPr>
              <w:spacing w:line="300" w:lineRule="auto"/>
              <w:jc w:val="center"/>
              <w:rPr>
                <w:rFonts w:ascii="宋体" w:hAnsi="宋体" w:cs="宋体"/>
                <w:color w:val="000000"/>
                <w:szCs w:val="21"/>
                <w:highlight w:val="none"/>
              </w:rPr>
            </w:pPr>
          </w:p>
        </w:tc>
        <w:tc>
          <w:tcPr>
            <w:tcW w:w="720" w:type="dxa"/>
            <w:tcBorders>
              <w:left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时间方面</w:t>
            </w:r>
          </w:p>
        </w:tc>
        <w:tc>
          <w:tcPr>
            <w:tcW w:w="6635" w:type="dxa"/>
            <w:gridSpan w:val="3"/>
            <w:tcBorders>
              <w:lef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 xml:space="preserve"> □ 优          □ 良          □ 中           □ 差</w:t>
            </w:r>
          </w:p>
        </w:tc>
      </w:tr>
      <w:tr>
        <w:tblPrEx>
          <w:tblW w:w="0" w:type="auto"/>
          <w:jc w:val="center"/>
          <w:tblLayout w:type="fixed"/>
          <w:tblCellMar>
            <w:top w:w="0" w:type="dxa"/>
            <w:left w:w="108" w:type="dxa"/>
            <w:bottom w:w="0" w:type="dxa"/>
            <w:right w:w="108" w:type="dxa"/>
          </w:tblCellMar>
          <w:tblLook w:val="0000"/>
        </w:tblPrEx>
        <w:trPr>
          <w:trHeight w:val="458"/>
          <w:jc w:val="center"/>
        </w:trPr>
        <w:tc>
          <w:tcPr>
            <w:tcW w:w="842" w:type="dxa"/>
            <w:vMerge/>
            <w:vAlign w:val="center"/>
          </w:tcPr>
          <w:p>
            <w:pPr>
              <w:spacing w:line="300" w:lineRule="auto"/>
              <w:jc w:val="center"/>
              <w:rPr>
                <w:rFonts w:ascii="宋体" w:hAnsi="宋体" w:cs="宋体"/>
                <w:color w:val="000000"/>
                <w:szCs w:val="21"/>
                <w:highlight w:val="none"/>
              </w:rPr>
            </w:pPr>
          </w:p>
        </w:tc>
        <w:tc>
          <w:tcPr>
            <w:tcW w:w="720" w:type="dxa"/>
            <w:vMerge/>
            <w:tcBorders>
              <w:right w:val="single" w:sz="4" w:space="0" w:color="auto"/>
            </w:tcBorders>
            <w:vAlign w:val="center"/>
          </w:tcPr>
          <w:p>
            <w:pPr>
              <w:spacing w:line="300" w:lineRule="auto"/>
              <w:jc w:val="center"/>
              <w:rPr>
                <w:rFonts w:ascii="宋体" w:hAnsi="宋体" w:cs="宋体"/>
                <w:color w:val="000000"/>
                <w:szCs w:val="21"/>
                <w:highlight w:val="none"/>
              </w:rPr>
            </w:pPr>
          </w:p>
        </w:tc>
        <w:tc>
          <w:tcPr>
            <w:tcW w:w="720" w:type="dxa"/>
            <w:tcBorders>
              <w:left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环境保护</w:t>
            </w:r>
          </w:p>
        </w:tc>
        <w:tc>
          <w:tcPr>
            <w:tcW w:w="6635" w:type="dxa"/>
            <w:gridSpan w:val="3"/>
            <w:tcBorders>
              <w:lef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 xml:space="preserve"> □ 优          □ 良          □ 中           □ 差</w:t>
            </w:r>
          </w:p>
        </w:tc>
      </w:tr>
      <w:tr>
        <w:tblPrEx>
          <w:tblW w:w="0" w:type="auto"/>
          <w:jc w:val="center"/>
          <w:tblLayout w:type="fixed"/>
          <w:tblCellMar>
            <w:top w:w="0" w:type="dxa"/>
            <w:left w:w="108" w:type="dxa"/>
            <w:bottom w:w="0" w:type="dxa"/>
            <w:right w:w="108" w:type="dxa"/>
          </w:tblCellMar>
          <w:tblLook w:val="0000"/>
        </w:tblPrEx>
        <w:trPr>
          <w:trHeight w:val="458"/>
          <w:jc w:val="center"/>
        </w:trPr>
        <w:tc>
          <w:tcPr>
            <w:tcW w:w="842" w:type="dxa"/>
            <w:vMerge/>
            <w:vAlign w:val="center"/>
          </w:tcPr>
          <w:p>
            <w:pPr>
              <w:spacing w:line="300" w:lineRule="auto"/>
              <w:jc w:val="center"/>
              <w:rPr>
                <w:rFonts w:ascii="宋体" w:hAnsi="宋体" w:cs="宋体"/>
                <w:color w:val="000000"/>
                <w:szCs w:val="21"/>
                <w:highlight w:val="none"/>
              </w:rPr>
            </w:pPr>
          </w:p>
        </w:tc>
        <w:tc>
          <w:tcPr>
            <w:tcW w:w="720" w:type="dxa"/>
            <w:vMerge/>
            <w:tcBorders>
              <w:right w:val="single" w:sz="4" w:space="0" w:color="auto"/>
            </w:tcBorders>
            <w:vAlign w:val="center"/>
          </w:tcPr>
          <w:p>
            <w:pPr>
              <w:spacing w:line="300" w:lineRule="auto"/>
              <w:jc w:val="center"/>
              <w:rPr>
                <w:rFonts w:ascii="宋体" w:hAnsi="宋体" w:cs="宋体"/>
                <w:color w:val="000000"/>
                <w:szCs w:val="21"/>
                <w:highlight w:val="none"/>
              </w:rPr>
            </w:pPr>
          </w:p>
        </w:tc>
        <w:tc>
          <w:tcPr>
            <w:tcW w:w="720" w:type="dxa"/>
            <w:tcBorders>
              <w:left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其他</w:t>
            </w:r>
          </w:p>
        </w:tc>
        <w:tc>
          <w:tcPr>
            <w:tcW w:w="6635" w:type="dxa"/>
            <w:gridSpan w:val="3"/>
            <w:tcBorders>
              <w:left w:val="single" w:sz="4" w:space="0" w:color="auto"/>
            </w:tcBorders>
            <w:vAlign w:val="center"/>
          </w:tcPr>
          <w:p>
            <w:pPr>
              <w:spacing w:before="120" w:beforeLines="50" w:after="120" w:afterLines="50" w:line="300" w:lineRule="auto"/>
              <w:rPr>
                <w:rFonts w:ascii="宋体" w:hAnsi="宋体" w:cs="宋体"/>
                <w:color w:val="000000"/>
                <w:szCs w:val="21"/>
                <w:highlight w:val="none"/>
                <w:u w:val="single"/>
              </w:rPr>
            </w:pPr>
            <w:r>
              <w:rPr>
                <w:rFonts w:ascii="宋体" w:hAnsi="宋体" w:cs="宋体" w:hint="eastAsia"/>
                <w:color w:val="000000"/>
                <w:szCs w:val="21"/>
                <w:highlight w:val="none"/>
              </w:rPr>
              <w:t>评价内容为：</w:t>
            </w:r>
            <w:r>
              <w:rPr>
                <w:rFonts w:ascii="宋体" w:hAnsi="宋体" w:cs="宋体" w:hint="eastAsia"/>
                <w:color w:val="000000"/>
                <w:szCs w:val="21"/>
                <w:highlight w:val="none"/>
                <w:u w:val="single"/>
              </w:rPr>
              <w:t xml:space="preserve">                    </w:t>
            </w:r>
          </w:p>
          <w:p>
            <w:pPr>
              <w:spacing w:before="120" w:beforeLines="50" w:after="120" w:afterLines="50" w:line="300" w:lineRule="auto"/>
              <w:rPr>
                <w:rFonts w:ascii="宋体" w:hAnsi="宋体" w:cs="宋体"/>
                <w:color w:val="000000"/>
                <w:szCs w:val="21"/>
                <w:highlight w:val="none"/>
              </w:rPr>
            </w:pPr>
            <w:r>
              <w:rPr>
                <w:rFonts w:ascii="宋体" w:hAnsi="宋体" w:cs="宋体" w:hint="eastAsia"/>
                <w:color w:val="000000"/>
                <w:szCs w:val="21"/>
                <w:highlight w:val="none"/>
              </w:rPr>
              <w:t>评价等级为：  □ 优       □ 良        □ 中         □ 差</w:t>
            </w:r>
          </w:p>
        </w:tc>
      </w:tr>
      <w:tr>
        <w:tblPrEx>
          <w:tblW w:w="0" w:type="auto"/>
          <w:jc w:val="center"/>
          <w:tblLayout w:type="fixed"/>
          <w:tblCellMar>
            <w:top w:w="0" w:type="dxa"/>
            <w:left w:w="108" w:type="dxa"/>
            <w:bottom w:w="0" w:type="dxa"/>
            <w:right w:w="108" w:type="dxa"/>
          </w:tblCellMar>
          <w:tblLook w:val="0000"/>
        </w:tblPrEx>
        <w:trPr>
          <w:trHeight w:val="1039"/>
          <w:jc w:val="center"/>
        </w:trPr>
        <w:tc>
          <w:tcPr>
            <w:tcW w:w="1562" w:type="dxa"/>
            <w:gridSpan w:val="2"/>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具体情况说明</w:t>
            </w:r>
          </w:p>
        </w:tc>
        <w:tc>
          <w:tcPr>
            <w:tcW w:w="7355" w:type="dxa"/>
            <w:gridSpan w:val="4"/>
          </w:tcPr>
          <w:p>
            <w:pPr>
              <w:spacing w:line="300" w:lineRule="auto"/>
              <w:rPr>
                <w:rFonts w:ascii="宋体" w:hAnsi="宋体" w:cs="宋体"/>
                <w:color w:val="000000"/>
                <w:szCs w:val="21"/>
                <w:highlight w:val="none"/>
              </w:rPr>
            </w:pPr>
          </w:p>
          <w:p>
            <w:pPr>
              <w:spacing w:line="300" w:lineRule="auto"/>
              <w:rPr>
                <w:rFonts w:ascii="宋体" w:hAnsi="宋体" w:cs="宋体"/>
                <w:color w:val="000000"/>
                <w:szCs w:val="21"/>
                <w:highlight w:val="none"/>
              </w:rPr>
            </w:pPr>
          </w:p>
          <w:p>
            <w:pPr>
              <w:spacing w:line="300" w:lineRule="auto"/>
              <w:rPr>
                <w:rFonts w:ascii="宋体" w:hAnsi="宋体" w:cs="宋体"/>
                <w:color w:val="000000"/>
                <w:szCs w:val="21"/>
                <w:highlight w:val="none"/>
              </w:rPr>
            </w:pPr>
          </w:p>
          <w:p>
            <w:pPr>
              <w:spacing w:line="300" w:lineRule="auto"/>
              <w:rPr>
                <w:rFonts w:ascii="宋体" w:hAnsi="宋体" w:cs="宋体"/>
                <w:color w:val="000000"/>
                <w:szCs w:val="21"/>
                <w:highlight w:val="none"/>
              </w:rPr>
            </w:pPr>
          </w:p>
        </w:tc>
      </w:tr>
      <w:tr>
        <w:tblPrEx>
          <w:tblW w:w="0" w:type="auto"/>
          <w:jc w:val="center"/>
          <w:tblLayout w:type="fixed"/>
          <w:tblCellMar>
            <w:top w:w="0" w:type="dxa"/>
            <w:left w:w="108" w:type="dxa"/>
            <w:bottom w:w="0" w:type="dxa"/>
            <w:right w:w="108" w:type="dxa"/>
          </w:tblCellMar>
          <w:tblLook w:val="0000"/>
        </w:tblPrEx>
        <w:trPr>
          <w:trHeight w:val="1498"/>
          <w:jc w:val="center"/>
        </w:trPr>
        <w:tc>
          <w:tcPr>
            <w:tcW w:w="1562" w:type="dxa"/>
            <w:gridSpan w:val="2"/>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采购人意见</w:t>
            </w:r>
          </w:p>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（公章）</w:t>
            </w:r>
          </w:p>
        </w:tc>
        <w:tc>
          <w:tcPr>
            <w:tcW w:w="7355" w:type="dxa"/>
            <w:gridSpan w:val="4"/>
            <w:vAlign w:val="center"/>
          </w:tcPr>
          <w:p>
            <w:pPr>
              <w:spacing w:line="300" w:lineRule="auto"/>
              <w:rPr>
                <w:rFonts w:ascii="宋体" w:hAnsi="宋体" w:cs="宋体"/>
                <w:color w:val="000000"/>
                <w:szCs w:val="21"/>
                <w:highlight w:val="none"/>
              </w:rPr>
            </w:pPr>
          </w:p>
          <w:p>
            <w:pPr>
              <w:spacing w:line="300" w:lineRule="auto"/>
              <w:rPr>
                <w:rFonts w:ascii="宋体" w:hAnsi="宋体" w:cs="宋体"/>
                <w:color w:val="000000"/>
                <w:szCs w:val="21"/>
                <w:highlight w:val="none"/>
              </w:rPr>
            </w:pPr>
            <w:r>
              <w:rPr>
                <w:rFonts w:ascii="宋体" w:hAnsi="宋体" w:cs="宋体" w:hint="eastAsia"/>
                <w:color w:val="000000"/>
                <w:szCs w:val="21"/>
                <w:highlight w:val="none"/>
              </w:rPr>
              <w:t xml:space="preserve">                                        </w:t>
            </w:r>
          </w:p>
          <w:p>
            <w:pPr>
              <w:spacing w:line="300" w:lineRule="auto"/>
              <w:ind w:firstLine="3780" w:firstLineChars="1800"/>
              <w:rPr>
                <w:rFonts w:ascii="宋体" w:hAnsi="宋体" w:cs="宋体"/>
                <w:color w:val="000000"/>
                <w:szCs w:val="21"/>
                <w:highlight w:val="none"/>
              </w:rPr>
            </w:pPr>
          </w:p>
          <w:p>
            <w:pPr>
              <w:spacing w:line="300" w:lineRule="auto"/>
              <w:ind w:firstLine="3780" w:firstLineChars="1800"/>
              <w:rPr>
                <w:rFonts w:ascii="宋体" w:hAnsi="宋体" w:cs="宋体"/>
                <w:color w:val="000000"/>
                <w:szCs w:val="21"/>
                <w:highlight w:val="none"/>
              </w:rPr>
            </w:pPr>
            <w:r>
              <w:rPr>
                <w:rFonts w:ascii="宋体" w:hAnsi="宋体" w:cs="宋体" w:hint="eastAsia"/>
                <w:color w:val="000000"/>
                <w:szCs w:val="21"/>
                <w:highlight w:val="none"/>
              </w:rPr>
              <w:t>日期：   年   月   日</w:t>
            </w:r>
          </w:p>
        </w:tc>
      </w:tr>
    </w:tbl>
    <w:p>
      <w:pPr>
        <w:spacing w:line="300" w:lineRule="auto"/>
        <w:rPr>
          <w:rFonts w:ascii="宋体" w:hAnsi="宋体" w:cs="宋体"/>
          <w:color w:val="000000"/>
          <w:szCs w:val="21"/>
          <w:highlight w:val="none"/>
        </w:rPr>
      </w:pPr>
      <w:r>
        <w:rPr>
          <w:rFonts w:ascii="宋体" w:hAnsi="宋体" w:cs="宋体" w:hint="eastAsia"/>
          <w:color w:val="000000"/>
          <w:szCs w:val="21"/>
          <w:highlight w:val="none"/>
        </w:rPr>
        <w:t>说明：</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1、本表为采购人向深圳市公共资源交易中心反映政府采购项目履约情况时所用；</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2、履约情况评价分为优、良、中、差四个等级，请在对应的框前打“√”，然后在“具体情况说明”一栏详细说明有关情况。</w:t>
      </w:r>
    </w:p>
    <w:p>
      <w:pPr>
        <w:spacing w:line="300" w:lineRule="auto"/>
        <w:rPr>
          <w:rFonts w:ascii="宋体" w:hAnsi="宋体" w:cs="宋体"/>
          <w:color w:val="000000"/>
          <w:szCs w:val="21"/>
          <w:highlight w:val="none"/>
        </w:rPr>
      </w:pPr>
    </w:p>
    <w:p>
      <w:pPr>
        <w:pStyle w:val="Heading1"/>
        <w:spacing w:line="300" w:lineRule="auto"/>
        <w:rPr>
          <w:rFonts w:eastAsia="宋体" w:cs="宋体"/>
          <w:color w:val="000000"/>
          <w:sz w:val="24"/>
          <w:highlight w:val="none"/>
        </w:rPr>
      </w:pPr>
      <w:r>
        <w:rPr>
          <w:rFonts w:eastAsia="宋体" w:cs="宋体" w:hint="eastAsia"/>
          <w:color w:val="000000"/>
          <w:sz w:val="32"/>
          <w:szCs w:val="48"/>
          <w:highlight w:val="none"/>
        </w:rPr>
        <w:br w:type="page"/>
      </w:r>
      <w:r>
        <w:rPr>
          <w:rFonts w:eastAsia="宋体" w:cs="宋体" w:hint="eastAsia"/>
          <w:color w:val="000000"/>
          <w:sz w:val="32"/>
          <w:szCs w:val="48"/>
          <w:highlight w:val="none"/>
        </w:rPr>
        <w:t>第二册  通用条款（公开招标）</w:t>
      </w:r>
    </w:p>
    <w:p>
      <w:pPr>
        <w:spacing w:before="120" w:beforeLines="50" w:after="120" w:afterLines="50"/>
        <w:jc w:val="center"/>
        <w:rPr>
          <w:b/>
          <w:color w:val="000000"/>
          <w:sz w:val="24"/>
          <w:highlight w:val="none"/>
        </w:rPr>
      </w:pPr>
      <w:r>
        <w:rPr>
          <w:rFonts w:ascii="黑体" w:hAnsi="黑体" w:cs="黑体" w:hint="eastAsia"/>
          <w:b/>
          <w:color w:val="000000"/>
          <w:sz w:val="24"/>
          <w:highlight w:val="none"/>
        </w:rPr>
        <w:t>通用条款的补充</w:t>
      </w:r>
    </w:p>
    <w:tbl>
      <w:tblPr>
        <w:tblStyle w:val="TableNorm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Look w:val="0000"/>
      </w:tblPr>
      <w:tblGrid>
        <w:gridCol w:w="948"/>
        <w:gridCol w:w="2045"/>
        <w:gridCol w:w="6846"/>
      </w:tblGrid>
      <w:tr>
        <w:tblPrEx>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Look w:val="0000"/>
        </w:tblPrEx>
        <w:trPr>
          <w:cantSplit/>
          <w:trHeight w:val="328"/>
          <w:jc w:val="center"/>
        </w:trPr>
        <w:tc>
          <w:tcPr>
            <w:tcW w:w="948" w:type="dxa"/>
            <w:noWrap/>
            <w:vAlign w:val="center"/>
          </w:tcPr>
          <w:p>
            <w:pPr>
              <w:jc w:val="center"/>
              <w:rPr>
                <w:rFonts w:ascii="宋体" w:hAnsi="宋体" w:cs="宋体"/>
                <w:b/>
                <w:bCs/>
                <w:color w:val="000000"/>
                <w:highlight w:val="none"/>
              </w:rPr>
            </w:pPr>
            <w:r>
              <w:rPr>
                <w:rFonts w:ascii="宋体" w:hAnsi="宋体" w:cs="宋体" w:hint="eastAsia"/>
                <w:b/>
                <w:bCs/>
                <w:color w:val="000000"/>
                <w:highlight w:val="none"/>
              </w:rPr>
              <w:t>序号</w:t>
            </w:r>
          </w:p>
        </w:tc>
        <w:tc>
          <w:tcPr>
            <w:tcW w:w="2045" w:type="dxa"/>
            <w:noWrap/>
            <w:vAlign w:val="center"/>
          </w:tcPr>
          <w:p>
            <w:pPr>
              <w:jc w:val="center"/>
              <w:rPr>
                <w:rFonts w:ascii="宋体" w:hAnsi="宋体" w:cs="宋体"/>
                <w:b/>
                <w:bCs/>
                <w:color w:val="000000"/>
                <w:highlight w:val="none"/>
              </w:rPr>
            </w:pPr>
            <w:r>
              <w:rPr>
                <w:rFonts w:ascii="宋体" w:hAnsi="宋体" w:cs="宋体" w:hint="eastAsia"/>
                <w:b/>
                <w:bCs/>
                <w:color w:val="000000"/>
                <w:highlight w:val="none"/>
              </w:rPr>
              <w:t>内容</w:t>
            </w:r>
          </w:p>
        </w:tc>
        <w:tc>
          <w:tcPr>
            <w:tcW w:w="6846" w:type="dxa"/>
            <w:noWrap/>
            <w:vAlign w:val="center"/>
          </w:tcPr>
          <w:p>
            <w:pPr>
              <w:jc w:val="center"/>
              <w:rPr>
                <w:rFonts w:ascii="宋体" w:hAnsi="宋体" w:cs="宋体"/>
                <w:b/>
                <w:bCs/>
                <w:color w:val="000000"/>
                <w:highlight w:val="none"/>
              </w:rPr>
            </w:pPr>
            <w:r>
              <w:rPr>
                <w:rFonts w:ascii="宋体" w:hAnsi="宋体" w:cs="宋体" w:hint="eastAsia"/>
                <w:b/>
                <w:bCs/>
                <w:color w:val="000000"/>
                <w:highlight w:val="none"/>
              </w:rPr>
              <w:t>规定</w:t>
            </w:r>
          </w:p>
        </w:tc>
      </w:tr>
      <w:tr>
        <w:tblPrEx>
          <w:tblW w:w="0" w:type="auto"/>
          <w:jc w:val="center"/>
          <w:tblLayout w:type="fixed"/>
          <w:tblCellMar>
            <w:top w:w="0" w:type="dxa"/>
            <w:left w:w="108" w:type="dxa"/>
            <w:bottom w:w="0" w:type="dxa"/>
            <w:right w:w="108" w:type="dxa"/>
          </w:tblCellMar>
          <w:tblLook w:val="0000"/>
        </w:tblPrEx>
        <w:trPr>
          <w:cantSplit/>
          <w:trHeight w:val="301"/>
          <w:jc w:val="center"/>
        </w:trPr>
        <w:tc>
          <w:tcPr>
            <w:tcW w:w="948" w:type="dxa"/>
            <w:noWrap/>
            <w:vAlign w:val="center"/>
          </w:tcPr>
          <w:p>
            <w:pPr>
              <w:jc w:val="center"/>
              <w:rPr>
                <w:rFonts w:ascii="宋体" w:hAnsi="宋体" w:cs="宋体"/>
                <w:color w:val="000000"/>
                <w:highlight w:val="none"/>
              </w:rPr>
            </w:pPr>
            <w:r>
              <w:rPr>
                <w:rFonts w:ascii="宋体" w:hAnsi="宋体" w:cs="宋体" w:hint="eastAsia"/>
                <w:color w:val="000000"/>
                <w:highlight w:val="none"/>
              </w:rPr>
              <w:t>1</w:t>
            </w:r>
          </w:p>
        </w:tc>
        <w:tc>
          <w:tcPr>
            <w:tcW w:w="2045" w:type="dxa"/>
            <w:noWrap/>
            <w:vAlign w:val="center"/>
          </w:tcPr>
          <w:p>
            <w:pPr>
              <w:rPr>
                <w:rFonts w:ascii="宋体" w:hAnsi="宋体" w:cs="宋体"/>
                <w:color w:val="000000"/>
                <w:highlight w:val="none"/>
              </w:rPr>
            </w:pPr>
            <w:r>
              <w:rPr>
                <w:rFonts w:ascii="宋体" w:hAnsi="宋体" w:cs="宋体" w:hint="eastAsia"/>
                <w:color w:val="000000"/>
                <w:highlight w:val="none"/>
              </w:rPr>
              <w:t>联合体投标</w:t>
            </w:r>
          </w:p>
        </w:tc>
        <w:tc>
          <w:tcPr>
            <w:tcW w:w="6846" w:type="dxa"/>
            <w:noWrap/>
            <w:vAlign w:val="center"/>
          </w:tcPr>
          <w:p>
            <w:pPr>
              <w:rPr>
                <w:rFonts w:ascii="宋体" w:hAnsi="宋体" w:cs="宋体"/>
                <w:snapToGrid w:val="0"/>
                <w:color w:val="000000"/>
                <w:kern w:val="0"/>
                <w:szCs w:val="32"/>
                <w:highlight w:val="none"/>
                <w:u w:val="single"/>
                <w:lang w:val="zh-CN"/>
              </w:rPr>
            </w:pPr>
            <w:r>
              <w:rPr>
                <w:rFonts w:ascii="宋体" w:hAnsi="宋体" w:cs="宋体" w:hint="eastAsia"/>
                <w:snapToGrid w:val="0"/>
                <w:color w:val="000000"/>
                <w:kern w:val="0"/>
                <w:szCs w:val="32"/>
                <w:highlight w:val="none"/>
                <w:u w:val="single"/>
                <w:lang w:val="zh-CN"/>
              </w:rPr>
              <w:t>见《招标公告》中“投标人资格要求”部分的相关内容</w:t>
            </w:r>
          </w:p>
        </w:tc>
      </w:tr>
      <w:tr>
        <w:tblPrEx>
          <w:tblW w:w="0" w:type="auto"/>
          <w:jc w:val="center"/>
          <w:tblLayout w:type="fixed"/>
          <w:tblCellMar>
            <w:top w:w="0" w:type="dxa"/>
            <w:left w:w="108" w:type="dxa"/>
            <w:bottom w:w="0" w:type="dxa"/>
            <w:right w:w="108" w:type="dxa"/>
          </w:tblCellMar>
          <w:tblLook w:val="0000"/>
        </w:tblPrEx>
        <w:trPr>
          <w:cantSplit/>
          <w:trHeight w:val="301"/>
          <w:jc w:val="center"/>
        </w:trPr>
        <w:tc>
          <w:tcPr>
            <w:tcW w:w="948" w:type="dxa"/>
            <w:noWrap/>
            <w:vAlign w:val="center"/>
          </w:tcPr>
          <w:p>
            <w:pPr>
              <w:jc w:val="center"/>
              <w:rPr>
                <w:rFonts w:ascii="宋体" w:hAnsi="宋体" w:cs="宋体"/>
                <w:color w:val="000000"/>
                <w:highlight w:val="none"/>
              </w:rPr>
            </w:pPr>
            <w:r>
              <w:rPr>
                <w:rFonts w:ascii="宋体" w:hAnsi="宋体" w:cs="宋体" w:hint="eastAsia"/>
                <w:color w:val="000000"/>
                <w:highlight w:val="none"/>
              </w:rPr>
              <w:t>2</w:t>
            </w:r>
          </w:p>
        </w:tc>
        <w:tc>
          <w:tcPr>
            <w:tcW w:w="2045" w:type="dxa"/>
            <w:noWrap/>
            <w:vAlign w:val="center"/>
          </w:tcPr>
          <w:p>
            <w:pPr>
              <w:rPr>
                <w:rFonts w:ascii="宋体" w:hAnsi="宋体" w:cs="宋体"/>
                <w:color w:val="000000"/>
                <w:highlight w:val="none"/>
              </w:rPr>
            </w:pPr>
            <w:r>
              <w:rPr>
                <w:rFonts w:ascii="宋体" w:hAnsi="宋体" w:cs="宋体" w:hint="eastAsia"/>
                <w:color w:val="000000"/>
                <w:highlight w:val="none"/>
              </w:rPr>
              <w:t>投标有效期</w:t>
            </w:r>
          </w:p>
        </w:tc>
        <w:tc>
          <w:tcPr>
            <w:tcW w:w="6846" w:type="dxa"/>
            <w:noWrap/>
            <w:vAlign w:val="center"/>
          </w:tcPr>
          <w:p>
            <w:pPr>
              <w:rPr>
                <w:rFonts w:ascii="宋体" w:hAnsi="宋体" w:cs="宋体"/>
                <w:color w:val="000000"/>
                <w:highlight w:val="none"/>
              </w:rPr>
            </w:pPr>
            <w:r>
              <w:rPr>
                <w:rFonts w:ascii="宋体" w:hAnsi="宋体" w:cs="宋体" w:hint="eastAsia"/>
                <w:color w:val="000000"/>
                <w:highlight w:val="none"/>
                <w:u w:val="single"/>
              </w:rPr>
              <w:t>120日历天</w:t>
            </w:r>
            <w:r>
              <w:rPr>
                <w:rFonts w:ascii="宋体" w:hAnsi="宋体" w:cs="宋体" w:hint="eastAsia"/>
                <w:color w:val="000000"/>
                <w:highlight w:val="none"/>
              </w:rPr>
              <w:t>（从投标截止之日算起）</w:t>
            </w:r>
          </w:p>
        </w:tc>
      </w:tr>
      <w:tr>
        <w:tblPrEx>
          <w:tblW w:w="0" w:type="auto"/>
          <w:jc w:val="center"/>
          <w:tblLayout w:type="fixed"/>
          <w:tblCellMar>
            <w:top w:w="0" w:type="dxa"/>
            <w:left w:w="108" w:type="dxa"/>
            <w:bottom w:w="0" w:type="dxa"/>
            <w:right w:w="108" w:type="dxa"/>
          </w:tblCellMar>
          <w:tblLook w:val="0000"/>
        </w:tblPrEx>
        <w:trPr>
          <w:cantSplit/>
          <w:trHeight w:val="301"/>
          <w:jc w:val="center"/>
        </w:trPr>
        <w:tc>
          <w:tcPr>
            <w:tcW w:w="948" w:type="dxa"/>
            <w:noWrap/>
            <w:vAlign w:val="center"/>
          </w:tcPr>
          <w:p>
            <w:pPr>
              <w:jc w:val="center"/>
              <w:rPr>
                <w:rFonts w:ascii="宋体" w:hAnsi="宋体" w:cs="宋体"/>
                <w:color w:val="000000"/>
                <w:highlight w:val="none"/>
              </w:rPr>
            </w:pPr>
            <w:r>
              <w:rPr>
                <w:rFonts w:ascii="宋体" w:hAnsi="宋体" w:cs="宋体" w:hint="eastAsia"/>
                <w:color w:val="000000"/>
                <w:highlight w:val="none"/>
              </w:rPr>
              <w:t>3</w:t>
            </w:r>
          </w:p>
        </w:tc>
        <w:tc>
          <w:tcPr>
            <w:tcW w:w="2045" w:type="dxa"/>
            <w:noWrap/>
            <w:vAlign w:val="center"/>
          </w:tcPr>
          <w:p>
            <w:pPr>
              <w:rPr>
                <w:rFonts w:ascii="宋体" w:hAnsi="宋体" w:cs="宋体"/>
                <w:color w:val="000000"/>
                <w:highlight w:val="none"/>
              </w:rPr>
            </w:pPr>
            <w:r>
              <w:rPr>
                <w:rFonts w:ascii="宋体" w:hAnsi="宋体" w:cs="宋体" w:hint="eastAsia"/>
                <w:color w:val="000000"/>
                <w:highlight w:val="none"/>
              </w:rPr>
              <w:t>投标人的替代方案</w:t>
            </w:r>
          </w:p>
        </w:tc>
        <w:tc>
          <w:tcPr>
            <w:tcW w:w="6846" w:type="dxa"/>
            <w:noWrap/>
            <w:vAlign w:val="center"/>
          </w:tcPr>
          <w:p>
            <w:pPr>
              <w:rPr>
                <w:rFonts w:ascii="宋体" w:hAnsi="宋体" w:cs="宋体"/>
                <w:color w:val="000000"/>
                <w:highlight w:val="none"/>
              </w:rPr>
            </w:pPr>
            <w:r>
              <w:rPr>
                <w:rFonts w:ascii="宋体" w:hAnsi="宋体" w:cs="宋体" w:hint="eastAsia"/>
                <w:color w:val="000000"/>
                <w:highlight w:val="none"/>
              </w:rPr>
              <w:t>不允许</w:t>
            </w:r>
          </w:p>
        </w:tc>
      </w:tr>
      <w:tr>
        <w:tblPrEx>
          <w:tblW w:w="0" w:type="auto"/>
          <w:jc w:val="center"/>
          <w:tblLayout w:type="fixed"/>
          <w:tblCellMar>
            <w:top w:w="0" w:type="dxa"/>
            <w:left w:w="108" w:type="dxa"/>
            <w:bottom w:w="0" w:type="dxa"/>
            <w:right w:w="108" w:type="dxa"/>
          </w:tblCellMar>
          <w:tblLook w:val="0000"/>
        </w:tblPrEx>
        <w:trPr>
          <w:cantSplit/>
          <w:trHeight w:val="1118"/>
          <w:jc w:val="center"/>
        </w:trPr>
        <w:tc>
          <w:tcPr>
            <w:tcW w:w="948" w:type="dxa"/>
            <w:noWrap/>
            <w:vAlign w:val="center"/>
          </w:tcPr>
          <w:p>
            <w:pPr>
              <w:jc w:val="center"/>
              <w:rPr>
                <w:rFonts w:ascii="宋体" w:hAnsi="宋体" w:cs="宋体"/>
                <w:color w:val="000000"/>
                <w:highlight w:val="none"/>
              </w:rPr>
            </w:pPr>
            <w:r>
              <w:rPr>
                <w:rFonts w:ascii="宋体" w:hAnsi="宋体" w:cs="宋体" w:hint="eastAsia"/>
                <w:color w:val="000000"/>
                <w:highlight w:val="none"/>
              </w:rPr>
              <w:t>4</w:t>
            </w:r>
          </w:p>
        </w:tc>
        <w:tc>
          <w:tcPr>
            <w:tcW w:w="2045" w:type="dxa"/>
            <w:noWrap/>
            <w:vAlign w:val="center"/>
          </w:tcPr>
          <w:p>
            <w:pPr>
              <w:rPr>
                <w:rFonts w:ascii="宋体" w:hAnsi="宋体" w:cs="宋体"/>
                <w:color w:val="000000"/>
                <w:highlight w:val="none"/>
              </w:rPr>
            </w:pPr>
            <w:r>
              <w:rPr>
                <w:rFonts w:ascii="宋体" w:hAnsi="宋体" w:cs="宋体" w:hint="eastAsia"/>
                <w:color w:val="000000"/>
                <w:highlight w:val="none"/>
              </w:rPr>
              <w:t>投标文件的投递</w:t>
            </w:r>
          </w:p>
        </w:tc>
        <w:tc>
          <w:tcPr>
            <w:tcW w:w="6846" w:type="dxa"/>
            <w:noWrap/>
            <w:vAlign w:val="center"/>
          </w:tcPr>
          <w:p>
            <w:pPr>
              <w:spacing w:line="360" w:lineRule="exact"/>
              <w:rPr>
                <w:rFonts w:ascii="宋体" w:hAnsi="宋体" w:cs="宋体"/>
                <w:color w:val="000000"/>
                <w:highlight w:val="none"/>
              </w:rPr>
            </w:pPr>
            <w:r>
              <w:rPr>
                <w:rFonts w:ascii="宋体" w:hAnsi="宋体" w:cs="宋体" w:hint="eastAsia"/>
                <w:color w:val="000000"/>
                <w:highlight w:val="none"/>
              </w:rPr>
              <w:t>本项目实行网上投标，投标人必须在招标文件规定的投标截止时间前</w:t>
            </w:r>
          </w:p>
          <w:p>
            <w:pPr>
              <w:spacing w:line="360" w:lineRule="exact"/>
              <w:rPr>
                <w:rFonts w:ascii="宋体" w:hAnsi="宋体" w:cs="宋体"/>
                <w:color w:val="000000"/>
                <w:highlight w:val="none"/>
              </w:rPr>
            </w:pPr>
            <w:r>
              <w:rPr>
                <w:rStyle w:val="NormalCharacter"/>
                <w:rFonts w:ascii="宋体" w:hAnsi="宋体"/>
                <w:color w:val="000000"/>
                <w:highlight w:val="none"/>
              </w:rPr>
              <w:t>登录“深圳政府采购智慧平台用户网上办事子系统（http://zfcg.szggzy.com:8081/TPBidder/memberLogin）”，用“【我的项目】→【项目流程】→【递交投标(应答)文件】”功能点上传投标文件。本项目电子投标文件最大容量为100MB，超过此容量的文件将被拒绝</w:t>
            </w:r>
          </w:p>
        </w:tc>
      </w:tr>
      <w:tr>
        <w:tblPrEx>
          <w:tblW w:w="0" w:type="auto"/>
          <w:jc w:val="center"/>
          <w:tblLayout w:type="fixed"/>
          <w:tblCellMar>
            <w:top w:w="0" w:type="dxa"/>
            <w:left w:w="108" w:type="dxa"/>
            <w:bottom w:w="0" w:type="dxa"/>
            <w:right w:w="108" w:type="dxa"/>
          </w:tblCellMar>
          <w:tblLook w:val="0000"/>
        </w:tblPrEx>
        <w:trPr>
          <w:cantSplit/>
          <w:trHeight w:val="301"/>
          <w:jc w:val="center"/>
        </w:trPr>
        <w:tc>
          <w:tcPr>
            <w:tcW w:w="948" w:type="dxa"/>
            <w:noWrap/>
            <w:vAlign w:val="center"/>
          </w:tcPr>
          <w:p>
            <w:pPr>
              <w:jc w:val="center"/>
              <w:rPr>
                <w:rFonts w:ascii="宋体" w:hAnsi="宋体" w:cs="宋体"/>
                <w:color w:val="000000"/>
                <w:highlight w:val="none"/>
              </w:rPr>
            </w:pPr>
            <w:r>
              <w:rPr>
                <w:rFonts w:ascii="宋体" w:hAnsi="宋体" w:cs="宋体" w:hint="eastAsia"/>
                <w:color w:val="000000"/>
                <w:highlight w:val="none"/>
              </w:rPr>
              <w:t>5</w:t>
            </w:r>
          </w:p>
        </w:tc>
        <w:tc>
          <w:tcPr>
            <w:tcW w:w="2045" w:type="dxa"/>
            <w:noWrap/>
            <w:vAlign w:val="center"/>
          </w:tcPr>
          <w:p>
            <w:pPr>
              <w:rPr>
                <w:rFonts w:ascii="宋体" w:hAnsi="宋体" w:cs="宋体"/>
                <w:color w:val="000000"/>
                <w:highlight w:val="none"/>
              </w:rPr>
            </w:pPr>
            <w:r>
              <w:rPr>
                <w:rFonts w:ascii="宋体" w:hAnsi="宋体" w:cs="宋体" w:hint="eastAsia"/>
                <w:color w:val="000000"/>
                <w:highlight w:val="none"/>
              </w:rPr>
              <w:t>履约保证金</w:t>
            </w:r>
          </w:p>
        </w:tc>
        <w:tc>
          <w:tcPr>
            <w:tcW w:w="6846" w:type="dxa"/>
            <w:noWrap/>
            <w:vAlign w:val="center"/>
          </w:tcPr>
          <w:p>
            <w:pPr>
              <w:rPr>
                <w:rFonts w:ascii="宋体" w:hAnsi="宋体" w:cs="宋体"/>
                <w:color w:val="000000"/>
                <w:highlight w:val="none"/>
              </w:rPr>
            </w:pPr>
            <w:r>
              <w:rPr>
                <w:rFonts w:ascii="宋体" w:hAnsi="宋体" w:cs="宋体" w:hint="eastAsia"/>
                <w:color w:val="000000"/>
                <w:highlight w:val="none"/>
              </w:rPr>
              <w:t>签订合同时约定</w:t>
            </w:r>
          </w:p>
        </w:tc>
      </w:tr>
      <w:tr>
        <w:tblPrEx>
          <w:tblW w:w="0" w:type="auto"/>
          <w:jc w:val="center"/>
          <w:tblLayout w:type="fixed"/>
          <w:tblCellMar>
            <w:top w:w="0" w:type="dxa"/>
            <w:left w:w="108" w:type="dxa"/>
            <w:bottom w:w="0" w:type="dxa"/>
            <w:right w:w="108" w:type="dxa"/>
          </w:tblCellMar>
          <w:tblLook w:val="0000"/>
        </w:tblPrEx>
        <w:trPr>
          <w:cantSplit/>
          <w:trHeight w:val="1062"/>
          <w:jc w:val="center"/>
        </w:trPr>
        <w:tc>
          <w:tcPr>
            <w:tcW w:w="948" w:type="dxa"/>
            <w:noWrap/>
            <w:vAlign w:val="center"/>
          </w:tcPr>
          <w:p>
            <w:pPr>
              <w:jc w:val="center"/>
              <w:rPr>
                <w:rFonts w:ascii="宋体" w:hAnsi="宋体" w:cs="宋体"/>
                <w:color w:val="000000"/>
                <w:highlight w:val="none"/>
              </w:rPr>
            </w:pPr>
            <w:r>
              <w:rPr>
                <w:rFonts w:ascii="宋体" w:hAnsi="宋体" w:cs="宋体" w:hint="eastAsia"/>
                <w:color w:val="000000"/>
                <w:highlight w:val="none"/>
              </w:rPr>
              <w:t>6</w:t>
            </w:r>
          </w:p>
        </w:tc>
        <w:tc>
          <w:tcPr>
            <w:tcW w:w="2045" w:type="dxa"/>
            <w:noWrap/>
            <w:vAlign w:val="center"/>
          </w:tcPr>
          <w:p>
            <w:pPr>
              <w:rPr>
                <w:rFonts w:ascii="宋体" w:hAnsi="宋体" w:cs="宋体"/>
                <w:color w:val="000000"/>
                <w:highlight w:val="none"/>
              </w:rPr>
            </w:pPr>
            <w:r>
              <w:rPr>
                <w:rFonts w:ascii="宋体" w:hAnsi="宋体" w:cs="宋体" w:hint="eastAsia"/>
                <w:color w:val="000000"/>
                <w:highlight w:val="none"/>
              </w:rPr>
              <w:t>服务期或完工期</w:t>
            </w:r>
          </w:p>
        </w:tc>
        <w:tc>
          <w:tcPr>
            <w:tcW w:w="6846" w:type="dxa"/>
            <w:noWrap/>
            <w:vAlign w:val="center"/>
          </w:tcPr>
          <w:p>
            <w:pPr>
              <w:rPr>
                <w:rFonts w:ascii="宋体" w:hAnsi="宋体" w:cs="宋体"/>
                <w:color w:val="000000"/>
                <w:highlight w:val="none"/>
              </w:rPr>
            </w:pPr>
            <w:r>
              <w:rPr>
                <w:rFonts w:ascii="宋体" w:hAnsi="宋体" w:cs="宋体" w:hint="eastAsia"/>
                <w:color w:val="000000"/>
                <w:highlight w:val="none"/>
              </w:rPr>
              <w:t>由于投标书编制软件设置的原因，“开标一览表”除“投标总价”外，“交货期（服务期或完工期）”、“备注”、“数量”等其他信息填写不作投标无效条款。</w:t>
            </w:r>
          </w:p>
        </w:tc>
      </w:tr>
      <w:tr>
        <w:tblPrEx>
          <w:tblW w:w="0" w:type="auto"/>
          <w:jc w:val="center"/>
          <w:tblLayout w:type="fixed"/>
          <w:tblCellMar>
            <w:top w:w="0" w:type="dxa"/>
            <w:left w:w="108" w:type="dxa"/>
            <w:bottom w:w="0" w:type="dxa"/>
            <w:right w:w="108" w:type="dxa"/>
          </w:tblCellMar>
          <w:tblLook w:val="0000"/>
        </w:tblPrEx>
        <w:trPr>
          <w:cantSplit/>
          <w:trHeight w:val="387"/>
          <w:jc w:val="center"/>
        </w:trPr>
        <w:tc>
          <w:tcPr>
            <w:tcW w:w="948" w:type="dxa"/>
            <w:noWrap/>
            <w:vAlign w:val="center"/>
          </w:tcPr>
          <w:p>
            <w:pPr>
              <w:jc w:val="center"/>
              <w:rPr>
                <w:rFonts w:ascii="宋体" w:hAnsi="宋体" w:cs="宋体"/>
                <w:color w:val="000000"/>
                <w:highlight w:val="none"/>
              </w:rPr>
            </w:pPr>
            <w:r>
              <w:rPr>
                <w:rFonts w:ascii="宋体" w:hAnsi="宋体" w:cs="宋体" w:hint="eastAsia"/>
                <w:color w:val="000000"/>
                <w:highlight w:val="none"/>
              </w:rPr>
              <w:t>7</w:t>
            </w:r>
          </w:p>
        </w:tc>
        <w:tc>
          <w:tcPr>
            <w:tcW w:w="2045" w:type="dxa"/>
            <w:noWrap/>
            <w:vAlign w:val="center"/>
          </w:tcPr>
          <w:p>
            <w:pPr>
              <w:rPr>
                <w:rFonts w:ascii="宋体" w:hAnsi="宋体" w:cs="宋体"/>
                <w:color w:val="000000"/>
                <w:highlight w:val="none"/>
              </w:rPr>
            </w:pPr>
            <w:r>
              <w:rPr>
                <w:rFonts w:ascii="宋体" w:hAnsi="宋体" w:cs="宋体" w:hint="eastAsia"/>
                <w:color w:val="000000"/>
                <w:highlight w:val="none"/>
              </w:rPr>
              <w:t>评审委员会组成</w:t>
            </w:r>
          </w:p>
        </w:tc>
        <w:tc>
          <w:tcPr>
            <w:tcW w:w="6846" w:type="dxa"/>
            <w:noWrap/>
            <w:vAlign w:val="center"/>
          </w:tcPr>
          <w:p>
            <w:pPr>
              <w:rPr>
                <w:rFonts w:ascii="宋体" w:hAnsi="宋体" w:cs="宋体"/>
                <w:color w:val="000000"/>
                <w:highlight w:val="none"/>
              </w:rPr>
            </w:pPr>
            <w:r>
              <w:rPr>
                <w:rFonts w:ascii="宋体" w:hAnsi="宋体" w:cs="宋体" w:hint="eastAsia"/>
                <w:color w:val="000000"/>
                <w:szCs w:val="21"/>
                <w:highlight w:val="none"/>
              </w:rPr>
              <w:t>评审委员会由评审专家组成，成员人数为五人或以上的单数。</w:t>
            </w:r>
          </w:p>
        </w:tc>
      </w:tr>
    </w:tbl>
    <w:p>
      <w:pPr>
        <w:spacing w:line="360" w:lineRule="exact"/>
        <w:ind w:firstLine="708" w:firstLineChars="337"/>
        <w:rPr>
          <w:rFonts w:ascii="宋体" w:hAnsi="宋体" w:cs="宋体"/>
          <w:color w:val="000000"/>
          <w:szCs w:val="21"/>
          <w:highlight w:val="none"/>
        </w:rPr>
      </w:pPr>
      <w:r>
        <w:rPr>
          <w:rFonts w:ascii="宋体" w:hAnsi="宋体" w:cs="宋体" w:hint="eastAsia"/>
          <w:color w:val="000000"/>
          <w:szCs w:val="21"/>
          <w:highlight w:val="none"/>
        </w:rPr>
        <w:t>备注：本表为通用条款相关内容的补充和明确，如与通用条款相冲突的以本表为准。</w:t>
      </w:r>
    </w:p>
    <w:p>
      <w:pPr>
        <w:keepNext/>
        <w:keepLines/>
        <w:numPr>
          <w:ilvl w:val="0"/>
          <w:numId w:val="21"/>
        </w:numPr>
        <w:tabs>
          <w:tab w:val="left" w:pos="720"/>
        </w:tabs>
        <w:adjustRightInd w:val="0"/>
        <w:spacing w:before="120" w:beforeLines="50" w:after="120" w:afterLines="50"/>
        <w:ind w:left="562" w:hanging="562"/>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总则</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 通用条款说明</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1.1政府采购代理机构发出招标文件通用条款版本，列出深圳市政府采购项目进行招标采购所适用的通用条款内容。如有需要，政府采购代理机构可以对通用条款增加附录或补充内容。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1.2招标文件分为第一册“专用条款”、第二册“通用条款”和第三册“相关政策”。</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1.3“专用条款”是对本次采购项目的具体要求，包含投标人资格要求、招标项目需求、投标文件格式、附件等内容。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1.4“通用条款”是适用于政府采购项目的基础性条款，具有普遍性和通用性。</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1.5 “专用条款”和“通用条款”表述不一致或有冲突时，以“专用条款”为准。</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2．招标说明</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本项目按照《深圳经济特区政府采购条例》、《深圳经济特区政府采购条例实施细则》等规定，并参考有关法规，通过招标方式确定中标供应商。</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3．定义</w:t>
      </w:r>
    </w:p>
    <w:p>
      <w:pPr>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招标文件中下列术语应解释为：</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3.1“采购代理机构”是指中国远东国际招标有限公司；</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 xml:space="preserve">3.2“采购人”、“采购方”、“采购单位”、“买方”或“招标人”：指利用财政性资金依法进行政府采购的国家机关、事业单位、团体组织； </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3.3“投标人”、“投标方”、“投标单位”或“卖方”，即供应商，指参加投标竞争并愿意按照招标文件要求向采购人提供货物、工程或者服务的依法成立的法人、其他组织或者自然人；</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3.4“评审委员会”和“谈判小组”是依据《深圳经济特区政府采购条例》、《深圳经济特区政府采购条例实施细则》等有关规定组建的专门负责本次招标其评标（谈判）工作的临时性机构；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3.5“日期”指公历日；</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3.6“合同”指由本次招标所产生的合同或合约文件；</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3.7“电子投标文件”指利用深圳公共资源交易中心市区政府采购统一平台提供的投标书加密软件加密的投标文件,适用于网上投标；（此投标书加密软件可从</w:t>
      </w:r>
      <w:r>
        <w:rPr>
          <w:rFonts w:ascii="宋体" w:hAnsi="宋体" w:cs="宋体" w:hint="eastAsia"/>
          <w:color w:val="000000"/>
          <w:highlight w:val="none"/>
        </w:rPr>
        <w:t>http://www.szzfcg.cn/</w:t>
      </w:r>
      <w:r>
        <w:rPr>
          <w:rFonts w:ascii="宋体" w:hAnsi="宋体" w:cs="宋体" w:hint="eastAsia"/>
          <w:color w:val="000000"/>
          <w:szCs w:val="21"/>
          <w:highlight w:val="none"/>
        </w:rPr>
        <w:t>网站“相关软件”栏目中下载）；</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3.8“网上投标”指通过深圳公共资源交易中心市区政府采购统一平台上传电子投标文件；</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3.9招标文件中的标题或题名仅起引导作用，而不应视为对招标文件内容的理解和解释。</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4. 政府采购供应商责任</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4.1欢迎诚信、有实力和有社会责任心的供应商参与政府采购事业。</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4.2投标人应当遵循公平竞争的原则，不得恶意串通，不得妨碍其他投标人的竞争行为，不得损害采购人或者其他投标人的合法权益。如违反上述要求，经核实后，供应商的投标无效。</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5．投标人参加政府采购的条件</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5.1投标人应在投标前到政府集中采购机构进行注册。《</w:t>
      </w:r>
      <w:r>
        <w:rPr>
          <w:color w:val="000000"/>
          <w:highlight w:val="none"/>
        </w:rPr>
        <w:fldChar w:fldCharType="begin"/>
      </w:r>
      <w:r>
        <w:rPr>
          <w:color w:val="000000"/>
          <w:highlight w:val="none"/>
        </w:rPr>
        <w:instrText xml:space="preserve"> HYPERLINK "http://www.szzfcg.cn/viewer.do?id=2455258" \t "documentViewer2455258" </w:instrText>
      </w:r>
      <w:r>
        <w:rPr>
          <w:color w:val="000000"/>
          <w:highlight w:val="none"/>
        </w:rPr>
        <w:fldChar w:fldCharType="separate"/>
      </w:r>
      <w:r>
        <w:rPr>
          <w:rFonts w:ascii="宋体" w:hAnsi="宋体" w:cs="宋体" w:hint="eastAsia"/>
          <w:color w:val="000000"/>
          <w:szCs w:val="21"/>
          <w:highlight w:val="none"/>
        </w:rPr>
        <w:t>供应商注册及电子密钥新申请指引</w:t>
      </w:r>
      <w:r>
        <w:rPr>
          <w:rFonts w:ascii="宋体" w:hAnsi="宋体" w:cs="宋体" w:hint="eastAsia"/>
          <w:color w:val="000000"/>
          <w:szCs w:val="21"/>
          <w:highlight w:val="none"/>
        </w:rPr>
        <w:fldChar w:fldCharType="end"/>
      </w:r>
      <w:r>
        <w:rPr>
          <w:rFonts w:ascii="宋体" w:hAnsi="宋体" w:cs="宋体" w:hint="eastAsia"/>
          <w:color w:val="000000"/>
          <w:szCs w:val="21"/>
          <w:highlight w:val="none"/>
        </w:rPr>
        <w:t>》详见</w:t>
      </w:r>
      <w:r>
        <w:rPr>
          <w:rFonts w:ascii="宋体" w:hAnsi="宋体" w:cs="宋体" w:hint="eastAsia"/>
          <w:color w:val="000000"/>
          <w:highlight w:val="none"/>
        </w:rPr>
        <w:t>http://www.szzfcg.cn/</w:t>
      </w:r>
      <w:r>
        <w:rPr>
          <w:rFonts w:ascii="宋体" w:hAnsi="宋体" w:cs="宋体" w:hint="eastAsia"/>
          <w:color w:val="000000"/>
          <w:szCs w:val="21"/>
          <w:highlight w:val="none"/>
        </w:rPr>
        <w:t>。</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5.2投标人的资格要求</w:t>
      </w:r>
    </w:p>
    <w:p>
      <w:pPr>
        <w:spacing w:line="300" w:lineRule="atLeast"/>
        <w:ind w:firstLine="412" w:firstLineChars="196"/>
        <w:rPr>
          <w:rFonts w:ascii="宋体" w:hAnsi="宋体" w:cs="宋体" w:hint="eastAsia"/>
          <w:color w:val="000000"/>
          <w:szCs w:val="21"/>
          <w:highlight w:val="none"/>
        </w:rPr>
      </w:pPr>
      <w:r>
        <w:rPr>
          <w:rFonts w:ascii="宋体" w:hAnsi="宋体" w:cs="宋体" w:hint="eastAsia"/>
          <w:color w:val="000000"/>
          <w:szCs w:val="21"/>
          <w:highlight w:val="none"/>
        </w:rPr>
        <w:t>5.2.1参加本项目的投标人应具备的资格条件详见本项目招标公告中 “投标人资格要求”的内容。</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5.2.2为采购项目提供整体设计、规范编制或者项目管理、监理、检测等服务的供应商，不得再参加该采购项目同一合同项下的其他采购活动。</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kern w:val="0"/>
          <w:szCs w:val="21"/>
          <w:highlight w:val="none"/>
        </w:rPr>
        <w:t>5.2.3单位负责人为同一人或者存在直接控股、管理关系的不同供应商，不得参加同一合同项下的政府采购活动。</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5.3联合体投标</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5.3.1　以下有关联合体投标的条款仅适用于允许投标人组成联合体投标的项目。</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5.3.2  由两个或两个以上的自然人、法人或者其他组织可以组成一个联合体，以一个供应商的身份共同投标时，应符合以下原则：</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 xml:space="preserve">（1）投标联合体各方参加政府采购活动应当具备下列条件： </w:t>
      </w:r>
    </w:p>
    <w:p>
      <w:pPr>
        <w:spacing w:line="300" w:lineRule="atLeast"/>
        <w:ind w:left="420" w:firstLine="412" w:leftChars="200" w:firstLineChars="196"/>
        <w:rPr>
          <w:rFonts w:ascii="宋体" w:hAnsi="宋体" w:cs="宋体"/>
          <w:color w:val="000000"/>
          <w:highlight w:val="none"/>
        </w:rPr>
      </w:pPr>
      <w:r>
        <w:rPr>
          <w:rFonts w:ascii="宋体" w:hAnsi="宋体" w:cs="宋体" w:hint="eastAsia"/>
          <w:color w:val="000000"/>
          <w:highlight w:val="none"/>
        </w:rPr>
        <w:t xml:space="preserve">1、具有独立承担民事责任的能力； </w:t>
      </w:r>
    </w:p>
    <w:p>
      <w:pPr>
        <w:spacing w:line="300" w:lineRule="atLeast"/>
        <w:ind w:left="420" w:firstLine="412" w:firstLineChars="196"/>
        <w:rPr>
          <w:rFonts w:ascii="宋体" w:hAnsi="宋体" w:cs="宋体"/>
          <w:color w:val="000000"/>
          <w:highlight w:val="none"/>
        </w:rPr>
      </w:pPr>
      <w:r>
        <w:rPr>
          <w:rFonts w:ascii="宋体" w:hAnsi="宋体" w:cs="宋体" w:hint="eastAsia"/>
          <w:color w:val="000000"/>
          <w:highlight w:val="none"/>
        </w:rPr>
        <w:t xml:space="preserve">2、有良好的商业信誉和健全的财务会计制度； </w:t>
      </w:r>
    </w:p>
    <w:p>
      <w:pPr>
        <w:spacing w:line="300" w:lineRule="atLeast"/>
        <w:ind w:left="420" w:firstLine="412" w:leftChars="200" w:firstLineChars="196"/>
        <w:rPr>
          <w:rFonts w:ascii="宋体" w:hAnsi="宋体" w:cs="宋体"/>
          <w:color w:val="000000"/>
          <w:highlight w:val="none"/>
        </w:rPr>
      </w:pPr>
      <w:r>
        <w:rPr>
          <w:rFonts w:ascii="宋体" w:hAnsi="宋体" w:cs="宋体" w:hint="eastAsia"/>
          <w:color w:val="000000"/>
          <w:highlight w:val="none"/>
        </w:rPr>
        <w:t xml:space="preserve">3、具有履行合同所必需的设备和专业技术能力； </w:t>
      </w:r>
    </w:p>
    <w:p>
      <w:pPr>
        <w:spacing w:line="300" w:lineRule="atLeast"/>
        <w:ind w:left="420" w:firstLine="412" w:leftChars="200" w:firstLineChars="196"/>
        <w:rPr>
          <w:rFonts w:ascii="宋体" w:hAnsi="宋体" w:cs="宋体"/>
          <w:color w:val="000000"/>
          <w:highlight w:val="none"/>
        </w:rPr>
      </w:pPr>
      <w:r>
        <w:rPr>
          <w:rFonts w:ascii="宋体" w:hAnsi="宋体" w:cs="宋体" w:hint="eastAsia"/>
          <w:color w:val="000000"/>
          <w:highlight w:val="none"/>
        </w:rPr>
        <w:t xml:space="preserve">4、有依法缴纳税收和社会保障资金的良好记录； </w:t>
      </w:r>
    </w:p>
    <w:p>
      <w:pPr>
        <w:spacing w:line="300" w:lineRule="atLeast"/>
        <w:ind w:left="420" w:firstLine="412" w:leftChars="200" w:firstLineChars="196"/>
        <w:rPr>
          <w:rFonts w:ascii="宋体" w:hAnsi="宋体" w:cs="宋体"/>
          <w:color w:val="000000"/>
          <w:highlight w:val="none"/>
        </w:rPr>
      </w:pPr>
      <w:r>
        <w:rPr>
          <w:rFonts w:ascii="宋体" w:hAnsi="宋体" w:cs="宋体" w:hint="eastAsia"/>
          <w:color w:val="000000"/>
          <w:highlight w:val="none"/>
        </w:rPr>
        <w:t xml:space="preserve">5、参加政府采购活动前三年内，在经营活动中没有重大违法记录； </w:t>
      </w:r>
    </w:p>
    <w:p>
      <w:pPr>
        <w:spacing w:line="300" w:lineRule="atLeast"/>
        <w:ind w:left="420" w:firstLine="412" w:leftChars="200" w:firstLineChars="196"/>
        <w:rPr>
          <w:rFonts w:ascii="宋体" w:hAnsi="宋体" w:cs="宋体"/>
          <w:color w:val="000000"/>
          <w:highlight w:val="none"/>
        </w:rPr>
      </w:pPr>
      <w:r>
        <w:rPr>
          <w:rFonts w:ascii="宋体" w:hAnsi="宋体" w:cs="宋体" w:hint="eastAsia"/>
          <w:color w:val="000000"/>
          <w:highlight w:val="none"/>
        </w:rPr>
        <w:t xml:space="preserve">6、法律、行政法规规定的其他条件。 </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（2）投标联合体各方必须有一方先行注册成政府集中采购机构供应商；</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（3）联合体中有同类资质的供应商按照联合体分工承担相同工作的，应当按照资质等级较低的供应商确定资质等级。</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（4）是否允许联合体参加投标，应当由采购人和采购代理机构根据项目的实际情况和潜在供应商的数量自主决定，如果决定接受联合体投标则应当在采购公告中明示。</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（5）投标人的投标文件及中标后签署的合同协议对联合体各方均具法律约束力；</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（6）联合体各方应当签订共同投标协议，明确约定各方拟承担的工作和责任，并将该共同投标协议随投标文件一并递交给采购代理机构；</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（7）联合体中标后，联合体各方应当共同与采购人签订合同，就中标项目向采购人承担连带责任；</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highlight w:val="none"/>
        </w:rPr>
        <w:t>（9）本通用条款中“投标人”一词亦指联合体各方，专用条款另有规定或说明的除外。</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6．政策导向</w:t>
      </w:r>
    </w:p>
    <w:p>
      <w:pPr>
        <w:spacing w:line="300" w:lineRule="atLeast"/>
        <w:ind w:firstLine="405"/>
        <w:rPr>
          <w:rFonts w:ascii="宋体" w:hAnsi="宋体" w:cs="宋体"/>
          <w:color w:val="000000"/>
          <w:highlight w:val="none"/>
        </w:rPr>
      </w:pPr>
      <w:r>
        <w:rPr>
          <w:rFonts w:ascii="宋体" w:hAnsi="宋体" w:cs="宋体" w:hint="eastAsia"/>
          <w:color w:val="000000"/>
          <w:highlight w:val="none"/>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pPr>
        <w:spacing w:line="300" w:lineRule="atLeast"/>
        <w:ind w:firstLine="405"/>
        <w:rPr>
          <w:rFonts w:ascii="宋体" w:hAnsi="宋体" w:cs="宋体"/>
          <w:color w:val="000000"/>
          <w:highlight w:val="none"/>
        </w:rPr>
      </w:pPr>
      <w:r>
        <w:rPr>
          <w:rFonts w:ascii="宋体" w:hAnsi="宋体" w:cs="宋体" w:hint="eastAsia"/>
          <w:color w:val="000000"/>
          <w:highlight w:val="none"/>
        </w:rPr>
        <w:t>6.2 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pPr>
        <w:spacing w:line="300" w:lineRule="atLeast"/>
        <w:ind w:firstLine="405"/>
        <w:rPr>
          <w:rFonts w:ascii="宋体" w:hAnsi="宋体" w:cs="宋体"/>
          <w:color w:val="000000"/>
          <w:highlight w:val="none"/>
        </w:rPr>
      </w:pPr>
      <w:r>
        <w:rPr>
          <w:rFonts w:ascii="宋体" w:hAnsi="宋体" w:cs="宋体" w:hint="eastAsia"/>
          <w:color w:val="000000"/>
          <w:highlight w:val="none"/>
        </w:rPr>
        <w:t>6.3供应商在中标（成交）后需要融资时可以申请政府采购订单融资。有关政府采购订单融资的业务流程、金融机构申请参考模板、合同账户变更补充协议参考模板、业务统计数据等资料和信息，可到深圳市政府采购监管网“政府采购订单融资专区”查询、下载。</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7. 本项目若涉及采购货物，则合格的货物及相应服务应满足以下要求：</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7.1  必须是全新、未使用过的原装合格正品（包括零部件），如安装或配置了软件的，须为正版软件。</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7.2  国产的货物及其有关服务必须符合中华人民共和国的设计、制造生产标准及行业标准。招标公告有其他要求的，亦应符合其要求。</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7.3  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7.4  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7.6  对工期的要求：投标人在投标时对其所投项目应提交交货进度、交货计划等，在合同规定的时间内完工验收。</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7.7  投标人必须承担的设备运输、安装调试、验收检测和提供设备操作说明书、图纸等其他相关及类似的义务。</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8．投标费用</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不论投标结果如何，投标人应承担其编制投标文件与递交投标文件所涉及的一切费用。</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9．踏勘现场</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9.1如有需要（详见专用条款），采购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9.2投标人及其人员经过采购人的允许，可以进入采购人的项目现场踏勘。若招标文件要求投标人于统一时间地点踏勘现场的，投标人应当按时前往。</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9.3采购人必须通过采购代理机构向投标人提供有关现场的资料和数据。</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9.4任何人或任何组织在踏勘现场时向投标人提交的任何书面资料或口头承诺，未经采购代理机构在网上发布或书面通知，均作无效处理。</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10．招标答疑</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10.1招标答疑的目的是澄清、解答投标人在查阅招标文件后或现场踏勘中可能提出的与投标有关的疑问或询问。</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10.2投标人如对招标文件内容有疑问，必须在招标文件规定的答疑截止时间前以网上提问形式提交至采购代理机构。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10.3采购代理机构对疑问所做出的澄清和解答，以书面答复（包括网站发布信息）为准。答疑纪要的有效性规定按照本通用条款第13.3、13.4款规定执行。</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10.4如采购代理机构认为有必要组织现场答疑会，投标人应按照招标文件规定的时间或采购代理机构另行书面通知（包括网站发布的通知）的时间和地点，参与现场答疑会。</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10.5未参与招标答疑不作为否定投标人资格的理由。</w:t>
      </w:r>
    </w:p>
    <w:p>
      <w:pPr>
        <w:keepNext/>
        <w:keepLines/>
        <w:numPr>
          <w:ilvl w:val="0"/>
          <w:numId w:val="21"/>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招标文件</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11．招标文件的编制与组成</w:t>
      </w:r>
    </w:p>
    <w:p>
      <w:pPr>
        <w:snapToGrid w:val="0"/>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11.1招标文件除以下内容外，采购代理机构在招标（或谈判）期间发出的答疑、澄清或修改等相关公告或通知内容，均是招标文件的组成部分，对投标人起约束作用；</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招标文件包括下列内容：</w:t>
      </w:r>
    </w:p>
    <w:p>
      <w:pPr>
        <w:spacing w:line="300" w:lineRule="atLeast"/>
        <w:ind w:left="420" w:firstLine="412" w:leftChars="200" w:firstLineChars="196"/>
        <w:rPr>
          <w:rFonts w:ascii="宋体" w:hAnsi="宋体" w:cs="宋体"/>
          <w:b/>
          <w:color w:val="000000"/>
          <w:szCs w:val="21"/>
          <w:highlight w:val="none"/>
        </w:rPr>
      </w:pPr>
      <w:r>
        <w:rPr>
          <w:rFonts w:ascii="宋体" w:hAnsi="宋体" w:cs="宋体" w:hint="eastAsia"/>
          <w:b/>
          <w:color w:val="000000"/>
          <w:szCs w:val="21"/>
          <w:highlight w:val="none"/>
        </w:rPr>
        <w:t>第一册  专用条款</w:t>
      </w:r>
    </w:p>
    <w:p>
      <w:pPr>
        <w:spacing w:line="300" w:lineRule="atLeast"/>
        <w:ind w:left="1079" w:leftChars="514"/>
        <w:rPr>
          <w:rFonts w:ascii="宋体" w:hAnsi="宋体" w:cs="宋体"/>
          <w:b/>
          <w:color w:val="000000"/>
          <w:szCs w:val="21"/>
          <w:highlight w:val="none"/>
        </w:rPr>
      </w:pPr>
      <w:r>
        <w:rPr>
          <w:rFonts w:ascii="宋体" w:hAnsi="宋体" w:cs="宋体" w:hint="eastAsia"/>
          <w:b/>
          <w:color w:val="000000"/>
          <w:szCs w:val="21"/>
          <w:highlight w:val="none"/>
        </w:rPr>
        <w:t>关键信息</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第一章  招标公告</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第二章  招标项目需求</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 xml:space="preserve">第三章  </w:t>
      </w:r>
      <w:r>
        <w:rPr>
          <w:rFonts w:ascii="宋体" w:hAnsi="宋体" w:cs="宋体" w:hint="eastAsia"/>
          <w:color w:val="000000"/>
          <w:highlight w:val="none"/>
        </w:rPr>
        <w:t>投标文件格式、附件</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第四章  合同及履约情况反馈格式</w:t>
      </w:r>
    </w:p>
    <w:p>
      <w:pPr>
        <w:spacing w:line="300" w:lineRule="atLeast"/>
        <w:ind w:left="420" w:firstLine="412" w:leftChars="200" w:firstLineChars="196"/>
        <w:rPr>
          <w:rFonts w:ascii="宋体" w:hAnsi="宋体" w:cs="宋体"/>
          <w:b/>
          <w:color w:val="000000"/>
          <w:szCs w:val="21"/>
          <w:highlight w:val="none"/>
        </w:rPr>
      </w:pPr>
      <w:r>
        <w:rPr>
          <w:rFonts w:ascii="宋体" w:hAnsi="宋体" w:cs="宋体" w:hint="eastAsia"/>
          <w:b/>
          <w:color w:val="000000"/>
          <w:szCs w:val="21"/>
          <w:highlight w:val="none"/>
        </w:rPr>
        <w:t>第二册  通用条款</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第一章  总则</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第二章  招标文件</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第三章  投标文件的编制</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第四章  投标文件的递交</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第五章  开标</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第六章  评标要求</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第七章  评标程序及评标方法</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第八章  定标及公示</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第九章  公开招标失败的后续处理</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第十章  合同的授予与备案</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第十一章  质疑处理</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第十二章  招标代理服务费收费标准</w:t>
      </w:r>
    </w:p>
    <w:p>
      <w:pPr>
        <w:spacing w:line="300" w:lineRule="atLeast"/>
        <w:ind w:left="420" w:firstLine="412" w:leftChars="200" w:firstLineChars="196"/>
        <w:rPr>
          <w:rFonts w:ascii="宋体" w:hAnsi="宋体" w:cs="宋体"/>
          <w:b/>
          <w:color w:val="000000"/>
          <w:szCs w:val="21"/>
          <w:highlight w:val="none"/>
        </w:rPr>
      </w:pPr>
      <w:r>
        <w:rPr>
          <w:rFonts w:ascii="宋体" w:hAnsi="宋体" w:cs="宋体" w:hint="eastAsia"/>
          <w:b/>
          <w:color w:val="000000"/>
          <w:szCs w:val="21"/>
          <w:highlight w:val="none"/>
        </w:rPr>
        <w:t>第三册  相关政策</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11.2 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11.3</w:t>
      </w:r>
      <w:r>
        <w:rPr>
          <w:rFonts w:ascii="宋体" w:hAnsi="宋体" w:cs="宋体" w:hint="eastAsia"/>
          <w:color w:val="000000"/>
          <w:highlight w:val="none"/>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12．招标文件的澄清</w:t>
      </w:r>
    </w:p>
    <w:p>
      <w:pPr>
        <w:snapToGrid w:val="0"/>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12.1投标人如对招标文件内容有疑问，必须在招标文件规定的答疑截止时间前以网上提问形式提交给采购代理机构。不论是采购代理机构根据需要主动对招标文件进行必要的澄清或是根据投标人的要求对招标文件做出澄清，采购代理机构都将在投标截止日期前以书面形式（包括政府集中采购机构网站公开发布方式）答复或发送给所有投标人。澄清纪要作为招标文件的组成部分，对投标人起约束作用；</w:t>
      </w:r>
    </w:p>
    <w:p>
      <w:pPr>
        <w:snapToGrid w:val="0"/>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12.2对于没有提出澄清又参与了该项目投标的供应商将被视为完全认同该</w:t>
      </w:r>
      <w:r>
        <w:rPr>
          <w:rFonts w:ascii="宋体" w:hAnsi="宋体" w:cs="宋体" w:hint="eastAsia"/>
          <w:color w:val="000000"/>
          <w:highlight w:val="none"/>
        </w:rPr>
        <w:t>招标文件（含澄清纪要）</w:t>
      </w:r>
      <w:r>
        <w:rPr>
          <w:rFonts w:ascii="宋体" w:hAnsi="宋体" w:cs="宋体" w:hint="eastAsia"/>
          <w:color w:val="000000"/>
          <w:szCs w:val="21"/>
          <w:highlight w:val="none"/>
        </w:rPr>
        <w:t>，投标截止期后不再受理针对招标文件的相关质疑或投诉。</w:t>
      </w:r>
    </w:p>
    <w:p>
      <w:pPr>
        <w:snapToGrid w:val="0"/>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12.3 对招标文件中描述有歧意或前后不一致的地方，评审委员会有权进行评判，但对同一条款的评判应适用于每个投标人。</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13．招标文件的修改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13.1招标文件发出后，在投标截止日期前任何时候，确需要变更招标内容的，采购代理机构可主动或在解答投标人提出的澄清问题时对招标文件进行修改；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13.2招标文件的修改以书面形式（包括网站公开发布方式）发送给所有投标人，招标文件的修改内容作为招标文件的组成部分，并具有约束力。</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13.3招标文件、招标文件澄清（答疑）纪要、招标文件修改补充通知内容均以书面（包括网站公开发布方式）明确的内容为准。当招标文件、修改补充通知、澄清（答疑）纪要内容相互矛盾时，以最后发出的内容为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pPr>
        <w:keepNext/>
        <w:keepLines/>
        <w:numPr>
          <w:ilvl w:val="0"/>
          <w:numId w:val="21"/>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投标文件的编制</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14．投标文件的编制、语言及度量单位</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14.1  投标人应在认真阅读招标文件所有内容的基础上，按照招标文件的要求编制完整的投标文件。招标文件中对投标文件格式有要求的，投标人必须全部填写格式中要求的所有内容。无相应内容可填的项应填写“无”、“没有相应指标”等明确的回答文字。有具体数值的应填写具体数值，而不能笼统地响应为“符合”、“满足”等结论性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14.2投标人必须保证投标文件所提供的全部信息和资料是真实的和正确的，并接受评审委员会对其中任何资料进一步审查的要求。投标人提交的资料将被保密，但不退还。</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投标人投标所提供的有关证明文件，包括但不限于营业执照、机构登记证、经营许可证、生产许可证、产品注册证、第三方检测报告、质量体系证书、荣誉证书、奖励奖项等，都必须是国家机关签发、或在中国合法登记设立并有权有资质颁发相关证明文件的机构签发。</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14.3  投标文件须对招标文件中的内容做出实质性和完整的响应，否则其投标将被视为无效标被拒绝。</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14.4 投标文件的编制可在招标文件提供的格式基础上扩展加页。需投标人自行编写的投标内容，投标人应采用简洁、清晰的文件格式。投标文件编制格式其它特殊要求详见本须知前附表。</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14.5 投标人在投标文件中提供的有关证明文件（如营业执照、经营许可证、生产许可证、产品注册证、第三方检测报告、质量体系证书、荣誉证书、奖励奖项、产品说明书和样本等）等应为原件的复印件或者清晰的扫描件。</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14.6 投标人与政府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14.7 除技术规范另有规定外，投标文件使用的度量单位，均采用中华人民共和国法定计量单位。</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15．投标文件的组成</w:t>
      </w:r>
    </w:p>
    <w:p>
      <w:pPr>
        <w:spacing w:line="300" w:lineRule="atLeast"/>
        <w:ind w:firstLine="412" w:firstLineChars="196"/>
        <w:rPr>
          <w:rFonts w:ascii="宋体" w:hAnsi="宋体" w:cs="宋体"/>
          <w:b/>
          <w:color w:val="000000"/>
          <w:szCs w:val="21"/>
          <w:highlight w:val="none"/>
        </w:rPr>
      </w:pPr>
      <w:r>
        <w:rPr>
          <w:rFonts w:ascii="宋体" w:hAnsi="宋体" w:cs="宋体" w:hint="eastAsia"/>
          <w:b/>
          <w:color w:val="000000"/>
          <w:szCs w:val="21"/>
          <w:highlight w:val="none"/>
        </w:rPr>
        <w:t>具体内容请详见本项目</w:t>
      </w:r>
      <w:r>
        <w:rPr>
          <w:rFonts w:ascii="宋体" w:hAnsi="宋体" w:cs="宋体" w:hint="eastAsia"/>
          <w:b/>
          <w:bCs/>
          <w:color w:val="000000"/>
          <w:szCs w:val="21"/>
          <w:highlight w:val="none"/>
        </w:rPr>
        <w:t>招标文件第一册“专用条款”</w:t>
      </w:r>
      <w:r>
        <w:rPr>
          <w:rFonts w:ascii="宋体" w:hAnsi="宋体" w:cs="宋体" w:hint="eastAsia"/>
          <w:b/>
          <w:color w:val="000000"/>
          <w:szCs w:val="21"/>
          <w:highlight w:val="none"/>
        </w:rPr>
        <w:t>的相关内容。</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16．投标文件格式</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投标文件包括本通用条款第15条中规定的内容。如招标文件提供了投标文件格式，则</w:t>
      </w:r>
      <w:r>
        <w:rPr>
          <w:rFonts w:ascii="宋体" w:hAnsi="宋体" w:cs="宋体" w:hint="eastAsia"/>
          <w:b/>
          <w:bCs/>
          <w:color w:val="000000"/>
          <w:szCs w:val="21"/>
          <w:highlight w:val="none"/>
        </w:rPr>
        <w:t>投标人提交的投标文件应毫无例外地使用招标文件所提供的相应格式</w:t>
      </w:r>
      <w:r>
        <w:rPr>
          <w:rFonts w:ascii="宋体" w:hAnsi="宋体" w:cs="宋体" w:hint="eastAsia"/>
          <w:color w:val="000000"/>
          <w:szCs w:val="21"/>
          <w:highlight w:val="none"/>
        </w:rPr>
        <w:t>（表格可以按同样格式扩展）。</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17．投标货币</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本项目的投标应以人民币计。</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18．证明投标文件投标技术方案的合格性和符合招标文件规定的文件要求</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18.1 投标人应提交证明文件证明其投标技术方案项下的货物、工程和服务的合格性符合招标文件规定。该投标技术方案及其证明文件作为投标文件的一部分。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18.2 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18.2.1主要技术指标和性能的详细说明。</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18.2.2投标产品从采购人开始使用至招标文件中规定的周期内正常、连续地使用所必须的备件和专用工具清单，包括备件和专用工具的货源及现行价格。</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18.2.3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ascii="宋体" w:hAnsi="宋体" w:cs="宋体" w:hint="eastAsia"/>
          <w:color w:val="000000"/>
          <w:highlight w:val="none"/>
        </w:rPr>
        <w:t>清晰度要求能够使用电脑阅读、识别和判断</w:t>
      </w:r>
      <w:r>
        <w:rPr>
          <w:rFonts w:ascii="宋体" w:hAnsi="宋体" w:cs="宋体" w:hint="eastAsia"/>
          <w:color w:val="000000"/>
          <w:szCs w:val="21"/>
          <w:highlight w:val="none"/>
        </w:rPr>
        <w:t>；</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18.2.5我国政府机构出具的产品检验和核准证件应为证件正面、背面和附件标注的全部具体内容；产品检验和核准证件的尺寸和清晰度应该能够在电脑上被阅读、识别和判断，提供原件扫描件。</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18.3相关资料不符合18.2款要求的，评审委员会有权认定为投标技术方案不合格响应，其相关分数予以扣减或作投标无效处理。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ascii="宋体" w:hAnsi="宋体" w:cs="宋体" w:hint="eastAsia"/>
          <w:color w:val="000000"/>
          <w:highlight w:val="none"/>
        </w:rPr>
        <w:t>满足要求</w:t>
      </w:r>
      <w:r>
        <w:rPr>
          <w:rFonts w:ascii="宋体" w:hAnsi="宋体" w:cs="宋体" w:hint="eastAsia"/>
          <w:color w:val="000000"/>
          <w:szCs w:val="21"/>
          <w:highlight w:val="none"/>
        </w:rPr>
        <w:t>，由评审委员会来评判。</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18.5为保证公平公正，除非另有规定或说明，投标人对同一项目投标时，不得同时提供两套或两套以上的投标方案。</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19．投标文件其他证明文件的要求</w:t>
      </w:r>
    </w:p>
    <w:p>
      <w:pPr>
        <w:spacing w:line="300" w:lineRule="atLeast"/>
        <w:rPr>
          <w:rFonts w:ascii="宋体" w:hAnsi="宋体" w:cs="宋体"/>
          <w:color w:val="000000"/>
          <w:szCs w:val="21"/>
          <w:highlight w:val="none"/>
        </w:rPr>
      </w:pPr>
      <w:r>
        <w:rPr>
          <w:rFonts w:ascii="宋体" w:hAnsi="宋体" w:cs="宋体" w:hint="eastAsia"/>
          <w:color w:val="000000"/>
          <w:sz w:val="24"/>
          <w:highlight w:val="none"/>
        </w:rPr>
        <w:t xml:space="preserve">    </w:t>
      </w:r>
      <w:r>
        <w:rPr>
          <w:rFonts w:ascii="宋体" w:hAnsi="宋体" w:cs="宋体" w:hint="eastAsia"/>
          <w:color w:val="000000"/>
          <w:szCs w:val="21"/>
          <w:highlight w:val="none"/>
        </w:rPr>
        <w:t>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pPr>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（1）被质疑供应商未能在合理时间内提供资料原件核对，且不能合理说明的；</w:t>
      </w:r>
    </w:p>
    <w:p>
      <w:pPr>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（2）被质疑供应商提供的资料原件与投标文件资料不一致的；</w:t>
      </w:r>
    </w:p>
    <w:p>
      <w:pPr>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（3）被质疑供应商投标文件资料信息与在相应官方查询渠道查询到的信息不一致，且不能合理说明的。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20．投标有效期</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20.1 投标有效期为从投标截止之日算起的日历天数，具体见专用条款中投标有效期的天数要求。在此期限内，所有投标文件均保持有效；</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20.2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但应当相应的延长投标担保有效期；</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20.3 中标人的投标书有效期，截止于完成本招标文件规定的全部项目内容，并通过竣工验收及保修结束。</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 xml:space="preserve">21．关于投标保证金 </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21.1 自2019年8月15日起，深圳公共资源交易中心停止收取投标保证金和履约保证金。深圳公共资源交易中心将同时为所有注册供应商开放投标权限（因受到主管部门处罚锁定投标权限的除外）。</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21.2 咨询电话：0755-83948155。</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22．投标人的替代方案</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22.1投标人所提交的投标文件应完全满足招标文件（包括图纸和技术规范所示的基本技术设计）的要求。除非招标的项目明确允许投标人提交替代方案，否则投标人有关替代方案的条款将初审不通过，投标无效。</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23．投标文件的制作要求</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23.1投标人应准备所投项目的电子投标文件一份。此电子投标文件须由投标人根据采购代理机构提供的后缀名为.szczf的电子招标文件、《投标书编制软件》编制【要求下载安装《投标书编辑软件》及其配套软件，使用电子密钥登录深圳市网上政府采购系统（http://www.szzfcg.cn/），然后在右侧的“相关链接”栏目中下载。在安装此软件之前，须先安装Adobe Reader 7.0以上版本】。</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23.2投标人在使用《投标书编制软件》编制投标书时须注意：</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23.2.1导入《投标书编制软件》的招标文件项目编号、包号应与以此制作的投标文件项目编号、包号一致。例如，不能将甲项目A包的招标书导入《投标书编制软件》，制作乙项目B包的投标书。</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23.2.2不能用非本公司的电子密钥加密本公司的投标文件，或者用其它公司的登录用户上传本公司的投标文件。</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23.2.3要求用《投标书编制软件》编制投标书的包，不能用其它方式编制投标书。编制投标文件时，电脑须连通互联网。</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23.2.4投标文件不能带病毒。采购代理机构将用专业杀毒软件对投标文件进行病毒检测，如果这两种软件均报告发现病毒，则采购代理机构认为该投标文件带病毒。</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23.2.5完整填写“投标关键信息”，如下图所示：</w:t>
      </w:r>
    </w:p>
    <w:p>
      <w:pPr>
        <w:spacing w:line="300" w:lineRule="atLeast"/>
        <w:ind w:firstLine="412" w:firstLineChars="196"/>
        <w:jc w:val="center"/>
        <w:rPr>
          <w:rFonts w:ascii="宋体" w:hAnsi="宋体" w:cs="宋体"/>
          <w:color w:val="000000"/>
          <w:highlight w:val="none"/>
        </w:rPr>
      </w:pPr>
      <w:r>
        <w:rPr>
          <w:rFonts w:ascii="宋体" w:hAnsi="宋体"/>
          <w:color w:val="000000"/>
          <w:highlight w:val="none"/>
        </w:rPr>
        <w:pict>
          <v:shape id="图片 6" o:spid="_x0000_i1026" type="#_x0000_t75" alt="说明: 图形用户界面, 应用程序&#10;&#10;描述已自动生成" style="height:214.26pt;mso-position-horizontal-relative:page;mso-position-vertical-relative:page;mso-wrap-style:square;width:415.83pt" filled="f" stroked="f">
            <v:stroke linestyle="single"/>
            <v:imagedata r:id="rId14" o:title="图形用户界面, 应用程序&#10;&#10;描述已自动生成"/>
            <v:path o:extrusionok="f"/>
            <o:lock v:ext="edit" aspectratio="t"/>
          </v:shape>
        </w:pict>
      </w:r>
    </w:p>
    <w:p>
      <w:pPr>
        <w:spacing w:line="300" w:lineRule="atLeast"/>
        <w:ind w:firstLine="412" w:firstLineChars="196"/>
        <w:rPr>
          <w:rFonts w:ascii="宋体" w:hAnsi="宋体" w:cs="宋体"/>
          <w:b/>
          <w:color w:val="000000"/>
          <w:highlight w:val="none"/>
        </w:rPr>
      </w:pPr>
      <w:r>
        <w:rPr>
          <w:rFonts w:ascii="宋体" w:hAnsi="宋体" w:cs="宋体" w:hint="eastAsia"/>
          <w:b/>
          <w:color w:val="000000"/>
          <w:highlight w:val="none"/>
        </w:rPr>
        <w:t>备注：上述“开标一览表”中的“投标总价”将作为价格分计算依据；其它信息仅是对投标文件相关内容的概括性表述，不作为评审依据。</w:t>
      </w:r>
    </w:p>
    <w:p>
      <w:pPr>
        <w:spacing w:line="300" w:lineRule="atLeast"/>
        <w:rPr>
          <w:rFonts w:ascii="宋体" w:hAnsi="宋体" w:cs="宋体"/>
          <w:color w:val="000000"/>
          <w:highlight w:val="none"/>
        </w:rPr>
      </w:pPr>
      <w:r>
        <w:rPr>
          <w:rFonts w:ascii="宋体" w:hAnsi="宋体" w:cs="宋体" w:hint="eastAsia"/>
          <w:color w:val="000000"/>
          <w:highlight w:val="none"/>
        </w:rPr>
        <w:t>23.2.6投标人在编辑投标文件时，</w:t>
      </w:r>
      <w:r>
        <w:rPr>
          <w:rFonts w:ascii="宋体" w:hAnsi="宋体" w:cs="宋体" w:hint="eastAsia"/>
          <w:b/>
          <w:color w:val="000000"/>
          <w:highlight w:val="none"/>
        </w:rPr>
        <w:t>在投标文件目录中属于本节点内容的必须在本节点中填写，填写到其他节点或附件，</w:t>
      </w:r>
      <w:r>
        <w:rPr>
          <w:rFonts w:ascii="宋体" w:hAnsi="宋体" w:cs="宋体" w:hint="eastAsia"/>
          <w:color w:val="000000"/>
          <w:highlight w:val="none"/>
        </w:rPr>
        <w:t>一切后果由供应商自行承担。</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23.2.7投标书编写完成后，</w:t>
      </w:r>
      <w:r>
        <w:rPr>
          <w:rFonts w:ascii="宋体" w:hAnsi="宋体" w:cs="宋体" w:hint="eastAsia"/>
          <w:b/>
          <w:color w:val="000000"/>
          <w:highlight w:val="none"/>
        </w:rPr>
        <w:t>必须用属于投标人的电子密钥进行加密，否则视同未盖公章，将导致投标文件无效。</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23.2.8采购代理机构不接受投标截止时间后递交的纸质、电子、传真等所有形式的投标文件。由于对网上招投标操作不熟悉或自身电脑、网络等原因导致不能在投标截止时间之前上传投标文件，采购代理机构概不负责。建议于开标前一个工作日完成投标文件的制作与上传，如上传确有困难，请及时咨询。</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23.2.9如果开标时出现网络故障、技术故障，影响了招投标活动，采购代理机构有权采取措施如延期、接受无法从网上上传的投标书等，以保障招投标活动的公开、公平和公正。</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23.3电报、电话、传真形式的投标概不接受。</w:t>
      </w:r>
    </w:p>
    <w:p>
      <w:pPr>
        <w:spacing w:line="300" w:lineRule="atLeast"/>
        <w:ind w:firstLine="412" w:firstLineChars="196"/>
        <w:rPr>
          <w:rFonts w:ascii="宋体" w:hAnsi="宋体" w:cs="宋体"/>
          <w:b/>
          <w:color w:val="000000"/>
          <w:highlight w:val="none"/>
        </w:rPr>
      </w:pPr>
      <w:r>
        <w:rPr>
          <w:rFonts w:ascii="宋体" w:hAnsi="宋体" w:cs="宋体" w:hint="eastAsia"/>
          <w:b/>
          <w:color w:val="000000"/>
          <w:highlight w:val="none"/>
        </w:rPr>
        <w:t>23.4经投标人电子密钥加密的投标文件无须盖章或签字，</w:t>
      </w:r>
      <w:r>
        <w:rPr>
          <w:rFonts w:ascii="宋体" w:hAnsi="宋体" w:cs="宋体" w:hint="eastAsia"/>
          <w:color w:val="000000"/>
          <w:highlight w:val="none"/>
        </w:rPr>
        <w:t>专用条款另有要求的除外。</w:t>
      </w:r>
    </w:p>
    <w:p>
      <w:pPr>
        <w:spacing w:line="300" w:lineRule="atLeast"/>
        <w:ind w:firstLine="412" w:firstLineChars="196"/>
        <w:rPr>
          <w:rFonts w:ascii="宋体" w:hAnsi="宋体" w:cs="宋体"/>
          <w:color w:val="000000"/>
          <w:highlight w:val="none"/>
        </w:rPr>
      </w:pPr>
      <w:r>
        <w:rPr>
          <w:rFonts w:ascii="宋体" w:hAnsi="宋体" w:cs="宋体" w:hint="eastAsia"/>
          <w:b/>
          <w:color w:val="000000"/>
          <w:highlight w:val="none"/>
        </w:rPr>
        <w:t>23.5</w:t>
      </w:r>
      <w:r>
        <w:rPr>
          <w:rFonts w:ascii="宋体" w:hAnsi="宋体" w:cs="宋体" w:hint="eastAsia"/>
          <w:color w:val="000000"/>
          <w:highlight w:val="none"/>
        </w:rPr>
        <w:t xml:space="preserve"> 资格证明文件提供扫描件，专用条款另有要求的除外。</w:t>
      </w:r>
    </w:p>
    <w:p>
      <w:pPr>
        <w:keepNext/>
        <w:keepLines/>
        <w:numPr>
          <w:ilvl w:val="0"/>
          <w:numId w:val="21"/>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投标文件的递交</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24．投标书的保密</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24.1在投标文件制作完成后，在投标书编制软件点击“加密投标书”按钮进入加密界面，对投标书进行加密，也可单独使用“深圳政府标书加密软件”（一般是与投标书编制软件捆绑下载）进入加密界面进行加密，无需用其它加密方式。此加密程序确保投标文件在到达投标截止时间后才能解密查看。在加密过程中，请按照软件提示进行操作。加密界面如下图所示：</w:t>
      </w:r>
    </w:p>
    <w:p>
      <w:pPr>
        <w:widowControl/>
        <w:spacing w:line="300" w:lineRule="atLeast"/>
        <w:jc w:val="center"/>
        <w:rPr>
          <w:rFonts w:ascii="宋体" w:hAnsi="宋体" w:cs="宋体"/>
          <w:color w:val="000000"/>
          <w:kern w:val="0"/>
          <w:sz w:val="24"/>
          <w:highlight w:val="none"/>
        </w:rPr>
      </w:pPr>
    </w:p>
    <w:p>
      <w:pPr>
        <w:spacing w:line="300" w:lineRule="atLeast"/>
        <w:rPr>
          <w:rFonts w:ascii="宋体" w:hAnsi="宋体" w:cs="宋体"/>
          <w:color w:val="000000"/>
          <w:sz w:val="24"/>
          <w:highlight w:val="none"/>
        </w:rPr>
      </w:pPr>
      <w:r>
        <w:rPr>
          <w:rFonts w:ascii="宋体" w:hAnsi="宋体"/>
          <w:color w:val="000000"/>
          <w:highlight w:val="none"/>
        </w:rPr>
        <w:pict>
          <v:shape id="图片 7" o:spid="_x0000_i1027" type="#_x0000_t75" alt="说明: 图形用户界面, 应用程序&#10;&#10;描述已自动生成" style="height:214.26pt;mso-position-horizontal-relative:page;mso-position-vertical-relative:page;mso-wrap-style:square;width:415.83pt" filled="f" stroked="f">
            <v:stroke linestyle="single"/>
            <v:imagedata r:id="rId14" o:title="图形用户界面, 应用程序&#10;&#10;描述已自动生成"/>
            <v:path o:extrusionok="f"/>
            <o:lock v:ext="edit" aspectratio="t"/>
          </v:shape>
        </w:pict>
      </w:r>
    </w:p>
    <w:p>
      <w:pPr>
        <w:widowControl/>
        <w:ind w:firstLine="412" w:firstLineChars="196"/>
        <w:jc w:val="left"/>
        <w:rPr>
          <w:rFonts w:ascii="宋体" w:hAnsi="宋体"/>
          <w:color w:val="000000"/>
          <w:kern w:val="0"/>
          <w:sz w:val="24"/>
          <w:highlight w:val="none"/>
        </w:rPr>
      </w:pPr>
      <w:r>
        <w:rPr>
          <w:rFonts w:ascii="宋体" w:hAnsi="宋体" w:hint="eastAsia"/>
          <w:color w:val="000000"/>
          <w:kern w:val="0"/>
          <w:sz w:val="24"/>
          <w:highlight w:val="none"/>
        </w:rPr>
        <w:t>在投标文件制作软件点击【生成标书】按钮进入【填写开标一览表界面】界面，在该界面填写完开标一览表信息后点击【确定】，进入投标文件生成环节。</w:t>
      </w:r>
      <w:r>
        <w:rPr>
          <w:rFonts w:ascii="宋体" w:hAnsi="宋体"/>
          <w:color w:val="000000"/>
          <w:kern w:val="0"/>
          <w:sz w:val="24"/>
          <w:highlight w:val="none"/>
        </w:rPr>
        <w:pict>
          <v:shape id="图片 2" o:spid="_x0000_i1028" type="#_x0000_t75" alt="说明: 图形用户界面&#10;&#10;描述已自动生成" style="height:215.05pt;mso-position-horizontal-relative:page;mso-position-vertical-relative:page;mso-wrap-style:square;width:415.83pt" filled="f" stroked="f">
            <v:stroke linestyle="single"/>
            <v:imagedata r:id="rId15" o:title="图形用户界面&#10;&#10;描述已自动生成"/>
            <v:path o:extrusionok="f"/>
            <o:lock v:ext="edit" aspectratio="t"/>
          </v:shape>
        </w:pict>
      </w:r>
    </w:p>
    <w:p>
      <w:pPr>
        <w:spacing w:line="300" w:lineRule="atLeast"/>
        <w:ind w:firstLine="420" w:firstLineChars="200"/>
        <w:jc w:val="left"/>
        <w:rPr>
          <w:rFonts w:ascii="宋体" w:hAnsi="宋体" w:cs="宋体"/>
          <w:color w:val="000000"/>
          <w:sz w:val="24"/>
          <w:highlight w:val="none"/>
        </w:rPr>
      </w:pPr>
      <w:r>
        <w:rPr>
          <w:rFonts w:ascii="宋体" w:hAnsi="宋体" w:hint="eastAsia"/>
          <w:color w:val="000000"/>
          <w:kern w:val="0"/>
          <w:sz w:val="24"/>
          <w:highlight w:val="none"/>
        </w:rPr>
        <w:t>投标文件制作软件会在投标文件生成过程中，提示用户输入密码，输入密码后对投标文件自动进行加密。</w:t>
      </w:r>
    </w:p>
    <w:p>
      <w:pPr>
        <w:spacing w:line="300" w:lineRule="atLeast"/>
        <w:rPr>
          <w:rFonts w:ascii="宋体" w:hAnsi="宋体" w:cs="宋体"/>
          <w:b/>
          <w:color w:val="000000"/>
          <w:highlight w:val="none"/>
        </w:rPr>
      </w:pPr>
      <w:r>
        <w:rPr>
          <w:rFonts w:ascii="宋体" w:hAnsi="宋体" w:cs="宋体" w:hint="eastAsia"/>
          <w:color w:val="000000"/>
          <w:highlight w:val="none"/>
        </w:rPr>
        <w:t xml:space="preserve">   </w:t>
      </w:r>
      <w:r>
        <w:rPr>
          <w:rFonts w:ascii="宋体" w:hAnsi="宋体" w:cs="宋体" w:hint="eastAsia"/>
          <w:b/>
          <w:color w:val="000000"/>
          <w:highlight w:val="none"/>
        </w:rPr>
        <w:t xml:space="preserve"> 24.2若采购项目出现延期情况：</w:t>
      </w:r>
    </w:p>
    <w:p>
      <w:pPr>
        <w:spacing w:line="300" w:lineRule="atLeast"/>
        <w:ind w:firstLine="412" w:firstLineChars="196"/>
        <w:rPr>
          <w:rFonts w:ascii="宋体" w:hAnsi="宋体" w:cs="宋体"/>
          <w:b/>
          <w:color w:val="000000"/>
          <w:sz w:val="24"/>
          <w:highlight w:val="none"/>
        </w:rPr>
      </w:pPr>
      <w:r>
        <w:rPr>
          <w:rFonts w:ascii="宋体" w:hAnsi="宋体" w:cs="宋体" w:hint="eastAsia"/>
          <w:b/>
          <w:color w:val="000000"/>
          <w:highlight w:val="none"/>
        </w:rPr>
        <w:t>如果供下载的招标文件（后缀名为.szczf）有更新，投标人必须重新下载招标文件、重新制作投标文件、重新加密投标文件、重新上传投标文件；如果供下载的招标文件（后缀名为.szczf）没有更新，投标人必须重新加密投标文件、重新上传投标文件（是否重新制作投标文件根据项目实际情况定）。否则，投标人自行承担投标文件无法解密导致投标无效的后果。</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25．投标截止日期</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25.1实行网上投标，投标人必须在招标文件规定的投标截止时间前用电子密钥登录““深圳公共资源交易中心网站”，使用“我的项目→项目流程→递交投标(应答)文件→上传投标文件”功能点上传投标文件。如果没有该功能点，请用本公司的机构管理员在 “系统维护”—》“修改用户权限”中增加该功能点，如果增加不成功，请在工作日与深圳政府采购智慧平台联系。如果确有困难，多次上传均告失败，请在投标截止时间之拔打平台帮助热线电话:83938599，83948100，83938584。</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25.2采购代理机构可以按本通用条款第13条规定，通过修改招标文件自行决定酌情延长投标截止期。在此情况下，采购代理机构、采购人和投标人受投标截止期制约的所有权利和义务均应延长至新的截止期。</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25.3投标截止时间以后不得上传投标文件。</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26. 样品的递交</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pPr>
        <w:spacing w:line="300" w:lineRule="atLeast"/>
        <w:ind w:firstLine="420"/>
        <w:rPr>
          <w:rFonts w:ascii="宋体" w:hAnsi="宋体" w:cs="宋体"/>
          <w:color w:val="000000"/>
          <w:kern w:val="0"/>
          <w:szCs w:val="18"/>
          <w:highlight w:val="none"/>
        </w:rPr>
      </w:pPr>
      <w:r>
        <w:rPr>
          <w:rFonts w:ascii="宋体" w:hAnsi="宋体" w:cs="宋体" w:hint="eastAsia"/>
          <w:color w:val="000000"/>
          <w:szCs w:val="21"/>
          <w:highlight w:val="none"/>
        </w:rPr>
        <w:t>26.2</w:t>
      </w:r>
      <w:r>
        <w:rPr>
          <w:rFonts w:ascii="宋体" w:hAnsi="宋体" w:cs="宋体" w:hint="eastAsia"/>
          <w:color w:val="000000"/>
          <w:kern w:val="0"/>
          <w:szCs w:val="18"/>
          <w:highlight w:val="none"/>
        </w:rPr>
        <w:t>投标样品上必须标注“项目名称及项目编号、样品编号、样品名称”等信息，但不得显示指向任何投标供应商的信息、生产厂家的商标，或者其他的标记标识。需要安装的投标样品必须为安装完整的成品，由投标供应商自行组织安装。</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szCs w:val="21"/>
          <w:highlight w:val="none"/>
        </w:rPr>
        <w:t>26.2.1</w:t>
      </w:r>
      <w:r>
        <w:rPr>
          <w:rFonts w:ascii="宋体" w:hAnsi="宋体" w:cs="宋体" w:hint="eastAsia"/>
          <w:color w:val="000000"/>
          <w:kern w:val="0"/>
          <w:szCs w:val="18"/>
          <w:highlight w:val="none"/>
        </w:rPr>
        <w:t>样品递交签到：</w:t>
      </w:r>
    </w:p>
    <w:p>
      <w:pPr>
        <w:spacing w:line="300" w:lineRule="atLeast"/>
        <w:ind w:firstLine="420" w:firstLineChars="200"/>
        <w:rPr>
          <w:rFonts w:ascii="宋体" w:hAnsi="宋体" w:cs="宋体"/>
          <w:bCs/>
          <w:color w:val="000000"/>
          <w:szCs w:val="21"/>
          <w:highlight w:val="none"/>
        </w:rPr>
      </w:pPr>
      <w:r>
        <w:rPr>
          <w:rFonts w:ascii="宋体" w:hAnsi="宋体" w:cs="宋体" w:hint="eastAsia"/>
          <w:bCs/>
          <w:color w:val="000000"/>
          <w:szCs w:val="21"/>
          <w:highlight w:val="none"/>
        </w:rPr>
        <w:t>投标供应商授权人需在本项目投标截止时间前，提供法定代表人证明书（盖公章）、法定代表人授权委托书（盖公章）、授权委托人身份证原件和复印件、样品清单（加盖公章），到中国远东国际招标有限公司，按采购代理机构工作人员指引进行样品递交签到。</w:t>
      </w:r>
    </w:p>
    <w:p>
      <w:pPr>
        <w:spacing w:line="300" w:lineRule="atLeast"/>
        <w:ind w:firstLine="420" w:firstLineChars="200"/>
        <w:rPr>
          <w:rFonts w:ascii="宋体" w:hAnsi="宋体" w:cs="宋体"/>
          <w:bCs/>
          <w:color w:val="000000"/>
          <w:szCs w:val="21"/>
          <w:highlight w:val="none"/>
        </w:rPr>
      </w:pPr>
      <w:r>
        <w:rPr>
          <w:rFonts w:ascii="宋体" w:hAnsi="宋体" w:cs="宋体" w:hint="eastAsia"/>
          <w:bCs/>
          <w:color w:val="000000"/>
          <w:szCs w:val="21"/>
          <w:highlight w:val="none"/>
        </w:rPr>
        <w:t>特别注意事项：（1）上述资料提供不齐全的，不予签到；（2）本项目投标截止时间后，不再受理签到；（3）未进行签到的，样品不予接收。</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szCs w:val="21"/>
          <w:highlight w:val="none"/>
        </w:rPr>
        <w:t>26.2.</w:t>
      </w:r>
      <w:r>
        <w:rPr>
          <w:rFonts w:ascii="宋体" w:hAnsi="宋体" w:cs="宋体" w:hint="eastAsia"/>
          <w:color w:val="000000"/>
          <w:kern w:val="0"/>
          <w:szCs w:val="18"/>
          <w:highlight w:val="none"/>
        </w:rPr>
        <w:t>2 样品接收</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 xml:space="preserve">本项目投标截止时间后进行投标样品接收。投标样品接收必须进行身份核对、样品核对、登记确认、顺序编号。 </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（1）身份核对。采购代理机构核对投标供应商授权委托人提供的“法定代表人证明书（盖公章）、法定代表人授权委托书（盖公章）、授权委托人身份证原件和复印件”。资料不齐全的，不得接收投标样品。</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（2）样品核对。采购代理机构工作人员将投标样品与投标供应商提供的《样品清单》（盖公章）进行一一核对。有不一致的或损坏情况的，将要求供应商授权委托人在《样品清单》上注明。</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（3）登记确认。在完成身份核对及样品核对后，投标供应商授权委托人必须在《样品接收登记表》上登记确认。</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（4）顺序编号。采购代理机构工作人员按投标样品接收的先后顺序进行编号。</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szCs w:val="21"/>
          <w:highlight w:val="none"/>
        </w:rPr>
        <w:t>26.3</w:t>
      </w:r>
      <w:r>
        <w:rPr>
          <w:rFonts w:ascii="宋体" w:hAnsi="宋体" w:cs="宋体" w:hint="eastAsia"/>
          <w:color w:val="000000"/>
          <w:kern w:val="0"/>
          <w:szCs w:val="18"/>
          <w:highlight w:val="none"/>
        </w:rPr>
        <w:t>采购代理机构工作人员负责组织投标样品摆样，指引供应商授权委托人将投标样品搬运到指定地点摆放、拆除包装，按要求摆放整齐。完成样品摆样后，供应商授权委托人应及时立场，不得在摆样现场滞留。</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26.4样品的退回：（1）未中标的供应商投标样品，采购代理机构工作人员将按规定进行通知，并要求供应商授权委托人在项目完成评审后的三个工作日内凭身份证及样品受理回执原件办理退回手续。（2）中标的供应商投标样品，采购代理机构工作人员将按规定进行通知，并要求采购人代表在中标通知书发放后三个工作日内凭中标通知书复印件及身份证原件办理领取手续。</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投标样品移交时，采购代理机构工作人员将再次核对供应商授权委托人或采购人代表身份、核对《样品清单》，签字确认后并取走样品。</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26.5未能及时退回的样品的处理：</w:t>
      </w:r>
    </w:p>
    <w:p>
      <w:pPr>
        <w:spacing w:line="300" w:lineRule="atLeast"/>
        <w:ind w:firstLine="420"/>
        <w:rPr>
          <w:rFonts w:ascii="宋体" w:hAnsi="宋体" w:cs="宋体"/>
          <w:color w:val="000000"/>
          <w:kern w:val="0"/>
          <w:szCs w:val="18"/>
          <w:highlight w:val="none"/>
        </w:rPr>
      </w:pPr>
      <w:r>
        <w:rPr>
          <w:rFonts w:ascii="宋体" w:hAnsi="宋体" w:cs="宋体" w:hint="eastAsia"/>
          <w:color w:val="000000"/>
          <w:kern w:val="0"/>
          <w:szCs w:val="18"/>
          <w:highlight w:val="none"/>
        </w:rPr>
        <w:t>（1）未中标供应商未在规定时间内（项目完成评审后三个工作日）内取回投标样品的，视为放弃取回，采购代理机构将定期清理。</w:t>
      </w:r>
    </w:p>
    <w:p>
      <w:pPr>
        <w:spacing w:line="300" w:lineRule="atLeast"/>
        <w:ind w:firstLine="420"/>
        <w:rPr>
          <w:rFonts w:ascii="宋体" w:hAnsi="宋体" w:cs="宋体"/>
          <w:color w:val="000000"/>
          <w:szCs w:val="21"/>
          <w:highlight w:val="none"/>
        </w:rPr>
      </w:pPr>
      <w:r>
        <w:rPr>
          <w:rFonts w:ascii="宋体" w:hAnsi="宋体" w:cs="宋体" w:hint="eastAsia"/>
          <w:color w:val="000000"/>
          <w:kern w:val="0"/>
          <w:szCs w:val="18"/>
          <w:highlight w:val="none"/>
        </w:rPr>
        <w:t>（2）采购人未在规定时间内（中标通知书发放后三个工作日内）内领取中标供应商投标样品的，采购代理机构工作人员将发函或电话敦促。经敦促仍拒不领取的，将视同投标人放弃取回，采购代理机构将定期清理。</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27．投标文件的修改和撤销</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27.1投标方在提交投标文件后可对其投标文件进行修改并重新上传投标文件或在网上进行撤销投标的操作。</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27.2投标截止时间以后不得修改投标文件。</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27.3从投标截止期至投标人在投标书中确定的投标有效期之间的这段时间内，投标人不得撤回其投标。</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27.4采购代理机构不退还投标文件，专用条款另有规定的除外。</w:t>
      </w:r>
    </w:p>
    <w:p>
      <w:pPr>
        <w:keepNext/>
        <w:keepLines/>
        <w:numPr>
          <w:ilvl w:val="0"/>
          <w:numId w:val="21"/>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开标</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28．开标</w:t>
      </w:r>
    </w:p>
    <w:p>
      <w:pPr>
        <w:spacing w:line="300" w:lineRule="atLeast"/>
        <w:ind w:firstLine="359" w:firstLineChars="171"/>
        <w:rPr>
          <w:rFonts w:ascii="宋体" w:hAnsi="宋体" w:cs="宋体"/>
          <w:color w:val="000000"/>
          <w:szCs w:val="21"/>
          <w:highlight w:val="none"/>
        </w:rPr>
      </w:pPr>
      <w:r>
        <w:rPr>
          <w:rFonts w:ascii="宋体" w:hAnsi="宋体" w:cs="宋体" w:hint="eastAsia"/>
          <w:color w:val="000000"/>
          <w:szCs w:val="21"/>
          <w:highlight w:val="none"/>
        </w:rPr>
        <w:t>28.1投标人可以登录“深圳公共资源交易中心网站”，在系统登录首页面即可查看开标情况。</w:t>
      </w:r>
    </w:p>
    <w:p>
      <w:pPr>
        <w:keepNext/>
        <w:keepLines/>
        <w:numPr>
          <w:ilvl w:val="0"/>
          <w:numId w:val="21"/>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评标要求</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29．评审委员会组成</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29.1网上开标结束后召开评标会议，</w:t>
      </w:r>
      <w:r>
        <w:rPr>
          <w:rFonts w:ascii="宋体" w:hAnsi="宋体" w:cs="宋体" w:hint="eastAsia"/>
          <w:color w:val="000000"/>
          <w:szCs w:val="21"/>
          <w:highlight w:val="none"/>
        </w:rPr>
        <w:t>评审委员会</w:t>
      </w:r>
      <w:r>
        <w:rPr>
          <w:rFonts w:ascii="宋体" w:hAnsi="宋体" w:cs="宋体" w:hint="eastAsia"/>
          <w:color w:val="000000"/>
          <w:highlight w:val="none"/>
        </w:rPr>
        <w:t>由采购代理机构依法组建，负责评标活动。</w:t>
      </w:r>
    </w:p>
    <w:p>
      <w:pPr>
        <w:widowControl/>
        <w:shd w:val="clear" w:color="auto" w:fill="FFFFFF"/>
        <w:spacing w:before="47" w:after="206"/>
        <w:jc w:val="left"/>
        <w:rPr>
          <w:rFonts w:ascii="宋体" w:hAnsi="宋体" w:cs="宋体"/>
          <w:color w:val="000000"/>
          <w:highlight w:val="none"/>
        </w:rPr>
      </w:pPr>
      <w:r>
        <w:rPr>
          <w:rFonts w:ascii="宋体" w:hAnsi="宋体" w:cs="宋体" w:hint="eastAsia"/>
          <w:color w:val="000000"/>
          <w:highlight w:val="none"/>
        </w:rPr>
        <w:t xml:space="preserve">    评审委员会由采购人代表和评审专家组成，成员人数为五人以上的单数。评定分离项目评审专家均由评审专家组成。</w:t>
      </w:r>
    </w:p>
    <w:p>
      <w:pPr>
        <w:ind w:firstLine="412" w:firstLineChars="196"/>
        <w:rPr>
          <w:rFonts w:ascii="宋体" w:hAnsi="宋体" w:cs="宋体"/>
          <w:color w:val="000000"/>
          <w:highlight w:val="none"/>
        </w:rPr>
      </w:pPr>
      <w:r>
        <w:rPr>
          <w:rFonts w:ascii="宋体" w:hAnsi="宋体" w:cs="宋体" w:hint="eastAsia"/>
          <w:color w:val="000000"/>
          <w:highlight w:val="none"/>
        </w:rPr>
        <w:t>为保证评委人选的专业性，以及评标中的公平公正性，</w:t>
      </w:r>
      <w:r>
        <w:rPr>
          <w:rFonts w:ascii="宋体" w:hAnsi="宋体" w:cs="宋体" w:hint="eastAsia"/>
          <w:color w:val="000000"/>
          <w:szCs w:val="21"/>
          <w:highlight w:val="none"/>
        </w:rPr>
        <w:t>评审专家</w:t>
      </w:r>
      <w:r>
        <w:rPr>
          <w:rFonts w:ascii="宋体" w:hAnsi="宋体" w:cs="宋体" w:hint="eastAsia"/>
          <w:color w:val="000000"/>
          <w:highlight w:val="none"/>
        </w:rPr>
        <w:t>从深圳市财政局评标专家库中随机抽取。</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采购人代表须持本单位签发的《评标授权书》参加评标。</w:t>
      </w:r>
    </w:p>
    <w:p>
      <w:pPr>
        <w:spacing w:line="300" w:lineRule="atLeast"/>
        <w:ind w:firstLine="412" w:firstLineChars="196"/>
        <w:rPr>
          <w:rFonts w:ascii="宋体" w:hAnsi="宋体" w:cs="宋体"/>
          <w:color w:val="000000"/>
          <w:sz w:val="24"/>
          <w:highlight w:val="none"/>
        </w:rPr>
      </w:pPr>
      <w:r>
        <w:rPr>
          <w:rFonts w:ascii="宋体" w:hAnsi="宋体" w:cs="宋体" w:hint="eastAsia"/>
          <w:color w:val="000000"/>
          <w:szCs w:val="21"/>
          <w:highlight w:val="none"/>
        </w:rPr>
        <w:t>注：《评标授权书》模板可以从“政府集中采购机构网站”（https://www.szggzy.com/）采购人页面下“采购”环节“通用表格”处下载</w:t>
      </w:r>
      <w:r>
        <w:rPr>
          <w:rFonts w:ascii="宋体" w:hAnsi="宋体" w:cs="宋体" w:hint="eastAsia"/>
          <w:color w:val="000000"/>
          <w:sz w:val="24"/>
          <w:highlight w:val="none"/>
        </w:rPr>
        <w:t>。</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29.2评标定标应当遵循公平、公正、科学、择优的原则。</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29.3评标活动依法进行，任何单位和个人不得非法干预评标过程和结果。</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29.4评标过程中不允许违背评标程序或采用招标文件未载明的评标方法或评标因素进行评标。</w:t>
      </w:r>
    </w:p>
    <w:p>
      <w:pPr>
        <w:spacing w:line="300" w:lineRule="atLeast"/>
        <w:ind w:firstLine="412" w:firstLineChars="196"/>
        <w:rPr>
          <w:rFonts w:ascii="宋体" w:hAnsi="宋体" w:cs="宋体"/>
          <w:bCs/>
          <w:color w:val="000000"/>
          <w:highlight w:val="none"/>
        </w:rPr>
      </w:pPr>
      <w:r>
        <w:rPr>
          <w:rFonts w:ascii="宋体" w:hAnsi="宋体" w:cs="宋体" w:hint="eastAsia"/>
          <w:bCs/>
          <w:color w:val="000000"/>
          <w:highlight w:val="none"/>
        </w:rPr>
        <w:t>29.5 开标后，直到签订合同为止，凡属于对投标文件的审查、澄清、评价和比较的有关资料以及中标候选人的推荐情况、与评标有关的其他任何情况均严格保密（</w:t>
      </w:r>
      <w:r>
        <w:rPr>
          <w:rFonts w:ascii="宋体" w:hAnsi="宋体" w:cs="宋体" w:hint="eastAsia"/>
          <w:color w:val="000000"/>
          <w:highlight w:val="none"/>
        </w:rPr>
        <w:t>信息公开的内容除外</w:t>
      </w:r>
      <w:r>
        <w:rPr>
          <w:rFonts w:ascii="宋体" w:hAnsi="宋体" w:cs="宋体" w:hint="eastAsia"/>
          <w:bCs/>
          <w:color w:val="000000"/>
          <w:highlight w:val="none"/>
        </w:rPr>
        <w:t>）。</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30．向评审委员会提供的资料</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30.1公开发布的招标文件，包括图纸、服务清单、答疑文件等；</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30.2其他评标必须的资料。</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30.3</w:t>
      </w:r>
      <w:r>
        <w:rPr>
          <w:rFonts w:ascii="宋体" w:hAnsi="宋体" w:cs="宋体" w:hint="eastAsia"/>
          <w:color w:val="000000"/>
          <w:szCs w:val="21"/>
          <w:highlight w:val="none"/>
        </w:rPr>
        <w:t>评审委员会</w:t>
      </w:r>
      <w:r>
        <w:rPr>
          <w:rFonts w:ascii="宋体" w:hAnsi="宋体" w:cs="宋体" w:hint="eastAsia"/>
          <w:color w:val="000000"/>
          <w:highlight w:val="none"/>
        </w:rPr>
        <w:t>应当认真研究招标文件，至少应了解熟悉以下内容：</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（1）招标的目的；</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（2）招标项目需求的范围和性质；</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（3）招标文件规定的投标人的资格、财政预算限额、商务条款；</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（4）招标文件规定的评标程序、评标方法和评标因素；</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（5）招标文件所列示的资格性审查表及符合性审查表。</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31．独立评标</w:t>
      </w:r>
    </w:p>
    <w:p>
      <w:pPr>
        <w:spacing w:line="300" w:lineRule="atLeast"/>
        <w:ind w:firstLine="412" w:firstLineChars="196"/>
        <w:rPr>
          <w:rFonts w:ascii="宋体" w:hAnsi="宋体" w:cs="宋体" w:hint="eastAsia"/>
          <w:bCs/>
          <w:color w:val="000000"/>
          <w:highlight w:val="none"/>
        </w:rPr>
      </w:pPr>
      <w:r>
        <w:rPr>
          <w:rFonts w:ascii="宋体" w:hAnsi="宋体" w:cs="宋体" w:hint="eastAsia"/>
          <w:bCs/>
          <w:color w:val="000000"/>
          <w:highlight w:val="none"/>
        </w:rPr>
        <w:t>31.1</w:t>
      </w:r>
      <w:r>
        <w:rPr>
          <w:rFonts w:ascii="宋体" w:hAnsi="宋体" w:cs="宋体" w:hint="eastAsia"/>
          <w:color w:val="000000"/>
          <w:szCs w:val="21"/>
          <w:highlight w:val="none"/>
        </w:rPr>
        <w:t>评审委员会</w:t>
      </w:r>
      <w:r>
        <w:rPr>
          <w:rFonts w:ascii="宋体" w:hAnsi="宋体" w:cs="宋体" w:hint="eastAsia"/>
          <w:bCs/>
          <w:color w:val="000000"/>
          <w:highlight w:val="none"/>
        </w:rPr>
        <w:t>成员的评标活动应当独立进行，并应遵循投标文件初审、澄清有关问题、比较与评价、确定中标供应商、编写评标报告的工作程序。</w:t>
      </w:r>
    </w:p>
    <w:p>
      <w:pPr>
        <w:spacing w:line="300" w:lineRule="atLeast"/>
        <w:ind w:firstLine="412" w:firstLineChars="196"/>
        <w:rPr>
          <w:rFonts w:ascii="宋体" w:hAnsi="宋体" w:cs="宋体"/>
          <w:bCs/>
          <w:color w:val="000000"/>
          <w:highlight w:val="none"/>
        </w:rPr>
      </w:pPr>
      <w:r>
        <w:rPr>
          <w:rFonts w:ascii="宋体" w:hAnsi="宋体" w:cs="宋体" w:hint="eastAsia"/>
          <w:bCs/>
          <w:color w:val="000000"/>
          <w:highlight w:val="none"/>
        </w:rPr>
        <w:t>31.2 当项目评标系统中的评审内容与招标文件内容不一致时以招标文件评审内容为准（发布更正公告的以更正公告为准）。</w:t>
      </w:r>
    </w:p>
    <w:p>
      <w:pPr>
        <w:keepNext/>
        <w:keepLines/>
        <w:numPr>
          <w:ilvl w:val="0"/>
          <w:numId w:val="21"/>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评标程序及评标方法</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32．投标文件初审</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pPr>
        <w:autoSpaceDE w:val="0"/>
        <w:autoSpaceDN w:val="0"/>
        <w:adjustRightInd w:val="0"/>
        <w:spacing w:line="300" w:lineRule="atLeast"/>
        <w:jc w:val="left"/>
        <w:rPr>
          <w:rFonts w:ascii="宋体" w:hAnsi="宋体" w:cs="宋体"/>
          <w:b/>
          <w:color w:val="000000"/>
          <w:highlight w:val="none"/>
        </w:rPr>
      </w:pPr>
      <w:r>
        <w:rPr>
          <w:rFonts w:ascii="宋体" w:hAnsi="宋体" w:cs="宋体" w:hint="eastAsia"/>
          <w:b/>
          <w:color w:val="000000"/>
          <w:highlight w:val="none"/>
        </w:rPr>
        <w:t xml:space="preserve">    32.2 投标文件初审内容请详见《资格性审查表》和《符合性审查表》部分。投标人若有一条审查不通过则按投标无效处理。评审委员会对投标单位打√为通过审查，打×为未通过审查。</w:t>
      </w:r>
    </w:p>
    <w:p>
      <w:pPr>
        <w:spacing w:line="300" w:lineRule="atLeast"/>
        <w:ind w:firstLine="412" w:firstLineChars="196"/>
        <w:rPr>
          <w:rFonts w:ascii="宋体" w:hAnsi="宋体" w:cs="宋体"/>
          <w:b/>
          <w:color w:val="000000"/>
          <w:highlight w:val="none"/>
        </w:rPr>
      </w:pPr>
      <w:r>
        <w:rPr>
          <w:rFonts w:ascii="宋体" w:hAnsi="宋体" w:cs="宋体" w:hint="eastAsia"/>
          <w:b/>
          <w:color w:val="000000"/>
          <w:highlight w:val="none"/>
        </w:rPr>
        <w:t>32.3 投标文件初审中关于供应商家数的计算:</w:t>
      </w:r>
    </w:p>
    <w:p>
      <w:pPr>
        <w:spacing w:line="300" w:lineRule="atLeast"/>
        <w:ind w:firstLine="412" w:firstLineChars="196"/>
        <w:rPr>
          <w:rFonts w:ascii="宋体" w:hAnsi="宋体" w:cs="宋体"/>
          <w:b/>
          <w:color w:val="000000"/>
          <w:highlight w:val="none"/>
        </w:rPr>
      </w:pPr>
      <w:r>
        <w:rPr>
          <w:rFonts w:ascii="宋体" w:hAnsi="宋体" w:cs="宋体" w:hint="eastAsia"/>
          <w:b/>
          <w:color w:val="000000"/>
          <w:highlight w:val="none"/>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pPr>
        <w:spacing w:line="300" w:lineRule="atLeast"/>
        <w:ind w:firstLine="412" w:firstLineChars="196"/>
        <w:rPr>
          <w:rFonts w:ascii="宋体" w:hAnsi="宋体" w:cs="宋体"/>
          <w:b/>
          <w:color w:val="000000"/>
          <w:highlight w:val="none"/>
        </w:rPr>
      </w:pPr>
      <w:r>
        <w:rPr>
          <w:rFonts w:ascii="宋体" w:hAnsi="宋体" w:cs="宋体" w:hint="eastAsia"/>
          <w:b/>
          <w:color w:val="000000"/>
          <w:highlight w:val="none"/>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hAnsi="宋体" w:cs="宋体" w:hint="eastAsia"/>
          <w:b/>
          <w:color w:val="000000"/>
          <w:szCs w:val="21"/>
          <w:highlight w:val="none"/>
        </w:rPr>
        <w:t>评审委员会</w:t>
      </w:r>
      <w:r>
        <w:rPr>
          <w:rFonts w:ascii="宋体" w:hAnsi="宋体" w:cs="宋体" w:hint="eastAsia"/>
          <w:b/>
          <w:color w:val="000000"/>
          <w:highlight w:val="none"/>
        </w:rPr>
        <w:t>按照招标文件规定的方式确定一个投标人获得中标人推荐资格，招标文件未规定的采取随机抽取方式确定，其他同品牌投标人不作为中标候选人。</w:t>
      </w:r>
    </w:p>
    <w:p>
      <w:pPr>
        <w:spacing w:line="300" w:lineRule="atLeast"/>
        <w:ind w:firstLine="412" w:firstLineChars="196"/>
        <w:rPr>
          <w:rFonts w:ascii="宋体" w:hAnsi="宋体" w:cs="宋体"/>
          <w:b/>
          <w:color w:val="000000"/>
          <w:highlight w:val="none"/>
        </w:rPr>
      </w:pPr>
      <w:r>
        <w:rPr>
          <w:rFonts w:ascii="宋体" w:hAnsi="宋体" w:cs="宋体" w:hint="eastAsia"/>
          <w:b/>
          <w:color w:val="000000"/>
          <w:highlight w:val="none"/>
        </w:rPr>
        <w:t>32.3.3非单一产品采购项目，采购人应当根据采购项目技术构成、产品价格比重等合理确定核心产品，并在招标文件中载明。多家投标人提供的核心产品品牌相同的，按前两款规定处理。</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32.4投标人投标文件作无效处理的情形，具体包括但不限于以下：</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32.4.1不同投标人的投标文件由同一单位或者同一个人编制，或者由同一个人分阶段参与编制；</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32.4.2不同投标人委托同一单位或者个人办理投标事宜；</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32.4.3不同投标人的投标文件载明的项目管理成员或者联系人员为同一人；</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32.4.4不同投标人的投标文件异常一致或者投标报价呈规律性差异；</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32.4.5</w:t>
      </w:r>
      <w:r>
        <w:rPr>
          <w:rFonts w:ascii="宋体" w:hAnsi="宋体" w:cs="宋体" w:hint="eastAsia"/>
          <w:b/>
          <w:color w:val="000000"/>
          <w:kern w:val="0"/>
          <w:szCs w:val="21"/>
          <w:highlight w:val="none"/>
        </w:rPr>
        <w:t>不同投标供应商的投标文件或部分投标文件相互混装</w:t>
      </w:r>
      <w:r>
        <w:rPr>
          <w:rFonts w:ascii="宋体" w:hAnsi="宋体" w:cs="宋体" w:hint="eastAsia"/>
          <w:color w:val="000000"/>
          <w:highlight w:val="none"/>
        </w:rPr>
        <w:t>；</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32.4.6投标供应商之间相互约定给予未中标的供应商利益补偿；</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32.4.7不同投标供应商的法定代表人、主要经营负责人、项目投标授权代表人、项目负责人、主要技术人员为同一人、属同一单位或者同一单位缴纳社会保险；</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32.4.8不同投标供应商的投标文件内容存在非正常一致；</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32.4.9在同一单位工作人员为两家以上（含两家）供应商进行同一项投标活动；</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32.4.10主管部门依照法律、法规认定的其他情形。</w:t>
      </w:r>
    </w:p>
    <w:p>
      <w:pPr>
        <w:spacing w:line="300" w:lineRule="atLeast"/>
        <w:ind w:firstLine="420" w:firstLineChars="200"/>
        <w:rPr>
          <w:rFonts w:ascii="宋体" w:hAnsi="宋体" w:cs="宋体"/>
          <w:color w:val="000000"/>
          <w:highlight w:val="none"/>
        </w:rPr>
      </w:pPr>
      <w:r>
        <w:rPr>
          <w:rFonts w:ascii="宋体" w:hAnsi="宋体" w:cs="宋体" w:hint="eastAsia"/>
          <w:color w:val="000000"/>
          <w:highlight w:val="none"/>
        </w:rPr>
        <w:t>32.5对不属于《资格性审查表》和《符合性审查表》所列的其他情形，除专用条款另有规定和32.4条款所列情形外，不得作为投标无效的理由。</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33．澄清有关问题</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对于投标文件中含义不明确、同类问题表述不一致或者有明显文字和计算错误的内容，评审委员会应当以书面形式要求投标人作出必要的澄清、说明或者补正。</w:t>
      </w:r>
    </w:p>
    <w:p>
      <w:pPr>
        <w:widowControl/>
        <w:spacing w:line="300" w:lineRule="atLeast"/>
        <w:jc w:val="left"/>
        <w:textAlignment w:val="baseline"/>
        <w:rPr>
          <w:rFonts w:ascii="宋体" w:hAnsi="宋体" w:cs="宋体"/>
          <w:color w:val="000000"/>
          <w:highlight w:val="none"/>
        </w:rPr>
      </w:pPr>
      <w:r>
        <w:rPr>
          <w:rFonts w:ascii="宋体" w:hAnsi="宋体" w:cs="宋体" w:hint="eastAsia"/>
          <w:color w:val="000000"/>
          <w:highlight w:val="none"/>
        </w:rPr>
        <w:t>　　投标人的澄清、说明或者补正应当采用书面形式，并加盖公章，或者由法定代表人或其授权的代表签字。投标人的澄清、说明或者补正不得超出投标文件的范围或者改变投标文件的实质性内容。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根据本通用条款第34条，凡属于评审委员会在评审中发现的算术错误进行核实的修改不在此列。</w:t>
      </w:r>
    </w:p>
    <w:p>
      <w:pPr>
        <w:spacing w:line="300" w:lineRule="atLeast"/>
        <w:rPr>
          <w:rFonts w:ascii="宋体" w:hAnsi="宋体" w:cs="宋体"/>
          <w:b/>
          <w:bCs/>
          <w:color w:val="000000"/>
          <w:szCs w:val="21"/>
          <w:highlight w:val="none"/>
        </w:rPr>
      </w:pPr>
      <w:bookmarkStart w:id="34" w:name="_Toc73518151"/>
      <w:bookmarkStart w:id="35" w:name="_Toc73521669"/>
      <w:bookmarkStart w:id="36" w:name="_Toc73517673"/>
      <w:bookmarkStart w:id="37" w:name="_Toc73521581"/>
      <w:bookmarkStart w:id="38" w:name="_Toc100052400"/>
      <w:r>
        <w:rPr>
          <w:rFonts w:ascii="宋体" w:hAnsi="宋体" w:cs="宋体" w:hint="eastAsia"/>
          <w:b/>
          <w:bCs/>
          <w:color w:val="000000"/>
          <w:szCs w:val="21"/>
          <w:highlight w:val="none"/>
        </w:rPr>
        <w:t>34．错误的修正</w:t>
      </w:r>
      <w:bookmarkEnd w:id="34"/>
      <w:bookmarkEnd w:id="35"/>
      <w:bookmarkEnd w:id="36"/>
      <w:bookmarkEnd w:id="37"/>
      <w:bookmarkEnd w:id="38"/>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投标文件报价出现前后不一致的，除专用条款另有规定外，按照下列规定修正：</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34.1投标文件中开标一览表内容与投标文件中相应内容不一致的，以开标一览表为准；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34.2大写金额和小写金额不一致的，以大写金额为准；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34.3单价金额小数点或者百分比有明显错位，以开标一览表的总价为准，并修改单价；</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34.4总价金额与按单价汇总金额不一致的，以单价金额计算结果为准。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34.5同时出现两种以上不一致的，按照前款规定的顺序修正。修正后的报价按照本通用条款33条的规定，经投标人确认后产生约束力，投标人不确认的，其投标无效。</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35．投标文件的比较与评价</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评审委员会成员对需要共同认定的事项存在争议的，应当按照少数服从多数的原则作出结论。持不同意见的评审委员会成员应当在评标报告上签署不同意见及理由，否则视为同意评标报告。</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36. 实地考察、演示或设备测试</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36.1在招标过程中，评审委员会有权决定是否对本项目投标人进行现场勘察或实地考察或检验有关证明材料的原件。投标人应随时做好接受检查的准备。</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36.2若招标文件要求进行现场演示或设备测试的，投标人应做好相应准备。</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37．评标方法</w:t>
      </w:r>
    </w:p>
    <w:p>
      <w:pPr>
        <w:spacing w:line="300" w:lineRule="atLeast"/>
        <w:ind w:firstLine="412" w:firstLineChars="196"/>
        <w:rPr>
          <w:rFonts w:ascii="宋体" w:hAnsi="宋体" w:cs="宋体"/>
          <w:b/>
          <w:bCs/>
          <w:color w:val="000000"/>
          <w:szCs w:val="21"/>
          <w:highlight w:val="none"/>
        </w:rPr>
      </w:pPr>
      <w:r>
        <w:rPr>
          <w:rFonts w:ascii="宋体" w:hAnsi="宋体" w:cs="宋体" w:hint="eastAsia"/>
          <w:b/>
          <w:bCs/>
          <w:color w:val="000000"/>
          <w:szCs w:val="21"/>
          <w:highlight w:val="none"/>
        </w:rPr>
        <w:t>37.1.1最低价法</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最低评标价法，是指投标文件满足招标文件全部实质性要求，按报价进行排序且投标报价最低的投标人为中标候选人的评标方法（排名第二的投标人为第一递补中标候选人、排名第三的投标人为第二递补中标候选人）。</w:t>
      </w:r>
    </w:p>
    <w:p>
      <w:pPr>
        <w:spacing w:line="300" w:lineRule="atLeast"/>
        <w:ind w:firstLine="412" w:firstLineChars="196"/>
        <w:rPr>
          <w:rFonts w:ascii="宋体" w:hAnsi="宋体" w:cs="宋体"/>
          <w:b/>
          <w:bCs/>
          <w:color w:val="000000"/>
          <w:szCs w:val="21"/>
          <w:highlight w:val="none"/>
        </w:rPr>
      </w:pPr>
      <w:r>
        <w:rPr>
          <w:rFonts w:ascii="宋体" w:hAnsi="宋体" w:cs="宋体" w:hint="eastAsia"/>
          <w:b/>
          <w:bCs/>
          <w:color w:val="000000"/>
          <w:szCs w:val="21"/>
          <w:highlight w:val="none"/>
        </w:rPr>
        <w:t>37.1.2综合评分法</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综合评分法是指投标文件满足招标文件全部实质性要求且按照评审因素的量化指标评审得分最高的供应商为中标候选人的评标方法（排名第二的投标人为第一递补中标候选人、排名第三的投标人为第二递补中标候选人）。</w:t>
      </w:r>
    </w:p>
    <w:p>
      <w:pPr>
        <w:spacing w:line="300" w:lineRule="atLeast"/>
        <w:ind w:firstLine="412" w:firstLineChars="196"/>
        <w:rPr>
          <w:rFonts w:ascii="宋体" w:hAnsi="宋体" w:cs="宋体"/>
          <w:b/>
          <w:bCs/>
          <w:color w:val="000000"/>
          <w:szCs w:val="21"/>
          <w:highlight w:val="none"/>
        </w:rPr>
      </w:pPr>
      <w:r>
        <w:rPr>
          <w:rFonts w:ascii="宋体" w:hAnsi="宋体" w:cs="宋体" w:hint="eastAsia"/>
          <w:b/>
          <w:bCs/>
          <w:color w:val="000000"/>
          <w:szCs w:val="21"/>
          <w:highlight w:val="none"/>
        </w:rPr>
        <w:t>37.1.3定性评审法</w:t>
      </w:r>
    </w:p>
    <w:p>
      <w:pPr>
        <w:spacing w:line="300" w:lineRule="atLeast"/>
        <w:ind w:firstLine="412" w:firstLineChars="196"/>
        <w:rPr>
          <w:rFonts w:ascii="宋体" w:hAnsi="宋体" w:cs="宋体"/>
          <w:color w:val="000000"/>
          <w:highlight w:val="none"/>
        </w:rPr>
      </w:pPr>
      <w:r>
        <w:rPr>
          <w:rFonts w:ascii="宋体" w:hAnsi="宋体" w:cs="宋体" w:hint="eastAsia"/>
          <w:color w:val="000000"/>
          <w:kern w:val="0"/>
          <w:szCs w:val="21"/>
          <w:highlight w:val="none"/>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r>
        <w:rPr>
          <w:rFonts w:ascii="宋体" w:hAnsi="宋体" w:cs="宋体" w:hint="eastAsia"/>
          <w:bCs/>
          <w:color w:val="000000"/>
          <w:szCs w:val="21"/>
          <w:highlight w:val="none"/>
        </w:rPr>
        <w:t xml:space="preserve">                                                                                                                                                                                                                                                                                                                                                                                                                                                                                                                                                                                                                                                                                                                                                                                                                                                                                                                                                                                                                                                                                                                                                                                                                                                                                                                                                                                                                                                                                                                                                                                                                                                                                                                                                                                                                                                                                                                                                                                                                                                                                                                                                                                                                                                                                                                                                                                                                                                                                                                                                                                                                                                                                                                                                                                                                                                                                                                                                                                                                                             </w:t>
      </w:r>
    </w:p>
    <w:p>
      <w:pPr>
        <w:spacing w:line="300" w:lineRule="atLeast"/>
        <w:ind w:firstLine="412" w:firstLineChars="196"/>
        <w:rPr>
          <w:rFonts w:ascii="宋体" w:hAnsi="宋体" w:cs="宋体"/>
          <w:b/>
          <w:bCs/>
          <w:color w:val="000000"/>
          <w:szCs w:val="21"/>
          <w:highlight w:val="none"/>
        </w:rPr>
      </w:pPr>
      <w:r>
        <w:rPr>
          <w:rFonts w:ascii="宋体" w:hAnsi="宋体" w:cs="宋体" w:hint="eastAsia"/>
          <w:b/>
          <w:bCs/>
          <w:color w:val="000000"/>
          <w:szCs w:val="21"/>
          <w:highlight w:val="none"/>
        </w:rPr>
        <w:t>37.2 本项目采用的评标方法见本项目招标文件第一册“专用条款”的相关内容。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37.3重新评审的情形</w:t>
      </w:r>
    </w:p>
    <w:p>
      <w:pPr>
        <w:spacing w:line="300" w:lineRule="atLeast"/>
        <w:ind w:firstLine="412" w:firstLineChars="196"/>
        <w:rPr>
          <w:rFonts w:ascii="宋体" w:hAnsi="宋体" w:cs="宋体"/>
          <w:b/>
          <w:bCs/>
          <w:color w:val="000000"/>
          <w:szCs w:val="21"/>
          <w:highlight w:val="none"/>
        </w:rPr>
      </w:pPr>
      <w:r>
        <w:rPr>
          <w:rFonts w:ascii="宋体" w:hAnsi="宋体" w:cs="宋体" w:hint="eastAsia"/>
          <w:color w:val="000000"/>
          <w:kern w:val="0"/>
          <w:szCs w:val="21"/>
          <w:highlight w:val="none"/>
        </w:rPr>
        <w:t>评标结果汇总完成后，除下列情形外，任何人不得修改评标结果：</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37.3.1分值汇总计算错误的；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37.3.2分项评分超出评分标准范围的；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37.3.3评审委员会成员对客观评审因素评分不一致的；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37.3.4经评审委员会认定评分畸高、畸低的。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投标人对本条第一款情形提出质疑的，采购人或者采购代理机构可以组织原评审委员会进行重新评审，重新评审改变评标结果的，应当书面报告本级财政部门。</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37.4重新组建评审委员会的情形</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评审委员会或者其成员存在下列情形导致评标结果无效的，重新组建评审委员会进行评标，并书面报告本级财政部门：</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37.4.1评审委员会组成不符合《政府采购货物和服务招标投标管理办法》规定的；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37.4.2有《政府采购货物和服务招标投标管理办法》第六十二条第一至五项情形的；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37.4.3评审委员会及其成员独立评标受到非法干预的；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37.4.4有政府采购法实施条例第七十五条规定的违法行为的。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有违法违规行为的原评审委员会成员不得参加重新组建的评审委员会。</w:t>
      </w:r>
    </w:p>
    <w:p>
      <w:pPr>
        <w:keepNext/>
        <w:keepLines/>
        <w:numPr>
          <w:ilvl w:val="0"/>
          <w:numId w:val="21"/>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定标及公示</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38．定标方法</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38.1非评定分离项目定标方法</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38.1.1评审委员会依据本项目招标文件所约定的评标方法进行评审和比较，向采购代理机构提交书面评标报告，并根据评标方法比较评价结果从优到劣进行排序，确定中标供应商及中标候选人。</w:t>
      </w:r>
    </w:p>
    <w:p>
      <w:pPr>
        <w:spacing w:line="300" w:lineRule="atLeast"/>
        <w:ind w:firstLine="412" w:firstLineChars="196"/>
        <w:rPr>
          <w:rFonts w:ascii="宋体" w:hAnsi="宋体" w:cs="宋体"/>
          <w:color w:val="000000"/>
          <w:highlight w:val="none"/>
        </w:rPr>
      </w:pPr>
      <w:r>
        <w:rPr>
          <w:rFonts w:ascii="宋体" w:hAnsi="宋体" w:cs="宋体" w:hint="eastAsia"/>
          <w:color w:val="000000"/>
          <w:szCs w:val="21"/>
          <w:highlight w:val="none"/>
        </w:rPr>
        <w:t>38.1.2</w:t>
      </w:r>
      <w:r>
        <w:rPr>
          <w:rFonts w:ascii="宋体" w:hAnsi="宋体" w:cs="宋体" w:hint="eastAsia"/>
          <w:color w:val="000000"/>
          <w:highlight w:val="none"/>
        </w:rPr>
        <w:t>采用最低评标价法的，评标结果按投标报价由低到高顺序排列。投标报价相同的并列。投标文件满足招标文件全部实质性要求且投标报价最低的投标人为排名第一的中标候选人（排名第二的投标人为第一递补中标候选人、排名第三的投标人为第二递补中标候选人）。</w:t>
      </w:r>
    </w:p>
    <w:p>
      <w:pPr>
        <w:spacing w:line="300" w:lineRule="atLeast"/>
        <w:ind w:firstLine="412" w:firstLineChars="196"/>
        <w:rPr>
          <w:rFonts w:ascii="宋体" w:hAnsi="宋体" w:cs="宋体"/>
          <w:color w:val="000000"/>
          <w:highlight w:val="none"/>
        </w:rPr>
      </w:pPr>
      <w:r>
        <w:rPr>
          <w:rFonts w:ascii="宋体" w:hAnsi="宋体" w:cs="宋体" w:hint="eastAsia"/>
          <w:color w:val="000000"/>
          <w:szCs w:val="21"/>
          <w:highlight w:val="none"/>
        </w:rPr>
        <w:t>38.1.3采</w:t>
      </w:r>
      <w:r>
        <w:rPr>
          <w:rFonts w:ascii="宋体" w:hAnsi="宋体" w:cs="宋体" w:hint="eastAsia"/>
          <w:color w:val="000000"/>
          <w:highlight w:val="none"/>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排名第二的投标人为第一递补中标候选人、排名第三的投标人为第二递补中标候选人）。出现得分且投标报价相同的并列情况时，采取随机抽取的方式确定，具体操作办法及流程由评审委员会确定。</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38.2评定分离项目定标方法</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38.2.2采用“综合评分法”评审方法的项目，评审委员会按照评审结果，依照招标文件第一册关键信息的内容推荐相应数量的候选中标供应商。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38.2.3采购人应当按照自定法确定中标供应商：自定法是指采购人组织定标委员会，由定标委员会在候选中标供应商中确定中标供应商。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38.2.3.1自定法。</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操作程序：</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①采购代理机构自评审结束之日起2个工作日内通过系统将评审报告送交采购人。</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②采购人应当自收到评审报告之日起3个工作日内，组成定标委员会，召开定标会并确定中标供应商（中标供应商的具体数量由采购人在项目申报时确定并在招标文件中体现）。定标委员会可以选取直线票决法、集体议事法、累积投票法等三种方式之一定标，直线票决法分为一次票决、逐轮票决、先票决后抽签和先票决后竞价四种方式。中标供应商的确定流程：网上具体操作时，在结束辅助评标后，采购代理机构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④采购人应当在公示结束后3个工作日内，通过系统将定标报告送采购代理机构备案。定标报告包括但不限于定标委员会候选人员名单、正式成员名单、定标委员会的产生过程、定标程序及定标结果等内容。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⑤采购人逾期不确定的，采购代理机构将报主管部门处理，处理期间不计入采购期间。</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说明：采购人及投标供应商应按照上述方法提前做好相关准备。</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38.3专用条款另有规定的，按专用条款相关要求定标。</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39．编写评标报告</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40．中标公告</w:t>
      </w:r>
    </w:p>
    <w:p>
      <w:pPr>
        <w:spacing w:line="300" w:lineRule="atLeast"/>
        <w:ind w:firstLine="480"/>
        <w:rPr>
          <w:rFonts w:ascii="宋体" w:hAnsi="宋体" w:cs="宋体"/>
          <w:color w:val="000000"/>
          <w:szCs w:val="21"/>
          <w:highlight w:val="none"/>
        </w:rPr>
      </w:pPr>
      <w:r>
        <w:rPr>
          <w:rFonts w:ascii="宋体" w:hAnsi="宋体" w:cs="宋体" w:hint="eastAsia"/>
          <w:color w:val="000000"/>
          <w:szCs w:val="21"/>
          <w:highlight w:val="none"/>
        </w:rPr>
        <w:t>40.1为体现“公开、公平、公正”的原则，评标结束后，采购代理机构将在“深圳公共资源交易网（</w:t>
      </w:r>
      <w:r>
        <w:rPr>
          <w:rFonts w:ascii="宋体" w:hAnsi="宋体" w:cs="宋体"/>
          <w:color w:val="000000"/>
          <w:szCs w:val="21"/>
          <w:highlight w:val="none"/>
        </w:rPr>
        <w:t>https://www.szggzy.com/</w:t>
      </w:r>
      <w:r>
        <w:rPr>
          <w:rFonts w:ascii="宋体" w:hAnsi="宋体" w:cs="宋体" w:hint="eastAsia"/>
          <w:color w:val="000000"/>
          <w:szCs w:val="21"/>
          <w:highlight w:val="none"/>
        </w:rPr>
        <w:t>）</w:t>
      </w:r>
      <w:r>
        <w:rPr>
          <w:rFonts w:ascii="宋体" w:hAnsi="宋体" w:cs="宋体" w:hint="eastAsia"/>
          <w:color w:val="000000"/>
          <w:highlight w:val="none"/>
        </w:rPr>
        <w:t>/深圳政府采购智慧平台（http://zfcg.szggzy.com:8081/）</w:t>
      </w:r>
      <w:r>
        <w:rPr>
          <w:rFonts w:ascii="宋体" w:hAnsi="宋体" w:cs="宋体" w:hint="eastAsia"/>
          <w:color w:val="000000"/>
          <w:szCs w:val="21"/>
          <w:highlight w:val="none"/>
        </w:rPr>
        <w:t>”上发布中标结果公告。供应商如对评标结果有异议，可在发布公示日期起七个工作日内向采购代理机构提出。 监督电话：0755-83948143。若在公示期内未提出质疑，则视为认同该评标结果。</w:t>
      </w:r>
    </w:p>
    <w:p>
      <w:pPr>
        <w:spacing w:line="300" w:lineRule="atLeast"/>
        <w:ind w:firstLine="412" w:firstLineChars="196"/>
        <w:rPr>
          <w:rFonts w:ascii="宋体" w:hAnsi="宋体" w:cs="宋体" w:hint="eastAsia"/>
          <w:color w:val="000000"/>
          <w:szCs w:val="21"/>
          <w:highlight w:val="none"/>
        </w:rPr>
      </w:pPr>
      <w:r>
        <w:rPr>
          <w:rFonts w:ascii="宋体" w:hAnsi="宋体" w:cs="宋体" w:hint="eastAsia"/>
          <w:color w:val="000000"/>
          <w:szCs w:val="21"/>
          <w:highlight w:val="none"/>
        </w:rPr>
        <w:t>40.2质疑投诉人应保证质疑投诉内容的真实性和可靠性，并承担相应的法律责任。</w:t>
      </w:r>
    </w:p>
    <w:p>
      <w:pPr>
        <w:spacing w:line="300" w:lineRule="atLeast"/>
        <w:ind w:firstLine="412" w:firstLineChars="196"/>
        <w:rPr>
          <w:rFonts w:ascii="宋体" w:hAnsi="宋体" w:cs="宋体"/>
          <w:color w:val="000000"/>
          <w:szCs w:val="21"/>
          <w:highlight w:val="none"/>
        </w:rPr>
      </w:pP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41．中标通知书</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41.1中标公告公布以后,公示期内无有效质疑投诉,采购代理机构依据有关规定向中标人发出中标通知书。</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41.2中标通知书是合同的重要组成部分。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41.3因质疑投诉或其它原因导致项目结果变更或采购终止的，采购代理机构有权吊销中标通知书或终止采购合同。</w:t>
      </w:r>
    </w:p>
    <w:p>
      <w:pPr>
        <w:keepNext/>
        <w:keepLines/>
        <w:numPr>
          <w:ilvl w:val="0"/>
          <w:numId w:val="21"/>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公开招标失败的后续处理</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42．公开招标失败的处理</w:t>
      </w:r>
    </w:p>
    <w:p>
      <w:pPr>
        <w:spacing w:line="300" w:lineRule="atLeast"/>
        <w:ind w:firstLine="412" w:firstLineChars="196"/>
        <w:rPr>
          <w:rFonts w:ascii="宋体" w:hAnsi="宋体" w:cs="宋体"/>
          <w:color w:val="000000"/>
          <w:highlight w:val="none"/>
        </w:rPr>
      </w:pPr>
      <w:r>
        <w:rPr>
          <w:rFonts w:ascii="宋体" w:hAnsi="宋体" w:cs="宋体" w:hint="eastAsia"/>
          <w:color w:val="000000"/>
          <w:szCs w:val="21"/>
          <w:highlight w:val="none"/>
        </w:rPr>
        <w:t>42.1本项目公开招标过程中若由于投标截止后</w:t>
      </w:r>
      <w:r>
        <w:rPr>
          <w:rFonts w:ascii="宋体" w:hAnsi="宋体" w:cs="宋体" w:hint="eastAsia"/>
          <w:color w:val="000000"/>
          <w:highlight w:val="none"/>
        </w:rPr>
        <w:t>实际递交投标文件的供应商数量不足、经</w:t>
      </w:r>
      <w:r>
        <w:rPr>
          <w:rFonts w:ascii="宋体" w:hAnsi="宋体" w:cs="宋体" w:hint="eastAsia"/>
          <w:color w:val="000000"/>
          <w:szCs w:val="21"/>
          <w:highlight w:val="none"/>
        </w:rPr>
        <w:t>评审委员会</w:t>
      </w:r>
      <w:r>
        <w:rPr>
          <w:rFonts w:ascii="宋体" w:hAnsi="宋体" w:cs="宋体" w:hint="eastAsia"/>
          <w:color w:val="000000"/>
          <w:highlight w:val="none"/>
        </w:rPr>
        <w:t>评审对招标文件作实质响应的供应商不足等原因造成公开招标失败，可由采购代理机构重新组织采购。</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42.2对公开招标失败的项目，评审委员会在出具该项目招标失败结论的同时，提出重新采购组织形式的建议，以及进一步完善招标文件的资格、技术、商务要求的修改建议。</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42.3重新组织采购有以下两种组织形式：</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（1）由采购代理机构重新组织公开招标；</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（2）根据实际情况需要向政府采购监督管理部门提出非公开招标方式申请，经政府采购监督管理部门批准，公开招标失败采购项目可转为竞争性谈判或单一来源谈判方式采购。</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42.4公开招标失败的采购项目重新组织公开招标，由采购代理机构重新按公开招标流程组织采购活动。</w:t>
      </w:r>
    </w:p>
    <w:p>
      <w:pPr>
        <w:spacing w:line="300" w:lineRule="atLeast"/>
        <w:ind w:firstLine="480"/>
        <w:rPr>
          <w:rFonts w:ascii="宋体" w:hAnsi="宋体" w:cs="宋体" w:hint="eastAsia"/>
          <w:color w:val="000000"/>
          <w:highlight w:val="none"/>
        </w:rPr>
      </w:pPr>
      <w:r>
        <w:rPr>
          <w:rFonts w:ascii="宋体" w:hAnsi="宋体" w:cs="宋体" w:hint="eastAsia"/>
          <w:color w:val="000000"/>
          <w:highlight w:val="none"/>
        </w:rPr>
        <w:t>42.5公开招标失败的采购项目经政府采购监督管理部门批准转为竞争性谈判或单一来源谈判方式采购的，按规定要求组织政府采购工作。</w:t>
      </w:r>
    </w:p>
    <w:p>
      <w:pPr>
        <w:keepNext/>
        <w:keepLines/>
        <w:numPr>
          <w:ilvl w:val="0"/>
          <w:numId w:val="21"/>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4"/>
          <w:szCs w:val="20"/>
          <w:highlight w:val="none"/>
        </w:rPr>
        <w:t>合同的授予与备案</w:t>
      </w:r>
    </w:p>
    <w:p>
      <w:pPr>
        <w:spacing w:line="300" w:lineRule="atLeast"/>
        <w:rPr>
          <w:rFonts w:ascii="宋体" w:hAnsi="宋体" w:cs="宋体"/>
          <w:b/>
          <w:bCs/>
          <w:color w:val="000000"/>
          <w:szCs w:val="21"/>
          <w:highlight w:val="none"/>
        </w:rPr>
      </w:pPr>
      <w:bookmarkStart w:id="39" w:name="_Toc73521674"/>
      <w:bookmarkStart w:id="40" w:name="_Toc73517679"/>
      <w:bookmarkStart w:id="41" w:name="_Toc73518157"/>
      <w:bookmarkStart w:id="42" w:name="_Toc100052408"/>
      <w:bookmarkStart w:id="43" w:name="_Toc73521586"/>
      <w:r>
        <w:rPr>
          <w:rFonts w:ascii="宋体" w:hAnsi="宋体" w:cs="宋体" w:hint="eastAsia"/>
          <w:b/>
          <w:bCs/>
          <w:color w:val="000000"/>
          <w:szCs w:val="21"/>
          <w:highlight w:val="none"/>
        </w:rPr>
        <w:t>43．合同授予标准</w:t>
      </w:r>
      <w:bookmarkEnd w:id="39"/>
      <w:bookmarkEnd w:id="40"/>
      <w:bookmarkEnd w:id="41"/>
      <w:bookmarkEnd w:id="42"/>
      <w:bookmarkEnd w:id="43"/>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本项目的合同将授予按本招标文件规定评审确定的中标人。</w:t>
      </w:r>
    </w:p>
    <w:p>
      <w:pPr>
        <w:spacing w:line="300" w:lineRule="atLeast"/>
        <w:rPr>
          <w:rFonts w:ascii="宋体" w:hAnsi="宋体" w:cs="宋体"/>
          <w:b/>
          <w:bCs/>
          <w:color w:val="000000"/>
          <w:szCs w:val="21"/>
          <w:highlight w:val="none"/>
        </w:rPr>
      </w:pPr>
      <w:bookmarkStart w:id="44" w:name="_Toc73521675"/>
      <w:bookmarkStart w:id="45" w:name="_Toc73518158"/>
      <w:bookmarkStart w:id="46" w:name="_Toc73521587"/>
      <w:bookmarkStart w:id="47" w:name="_Toc100052409"/>
      <w:bookmarkStart w:id="48" w:name="_Toc73517680"/>
      <w:r>
        <w:rPr>
          <w:rFonts w:ascii="宋体" w:hAnsi="宋体" w:cs="宋体" w:hint="eastAsia"/>
          <w:b/>
          <w:bCs/>
          <w:color w:val="000000"/>
          <w:szCs w:val="21"/>
          <w:highlight w:val="none"/>
        </w:rPr>
        <w:t>44．</w:t>
      </w:r>
      <w:bookmarkEnd w:id="44"/>
      <w:bookmarkEnd w:id="45"/>
      <w:bookmarkEnd w:id="46"/>
      <w:bookmarkEnd w:id="47"/>
      <w:bookmarkEnd w:id="48"/>
      <w:r>
        <w:rPr>
          <w:rFonts w:ascii="宋体" w:hAnsi="宋体" w:cs="宋体" w:hint="eastAsia"/>
          <w:b/>
          <w:bCs/>
          <w:color w:val="000000"/>
          <w:szCs w:val="21"/>
          <w:highlight w:val="none"/>
        </w:rPr>
        <w:t>接受和拒绝任何或所有投标的权力</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采购代理机构和采购人保留在投标之前任何时候接受或拒绝任何投标或所有投标，以及宣布招标无效的权力，对受影响的投标人不承担任何责任，也无义务向受影响的投标人解释采取这一行动的理由。</w:t>
      </w:r>
    </w:p>
    <w:p>
      <w:pPr>
        <w:spacing w:line="300" w:lineRule="atLeast"/>
        <w:rPr>
          <w:rFonts w:ascii="宋体" w:hAnsi="宋体" w:cs="宋体" w:hint="eastAsia"/>
          <w:b/>
          <w:bCs/>
          <w:color w:val="000000"/>
          <w:szCs w:val="21"/>
          <w:highlight w:val="none"/>
        </w:rPr>
      </w:pPr>
      <w:bookmarkStart w:id="49" w:name="_Toc73521677"/>
      <w:bookmarkStart w:id="50" w:name="_Toc73517682"/>
      <w:bookmarkStart w:id="51" w:name="_Toc73518160"/>
      <w:bookmarkStart w:id="52" w:name="_Toc100052410"/>
      <w:bookmarkStart w:id="53" w:name="_Toc73521589"/>
      <w:r>
        <w:rPr>
          <w:rFonts w:ascii="宋体" w:hAnsi="宋体" w:cs="宋体" w:hint="eastAsia"/>
          <w:b/>
          <w:bCs/>
          <w:color w:val="000000"/>
          <w:szCs w:val="21"/>
          <w:highlight w:val="none"/>
        </w:rPr>
        <w:t>45．合同协议书的签订</w:t>
      </w:r>
      <w:bookmarkEnd w:id="49"/>
      <w:bookmarkEnd w:id="50"/>
      <w:bookmarkEnd w:id="51"/>
      <w:bookmarkEnd w:id="52"/>
      <w:bookmarkEnd w:id="53"/>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45.1中标人将于中标通知书发出之日起十个工作日内，按照采购文件（招标文件和投标文件等）内容与采购人签订政府采购合同；合同的实质性内容应当符合招标文件的规定；</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45.2中标人如不按本通用条款第45.1款的规定与采购人签订合同，</w:t>
      </w:r>
      <w:r>
        <w:rPr>
          <w:rFonts w:ascii="宋体" w:hAnsi="宋体" w:cs="宋体" w:hint="eastAsia"/>
          <w:color w:val="000000"/>
          <w:kern w:val="0"/>
          <w:szCs w:val="21"/>
          <w:highlight w:val="none"/>
        </w:rPr>
        <w:t>情节严重的，并由主管部门记入供应商诚信档案，予以通报</w:t>
      </w:r>
      <w:r>
        <w:rPr>
          <w:rFonts w:ascii="宋体" w:hAnsi="宋体" w:cs="宋体" w:hint="eastAsia"/>
          <w:color w:val="000000"/>
          <w:szCs w:val="21"/>
          <w:highlight w:val="none"/>
        </w:rPr>
        <w:t>；</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45.3中标人应当按照合同约定履行义务，完成中标项目，不得将中标项目转让（转包）给他人。</w:t>
      </w:r>
    </w:p>
    <w:p>
      <w:pPr>
        <w:spacing w:line="300" w:lineRule="atLeast"/>
        <w:rPr>
          <w:rFonts w:ascii="宋体" w:hAnsi="宋体" w:cs="宋体"/>
          <w:b/>
          <w:bCs/>
          <w:color w:val="000000"/>
          <w:szCs w:val="21"/>
          <w:highlight w:val="none"/>
        </w:rPr>
      </w:pPr>
      <w:bookmarkStart w:id="54" w:name="_Toc73517683"/>
      <w:bookmarkStart w:id="55" w:name="_Toc73518161"/>
      <w:bookmarkStart w:id="56" w:name="_Toc73521678"/>
      <w:bookmarkStart w:id="57" w:name="_Toc73521590"/>
      <w:bookmarkStart w:id="58" w:name="_Toc100052411"/>
      <w:r>
        <w:rPr>
          <w:rFonts w:ascii="宋体" w:hAnsi="宋体" w:cs="宋体" w:hint="eastAsia"/>
          <w:b/>
          <w:bCs/>
          <w:color w:val="000000"/>
          <w:szCs w:val="21"/>
          <w:highlight w:val="none"/>
        </w:rPr>
        <w:t>46．履约担保</w:t>
      </w:r>
      <w:bookmarkEnd w:id="54"/>
      <w:bookmarkEnd w:id="55"/>
      <w:bookmarkEnd w:id="56"/>
      <w:bookmarkEnd w:id="57"/>
      <w:bookmarkEnd w:id="58"/>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46.1在签订项目合同的同时，中标人应按“对通用条款的补充内容”中规定的金额向采购人提交履约保证金（除现金方式外，允许供应商自主选择以支票、汇票、本票、保函等非现金方式缴纳或提交保证金）；</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46.2如果中标人不能按“对通用条款的补充内容”中规定的金额向采购人提交履约保证金，采购人将有充分的理由通过政府采购监督管理部门废除中标，给采购人造成的损失应当予以赔偿；</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46.3项目服务期满之后,经验收合格后，采购人在七日内办理解除履约担保手续。</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47. 合同的备案</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采购人与中标人应于合同签订之日起十日内，由采购人或委托中标人将采购合同副本抄送政府集中采购机构备案。</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48. 合同的变更</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合同变更事宜按《深圳市财政局 深圳市政府采购中心关于进一步加强市本级政府采购合同备案管理工作的通知》（深财购〔2019〕43号）相关规定执行。</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49. 履约抽检及情况的反馈</w:t>
      </w:r>
    </w:p>
    <w:p>
      <w:pPr>
        <w:widowControl/>
        <w:spacing w:line="300" w:lineRule="atLeast"/>
        <w:ind w:right="176" w:firstLine="420"/>
        <w:jc w:val="left"/>
        <w:rPr>
          <w:rFonts w:ascii="宋体" w:hAnsi="宋体" w:cs="宋体"/>
          <w:color w:val="000000"/>
          <w:highlight w:val="none"/>
        </w:rPr>
      </w:pPr>
      <w:r>
        <w:rPr>
          <w:rFonts w:ascii="宋体" w:hAnsi="宋体" w:cs="宋体" w:hint="eastAsia"/>
          <w:color w:val="000000"/>
          <w:highlight w:val="none"/>
        </w:rPr>
        <w:t>49.1供应商必须诚信履约，采购人必须对采购项目实施组织履约验收。必要时，采购代理机构将对采购项目进行履约抽检评价。如未按合同履约，将按《深圳经济特区政府采购条例》第五十七条有关规定、《深圳市政府采购供应商诚信管理暂行办法》及其操作细则进行处理。</w:t>
      </w:r>
    </w:p>
    <w:p>
      <w:pPr>
        <w:widowControl/>
        <w:spacing w:line="300" w:lineRule="atLeast"/>
        <w:ind w:right="176" w:firstLine="420"/>
        <w:jc w:val="left"/>
        <w:rPr>
          <w:rFonts w:ascii="宋体" w:hAnsi="宋体" w:cs="宋体"/>
          <w:color w:val="000000"/>
          <w:highlight w:val="none"/>
        </w:rPr>
      </w:pPr>
      <w:r>
        <w:rPr>
          <w:rFonts w:ascii="宋体" w:hAnsi="宋体" w:cs="宋体" w:hint="eastAsia"/>
          <w:color w:val="000000"/>
          <w:highlight w:val="none"/>
        </w:rPr>
        <w:t>49.2采购人和供应商应当在采购合同履行完毕三十日之内将政府采购合同履行情况和相关政府采购建议等反馈至政府集中采购机构。</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50. 宣传</w:t>
      </w:r>
    </w:p>
    <w:p>
      <w:pPr>
        <w:spacing w:line="300" w:lineRule="atLeast"/>
        <w:ind w:left="210" w:firstLine="412" w:leftChars="100" w:firstLineChars="196"/>
        <w:rPr>
          <w:rFonts w:ascii="宋体" w:hAnsi="宋体" w:cs="宋体"/>
          <w:color w:val="000000"/>
          <w:highlight w:val="none"/>
        </w:rPr>
      </w:pPr>
      <w:r>
        <w:rPr>
          <w:rFonts w:ascii="宋体" w:hAnsi="宋体" w:cs="宋体" w:hint="eastAsia"/>
          <w:color w:val="000000"/>
          <w:highlight w:val="none"/>
        </w:rPr>
        <w:t>凡与政府采购活动有关的宣传或广告，若当中提及政府采购，必须事先将具体对外宣传方案报市财政委和采购代理机构，并征得其同意。对外市场宣传包括但不限于以下形式：</w:t>
      </w:r>
    </w:p>
    <w:p>
      <w:pPr>
        <w:spacing w:line="300" w:lineRule="atLeast"/>
        <w:ind w:left="210" w:firstLine="412" w:leftChars="100" w:firstLineChars="196"/>
        <w:rPr>
          <w:rFonts w:ascii="宋体" w:hAnsi="宋体" w:cs="宋体"/>
          <w:color w:val="000000"/>
          <w:highlight w:val="none"/>
        </w:rPr>
      </w:pPr>
      <w:r>
        <w:rPr>
          <w:rFonts w:ascii="宋体" w:hAnsi="宋体" w:cs="宋体" w:hint="eastAsia"/>
          <w:color w:val="000000"/>
          <w:highlight w:val="none"/>
        </w:rPr>
        <w:t>a.名片、宣传册、广告标语等；</w:t>
      </w:r>
    </w:p>
    <w:p>
      <w:pPr>
        <w:spacing w:line="300" w:lineRule="atLeast"/>
        <w:ind w:left="210" w:firstLine="412" w:leftChars="100" w:firstLineChars="196"/>
        <w:rPr>
          <w:rFonts w:ascii="宋体" w:hAnsi="宋体" w:cs="宋体"/>
          <w:color w:val="000000"/>
          <w:highlight w:val="none"/>
        </w:rPr>
      </w:pPr>
      <w:r>
        <w:rPr>
          <w:rFonts w:ascii="宋体" w:hAnsi="宋体" w:cs="宋体" w:hint="eastAsia"/>
          <w:color w:val="000000"/>
          <w:highlight w:val="none"/>
        </w:rPr>
        <w:t>b.案例介绍、推广等；</w:t>
      </w:r>
    </w:p>
    <w:p>
      <w:pPr>
        <w:spacing w:line="300" w:lineRule="atLeast"/>
        <w:ind w:left="210" w:firstLine="412" w:leftChars="100" w:firstLineChars="196"/>
        <w:rPr>
          <w:rFonts w:ascii="宋体" w:hAnsi="宋体" w:cs="宋体"/>
          <w:color w:val="000000"/>
          <w:highlight w:val="none"/>
        </w:rPr>
      </w:pPr>
      <w:r>
        <w:rPr>
          <w:rFonts w:ascii="宋体" w:hAnsi="宋体" w:cs="宋体" w:hint="eastAsia"/>
          <w:color w:val="000000"/>
          <w:highlight w:val="none"/>
        </w:rPr>
        <w:t>c.工作人员向其他消费群体宣传。</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51. 供应商违法责任</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（1）在采购活动中应当回避而未回避的；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（2）未按本条例规定签订、履行采购合同，造成严重后果的；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（3）隐瞒真实情况，提供虚假资料的；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（4）以非法手段排斥其他供应商参与竞争的；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（5）与其他采购参加人串通投标的；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（6）恶意投诉的；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（7）向采购项目相关人行贿或者提供其他不当利益的；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（8）阻碍、抗拒主管部门监督检查的；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（9）其他违反本条例规定的行为。</w:t>
      </w:r>
    </w:p>
    <w:p>
      <w:pPr>
        <w:keepNext/>
        <w:keepLines/>
        <w:numPr>
          <w:ilvl w:val="0"/>
          <w:numId w:val="21"/>
        </w:numPr>
        <w:tabs>
          <w:tab w:val="left" w:pos="720"/>
        </w:tabs>
        <w:adjustRightInd w:val="0"/>
        <w:spacing w:before="120" w:beforeLines="50" w:after="120" w:afterLines="50" w:line="300" w:lineRule="atLeast"/>
        <w:ind w:left="482" w:hanging="482"/>
        <w:jc w:val="center"/>
        <w:textAlignment w:val="baseline"/>
        <w:outlineLvl w:val="1"/>
        <w:rPr>
          <w:rFonts w:ascii="宋体" w:hAnsi="宋体" w:cs="宋体"/>
          <w:b/>
          <w:bCs/>
          <w:color w:val="000000"/>
          <w:kern w:val="0"/>
          <w:sz w:val="24"/>
          <w:szCs w:val="20"/>
          <w:highlight w:val="none"/>
        </w:rPr>
      </w:pPr>
      <w:r>
        <w:rPr>
          <w:rFonts w:ascii="宋体" w:hAnsi="宋体" w:cs="宋体" w:hint="eastAsia"/>
          <w:b/>
          <w:bCs/>
          <w:color w:val="000000"/>
          <w:kern w:val="0"/>
          <w:sz w:val="24"/>
          <w:szCs w:val="20"/>
          <w:highlight w:val="none"/>
        </w:rPr>
        <w:t>质疑处理</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52.质疑提出与答复</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52.1提出质疑</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参与政府采购活动的供应商认为自己的权益在采购活动中受到损害的，应当自知道或者应当知道其权益受到损害之日起七个工作日内向采购人、采购代理机构以书面形式提出质疑。</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52.2法律依据</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中华人民共和国政府采购法》、《中华人民共和国政府采购法实施条例》、《深圳经济特区政府采购条例》、《深圳经济特区政府采购条例实施细则》、《政府采购质疑和投诉办法》（财政部令第94号）和其他有关法律法规规定。</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52.3质疑条件</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52.3.1提出质疑的供应商应当是参与所质疑项目采购活动的供应商；</w:t>
      </w:r>
    </w:p>
    <w:p>
      <w:pPr>
        <w:spacing w:line="300" w:lineRule="atLeast"/>
        <w:textAlignment w:val="center"/>
        <w:rPr>
          <w:rFonts w:ascii="宋体" w:hAnsi="宋体" w:cs="宋体"/>
          <w:color w:val="000000"/>
          <w:kern w:val="0"/>
          <w:sz w:val="17"/>
          <w:szCs w:val="17"/>
          <w:highlight w:val="none"/>
        </w:rPr>
      </w:pPr>
      <w:r>
        <w:rPr>
          <w:rFonts w:ascii="宋体" w:hAnsi="宋体" w:cs="宋体" w:hint="eastAsia"/>
          <w:color w:val="000000"/>
          <w:szCs w:val="21"/>
          <w:highlight w:val="none"/>
        </w:rPr>
        <w:t xml:space="preserve">    52.3.2</w:t>
      </w:r>
      <w:r>
        <w:rPr>
          <w:rFonts w:ascii="宋体" w:hAnsi="宋体" w:cs="宋体" w:hint="eastAsia"/>
          <w:color w:val="000000"/>
          <w:kern w:val="0"/>
          <w:sz w:val="22"/>
          <w:szCs w:val="22"/>
          <w:highlight w:val="none"/>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52.3.3应提交书面质疑函，质疑函应当包括以下内容：（1）具体、明确的质疑事项和与质疑事项相关的请求；（2）合理的事实和依据；（3）必要的证明材料和法律依据。注：质疑函范本可在政府集中采购机构网站下载。</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52.4提交材料</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质疑函、营业执照复印件、法定代表人证明。如委托代理人提交的，还需提交授权委托书及代理人身份证明。</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52.5收文部门</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采购代理机构信息和评审区管理部，地址：深圳市福田区上步南路锦峰大厦22B，质疑咨询电话：0755-83004312。</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52.6收文办理程序</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52.6.1供应商提交的质疑材料符合质疑条件的办理收文，出具收文回执；</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52.6.2供应商提交的质疑材料不符合质疑条件的，视情况处理：（1）质疑主体、时限不符合的，不予收文；（2）质疑函内容、提交人身份证明不符合的，开具补正告知书，供应商可在质疑期内补正后重新提交。</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52.7质疑答复时限</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自收文之日起七个工作日内。</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52.8投诉</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对质疑答复不满意或者未在规定时间内答复的，提出质疑的供应商可以在答复期满后15个工作日内向深圳市财政局投诉。</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53. 质疑后续处理</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53.1供应商质疑不成立，或者成立但未对中标、成交结果构成影响的，继续开展采购活动。</w:t>
      </w:r>
    </w:p>
    <w:p>
      <w:pPr>
        <w:spacing w:line="300" w:lineRule="atLeast"/>
        <w:ind w:firstLine="420"/>
        <w:rPr>
          <w:rFonts w:ascii="宋体" w:hAnsi="宋体" w:cs="宋体"/>
          <w:color w:val="000000"/>
          <w:szCs w:val="21"/>
          <w:highlight w:val="none"/>
        </w:rPr>
      </w:pPr>
      <w:r>
        <w:rPr>
          <w:rFonts w:ascii="宋体" w:hAnsi="宋体" w:cs="宋体" w:hint="eastAsia"/>
          <w:color w:val="000000"/>
          <w:szCs w:val="21"/>
          <w:highlight w:val="none"/>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keepNext/>
        <w:keepLines/>
        <w:numPr>
          <w:ilvl w:val="0"/>
          <w:numId w:val="21"/>
        </w:numPr>
        <w:tabs>
          <w:tab w:val="left" w:pos="720"/>
        </w:tabs>
        <w:adjustRightInd w:val="0"/>
        <w:spacing w:before="120" w:beforeLines="50" w:after="120" w:afterLines="50" w:line="300" w:lineRule="atLeast"/>
        <w:ind w:left="482" w:hanging="482"/>
        <w:jc w:val="center"/>
        <w:textAlignment w:val="baseline"/>
        <w:outlineLvl w:val="1"/>
        <w:rPr>
          <w:rFonts w:ascii="宋体" w:hAnsi="宋体" w:cs="宋体"/>
          <w:b/>
          <w:bCs/>
          <w:color w:val="000000"/>
          <w:kern w:val="0"/>
          <w:sz w:val="24"/>
          <w:szCs w:val="20"/>
          <w:highlight w:val="none"/>
        </w:rPr>
      </w:pPr>
      <w:r>
        <w:rPr>
          <w:rFonts w:ascii="宋体" w:hAnsi="宋体" w:cs="宋体" w:hint="eastAsia"/>
          <w:b/>
          <w:bCs/>
          <w:color w:val="000000"/>
          <w:kern w:val="0"/>
          <w:sz w:val="24"/>
          <w:szCs w:val="20"/>
          <w:highlight w:val="none"/>
        </w:rPr>
        <w:t>招标代理服务费收费标准</w:t>
      </w:r>
    </w:p>
    <w:tbl>
      <w:tblPr>
        <w:tblStyle w:val="TableNormal"/>
        <w:tblW w:w="5004" w:type="pct"/>
        <w:jc w:val="center"/>
        <w:tblCellSpacing w:w="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000"/>
      </w:tblPr>
      <w:tblGrid>
        <w:gridCol w:w="4923"/>
        <w:gridCol w:w="4855"/>
      </w:tblGrid>
      <w:tr>
        <w:tblPrEx>
          <w:tblW w:w="5004" w:type="pct"/>
          <w:jc w:val="center"/>
          <w:tblCellSpacing w:w="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000"/>
        </w:tblPrEx>
        <w:trPr>
          <w:trHeight w:val="271"/>
          <w:tblCellSpacing w:w="0" w:type="dxa"/>
          <w:jc w:val="center"/>
        </w:trPr>
        <w:tc>
          <w:tcPr>
            <w:tcW w:w="2517" w:type="pct"/>
            <w:vAlign w:val="center"/>
          </w:tcPr>
          <w:p>
            <w:pPr>
              <w:spacing w:line="260" w:lineRule="atLeast"/>
              <w:jc w:val="center"/>
              <w:rPr>
                <w:rFonts w:ascii="宋体" w:hAnsi="宋体" w:cs="宋体" w:hint="eastAsia"/>
                <w:b/>
                <w:bCs/>
                <w:color w:val="000000"/>
                <w:sz w:val="24"/>
                <w:szCs w:val="20"/>
                <w:highlight w:val="none"/>
              </w:rPr>
            </w:pPr>
            <w:r>
              <w:rPr>
                <w:rFonts w:ascii="宋体" w:hAnsi="宋体" w:cs="宋体" w:hint="eastAsia"/>
                <w:b/>
                <w:bCs/>
                <w:color w:val="000000"/>
                <w:szCs w:val="21"/>
                <w:highlight w:val="none"/>
                <w:lang w:val="zh-CN"/>
              </w:rPr>
              <w:pict>
                <v:line id="直接连接符 7" o:spid="_x0000_s1029" style="mso-wrap-style:square;position:absolute;z-index:251658240" from="99pt,2.3pt" to="99.05pt,2.3pt" stroked="t">
                  <v:stroke linestyle="single"/>
                  <o:lock v:ext="edit" aspectratio="f"/>
                </v:line>
              </w:pict>
            </w:r>
            <w:r>
              <w:rPr>
                <w:rFonts w:ascii="宋体" w:hAnsi="宋体" w:cs="宋体" w:hint="eastAsia"/>
                <w:b/>
                <w:bCs/>
                <w:color w:val="000000"/>
                <w:szCs w:val="21"/>
                <w:highlight w:val="none"/>
              </w:rPr>
              <w:t>中标金额（万元）</w:t>
            </w:r>
          </w:p>
        </w:tc>
        <w:tc>
          <w:tcPr>
            <w:tcW w:w="2482" w:type="pct"/>
            <w:vAlign w:val="center"/>
          </w:tcPr>
          <w:p>
            <w:pPr>
              <w:spacing w:line="260" w:lineRule="atLeast"/>
              <w:ind w:right="-193" w:rightChars="-92"/>
              <w:jc w:val="center"/>
              <w:rPr>
                <w:rFonts w:ascii="宋体" w:hAnsi="宋体" w:cs="宋体" w:hint="eastAsia"/>
                <w:b/>
                <w:bCs/>
                <w:color w:val="000000"/>
                <w:sz w:val="24"/>
                <w:szCs w:val="20"/>
                <w:highlight w:val="none"/>
              </w:rPr>
            </w:pPr>
            <w:r>
              <w:rPr>
                <w:rFonts w:ascii="宋体" w:hAnsi="宋体" w:cs="宋体" w:hint="eastAsia"/>
                <w:b/>
                <w:bCs/>
                <w:color w:val="000000"/>
                <w:szCs w:val="21"/>
                <w:highlight w:val="none"/>
              </w:rPr>
              <w:t>货物招标费率</w:t>
            </w:r>
          </w:p>
        </w:tc>
      </w:tr>
      <w:tr>
        <w:tblPrEx>
          <w:tblW w:w="5004" w:type="pct"/>
          <w:jc w:val="center"/>
          <w:tblCellSpacing w:w="0" w:type="dxa"/>
          <w:tblInd w:w="-10" w:type="dxa"/>
          <w:tblCellMar>
            <w:top w:w="0" w:type="dxa"/>
            <w:left w:w="0" w:type="dxa"/>
            <w:bottom w:w="0" w:type="dxa"/>
            <w:right w:w="0" w:type="dxa"/>
          </w:tblCellMar>
          <w:tblLook w:val="0000"/>
        </w:tblPrEx>
        <w:trPr>
          <w:trHeight w:val="262"/>
          <w:tblCellSpacing w:w="0" w:type="dxa"/>
          <w:jc w:val="center"/>
        </w:trPr>
        <w:tc>
          <w:tcPr>
            <w:tcW w:w="2517" w:type="pct"/>
            <w:vAlign w:val="center"/>
          </w:tcPr>
          <w:p>
            <w:pPr>
              <w:spacing w:line="260" w:lineRule="atLeast"/>
              <w:jc w:val="center"/>
              <w:rPr>
                <w:rFonts w:ascii="宋体" w:hAnsi="宋体" w:cs="宋体" w:hint="eastAsia"/>
                <w:color w:val="000000"/>
                <w:sz w:val="24"/>
                <w:szCs w:val="20"/>
                <w:highlight w:val="none"/>
              </w:rPr>
            </w:pPr>
            <w:r>
              <w:rPr>
                <w:rFonts w:ascii="宋体" w:hAnsi="宋体" w:cs="宋体" w:hint="eastAsia"/>
                <w:color w:val="000000"/>
                <w:szCs w:val="21"/>
                <w:highlight w:val="none"/>
              </w:rPr>
              <w:t>100以下</w:t>
            </w:r>
          </w:p>
        </w:tc>
        <w:tc>
          <w:tcPr>
            <w:tcW w:w="2482" w:type="pct"/>
            <w:vAlign w:val="center"/>
          </w:tcPr>
          <w:p>
            <w:pPr>
              <w:spacing w:line="260" w:lineRule="atLeast"/>
              <w:jc w:val="center"/>
              <w:rPr>
                <w:rFonts w:ascii="宋体" w:hAnsi="宋体" w:cs="宋体" w:hint="eastAsia"/>
                <w:color w:val="000000"/>
                <w:sz w:val="24"/>
                <w:szCs w:val="20"/>
                <w:highlight w:val="none"/>
              </w:rPr>
            </w:pPr>
            <w:r>
              <w:rPr>
                <w:rFonts w:ascii="宋体" w:hAnsi="宋体" w:hint="eastAsia"/>
                <w:color w:val="000000"/>
                <w:szCs w:val="21"/>
                <w:highlight w:val="none"/>
              </w:rPr>
              <w:t>1.5%</w:t>
            </w:r>
          </w:p>
        </w:tc>
      </w:tr>
      <w:tr>
        <w:tblPrEx>
          <w:tblW w:w="5004" w:type="pct"/>
          <w:jc w:val="center"/>
          <w:tblCellSpacing w:w="0" w:type="dxa"/>
          <w:tblInd w:w="-10" w:type="dxa"/>
          <w:tblCellMar>
            <w:top w:w="0" w:type="dxa"/>
            <w:left w:w="0" w:type="dxa"/>
            <w:bottom w:w="0" w:type="dxa"/>
            <w:right w:w="0" w:type="dxa"/>
          </w:tblCellMar>
          <w:tblLook w:val="0000"/>
        </w:tblPrEx>
        <w:trPr>
          <w:trHeight w:val="262"/>
          <w:tblCellSpacing w:w="0" w:type="dxa"/>
          <w:jc w:val="center"/>
        </w:trPr>
        <w:tc>
          <w:tcPr>
            <w:tcW w:w="2517" w:type="pct"/>
            <w:vAlign w:val="center"/>
          </w:tcPr>
          <w:p>
            <w:pPr>
              <w:spacing w:line="260" w:lineRule="atLeast"/>
              <w:jc w:val="center"/>
              <w:rPr>
                <w:rFonts w:ascii="宋体" w:hAnsi="宋体" w:cs="宋体" w:hint="eastAsia"/>
                <w:color w:val="000000"/>
                <w:sz w:val="24"/>
                <w:szCs w:val="20"/>
                <w:highlight w:val="none"/>
              </w:rPr>
            </w:pPr>
            <w:r>
              <w:rPr>
                <w:rFonts w:ascii="宋体" w:hAnsi="宋体" w:cs="宋体" w:hint="eastAsia"/>
                <w:color w:val="000000"/>
                <w:szCs w:val="21"/>
                <w:highlight w:val="none"/>
              </w:rPr>
              <w:t>100-500</w:t>
            </w:r>
          </w:p>
        </w:tc>
        <w:tc>
          <w:tcPr>
            <w:tcW w:w="2482" w:type="pct"/>
            <w:vAlign w:val="center"/>
          </w:tcPr>
          <w:p>
            <w:pPr>
              <w:spacing w:line="260" w:lineRule="atLeast"/>
              <w:jc w:val="center"/>
              <w:rPr>
                <w:rFonts w:ascii="宋体" w:hAnsi="宋体" w:cs="宋体" w:hint="eastAsia"/>
                <w:color w:val="000000"/>
                <w:sz w:val="24"/>
                <w:szCs w:val="20"/>
                <w:highlight w:val="none"/>
              </w:rPr>
            </w:pPr>
            <w:r>
              <w:rPr>
                <w:rFonts w:ascii="宋体" w:hAnsi="宋体" w:hint="eastAsia"/>
                <w:color w:val="000000"/>
                <w:szCs w:val="21"/>
                <w:highlight w:val="none"/>
              </w:rPr>
              <w:t>1.1%</w:t>
            </w:r>
          </w:p>
        </w:tc>
      </w:tr>
      <w:tr>
        <w:tblPrEx>
          <w:tblW w:w="5004" w:type="pct"/>
          <w:jc w:val="center"/>
          <w:tblCellSpacing w:w="0" w:type="dxa"/>
          <w:tblInd w:w="-10" w:type="dxa"/>
          <w:tblCellMar>
            <w:top w:w="0" w:type="dxa"/>
            <w:left w:w="0" w:type="dxa"/>
            <w:bottom w:w="0" w:type="dxa"/>
            <w:right w:w="0" w:type="dxa"/>
          </w:tblCellMar>
          <w:tblLook w:val="0000"/>
        </w:tblPrEx>
        <w:trPr>
          <w:trHeight w:val="262"/>
          <w:tblCellSpacing w:w="0" w:type="dxa"/>
          <w:jc w:val="center"/>
        </w:trPr>
        <w:tc>
          <w:tcPr>
            <w:tcW w:w="2517" w:type="pct"/>
            <w:vAlign w:val="center"/>
          </w:tcPr>
          <w:p>
            <w:pPr>
              <w:spacing w:line="260" w:lineRule="atLeast"/>
              <w:jc w:val="center"/>
              <w:rPr>
                <w:rFonts w:ascii="宋体" w:hAnsi="宋体" w:cs="宋体" w:hint="eastAsia"/>
                <w:color w:val="000000"/>
                <w:sz w:val="24"/>
                <w:szCs w:val="20"/>
                <w:highlight w:val="none"/>
              </w:rPr>
            </w:pPr>
            <w:r>
              <w:rPr>
                <w:rFonts w:ascii="宋体" w:hAnsi="宋体" w:cs="宋体" w:hint="eastAsia"/>
                <w:color w:val="000000"/>
                <w:szCs w:val="21"/>
                <w:highlight w:val="none"/>
              </w:rPr>
              <w:t>500-1,000</w:t>
            </w:r>
          </w:p>
        </w:tc>
        <w:tc>
          <w:tcPr>
            <w:tcW w:w="2482" w:type="pct"/>
            <w:vAlign w:val="center"/>
          </w:tcPr>
          <w:p>
            <w:pPr>
              <w:spacing w:line="260" w:lineRule="atLeast"/>
              <w:jc w:val="center"/>
              <w:rPr>
                <w:rFonts w:ascii="宋体" w:hAnsi="宋体" w:cs="宋体" w:hint="eastAsia"/>
                <w:color w:val="000000"/>
                <w:sz w:val="24"/>
                <w:szCs w:val="20"/>
                <w:highlight w:val="none"/>
              </w:rPr>
            </w:pPr>
            <w:r>
              <w:rPr>
                <w:rFonts w:ascii="宋体" w:hAnsi="宋体" w:hint="eastAsia"/>
                <w:color w:val="000000"/>
                <w:szCs w:val="21"/>
                <w:highlight w:val="none"/>
              </w:rPr>
              <w:t>0.8%</w:t>
            </w:r>
          </w:p>
        </w:tc>
      </w:tr>
      <w:tr>
        <w:tblPrEx>
          <w:tblW w:w="5004" w:type="pct"/>
          <w:jc w:val="center"/>
          <w:tblCellSpacing w:w="0" w:type="dxa"/>
          <w:tblInd w:w="-10" w:type="dxa"/>
          <w:tblCellMar>
            <w:top w:w="0" w:type="dxa"/>
            <w:left w:w="0" w:type="dxa"/>
            <w:bottom w:w="0" w:type="dxa"/>
            <w:right w:w="0" w:type="dxa"/>
          </w:tblCellMar>
          <w:tblLook w:val="0000"/>
        </w:tblPrEx>
        <w:trPr>
          <w:trHeight w:val="262"/>
          <w:tblCellSpacing w:w="0" w:type="dxa"/>
          <w:jc w:val="center"/>
        </w:trPr>
        <w:tc>
          <w:tcPr>
            <w:tcW w:w="2517" w:type="pct"/>
            <w:vAlign w:val="center"/>
          </w:tcPr>
          <w:p>
            <w:pPr>
              <w:spacing w:line="260" w:lineRule="atLeast"/>
              <w:jc w:val="center"/>
              <w:rPr>
                <w:rFonts w:ascii="宋体" w:hAnsi="宋体" w:cs="宋体" w:hint="eastAsia"/>
                <w:color w:val="000000"/>
                <w:sz w:val="24"/>
                <w:szCs w:val="20"/>
                <w:highlight w:val="none"/>
              </w:rPr>
            </w:pPr>
            <w:r>
              <w:rPr>
                <w:rFonts w:ascii="宋体" w:hAnsi="宋体" w:cs="宋体" w:hint="eastAsia"/>
                <w:color w:val="000000"/>
                <w:szCs w:val="21"/>
                <w:highlight w:val="none"/>
              </w:rPr>
              <w:t>1,000-5,000</w:t>
            </w:r>
          </w:p>
        </w:tc>
        <w:tc>
          <w:tcPr>
            <w:tcW w:w="2482" w:type="pct"/>
            <w:vAlign w:val="center"/>
          </w:tcPr>
          <w:p>
            <w:pPr>
              <w:spacing w:line="260" w:lineRule="atLeast"/>
              <w:jc w:val="center"/>
              <w:rPr>
                <w:rFonts w:ascii="宋体" w:hAnsi="宋体" w:cs="宋体" w:hint="eastAsia"/>
                <w:color w:val="000000"/>
                <w:sz w:val="24"/>
                <w:szCs w:val="20"/>
                <w:highlight w:val="none"/>
              </w:rPr>
            </w:pPr>
            <w:r>
              <w:rPr>
                <w:rFonts w:ascii="宋体" w:hAnsi="宋体" w:hint="eastAsia"/>
                <w:color w:val="000000"/>
                <w:szCs w:val="21"/>
                <w:highlight w:val="none"/>
              </w:rPr>
              <w:t>0.5%</w:t>
            </w:r>
          </w:p>
        </w:tc>
      </w:tr>
      <w:tr>
        <w:tblPrEx>
          <w:tblW w:w="5004" w:type="pct"/>
          <w:jc w:val="center"/>
          <w:tblCellSpacing w:w="0" w:type="dxa"/>
          <w:tblInd w:w="-10" w:type="dxa"/>
          <w:tblCellMar>
            <w:top w:w="0" w:type="dxa"/>
            <w:left w:w="0" w:type="dxa"/>
            <w:bottom w:w="0" w:type="dxa"/>
            <w:right w:w="0" w:type="dxa"/>
          </w:tblCellMar>
          <w:tblLook w:val="0000"/>
        </w:tblPrEx>
        <w:trPr>
          <w:trHeight w:val="262"/>
          <w:tblCellSpacing w:w="0" w:type="dxa"/>
          <w:jc w:val="center"/>
        </w:trPr>
        <w:tc>
          <w:tcPr>
            <w:tcW w:w="2517" w:type="pct"/>
            <w:vAlign w:val="center"/>
          </w:tcPr>
          <w:p>
            <w:pPr>
              <w:spacing w:line="260" w:lineRule="atLeast"/>
              <w:jc w:val="center"/>
              <w:rPr>
                <w:rFonts w:ascii="宋体" w:hAnsi="宋体" w:cs="宋体" w:hint="eastAsia"/>
                <w:color w:val="000000"/>
                <w:sz w:val="24"/>
                <w:szCs w:val="20"/>
                <w:highlight w:val="none"/>
              </w:rPr>
            </w:pPr>
            <w:r>
              <w:rPr>
                <w:rFonts w:ascii="宋体" w:hAnsi="宋体" w:cs="宋体" w:hint="eastAsia"/>
                <w:color w:val="000000"/>
                <w:szCs w:val="21"/>
                <w:highlight w:val="none"/>
              </w:rPr>
              <w:t>5,000-10,000</w:t>
            </w:r>
          </w:p>
        </w:tc>
        <w:tc>
          <w:tcPr>
            <w:tcW w:w="2482" w:type="pct"/>
            <w:vAlign w:val="center"/>
          </w:tcPr>
          <w:p>
            <w:pPr>
              <w:spacing w:line="260" w:lineRule="atLeast"/>
              <w:jc w:val="center"/>
              <w:rPr>
                <w:rFonts w:ascii="宋体" w:hAnsi="宋体" w:cs="宋体" w:hint="eastAsia"/>
                <w:color w:val="000000"/>
                <w:sz w:val="24"/>
                <w:szCs w:val="20"/>
                <w:highlight w:val="none"/>
              </w:rPr>
            </w:pPr>
            <w:r>
              <w:rPr>
                <w:rFonts w:ascii="宋体" w:hAnsi="宋体" w:hint="eastAsia"/>
                <w:color w:val="000000"/>
                <w:szCs w:val="21"/>
                <w:highlight w:val="none"/>
              </w:rPr>
              <w:t>0.25%</w:t>
            </w:r>
          </w:p>
        </w:tc>
      </w:tr>
      <w:tr>
        <w:tblPrEx>
          <w:tblW w:w="5004" w:type="pct"/>
          <w:jc w:val="center"/>
          <w:tblCellSpacing w:w="0" w:type="dxa"/>
          <w:tblInd w:w="-10" w:type="dxa"/>
          <w:tblCellMar>
            <w:top w:w="0" w:type="dxa"/>
            <w:left w:w="0" w:type="dxa"/>
            <w:bottom w:w="0" w:type="dxa"/>
            <w:right w:w="0" w:type="dxa"/>
          </w:tblCellMar>
          <w:tblLook w:val="0000"/>
        </w:tblPrEx>
        <w:trPr>
          <w:trHeight w:val="271"/>
          <w:tblCellSpacing w:w="0" w:type="dxa"/>
          <w:jc w:val="center"/>
        </w:trPr>
        <w:tc>
          <w:tcPr>
            <w:tcW w:w="2517" w:type="pct"/>
            <w:vAlign w:val="center"/>
          </w:tcPr>
          <w:p>
            <w:pPr>
              <w:spacing w:line="260" w:lineRule="atLeast"/>
              <w:jc w:val="center"/>
              <w:rPr>
                <w:rFonts w:ascii="宋体" w:hAnsi="宋体" w:cs="宋体" w:hint="eastAsia"/>
                <w:color w:val="000000"/>
                <w:sz w:val="24"/>
                <w:szCs w:val="20"/>
                <w:highlight w:val="none"/>
              </w:rPr>
            </w:pPr>
            <w:r>
              <w:rPr>
                <w:rFonts w:ascii="宋体" w:hAnsi="宋体" w:cs="宋体" w:hint="eastAsia"/>
                <w:color w:val="000000"/>
                <w:szCs w:val="21"/>
                <w:highlight w:val="none"/>
              </w:rPr>
              <w:t>10,000-100,000</w:t>
            </w:r>
          </w:p>
        </w:tc>
        <w:tc>
          <w:tcPr>
            <w:tcW w:w="2482" w:type="pct"/>
            <w:vAlign w:val="center"/>
          </w:tcPr>
          <w:p>
            <w:pPr>
              <w:spacing w:line="260" w:lineRule="atLeast"/>
              <w:jc w:val="center"/>
              <w:rPr>
                <w:rFonts w:ascii="宋体" w:hAnsi="宋体" w:cs="宋体" w:hint="eastAsia"/>
                <w:color w:val="000000"/>
                <w:sz w:val="24"/>
                <w:szCs w:val="20"/>
                <w:highlight w:val="none"/>
              </w:rPr>
            </w:pPr>
            <w:r>
              <w:rPr>
                <w:rFonts w:ascii="宋体" w:hAnsi="宋体" w:hint="eastAsia"/>
                <w:color w:val="000000"/>
                <w:szCs w:val="21"/>
                <w:highlight w:val="none"/>
              </w:rPr>
              <w:t>0.05%</w:t>
            </w:r>
          </w:p>
        </w:tc>
      </w:tr>
    </w:tbl>
    <w:p>
      <w:pPr>
        <w:spacing w:line="280" w:lineRule="atLeast"/>
        <w:ind w:firstLine="420" w:firstLineChars="200"/>
        <w:rPr>
          <w:rFonts w:ascii="宋体" w:hAnsi="宋体" w:cs="宋体" w:hint="eastAsia"/>
          <w:color w:val="000000"/>
          <w:highlight w:val="none"/>
        </w:rPr>
      </w:pPr>
      <w:r>
        <w:rPr>
          <w:rFonts w:ascii="宋体" w:hAnsi="宋体" w:cs="宋体" w:hint="eastAsia"/>
          <w:color w:val="000000"/>
          <w:highlight w:val="none"/>
        </w:rPr>
        <w:t>1、招标机构服务收费按差额定率累进法计算（招标代理服务费金额=中标金额*招标费率*0.8），最低收费不低于人民币伍仟元整；</w:t>
      </w:r>
    </w:p>
    <w:p>
      <w:pPr>
        <w:spacing w:line="280" w:lineRule="atLeast"/>
        <w:ind w:firstLine="420" w:firstLineChars="200"/>
        <w:rPr>
          <w:rFonts w:ascii="宋体" w:hAnsi="宋体" w:cs="宋体"/>
          <w:color w:val="000000"/>
          <w:highlight w:val="none"/>
        </w:rPr>
      </w:pPr>
      <w:r>
        <w:rPr>
          <w:rFonts w:ascii="宋体" w:hAnsi="宋体" w:cs="宋体" w:hint="eastAsia"/>
          <w:color w:val="000000"/>
          <w:highlight w:val="none"/>
        </w:rPr>
        <w:t>2、本次按招标文件“项目类型”中规定的类别收取招标代理服务费，招标计费标准如上。</w:t>
      </w:r>
    </w:p>
    <w:p>
      <w:pPr>
        <w:spacing w:line="280" w:lineRule="atLeast"/>
        <w:ind w:firstLine="420" w:firstLineChars="200"/>
        <w:rPr>
          <w:rFonts w:ascii="宋体" w:hAnsi="宋体" w:cs="宋体"/>
          <w:color w:val="000000"/>
          <w:highlight w:val="none"/>
        </w:rPr>
      </w:pPr>
      <w:r>
        <w:rPr>
          <w:rFonts w:ascii="宋体" w:hAnsi="宋体" w:cs="宋体" w:hint="eastAsia"/>
          <w:color w:val="000000"/>
          <w:highlight w:val="none"/>
        </w:rPr>
        <w:t>3、招标代理服务费缴纳至：</w:t>
      </w:r>
    </w:p>
    <w:p>
      <w:pPr>
        <w:spacing w:line="280" w:lineRule="atLeast"/>
        <w:ind w:firstLine="420" w:firstLineChars="200"/>
        <w:rPr>
          <w:rFonts w:ascii="宋体" w:hAnsi="宋体" w:cs="宋体"/>
          <w:color w:val="000000"/>
          <w:highlight w:val="none"/>
        </w:rPr>
      </w:pPr>
      <w:r>
        <w:rPr>
          <w:rFonts w:ascii="宋体" w:hAnsi="宋体" w:cs="宋体" w:hint="eastAsia"/>
          <w:color w:val="000000"/>
          <w:highlight w:val="none"/>
        </w:rPr>
        <w:t>开户名称：中国远东国际招标有限公司深圳分公司</w:t>
      </w:r>
    </w:p>
    <w:p>
      <w:pPr>
        <w:spacing w:line="280" w:lineRule="atLeast"/>
        <w:ind w:firstLine="420" w:firstLineChars="200"/>
        <w:rPr>
          <w:rFonts w:ascii="宋体" w:hAnsi="宋体" w:cs="宋体"/>
          <w:color w:val="000000"/>
          <w:highlight w:val="none"/>
        </w:rPr>
      </w:pPr>
      <w:r>
        <w:rPr>
          <w:rFonts w:ascii="宋体" w:hAnsi="宋体" w:cs="宋体" w:hint="eastAsia"/>
          <w:color w:val="000000"/>
          <w:highlight w:val="none"/>
        </w:rPr>
        <w:t>银行账号：11013651025501</w:t>
      </w:r>
    </w:p>
    <w:p>
      <w:pPr>
        <w:spacing w:line="280" w:lineRule="atLeast"/>
        <w:ind w:firstLine="420" w:firstLineChars="200"/>
        <w:rPr>
          <w:rFonts w:ascii="宋体" w:hAnsi="宋体" w:cs="宋体"/>
          <w:color w:val="000000"/>
          <w:highlight w:val="none"/>
        </w:rPr>
      </w:pPr>
      <w:r>
        <w:rPr>
          <w:rFonts w:ascii="宋体" w:hAnsi="宋体" w:cs="宋体" w:hint="eastAsia"/>
          <w:color w:val="000000"/>
          <w:highlight w:val="none"/>
        </w:rPr>
        <w:t>开户银行：平安银行深圳中电支行</w:t>
      </w:r>
    </w:p>
    <w:p>
      <w:pPr>
        <w:pStyle w:val="Heading1"/>
        <w:spacing w:line="300" w:lineRule="auto"/>
        <w:rPr>
          <w:rFonts w:eastAsia="宋体" w:cs="宋体"/>
          <w:b/>
          <w:bCs/>
          <w:color w:val="000000"/>
          <w:sz w:val="24"/>
          <w:highlight w:val="none"/>
        </w:rPr>
      </w:pPr>
      <w:r>
        <w:rPr>
          <w:rFonts w:eastAsia="宋体" w:cs="宋体" w:hint="eastAsia"/>
          <w:b/>
          <w:bCs/>
          <w:color w:val="000000"/>
          <w:sz w:val="32"/>
          <w:szCs w:val="48"/>
          <w:highlight w:val="none"/>
        </w:rPr>
        <w:t>第三册  相关政策</w:t>
      </w:r>
    </w:p>
    <w:p>
      <w:pPr>
        <w:autoSpaceDE w:val="0"/>
        <w:autoSpaceDN w:val="0"/>
        <w:adjustRightInd w:val="0"/>
        <w:jc w:val="left"/>
        <w:rPr>
          <w:rFonts w:ascii="宋体" w:hAnsi="宋体" w:cs="宋体"/>
          <w:b/>
          <w:color w:val="000000"/>
          <w:kern w:val="0"/>
          <w:sz w:val="28"/>
          <w:szCs w:val="28"/>
          <w:highlight w:val="none"/>
        </w:rPr>
      </w:pPr>
      <w:bookmarkStart w:id="59" w:name="_Toc423897870"/>
      <w:bookmarkStart w:id="60" w:name="_Toc423897875"/>
      <w:bookmarkStart w:id="61" w:name="_Toc423902167"/>
      <w:bookmarkStart w:id="62" w:name="_Toc423902169"/>
      <w:r>
        <w:rPr>
          <w:rFonts w:ascii="宋体" w:hAnsi="宋体" w:cs="宋体" w:hint="eastAsia"/>
          <w:color w:val="000000"/>
          <w:kern w:val="0"/>
          <w:sz w:val="28"/>
          <w:szCs w:val="28"/>
          <w:highlight w:val="none"/>
        </w:rPr>
        <w:t xml:space="preserve">  </w:t>
      </w:r>
      <w:r>
        <w:rPr>
          <w:rFonts w:ascii="宋体" w:hAnsi="宋体" w:cs="宋体" w:hint="eastAsia"/>
          <w:b/>
          <w:color w:val="000000"/>
          <w:kern w:val="0"/>
          <w:sz w:val="28"/>
          <w:szCs w:val="28"/>
          <w:highlight w:val="none"/>
        </w:rPr>
        <w:t>1, 财政部、工业和信息化部《关于印发〈政府采购促进中小企业发展管理办法〉的通知》（财库〔2020〕46 号）</w:t>
      </w:r>
    </w:p>
    <w:p>
      <w:pPr>
        <w:widowControl/>
        <w:shd w:val="clear" w:color="auto" w:fill="FFFFFF"/>
        <w:spacing w:after="240"/>
        <w:jc w:val="center"/>
        <w:rPr>
          <w:rFonts w:ascii="宋体" w:hAnsi="宋体" w:cs="宋体"/>
          <w:color w:val="000000"/>
          <w:kern w:val="0"/>
          <w:sz w:val="24"/>
          <w:highlight w:val="none"/>
        </w:rPr>
      </w:pPr>
      <w:r>
        <w:rPr>
          <w:rFonts w:ascii="宋体" w:hAnsi="宋体" w:cs="宋体" w:hint="eastAsia"/>
          <w:color w:val="000000"/>
          <w:kern w:val="0"/>
          <w:sz w:val="24"/>
          <w:highlight w:val="none"/>
        </w:rPr>
        <w:t>关于印发《政府采购促进中小企业发展管理办法》的通知</w:t>
      </w:r>
    </w:p>
    <w:p>
      <w:pPr>
        <w:widowControl/>
        <w:shd w:val="clear" w:color="auto" w:fill="FFFFFF"/>
        <w:spacing w:after="240"/>
        <w:jc w:val="center"/>
        <w:rPr>
          <w:rFonts w:ascii="宋体" w:hAnsi="宋体" w:cs="宋体"/>
          <w:color w:val="000000"/>
          <w:kern w:val="0"/>
          <w:sz w:val="24"/>
          <w:highlight w:val="none"/>
        </w:rPr>
      </w:pPr>
      <w:r>
        <w:rPr>
          <w:rFonts w:ascii="宋体" w:hAnsi="宋体" w:cs="宋体" w:hint="eastAsia"/>
          <w:color w:val="000000"/>
          <w:kern w:val="0"/>
          <w:sz w:val="24"/>
          <w:highlight w:val="none"/>
        </w:rPr>
        <w:t>财库〔2020〕46号</w:t>
      </w:r>
    </w:p>
    <w:p>
      <w:pPr>
        <w:widowControl/>
        <w:shd w:val="clear" w:color="auto" w:fill="FFFFFF"/>
        <w:spacing w:after="240"/>
        <w:ind w:firstLine="420" w:firstLineChars="200"/>
        <w:jc w:val="left"/>
        <w:rPr>
          <w:rFonts w:ascii="宋体" w:hAnsi="宋体" w:cs="宋体"/>
          <w:color w:val="000000"/>
          <w:kern w:val="0"/>
          <w:szCs w:val="21"/>
          <w:highlight w:val="none"/>
        </w:rPr>
      </w:pPr>
      <w:r>
        <w:rPr>
          <w:rFonts w:ascii="宋体" w:hAnsi="宋体" w:cs="宋体" w:hint="eastAsia"/>
          <w:color w:val="000000"/>
          <w:kern w:val="0"/>
          <w:szCs w:val="21"/>
          <w:highlight w:val="none"/>
        </w:rPr>
        <w:t>各中央预算单位办公厅（室），各省、自治区、直辖市、计划单列市财政厅（局）、工业和信息化主管部门，新疆生产建设兵团财政局、工业和信息化主管部门：</w:t>
      </w:r>
    </w:p>
    <w:p>
      <w:pPr>
        <w:widowControl/>
        <w:shd w:val="clear" w:color="auto" w:fill="FFFFFF"/>
        <w:spacing w:after="240"/>
        <w:jc w:val="left"/>
        <w:rPr>
          <w:rFonts w:ascii="宋体" w:hAnsi="宋体" w:cs="宋体"/>
          <w:color w:val="000000"/>
          <w:kern w:val="0"/>
          <w:szCs w:val="21"/>
          <w:highlight w:val="none"/>
        </w:rPr>
      </w:pPr>
      <w:r>
        <w:rPr>
          <w:rFonts w:ascii="宋体" w:hAnsi="宋体" w:cs="宋体" w:hint="eastAsia"/>
          <w:color w:val="000000"/>
          <w:kern w:val="0"/>
          <w:szCs w:val="21"/>
          <w:highlight w:val="none"/>
        </w:rPr>
        <w:t>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after="240"/>
        <w:jc w:val="left"/>
        <w:rPr>
          <w:rFonts w:ascii="宋体" w:hAnsi="宋体" w:cs="宋体"/>
          <w:color w:val="000000"/>
          <w:kern w:val="0"/>
          <w:szCs w:val="21"/>
          <w:highlight w:val="none"/>
        </w:rPr>
      </w:pPr>
      <w:r>
        <w:rPr>
          <w:rFonts w:ascii="宋体" w:hAnsi="宋体" w:cs="宋体" w:hint="eastAsia"/>
          <w:color w:val="000000"/>
          <w:kern w:val="0"/>
          <w:szCs w:val="21"/>
          <w:highlight w:val="none"/>
        </w:rPr>
        <w:t>　　附件：政府采购促进中小企业发展管理办法</w:t>
      </w:r>
    </w:p>
    <w:p>
      <w:pPr>
        <w:widowControl/>
        <w:shd w:val="clear" w:color="auto" w:fill="FFFFFF"/>
        <w:spacing w:after="240"/>
        <w:jc w:val="right"/>
        <w:rPr>
          <w:rFonts w:ascii="宋体" w:hAnsi="宋体" w:cs="宋体"/>
          <w:color w:val="000000"/>
          <w:kern w:val="0"/>
          <w:sz w:val="24"/>
          <w:highlight w:val="none"/>
        </w:rPr>
      </w:pPr>
      <w:r>
        <w:rPr>
          <w:rFonts w:ascii="宋体" w:hAnsi="宋体" w:cs="宋体" w:hint="eastAsia"/>
          <w:color w:val="000000"/>
          <w:kern w:val="0"/>
          <w:sz w:val="24"/>
          <w:highlight w:val="none"/>
        </w:rPr>
        <w:t>财  政  部</w:t>
      </w:r>
    </w:p>
    <w:p>
      <w:pPr>
        <w:widowControl/>
        <w:shd w:val="clear" w:color="auto" w:fill="FFFFFF"/>
        <w:spacing w:after="240"/>
        <w:jc w:val="right"/>
        <w:rPr>
          <w:rFonts w:ascii="宋体" w:hAnsi="宋体" w:cs="宋体"/>
          <w:color w:val="000000"/>
          <w:kern w:val="0"/>
          <w:sz w:val="24"/>
          <w:highlight w:val="none"/>
        </w:rPr>
      </w:pPr>
      <w:r>
        <w:rPr>
          <w:rFonts w:ascii="宋体" w:hAnsi="宋体" w:cs="宋体" w:hint="eastAsia"/>
          <w:color w:val="000000"/>
          <w:kern w:val="0"/>
          <w:sz w:val="24"/>
          <w:highlight w:val="none"/>
        </w:rPr>
        <w:t>工业和信息化部</w:t>
      </w:r>
    </w:p>
    <w:p>
      <w:pPr>
        <w:widowControl/>
        <w:shd w:val="clear" w:color="auto" w:fill="FFFFFF"/>
        <w:jc w:val="right"/>
        <w:rPr>
          <w:rFonts w:ascii="宋体" w:hAnsi="宋体" w:cs="宋体"/>
          <w:color w:val="000000"/>
          <w:kern w:val="0"/>
          <w:sz w:val="24"/>
          <w:highlight w:val="none"/>
        </w:rPr>
      </w:pPr>
      <w:r>
        <w:rPr>
          <w:rFonts w:ascii="宋体" w:hAnsi="宋体" w:cs="宋体" w:hint="eastAsia"/>
          <w:color w:val="000000"/>
          <w:kern w:val="0"/>
          <w:sz w:val="24"/>
          <w:highlight w:val="none"/>
        </w:rPr>
        <w:t>2020年12月18日</w:t>
      </w:r>
    </w:p>
    <w:p>
      <w:pPr>
        <w:autoSpaceDE w:val="0"/>
        <w:autoSpaceDN w:val="0"/>
        <w:adjustRightInd w:val="0"/>
        <w:jc w:val="left"/>
        <w:rPr>
          <w:rFonts w:ascii="宋体" w:hAnsi="宋体" w:cs="宋体"/>
          <w:color w:val="000000"/>
          <w:kern w:val="0"/>
          <w:sz w:val="28"/>
          <w:szCs w:val="28"/>
          <w:highlight w:val="none"/>
        </w:rPr>
      </w:pPr>
    </w:p>
    <w:p>
      <w:pPr>
        <w:jc w:val="center"/>
        <w:rPr>
          <w:rFonts w:ascii="宋体" w:hAnsi="宋体" w:cs="宋体"/>
          <w:b/>
          <w:color w:val="000000"/>
          <w:sz w:val="24"/>
          <w:highlight w:val="none"/>
        </w:rPr>
      </w:pPr>
      <w:r>
        <w:rPr>
          <w:rFonts w:ascii="宋体" w:hAnsi="宋体" w:cs="宋体" w:hint="eastAsia"/>
          <w:b/>
          <w:color w:val="000000"/>
          <w:sz w:val="24"/>
          <w:highlight w:val="none"/>
        </w:rPr>
        <w:t>政府采购促进中小企业发展管理办法</w:t>
      </w:r>
    </w:p>
    <w:p>
      <w:pPr>
        <w:autoSpaceDE w:val="0"/>
        <w:autoSpaceDN w:val="0"/>
        <w:jc w:val="left"/>
        <w:rPr>
          <w:rFonts w:ascii="宋体" w:hAnsi="宋体" w:cs="宋体"/>
          <w:color w:val="000000"/>
          <w:kern w:val="0"/>
          <w:sz w:val="44"/>
          <w:szCs w:val="32"/>
          <w:highlight w:val="none"/>
          <w:lang w:val="zh-CN" w:bidi="zh-CN"/>
        </w:rPr>
      </w:pP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第一条</w:t>
      </w:r>
      <w:r>
        <w:rPr>
          <w:rFonts w:ascii="宋体" w:hAnsi="宋体" w:cs="宋体" w:hint="eastAsia"/>
          <w:color w:val="000000"/>
          <w:kern w:val="0"/>
          <w:szCs w:val="21"/>
          <w:highlight w:val="none"/>
        </w:rPr>
        <w:t xml:space="preserve"> </w:t>
      </w:r>
      <w:r>
        <w:rPr>
          <w:rFonts w:ascii="宋体" w:hAnsi="宋体" w:cs="宋体" w:hint="eastAsia"/>
          <w:color w:val="000000"/>
          <w:kern w:val="0"/>
          <w:szCs w:val="21"/>
          <w:highlight w:val="none"/>
          <w:lang w:val="zh-CN"/>
        </w:rPr>
        <w:t>为了发挥政府采购的政策功能，促进中小企业健康发展，根据《中华人民共和国政府采购法》、《中华人民共和国中小企业促进法》等有关法律法规，制定本办法。</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第二条 本办法所称中小企业，是指在中华人民共和国</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境内依法设立，依据国务院批准的中小企业划分标准确定的中型企业、小型企业和微型企业，但与大企业的负责人为同一人，或者与大企业存在直接控股、管理关系的除外。</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符合中小企业划分标准的个体工商户，在政府采购活动中视同中小企业。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第三条 采购人在政府采购活动中应当通过加强采购需求管理，落实预留采购份额、价格评审优惠、优先采购等 措施，提高中小企业在政府采购中的份额，支持中小企业发展。</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第四条 在政府采购活动中，供应商提供的货物、工程或者服务符合下列情形的，享受</w:t>
      </w:r>
      <w:r>
        <w:rPr>
          <w:rFonts w:ascii="宋体" w:hAnsi="宋体" w:cs="宋体" w:hint="eastAsia"/>
          <w:color w:val="000000"/>
          <w:spacing w:val="-2"/>
          <w:kern w:val="0"/>
          <w:szCs w:val="21"/>
          <w:highlight w:val="none"/>
          <w:lang w:val="zh-CN" w:bidi="zh-CN"/>
        </w:rPr>
        <w:t>本办法</w:t>
      </w:r>
      <w:r>
        <w:rPr>
          <w:rFonts w:ascii="宋体" w:hAnsi="宋体" w:cs="宋体" w:hint="eastAsia"/>
          <w:color w:val="000000"/>
          <w:kern w:val="0"/>
          <w:szCs w:val="21"/>
          <w:highlight w:val="none"/>
          <w:lang w:val="zh-CN"/>
        </w:rPr>
        <w:t>规定的中小企业扶持政策：</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（一）在货物采购项目中，货物由中小企业制造，即货 物由中小企业生产且使用该中小企业商号或者注册商标；</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（二）在工程采购项目中，工程由中小企业承建，即工 程施工单位为中小企业；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（三）在服务采购项目中，服务由中小企业承接，即提供服务的人员为中小企业依照《中华人民共和国劳动合同法》订立劳动合同的从业人员。</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在货物采购项目中，供应商提供的货物既有中小企业制造货物，也有大型企业制造货物的，不享受本办法规定的中小企业扶持政策。</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以联合体形式参加政府采购活动，联合体各方均为中小企业的，联合体视同中小企业。其中，联合体各方均为小微企业的，联合体视同小微企业。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符合下列情形之一的，可不专门面向中小企业预留采购份额：</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（一）法律法规和国家有关政策明确规定优先或者应当面向事业单位、社会组织等非企业主体采购的；</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（二）因确需使用不可替代的专利、专有技术，基础设施限制，或者提供特定公共服务等原因，只能从中小企业之外的供应商处采购的；</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（三）按照本办法规定预留采购份额无法确保充分供应、充分竞争，或者存在可能影响政府采购目标实现的情形；</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（四）框架协议采购项目；</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（五）省级以上人民政府财政部门规定的其他情形。 除上述情形外，其他均为适宜由中小企业提供的情形。</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第七条采购限额标准以上，200万元以下的货物和服务采购项目、400 万元以下的工程采购项目，适宜由中小企业提供的，采购人应当专门面向中小企业采购。</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（一）将采购项目整体或者设置采购包专门面向中小企业采购；</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（二）要求供应商以联合体形式参加采购活动，且联合体中中小企业承担的部分达到一定比例；</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（三）要求获得采购合同的供应商将采购项目中的一定比例分包给一家或者多家中小企业。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组成联合体或者接受分包合同的中小企业与联合体内 其他企业、分包企业之间不得存在直接控股、管理关系。</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第十二条 采购项目涉及中小企业采购的，采购文件应当明确以下内容：</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（一）预留份额的采购项目或者采购包，明确该项目或相关采购包专门面向中小企业采购，以及相关标的及预算金额；</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（二）要求以联合体形式参加或者合同分包的，明确联合协议或者分包意向协议中中小企业合同金额应当达到的 比例，并作为供应商资格条件；</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（三）非预留份额的采购项目或者采购包，明确有关价格扣除比例或者价格分加分比例；</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（四）规定依据本办法规定享受扶持政策获得政府采购合同的，小微企业不得将合同分包给大中型企业，中型企业不得将合同分包给大型企业；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（五）采购人认为具备相关条件的，明确对中小企业在资金支付期限、预付款比例等方面的优惠措施；</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（六）明确采购标的对应的中小企业划分标准所属行业；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（七）法律法规和省级以上人民政府财政部门规定的其他事项。</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第十三条 中标、成交供应商享受本办法规定的中小企业扶持政策的，采购人、采购代理机构应当随中标、成交结果公开中标、成交供应商的《中小企业声明函》。</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适用招标投标法的政府采购工程建设项目，应当在公示中标候选人时公开中标候选人的《中小企业声明函》。</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第十五条 鼓励各地区、各部门在采购活动中允许中小企业引入信用担保手段，为中小企业在投标（响应）保证、履约保证等方面提供专业化服务。鼓励中小企业依法合规通过政府采购合同融资。</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第十六条 政府采购监督检查、投诉处理及政府采购行政处罚中对中小企业的认定，由货物制造商或者工程、服务供应商注册登记所在地的县级以上人民政府中小企业主管 部门负责。</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中小企业主管部门应当在收到财政部门或者有关招标 投标行政监督部门关于协助开展中小企业认定函后 10 个工作日内做出书面答复。</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第十七条各地区、各部门应当对涉及中小企业采购的 预算项目实施全过程绩效管理，合理设置绩效目标和指标， 落实扶持中小企业有关政策要求，定期开展绩效监控和评价， 强化绩效评价结果应用。</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 xml:space="preserve">第十八条主管预算单位应当自2022年起向同级财政部门报告本部门上一年度面向中小企业预留份额和采购的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第十九条采购人未按本办法规定为中小企业预留采</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购份额，采购人、采购代理机构未按照本办法规定要求实施价格扣除或者价格分加分的，属于未按照规定执行政府采购政策，依照《中华人民共和国政府采购法》等国家有关规定追究法律责任。</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第二十条 供应商按照本办法规定提供声明函内容不实的，属于提供虚假材料谋取中标、成交，依照《中华人民 共和国政府采购法》等国家有关规定追究相应责任。</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适用招标投标法的政府采购工程建设项目，投标人按照 本办法规定提供声明函内容不实的，属于弄虚作假骗取中标， 依照《中华人民共和国招标投标法》等国家有关规定追究相 应责任。</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二十一条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第二十二条 对外援助项目、国家相关资格或者资质管</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理制度另有规定的项目，不适用本办法。</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第二十三条 关于视同中小企业的其他主体的政府采购扶持政策，由财政部会同有关部门另行规定。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第二十四条 省级财政部门可以会同中小企业主管部门根据本办法的规定制定具体实施办法。</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第二十五条本办法自 2021 年 1 月 1 日起施行。《财政部 工业和信息化部关于印发〈政府采购促进中小企业发展暂行办法〉的通知》（财库﹝2011﹞181 号）同时废止。</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附：</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1.中小企业声明函; 2.面向中小企业预留项目执行情况公告</w:t>
      </w:r>
    </w:p>
    <w:p>
      <w:pPr>
        <w:widowControl/>
        <w:shd w:val="clear" w:color="auto" w:fill="FFFFFF"/>
        <w:ind w:firstLine="420" w:firstLineChars="200"/>
        <w:jc w:val="left"/>
        <w:rPr>
          <w:rFonts w:ascii="宋体" w:hAnsi="宋体" w:cs="宋体"/>
          <w:color w:val="000000"/>
          <w:kern w:val="0"/>
          <w:szCs w:val="21"/>
          <w:highlight w:val="none"/>
          <w:lang w:val="zh-CN"/>
        </w:rPr>
        <w:sectPr>
          <w:footerReference w:type="default" r:id="rId16"/>
          <w:pgSz w:w="11910" w:h="16840"/>
          <w:pgMar w:top="1440" w:right="1080" w:bottom="1440" w:left="1080" w:header="907" w:footer="1196" w:gutter="0"/>
          <w:cols w:space="720"/>
        </w:sectPr>
      </w:pPr>
    </w:p>
    <w:p>
      <w:pPr>
        <w:autoSpaceDE w:val="0"/>
        <w:autoSpaceDN w:val="0"/>
        <w:spacing w:before="30"/>
        <w:ind w:left="22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附 1</w:t>
      </w:r>
    </w:p>
    <w:p>
      <w:pPr>
        <w:keepNext/>
        <w:keepLines/>
        <w:spacing w:line="578" w:lineRule="auto"/>
        <w:jc w:val="center"/>
        <w:outlineLvl w:val="0"/>
        <w:rPr>
          <w:rFonts w:ascii="宋体" w:hAnsi="宋体" w:cs="宋体"/>
          <w:bCs/>
          <w:color w:val="000000"/>
          <w:kern w:val="44"/>
          <w:sz w:val="24"/>
          <w:highlight w:val="none"/>
        </w:rPr>
      </w:pPr>
      <w:r>
        <w:rPr>
          <w:rFonts w:ascii="宋体" w:hAnsi="宋体" w:cs="宋体" w:hint="eastAsia"/>
          <w:b/>
          <w:bCs/>
          <w:color w:val="000000"/>
          <w:kern w:val="44"/>
          <w:sz w:val="24"/>
          <w:highlight w:val="none"/>
        </w:rPr>
        <w:t>中小企业声明函（货物）</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本公司（联合体）郑重声明，根据《政府采购促进中小企业发展管理办法》（财库﹝2020﹞46 号）的规定，本公司（联合体）参加</w:t>
      </w:r>
      <w:r>
        <w:rPr>
          <w:rFonts w:ascii="宋体" w:hAnsi="宋体" w:cs="宋体" w:hint="eastAsia"/>
          <w:color w:val="000000"/>
          <w:kern w:val="0"/>
          <w:szCs w:val="21"/>
          <w:highlight w:val="none"/>
          <w:u w:val="single"/>
          <w:lang w:val="zh-CN" w:bidi="zh-CN"/>
        </w:rPr>
        <w:t>（单位名称）</w:t>
      </w:r>
      <w:r>
        <w:rPr>
          <w:rFonts w:ascii="宋体" w:hAnsi="宋体" w:cs="宋体" w:hint="eastAsia"/>
          <w:color w:val="000000"/>
          <w:kern w:val="0"/>
          <w:szCs w:val="21"/>
          <w:highlight w:val="none"/>
          <w:lang w:val="zh-CN" w:bidi="zh-CN"/>
        </w:rPr>
        <w:t>的</w:t>
      </w:r>
      <w:r>
        <w:rPr>
          <w:rFonts w:ascii="宋体" w:hAnsi="宋体" w:cs="宋体" w:hint="eastAsia"/>
          <w:color w:val="000000"/>
          <w:kern w:val="0"/>
          <w:szCs w:val="21"/>
          <w:highlight w:val="none"/>
          <w:u w:val="single"/>
          <w:lang w:val="zh-CN" w:bidi="zh-CN"/>
        </w:rPr>
        <w:t>（项目名称）</w:t>
      </w:r>
      <w:r>
        <w:rPr>
          <w:rFonts w:ascii="宋体" w:hAnsi="宋体" w:cs="宋体" w:hint="eastAsia"/>
          <w:color w:val="000000"/>
          <w:kern w:val="0"/>
          <w:szCs w:val="21"/>
          <w:highlight w:val="none"/>
          <w:lang w:val="zh-CN" w:bidi="zh-CN"/>
        </w:rPr>
        <w:t>采购活动，提供的货物全部由符合政策要求的中小企业制造。相关企业（含联合体中的中小企业、签订分包意向协议的中小企业） 的具体情况如下：</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bidi="zh-CN"/>
        </w:rPr>
        <w:t>1.</w:t>
      </w:r>
      <w:r>
        <w:rPr>
          <w:rFonts w:ascii="宋体" w:hAnsi="宋体" w:cs="宋体" w:hint="eastAsia"/>
          <w:color w:val="000000"/>
          <w:kern w:val="0"/>
          <w:szCs w:val="21"/>
          <w:highlight w:val="none"/>
          <w:u w:val="single"/>
          <w:lang w:val="zh-CN" w:bidi="zh-CN"/>
        </w:rPr>
        <w:t>（标的名称）</w:t>
      </w:r>
      <w:r>
        <w:rPr>
          <w:rFonts w:ascii="宋体" w:hAnsi="宋体" w:cs="宋体" w:hint="eastAsia"/>
          <w:color w:val="000000"/>
          <w:kern w:val="0"/>
          <w:szCs w:val="21"/>
          <w:highlight w:val="none"/>
          <w:lang w:val="zh-CN" w:bidi="zh-CN"/>
        </w:rPr>
        <w:t>，属于</w:t>
      </w:r>
      <w:r>
        <w:rPr>
          <w:rFonts w:ascii="宋体" w:hAnsi="宋体" w:cs="宋体" w:hint="eastAsia"/>
          <w:color w:val="000000"/>
          <w:kern w:val="0"/>
          <w:szCs w:val="21"/>
          <w:highlight w:val="none"/>
          <w:u w:val="single"/>
          <w:lang w:val="zh-CN" w:bidi="zh-CN"/>
        </w:rPr>
        <w:t>（采购文件中明确的所属行业）</w:t>
      </w:r>
      <w:r>
        <w:rPr>
          <w:rFonts w:ascii="宋体" w:hAnsi="宋体" w:cs="宋体" w:hint="eastAsia"/>
          <w:color w:val="000000"/>
          <w:kern w:val="0"/>
          <w:szCs w:val="21"/>
          <w:highlight w:val="none"/>
          <w:lang w:val="zh-CN" w:bidi="zh-CN"/>
        </w:rPr>
        <w:t>；制造商为</w:t>
      </w:r>
      <w:r>
        <w:rPr>
          <w:rFonts w:ascii="宋体" w:hAnsi="宋体" w:cs="宋体" w:hint="eastAsia"/>
          <w:color w:val="000000"/>
          <w:kern w:val="0"/>
          <w:szCs w:val="21"/>
          <w:highlight w:val="none"/>
          <w:u w:val="single"/>
          <w:lang w:val="zh-CN" w:bidi="zh-CN"/>
        </w:rPr>
        <w:t>（企业名称）</w:t>
      </w:r>
      <w:r>
        <w:rPr>
          <w:rFonts w:ascii="宋体" w:hAnsi="宋体" w:cs="宋体" w:hint="eastAsia"/>
          <w:color w:val="000000"/>
          <w:kern w:val="0"/>
          <w:szCs w:val="21"/>
          <w:highlight w:val="none"/>
          <w:lang w:val="zh-CN" w:bidi="zh-CN"/>
        </w:rPr>
        <w:t>，从业人员</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lang w:val="zh-CN" w:bidi="zh-CN"/>
        </w:rPr>
        <w:t>人，营业收入为</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lang w:val="zh-CN" w:bidi="zh-CN"/>
        </w:rPr>
        <w:t>万元，资产总额为</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lang w:val="zh-CN" w:bidi="zh-CN"/>
        </w:rPr>
        <w:t>万元，属于</w:t>
      </w:r>
      <w:r>
        <w:rPr>
          <w:rFonts w:ascii="宋体" w:hAnsi="宋体" w:cs="宋体" w:hint="eastAsia"/>
          <w:color w:val="000000"/>
          <w:kern w:val="0"/>
          <w:szCs w:val="21"/>
          <w:highlight w:val="none"/>
          <w:u w:val="single"/>
          <w:lang w:val="zh-CN" w:bidi="zh-CN"/>
        </w:rPr>
        <w:t>（中型企业、小型企业、微型企业）</w:t>
      </w:r>
      <w:r>
        <w:rPr>
          <w:rFonts w:ascii="宋体" w:hAnsi="宋体" w:cs="宋体" w:hint="eastAsia"/>
          <w:color w:val="000000"/>
          <w:kern w:val="0"/>
          <w:szCs w:val="21"/>
          <w:highlight w:val="none"/>
          <w:lang w:val="zh-CN" w:bidi="zh-CN"/>
        </w:rPr>
        <w:t>；</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bidi="zh-CN"/>
        </w:rPr>
        <w:t>2.</w:t>
      </w:r>
      <w:r>
        <w:rPr>
          <w:rFonts w:ascii="宋体" w:hAnsi="宋体" w:cs="宋体" w:hint="eastAsia"/>
          <w:color w:val="000000"/>
          <w:kern w:val="0"/>
          <w:szCs w:val="21"/>
          <w:highlight w:val="none"/>
          <w:u w:val="single"/>
          <w:lang w:val="zh-CN" w:bidi="zh-CN"/>
        </w:rPr>
        <w:t>（标的名称）</w:t>
      </w:r>
      <w:r>
        <w:rPr>
          <w:rFonts w:ascii="宋体" w:hAnsi="宋体" w:cs="宋体" w:hint="eastAsia"/>
          <w:color w:val="000000"/>
          <w:kern w:val="0"/>
          <w:szCs w:val="21"/>
          <w:highlight w:val="none"/>
          <w:lang w:val="zh-CN" w:bidi="zh-CN"/>
        </w:rPr>
        <w:t>，属于</w:t>
      </w:r>
      <w:r>
        <w:rPr>
          <w:rFonts w:ascii="宋体" w:hAnsi="宋体" w:cs="宋体" w:hint="eastAsia"/>
          <w:color w:val="000000"/>
          <w:kern w:val="0"/>
          <w:szCs w:val="21"/>
          <w:highlight w:val="none"/>
          <w:u w:val="single"/>
          <w:lang w:val="zh-CN" w:bidi="zh-CN"/>
        </w:rPr>
        <w:t>（采购文件中明确的所属行业）</w:t>
      </w:r>
      <w:r>
        <w:rPr>
          <w:rFonts w:ascii="宋体" w:hAnsi="宋体" w:cs="宋体" w:hint="eastAsia"/>
          <w:color w:val="000000"/>
          <w:kern w:val="0"/>
          <w:szCs w:val="21"/>
          <w:highlight w:val="none"/>
          <w:lang w:val="zh-CN" w:bidi="zh-CN"/>
        </w:rPr>
        <w:t>；制造商为</w:t>
      </w:r>
      <w:r>
        <w:rPr>
          <w:rFonts w:ascii="宋体" w:hAnsi="宋体" w:cs="宋体" w:hint="eastAsia"/>
          <w:color w:val="000000"/>
          <w:kern w:val="0"/>
          <w:szCs w:val="21"/>
          <w:highlight w:val="none"/>
          <w:u w:val="single"/>
          <w:lang w:val="zh-CN" w:bidi="zh-CN"/>
        </w:rPr>
        <w:t>（企业名称）</w:t>
      </w:r>
      <w:r>
        <w:rPr>
          <w:rFonts w:ascii="宋体" w:hAnsi="宋体" w:cs="宋体" w:hint="eastAsia"/>
          <w:color w:val="000000"/>
          <w:kern w:val="0"/>
          <w:szCs w:val="21"/>
          <w:highlight w:val="none"/>
          <w:lang w:val="zh-CN" w:bidi="zh-CN"/>
        </w:rPr>
        <w:t>，从业人员</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lang w:val="zh-CN" w:bidi="zh-CN"/>
        </w:rPr>
        <w:t>人，营业收入为</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lang w:val="zh-CN" w:bidi="zh-CN"/>
        </w:rPr>
        <w:t>万元，资产总额为</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lang w:val="zh-CN" w:bidi="zh-CN"/>
        </w:rPr>
        <w:t>万元，属于</w:t>
      </w:r>
      <w:r>
        <w:rPr>
          <w:rFonts w:ascii="宋体" w:hAnsi="宋体" w:cs="宋体" w:hint="eastAsia"/>
          <w:color w:val="000000"/>
          <w:kern w:val="0"/>
          <w:szCs w:val="21"/>
          <w:highlight w:val="none"/>
          <w:u w:val="single"/>
          <w:lang w:val="zh-CN" w:bidi="zh-CN"/>
        </w:rPr>
        <w:t>（中型企业、小型企业、微型企业）</w:t>
      </w:r>
      <w:r>
        <w:rPr>
          <w:rFonts w:ascii="宋体" w:hAnsi="宋体" w:cs="宋体" w:hint="eastAsia"/>
          <w:color w:val="000000"/>
          <w:kern w:val="0"/>
          <w:szCs w:val="21"/>
          <w:highlight w:val="none"/>
          <w:lang w:val="zh-CN" w:bidi="zh-CN"/>
        </w:rPr>
        <w:t>；</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以上企业，不属于大企业的分支机构，不存在控股股东为大企业的情形，也不存在与大企业的负责人为同一人的情形。</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本企业对上述声明内容的真实性负责。如有虚假，将依法承担相应责任。</w:t>
      </w:r>
    </w:p>
    <w:p>
      <w:pPr>
        <w:pStyle w:val="BodyTextIndent2"/>
        <w:spacing w:before="120" w:after="120"/>
        <w:ind w:firstLine="819"/>
        <w:rPr>
          <w:rFonts w:cs="宋体"/>
          <w:b/>
          <w:bCs/>
          <w:color w:val="000000"/>
          <w:spacing w:val="-3"/>
          <w:kern w:val="0"/>
          <w:szCs w:val="21"/>
          <w:highlight w:val="none"/>
          <w:lang w:val="zh-CN" w:bidi="zh-CN"/>
        </w:rPr>
      </w:pPr>
    </w:p>
    <w:p>
      <w:pPr>
        <w:tabs>
          <w:tab w:val="left" w:pos="9660"/>
        </w:tabs>
        <w:autoSpaceDE w:val="0"/>
        <w:autoSpaceDN w:val="0"/>
        <w:spacing w:before="35"/>
        <w:ind w:left="4060" w:right="-130" w:firstLine="2310" w:firstLineChars="1100"/>
        <w:jc w:val="left"/>
        <w:rPr>
          <w:rFonts w:ascii="宋体" w:hAnsi="宋体" w:cs="宋体"/>
          <w:b/>
          <w:bCs/>
          <w:color w:val="000000"/>
          <w:spacing w:val="-3"/>
          <w:kern w:val="0"/>
          <w:szCs w:val="21"/>
          <w:highlight w:val="none"/>
          <w:lang w:bidi="zh-CN"/>
        </w:rPr>
      </w:pPr>
      <w:r>
        <w:rPr>
          <w:rFonts w:ascii="宋体" w:hAnsi="宋体" w:cs="宋体" w:hint="eastAsia"/>
          <w:b/>
          <w:bCs/>
          <w:color w:val="000000"/>
          <w:spacing w:val="-3"/>
          <w:kern w:val="0"/>
          <w:szCs w:val="21"/>
          <w:highlight w:val="none"/>
          <w:lang w:val="zh-CN" w:bidi="zh-CN"/>
        </w:rPr>
        <w:t>企业名称（盖章）</w:t>
      </w:r>
      <w:r>
        <w:rPr>
          <w:rFonts w:ascii="宋体" w:hAnsi="宋体" w:cs="宋体" w:hint="eastAsia"/>
          <w:b/>
          <w:bCs/>
          <w:color w:val="000000"/>
          <w:spacing w:val="-3"/>
          <w:kern w:val="0"/>
          <w:szCs w:val="21"/>
          <w:highlight w:val="none"/>
          <w:lang w:bidi="zh-CN"/>
        </w:rPr>
        <w:t>：</w:t>
      </w:r>
    </w:p>
    <w:p>
      <w:pPr>
        <w:tabs>
          <w:tab w:val="left" w:pos="9660"/>
        </w:tabs>
        <w:autoSpaceDE w:val="0"/>
        <w:autoSpaceDN w:val="0"/>
        <w:spacing w:before="35"/>
        <w:ind w:left="4060" w:right="-130" w:firstLine="2310" w:firstLineChars="1100"/>
        <w:jc w:val="left"/>
        <w:rPr>
          <w:rFonts w:ascii="宋体" w:hAnsi="宋体" w:cs="宋体"/>
          <w:b/>
          <w:bCs/>
          <w:color w:val="000000"/>
          <w:spacing w:val="-3"/>
          <w:kern w:val="0"/>
          <w:szCs w:val="21"/>
          <w:highlight w:val="none"/>
          <w:lang w:val="zh-CN" w:bidi="zh-CN"/>
        </w:rPr>
      </w:pPr>
      <w:r>
        <w:rPr>
          <w:rFonts w:ascii="宋体" w:hAnsi="宋体" w:cs="宋体" w:hint="eastAsia"/>
          <w:b/>
          <w:bCs/>
          <w:color w:val="000000"/>
          <w:spacing w:val="-3"/>
          <w:kern w:val="0"/>
          <w:szCs w:val="21"/>
          <w:highlight w:val="none"/>
          <w:lang w:val="zh-CN" w:bidi="zh-CN"/>
        </w:rPr>
        <w:t>日期：</w:t>
      </w:r>
    </w:p>
    <w:p>
      <w:pPr>
        <w:rPr>
          <w:color w:val="000000"/>
          <w:highlight w:val="none"/>
          <w:lang w:val="zh-CN"/>
        </w:rPr>
      </w:pPr>
    </w:p>
    <w:p>
      <w:pPr>
        <w:rPr>
          <w:color w:val="000000"/>
          <w:highlight w:val="none"/>
          <w:lang w:val="zh-CN"/>
        </w:rPr>
      </w:pPr>
    </w:p>
    <w:p>
      <w:pPr>
        <w:keepNext/>
        <w:keepLines/>
        <w:spacing w:line="578" w:lineRule="auto"/>
        <w:jc w:val="center"/>
        <w:outlineLvl w:val="0"/>
        <w:rPr>
          <w:rFonts w:ascii="宋体" w:hAnsi="宋体" w:cs="宋体"/>
          <w:b/>
          <w:bCs/>
          <w:color w:val="000000"/>
          <w:kern w:val="44"/>
          <w:sz w:val="24"/>
          <w:highlight w:val="none"/>
        </w:rPr>
      </w:pPr>
      <w:bookmarkStart w:id="63" w:name="_bookmark1"/>
      <w:bookmarkEnd w:id="63"/>
      <w:r>
        <w:rPr>
          <w:rFonts w:ascii="宋体" w:hAnsi="宋体" w:cs="宋体" w:hint="eastAsia"/>
          <w:b/>
          <w:bCs/>
          <w:color w:val="000000"/>
          <w:kern w:val="44"/>
          <w:sz w:val="24"/>
          <w:highlight w:val="none"/>
        </w:rPr>
        <w:t>中小企业声明函（工程、服务）</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 体中的中小企业、签订分包意向协议的中小企业）的具体情况如下：</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1.</w:t>
      </w:r>
      <w:r>
        <w:rPr>
          <w:rFonts w:ascii="宋体" w:hAnsi="宋体" w:cs="宋体" w:hint="eastAsia"/>
          <w:color w:val="000000"/>
          <w:kern w:val="0"/>
          <w:szCs w:val="21"/>
          <w:highlight w:val="none"/>
          <w:u w:val="single"/>
          <w:lang w:val="zh-CN" w:bidi="zh-CN"/>
        </w:rPr>
        <w:t>（标的名称）</w:t>
      </w:r>
      <w:r>
        <w:rPr>
          <w:rFonts w:ascii="宋体" w:hAnsi="宋体" w:cs="宋体" w:hint="eastAsia"/>
          <w:color w:val="000000"/>
          <w:kern w:val="0"/>
          <w:szCs w:val="21"/>
          <w:highlight w:val="none"/>
          <w:lang w:val="zh-CN" w:bidi="zh-CN"/>
        </w:rPr>
        <w:t>，属于</w:t>
      </w:r>
      <w:r>
        <w:rPr>
          <w:rFonts w:ascii="宋体" w:hAnsi="宋体" w:cs="宋体" w:hint="eastAsia"/>
          <w:color w:val="000000"/>
          <w:kern w:val="0"/>
          <w:szCs w:val="21"/>
          <w:highlight w:val="none"/>
          <w:u w:val="single"/>
          <w:lang w:val="zh-CN" w:bidi="zh-CN"/>
        </w:rPr>
        <w:t>（采购文件中明确的所属行业）</w:t>
      </w:r>
      <w:r>
        <w:rPr>
          <w:rFonts w:ascii="宋体" w:hAnsi="宋体" w:cs="宋体" w:hint="eastAsia"/>
          <w:color w:val="000000"/>
          <w:kern w:val="0"/>
          <w:szCs w:val="21"/>
          <w:highlight w:val="none"/>
          <w:lang w:val="zh-CN" w:bidi="zh-CN"/>
        </w:rPr>
        <w:t>；承建（承接）企业为</w:t>
      </w:r>
      <w:r>
        <w:rPr>
          <w:rFonts w:ascii="宋体" w:hAnsi="宋体" w:cs="宋体" w:hint="eastAsia"/>
          <w:color w:val="000000"/>
          <w:kern w:val="0"/>
          <w:szCs w:val="21"/>
          <w:highlight w:val="none"/>
          <w:u w:val="single"/>
          <w:lang w:val="zh-CN" w:bidi="zh-CN"/>
        </w:rPr>
        <w:t>（企业名称）</w:t>
      </w:r>
      <w:r>
        <w:rPr>
          <w:rFonts w:ascii="宋体" w:hAnsi="宋体" w:cs="宋体" w:hint="eastAsia"/>
          <w:color w:val="000000"/>
          <w:kern w:val="0"/>
          <w:szCs w:val="21"/>
          <w:highlight w:val="none"/>
          <w:lang w:val="zh-CN" w:bidi="zh-CN"/>
        </w:rPr>
        <w:t>，从业人员</w:t>
      </w:r>
      <w:r>
        <w:rPr>
          <w:rFonts w:ascii="宋体" w:hAnsi="宋体" w:cs="宋体" w:hint="eastAsia"/>
          <w:color w:val="000000"/>
          <w:kern w:val="0"/>
          <w:szCs w:val="21"/>
          <w:highlight w:val="none"/>
          <w:lang w:val="zh-CN" w:bidi="zh-CN"/>
        </w:rPr>
        <w:tab/>
      </w:r>
      <w:r>
        <w:rPr>
          <w:rFonts w:ascii="宋体" w:hAnsi="宋体" w:cs="宋体" w:hint="eastAsia"/>
          <w:color w:val="000000"/>
          <w:kern w:val="0"/>
          <w:szCs w:val="21"/>
          <w:highlight w:val="none"/>
          <w:lang w:val="zh-CN" w:bidi="zh-CN"/>
        </w:rPr>
        <w:t>人，营业收入为</w:t>
      </w:r>
      <w:r>
        <w:rPr>
          <w:rFonts w:ascii="宋体" w:hAnsi="宋体" w:cs="宋体" w:hint="eastAsia"/>
          <w:color w:val="000000"/>
          <w:kern w:val="0"/>
          <w:szCs w:val="21"/>
          <w:highlight w:val="none"/>
          <w:u w:val="single"/>
          <w:lang w:val="zh-CN" w:bidi="zh-CN"/>
        </w:rPr>
        <w:t xml:space="preserve">     </w:t>
      </w:r>
      <w:r>
        <w:rPr>
          <w:rFonts w:ascii="宋体" w:hAnsi="宋体" w:cs="宋体" w:hint="eastAsia"/>
          <w:color w:val="000000"/>
          <w:kern w:val="0"/>
          <w:szCs w:val="21"/>
          <w:highlight w:val="none"/>
          <w:lang w:val="zh-CN" w:bidi="zh-CN"/>
        </w:rPr>
        <w:t>万元，资产总额为</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u w:val="single"/>
          <w:lang w:val="zh-CN" w:bidi="zh-CN"/>
        </w:rPr>
        <w:t>万</w:t>
      </w:r>
      <w:r>
        <w:rPr>
          <w:rFonts w:ascii="宋体" w:hAnsi="宋体" w:cs="宋体" w:hint="eastAsia"/>
          <w:color w:val="000000"/>
          <w:kern w:val="0"/>
          <w:szCs w:val="21"/>
          <w:highlight w:val="none"/>
          <w:lang w:val="zh-CN" w:bidi="zh-CN"/>
        </w:rPr>
        <w:t>元，属于</w:t>
      </w:r>
      <w:r>
        <w:rPr>
          <w:rFonts w:ascii="宋体" w:hAnsi="宋体" w:cs="宋体" w:hint="eastAsia"/>
          <w:color w:val="000000"/>
          <w:kern w:val="0"/>
          <w:szCs w:val="21"/>
          <w:highlight w:val="none"/>
          <w:u w:val="single"/>
          <w:lang w:val="zh-CN" w:bidi="zh-CN"/>
        </w:rPr>
        <w:t>（中型企业、小型企业、微型企业）</w:t>
      </w:r>
    </w:p>
    <w:p>
      <w:pPr>
        <w:autoSpaceDE w:val="0"/>
        <w:autoSpaceDN w:val="0"/>
        <w:spacing w:before="30" w:line="336" w:lineRule="auto"/>
        <w:ind w:left="221" w:firstLine="420" w:firstLineChars="200"/>
        <w:jc w:val="left"/>
        <w:rPr>
          <w:rFonts w:ascii="宋体" w:hAnsi="宋体" w:cs="宋体"/>
          <w:color w:val="000000"/>
          <w:kern w:val="0"/>
          <w:szCs w:val="21"/>
          <w:highlight w:val="none"/>
          <w:u w:val="single"/>
          <w:lang w:val="zh-CN" w:bidi="zh-CN"/>
        </w:rPr>
      </w:pPr>
      <w:r>
        <w:rPr>
          <w:rFonts w:ascii="宋体" w:hAnsi="宋体" w:cs="宋体" w:hint="eastAsia"/>
          <w:color w:val="000000"/>
          <w:kern w:val="0"/>
          <w:szCs w:val="21"/>
          <w:highlight w:val="none"/>
          <w:lang w:val="zh-CN" w:bidi="zh-CN"/>
        </w:rPr>
        <w:t>2.</w:t>
      </w:r>
      <w:r>
        <w:rPr>
          <w:rFonts w:ascii="宋体" w:hAnsi="宋体" w:cs="宋体" w:hint="eastAsia"/>
          <w:color w:val="000000"/>
          <w:kern w:val="0"/>
          <w:szCs w:val="21"/>
          <w:highlight w:val="none"/>
          <w:u w:val="single"/>
          <w:lang w:val="zh-CN" w:bidi="zh-CN"/>
        </w:rPr>
        <w:t>（标的名称）</w:t>
      </w:r>
      <w:r>
        <w:rPr>
          <w:rFonts w:ascii="宋体" w:hAnsi="宋体" w:cs="宋体" w:hint="eastAsia"/>
          <w:color w:val="000000"/>
          <w:kern w:val="0"/>
          <w:szCs w:val="21"/>
          <w:highlight w:val="none"/>
          <w:lang w:val="zh-CN" w:bidi="zh-CN"/>
        </w:rPr>
        <w:t>，属于</w:t>
      </w:r>
      <w:r>
        <w:rPr>
          <w:rFonts w:ascii="宋体" w:hAnsi="宋体" w:cs="宋体" w:hint="eastAsia"/>
          <w:color w:val="000000"/>
          <w:kern w:val="0"/>
          <w:szCs w:val="21"/>
          <w:highlight w:val="none"/>
          <w:u w:val="single"/>
          <w:lang w:val="zh-CN" w:bidi="zh-CN"/>
        </w:rPr>
        <w:t>（采购文件中明确的所属行业）</w:t>
      </w:r>
      <w:r>
        <w:rPr>
          <w:rFonts w:ascii="宋体" w:hAnsi="宋体" w:cs="宋体" w:hint="eastAsia"/>
          <w:color w:val="000000"/>
          <w:kern w:val="0"/>
          <w:szCs w:val="21"/>
          <w:highlight w:val="none"/>
          <w:lang w:val="zh-CN" w:bidi="zh-CN"/>
        </w:rPr>
        <w:t xml:space="preserve"> ；承建（承接）企业为</w:t>
      </w:r>
      <w:r>
        <w:rPr>
          <w:rFonts w:ascii="宋体" w:hAnsi="宋体" w:cs="宋体" w:hint="eastAsia"/>
          <w:color w:val="000000"/>
          <w:kern w:val="0"/>
          <w:szCs w:val="21"/>
          <w:highlight w:val="none"/>
          <w:u w:val="single"/>
          <w:lang w:val="zh-CN" w:bidi="zh-CN"/>
        </w:rPr>
        <w:t>（企业名称）</w:t>
      </w:r>
      <w:r>
        <w:rPr>
          <w:rFonts w:ascii="宋体" w:hAnsi="宋体" w:cs="宋体" w:hint="eastAsia"/>
          <w:color w:val="000000"/>
          <w:kern w:val="0"/>
          <w:szCs w:val="21"/>
          <w:highlight w:val="none"/>
          <w:lang w:val="zh-CN" w:bidi="zh-CN"/>
        </w:rPr>
        <w:t>，从业人员</w:t>
      </w:r>
      <w:r>
        <w:rPr>
          <w:rFonts w:ascii="宋体" w:hAnsi="宋体" w:cs="宋体" w:hint="eastAsia"/>
          <w:color w:val="000000"/>
          <w:kern w:val="0"/>
          <w:szCs w:val="21"/>
          <w:highlight w:val="none"/>
          <w:lang w:val="zh-CN" w:bidi="zh-CN"/>
        </w:rPr>
        <w:tab/>
      </w:r>
      <w:r>
        <w:rPr>
          <w:rFonts w:ascii="宋体" w:hAnsi="宋体" w:cs="宋体" w:hint="eastAsia"/>
          <w:color w:val="000000"/>
          <w:kern w:val="0"/>
          <w:szCs w:val="21"/>
          <w:highlight w:val="none"/>
          <w:lang w:val="zh-CN" w:bidi="zh-CN"/>
        </w:rPr>
        <w:t>人，营业收入为</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u w:val="single"/>
          <w:lang w:val="zh-CN" w:bidi="zh-CN"/>
        </w:rPr>
        <w:t xml:space="preserve">  </w:t>
      </w:r>
      <w:r>
        <w:rPr>
          <w:rFonts w:ascii="宋体" w:hAnsi="宋体" w:cs="宋体" w:hint="eastAsia"/>
          <w:color w:val="000000"/>
          <w:kern w:val="0"/>
          <w:szCs w:val="21"/>
          <w:highlight w:val="none"/>
          <w:lang w:val="zh-CN" w:bidi="zh-CN"/>
        </w:rPr>
        <w:t>万元，资产总额为</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u w:val="single"/>
          <w:lang w:val="zh-CN" w:bidi="zh-CN"/>
        </w:rPr>
        <w:t xml:space="preserve">  </w:t>
      </w:r>
      <w:r>
        <w:rPr>
          <w:rFonts w:ascii="宋体" w:hAnsi="宋体" w:cs="宋体" w:hint="eastAsia"/>
          <w:color w:val="000000"/>
          <w:kern w:val="0"/>
          <w:szCs w:val="21"/>
          <w:highlight w:val="none"/>
          <w:lang w:val="zh-CN" w:bidi="zh-CN"/>
        </w:rPr>
        <w:t>万元，属于</w:t>
      </w:r>
      <w:r>
        <w:rPr>
          <w:rFonts w:ascii="宋体" w:hAnsi="宋体" w:cs="宋体" w:hint="eastAsia"/>
          <w:color w:val="000000"/>
          <w:kern w:val="0"/>
          <w:szCs w:val="21"/>
          <w:highlight w:val="none"/>
          <w:u w:val="single"/>
          <w:lang w:val="zh-CN" w:bidi="zh-CN"/>
        </w:rPr>
        <w:t>（中型企业、小型企业、微型企业）</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以上企业，不属于大企业的分支机构，不存在控股股东为大企业的情形，也不存在与大企业的负责人为同一人的情形。</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本企业对上述声明内容的真实性负责。如有虚假，将依法承担相应责任。</w:t>
      </w:r>
    </w:p>
    <w:p>
      <w:pPr>
        <w:autoSpaceDE w:val="0"/>
        <w:autoSpaceDN w:val="0"/>
        <w:spacing w:before="35"/>
        <w:ind w:right="90" w:firstLine="6510" w:firstLineChars="3100"/>
        <w:jc w:val="left"/>
        <w:rPr>
          <w:rFonts w:ascii="宋体" w:hAnsi="宋体" w:cs="宋体"/>
          <w:b/>
          <w:bCs/>
          <w:color w:val="000000"/>
          <w:spacing w:val="-3"/>
          <w:kern w:val="0"/>
          <w:szCs w:val="21"/>
          <w:highlight w:val="none"/>
          <w:lang w:val="zh-CN" w:bidi="zh-CN"/>
        </w:rPr>
      </w:pPr>
      <w:r>
        <w:rPr>
          <w:rFonts w:ascii="宋体" w:hAnsi="宋体" w:cs="宋体" w:hint="eastAsia"/>
          <w:b/>
          <w:bCs/>
          <w:color w:val="000000"/>
          <w:spacing w:val="-3"/>
          <w:kern w:val="0"/>
          <w:szCs w:val="21"/>
          <w:highlight w:val="none"/>
          <w:lang w:val="zh-CN" w:bidi="zh-CN"/>
        </w:rPr>
        <w:t>企业名称（盖章）：</w:t>
      </w:r>
    </w:p>
    <w:p>
      <w:pPr>
        <w:autoSpaceDE w:val="0"/>
        <w:autoSpaceDN w:val="0"/>
        <w:spacing w:before="35"/>
        <w:ind w:right="90" w:firstLine="6510" w:firstLineChars="3100"/>
        <w:jc w:val="left"/>
        <w:rPr>
          <w:rFonts w:ascii="宋体" w:hAnsi="宋体" w:cs="宋体"/>
          <w:b/>
          <w:bCs/>
          <w:color w:val="000000"/>
          <w:spacing w:val="-3"/>
          <w:kern w:val="0"/>
          <w:szCs w:val="21"/>
          <w:highlight w:val="none"/>
          <w:lang w:val="zh-CN" w:bidi="zh-CN"/>
        </w:rPr>
      </w:pPr>
      <w:r>
        <w:rPr>
          <w:rFonts w:ascii="宋体" w:hAnsi="宋体" w:cs="宋体" w:hint="eastAsia"/>
          <w:b/>
          <w:bCs/>
          <w:color w:val="000000"/>
          <w:spacing w:val="-3"/>
          <w:kern w:val="0"/>
          <w:szCs w:val="21"/>
          <w:highlight w:val="none"/>
          <w:lang w:val="zh-CN" w:bidi="zh-CN"/>
        </w:rPr>
        <w:t>日期：</w:t>
      </w:r>
    </w:p>
    <w:p>
      <w:pPr>
        <w:autoSpaceDE w:val="0"/>
        <w:autoSpaceDN w:val="0"/>
        <w:spacing w:before="35"/>
        <w:ind w:right="90" w:firstLine="6510" w:firstLineChars="3100"/>
        <w:jc w:val="left"/>
        <w:rPr>
          <w:rFonts w:ascii="宋体" w:hAnsi="宋体" w:cs="宋体"/>
          <w:b/>
          <w:bCs/>
          <w:color w:val="000000"/>
          <w:spacing w:val="-3"/>
          <w:kern w:val="0"/>
          <w:szCs w:val="21"/>
          <w:highlight w:val="none"/>
          <w:lang w:val="zh-CN" w:bidi="zh-CN"/>
        </w:rPr>
        <w:sectPr>
          <w:footerReference w:type="default" r:id="rId17"/>
          <w:pgSz w:w="11910" w:h="16840"/>
          <w:pgMar w:top="1440" w:right="1080" w:bottom="1440" w:left="1080" w:header="794" w:footer="1595" w:gutter="0"/>
          <w:cols w:space="720"/>
        </w:sectPr>
      </w:pPr>
    </w:p>
    <w:p>
      <w:pPr>
        <w:autoSpaceDE w:val="0"/>
        <w:autoSpaceDN w:val="0"/>
        <w:spacing w:before="30"/>
        <w:ind w:left="220"/>
        <w:jc w:val="left"/>
        <w:rPr>
          <w:rFonts w:ascii="宋体" w:hAnsi="宋体" w:cs="宋体"/>
          <w:b/>
          <w:color w:val="000000"/>
          <w:kern w:val="0"/>
          <w:sz w:val="24"/>
          <w:highlight w:val="none"/>
          <w:lang w:val="zh-CN" w:bidi="zh-CN"/>
        </w:rPr>
      </w:pPr>
      <w:r>
        <w:rPr>
          <w:rFonts w:ascii="宋体" w:hAnsi="宋体" w:cs="宋体" w:hint="eastAsia"/>
          <w:b/>
          <w:color w:val="000000"/>
          <w:kern w:val="0"/>
          <w:sz w:val="24"/>
          <w:highlight w:val="none"/>
          <w:lang w:val="zh-CN" w:bidi="zh-CN"/>
        </w:rPr>
        <w:t>附 2</w:t>
      </w:r>
    </w:p>
    <w:p>
      <w:pPr>
        <w:spacing w:before="195" w:after="100" w:afterAutospacing="1"/>
        <w:ind w:left="2567" w:right="84" w:hanging="2851"/>
        <w:jc w:val="center"/>
        <w:rPr>
          <w:rFonts w:ascii="宋体" w:hAnsi="宋体" w:cs="宋体"/>
          <w:b/>
          <w:color w:val="000000"/>
          <w:sz w:val="24"/>
          <w:highlight w:val="none"/>
        </w:rPr>
      </w:pPr>
      <w:r>
        <w:rPr>
          <w:rFonts w:ascii="宋体" w:hAnsi="宋体" w:cs="宋体" w:hint="eastAsia"/>
          <w:i/>
          <w:iCs/>
          <w:color w:val="000000"/>
          <w:spacing w:val="-3"/>
          <w:sz w:val="24"/>
          <w:highlight w:val="none"/>
          <w:u w:val="single" w:color="000000"/>
        </w:rPr>
        <w:t>（单位名称）</w:t>
      </w:r>
      <w:r>
        <w:rPr>
          <w:rFonts w:ascii="宋体" w:hAnsi="宋体" w:cs="宋体" w:hint="eastAsia"/>
          <w:color w:val="000000"/>
          <w:spacing w:val="-29"/>
          <w:sz w:val="24"/>
          <w:highlight w:val="none"/>
        </w:rPr>
        <w:t>××</w:t>
      </w:r>
      <w:r>
        <w:rPr>
          <w:rFonts w:ascii="宋体" w:hAnsi="宋体" w:cs="宋体" w:hint="eastAsia"/>
          <w:b/>
          <w:color w:val="000000"/>
          <w:sz w:val="24"/>
          <w:highlight w:val="none"/>
        </w:rPr>
        <w:t>年面向中小企业预留项目执行情况公告</w:t>
      </w:r>
    </w:p>
    <w:p>
      <w:pPr>
        <w:tabs>
          <w:tab w:val="left" w:pos="9214"/>
        </w:tabs>
        <w:autoSpaceDE w:val="0"/>
        <w:autoSpaceDN w:val="0"/>
        <w:spacing w:line="360" w:lineRule="auto"/>
        <w:ind w:left="-2" w:right="522" w:firstLine="319" w:leftChars="-1" w:firstLineChars="152"/>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根据《政府采购促进中小企业发展管理办法》（财库﹝2020﹞46 号）要求，现对本部门（单位）××年面向中小企业预留项目执行情况公告如下：</w:t>
      </w:r>
    </w:p>
    <w:p>
      <w:pPr>
        <w:tabs>
          <w:tab w:val="left" w:pos="9214"/>
        </w:tabs>
        <w:autoSpaceDE w:val="0"/>
        <w:autoSpaceDN w:val="0"/>
        <w:spacing w:line="360" w:lineRule="auto"/>
        <w:ind w:left="-2" w:right="522" w:firstLine="319" w:leftChars="-1" w:firstLineChars="152"/>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本部门（单位）××年预留项目面向中小企业采购共计××万元，其中，面向小微企业采购××万元，占××%。</w:t>
      </w:r>
    </w:p>
    <w:p>
      <w:pPr>
        <w:autoSpaceDE w:val="0"/>
        <w:autoSpaceDN w:val="0"/>
        <w:spacing w:before="149" w:after="22"/>
        <w:ind w:left="1482" w:right="1682"/>
        <w:jc w:val="center"/>
        <w:rPr>
          <w:rFonts w:ascii="宋体" w:hAnsi="宋体" w:cs="宋体"/>
          <w:color w:val="000000"/>
          <w:kern w:val="0"/>
          <w:sz w:val="28"/>
          <w:szCs w:val="28"/>
          <w:highlight w:val="none"/>
          <w:lang w:val="zh-CN" w:bidi="zh-CN"/>
        </w:rPr>
      </w:pPr>
      <w:r>
        <w:rPr>
          <w:rFonts w:ascii="宋体" w:hAnsi="宋体" w:cs="宋体" w:hint="eastAsia"/>
          <w:color w:val="000000"/>
          <w:kern w:val="0"/>
          <w:sz w:val="28"/>
          <w:szCs w:val="28"/>
          <w:highlight w:val="none"/>
          <w:lang w:val="zh-CN" w:bidi="zh-CN"/>
        </w:rPr>
        <w:t>面向中小企业预留项目明细</w:t>
      </w:r>
    </w:p>
    <w:tbl>
      <w:tblPr>
        <w:tblStyle w:val="TableNormal"/>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00"/>
      </w:tblPr>
      <w:tblGrid>
        <w:gridCol w:w="852"/>
        <w:gridCol w:w="1826"/>
        <w:gridCol w:w="1966"/>
        <w:gridCol w:w="1567"/>
        <w:gridCol w:w="2424"/>
      </w:tblGrid>
      <w:tr>
        <w:tblPrEx>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00"/>
        </w:tblPrEx>
        <w:trPr>
          <w:trHeight w:val="545"/>
          <w:jc w:val="center"/>
        </w:trPr>
        <w:tc>
          <w:tcPr>
            <w:tcW w:w="852" w:type="dxa"/>
            <w:vAlign w:val="center"/>
          </w:tcPr>
          <w:p>
            <w:pPr>
              <w:autoSpaceDE w:val="0"/>
              <w:autoSpaceDN w:val="0"/>
              <w:spacing w:line="300" w:lineRule="exact"/>
              <w:ind w:left="86" w:right="78"/>
              <w:jc w:val="center"/>
              <w:rPr>
                <w:rFonts w:ascii="宋体" w:hAnsi="宋体" w:cs="宋体"/>
                <w:b/>
                <w:color w:val="000000"/>
                <w:kern w:val="0"/>
                <w:szCs w:val="21"/>
                <w:highlight w:val="none"/>
                <w:lang w:val="zh-CN" w:bidi="zh-CN"/>
              </w:rPr>
            </w:pPr>
            <w:r>
              <w:rPr>
                <w:rFonts w:ascii="宋体" w:hAnsi="宋体" w:cs="宋体" w:hint="eastAsia"/>
                <w:b/>
                <w:color w:val="000000"/>
                <w:kern w:val="0"/>
                <w:szCs w:val="21"/>
                <w:highlight w:val="none"/>
                <w:lang w:val="zh-CN" w:bidi="zh-CN"/>
              </w:rPr>
              <w:t>序号</w:t>
            </w:r>
          </w:p>
        </w:tc>
        <w:tc>
          <w:tcPr>
            <w:tcW w:w="1826" w:type="dxa"/>
            <w:vAlign w:val="center"/>
          </w:tcPr>
          <w:p>
            <w:pPr>
              <w:autoSpaceDE w:val="0"/>
              <w:autoSpaceDN w:val="0"/>
              <w:spacing w:line="300" w:lineRule="exact"/>
              <w:ind w:left="355"/>
              <w:jc w:val="center"/>
              <w:rPr>
                <w:rFonts w:ascii="宋体" w:hAnsi="宋体" w:cs="宋体"/>
                <w:b/>
                <w:color w:val="000000"/>
                <w:kern w:val="0"/>
                <w:szCs w:val="21"/>
                <w:highlight w:val="none"/>
                <w:lang w:val="zh-CN" w:bidi="zh-CN"/>
              </w:rPr>
            </w:pPr>
            <w:r>
              <w:rPr>
                <w:rFonts w:ascii="宋体" w:hAnsi="宋体" w:cs="宋体" w:hint="eastAsia"/>
                <w:b/>
                <w:color w:val="000000"/>
                <w:kern w:val="0"/>
                <w:szCs w:val="21"/>
                <w:highlight w:val="none"/>
                <w:lang w:val="zh-CN" w:bidi="zh-CN"/>
              </w:rPr>
              <w:t>项目名称</w:t>
            </w:r>
          </w:p>
        </w:tc>
        <w:tc>
          <w:tcPr>
            <w:tcW w:w="1966" w:type="dxa"/>
            <w:vAlign w:val="center"/>
          </w:tcPr>
          <w:p>
            <w:pPr>
              <w:autoSpaceDE w:val="0"/>
              <w:autoSpaceDN w:val="0"/>
              <w:spacing w:line="300" w:lineRule="exact"/>
              <w:ind w:left="424"/>
              <w:jc w:val="center"/>
              <w:rPr>
                <w:rFonts w:ascii="宋体" w:hAnsi="宋体" w:cs="宋体"/>
                <w:b/>
                <w:color w:val="000000"/>
                <w:kern w:val="0"/>
                <w:szCs w:val="21"/>
                <w:highlight w:val="none"/>
                <w:lang w:val="zh-CN" w:bidi="zh-CN"/>
              </w:rPr>
            </w:pPr>
            <w:r>
              <w:rPr>
                <w:rFonts w:ascii="宋体" w:hAnsi="宋体" w:cs="宋体" w:hint="eastAsia"/>
                <w:b/>
                <w:color w:val="000000"/>
                <w:kern w:val="0"/>
                <w:szCs w:val="21"/>
                <w:highlight w:val="none"/>
                <w:lang w:val="zh-CN" w:bidi="zh-CN"/>
              </w:rPr>
              <w:t>预留选项</w:t>
            </w:r>
          </w:p>
        </w:tc>
        <w:tc>
          <w:tcPr>
            <w:tcW w:w="1567" w:type="dxa"/>
            <w:vAlign w:val="center"/>
          </w:tcPr>
          <w:p>
            <w:pPr>
              <w:autoSpaceDE w:val="0"/>
              <w:autoSpaceDN w:val="0"/>
              <w:spacing w:before="1" w:line="300" w:lineRule="exact"/>
              <w:ind w:right="271"/>
              <w:jc w:val="center"/>
              <w:rPr>
                <w:rFonts w:ascii="宋体" w:hAnsi="宋体" w:cs="宋体"/>
                <w:b/>
                <w:color w:val="000000"/>
                <w:kern w:val="0"/>
                <w:szCs w:val="21"/>
                <w:highlight w:val="none"/>
                <w:lang w:val="zh-CN" w:bidi="zh-CN"/>
              </w:rPr>
            </w:pPr>
            <w:r>
              <w:rPr>
                <w:rFonts w:ascii="宋体" w:hAnsi="宋体" w:cs="宋体" w:hint="eastAsia"/>
                <w:b/>
                <w:color w:val="000000"/>
                <w:kern w:val="0"/>
                <w:szCs w:val="21"/>
                <w:highlight w:val="none"/>
                <w:lang w:val="zh-CN" w:bidi="zh-CN"/>
              </w:rPr>
              <w:t>面向中小企业采购金额</w:t>
            </w:r>
          </w:p>
        </w:tc>
        <w:tc>
          <w:tcPr>
            <w:tcW w:w="2424" w:type="dxa"/>
            <w:vAlign w:val="center"/>
          </w:tcPr>
          <w:p>
            <w:pPr>
              <w:autoSpaceDE w:val="0"/>
              <w:autoSpaceDN w:val="0"/>
              <w:spacing w:line="300" w:lineRule="exact"/>
              <w:ind w:left="192" w:right="185"/>
              <w:jc w:val="center"/>
              <w:rPr>
                <w:rFonts w:ascii="宋体" w:hAnsi="宋体" w:cs="宋体"/>
                <w:b/>
                <w:color w:val="000000"/>
                <w:kern w:val="0"/>
                <w:szCs w:val="21"/>
                <w:highlight w:val="none"/>
                <w:lang w:val="zh-CN" w:bidi="zh-CN"/>
              </w:rPr>
            </w:pPr>
            <w:r>
              <w:rPr>
                <w:rFonts w:ascii="宋体" w:hAnsi="宋体" w:cs="宋体" w:hint="eastAsia"/>
                <w:b/>
                <w:color w:val="000000"/>
                <w:kern w:val="0"/>
                <w:szCs w:val="21"/>
                <w:highlight w:val="none"/>
                <w:lang w:val="zh-CN" w:bidi="zh-CN"/>
              </w:rPr>
              <w:t>合同链接</w:t>
            </w:r>
          </w:p>
        </w:tc>
      </w:tr>
      <w:tr>
        <w:tblPrEx>
          <w:tblW w:w="0" w:type="auto"/>
          <w:jc w:val="center"/>
          <w:tblInd w:w="-5" w:type="dxa"/>
          <w:tblLayout w:type="fixed"/>
          <w:tblCellMar>
            <w:top w:w="0" w:type="dxa"/>
            <w:left w:w="0" w:type="dxa"/>
            <w:bottom w:w="0" w:type="dxa"/>
            <w:right w:w="0" w:type="dxa"/>
          </w:tblCellMar>
          <w:tblLook w:val="0000"/>
        </w:tblPrEx>
        <w:trPr>
          <w:trHeight w:val="474"/>
          <w:jc w:val="center"/>
        </w:trPr>
        <w:tc>
          <w:tcPr>
            <w:tcW w:w="852" w:type="dxa"/>
            <w:vMerge w:val="restart"/>
          </w:tcPr>
          <w:p>
            <w:pPr>
              <w:autoSpaceDE w:val="0"/>
              <w:autoSpaceDN w:val="0"/>
              <w:spacing w:line="300" w:lineRule="exact"/>
              <w:jc w:val="left"/>
              <w:rPr>
                <w:rFonts w:ascii="宋体" w:hAnsi="宋体" w:cs="宋体"/>
                <w:color w:val="000000"/>
                <w:kern w:val="0"/>
                <w:szCs w:val="21"/>
                <w:highlight w:val="none"/>
                <w:lang w:val="zh-CN" w:bidi="zh-CN"/>
              </w:rPr>
            </w:pPr>
          </w:p>
        </w:tc>
        <w:tc>
          <w:tcPr>
            <w:tcW w:w="1826" w:type="dxa"/>
            <w:tcBorders>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1966" w:type="dxa"/>
            <w:tcBorders>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（填写“采购项</w:t>
            </w:r>
          </w:p>
        </w:tc>
        <w:tc>
          <w:tcPr>
            <w:tcW w:w="1567" w:type="dxa"/>
            <w:tcBorders>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val="restart"/>
          </w:tcPr>
          <w:p>
            <w:pPr>
              <w:autoSpaceDE w:val="0"/>
              <w:autoSpaceDN w:val="0"/>
              <w:spacing w:before="8" w:line="300" w:lineRule="exact"/>
              <w:jc w:val="left"/>
              <w:rPr>
                <w:rFonts w:ascii="宋体" w:hAnsi="宋体" w:cs="宋体"/>
                <w:color w:val="000000"/>
                <w:kern w:val="0"/>
                <w:szCs w:val="21"/>
                <w:highlight w:val="none"/>
                <w:lang w:val="zh-CN" w:bidi="zh-CN"/>
              </w:rPr>
            </w:pPr>
          </w:p>
          <w:p>
            <w:pPr>
              <w:autoSpaceDE w:val="0"/>
              <w:autoSpaceDN w:val="0"/>
              <w:spacing w:line="300" w:lineRule="exact"/>
              <w:ind w:left="97"/>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u w:val="single"/>
                <w:lang w:val="zh-CN" w:bidi="zh-CN"/>
              </w:rPr>
              <w:t>（</w:t>
            </w:r>
            <w:r>
              <w:rPr>
                <w:rFonts w:ascii="宋体" w:hAnsi="宋体" w:cs="宋体" w:hint="eastAsia"/>
                <w:color w:val="000000"/>
                <w:kern w:val="0"/>
                <w:szCs w:val="21"/>
                <w:highlight w:val="none"/>
                <w:u w:val="single" w:color="000000"/>
                <w:lang w:val="zh-CN" w:bidi="zh-CN"/>
              </w:rPr>
              <w:t>填写合同  在中国政府  采购网公开的网址 ，合同 中应当包含有关联合体协议或者分包意向协议）</w:t>
            </w:r>
          </w:p>
        </w:tc>
      </w:tr>
      <w:tr>
        <w:tblPrEx>
          <w:tblW w:w="0" w:type="auto"/>
          <w:jc w:val="center"/>
          <w:tblInd w:w="-5" w:type="dxa"/>
          <w:tblLayout w:type="fixed"/>
          <w:tblCellMar>
            <w:top w:w="0" w:type="dxa"/>
            <w:left w:w="0" w:type="dxa"/>
            <w:bottom w:w="0" w:type="dxa"/>
            <w:right w:w="0" w:type="dxa"/>
          </w:tblCellMar>
          <w:tblLook w:val="0000"/>
        </w:tblPrEx>
        <w:trPr>
          <w:trHeight w:val="247"/>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目整体预留”、</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248"/>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“设置专门采购</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248"/>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u w:val="single" w:color="000000"/>
                <w:lang w:val="zh-CN" w:bidi="zh-CN"/>
              </w:rPr>
              <w:t>（填写集中采</w:t>
            </w: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包”、“要求以</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247"/>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u w:val="single" w:color="000000"/>
                <w:lang w:val="zh-CN" w:bidi="zh-CN"/>
              </w:rPr>
              <w:t>购目录以内或</w:t>
            </w: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联合体形式参</w:t>
            </w:r>
          </w:p>
        </w:tc>
        <w:tc>
          <w:tcPr>
            <w:tcW w:w="1567" w:type="dxa"/>
            <w:tcBorders>
              <w:top w:val="nil"/>
              <w:bottom w:val="nil"/>
            </w:tcBorders>
          </w:tcPr>
          <w:p>
            <w:pPr>
              <w:autoSpaceDE w:val="0"/>
              <w:autoSpaceDN w:val="0"/>
              <w:spacing w:line="300" w:lineRule="exact"/>
              <w:ind w:left="96"/>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u w:val="single" w:color="000000"/>
                <w:lang w:val="zh-CN" w:bidi="zh-CN"/>
              </w:rPr>
              <w:t>（精确到万元）</w:t>
            </w: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247"/>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u w:val="single" w:color="000000"/>
                <w:lang w:val="zh-CN" w:bidi="zh-CN"/>
              </w:rPr>
              <w:t>者采购限额标</w:t>
            </w: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加”或者“要求</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541"/>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u w:val="single" w:color="000000"/>
                <w:lang w:val="zh-CN" w:bidi="zh-CN"/>
              </w:rPr>
              <w:t>准以上的采购项目</w:t>
            </w: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合同分包”，除</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248"/>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lang w:val="zh-CN" w:bidi="zh-CN"/>
              </w:rPr>
            </w:pP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“采购项目全部</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248"/>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预留”外，还应</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247"/>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当填写预留给中</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389"/>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1966" w:type="dxa"/>
            <w:tcBorders>
              <w:top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小企业的比例）</w:t>
            </w:r>
          </w:p>
        </w:tc>
        <w:tc>
          <w:tcPr>
            <w:tcW w:w="1567" w:type="dxa"/>
            <w:tcBorders>
              <w:top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348"/>
          <w:jc w:val="center"/>
        </w:trPr>
        <w:tc>
          <w:tcPr>
            <w:tcW w:w="852" w:type="dxa"/>
          </w:tcPr>
          <w:p>
            <w:pPr>
              <w:autoSpaceDE w:val="0"/>
              <w:autoSpaceDN w:val="0"/>
              <w:spacing w:before="130" w:line="300" w:lineRule="exact"/>
              <w:ind w:left="86" w:right="79"/>
              <w:jc w:val="center"/>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w:t>
            </w:r>
          </w:p>
        </w:tc>
        <w:tc>
          <w:tcPr>
            <w:tcW w:w="1826" w:type="dxa"/>
          </w:tcPr>
          <w:p>
            <w:pPr>
              <w:autoSpaceDE w:val="0"/>
              <w:autoSpaceDN w:val="0"/>
              <w:spacing w:before="130" w:line="300" w:lineRule="exact"/>
              <w:ind w:left="595"/>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w:t>
            </w:r>
          </w:p>
        </w:tc>
        <w:tc>
          <w:tcPr>
            <w:tcW w:w="1966" w:type="dxa"/>
          </w:tcPr>
          <w:p>
            <w:pPr>
              <w:autoSpaceDE w:val="0"/>
              <w:autoSpaceDN w:val="0"/>
              <w:spacing w:before="130" w:line="300" w:lineRule="exact"/>
              <w:ind w:left="646" w:right="638"/>
              <w:jc w:val="center"/>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w:t>
            </w:r>
          </w:p>
        </w:tc>
        <w:tc>
          <w:tcPr>
            <w:tcW w:w="1567" w:type="dxa"/>
          </w:tcPr>
          <w:p>
            <w:pPr>
              <w:autoSpaceDE w:val="0"/>
              <w:autoSpaceDN w:val="0"/>
              <w:spacing w:before="130" w:line="300" w:lineRule="exact"/>
              <w:ind w:left="786" w:right="778"/>
              <w:jc w:val="center"/>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w:t>
            </w:r>
          </w:p>
        </w:tc>
        <w:tc>
          <w:tcPr>
            <w:tcW w:w="2424" w:type="dxa"/>
          </w:tcPr>
          <w:p>
            <w:pPr>
              <w:autoSpaceDE w:val="0"/>
              <w:autoSpaceDN w:val="0"/>
              <w:spacing w:before="130" w:line="300" w:lineRule="exact"/>
              <w:ind w:left="192" w:right="185"/>
              <w:jc w:val="center"/>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w:t>
            </w:r>
          </w:p>
        </w:tc>
      </w:tr>
    </w:tbl>
    <w:p>
      <w:pPr>
        <w:autoSpaceDE w:val="0"/>
        <w:autoSpaceDN w:val="0"/>
        <w:spacing w:before="128" w:line="328" w:lineRule="auto"/>
        <w:ind w:left="4220" w:right="1843"/>
        <w:jc w:val="left"/>
        <w:rPr>
          <w:rFonts w:ascii="宋体" w:hAnsi="宋体" w:cs="宋体"/>
          <w:b/>
          <w:color w:val="000000"/>
          <w:kern w:val="0"/>
          <w:szCs w:val="21"/>
          <w:highlight w:val="none"/>
          <w:lang w:val="zh-CN" w:bidi="zh-CN"/>
        </w:rPr>
      </w:pPr>
      <w:r>
        <w:rPr>
          <w:rFonts w:ascii="宋体" w:hAnsi="宋体" w:cs="宋体" w:hint="eastAsia"/>
          <w:b/>
          <w:color w:val="000000"/>
          <w:kern w:val="0"/>
          <w:szCs w:val="21"/>
          <w:highlight w:val="none"/>
          <w:lang w:val="zh-CN" w:bidi="zh-CN"/>
        </w:rPr>
        <w:t>部门（单位）名称： 日期：</w:t>
      </w:r>
    </w:p>
    <w:p>
      <w:pPr>
        <w:pStyle w:val="BodyTextIndent2"/>
        <w:spacing w:before="120" w:after="120"/>
        <w:rPr>
          <w:rFonts w:cs="宋体"/>
          <w:color w:val="000000"/>
          <w:highlight w:val="none"/>
          <w:lang w:val="zh-CN" w:bidi="zh-CN"/>
        </w:rPr>
      </w:pPr>
    </w:p>
    <w:p>
      <w:pPr>
        <w:autoSpaceDE w:val="0"/>
        <w:autoSpaceDN w:val="0"/>
        <w:adjustRightInd w:val="0"/>
        <w:ind w:firstLine="315" w:firstLineChars="150"/>
        <w:jc w:val="left"/>
        <w:rPr>
          <w:rFonts w:ascii="宋体" w:hAnsi="宋体" w:cs="宋体"/>
          <w:b/>
          <w:color w:val="000000"/>
          <w:kern w:val="0"/>
          <w:sz w:val="28"/>
          <w:szCs w:val="28"/>
          <w:highlight w:val="none"/>
        </w:rPr>
      </w:pPr>
      <w:r>
        <w:rPr>
          <w:rFonts w:ascii="宋体" w:hAnsi="宋体" w:cs="宋体" w:hint="eastAsia"/>
          <w:b/>
          <w:color w:val="000000"/>
          <w:kern w:val="0"/>
          <w:sz w:val="28"/>
          <w:szCs w:val="28"/>
          <w:highlight w:val="none"/>
        </w:rPr>
        <w:t>2, 工业信息化部、国家统计局、国家发展和改革委员会、财政部《关于印发〈中小企业划型标准规定〉的通知》（工信部联企〔2011〕300 号）</w:t>
      </w:r>
    </w:p>
    <w:p>
      <w:pPr>
        <w:ind w:left="662" w:leftChars="315"/>
        <w:jc w:val="center"/>
        <w:rPr>
          <w:rFonts w:ascii="宋体" w:hAnsi="宋体" w:cs="宋体"/>
          <w:b/>
          <w:color w:val="000000"/>
          <w:szCs w:val="21"/>
          <w:highlight w:val="none"/>
        </w:rPr>
      </w:pPr>
      <w:r>
        <w:rPr>
          <w:rFonts w:ascii="宋体" w:hAnsi="宋体" w:cs="宋体" w:hint="eastAsia"/>
          <w:b/>
          <w:color w:val="000000"/>
          <w:szCs w:val="21"/>
          <w:highlight w:val="none"/>
        </w:rPr>
        <w:t>关于印发中小企业划型标准规定的通</w:t>
      </w:r>
    </w:p>
    <w:p>
      <w:pPr>
        <w:ind w:firstLine="567" w:firstLineChars="270"/>
        <w:rPr>
          <w:rFonts w:ascii="宋体" w:hAnsi="宋体" w:cs="宋体"/>
          <w:color w:val="000000"/>
          <w:szCs w:val="21"/>
          <w:highlight w:val="none"/>
        </w:rPr>
      </w:pPr>
      <w:r>
        <w:rPr>
          <w:rFonts w:ascii="宋体" w:hAnsi="宋体" w:cs="宋体" w:hint="eastAsia"/>
          <w:color w:val="000000"/>
          <w:szCs w:val="21"/>
          <w:highlight w:val="none"/>
        </w:rPr>
        <w:t xml:space="preserve">工信部联企业〔2011〕300号各省、自治区、直辖市人民政府，国务院各部委、各直属机构及有关单位： </w:t>
      </w:r>
    </w:p>
    <w:p>
      <w:pPr>
        <w:ind w:firstLine="525" w:firstLineChars="250"/>
        <w:rPr>
          <w:rFonts w:ascii="宋体" w:hAnsi="宋体" w:cs="宋体"/>
          <w:color w:val="000000"/>
          <w:szCs w:val="21"/>
          <w:highlight w:val="none"/>
        </w:rPr>
      </w:pPr>
      <w:r>
        <w:rPr>
          <w:rFonts w:ascii="宋体" w:hAnsi="宋体" w:cs="宋体" w:hint="eastAsia"/>
          <w:color w:val="000000"/>
          <w:szCs w:val="21"/>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left="3221" w:hanging="2652" w:leftChars="271" w:hangingChars="1263"/>
        <w:jc w:val="right"/>
        <w:rPr>
          <w:rFonts w:ascii="宋体" w:hAnsi="宋体" w:cs="宋体"/>
          <w:color w:val="000000"/>
          <w:szCs w:val="21"/>
          <w:highlight w:val="none"/>
        </w:rPr>
      </w:pPr>
      <w:r>
        <w:rPr>
          <w:rFonts w:ascii="宋体" w:hAnsi="宋体" w:cs="宋体" w:hint="eastAsia"/>
          <w:color w:val="000000"/>
          <w:szCs w:val="21"/>
          <w:highlight w:val="none"/>
        </w:rPr>
        <w:t>工业和信息化部 国家统计局</w:t>
      </w:r>
    </w:p>
    <w:p>
      <w:pPr>
        <w:ind w:left="3221" w:hanging="2652" w:leftChars="271" w:hangingChars="1263"/>
        <w:jc w:val="right"/>
        <w:rPr>
          <w:rFonts w:ascii="宋体" w:hAnsi="宋体" w:cs="宋体"/>
          <w:color w:val="000000"/>
          <w:szCs w:val="21"/>
          <w:highlight w:val="none"/>
        </w:rPr>
      </w:pPr>
      <w:r>
        <w:rPr>
          <w:rFonts w:ascii="宋体" w:hAnsi="宋体" w:cs="宋体" w:hint="eastAsia"/>
          <w:color w:val="000000"/>
          <w:szCs w:val="21"/>
          <w:highlight w:val="none"/>
        </w:rPr>
        <w:t>国家发展和改革委员会 财政部</w:t>
      </w:r>
    </w:p>
    <w:p>
      <w:pPr>
        <w:ind w:left="420" w:firstLine="2205" w:leftChars="200" w:firstLineChars="1050"/>
        <w:jc w:val="right"/>
        <w:rPr>
          <w:rFonts w:ascii="宋体" w:hAnsi="宋体" w:cs="宋体"/>
          <w:color w:val="000000"/>
          <w:szCs w:val="21"/>
          <w:highlight w:val="none"/>
        </w:rPr>
      </w:pPr>
      <w:r>
        <w:rPr>
          <w:rFonts w:ascii="宋体" w:hAnsi="宋体" w:cs="宋体" w:hint="eastAsia"/>
          <w:color w:val="000000"/>
          <w:szCs w:val="21"/>
          <w:highlight w:val="none"/>
        </w:rPr>
        <w:t>二○一一年六月十八日</w:t>
      </w:r>
    </w:p>
    <w:p>
      <w:pPr>
        <w:ind w:firstLine="420" w:firstLineChars="200"/>
        <w:rPr>
          <w:rFonts w:ascii="宋体" w:hAnsi="宋体" w:cs="宋体"/>
          <w:color w:val="000000"/>
          <w:szCs w:val="21"/>
          <w:highlight w:val="none"/>
        </w:rPr>
      </w:pPr>
    </w:p>
    <w:p>
      <w:pPr>
        <w:jc w:val="center"/>
        <w:rPr>
          <w:rFonts w:ascii="宋体" w:hAnsi="宋体" w:cs="宋体"/>
          <w:b/>
          <w:color w:val="000000"/>
          <w:sz w:val="30"/>
          <w:szCs w:val="30"/>
          <w:highlight w:val="none"/>
        </w:rPr>
      </w:pPr>
      <w:r>
        <w:rPr>
          <w:rFonts w:ascii="宋体" w:hAnsi="宋体" w:cs="宋体" w:hint="eastAsia"/>
          <w:b/>
          <w:color w:val="000000"/>
          <w:sz w:val="30"/>
          <w:szCs w:val="30"/>
          <w:highlight w:val="none"/>
        </w:rPr>
        <w:br w:type="page"/>
      </w:r>
      <w:r>
        <w:rPr>
          <w:rFonts w:ascii="宋体" w:hAnsi="宋体" w:cs="宋体" w:hint="eastAsia"/>
          <w:b/>
          <w:color w:val="000000"/>
          <w:sz w:val="30"/>
          <w:szCs w:val="30"/>
          <w:highlight w:val="none"/>
        </w:rPr>
        <w:t>中小企业划型标准规定</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一、根据《中华人民共和国中小企业促进法》和《国务院关于进一步促进中小 企业发展的若干意见》(国发〔2009〕36号)，制定本规定。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二、中小企业划分为中型、小型、微型三种类型，具体标准根据企业从业人 员、营业收入、资产总额等指标，结合行业特点制定。 关于印发中小企业划型标准规定的通知</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 等）。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四、各行业划型标准为：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（一）农、林、牧、渔业。营业收入20000万元以下的为中小微型企业。其中， 营业收入500万元及以上的为中型企业，营业收入50万元及以上的为小型企业，营业 收入50万元以下的为微型企业。</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（二）工业。从业人员1000人以下或营业收入40000万元以下的为中小微型企 业。其中，从业人员300人及以上，且营业收入2000万元及以上的为中型企业；从业 人员20人及以上，且营业收入300万元及以上的为小型企业；从业人员20人以下或营 业收入300万元以下的为微型企业。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（四）批发业。从业人员200人以下或营业收入40000万元以下的为中小微型企 业。其中，从业人员20人及以上，且营业收入5000万元及以上的为中型企业；从业 人员5人及以上，且营业收入1000万元及以上的为小型企业；从业人员5人以下或营 业收入1000万元以下的为微型企业。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（五）零售业。从业人员300人以下或营业收入20000万元以下的为中小微型企 业。其中，从业人员50人及以上，且营业收入500万元及以上的为中型企业；从业人 员10人及以上，且营业收入100万元及以上的为小型企业；从业人员10人以下或营业 收入100万元以下的为微型企业。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（七）仓储业。从业人员200人以下或营业收入30000万元以下的为中小微型企 业。其中，从业人员100人及以上，且营业收入1000万元及以上的为中型企业；从业 人员20人及以上，且营业收入100万元及以上的为小型企业；从业人员20人以下或营 业收入100万元以下的为微型企业。</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（八）邮政业。从业人员1000人以下或营业收入30000万元以下的为中小微型企 业。其中，从业人员300人及以上，且营业收入2000万元及以上的为中型企业；从业 人员20人及以上，且营业收入100万元及以上的为小型企业；从业人员20人以下或营 业收入100万元以下的为微型企业。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（十二）软件和信息技术服务业。从业人员300人以下或营业收入10000万元以 下的为中小微型企业。其中，从业人员100人及以上，且营业收入1000万元及以上的 为中型企业；从业人员10人及以上，且营业收入50万元及以上的为小型企业；从业 人员10人以下或营业收入50万元以下的为微型企业。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（十三）房地产开发经营。营业收入200000万元以下或资产总额10000万元以下 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（十四）物业管理。从业人员1000人以下或营业收入5000万元以下的为中小微 型企业。其中，从业人员300人及以上，且营业收入1000万元及以上的为中型企业； 从业人员100人及以上，且营业收入500万元及以上的为小型企业；从业人员100人以 下或营业收入500万元以下的为微型企业。</w:t>
      </w:r>
    </w:p>
    <w:p>
      <w:pPr>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 （十六）其他未列明行业。从业人员300人以下的为中小微型企业。其中，从业 人员100人及以上的为中型企业；从业人员10人及以上的为小型企业；从业人员10人 以下的为微型企业。</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五、企业类型的划分以统计部门的统计数据为依据。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六、本规定适用于在中华人民共和国境内依法设立的各类所有制和各种组织形 式的企业。个体工商户和本规定以外的行业，参照本规定进行划型。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七、本规定的中型企业标准上限即为大型企业标准的下限，国家统计部门据此 制定大中小微型企业的统计分类。国务院有关部门据此进行相关数据分析，不得制 定与本规定不一致的企业划型标准。</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 八、本规定由工业和信息化部、国家统计局会同有关部门根据《国民经济行业 分类》修订情况和企业发展变化情况适时修订。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九、本规定由工业和信息化部、国家统计局会同有关部门负责解释。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十、本规定自发布之日起执行，原国家经贸委、原国家计委、财政部和国家统 计局2003年颁布的《中小企业标准暂行规定》同时废止。</w:t>
      </w:r>
    </w:p>
    <w:p>
      <w:pPr>
        <w:autoSpaceDE w:val="0"/>
        <w:autoSpaceDN w:val="0"/>
        <w:adjustRightInd w:val="0"/>
        <w:ind w:firstLine="315" w:firstLineChars="150"/>
        <w:jc w:val="left"/>
        <w:rPr>
          <w:rFonts w:ascii="宋体" w:hAnsi="宋体" w:cs="宋体"/>
          <w:color w:val="000000"/>
          <w:kern w:val="0"/>
          <w:sz w:val="28"/>
          <w:szCs w:val="28"/>
          <w:highlight w:val="none"/>
        </w:rPr>
      </w:pPr>
    </w:p>
    <w:p>
      <w:pPr>
        <w:autoSpaceDE w:val="0"/>
        <w:autoSpaceDN w:val="0"/>
        <w:adjustRightInd w:val="0"/>
        <w:ind w:firstLine="315" w:firstLineChars="150"/>
        <w:jc w:val="left"/>
        <w:rPr>
          <w:rFonts w:ascii="宋体" w:hAnsi="宋体" w:cs="宋体"/>
          <w:b/>
          <w:bCs/>
          <w:color w:val="000000"/>
          <w:kern w:val="0"/>
          <w:sz w:val="24"/>
          <w:highlight w:val="none"/>
        </w:rPr>
      </w:pPr>
      <w:r>
        <w:rPr>
          <w:rFonts w:ascii="宋体" w:hAnsi="宋体" w:cs="宋体" w:hint="eastAsia"/>
          <w:b/>
          <w:color w:val="000000"/>
          <w:kern w:val="0"/>
          <w:sz w:val="28"/>
          <w:szCs w:val="28"/>
          <w:highlight w:val="none"/>
        </w:rPr>
        <w:t>3, 国家统计局《关于印发〈统计上大中小微型企业划分办法（2017）〉的通知》</w:t>
      </w:r>
    </w:p>
    <w:p>
      <w:pPr>
        <w:widowControl/>
        <w:shd w:val="clear" w:color="auto" w:fill="FFFFFF"/>
        <w:jc w:val="center"/>
        <w:rPr>
          <w:rFonts w:ascii="宋体" w:hAnsi="宋体" w:cs="宋体"/>
          <w:b/>
          <w:color w:val="000000"/>
          <w:kern w:val="0"/>
          <w:szCs w:val="21"/>
          <w:highlight w:val="none"/>
        </w:rPr>
      </w:pPr>
      <w:r>
        <w:rPr>
          <w:rFonts w:ascii="宋体" w:hAnsi="宋体" w:cs="宋体" w:hint="eastAsia"/>
          <w:b/>
          <w:bCs/>
          <w:color w:val="000000"/>
          <w:kern w:val="0"/>
          <w:szCs w:val="21"/>
          <w:highlight w:val="none"/>
        </w:rPr>
        <w:t>国家统计局关于印发《统计上大中小微型企业划分办法（2017）》的通知</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各省、自治区、直辖市统计局，新疆生产建设兵团统计局，国务院各有关部门，国家统计局各调查总队：</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附件：《统计上大中小微型企业划分办法（2017）》修订说明</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w:t>
      </w:r>
    </w:p>
    <w:p>
      <w:pPr>
        <w:widowControl/>
        <w:shd w:val="clear" w:color="auto" w:fill="FFFFFF"/>
        <w:jc w:val="right"/>
        <w:rPr>
          <w:rFonts w:ascii="宋体" w:hAnsi="宋体" w:cs="宋体"/>
          <w:color w:val="000000"/>
          <w:kern w:val="0"/>
          <w:szCs w:val="21"/>
          <w:highlight w:val="none"/>
        </w:rPr>
      </w:pPr>
      <w:r>
        <w:rPr>
          <w:rFonts w:ascii="宋体" w:hAnsi="宋体" w:cs="宋体" w:hint="eastAsia"/>
          <w:color w:val="000000"/>
          <w:kern w:val="0"/>
          <w:szCs w:val="21"/>
          <w:highlight w:val="none"/>
        </w:rPr>
        <w:t>国家统计局  </w:t>
      </w:r>
    </w:p>
    <w:p>
      <w:pPr>
        <w:widowControl/>
        <w:shd w:val="clear" w:color="auto" w:fill="FFFFFF"/>
        <w:jc w:val="right"/>
        <w:rPr>
          <w:rFonts w:ascii="宋体" w:hAnsi="宋体" w:cs="宋体"/>
          <w:color w:val="000000"/>
          <w:kern w:val="0"/>
          <w:szCs w:val="21"/>
          <w:highlight w:val="none"/>
        </w:rPr>
      </w:pPr>
      <w:r>
        <w:rPr>
          <w:rFonts w:ascii="宋体" w:hAnsi="宋体" w:cs="宋体" w:hint="eastAsia"/>
          <w:color w:val="000000"/>
          <w:kern w:val="0"/>
          <w:szCs w:val="21"/>
          <w:highlight w:val="none"/>
        </w:rPr>
        <w:t>2017年12月28日</w:t>
      </w:r>
    </w:p>
    <w:p>
      <w:pPr>
        <w:widowControl/>
        <w:shd w:val="clear" w:color="auto" w:fill="FFFFFF"/>
        <w:jc w:val="left"/>
        <w:rPr>
          <w:rFonts w:ascii="宋体" w:hAnsi="宋体" w:cs="宋体"/>
          <w:color w:val="000000"/>
          <w:kern w:val="0"/>
          <w:sz w:val="11"/>
          <w:szCs w:val="11"/>
          <w:highlight w:val="none"/>
        </w:rPr>
      </w:pPr>
      <w:r>
        <w:rPr>
          <w:rFonts w:ascii="宋体" w:hAnsi="宋体" w:cs="宋体" w:hint="eastAsia"/>
          <w:color w:val="000000"/>
          <w:kern w:val="0"/>
          <w:sz w:val="24"/>
          <w:highlight w:val="none"/>
        </w:rPr>
        <w:t> </w:t>
      </w:r>
    </w:p>
    <w:p>
      <w:pPr>
        <w:widowControl/>
        <w:shd w:val="clear" w:color="auto" w:fill="FFFFFF"/>
        <w:jc w:val="center"/>
        <w:rPr>
          <w:rFonts w:ascii="宋体" w:hAnsi="宋体" w:cs="宋体"/>
          <w:color w:val="000000"/>
          <w:kern w:val="0"/>
          <w:sz w:val="11"/>
          <w:szCs w:val="11"/>
          <w:highlight w:val="none"/>
        </w:rPr>
      </w:pPr>
      <w:r>
        <w:rPr>
          <w:rFonts w:ascii="宋体" w:hAnsi="宋体" w:cs="宋体" w:hint="eastAsia"/>
          <w:b/>
          <w:bCs/>
          <w:color w:val="000000"/>
          <w:kern w:val="0"/>
          <w:sz w:val="24"/>
          <w:highlight w:val="none"/>
        </w:rPr>
        <w:t>统计上大中小微型企业划分办法（2017）</w:t>
      </w:r>
    </w:p>
    <w:p>
      <w:pPr>
        <w:widowControl/>
        <w:shd w:val="clear" w:color="auto" w:fill="FFFFFF"/>
        <w:jc w:val="left"/>
        <w:rPr>
          <w:rFonts w:ascii="宋体" w:hAnsi="宋体" w:cs="宋体"/>
          <w:color w:val="000000"/>
          <w:kern w:val="0"/>
          <w:sz w:val="11"/>
          <w:szCs w:val="11"/>
          <w:highlight w:val="none"/>
        </w:rPr>
      </w:pPr>
      <w:r>
        <w:rPr>
          <w:rFonts w:ascii="宋体" w:hAnsi="宋体" w:cs="宋体" w:hint="eastAsia"/>
          <w:color w:val="000000"/>
          <w:kern w:val="0"/>
          <w:sz w:val="24"/>
          <w:highlight w:val="none"/>
        </w:rPr>
        <w:t> </w:t>
      </w:r>
    </w:p>
    <w:p>
      <w:pPr>
        <w:widowControl/>
        <w:shd w:val="clear" w:color="auto" w:fill="FFFFFF"/>
        <w:jc w:val="left"/>
        <w:rPr>
          <w:rFonts w:ascii="宋体" w:hAnsi="宋体" w:cs="宋体"/>
          <w:color w:val="000000"/>
          <w:kern w:val="0"/>
          <w:szCs w:val="21"/>
          <w:highlight w:val="none"/>
        </w:rPr>
      </w:pPr>
      <w:r>
        <w:rPr>
          <w:rFonts w:ascii="宋体" w:hAnsi="宋体" w:cs="宋体" w:hint="eastAsia"/>
          <w:b/>
          <w:bCs/>
          <w:color w:val="000000"/>
          <w:kern w:val="0"/>
          <w:szCs w:val="21"/>
          <w:highlight w:val="none"/>
        </w:rPr>
        <w:t>　　</w:t>
      </w:r>
      <w:r>
        <w:rPr>
          <w:rFonts w:ascii="宋体" w:hAnsi="宋体" w:cs="宋体" w:hint="eastAsia"/>
          <w:color w:val="000000"/>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二、本办法适用对象为在中华人民共和国境内依法设立的各种组织形式的法人企业或单位。个体工商户参照本办法进行划分。</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五、企业划分由政府综合统计部门根据统计年报每年确定一次，定报统计原则上不进行调整。</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六、本办法自印发之日起执行，国家统计局2011年印发的《统计上大中小微型企业划分办法》（国统字〔2011〕75号）同时废止。</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附表：统计上大中小微型企业划分标准</w:t>
      </w:r>
    </w:p>
    <w:p>
      <w:pPr>
        <w:widowControl/>
        <w:spacing w:line="600" w:lineRule="atLeast"/>
        <w:jc w:val="left"/>
        <w:rPr>
          <w:rFonts w:ascii="宋体" w:hAnsi="宋体" w:cs="宋体"/>
          <w:color w:val="000000"/>
          <w:kern w:val="0"/>
          <w:sz w:val="24"/>
          <w:highlight w:val="none"/>
        </w:rPr>
      </w:pPr>
      <w:r>
        <w:rPr>
          <w:rFonts w:ascii="宋体" w:hAnsi="宋体" w:cs="宋体" w:hint="eastAsia"/>
          <w:color w:val="000000"/>
          <w:kern w:val="0"/>
          <w:sz w:val="24"/>
          <w:highlight w:val="none"/>
        </w:rPr>
        <w:t>附表</w:t>
      </w:r>
    </w:p>
    <w:p>
      <w:pPr>
        <w:widowControl/>
        <w:jc w:val="center"/>
        <w:rPr>
          <w:rFonts w:ascii="宋体" w:hAnsi="宋体" w:cs="宋体"/>
          <w:color w:val="000000"/>
          <w:kern w:val="0"/>
          <w:sz w:val="24"/>
          <w:highlight w:val="none"/>
        </w:rPr>
      </w:pPr>
      <w:r>
        <w:rPr>
          <w:rFonts w:ascii="宋体" w:hAnsi="宋体" w:cs="宋体" w:hint="eastAsia"/>
          <w:color w:val="000000"/>
          <w:kern w:val="0"/>
          <w:sz w:val="24"/>
          <w:highlight w:val="none"/>
        </w:rPr>
        <w:t>统计上大中小微型企业划分标准</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1322"/>
        <w:gridCol w:w="1469"/>
        <w:gridCol w:w="893"/>
        <w:gridCol w:w="1147"/>
        <w:gridCol w:w="1549"/>
        <w:gridCol w:w="1467"/>
        <w:gridCol w:w="1007"/>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Ex>
        <w:trPr>
          <w:trHeight w:val="620"/>
          <w:jc w:val="center"/>
        </w:trPr>
        <w:tc>
          <w:tcPr>
            <w:tcW w:w="1322"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b/>
                <w:bCs/>
                <w:color w:val="000000"/>
                <w:kern w:val="0"/>
                <w:sz w:val="18"/>
                <w:szCs w:val="22"/>
                <w:highlight w:val="none"/>
              </w:rPr>
              <w:t>行业名称</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b/>
                <w:bCs/>
                <w:color w:val="000000"/>
                <w:kern w:val="0"/>
                <w:sz w:val="18"/>
                <w:szCs w:val="22"/>
                <w:highlight w:val="none"/>
              </w:rPr>
              <w:t>指标名称</w:t>
            </w:r>
          </w:p>
        </w:tc>
        <w:tc>
          <w:tcPr>
            <w:tcW w:w="893" w:type="dxa"/>
            <w:vAlign w:val="center"/>
          </w:tcPr>
          <w:p>
            <w:pPr>
              <w:widowControl/>
              <w:jc w:val="center"/>
              <w:rPr>
                <w:rFonts w:ascii="宋体" w:hAnsi="宋体" w:cs="宋体" w:hint="eastAsia"/>
                <w:b/>
                <w:bCs/>
                <w:color w:val="000000"/>
                <w:kern w:val="0"/>
                <w:sz w:val="18"/>
                <w:szCs w:val="18"/>
                <w:highlight w:val="none"/>
              </w:rPr>
            </w:pPr>
            <w:r>
              <w:rPr>
                <w:rFonts w:ascii="宋体" w:hAnsi="宋体" w:cs="宋体" w:hint="eastAsia"/>
                <w:b/>
                <w:bCs/>
                <w:color w:val="000000"/>
                <w:kern w:val="0"/>
                <w:sz w:val="18"/>
                <w:szCs w:val="22"/>
                <w:highlight w:val="none"/>
              </w:rPr>
              <w:t>计量</w:t>
            </w:r>
          </w:p>
          <w:p>
            <w:pPr>
              <w:widowControl/>
              <w:jc w:val="center"/>
              <w:rPr>
                <w:rFonts w:ascii="宋体" w:hAnsi="宋体" w:cs="宋体"/>
                <w:color w:val="000000"/>
                <w:kern w:val="0"/>
                <w:szCs w:val="21"/>
                <w:highlight w:val="none"/>
              </w:rPr>
            </w:pPr>
            <w:r>
              <w:rPr>
                <w:rFonts w:ascii="宋体" w:hAnsi="宋体" w:cs="宋体" w:hint="eastAsia"/>
                <w:b/>
                <w:bCs/>
                <w:color w:val="000000"/>
                <w:kern w:val="0"/>
                <w:sz w:val="18"/>
                <w:szCs w:val="22"/>
                <w:highlight w:val="none"/>
              </w:rPr>
              <w:t>单位</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b/>
                <w:bCs/>
                <w:color w:val="000000"/>
                <w:kern w:val="0"/>
                <w:sz w:val="18"/>
                <w:szCs w:val="22"/>
                <w:highlight w:val="none"/>
              </w:rPr>
              <w:t>大型</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b/>
                <w:bCs/>
                <w:color w:val="000000"/>
                <w:kern w:val="0"/>
                <w:sz w:val="18"/>
                <w:szCs w:val="22"/>
                <w:highlight w:val="none"/>
              </w:rPr>
              <w:t>中型</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b/>
                <w:bCs/>
                <w:color w:val="000000"/>
                <w:kern w:val="0"/>
                <w:sz w:val="18"/>
                <w:szCs w:val="22"/>
                <w:highlight w:val="none"/>
              </w:rPr>
              <w:t>小型</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b/>
                <w:bCs/>
                <w:color w:val="000000"/>
                <w:kern w:val="0"/>
                <w:sz w:val="18"/>
                <w:szCs w:val="22"/>
                <w:highlight w:val="none"/>
              </w:rPr>
              <w:t>微型</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农、林、牧、渔业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Y≥20000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500≤Y＜20000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50≤Y＜500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Y＜50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工业 *</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300≤X＜1000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20≤X＜300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X＜20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Y≥40000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2000≤Y＜40000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300≤Y＜2000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Y＜300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建筑业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Y≥80000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6000≤Y＜80000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300≤Y＜6000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Y＜300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资产总额(Z)</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Z≥80000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5000≤Z＜80000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300≤Z＜5000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Z＜300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批发业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X≥200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20≤X＜200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5≤X＜20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X＜5</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Y≥40000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5000≤Y＜40000</w:t>
            </w:r>
          </w:p>
        </w:tc>
        <w:tc>
          <w:tcPr>
            <w:tcW w:w="1467" w:type="dxa"/>
            <w:vAlign w:val="center"/>
          </w:tcPr>
          <w:p>
            <w:pPr>
              <w:widowControl/>
              <w:ind w:left="-1" w:hanging="1"/>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1000≤Y＜5000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零售业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X≥300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50≤X＜300</w:t>
            </w:r>
          </w:p>
        </w:tc>
        <w:tc>
          <w:tcPr>
            <w:tcW w:w="1467" w:type="dxa"/>
            <w:vAlign w:val="center"/>
          </w:tcPr>
          <w:p>
            <w:pPr>
              <w:widowControl/>
              <w:ind w:left="-1" w:hanging="1"/>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10≤X＜50 </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Y≥20000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500≤Y＜20000</w:t>
            </w:r>
          </w:p>
        </w:tc>
        <w:tc>
          <w:tcPr>
            <w:tcW w:w="1467" w:type="dxa"/>
            <w:vAlign w:val="center"/>
          </w:tcPr>
          <w:p>
            <w:pPr>
              <w:widowControl/>
              <w:ind w:left="-1" w:hanging="1"/>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100≤Y＜500 </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交通运输业 *</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300≤X＜1000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20≤X＜300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X＜20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Y≥30000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3000≤Y＜30000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200≤Y＜3000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Y＜200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仓储业*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X≥200</w:t>
            </w:r>
          </w:p>
        </w:tc>
        <w:tc>
          <w:tcPr>
            <w:tcW w:w="1549" w:type="dxa"/>
            <w:vAlign w:val="center"/>
          </w:tcPr>
          <w:p>
            <w:pPr>
              <w:widowControl/>
              <w:ind w:left="1" w:hanging="108"/>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100≤X＜200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20≤X＜100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X＜20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Y≥30000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1000≤Y＜30000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100≤Y＜1000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邮政业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300≤X＜1000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20≤X＜300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X＜20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Y≥30000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2000≤Y＜30000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100≤Y＜2000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住宿业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X≥300</w:t>
            </w:r>
          </w:p>
        </w:tc>
        <w:tc>
          <w:tcPr>
            <w:tcW w:w="1549" w:type="dxa"/>
            <w:vAlign w:val="center"/>
          </w:tcPr>
          <w:p>
            <w:pPr>
              <w:widowControl/>
              <w:ind w:left="1" w:hanging="108"/>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100≤X＜300 </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10≤X＜100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2000≤Y＜10000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100≤Y＜2000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餐饮业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X≥300</w:t>
            </w:r>
          </w:p>
        </w:tc>
        <w:tc>
          <w:tcPr>
            <w:tcW w:w="1549" w:type="dxa"/>
            <w:vAlign w:val="center"/>
          </w:tcPr>
          <w:p>
            <w:pPr>
              <w:widowControl/>
              <w:ind w:left="1" w:hanging="108"/>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100≤X＜300 </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10≤X＜100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2000≤Y＜10000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100≤Y＜2000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信息传输业 *</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X≥2000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100≤X＜2000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10≤X＜100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1000≤Y＜100000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100≤Y＜1000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软件和信息技术服务业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X≥300</w:t>
            </w:r>
          </w:p>
        </w:tc>
        <w:tc>
          <w:tcPr>
            <w:tcW w:w="1549" w:type="dxa"/>
            <w:vAlign w:val="center"/>
          </w:tcPr>
          <w:p>
            <w:pPr>
              <w:widowControl/>
              <w:ind w:left="1" w:hanging="108"/>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100≤X＜300 </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10≤X＜100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1000≤Y＜10000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50≤Y＜1000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Y＜50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房地产开发经营</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Y≥200000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1000≤Y＜200000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100≤Y＜1000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资产总额(Z)</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Z≥10000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5000≤Z＜10000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2000≤Z＜5000 </w:t>
            </w:r>
            <w:r>
              <w:rPr>
                <w:rFonts w:ascii="宋体" w:hAnsi="宋体" w:cs="宋体" w:hint="eastAsia"/>
                <w:color w:val="000000"/>
                <w:kern w:val="0"/>
                <w:szCs w:val="21"/>
                <w:highlight w:val="none"/>
              </w:rPr>
              <w:t> </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Z＜2000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物业管理</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300≤X＜1000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100≤X＜300 </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Y≥5000</w:t>
            </w:r>
          </w:p>
        </w:tc>
        <w:tc>
          <w:tcPr>
            <w:tcW w:w="1549" w:type="dxa"/>
            <w:vAlign w:val="center"/>
          </w:tcPr>
          <w:p>
            <w:pPr>
              <w:widowControl/>
              <w:ind w:left="1" w:hanging="108"/>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1000≤Y＜5000 </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500≤Y＜1000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Y＜500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租赁和商务服务业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X≥300</w:t>
            </w:r>
          </w:p>
        </w:tc>
        <w:tc>
          <w:tcPr>
            <w:tcW w:w="1549" w:type="dxa"/>
            <w:vAlign w:val="center"/>
          </w:tcPr>
          <w:p>
            <w:pPr>
              <w:widowControl/>
              <w:ind w:left="1" w:hanging="108"/>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100≤X＜300 </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10≤X＜100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资产总额(Z)</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Z≥120000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8000≤Z＜120000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100≤Z＜8000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Z＜100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其他未列明行业 *</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X≥300</w:t>
            </w:r>
          </w:p>
        </w:tc>
        <w:tc>
          <w:tcPr>
            <w:tcW w:w="1549" w:type="dxa"/>
            <w:vAlign w:val="center"/>
          </w:tcPr>
          <w:p>
            <w:pPr>
              <w:widowControl/>
              <w:ind w:left="1" w:hanging="108"/>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100≤X＜300 </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10≤X＜100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w:t>
            </w:r>
          </w:p>
        </w:tc>
      </w:tr>
    </w:tbl>
    <w:p>
      <w:pPr>
        <w:widowControl/>
        <w:ind w:left="315" w:right="315"/>
        <w:jc w:val="right"/>
        <w:rPr>
          <w:rFonts w:ascii="宋体" w:hAnsi="宋体" w:cs="宋体"/>
          <w:color w:val="000000"/>
          <w:kern w:val="0"/>
          <w:sz w:val="28"/>
          <w:szCs w:val="22"/>
          <w:highlight w:val="none"/>
        </w:rPr>
      </w:pPr>
    </w:p>
    <w:p>
      <w:pPr>
        <w:widowControl/>
        <w:ind w:left="315" w:right="315"/>
        <w:jc w:val="right"/>
        <w:rPr>
          <w:rFonts w:ascii="宋体" w:hAnsi="宋体" w:cs="宋体"/>
          <w:color w:val="000000"/>
          <w:kern w:val="0"/>
          <w:sz w:val="18"/>
          <w:szCs w:val="18"/>
          <w:highlight w:val="none"/>
        </w:rPr>
      </w:pPr>
      <w:r>
        <w:rPr>
          <w:rFonts w:ascii="宋体" w:hAnsi="宋体" w:cs="宋体" w:hint="eastAsia"/>
          <w:color w:val="000000"/>
          <w:kern w:val="0"/>
          <w:sz w:val="28"/>
          <w:szCs w:val="22"/>
          <w:highlight w:val="none"/>
        </w:rPr>
        <w:t>－ 1 －</w:t>
      </w:r>
    </w:p>
    <w:p>
      <w:pPr>
        <w:widowControl/>
        <w:shd w:val="clear" w:color="auto" w:fill="FFFFFF"/>
        <w:rPr>
          <w:rFonts w:ascii="宋体" w:hAnsi="宋体" w:cs="宋体"/>
          <w:color w:val="000000"/>
          <w:kern w:val="0"/>
          <w:szCs w:val="21"/>
          <w:highlight w:val="none"/>
        </w:rPr>
      </w:pPr>
      <w:r>
        <w:rPr>
          <w:rFonts w:ascii="宋体" w:hAnsi="宋体" w:cs="宋体" w:hint="eastAsia"/>
          <w:color w:val="000000"/>
          <w:kern w:val="0"/>
          <w:szCs w:val="21"/>
          <w:highlight w:val="none"/>
        </w:rPr>
        <w:t>说明：</w:t>
      </w:r>
    </w:p>
    <w:p>
      <w:pPr>
        <w:widowControl/>
        <w:shd w:val="clear" w:color="auto" w:fill="FFFFFF"/>
        <w:rPr>
          <w:rFonts w:ascii="宋体" w:hAnsi="宋体" w:cs="宋体"/>
          <w:color w:val="000000"/>
          <w:kern w:val="0"/>
          <w:szCs w:val="21"/>
          <w:highlight w:val="none"/>
        </w:rPr>
      </w:pPr>
      <w:r>
        <w:rPr>
          <w:rFonts w:ascii="宋体" w:hAnsi="宋体" w:cs="宋体" w:hint="eastAsia"/>
          <w:color w:val="000000"/>
          <w:kern w:val="0"/>
          <w:szCs w:val="21"/>
          <w:highlight w:val="none"/>
        </w:rPr>
        <w:t>　　1.大型、中型和小型企业须同时满足所列指标的下限，否则下划一档；微型企业只须满足所列指标中的一项即可。</w:t>
      </w:r>
    </w:p>
    <w:p>
      <w:pPr>
        <w:widowControl/>
        <w:shd w:val="clear" w:color="auto" w:fill="FFFFFF"/>
        <w:rPr>
          <w:rFonts w:ascii="宋体" w:hAnsi="宋体" w:cs="宋体"/>
          <w:color w:val="000000"/>
          <w:kern w:val="0"/>
          <w:szCs w:val="21"/>
          <w:highlight w:val="none"/>
        </w:rPr>
      </w:pPr>
      <w:r>
        <w:rPr>
          <w:rFonts w:ascii="宋体" w:hAnsi="宋体" w:cs="宋体" w:hint="eastAsia"/>
          <w:color w:val="000000"/>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20"/>
        <w:rPr>
          <w:rFonts w:ascii="宋体" w:hAnsi="宋体" w:cs="宋体"/>
          <w:color w:val="000000"/>
          <w:kern w:val="0"/>
          <w:szCs w:val="21"/>
          <w:highlight w:val="none"/>
        </w:rPr>
      </w:pPr>
      <w:r>
        <w:rPr>
          <w:rFonts w:ascii="宋体" w:hAnsi="宋体" w:cs="宋体" w:hint="eastAsia"/>
          <w:color w:val="000000"/>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widowControl/>
        <w:shd w:val="clear" w:color="auto" w:fill="FFFFFF"/>
        <w:ind w:firstLine="420"/>
        <w:rPr>
          <w:rFonts w:ascii="宋体" w:hAnsi="宋体" w:cs="宋体"/>
          <w:color w:val="000000"/>
          <w:kern w:val="0"/>
          <w:szCs w:val="21"/>
          <w:highlight w:val="none"/>
        </w:rPr>
      </w:pPr>
    </w:p>
    <w:p>
      <w:pPr>
        <w:autoSpaceDE w:val="0"/>
        <w:autoSpaceDN w:val="0"/>
        <w:adjustRightInd w:val="0"/>
        <w:ind w:firstLine="315" w:firstLineChars="150"/>
        <w:jc w:val="left"/>
        <w:rPr>
          <w:rFonts w:ascii="宋体" w:hAnsi="宋体" w:cs="宋体"/>
          <w:b/>
          <w:color w:val="000000"/>
          <w:kern w:val="0"/>
          <w:sz w:val="24"/>
          <w:highlight w:val="none"/>
        </w:rPr>
      </w:pPr>
      <w:r>
        <w:rPr>
          <w:rFonts w:ascii="宋体" w:hAnsi="宋体" w:cs="宋体" w:hint="eastAsia"/>
          <w:b/>
          <w:color w:val="000000"/>
          <w:kern w:val="0"/>
          <w:sz w:val="24"/>
          <w:highlight w:val="none"/>
        </w:rPr>
        <w:t>4, 财政部、民政部、中国残联《关于促进残疾人就业政府采购政策的通知》（财库〔2017〕141 号）</w:t>
      </w:r>
    </w:p>
    <w:p>
      <w:pPr>
        <w:autoSpaceDE w:val="0"/>
        <w:autoSpaceDN w:val="0"/>
        <w:adjustRightInd w:val="0"/>
        <w:ind w:firstLine="315" w:firstLineChars="150"/>
        <w:jc w:val="center"/>
        <w:rPr>
          <w:rFonts w:ascii="宋体" w:hAnsi="宋体" w:cs="宋体"/>
          <w:b/>
          <w:color w:val="000000"/>
          <w:kern w:val="0"/>
          <w:sz w:val="24"/>
          <w:highlight w:val="none"/>
        </w:rPr>
      </w:pPr>
      <w:r>
        <w:rPr>
          <w:rFonts w:ascii="宋体" w:hAnsi="宋体" w:cs="宋体" w:hint="eastAsia"/>
          <w:b/>
          <w:color w:val="000000"/>
          <w:kern w:val="0"/>
          <w:sz w:val="24"/>
          <w:highlight w:val="none"/>
        </w:rPr>
        <w:t>关于促进残疾人就业政府采购政策的通知</w:t>
      </w:r>
    </w:p>
    <w:p>
      <w:pPr>
        <w:autoSpaceDE w:val="0"/>
        <w:autoSpaceDN w:val="0"/>
        <w:adjustRightInd w:val="0"/>
        <w:ind w:firstLine="315" w:firstLineChars="150"/>
        <w:jc w:val="center"/>
        <w:rPr>
          <w:rFonts w:ascii="宋体" w:hAnsi="宋体" w:cs="宋体"/>
          <w:b/>
          <w:color w:val="000000"/>
          <w:kern w:val="0"/>
          <w:sz w:val="24"/>
          <w:highlight w:val="none"/>
        </w:rPr>
      </w:pPr>
      <w:bookmarkStart w:id="64" w:name="sendNo"/>
      <w:r>
        <w:rPr>
          <w:rFonts w:ascii="宋体" w:hAnsi="宋体" w:cs="宋体" w:hint="eastAsia"/>
          <w:b/>
          <w:color w:val="000000"/>
          <w:kern w:val="0"/>
          <w:sz w:val="24"/>
          <w:highlight w:val="none"/>
        </w:rPr>
        <w:t>财库〔</w:t>
      </w:r>
      <w:bookmarkEnd w:id="64"/>
      <w:r>
        <w:rPr>
          <w:rFonts w:ascii="宋体" w:hAnsi="宋体" w:cs="宋体" w:hint="eastAsia"/>
          <w:b/>
          <w:color w:val="000000"/>
          <w:kern w:val="0"/>
          <w:sz w:val="24"/>
          <w:highlight w:val="none"/>
        </w:rPr>
        <w:t>2017〕141号</w:t>
      </w:r>
    </w:p>
    <w:p>
      <w:pPr>
        <w:widowControl/>
        <w:shd w:val="clear" w:color="auto" w:fill="FFFFFF"/>
        <w:ind w:firstLine="420" w:firstLineChars="200"/>
        <w:jc w:val="left"/>
        <w:rPr>
          <w:rFonts w:ascii="宋体" w:hAnsi="宋体" w:cs="宋体"/>
          <w:color w:val="000000"/>
          <w:kern w:val="0"/>
          <w:szCs w:val="21"/>
          <w:highlight w:val="none"/>
        </w:rPr>
      </w:pPr>
      <w:bookmarkStart w:id="65" w:name="toDeptId"/>
      <w:r>
        <w:rPr>
          <w:rFonts w:ascii="宋体" w:hAnsi="宋体" w:cs="宋体" w:hint="eastAsia"/>
          <w:color w:val="000000"/>
          <w:kern w:val="0"/>
          <w:szCs w:val="21"/>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65"/>
      <w:r>
        <w:rPr>
          <w:rFonts w:ascii="宋体" w:hAnsi="宋体" w:cs="宋体" w:hint="eastAsia"/>
          <w:color w:val="000000"/>
          <w:kern w:val="0"/>
          <w:szCs w:val="21"/>
          <w:highlight w:val="none"/>
        </w:rPr>
        <w:t>：</w:t>
      </w:r>
    </w:p>
    <w:p>
      <w:pPr>
        <w:widowControl/>
        <w:shd w:val="clear" w:color="auto" w:fill="FFFFFF"/>
        <w:spacing w:after="240"/>
        <w:jc w:val="left"/>
        <w:rPr>
          <w:rFonts w:ascii="宋体" w:hAnsi="宋体" w:cs="宋体"/>
          <w:color w:val="000000"/>
          <w:kern w:val="0"/>
          <w:szCs w:val="21"/>
          <w:highlight w:val="none"/>
        </w:rPr>
      </w:pPr>
      <w:r>
        <w:rPr>
          <w:rFonts w:ascii="宋体" w:hAnsi="宋体" w:cs="宋体" w:hint="eastAsia"/>
          <w:color w:val="000000"/>
          <w:kern w:val="0"/>
          <w:szCs w:val="21"/>
          <w:highlight w:val="none"/>
        </w:rPr>
        <w:t>　　为了发挥政府采购促进残疾人就业的作用，进一步保障残疾人权益，依照《政府采购法》、《残疾人保障法》等法律法规及相关规定，现就促进残疾人就业政府采购政策通知如下：</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一、享受政府采购支持政策的残疾人福利性单位应当同时满足以下条件：</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（一）安置的残疾人占本单位在职职工人数的比例不低于25%（含25%），并且安置的残疾人人数不少于10人（含10人）；</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（二）依法与安置的每位残疾人签订了一年以上（含一年）的劳动合同或服务协议；</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（三）为安置的每位残疾人按月足额缴纳了基本养老保险、基本医疗保险、失业保险、工伤保险和生育保险等社会保险费；</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（四）通过银行等金融机构向安置的每位残疾人，按月支付了不低于单位所在区县适用的经省级人民政府批准的月最低工资标准的工资；</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（五）提供本单位制造的货物、承担的工程或者服务（以下简称产品），或者提供其他残疾人福利性单位制造的货物（不包括使用非残疾人福利性单位注册商标的货物）。</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中标、成交供应商为残疾人福利性单位的，采购人或者其委托的采购代理机构应当随中标、成交结果同时公告其《残疾人福利性单位声明函》，接受社会监督。</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供应商提供的《残疾人福利性单位声明函》与事实不符的，依照《政府采购法》第七十七条第一款的规定追究法律责任。</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四、采购人采购公开招标数额标准以上的货物或者服务，因落实促进残疾人就业政策的需要，依法履行有关报批程序后，可采用公开招标以外的采购方式。</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七、本通知自2017年10月1日起执行。</w:t>
      </w:r>
    </w:p>
    <w:p>
      <w:pPr>
        <w:widowControl/>
        <w:shd w:val="clear" w:color="auto" w:fill="FFFFFF"/>
        <w:spacing w:after="240"/>
        <w:jc w:val="right"/>
        <w:rPr>
          <w:rFonts w:ascii="宋体" w:hAnsi="宋体" w:cs="宋体"/>
          <w:color w:val="000000"/>
          <w:kern w:val="0"/>
          <w:szCs w:val="21"/>
          <w:highlight w:val="none"/>
        </w:rPr>
      </w:pPr>
      <w:r>
        <w:rPr>
          <w:rFonts w:ascii="宋体" w:hAnsi="宋体" w:cs="宋体" w:hint="eastAsia"/>
          <w:color w:val="000000"/>
          <w:kern w:val="0"/>
          <w:szCs w:val="21"/>
          <w:highlight w:val="none"/>
        </w:rPr>
        <w:t>　　财政部 民政部 中国残疾人联合会</w:t>
      </w:r>
    </w:p>
    <w:p>
      <w:pPr>
        <w:widowControl/>
        <w:shd w:val="clear" w:color="auto" w:fill="FFFFFF"/>
        <w:spacing w:after="240"/>
        <w:jc w:val="right"/>
        <w:rPr>
          <w:rFonts w:ascii="宋体" w:hAnsi="宋体" w:cs="宋体"/>
          <w:color w:val="000000"/>
          <w:kern w:val="0"/>
          <w:szCs w:val="21"/>
          <w:highlight w:val="none"/>
        </w:rPr>
      </w:pPr>
      <w:r>
        <w:rPr>
          <w:rFonts w:ascii="宋体" w:hAnsi="宋体" w:cs="宋体" w:hint="eastAsia"/>
          <w:color w:val="000000"/>
          <w:kern w:val="0"/>
          <w:szCs w:val="21"/>
          <w:highlight w:val="none"/>
        </w:rPr>
        <w:t>           2017年8月22日</w:t>
      </w:r>
    </w:p>
    <w:p>
      <w:pPr>
        <w:widowControl/>
        <w:shd w:val="clear" w:color="auto" w:fill="FFFFFF"/>
        <w:spacing w:after="240"/>
        <w:jc w:val="left"/>
        <w:rPr>
          <w:rFonts w:ascii="宋体" w:hAnsi="宋体" w:cs="宋体"/>
          <w:b/>
          <w:bCs/>
          <w:color w:val="000000"/>
          <w:kern w:val="0"/>
          <w:szCs w:val="21"/>
          <w:highlight w:val="none"/>
        </w:rPr>
      </w:pPr>
      <w:r>
        <w:rPr>
          <w:rFonts w:ascii="宋体" w:hAnsi="宋体" w:cs="宋体" w:hint="eastAsia"/>
          <w:b/>
          <w:bCs/>
          <w:color w:val="000000"/>
          <w:kern w:val="0"/>
          <w:szCs w:val="21"/>
          <w:highlight w:val="none"/>
        </w:rPr>
        <w:t>附件</w:t>
      </w:r>
    </w:p>
    <w:p>
      <w:pPr>
        <w:keepNext/>
        <w:keepLines/>
        <w:spacing w:line="578" w:lineRule="auto"/>
        <w:jc w:val="center"/>
        <w:outlineLvl w:val="0"/>
        <w:rPr>
          <w:rFonts w:ascii="宋体" w:hAnsi="宋体" w:cs="宋体"/>
          <w:b/>
          <w:bCs/>
          <w:color w:val="000000"/>
          <w:kern w:val="0"/>
          <w:sz w:val="24"/>
          <w:highlight w:val="none"/>
        </w:rPr>
      </w:pPr>
      <w:r>
        <w:rPr>
          <w:rFonts w:ascii="宋体" w:hAnsi="宋体" w:cs="宋体" w:hint="eastAsia"/>
          <w:b/>
          <w:bCs/>
          <w:color w:val="000000"/>
          <w:kern w:val="0"/>
          <w:sz w:val="24"/>
          <w:highlight w:val="none"/>
        </w:rPr>
        <w:t>残疾人福利性单位声明函</w:t>
      </w:r>
    </w:p>
    <w:p>
      <w:pPr>
        <w:pStyle w:val="BodyTextIndent2"/>
        <w:spacing w:before="120" w:after="120"/>
        <w:rPr>
          <w:rFonts w:cs="宋体"/>
          <w:color w:val="000000"/>
          <w:highlight w:val="none"/>
        </w:rPr>
      </w:pPr>
    </w:p>
    <w:p>
      <w:pPr>
        <w:widowControl/>
        <w:shd w:val="clear" w:color="auto" w:fill="FFFFFF"/>
        <w:spacing w:line="360" w:lineRule="auto"/>
        <w:ind w:firstLine="420" w:firstLineChars="200"/>
        <w:rPr>
          <w:rFonts w:ascii="宋体" w:hAnsi="宋体" w:cs="宋体"/>
          <w:color w:val="000000"/>
          <w:kern w:val="0"/>
          <w:szCs w:val="21"/>
          <w:highlight w:val="none"/>
        </w:rPr>
      </w:pPr>
      <w:r>
        <w:rPr>
          <w:rFonts w:ascii="宋体" w:hAnsi="宋体" w:cs="宋体" w:hint="eastAsia"/>
          <w:color w:val="000000"/>
          <w:kern w:val="0"/>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hd w:val="clear" w:color="auto" w:fill="FFFFFF"/>
        <w:spacing w:line="360" w:lineRule="auto"/>
        <w:ind w:firstLine="420" w:firstLineChars="200"/>
        <w:rPr>
          <w:rFonts w:ascii="宋体" w:hAnsi="宋体" w:cs="宋体"/>
          <w:color w:val="000000"/>
          <w:kern w:val="0"/>
          <w:szCs w:val="21"/>
          <w:highlight w:val="none"/>
        </w:rPr>
      </w:pPr>
      <w:r>
        <w:rPr>
          <w:rFonts w:ascii="宋体" w:hAnsi="宋体" w:cs="宋体" w:hint="eastAsia"/>
          <w:color w:val="000000"/>
          <w:kern w:val="0"/>
          <w:szCs w:val="21"/>
          <w:highlight w:val="none"/>
        </w:rPr>
        <w:t>本单位对上述声明的真实性负责。如有虚假，将依法承担相应责任。</w:t>
      </w:r>
    </w:p>
    <w:p>
      <w:pPr>
        <w:widowControl/>
        <w:shd w:val="clear" w:color="auto" w:fill="FFFFFF"/>
        <w:spacing w:line="588" w:lineRule="atLeast"/>
        <w:ind w:right="1560" w:firstLine="624"/>
        <w:jc w:val="right"/>
        <w:rPr>
          <w:rFonts w:ascii="宋体" w:hAnsi="宋体" w:cs="宋体"/>
          <w:b/>
          <w:bCs/>
          <w:color w:val="000000"/>
          <w:kern w:val="0"/>
          <w:szCs w:val="21"/>
          <w:highlight w:val="none"/>
        </w:rPr>
      </w:pPr>
      <w:r>
        <w:rPr>
          <w:rFonts w:ascii="宋体" w:hAnsi="宋体" w:cs="宋体" w:hint="eastAsia"/>
          <w:b/>
          <w:bCs/>
          <w:color w:val="000000"/>
          <w:kern w:val="0"/>
          <w:szCs w:val="21"/>
          <w:highlight w:val="none"/>
        </w:rPr>
        <w:t>单位名称（盖章）：</w:t>
      </w:r>
    </w:p>
    <w:p>
      <w:pPr>
        <w:widowControl/>
        <w:shd w:val="clear" w:color="auto" w:fill="FFFFFF"/>
        <w:spacing w:line="588" w:lineRule="atLeast"/>
        <w:ind w:right="1560" w:firstLine="624"/>
        <w:jc w:val="right"/>
        <w:rPr>
          <w:rFonts w:ascii="宋体" w:hAnsi="宋体" w:cs="宋体"/>
          <w:b/>
          <w:bCs/>
          <w:color w:val="000000"/>
          <w:kern w:val="0"/>
          <w:szCs w:val="21"/>
          <w:highlight w:val="none"/>
        </w:rPr>
      </w:pPr>
      <w:r>
        <w:rPr>
          <w:rFonts w:ascii="宋体" w:hAnsi="宋体" w:cs="宋体" w:hint="eastAsia"/>
          <w:b/>
          <w:bCs/>
          <w:color w:val="000000"/>
          <w:kern w:val="0"/>
          <w:szCs w:val="21"/>
          <w:highlight w:val="none"/>
        </w:rPr>
        <w:t>日 期：</w:t>
      </w:r>
    </w:p>
    <w:p>
      <w:pPr>
        <w:widowControl/>
        <w:shd w:val="clear" w:color="auto" w:fill="FFFFFF"/>
        <w:spacing w:line="360" w:lineRule="auto"/>
        <w:ind w:firstLine="420" w:firstLineChars="200"/>
        <w:rPr>
          <w:rFonts w:ascii="宋体" w:hAnsi="宋体" w:cs="宋体"/>
          <w:color w:val="000000"/>
          <w:kern w:val="0"/>
          <w:szCs w:val="21"/>
          <w:highlight w:val="none"/>
        </w:rPr>
      </w:pPr>
    </w:p>
    <w:p>
      <w:pPr>
        <w:widowControl/>
        <w:shd w:val="clear" w:color="auto" w:fill="FFFFFF"/>
        <w:spacing w:line="360" w:lineRule="auto"/>
        <w:ind w:firstLine="420" w:firstLineChars="200"/>
        <w:rPr>
          <w:rFonts w:ascii="宋体" w:hAnsi="宋体" w:cs="宋体"/>
          <w:color w:val="000000"/>
          <w:kern w:val="0"/>
          <w:szCs w:val="21"/>
          <w:highlight w:val="none"/>
        </w:rPr>
      </w:pPr>
      <w:bookmarkEnd w:id="59"/>
      <w:bookmarkEnd w:id="60"/>
      <w:bookmarkEnd w:id="61"/>
      <w:bookmarkEnd w:id="62"/>
    </w:p>
    <w:p>
      <w:pPr>
        <w:autoSpaceDE w:val="0"/>
        <w:autoSpaceDN w:val="0"/>
        <w:adjustRightInd w:val="0"/>
        <w:ind w:firstLine="315" w:firstLineChars="150"/>
        <w:jc w:val="center"/>
        <w:rPr>
          <w:rFonts w:ascii="宋体" w:hAnsi="宋体" w:cs="宋体" w:hint="eastAsia"/>
          <w:b/>
          <w:color w:val="000000"/>
          <w:kern w:val="0"/>
          <w:sz w:val="28"/>
          <w:szCs w:val="28"/>
          <w:highlight w:val="none"/>
        </w:rPr>
      </w:pPr>
      <w:r>
        <w:rPr>
          <w:rFonts w:ascii="宋体" w:hAnsi="宋体" w:cs="宋体" w:hint="eastAsia"/>
          <w:b/>
          <w:color w:val="000000"/>
          <w:kern w:val="0"/>
          <w:sz w:val="28"/>
          <w:szCs w:val="28"/>
          <w:highlight w:val="none"/>
        </w:rPr>
        <w:br w:type="page"/>
      </w:r>
      <w:r>
        <w:rPr>
          <w:rFonts w:ascii="宋体" w:hAnsi="宋体" w:cs="宋体" w:hint="eastAsia"/>
          <w:b/>
          <w:color w:val="000000"/>
          <w:kern w:val="0"/>
          <w:sz w:val="28"/>
          <w:szCs w:val="28"/>
          <w:highlight w:val="none"/>
        </w:rPr>
        <w:t>5, 财政部《关于进一步加大政府采购支持中小企业力度的通知》</w:t>
      </w:r>
    </w:p>
    <w:p>
      <w:pPr>
        <w:autoSpaceDE w:val="0"/>
        <w:autoSpaceDN w:val="0"/>
        <w:adjustRightInd w:val="0"/>
        <w:ind w:firstLine="315" w:firstLineChars="150"/>
        <w:jc w:val="center"/>
        <w:rPr>
          <w:rFonts w:ascii="宋体" w:hAnsi="宋体" w:cs="宋体"/>
          <w:b/>
          <w:color w:val="000000"/>
          <w:kern w:val="0"/>
          <w:sz w:val="28"/>
          <w:szCs w:val="28"/>
          <w:highlight w:val="none"/>
        </w:rPr>
      </w:pPr>
      <w:r>
        <w:rPr>
          <w:rFonts w:ascii="宋体" w:hAnsi="宋体" w:cs="宋体" w:hint="eastAsia"/>
          <w:b/>
          <w:color w:val="000000"/>
          <w:kern w:val="0"/>
          <w:sz w:val="28"/>
          <w:szCs w:val="28"/>
          <w:highlight w:val="none"/>
        </w:rPr>
        <w:t>财库〔2022〕19号</w:t>
      </w:r>
    </w:p>
    <w:p>
      <w:pPr>
        <w:widowControl/>
        <w:shd w:val="clear" w:color="auto" w:fill="FFFFFF"/>
        <w:jc w:val="left"/>
        <w:rPr>
          <w:rFonts w:ascii="宋体" w:hAnsi="宋体" w:cs="宋体"/>
          <w:color w:val="000000"/>
          <w:kern w:val="0"/>
          <w:sz w:val="11"/>
          <w:szCs w:val="11"/>
          <w:highlight w:val="none"/>
        </w:rPr>
      </w:pPr>
    </w:p>
    <w:p>
      <w:pPr>
        <w:widowControl/>
        <w:shd w:val="clear" w:color="auto" w:fill="FFFFFF"/>
        <w:spacing w:line="360" w:lineRule="auto"/>
        <w:jc w:val="left"/>
        <w:rPr>
          <w:rFonts w:ascii="宋体" w:hAnsi="宋体" w:cs="宋体" w:hint="eastAsia"/>
          <w:color w:val="000000"/>
          <w:kern w:val="0"/>
          <w:szCs w:val="21"/>
          <w:highlight w:val="none"/>
        </w:rPr>
      </w:pPr>
      <w:r>
        <w:rPr>
          <w:rFonts w:ascii="宋体" w:hAnsi="宋体" w:cs="宋体" w:hint="eastAsia"/>
          <w:color w:val="000000"/>
          <w:kern w:val="0"/>
          <w:szCs w:val="21"/>
          <w:highlight w:val="none"/>
        </w:rPr>
        <w:t>各中央预算单位，各省、自治区、直辖市、计划单列市财政厅（局），新疆生产建设兵团财政局：</w:t>
      </w:r>
    </w:p>
    <w:p>
      <w:pPr>
        <w:widowControl/>
        <w:shd w:val="clear" w:color="auto" w:fill="FFFFFF"/>
        <w:spacing w:line="360" w:lineRule="auto"/>
        <w:jc w:val="left"/>
        <w:rPr>
          <w:rFonts w:ascii="宋体" w:hAnsi="宋体" w:cs="宋体" w:hint="eastAsia"/>
          <w:color w:val="000000"/>
          <w:kern w:val="0"/>
          <w:szCs w:val="21"/>
          <w:highlight w:val="none"/>
        </w:rPr>
      </w:pPr>
      <w:r>
        <w:rPr>
          <w:rFonts w:ascii="宋体" w:hAnsi="宋体" w:cs="宋体" w:hint="eastAsia"/>
          <w:color w:val="000000"/>
          <w:kern w:val="0"/>
          <w:szCs w:val="21"/>
          <w:highlight w:val="none"/>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pPr>
        <w:widowControl/>
        <w:shd w:val="clear" w:color="auto" w:fill="FFFFFF"/>
        <w:spacing w:line="360" w:lineRule="auto"/>
        <w:jc w:val="left"/>
        <w:rPr>
          <w:rFonts w:ascii="宋体" w:hAnsi="宋体" w:cs="宋体" w:hint="eastAsia"/>
          <w:color w:val="000000"/>
          <w:kern w:val="0"/>
          <w:szCs w:val="21"/>
          <w:highlight w:val="none"/>
        </w:rPr>
      </w:pPr>
      <w:r>
        <w:rPr>
          <w:rFonts w:ascii="宋体" w:hAnsi="宋体" w:cs="宋体" w:hint="eastAsia"/>
          <w:color w:val="000000"/>
          <w:kern w:val="0"/>
          <w:szCs w:val="21"/>
          <w:highlight w:val="none"/>
        </w:rPr>
        <w:t>　　</w:t>
      </w:r>
      <w:r>
        <w:rPr>
          <w:rFonts w:ascii="宋体" w:hAnsi="宋体" w:cs="宋体" w:hint="eastAsia"/>
          <w:b/>
          <w:bCs/>
          <w:color w:val="000000"/>
          <w:kern w:val="0"/>
          <w:szCs w:val="21"/>
          <w:highlight w:val="none"/>
        </w:rPr>
        <w:t>一、严格落实支持中小企业政府采购政策。</w:t>
      </w:r>
      <w:r>
        <w:rPr>
          <w:rFonts w:ascii="宋体" w:hAnsi="宋体" w:cs="宋体" w:hint="eastAsia"/>
          <w:color w:val="000000"/>
          <w:kern w:val="0"/>
          <w:szCs w:val="21"/>
          <w:highlight w:val="none"/>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pPr>
        <w:widowControl/>
        <w:shd w:val="clear" w:color="auto" w:fill="FFFFFF"/>
        <w:spacing w:line="360" w:lineRule="auto"/>
        <w:jc w:val="left"/>
        <w:rPr>
          <w:rFonts w:ascii="宋体" w:hAnsi="宋体" w:cs="宋体" w:hint="eastAsia"/>
          <w:color w:val="000000"/>
          <w:kern w:val="0"/>
          <w:szCs w:val="21"/>
          <w:highlight w:val="none"/>
        </w:rPr>
      </w:pPr>
      <w:r>
        <w:rPr>
          <w:rFonts w:ascii="宋体" w:hAnsi="宋体" w:cs="宋体" w:hint="eastAsia"/>
          <w:color w:val="000000"/>
          <w:kern w:val="0"/>
          <w:szCs w:val="21"/>
          <w:highlight w:val="none"/>
        </w:rPr>
        <w:t>　　</w:t>
      </w:r>
      <w:r>
        <w:rPr>
          <w:rFonts w:ascii="宋体" w:hAnsi="宋体" w:cs="宋体" w:hint="eastAsia"/>
          <w:b/>
          <w:bCs/>
          <w:color w:val="000000"/>
          <w:kern w:val="0"/>
          <w:szCs w:val="21"/>
          <w:highlight w:val="none"/>
        </w:rPr>
        <w:t>二、调整对小微企业的价格评审优惠幅度。</w:t>
      </w:r>
      <w:r>
        <w:rPr>
          <w:rFonts w:ascii="宋体" w:hAnsi="宋体" w:cs="宋体" w:hint="eastAsia"/>
          <w:color w:val="000000"/>
          <w:kern w:val="0"/>
          <w:szCs w:val="21"/>
          <w:highlight w:val="none"/>
        </w:rPr>
        <w:t>货物服务采购项目给予小微企业的价格扣除优惠，由财库〔2020〕46号文件规定的6%—10%提高至10%—20%。</w:t>
      </w:r>
      <w:r>
        <w:rPr>
          <w:rFonts w:ascii="宋体" w:hAnsi="宋体" w:cs="宋体" w:hint="eastAsia"/>
          <w:color w:val="000000"/>
          <w:kern w:val="0"/>
          <w:szCs w:val="21"/>
          <w:highlight w:val="none"/>
          <w:u w:val="single"/>
        </w:rPr>
        <w:t>大中型企业与小微企业组成联合体或者大中型企业向小微企业分包的，评审优惠幅度由2%—3%提高至4%—6%。</w:t>
      </w:r>
      <w:r>
        <w:rPr>
          <w:rFonts w:ascii="宋体" w:hAnsi="宋体" w:cs="宋体" w:hint="eastAsia"/>
          <w:color w:val="000000"/>
          <w:kern w:val="0"/>
          <w:szCs w:val="21"/>
          <w:highlight w:val="none"/>
        </w:rPr>
        <w:t>政府采购工程的价格评审优惠按照财库〔2020〕46号文件的规定执行。自本通知执行之日起发布采购公告或者发出采购邀请的货物服务采购项目，按照本通知规定的评审优惠幅度执行。</w:t>
      </w:r>
    </w:p>
    <w:p>
      <w:pPr>
        <w:widowControl/>
        <w:shd w:val="clear" w:color="auto" w:fill="FFFFFF"/>
        <w:spacing w:line="360" w:lineRule="auto"/>
        <w:jc w:val="left"/>
        <w:rPr>
          <w:rFonts w:ascii="宋体" w:hAnsi="宋体" w:cs="宋体" w:hint="eastAsia"/>
          <w:color w:val="000000"/>
          <w:kern w:val="0"/>
          <w:szCs w:val="21"/>
          <w:highlight w:val="none"/>
        </w:rPr>
      </w:pPr>
      <w:r>
        <w:rPr>
          <w:rFonts w:ascii="宋体" w:hAnsi="宋体" w:cs="宋体" w:hint="eastAsia"/>
          <w:color w:val="000000"/>
          <w:kern w:val="0"/>
          <w:szCs w:val="21"/>
          <w:highlight w:val="none"/>
        </w:rPr>
        <w:t>　　</w:t>
      </w:r>
      <w:r>
        <w:rPr>
          <w:rFonts w:ascii="宋体" w:hAnsi="宋体" w:cs="宋体" w:hint="eastAsia"/>
          <w:b/>
          <w:bCs/>
          <w:color w:val="000000"/>
          <w:kern w:val="0"/>
          <w:szCs w:val="21"/>
          <w:highlight w:val="none"/>
        </w:rPr>
        <w:t>三、提高政府采购工程面向中小企业预留份额。</w:t>
      </w:r>
      <w:r>
        <w:rPr>
          <w:rFonts w:ascii="宋体" w:hAnsi="宋体" w:cs="宋体" w:hint="eastAsia"/>
          <w:color w:val="000000"/>
          <w:kern w:val="0"/>
          <w:szCs w:val="21"/>
          <w:highlight w:val="none"/>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pPr>
        <w:widowControl/>
        <w:shd w:val="clear" w:color="auto" w:fill="FFFFFF"/>
        <w:spacing w:line="360" w:lineRule="auto"/>
        <w:jc w:val="left"/>
        <w:rPr>
          <w:rFonts w:ascii="宋体" w:hAnsi="宋体" w:cs="宋体" w:hint="eastAsia"/>
          <w:color w:val="000000"/>
          <w:kern w:val="0"/>
          <w:szCs w:val="21"/>
          <w:highlight w:val="none"/>
        </w:rPr>
      </w:pPr>
      <w:r>
        <w:rPr>
          <w:rFonts w:ascii="宋体" w:hAnsi="宋体" w:cs="宋体" w:hint="eastAsia"/>
          <w:color w:val="000000"/>
          <w:kern w:val="0"/>
          <w:szCs w:val="21"/>
          <w:highlight w:val="none"/>
        </w:rPr>
        <w:t>　　</w:t>
      </w:r>
      <w:r>
        <w:rPr>
          <w:rFonts w:ascii="宋体" w:hAnsi="宋体" w:cs="宋体" w:hint="eastAsia"/>
          <w:b/>
          <w:bCs/>
          <w:color w:val="000000"/>
          <w:kern w:val="0"/>
          <w:szCs w:val="21"/>
          <w:highlight w:val="none"/>
        </w:rPr>
        <w:t>四、认真做好组织实施。</w:t>
      </w:r>
      <w:r>
        <w:rPr>
          <w:rFonts w:ascii="宋体" w:hAnsi="宋体" w:cs="宋体" w:hint="eastAsia"/>
          <w:color w:val="000000"/>
          <w:kern w:val="0"/>
          <w:szCs w:val="21"/>
          <w:highlight w:val="none"/>
        </w:rPr>
        <w:t>各地区、各部门应当加强组织领导，明确工作责任，细化执行要求，强化监督检查，确保国务院部署落实到位，对通知执行中出现的问题要及时向财政部报告。</w:t>
      </w:r>
    </w:p>
    <w:p>
      <w:pPr>
        <w:widowControl/>
        <w:shd w:val="clear" w:color="auto" w:fill="FFFFFF"/>
        <w:spacing w:line="360" w:lineRule="auto"/>
        <w:jc w:val="left"/>
        <w:rPr>
          <w:rFonts w:ascii="宋体" w:hAnsi="宋体" w:cs="宋体" w:hint="eastAsia"/>
          <w:color w:val="000000"/>
          <w:kern w:val="0"/>
          <w:szCs w:val="21"/>
          <w:highlight w:val="none"/>
        </w:rPr>
      </w:pPr>
      <w:r>
        <w:rPr>
          <w:rFonts w:ascii="宋体" w:hAnsi="宋体" w:cs="宋体" w:hint="eastAsia"/>
          <w:color w:val="000000"/>
          <w:kern w:val="0"/>
          <w:szCs w:val="21"/>
          <w:highlight w:val="none"/>
        </w:rPr>
        <w:t>　　本通知自2022年7月1日起执行。</w:t>
      </w:r>
    </w:p>
    <w:p>
      <w:pPr>
        <w:widowControl/>
        <w:shd w:val="clear" w:color="auto" w:fill="FFFFFF"/>
        <w:jc w:val="right"/>
        <w:rPr>
          <w:rFonts w:ascii="宋体" w:hAnsi="宋体" w:cs="宋体" w:hint="eastAsia"/>
          <w:color w:val="000000"/>
          <w:kern w:val="0"/>
          <w:szCs w:val="21"/>
          <w:highlight w:val="none"/>
        </w:rPr>
      </w:pPr>
    </w:p>
    <w:p>
      <w:pPr>
        <w:widowControl/>
        <w:shd w:val="clear" w:color="auto" w:fill="FFFFFF"/>
        <w:jc w:val="right"/>
        <w:rPr>
          <w:rFonts w:ascii="宋体" w:hAnsi="宋体" w:cs="宋体" w:hint="eastAsia"/>
          <w:color w:val="000000"/>
          <w:kern w:val="0"/>
          <w:szCs w:val="21"/>
          <w:highlight w:val="none"/>
        </w:rPr>
      </w:pPr>
      <w:r>
        <w:rPr>
          <w:rFonts w:ascii="宋体" w:hAnsi="宋体" w:cs="宋体" w:hint="eastAsia"/>
          <w:color w:val="000000"/>
          <w:kern w:val="0"/>
          <w:szCs w:val="21"/>
          <w:highlight w:val="none"/>
        </w:rPr>
        <w:t>　　财  政  部</w:t>
      </w:r>
    </w:p>
    <w:p>
      <w:pPr>
        <w:jc w:val="right"/>
        <w:rPr>
          <w:color w:val="000000"/>
          <w:highlight w:val="none"/>
        </w:rPr>
      </w:pPr>
      <w:r>
        <w:rPr>
          <w:rFonts w:ascii="宋体" w:hAnsi="宋体" w:cs="宋体" w:hint="eastAsia"/>
          <w:color w:val="000000"/>
          <w:kern w:val="0"/>
          <w:szCs w:val="21"/>
          <w:highlight w:val="none"/>
        </w:rPr>
        <w:t>　　2022年5月30日</w:t>
      </w:r>
    </w:p>
    <w:p>
      <w:pPr>
        <w:jc w:val="right"/>
        <w:rPr>
          <w:color w:val="000000"/>
          <w:highlight w:val="none"/>
        </w:rPr>
      </w:pPr>
    </w:p>
    <w:sectPr>
      <w:footerReference w:type="default" r:id="rId18"/>
      <w:footerReference w:type="first" r:id="rId19"/>
      <w:pgSz w:w="11907" w:h="16840"/>
      <w:pgMar w:top="1440" w:right="1080" w:bottom="1440" w:left="1080" w:header="851" w:footer="992" w:gutter="0"/>
      <w:cols w:space="720"/>
      <w:titlePg/>
      <w:docGrid w:linePitch="46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default"/>
    <w:sig w:usb0="E4002EFF" w:usb1="C000247B" w:usb2="00000009" w:usb3="00000000" w:csb0="200001FF" w:csb1="00000000"/>
  </w:font>
  <w:font w:name="黑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Wingdings">
    <w:panose1 w:val="05000000000000000000"/>
    <w:charset w:val="02"/>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FFFFFFFF" w:usb1="E9FFFFFF"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E0002EFF" w:usb1="C000785B" w:usb2="00000009" w:usb3="00000000" w:csb0="000001FF" w:csb1="00000000"/>
  </w:font>
  <w:font w:name="楷体_GB2312">
    <w:altName w:val="楷体"/>
    <w:panose1 w:val="00000000000000000000"/>
    <w:charset w:val="86"/>
    <w:family w:val="modern"/>
    <w:pitch w:val="default"/>
    <w:sig w:usb0="00000000" w:usb1="00000000" w:usb2="00000000" w:usb3="00000000" w:csb0="00040000" w:csb1="00000000"/>
  </w:font>
  <w:font w:name="PMingLiU">
    <w:altName w:val="Microsoft JhengHei UI"/>
    <w:panose1 w:val="02010601000101010101"/>
    <w:charset w:val="88"/>
    <w:family w:val="auto"/>
    <w:pitch w:val="default"/>
    <w:sig w:usb0="00000001" w:usb1="08080000" w:usb2="00000010" w:usb3="00000000" w:csb0="00100000" w:csb1="00000000"/>
  </w:font>
  <w:font w:name="长城仿宋">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_x000B__x000C_">
    <w:altName w:val="Times New Roman"/>
    <w:panose1 w:val="00000000000000000000"/>
    <w:charset w:val="00"/>
    <w:family w:val="roman"/>
    <w:pitch w:val="default"/>
    <w:sig w:usb0="00000000" w:usb1="00000000" w:usb2="00000000" w:usb3="00000000" w:csb0="00040001"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tabs>
        <w:tab w:val="center" w:pos="4153"/>
        <w:tab w:val="right" w:pos="8306"/>
      </w:tabs>
      <w:rPr>
        <w:rStyle w:val="PageNumber"/>
      </w:rPr>
    </w:pPr>
    <w:r>
      <w:fldChar w:fldCharType="begin"/>
    </w:r>
    <w:r>
      <w:rPr>
        <w:rStyle w:val="PageNumber"/>
      </w:rPr>
      <w:instrText xml:space="preserve">PAGE  </w:instrText>
    </w:r>
    <w:r>
      <w:fldChar w:fldCharType="separate"/>
    </w:r>
    <w:r>
      <w:fldChar w:fldCharType="end"/>
    </w:r>
  </w:p>
  <w:p>
    <w:pPr>
      <w:pStyle w:val="Footer"/>
      <w:tabs>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pPr>
    <w:r>
      <w:pict>
        <v:shapetype id="_x0000_t202" coordsize="21600,21600" o:spt="202" path="m,l,21600r21600,l21600,xe">
          <v:stroke joinstyle="miter"/>
          <v:path gradientshapeok="t" o:connecttype="rect"/>
        </v:shapetype>
        <v:shape id="文本框 1" o:spid="_x0000_s2049" type="#_x0000_t202" style="height:2in;margin-left:0;margin-top:0;mso-position-horizontal:center;mso-position-horizontal-relative:margin;mso-wrap-style:none;position:absolute;width:2in;z-index:251658240" filled="f" stroked="f">
          <v:stroke linestyle="single"/>
          <o:lock v:ext="edit" aspectratio="f"/>
          <v:textbox style="mso-fit-shape-to-text:t" inset="0,0,0,0">
            <w:txbxContent>
              <w:p>
                <w:pPr>
                  <w:pStyle w:val="Footer"/>
                  <w:tabs>
                    <w:tab w:val="center" w:pos="4153"/>
                    <w:tab w:val="right" w:pos="8306"/>
                  </w:tabs>
                </w:pPr>
                <w:r>
                  <w:fldChar w:fldCharType="begin"/>
                </w:r>
                <w:r>
                  <w:instrText xml:space="preserve"> PAGE  \* MERGEFORMAT </w:instrText>
                </w:r>
                <w:r>
                  <w:fldChar w:fldCharType="separate"/>
                </w:r>
                <w:r>
                  <w:t>5</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pPr>
    <w:r>
      <w:pict>
        <v:shapetype id="_x0000_t202" coordsize="21600,21600" o:spt="202" path="m,l,21600r21600,l21600,xe">
          <v:stroke joinstyle="miter"/>
          <v:path gradientshapeok="t" o:connecttype="rect"/>
        </v:shapetype>
        <v:shape id="文本框 2" o:spid="_x0000_s2050" type="#_x0000_t202" style="height:2in;margin-left:0;margin-top:0;mso-position-horizontal:center;mso-position-horizontal-relative:margin;mso-wrap-style:none;position:absolute;width:2in;z-index:251659264" filled="f" stroked="f">
          <v:stroke linestyle="single"/>
          <o:lock v:ext="edit" aspectratio="f"/>
          <v:textbox style="mso-fit-shape-to-text:t" inset="0,0,0,0">
            <w:txbxContent>
              <w:p>
                <w:pPr>
                  <w:pStyle w:val="Footer"/>
                  <w:tabs>
                    <w:tab w:val="center" w:pos="4153"/>
                    <w:tab w:val="right" w:pos="8306"/>
                  </w:tabs>
                </w:pPr>
                <w:r>
                  <w:fldChar w:fldCharType="begin"/>
                </w:r>
                <w:r>
                  <w:instrText xml:space="preserve"> PAGE  \* MERGEFORMAT </w:instrText>
                </w:r>
                <w:r>
                  <w:fldChar w:fldCharType="separate"/>
                </w:r>
                <w:r>
                  <w:t>30</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tabs>
        <w:tab w:val="center" w:pos="4153"/>
        <w:tab w:val="right" w:pos="8306"/>
      </w:tabs>
      <w:rPr>
        <w:rStyle w:val="PageNumber"/>
      </w:rPr>
    </w:pPr>
    <w:r>
      <w:t xml:space="preserve">- </w:t>
    </w:r>
    <w:r>
      <w:fldChar w:fldCharType="begin"/>
    </w:r>
    <w:r>
      <w:instrText xml:space="preserve"> PAGE </w:instrText>
    </w:r>
    <w:r>
      <w:fldChar w:fldCharType="separate"/>
    </w:r>
    <w:r>
      <w:t>29</w:t>
    </w:r>
    <w:r>
      <w:fldChar w:fldCharType="end"/>
    </w:r>
    <w:r>
      <w:t xml:space="preserve"> -</w:t>
    </w:r>
  </w:p>
  <w:p>
    <w:pPr>
      <w:pStyle w:val="Footer"/>
      <w:tabs>
        <w:tab w:val="center" w:pos="4153"/>
        <w:tab w:val="right" w:pos="8306"/>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文本框 3" o:spid="_x0000_s2051" type="#_x0000_t202" style="height:2in;margin-left:0;margin-top:0;mso-position-horizontal:center;mso-position-horizontal-relative:margin;mso-wrap-style:none;position:absolute;width:2in;z-index:251660288" filled="f" stroked="f">
          <v:stroke linestyle="single"/>
          <o:lock v:ext="edit" aspectratio="f"/>
          <v:textbox style="mso-fit-shape-to-text:t" inset="0,0,0,0">
            <w:txbxContent>
              <w:p>
                <w:pPr>
                  <w:pStyle w:val="Footer"/>
                  <w:tabs>
                    <w:tab w:val="center" w:pos="4153"/>
                    <w:tab w:val="right" w:pos="8306"/>
                  </w:tabs>
                </w:pPr>
                <w:r>
                  <w:fldChar w:fldCharType="begin"/>
                </w:r>
                <w:r>
                  <w:instrText xml:space="preserve"> PAGE  \* MERGEFORMAT </w:instrText>
                </w:r>
                <w:r>
                  <w:fldChar w:fldCharType="separate"/>
                </w:r>
                <w:r>
                  <w:t>60</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文本框 4" o:spid="_x0000_s2052" type="#_x0000_t202" style="height:2in;margin-left:0;margin-top:0;mso-position-horizontal:center;mso-position-horizontal-relative:margin;mso-wrap-style:none;position:absolute;width:2in;z-index:251663360" filled="f" stroked="f">
          <v:stroke linestyle="single"/>
          <o:lock v:ext="edit" aspectratio="f"/>
          <v:textbox style="mso-fit-shape-to-text:t" inset="0,0,0,0">
            <w:txbxContent>
              <w:p>
                <w:pPr>
                  <w:pStyle w:val="Footer"/>
                  <w:tabs>
                    <w:tab w:val="center" w:pos="4153"/>
                    <w:tab w:val="right" w:pos="8306"/>
                  </w:tabs>
                </w:pPr>
                <w:r>
                  <w:fldChar w:fldCharType="begin"/>
                </w:r>
                <w:r>
                  <w:instrText xml:space="preserve"> PAGE  \* MERGEFORMAT </w:instrText>
                </w:r>
                <w:r>
                  <w:fldChar w:fldCharType="separate"/>
                </w:r>
                <w:r>
                  <w:t>61</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153"/>
        <w:tab w:val="center" w:pos="4320"/>
        <w:tab w:val="clear" w:pos="8306"/>
        <w:tab w:val="right" w:pos="8640"/>
      </w:tabs>
      <w:jc w:val="right"/>
    </w:pPr>
    <w:r>
      <w:pict>
        <v:shapetype id="_x0000_t202" coordsize="21600,21600" o:spt="202" path="m,l,21600r21600,l21600,xe">
          <v:stroke joinstyle="miter"/>
          <v:path gradientshapeok="t" o:connecttype="rect"/>
        </v:shapetype>
        <v:shape id="文本框 5" o:spid="_x0000_s2053" type="#_x0000_t202" style="height:2in;margin-left:0;margin-top:0;mso-position-horizontal:center;mso-position-horizontal-relative:margin;mso-wrap-style:none;position:absolute;width:2in;z-index:251661312" filled="f" stroked="f">
          <v:stroke linestyle="single"/>
          <o:lock v:ext="edit" aspectratio="f"/>
          <v:textbox style="mso-fit-shape-to-text:t" inset="0,0,0,0">
            <w:txbxContent>
              <w:p>
                <w:pPr>
                  <w:pStyle w:val="Footer"/>
                  <w:tabs>
                    <w:tab w:val="center" w:pos="4153"/>
                    <w:tab w:val="right" w:pos="8306"/>
                  </w:tabs>
                </w:pPr>
                <w:r>
                  <w:fldChar w:fldCharType="begin"/>
                </w:r>
                <w:r>
                  <w:instrText xml:space="preserve"> PAGE  \* MERGEFORMAT </w:instrText>
                </w:r>
                <w:r>
                  <w:fldChar w:fldCharType="separate"/>
                </w:r>
                <w:r>
                  <w:t>67</w:t>
                </w:r>
                <w: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153"/>
        <w:tab w:val="center" w:pos="4320"/>
        <w:tab w:val="clear" w:pos="8306"/>
        <w:tab w:val="right" w:pos="8640"/>
      </w:tabs>
      <w:jc w:val="center"/>
    </w:pPr>
    <w:r>
      <w:pict>
        <v:shapetype id="_x0000_t202" coordsize="21600,21600" o:spt="202" path="m,l,21600r21600,l21600,xe">
          <v:stroke joinstyle="miter"/>
          <v:path gradientshapeok="t" o:connecttype="rect"/>
        </v:shapetype>
        <v:shape id="文本框 6" o:spid="_x0000_s2054" type="#_x0000_t202" style="height:2in;margin-left:0;margin-top:0;mso-position-horizontal:center;mso-position-horizontal-relative:margin;mso-wrap-style:none;position:absolute;width:2in;z-index:251662336" filled="f" stroked="f">
          <v:stroke linestyle="single"/>
          <o:lock v:ext="edit" aspectratio="f"/>
          <v:textbox style="mso-fit-shape-to-text:t" inset="0,0,0,0">
            <w:txbxContent>
              <w:p>
                <w:pPr>
                  <w:pStyle w:val="Footer"/>
                  <w:tabs>
                    <w:tab w:val="center" w:pos="4153"/>
                    <w:tab w:val="right" w:pos="8306"/>
                  </w:tabs>
                </w:pPr>
                <w:r>
                  <w:fldChar w:fldCharType="begin"/>
                </w:r>
                <w:r>
                  <w:instrText xml:space="preserve"> PAGE  \* MERGEFORMAT </w:instrText>
                </w:r>
                <w:r>
                  <w:fldChar w:fldCharType="separate"/>
                </w:r>
                <w:r>
                  <w:t>62</w:t>
                </w:r>
                <w: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pBdr>
        <w:top w:val="nil"/>
        <w:left w:val="nil"/>
        <w:bottom w:val="single" w:sz="4" w:space="1" w:color="auto"/>
        <w:right w:val="nil"/>
      </w:pBdr>
      <w:tabs>
        <w:tab w:val="center" w:pos="4153"/>
        <w:tab w:val="right" w:pos="8306"/>
      </w:tabs>
      <w:jc w:val="center"/>
      <w:rPr>
        <w:rFonts w:hint="eastAsia"/>
        <w:u w:val="single"/>
      </w:rPr>
    </w:pPr>
    <w:r>
      <w:rPr>
        <w:rFonts w:hint="eastAsia"/>
        <w:u w:val="single"/>
      </w:rPr>
      <w:t>纯水机</w:t>
    </w:r>
  </w:p>
  <w:p>
    <w:pPr>
      <w:pStyle w:val="Footer"/>
      <w:framePr w:wrap="around" w:vAnchor="text" w:hAnchor="margin" w:xAlign="center" w:y="1"/>
      <w:pBdr>
        <w:top w:val="nil"/>
        <w:left w:val="nil"/>
        <w:bottom w:val="single" w:sz="4" w:space="1" w:color="auto"/>
        <w:right w:val="nil"/>
      </w:pBdr>
      <w:tabs>
        <w:tab w:val="center" w:pos="4153"/>
        <w:tab w:val="right" w:pos="8306"/>
      </w:tabs>
      <w:jc w:val="center"/>
      <w:rPr>
        <w:rFonts w:hint="eastAsia"/>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Bdr>
        <w:bottom w:val="single" w:sz="4" w:space="0" w:color="auto"/>
      </w:pBdr>
      <w:tabs>
        <w:tab w:val="center" w:pos="4153"/>
        <w:tab w:val="right" w:pos="8306"/>
      </w:tabs>
      <w:jc w:val="center"/>
      <w:rPr>
        <w:rFonts w:hint="eastAsia"/>
      </w:rPr>
    </w:pPr>
    <w:r>
      <w:rPr>
        <w:rFonts w:hint="eastAsia"/>
      </w:rPr>
      <w:t>环境工程-纯水机</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single" w:sz="4" w:space="1" w:color="auto"/>
      </w:pBdr>
      <w:tabs>
        <w:tab w:val="center" w:pos="4153"/>
        <w:tab w:val="right" w:pos="8306"/>
      </w:tabs>
      <w:rPr>
        <w:rFonts w:hint="eastAsia"/>
      </w:rPr>
    </w:pPr>
    <w:r>
      <w:rPr>
        <w:rFonts w:hint="eastAsia"/>
      </w:rPr>
      <w:t>环境工程-纯水机</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enter" w:pos="4153"/>
        <w:tab w:val="right" w:pos="8306"/>
      </w:tabs>
      <w:rPr>
        <w:rFonts w:hint="eastAsia"/>
      </w:rPr>
    </w:pPr>
    <w:r>
      <w:rPr>
        <w:rFonts w:hint="eastAsia"/>
      </w:rPr>
      <w:t>环境工程-纯水机</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enter" w:pos="4153"/>
        <w:tab w:val="right" w:pos="8306"/>
      </w:tabs>
      <w:rPr>
        <w:rFonts w:hint="eastAsia"/>
      </w:rPr>
    </w:pPr>
    <w:r>
      <w:rPr>
        <w:rFonts w:hint="eastAsia"/>
      </w:rPr>
      <w:t>环境工程-纯水机</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1C8D79"/>
    <w:multiLevelType w:val="singleLevel"/>
    <w:tmpl w:val="C91C8D79"/>
    <w:lvl w:ilvl="0">
      <w:start w:val="2"/>
      <w:numFmt w:val="chineseCounting"/>
      <w:suff w:val="space"/>
      <w:lvlText w:val="第%1章"/>
      <w:lvlJc w:val="left"/>
      <w:rPr>
        <w:rFonts w:hint="eastAsia"/>
      </w:rPr>
    </w:lvl>
  </w:abstractNum>
  <w:abstractNum w:abstractNumId="1">
    <w:nsid w:val="FC7A25A7"/>
    <w:multiLevelType w:val="singleLevel"/>
    <w:tmpl w:val="FC7A25A7"/>
    <w:lvl w:ilvl="0">
      <w:start w:val="1"/>
      <w:numFmt w:val="decimal"/>
      <w:lvlText w:val="%1."/>
      <w:lvlJc w:val="left"/>
      <w:pPr>
        <w:ind w:left="0" w:firstLine="0"/>
      </w:pPr>
      <w:rPr>
        <w:rFonts w:hint="default"/>
      </w:rPr>
    </w:lvl>
  </w:abstractNum>
  <w:abstractNum w:abstractNumId="2">
    <w:nsid w:val="00000001"/>
    <w:multiLevelType w:val="multilevel"/>
    <w:tmpl w:val="00000001"/>
    <w:lvl w:ilvl="0">
      <w:start w:val="1"/>
      <w:numFmt w:val="decimal"/>
      <w:suff w:val="nothing"/>
      <w:lvlText w:val="%1．"/>
      <w:lvlJc w:val="left"/>
      <w:pPr>
        <w:ind w:left="20" w:firstLine="400"/>
      </w:pPr>
      <w:rPr>
        <w:rFonts w:hint="default"/>
        <w:b w:val="0"/>
      </w:rPr>
    </w:lvl>
    <w:lvl w:ilvl="1">
      <w:start w:val="1"/>
      <w:numFmt w:val="lowerLetter"/>
      <w:lvlText w:val="%2)"/>
      <w:lvlJc w:val="left"/>
      <w:pPr>
        <w:tabs>
          <w:tab w:val="num" w:pos="1920"/>
        </w:tabs>
        <w:ind w:left="1920" w:hanging="420"/>
      </w:pPr>
    </w:lvl>
    <w:lvl w:ilvl="2">
      <w:start w:val="1"/>
      <w:numFmt w:val="lowerRoman"/>
      <w:lvlText w:val="%3."/>
      <w:lvlJc w:val="right"/>
      <w:pPr>
        <w:tabs>
          <w:tab w:val="num" w:pos="2340"/>
        </w:tabs>
        <w:ind w:left="2340" w:hanging="420"/>
      </w:pPr>
    </w:lvl>
    <w:lvl w:ilvl="3">
      <w:start w:val="1"/>
      <w:numFmt w:val="decimal"/>
      <w:lvlText w:val="%4."/>
      <w:lvlJc w:val="left"/>
      <w:pPr>
        <w:tabs>
          <w:tab w:val="num" w:pos="2760"/>
        </w:tabs>
        <w:ind w:left="2760" w:hanging="420"/>
      </w:pPr>
    </w:lvl>
    <w:lvl w:ilvl="4">
      <w:start w:val="1"/>
      <w:numFmt w:val="lowerLetter"/>
      <w:lvlText w:val="%5)"/>
      <w:lvlJc w:val="left"/>
      <w:pPr>
        <w:tabs>
          <w:tab w:val="num" w:pos="3180"/>
        </w:tabs>
        <w:ind w:left="3180" w:hanging="420"/>
      </w:pPr>
    </w:lvl>
    <w:lvl w:ilvl="5">
      <w:start w:val="1"/>
      <w:numFmt w:val="lowerRoman"/>
      <w:lvlText w:val="%6."/>
      <w:lvlJc w:val="right"/>
      <w:pPr>
        <w:tabs>
          <w:tab w:val="num" w:pos="3600"/>
        </w:tabs>
        <w:ind w:left="3600" w:hanging="420"/>
      </w:pPr>
    </w:lvl>
    <w:lvl w:ilvl="6">
      <w:start w:val="1"/>
      <w:numFmt w:val="decimal"/>
      <w:lvlText w:val="%7."/>
      <w:lvlJc w:val="left"/>
      <w:pPr>
        <w:tabs>
          <w:tab w:val="num" w:pos="4020"/>
        </w:tabs>
        <w:ind w:left="4020" w:hanging="420"/>
      </w:pPr>
    </w:lvl>
    <w:lvl w:ilvl="7">
      <w:start w:val="1"/>
      <w:numFmt w:val="lowerLetter"/>
      <w:lvlText w:val="%8)"/>
      <w:lvlJc w:val="left"/>
      <w:pPr>
        <w:tabs>
          <w:tab w:val="num" w:pos="4440"/>
        </w:tabs>
        <w:ind w:left="4440" w:hanging="420"/>
      </w:pPr>
    </w:lvl>
    <w:lvl w:ilvl="8">
      <w:start w:val="1"/>
      <w:numFmt w:val="lowerRoman"/>
      <w:lvlText w:val="%9."/>
      <w:lvlJc w:val="right"/>
      <w:pPr>
        <w:tabs>
          <w:tab w:val="num" w:pos="4860"/>
        </w:tabs>
        <w:ind w:left="4860" w:hanging="420"/>
      </w:pPr>
    </w:lvl>
  </w:abstractNum>
  <w:abstractNum w:abstractNumId="3">
    <w:nsid w:val="0000000C"/>
    <w:multiLevelType w:val="singleLevel"/>
    <w:tmpl w:val="0000000C"/>
    <w:lvl w:ilvl="0">
      <w:start w:val="1"/>
      <w:numFmt w:val="decimal"/>
      <w:lvlText w:val="%1."/>
      <w:lvlJc w:val="left"/>
      <w:pPr>
        <w:tabs>
          <w:tab w:val="num" w:pos="2040"/>
        </w:tabs>
        <w:ind w:left="2040" w:hanging="360"/>
      </w:pPr>
    </w:lvl>
  </w:abstractNum>
  <w:abstractNum w:abstractNumId="4">
    <w:nsid w:val="0000000D"/>
    <w:multiLevelType w:val="singleLevel"/>
    <w:tmpl w:val="0000000D"/>
    <w:lvl w:ilvl="0">
      <w:start w:val="1"/>
      <w:numFmt w:val="bullet"/>
      <w:lvlText w:val=""/>
      <w:lvlJc w:val="left"/>
      <w:pPr>
        <w:tabs>
          <w:tab w:val="num" w:pos="360"/>
        </w:tabs>
        <w:ind w:left="360" w:hanging="360"/>
      </w:pPr>
      <w:rPr>
        <w:rFonts w:ascii="Wingdings" w:hAnsi="Wingdings" w:hint="default"/>
      </w:rPr>
    </w:lvl>
  </w:abstractNum>
  <w:abstractNum w:abstractNumId="5">
    <w:nsid w:val="0000000E"/>
    <w:multiLevelType w:val="multilevel"/>
    <w:tmpl w:val="0000000E"/>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0F"/>
    <w:multiLevelType w:val="multilevel"/>
    <w:tmpl w:val="0000000F"/>
    <w:lvl w:ilvl="0">
      <w:start w:val="1"/>
      <w:numFmt w:val="chineseCounting"/>
      <w:suff w:val="nothing"/>
      <w:lvlText w:val="%1、"/>
      <w:lvlJc w:val="left"/>
      <w:pPr>
        <w:ind w:left="0" w:firstLine="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00000010"/>
    <w:multiLevelType w:val="multilevel"/>
    <w:tmpl w:val="0000001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00000011"/>
    <w:multiLevelType w:val="multilevel"/>
    <w:tmpl w:val="00000011"/>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9">
    <w:nsid w:val="00000012"/>
    <w:multiLevelType w:val="multilevel"/>
    <w:tmpl w:val="0000001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00000013"/>
    <w:multiLevelType w:val="multilevel"/>
    <w:tmpl w:val="00000013"/>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140"/>
        </w:tabs>
        <w:ind w:left="1140" w:hanging="42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00000014"/>
    <w:multiLevelType w:val="singleLevel"/>
    <w:tmpl w:val="00000014"/>
    <w:lvl w:ilvl="0">
      <w:start w:val="2"/>
      <w:numFmt w:val="chineseCounting"/>
      <w:suff w:val="nothing"/>
      <w:lvlText w:val="%1、"/>
      <w:lvlJc w:val="left"/>
      <w:rPr>
        <w:rFonts w:hint="eastAsia"/>
      </w:rPr>
    </w:lvl>
  </w:abstractNum>
  <w:abstractNum w:abstractNumId="12">
    <w:nsid w:val="00000015"/>
    <w:multiLevelType w:val="multilevel"/>
    <w:tmpl w:val="00000015"/>
    <w:lvl w:ilvl="0">
      <w:start w:val="1"/>
      <w:numFmt w:val="japaneseCounting"/>
      <w:lvlText w:val="（%1）"/>
      <w:lvlJc w:val="left"/>
      <w:pPr>
        <w:tabs>
          <w:tab w:val="num" w:pos="720"/>
        </w:tabs>
        <w:ind w:left="720" w:hanging="720"/>
      </w:pPr>
      <w:rPr>
        <w:rFonts w:hint="eastAsia"/>
        <w:b/>
        <w:bC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6"/>
    <w:multiLevelType w:val="singleLevel"/>
    <w:tmpl w:val="00000016"/>
    <w:lvl w:ilvl="0">
      <w:start w:val="1"/>
      <w:numFmt w:val="decimal"/>
      <w:lvlText w:val="%1)"/>
      <w:lvlJc w:val="left"/>
      <w:pPr>
        <w:tabs>
          <w:tab w:val="num" w:pos="425"/>
        </w:tabs>
        <w:ind w:left="425" w:hanging="425"/>
      </w:pPr>
      <w:rPr>
        <w:rFonts w:hint="default"/>
      </w:rPr>
    </w:lvl>
  </w:abstractNum>
  <w:abstractNum w:abstractNumId="14">
    <w:nsid w:val="00000018"/>
    <w:multiLevelType w:val="multilevel"/>
    <w:tmpl w:val="00000018"/>
    <w:lvl w:ilvl="0">
      <w:start w:val="1"/>
      <w:numFmt w:val="decimal"/>
      <w:suff w:val="nothing"/>
      <w:lvlText w:val="表%1　"/>
      <w:lvlJc w:val="left"/>
      <w:pPr>
        <w:ind w:left="63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nsid w:val="00000019"/>
    <w:multiLevelType w:val="multilevel"/>
    <w:tmpl w:val="00000019"/>
    <w:lvl w:ilvl="0">
      <w:start w:val="1"/>
      <w:numFmt w:val="chineseCountingThousand"/>
      <w:lvlText w:val="%1"/>
      <w:lvlJc w:val="left"/>
      <w:pPr>
        <w:tabs>
          <w:tab w:val="num" w:pos="1290"/>
        </w:tabs>
        <w:ind w:left="630" w:hanging="420"/>
      </w:pPr>
      <w:rPr>
        <w:rFonts w:hint="eastAsia"/>
        <w:sz w:val="32"/>
        <w:szCs w:val="3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1C"/>
    <w:multiLevelType w:val="multilevel"/>
    <w:tmpl w:val="0000001C"/>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0000001E"/>
    <w:multiLevelType w:val="singleLevel"/>
    <w:tmpl w:val="0000001E"/>
    <w:lvl w:ilvl="0">
      <w:start w:val="1"/>
      <w:numFmt w:val="chineseCounting"/>
      <w:suff w:val="nothing"/>
      <w:lvlText w:val="%1、"/>
      <w:lvlJc w:val="left"/>
      <w:pPr>
        <w:ind w:left="0" w:firstLine="420"/>
      </w:pPr>
      <w:rPr>
        <w:rFonts w:hint="eastAsia"/>
      </w:rPr>
    </w:lvl>
  </w:abstractNum>
  <w:abstractNum w:abstractNumId="18">
    <w:nsid w:val="00000022"/>
    <w:multiLevelType w:val="singleLevel"/>
    <w:tmpl w:val="00000022"/>
    <w:lvl w:ilvl="0">
      <w:start w:val="1"/>
      <w:numFmt w:val="decimal"/>
      <w:suff w:val="nothing"/>
      <w:lvlText w:val="%1．"/>
      <w:lvlJc w:val="left"/>
      <w:pPr>
        <w:ind w:left="20" w:firstLine="400"/>
      </w:pPr>
      <w:rPr>
        <w:rFonts w:ascii="宋体" w:eastAsia="宋体" w:hAnsi="宋体" w:hint="default"/>
        <w:b w:val="0"/>
      </w:rPr>
    </w:lvl>
  </w:abstractNum>
  <w:abstractNum w:abstractNumId="19">
    <w:nsid w:val="66A8637B"/>
    <w:multiLevelType w:val="singleLevel"/>
    <w:tmpl w:val="66A8637B"/>
    <w:lvl w:ilvl="0">
      <w:start w:val="1"/>
      <w:numFmt w:val="chineseCounting"/>
      <w:suff w:val="nothing"/>
      <w:lvlText w:val="%1、"/>
      <w:lvlJc w:val="left"/>
      <w:pPr>
        <w:ind w:left="0" w:firstLine="420"/>
      </w:pPr>
      <w:rPr>
        <w:rFonts w:hint="eastAsia"/>
        <w:b/>
        <w:bCs/>
      </w:rPr>
    </w:lvl>
  </w:abstractNum>
  <w:abstractNum w:abstractNumId="20">
    <w:nsid w:val="78C90F4C"/>
    <w:multiLevelType w:val="multilevel"/>
    <w:tmpl w:val="78C90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7"/>
  </w:num>
  <w:num w:numId="4">
    <w:abstractNumId w:val="15"/>
  </w:num>
  <w:num w:numId="5">
    <w:abstractNumId w:val="14"/>
  </w:num>
  <w:num w:numId="6">
    <w:abstractNumId w:val="8"/>
  </w:num>
  <w:num w:numId="7">
    <w:abstractNumId w:val="10"/>
  </w:num>
  <w:num w:numId="8">
    <w:abstractNumId w:val="6"/>
  </w:num>
  <w:num w:numId="9">
    <w:abstractNumId w:val="5"/>
  </w:num>
  <w:num w:numId="10">
    <w:abstractNumId w:val="0"/>
  </w:num>
  <w:num w:numId="11">
    <w:abstractNumId w:val="20"/>
  </w:num>
  <w:num w:numId="12">
    <w:abstractNumId w:val="19"/>
  </w:num>
  <w:num w:numId="13">
    <w:abstractNumId w:val="13"/>
  </w:num>
  <w:num w:numId="14">
    <w:abstractNumId w:val="17"/>
  </w:num>
  <w:num w:numId="15">
    <w:abstractNumId w:val="2"/>
  </w:num>
  <w:num w:numId="16">
    <w:abstractNumId w:val="18"/>
  </w:num>
  <w:num w:numId="17">
    <w:abstractNumId w:val="11"/>
  </w:num>
  <w:num w:numId="18">
    <w:abstractNumId w:val="9"/>
  </w:num>
  <w:num w:numId="19">
    <w:abstractNumId w:val="1"/>
  </w:num>
  <w:num w:numId="20">
    <w:abstractNumId w:val="12"/>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trackRevisions/>
  <w:defaultTabStop w:val="420"/>
  <w:drawingGridHorizontalSpacing w:val="105"/>
  <w:drawingGridVerticalSpacing w:val="156"/>
  <w:doNotShadeFormData/>
  <w:noPunctuationKerning/>
  <w:characterSpacingControl w:val="compressPunctuation"/>
  <w:noLineBreaksAfter w:lang="en-US" w:val="([{·‘“〈《「『【〔〖（．［｛￡￥"/>
  <w:noLineBreaksBefore w:lang="en-US" w:val="!),.:;?]}¨·ˇˉ―‖’”…∶、。〃々〉》」』】〕〗！＂＇），．：；？］｀｜｝～￠"/>
  <w:compat>
    <w:spaceForUL/>
    <w:balanceSingleByteDoubleByteWidth/>
    <w:doNotLeaveBackslashAlone/>
    <w:ulTrailSpace/>
    <w:doNotExpandShiftReturn/>
    <w:adjustLineHeightInTable/>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jRhNzI3MjVkMGMxODM4OWI1OTMwZjkyYzNjZTFlOGMifQ=="/>
    <w:docVar w:name="KSO_WPS_MARK_KEY" w:val="2ccc8e1f-a850-49f7-bc74-8d3775115c86"/>
    <w:docVar w:name="__Grammarly_42___1" w:val="H4sIAAAAAAAEAKtWcslP9kxRslIyNDayMDM1NjY3NjQxtDQzNzJR0lEKTi0uzszPAykwqgUAL0qm4iwAAAA="/>
    <w:docVar w:name="__Grammarly_42____i" w:val="H4sIAAAAAAAEAKtWckksSQxILCpxzi/NK1GyMqwFAAEhoTITAAAA"/>
  </w:docVar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iPriority="0" w:unhideWhenUsed="0" w:qFormat="1"/>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semiHidden="0" w:uiPriority="0" w:unhideWhenUsed="0" w:qFormat="1"/>
    <w:lsdException w:name="toc 6" w:semiHidden="0" w:uiPriority="0" w:unhideWhenUsed="0" w:qFormat="1"/>
    <w:lsdException w:name="toc 7" w:semiHidden="0" w:uiPriority="0" w:unhideWhenUsed="0" w:qFormat="1"/>
    <w:lsdException w:name="toc 8" w:semiHidden="0" w:uiPriority="0" w:unhideWhenUsed="0" w:qFormat="1"/>
    <w:lsdException w:name="toc 9" w:semiHidden="0" w:uiPriority="0" w:unhideWhenUsed="0" w:qFormat="1"/>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semiHidden="0" w:uiPriority="0" w:unhideWhenUsed="0" w:qFormat="1"/>
    <w:lsdException w:name="table of figures" w:semiHidden="0" w:uiPriority="0" w:unhideWhenUsed="0"/>
    <w:lsdException w:name="envelope address" w:semiHidden="0" w:uiPriority="0" w:unhideWhenUsed="0"/>
    <w:lsdException w:name="envelope return" w:semiHidden="0" w:uiPriority="0" w:unhideWhenUsed="0" w:qFormat="1"/>
    <w:lsdException w:name="footnote reference" w:semiHidden="0" w:uiPriority="0" w:unhideWhenUsed="0"/>
    <w:lsdException w:name="annotation reference" w:semiHidden="0" w:unhideWhenUsed="0" w:qFormat="1"/>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qFormat="1"/>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lsdException w:name="Body Text" w:semiHidden="0" w:uiPriority="0" w:unhideWhenUsed="0" w:qFormat="1"/>
    <w:lsdException w:name="Body Text Indent" w:semiHidden="0" w:uiPriority="0" w:unhideWhenUsed="0" w:qFormat="1"/>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qFormat="1"/>
    <w:lsdException w:name="Body Text First Indent" w:semiHidden="0" w:uiPriority="0" w:unhideWhenUsed="0" w:qFormat="1"/>
    <w:lsdException w:name="Body Text First Indent 2" w:semiHidden="0" w:uiPriority="0" w:unhideWhenUsed="0" w:qFormat="1"/>
    <w:lsdException w:name="note heading" w:semiHidden="0" w:uiPriority="0" w:unhideWhenUsed="0"/>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iPriority="0" w:unhideWhenUsed="0" w:qFormat="1"/>
    <w:lsdException w:name="FollowedHyperlink" w:semiHidden="0" w:uiPriority="0" w:unhideWhenUsed="0" w:qFormat="1"/>
    <w:lsdException w:name="Strong" w:semiHidden="0" w:uiPriority="0" w:unhideWhenUsed="0" w:qFormat="1"/>
    <w:lsdException w:name="Emphasis" w:semiHidden="0" w:uiPriority="0" w:unhideWhenUsed="0" w:qFormat="1"/>
    <w:lsdException w:name="Document Map" w:semiHidden="0" w:uiPriority="0" w:unhideWhenUsed="0" w:qFormat="1"/>
    <w:lsdException w:name="Plain Text" w:semiHidden="0" w:uiPriority="0" w:unhideWhenUsed="0"/>
    <w:lsdException w:name="E-mail Signature" w:semiHidden="0" w:uiPriority="0" w:unhideWhenUsed="0"/>
    <w:lsdException w:name="Normal (Web)" w:semiHidden="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qFormat="1"/>
    <w:lsdException w:name="HTML Definition" w:semiHidden="0" w:uiPriority="0" w:unhideWhenUsed="0" w:qFormat="1"/>
    <w:lsdException w:name="HTML Keyboard" w:semiHidden="0" w:uiPriority="0" w:unhideWhenUsed="0" w:qFormat="1"/>
    <w:lsdException w:name="HTML Preformatted" w:semiHidden="0" w:uiPriority="0" w:unhideWhenUsed="0" w:qFormat="1"/>
    <w:lsdException w:name="HTML Sample" w:semiHidden="0" w:uiPriority="0" w:unhideWhenUsed="0" w:qFormat="1"/>
    <w:lsdException w:name="HTML Typewriter" w:semiHidden="0" w:uiPriority="0" w:unhideWhenUsed="0"/>
    <w:lsdException w:name="HTML Variable" w:semiHidden="0" w:uiPriority="0" w:unhideWhenUsed="0" w:qFormat="1"/>
    <w:lsdException w:name="Normal Table" w:semiHidden="0"/>
    <w:lsdException w:name="annotation subject" w:semiHidden="0" w:uiPriority="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semiHidden="0" w:uiPriority="0" w:unhideWhenUsed="0" w:qFormat="1"/>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qFormat="1"/>
    <w:lsdException w:name="Table Theme" w:uiPriority="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kern w:val="2"/>
      <w:sz w:val="21"/>
      <w:szCs w:val="24"/>
      <w:lang w:val="en-US" w:eastAsia="zh-CN" w:bidi="ar-SA"/>
    </w:rPr>
  </w:style>
  <w:style w:type="paragraph" w:styleId="Heading1">
    <w:name w:val="heading 1"/>
    <w:basedOn w:val="Normal"/>
    <w:next w:val="Normal"/>
    <w:link w:val="11"/>
    <w:qFormat/>
    <w:pPr>
      <w:spacing w:before="340" w:after="330" w:line="360" w:lineRule="auto"/>
      <w:jc w:val="center"/>
      <w:outlineLvl w:val="0"/>
    </w:pPr>
    <w:rPr>
      <w:rFonts w:eastAsia="黑体"/>
      <w:kern w:val="44"/>
      <w:szCs w:val="44"/>
    </w:rPr>
  </w:style>
  <w:style w:type="paragraph" w:styleId="Heading2">
    <w:name w:val="heading 2"/>
    <w:basedOn w:val="Normal"/>
    <w:next w:val="NormalIndent"/>
    <w:link w:val="21"/>
    <w:qFormat/>
    <w:pPr>
      <w:adjustRightInd w:val="0"/>
      <w:jc w:val="center"/>
      <w:textAlignment w:val="baseline"/>
      <w:outlineLvl w:val="1"/>
    </w:pPr>
    <w:rPr>
      <w:rFonts w:ascii="宋体" w:hAnsi="宋体"/>
      <w:b/>
      <w:bCs/>
      <w:kern w:val="0"/>
      <w:sz w:val="24"/>
      <w:szCs w:val="20"/>
    </w:rPr>
  </w:style>
  <w:style w:type="paragraph" w:styleId="Heading3">
    <w:name w:val="heading 3"/>
    <w:basedOn w:val="Heading4"/>
    <w:next w:val="NormalIndent"/>
    <w:link w:val="31"/>
    <w:qFormat/>
    <w:pPr>
      <w:spacing w:before="260" w:after="260" w:line="240" w:lineRule="auto"/>
      <w:outlineLvl w:val="2"/>
    </w:pPr>
    <w:rPr>
      <w:rFonts w:ascii="宋体" w:eastAsia="宋体" w:hAnsi="宋体"/>
      <w:szCs w:val="32"/>
    </w:rPr>
  </w:style>
  <w:style w:type="paragraph" w:styleId="Heading4">
    <w:name w:val="heading 4"/>
    <w:basedOn w:val="Normal"/>
    <w:next w:val="Normal"/>
    <w:link w:val="41"/>
    <w:qFormat/>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Indent"/>
    <w:link w:val="51"/>
    <w:qFormat/>
    <w:pPr>
      <w:keepNext/>
      <w:keepLines/>
      <w:spacing w:before="280" w:after="290" w:line="376" w:lineRule="auto"/>
      <w:outlineLvl w:val="4"/>
    </w:pPr>
    <w:rPr>
      <w:b/>
      <w:sz w:val="28"/>
      <w:szCs w:val="20"/>
    </w:rPr>
  </w:style>
  <w:style w:type="paragraph" w:styleId="Heading6">
    <w:name w:val="heading 6"/>
    <w:basedOn w:val="Normal"/>
    <w:next w:val="NormalIndent"/>
    <w:link w:val="61"/>
    <w:qFormat/>
    <w:pPr>
      <w:keepNext/>
      <w:keepLines/>
      <w:spacing w:before="240" w:after="64" w:line="320" w:lineRule="auto"/>
      <w:outlineLvl w:val="5"/>
    </w:pPr>
    <w:rPr>
      <w:rFonts w:ascii="Arial" w:eastAsia="黑体" w:hAnsi="Arial"/>
      <w:b/>
      <w:sz w:val="24"/>
      <w:szCs w:val="20"/>
    </w:rPr>
  </w:style>
  <w:style w:type="paragraph" w:styleId="Heading7">
    <w:name w:val="heading 7"/>
    <w:basedOn w:val="Normal"/>
    <w:next w:val="NormalIndent"/>
    <w:link w:val="71"/>
    <w:qFormat/>
    <w:pPr>
      <w:keepNext/>
      <w:keepLines/>
      <w:spacing w:before="240" w:after="64" w:line="320" w:lineRule="auto"/>
      <w:outlineLvl w:val="6"/>
    </w:pPr>
    <w:rPr>
      <w:b/>
      <w:sz w:val="24"/>
      <w:szCs w:val="20"/>
    </w:rPr>
  </w:style>
  <w:style w:type="paragraph" w:styleId="Heading8">
    <w:name w:val="heading 8"/>
    <w:basedOn w:val="Normal"/>
    <w:next w:val="NormalIndent"/>
    <w:link w:val="81"/>
    <w:qFormat/>
    <w:pPr>
      <w:keepNext/>
      <w:keepLines/>
      <w:spacing w:before="240" w:after="64" w:line="320" w:lineRule="auto"/>
      <w:outlineLvl w:val="7"/>
    </w:pPr>
    <w:rPr>
      <w:rFonts w:ascii="Arial" w:eastAsia="黑体" w:hAnsi="Arial"/>
      <w:sz w:val="24"/>
      <w:szCs w:val="20"/>
    </w:rPr>
  </w:style>
  <w:style w:type="paragraph" w:styleId="Heading9">
    <w:name w:val="heading 9"/>
    <w:basedOn w:val="Normal"/>
    <w:next w:val="NormalIndent"/>
    <w:link w:val="91"/>
    <w:qFormat/>
    <w:pPr>
      <w:keepNext/>
      <w:keepLines/>
      <w:spacing w:before="240" w:after="64" w:line="320" w:lineRule="auto"/>
      <w:outlineLvl w:val="8"/>
    </w:pPr>
    <w:rPr>
      <w:rFonts w:ascii="Arial" w:eastAsia="黑体" w:hAnsi="Arial"/>
      <w:szCs w:val="20"/>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paragraph" w:customStyle="1" w:styleId="a">
    <w:name w:val="正文正"/>
    <w:qFormat/>
    <w:pPr>
      <w:widowControl w:val="0"/>
      <w:spacing w:line="560" w:lineRule="exact"/>
      <w:ind w:firstLine="561"/>
      <w:jc w:val="both"/>
    </w:pPr>
    <w:rPr>
      <w:rFonts w:ascii="Calibri" w:hAnsi="Calibri"/>
      <w:kern w:val="2"/>
      <w:sz w:val="28"/>
      <w:szCs w:val="28"/>
      <w:lang w:val="en-US" w:eastAsia="zh-CN" w:bidi="ar-SA"/>
    </w:rPr>
  </w:style>
  <w:style w:type="character" w:customStyle="1" w:styleId="11">
    <w:name w:val="标题 1 字符1"/>
    <w:link w:val="Heading1"/>
    <w:qFormat/>
    <w:rPr>
      <w:rFonts w:ascii="宋体" w:eastAsia="黑体" w:hAnsi="宋体" w:cs="Times New Roman"/>
      <w:b/>
      <w:bCs/>
      <w:kern w:val="44"/>
      <w:sz w:val="28"/>
      <w:szCs w:val="44"/>
      <w:lang w:val="en-US" w:eastAsia="zh-CN" w:bidi="ar-SA"/>
    </w:rPr>
  </w:style>
  <w:style w:type="character" w:customStyle="1" w:styleId="21">
    <w:name w:val="标题 2 字符1"/>
    <w:link w:val="Heading2"/>
    <w:qFormat/>
    <w:rPr>
      <w:rFonts w:ascii="宋体" w:eastAsia="宋体" w:hAnsi="宋体" w:cs="Times New Roman"/>
      <w:b/>
      <w:bCs/>
      <w:sz w:val="24"/>
      <w:lang w:val="en-US" w:eastAsia="zh-CN" w:bidi="ar-SA"/>
    </w:rPr>
  </w:style>
  <w:style w:type="paragraph" w:styleId="NormalIndent">
    <w:name w:val="Normal Indent"/>
    <w:basedOn w:val="Normal"/>
    <w:link w:val="1"/>
    <w:pPr>
      <w:ind w:firstLine="420"/>
    </w:pPr>
    <w:rPr>
      <w:szCs w:val="20"/>
    </w:rPr>
  </w:style>
  <w:style w:type="character" w:customStyle="1" w:styleId="1">
    <w:name w:val="正文缩进 字符1"/>
    <w:link w:val="NormalIndent"/>
    <w:qFormat/>
    <w:rPr>
      <w:rFonts w:ascii="Times New Roman" w:eastAsia="宋体" w:hAnsi="Times New Roman" w:cs="Times New Roman"/>
      <w:kern w:val="2"/>
      <w:sz w:val="21"/>
      <w:lang w:val="en-US" w:eastAsia="zh-CN" w:bidi="ar-SA"/>
    </w:rPr>
  </w:style>
  <w:style w:type="character" w:customStyle="1" w:styleId="41">
    <w:name w:val="标题 4 字符1"/>
    <w:link w:val="Heading4"/>
    <w:qFormat/>
    <w:rPr>
      <w:rFonts w:ascii="Arial" w:eastAsia="黑体" w:hAnsi="Arial" w:cs="Times New Roman"/>
      <w:b/>
      <w:bCs/>
      <w:kern w:val="2"/>
      <w:sz w:val="28"/>
      <w:szCs w:val="28"/>
      <w:lang w:val="en-US" w:eastAsia="zh-CN" w:bidi="ar-SA"/>
    </w:rPr>
  </w:style>
  <w:style w:type="character" w:customStyle="1" w:styleId="31">
    <w:name w:val="标题 3 字符1"/>
    <w:link w:val="Heading3"/>
    <w:qFormat/>
    <w:rPr>
      <w:rFonts w:ascii="宋体" w:eastAsia="宋体" w:hAnsi="宋体" w:cs="Times New Roman"/>
      <w:b/>
      <w:bCs/>
      <w:kern w:val="2"/>
      <w:sz w:val="28"/>
      <w:szCs w:val="32"/>
      <w:lang w:val="en-US" w:eastAsia="zh-CN" w:bidi="ar-SA"/>
    </w:rPr>
  </w:style>
  <w:style w:type="character" w:customStyle="1" w:styleId="51">
    <w:name w:val="标题 5 字符1"/>
    <w:link w:val="Heading5"/>
    <w:qFormat/>
    <w:rPr>
      <w:rFonts w:ascii="Times New Roman" w:eastAsia="宋体" w:hAnsi="Times New Roman" w:cs="Times New Roman"/>
      <w:b/>
      <w:kern w:val="2"/>
      <w:sz w:val="28"/>
      <w:lang w:val="en-US" w:eastAsia="zh-CN" w:bidi="ar-SA"/>
    </w:rPr>
  </w:style>
  <w:style w:type="character" w:customStyle="1" w:styleId="61">
    <w:name w:val="标题 6 字符1"/>
    <w:link w:val="Heading6"/>
    <w:qFormat/>
    <w:rPr>
      <w:rFonts w:ascii="Arial" w:eastAsia="黑体" w:hAnsi="Arial" w:cs="Times New Roman"/>
      <w:b/>
      <w:kern w:val="2"/>
      <w:sz w:val="24"/>
      <w:lang w:val="en-US" w:eastAsia="zh-CN" w:bidi="ar-SA"/>
    </w:rPr>
  </w:style>
  <w:style w:type="character" w:customStyle="1" w:styleId="71">
    <w:name w:val="标题 7 字符1"/>
    <w:link w:val="Heading7"/>
    <w:qFormat/>
    <w:rPr>
      <w:rFonts w:ascii="Times New Roman" w:eastAsia="宋体" w:hAnsi="Times New Roman" w:cs="Times New Roman"/>
      <w:b/>
      <w:kern w:val="2"/>
      <w:sz w:val="24"/>
      <w:lang w:val="en-US" w:eastAsia="zh-CN" w:bidi="ar-SA"/>
    </w:rPr>
  </w:style>
  <w:style w:type="character" w:customStyle="1" w:styleId="81">
    <w:name w:val="标题 8 字符1"/>
    <w:link w:val="Heading8"/>
    <w:qFormat/>
    <w:rPr>
      <w:rFonts w:ascii="Arial" w:eastAsia="黑体" w:hAnsi="Arial" w:cs="Times New Roman"/>
      <w:kern w:val="2"/>
      <w:sz w:val="24"/>
      <w:lang w:val="en-US" w:eastAsia="zh-CN" w:bidi="ar-SA"/>
    </w:rPr>
  </w:style>
  <w:style w:type="character" w:customStyle="1" w:styleId="91">
    <w:name w:val="标题 9 字符1"/>
    <w:link w:val="Heading9"/>
    <w:qFormat/>
    <w:rPr>
      <w:rFonts w:ascii="Arial" w:eastAsia="黑体" w:hAnsi="Arial" w:cs="Times New Roman"/>
      <w:kern w:val="2"/>
      <w:sz w:val="21"/>
      <w:lang w:val="en-US" w:eastAsia="zh-CN" w:bidi="ar-SA"/>
    </w:rPr>
  </w:style>
  <w:style w:type="paragraph" w:styleId="TOC7">
    <w:name w:val="toc 7"/>
    <w:basedOn w:val="Normal"/>
    <w:next w:val="Normal"/>
    <w:qFormat/>
    <w:pPr>
      <w:ind w:left="1260"/>
      <w:jc w:val="left"/>
    </w:pPr>
    <w:rPr>
      <w:szCs w:val="21"/>
    </w:rPr>
  </w:style>
  <w:style w:type="paragraph" w:styleId="Caption">
    <w:name w:val="caption"/>
    <w:basedOn w:val="Normal"/>
    <w:next w:val="Normal"/>
    <w:qFormat/>
    <w:pPr>
      <w:widowControl/>
      <w:spacing w:line="360" w:lineRule="auto"/>
      <w:ind w:firstLine="1940" w:firstLineChars="920"/>
      <w:jc w:val="left"/>
    </w:pPr>
    <w:rPr>
      <w:rFonts w:ascii="宋体" w:hAnsi="宋体"/>
      <w:b/>
      <w:bCs/>
      <w:kern w:val="0"/>
      <w:sz w:val="20"/>
      <w:szCs w:val="20"/>
    </w:rPr>
  </w:style>
  <w:style w:type="paragraph" w:styleId="ListBullet">
    <w:name w:val="List Bullet"/>
    <w:basedOn w:val="Normal"/>
    <w:qFormat/>
    <w:pPr>
      <w:numPr>
        <w:ilvl w:val="0"/>
        <w:numId w:val="1"/>
      </w:numPr>
      <w:tabs>
        <w:tab w:val="left" w:pos="360"/>
      </w:tabs>
    </w:pPr>
    <w:rPr>
      <w:szCs w:val="20"/>
    </w:rPr>
  </w:style>
  <w:style w:type="paragraph" w:styleId="DocumentMap">
    <w:name w:val="Document Map"/>
    <w:basedOn w:val="Normal"/>
    <w:link w:val="10"/>
    <w:qFormat/>
    <w:pPr>
      <w:shd w:val="clear" w:color="auto" w:fill="000080"/>
    </w:pPr>
  </w:style>
  <w:style w:type="character" w:customStyle="1" w:styleId="10">
    <w:name w:val="文档结构图 字符1"/>
    <w:link w:val="DocumentMap"/>
    <w:qFormat/>
    <w:rPr>
      <w:rFonts w:ascii="Times New Roman" w:eastAsia="宋体" w:hAnsi="Times New Roman" w:cs="Times New Roman"/>
      <w:kern w:val="2"/>
      <w:sz w:val="21"/>
      <w:szCs w:val="24"/>
      <w:shd w:val="clear" w:color="auto" w:fill="000080"/>
    </w:rPr>
  </w:style>
  <w:style w:type="paragraph" w:styleId="CommentText">
    <w:name w:val="annotation text"/>
    <w:basedOn w:val="Normal"/>
    <w:link w:val="12"/>
    <w:qFormat/>
    <w:pPr>
      <w:autoSpaceDE w:val="0"/>
      <w:autoSpaceDN w:val="0"/>
      <w:adjustRightInd w:val="0"/>
      <w:jc w:val="left"/>
      <w:textAlignment w:val="baseline"/>
    </w:pPr>
    <w:rPr>
      <w:rFonts w:ascii="宋体"/>
      <w:kern w:val="0"/>
      <w:sz w:val="34"/>
      <w:szCs w:val="20"/>
    </w:rPr>
  </w:style>
  <w:style w:type="character" w:customStyle="1" w:styleId="12">
    <w:name w:val="批注文字 字符1"/>
    <w:link w:val="CommentText"/>
    <w:qFormat/>
    <w:rPr>
      <w:rFonts w:ascii="宋体" w:eastAsia="宋体" w:hAnsi="Times New Roman" w:cs="Times New Roman"/>
      <w:sz w:val="34"/>
    </w:rPr>
  </w:style>
  <w:style w:type="paragraph" w:styleId="BodyText3">
    <w:name w:val="Body Text 3"/>
    <w:basedOn w:val="Normal"/>
    <w:link w:val="310"/>
    <w:qFormat/>
    <w:pPr>
      <w:spacing w:after="120"/>
    </w:pPr>
    <w:rPr>
      <w:sz w:val="16"/>
      <w:szCs w:val="16"/>
    </w:rPr>
  </w:style>
  <w:style w:type="character" w:customStyle="1" w:styleId="310">
    <w:name w:val="正文文本 3 字符1"/>
    <w:link w:val="BodyText3"/>
    <w:qFormat/>
    <w:rPr>
      <w:rFonts w:ascii="Times New Roman" w:eastAsia="宋体" w:hAnsi="Times New Roman" w:cs="Times New Roman"/>
      <w:kern w:val="2"/>
      <w:sz w:val="16"/>
      <w:szCs w:val="16"/>
      <w:lang w:val="en-US" w:eastAsia="zh-CN" w:bidi="ar-SA"/>
    </w:rPr>
  </w:style>
  <w:style w:type="paragraph" w:styleId="BodyText">
    <w:name w:val="Body Text"/>
    <w:basedOn w:val="Normal"/>
    <w:next w:val="Title"/>
    <w:link w:val="13"/>
    <w:qFormat/>
    <w:pPr>
      <w:spacing w:line="360" w:lineRule="auto"/>
    </w:pPr>
    <w:rPr>
      <w:b/>
      <w:bCs/>
      <w:sz w:val="24"/>
    </w:rPr>
  </w:style>
  <w:style w:type="character" w:customStyle="1" w:styleId="13">
    <w:name w:val="正文文本 字符1"/>
    <w:link w:val="BodyText"/>
    <w:qFormat/>
    <w:rPr>
      <w:rFonts w:ascii="Times New Roman" w:eastAsia="宋体" w:hAnsi="Times New Roman" w:cs="Times New Roman"/>
      <w:b/>
      <w:bCs/>
      <w:kern w:val="2"/>
      <w:sz w:val="24"/>
      <w:szCs w:val="24"/>
      <w:lang w:val="en-US" w:eastAsia="zh-CN" w:bidi="ar-SA"/>
    </w:rPr>
  </w:style>
  <w:style w:type="paragraph" w:styleId="Title">
    <w:name w:val="Title"/>
    <w:basedOn w:val="Normal"/>
    <w:next w:val="Normal"/>
    <w:link w:val="14"/>
    <w:qFormat/>
    <w:pPr>
      <w:spacing w:before="240" w:after="60"/>
      <w:jc w:val="center"/>
      <w:outlineLvl w:val="0"/>
    </w:pPr>
    <w:rPr>
      <w:rFonts w:ascii="Arial" w:eastAsia="隶书" w:hAnsi="Arial" w:cs="Arial"/>
      <w:b/>
      <w:bCs/>
      <w:sz w:val="32"/>
      <w:szCs w:val="32"/>
    </w:rPr>
  </w:style>
  <w:style w:type="character" w:customStyle="1" w:styleId="14">
    <w:name w:val="标题 字符1"/>
    <w:link w:val="Title"/>
    <w:qFormat/>
    <w:rPr>
      <w:rFonts w:ascii="Arial" w:eastAsia="隶书" w:hAnsi="Arial" w:cs="Arial"/>
      <w:b/>
      <w:bCs/>
      <w:kern w:val="2"/>
      <w:sz w:val="32"/>
      <w:szCs w:val="32"/>
      <w:lang w:val="en-US" w:eastAsia="zh-CN" w:bidi="ar-SA"/>
    </w:rPr>
  </w:style>
  <w:style w:type="paragraph" w:styleId="BodyTextIndent">
    <w:name w:val="Body Text Indent"/>
    <w:basedOn w:val="Normal"/>
    <w:next w:val="EnvelopeReturn"/>
    <w:link w:val="15"/>
    <w:qFormat/>
    <w:pPr>
      <w:spacing w:line="360" w:lineRule="auto"/>
      <w:ind w:firstLine="420" w:firstLineChars="200"/>
    </w:pPr>
  </w:style>
  <w:style w:type="character" w:customStyle="1" w:styleId="15">
    <w:name w:val="正文文本缩进 字符1"/>
    <w:link w:val="BodyTextIndent"/>
    <w:qFormat/>
    <w:rPr>
      <w:rFonts w:ascii="Times New Roman" w:eastAsia="宋体" w:hAnsi="Times New Roman" w:cs="Times New Roman"/>
      <w:kern w:val="2"/>
      <w:sz w:val="21"/>
      <w:szCs w:val="24"/>
      <w:lang w:val="en-US" w:eastAsia="zh-CN" w:bidi="ar-SA"/>
    </w:rPr>
  </w:style>
  <w:style w:type="paragraph" w:styleId="EnvelopeReturn">
    <w:name w:val="envelope return"/>
    <w:basedOn w:val="Normal"/>
    <w:qFormat/>
    <w:pPr>
      <w:snapToGrid w:val="0"/>
    </w:pPr>
    <w:rPr>
      <w:rFonts w:ascii="Arial" w:hAnsi="Arial"/>
    </w:rPr>
  </w:style>
  <w:style w:type="paragraph" w:styleId="BlockText">
    <w:name w:val="Block Text"/>
    <w:basedOn w:val="Normal"/>
    <w:qFormat/>
    <w:pPr>
      <w:widowControl/>
      <w:autoSpaceDE w:val="0"/>
      <w:autoSpaceDN w:val="0"/>
      <w:adjustRightInd w:val="0"/>
      <w:spacing w:line="315" w:lineRule="atLeast"/>
      <w:ind w:left="-540" w:right="893"/>
      <w:jc w:val="left"/>
      <w:textAlignment w:val="bottom"/>
    </w:pPr>
    <w:rPr>
      <w:rFonts w:ascii="宋体"/>
      <w:kern w:val="0"/>
      <w:sz w:val="28"/>
      <w:szCs w:val="20"/>
    </w:rPr>
  </w:style>
  <w:style w:type="paragraph" w:styleId="TOC5">
    <w:name w:val="toc 5"/>
    <w:basedOn w:val="Normal"/>
    <w:next w:val="Normal"/>
    <w:qFormat/>
    <w:pPr>
      <w:ind w:left="840"/>
      <w:jc w:val="left"/>
    </w:pPr>
    <w:rPr>
      <w:szCs w:val="21"/>
    </w:rPr>
  </w:style>
  <w:style w:type="paragraph" w:styleId="TOC3">
    <w:name w:val="toc 3"/>
    <w:basedOn w:val="Normal"/>
    <w:next w:val="Normal"/>
    <w:qFormat/>
    <w:pPr>
      <w:ind w:left="420"/>
      <w:jc w:val="left"/>
    </w:pPr>
    <w:rPr>
      <w:i/>
      <w:iCs/>
    </w:rPr>
  </w:style>
  <w:style w:type="paragraph" w:styleId="PlainText">
    <w:name w:val="Plain Text"/>
    <w:basedOn w:val="Normal"/>
    <w:link w:val="16"/>
    <w:rPr>
      <w:rFonts w:ascii="宋体" w:hAnsi="Courier New"/>
      <w:szCs w:val="20"/>
    </w:rPr>
  </w:style>
  <w:style w:type="character" w:customStyle="1" w:styleId="16">
    <w:name w:val="纯文本 字符1"/>
    <w:link w:val="PlainText"/>
    <w:qFormat/>
    <w:rPr>
      <w:rFonts w:ascii="宋体" w:eastAsia="宋体" w:hAnsi="Courier New" w:cs="Times New Roman"/>
      <w:kern w:val="2"/>
      <w:sz w:val="21"/>
      <w:lang w:val="en-US" w:eastAsia="zh-CN" w:bidi="ar-SA"/>
    </w:rPr>
  </w:style>
  <w:style w:type="paragraph" w:styleId="TOC8">
    <w:name w:val="toc 8"/>
    <w:basedOn w:val="Normal"/>
    <w:next w:val="Normal"/>
    <w:qFormat/>
    <w:pPr>
      <w:ind w:left="1470"/>
      <w:jc w:val="left"/>
    </w:pPr>
    <w:rPr>
      <w:szCs w:val="21"/>
    </w:rPr>
  </w:style>
  <w:style w:type="paragraph" w:styleId="Date">
    <w:name w:val="Date"/>
    <w:basedOn w:val="Normal"/>
    <w:next w:val="Normal"/>
    <w:link w:val="17"/>
    <w:qFormat/>
    <w:rPr>
      <w:rFonts w:ascii="宋体" w:hAnsi="Courier New"/>
      <w:sz w:val="32"/>
      <w:szCs w:val="20"/>
    </w:rPr>
  </w:style>
  <w:style w:type="character" w:customStyle="1" w:styleId="17">
    <w:name w:val="日期 字符1"/>
    <w:link w:val="Date"/>
    <w:qFormat/>
    <w:rPr>
      <w:rFonts w:ascii="宋体" w:eastAsia="宋体" w:hAnsi="Courier New" w:cs="Times New Roman"/>
      <w:kern w:val="2"/>
      <w:sz w:val="32"/>
      <w:lang w:val="en-US" w:eastAsia="zh-CN" w:bidi="ar-SA"/>
    </w:rPr>
  </w:style>
  <w:style w:type="paragraph" w:styleId="BodyTextIndent2">
    <w:name w:val="Body Text Indent 2"/>
    <w:basedOn w:val="Normal"/>
    <w:next w:val="Normal"/>
    <w:link w:val="210"/>
    <w:qFormat/>
    <w:pPr>
      <w:spacing w:beforeLines="50" w:afterLines="50" w:line="120" w:lineRule="auto"/>
      <w:ind w:firstLine="840" w:firstLineChars="400"/>
      <w:jc w:val="left"/>
    </w:pPr>
    <w:rPr>
      <w:rFonts w:ascii="宋体" w:hAnsi="宋体"/>
    </w:rPr>
  </w:style>
  <w:style w:type="character" w:customStyle="1" w:styleId="210">
    <w:name w:val="正文文本缩进 2 字符1"/>
    <w:link w:val="BodyTextIndent2"/>
    <w:qFormat/>
    <w:rPr>
      <w:rFonts w:ascii="宋体" w:eastAsia="宋体" w:hAnsi="宋体" w:cs="Times New Roman"/>
      <w:kern w:val="2"/>
      <w:sz w:val="21"/>
      <w:szCs w:val="24"/>
      <w:lang w:val="en-US" w:eastAsia="zh-CN" w:bidi="ar-SA"/>
    </w:rPr>
  </w:style>
  <w:style w:type="paragraph" w:styleId="BalloonText">
    <w:name w:val="Balloon Text"/>
    <w:basedOn w:val="Normal"/>
    <w:link w:val="18"/>
    <w:qFormat/>
    <w:rPr>
      <w:sz w:val="18"/>
      <w:szCs w:val="18"/>
    </w:rPr>
  </w:style>
  <w:style w:type="character" w:customStyle="1" w:styleId="18">
    <w:name w:val="批注框文本 字符1"/>
    <w:link w:val="BalloonText"/>
    <w:qFormat/>
    <w:rPr>
      <w:rFonts w:ascii="Times New Roman" w:eastAsia="宋体" w:hAnsi="Times New Roman" w:cs="Times New Roman"/>
      <w:kern w:val="2"/>
      <w:sz w:val="18"/>
      <w:szCs w:val="18"/>
      <w:lang w:val="en-US" w:eastAsia="zh-CN" w:bidi="ar-SA"/>
    </w:rPr>
  </w:style>
  <w:style w:type="paragraph" w:styleId="Footer">
    <w:name w:val="footer"/>
    <w:basedOn w:val="Normal"/>
    <w:link w:val="19"/>
    <w:qFormat/>
    <w:pPr>
      <w:tabs>
        <w:tab w:val="center" w:pos="4153"/>
        <w:tab w:val="right" w:pos="8306"/>
      </w:tabs>
      <w:snapToGrid w:val="0"/>
      <w:jc w:val="left"/>
    </w:pPr>
    <w:rPr>
      <w:sz w:val="18"/>
      <w:szCs w:val="18"/>
    </w:rPr>
  </w:style>
  <w:style w:type="character" w:customStyle="1" w:styleId="19">
    <w:name w:val="页脚 字符1"/>
    <w:link w:val="Footer"/>
    <w:qFormat/>
    <w:rPr>
      <w:rFonts w:ascii="Times New Roman" w:eastAsia="宋体" w:hAnsi="Times New Roman" w:cs="Times New Roman"/>
      <w:kern w:val="2"/>
      <w:sz w:val="18"/>
      <w:szCs w:val="18"/>
      <w:lang w:val="en-US" w:eastAsia="zh-CN" w:bidi="ar-SA"/>
    </w:rPr>
  </w:style>
  <w:style w:type="paragraph" w:styleId="Header">
    <w:name w:val="header"/>
    <w:basedOn w:val="Normal"/>
    <w:link w:val="110"/>
    <w:qFormat/>
    <w:pPr>
      <w:pBdr>
        <w:bottom w:val="single" w:sz="6" w:space="1" w:color="auto"/>
      </w:pBdr>
      <w:tabs>
        <w:tab w:val="center" w:pos="4153"/>
        <w:tab w:val="right" w:pos="8306"/>
      </w:tabs>
      <w:snapToGrid w:val="0"/>
      <w:jc w:val="center"/>
    </w:pPr>
    <w:rPr>
      <w:sz w:val="18"/>
      <w:szCs w:val="18"/>
    </w:rPr>
  </w:style>
  <w:style w:type="character" w:customStyle="1" w:styleId="110">
    <w:name w:val="页眉 字符1"/>
    <w:link w:val="Header"/>
    <w:qFormat/>
    <w:rPr>
      <w:rFonts w:ascii="Times New Roman" w:eastAsia="宋体" w:hAnsi="Times New Roman" w:cs="Times New Roman"/>
      <w:kern w:val="2"/>
      <w:sz w:val="18"/>
      <w:szCs w:val="18"/>
      <w:lang w:val="en-US" w:eastAsia="zh-CN" w:bidi="ar-SA"/>
    </w:rPr>
  </w:style>
  <w:style w:type="paragraph" w:styleId="TOC1">
    <w:name w:val="toc 1"/>
    <w:basedOn w:val="Normal"/>
    <w:next w:val="Normal"/>
    <w:qFormat/>
    <w:pPr>
      <w:spacing w:before="120" w:after="120"/>
      <w:jc w:val="left"/>
    </w:pPr>
    <w:rPr>
      <w:b/>
      <w:bCs/>
      <w:caps/>
    </w:rPr>
  </w:style>
  <w:style w:type="paragraph" w:styleId="TOC4">
    <w:name w:val="toc 4"/>
    <w:basedOn w:val="Normal"/>
    <w:next w:val="Normal"/>
    <w:qFormat/>
    <w:pPr>
      <w:ind w:left="630"/>
      <w:jc w:val="left"/>
    </w:pPr>
    <w:rPr>
      <w:szCs w:val="21"/>
    </w:rPr>
  </w:style>
  <w:style w:type="paragraph" w:styleId="Subtitle">
    <w:name w:val="Subtitle"/>
    <w:basedOn w:val="Normal"/>
    <w:next w:val="Normal"/>
    <w:link w:val="a0"/>
    <w:qFormat/>
    <w:pPr>
      <w:spacing w:before="240" w:after="60" w:line="312" w:lineRule="auto"/>
      <w:jc w:val="center"/>
      <w:outlineLvl w:val="1"/>
    </w:pPr>
    <w:rPr>
      <w:rFonts w:ascii="Cambria" w:hAnsi="Cambria"/>
      <w:b/>
      <w:bCs/>
      <w:kern w:val="28"/>
      <w:sz w:val="32"/>
      <w:szCs w:val="32"/>
    </w:rPr>
  </w:style>
  <w:style w:type="character" w:customStyle="1" w:styleId="a0">
    <w:name w:val="副标题 字符"/>
    <w:link w:val="Subtitle"/>
    <w:qFormat/>
    <w:rPr>
      <w:rFonts w:ascii="Cambria" w:eastAsia="宋体" w:hAnsi="Cambria" w:cs="Times New Roman"/>
      <w:b/>
      <w:bCs/>
      <w:kern w:val="28"/>
      <w:sz w:val="32"/>
      <w:szCs w:val="32"/>
    </w:rPr>
  </w:style>
  <w:style w:type="paragraph" w:styleId="TOC6">
    <w:name w:val="toc 6"/>
    <w:basedOn w:val="Normal"/>
    <w:next w:val="Normal"/>
    <w:qFormat/>
    <w:pPr>
      <w:ind w:left="1050"/>
      <w:jc w:val="left"/>
    </w:pPr>
    <w:rPr>
      <w:szCs w:val="21"/>
    </w:rPr>
  </w:style>
  <w:style w:type="paragraph" w:styleId="BodyTextIndent3">
    <w:name w:val="Body Text Indent 3"/>
    <w:basedOn w:val="Normal"/>
    <w:link w:val="311"/>
    <w:qFormat/>
    <w:pPr>
      <w:spacing w:line="360" w:lineRule="auto"/>
      <w:ind w:firstLine="482" w:firstLineChars="200"/>
    </w:pPr>
    <w:rPr>
      <w:rFonts w:ascii="宋体"/>
      <w:b/>
      <w:bCs/>
      <w:sz w:val="24"/>
    </w:rPr>
  </w:style>
  <w:style w:type="character" w:customStyle="1" w:styleId="311">
    <w:name w:val="正文文本缩进 3 字符1"/>
    <w:link w:val="BodyTextIndent3"/>
    <w:qFormat/>
    <w:rPr>
      <w:rFonts w:ascii="宋体" w:eastAsia="宋体" w:hAnsi="Times New Roman" w:cs="Times New Roman"/>
      <w:b/>
      <w:bCs/>
      <w:kern w:val="2"/>
      <w:sz w:val="24"/>
      <w:szCs w:val="24"/>
      <w:lang w:val="en-US" w:eastAsia="zh-CN" w:bidi="ar-SA"/>
    </w:rPr>
  </w:style>
  <w:style w:type="paragraph" w:styleId="TOC2">
    <w:name w:val="toc 2"/>
    <w:basedOn w:val="Normal"/>
    <w:next w:val="Normal"/>
    <w:qFormat/>
    <w:pPr>
      <w:tabs>
        <w:tab w:val="right" w:leader="dot" w:pos="8296"/>
      </w:tabs>
      <w:ind w:left="210"/>
      <w:jc w:val="left"/>
    </w:pPr>
    <w:rPr>
      <w:smallCaps/>
    </w:rPr>
  </w:style>
  <w:style w:type="paragraph" w:styleId="TOC9">
    <w:name w:val="toc 9"/>
    <w:basedOn w:val="Normal"/>
    <w:next w:val="Normal"/>
    <w:qFormat/>
    <w:pPr>
      <w:ind w:left="1680"/>
      <w:jc w:val="left"/>
    </w:pPr>
    <w:rPr>
      <w:szCs w:val="21"/>
    </w:rPr>
  </w:style>
  <w:style w:type="paragraph" w:styleId="BodyText2">
    <w:name w:val="Body Text 2"/>
    <w:basedOn w:val="Normal"/>
    <w:link w:val="211"/>
    <w:qFormat/>
    <w:pPr>
      <w:spacing w:line="360" w:lineRule="auto"/>
    </w:pPr>
    <w:rPr>
      <w:sz w:val="24"/>
    </w:rPr>
  </w:style>
  <w:style w:type="character" w:customStyle="1" w:styleId="211">
    <w:name w:val="正文文本 2 字符1"/>
    <w:link w:val="BodyText2"/>
    <w:qFormat/>
    <w:rPr>
      <w:rFonts w:ascii="Times New Roman" w:eastAsia="宋体" w:hAnsi="Times New Roman" w:cs="Times New Roman"/>
      <w:kern w:val="2"/>
      <w:sz w:val="24"/>
      <w:szCs w:val="24"/>
      <w:lang w:val="en-US" w:eastAsia="zh-CN" w:bidi="ar-SA"/>
    </w:rPr>
  </w:style>
  <w:style w:type="paragraph" w:styleId="HTMLPreformatted">
    <w:name w:val="HTML Preformatted"/>
    <w:basedOn w:val="Normal"/>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character" w:customStyle="1" w:styleId="HTML1">
    <w:name w:val="HTML 预设格式 字符1"/>
    <w:link w:val="HTMLPreformatted"/>
    <w:qFormat/>
    <w:rPr>
      <w:rFonts w:ascii="Arial Unicode MS" w:eastAsia="Arial Unicode MS" w:hAnsi="Arial Unicode MS" w:cs="Times New Roman"/>
      <w:color w:val="000000"/>
      <w:lang w:val="en-US" w:eastAsia="zh-CN" w:bidi="ar-SA"/>
    </w:rPr>
  </w:style>
  <w:style w:type="paragraph" w:styleId="NormalWeb">
    <w:name w:val="Normal (Web)"/>
    <w:basedOn w:val="Normal"/>
    <w:uiPriority w:val="99"/>
    <w:qFormat/>
    <w:rPr>
      <w:sz w:val="24"/>
    </w:rPr>
  </w:style>
  <w:style w:type="paragraph" w:styleId="Index1">
    <w:name w:val="index 1"/>
    <w:basedOn w:val="Normal"/>
    <w:next w:val="Normal"/>
    <w:qFormat/>
    <w:pPr>
      <w:tabs>
        <w:tab w:val="left" w:pos="3360"/>
      </w:tabs>
      <w:spacing w:line="520" w:lineRule="exact"/>
      <w:ind w:left="419" w:hanging="314" w:leftChars="50" w:hangingChars="131"/>
      <w:jc w:val="center"/>
      <w:outlineLvl w:val="3"/>
    </w:pPr>
    <w:rPr>
      <w:rFonts w:ascii="宋体" w:hAnsi="宋体"/>
      <w:sz w:val="24"/>
    </w:rPr>
  </w:style>
  <w:style w:type="paragraph" w:styleId="CommentSubject">
    <w:name w:val="annotation subject"/>
    <w:basedOn w:val="CommentText"/>
    <w:next w:val="CommentText"/>
    <w:link w:val="111"/>
    <w:qFormat/>
    <w:pPr>
      <w:autoSpaceDE/>
      <w:autoSpaceDN/>
      <w:adjustRightInd/>
      <w:textAlignment w:val="auto"/>
    </w:pPr>
    <w:rPr>
      <w:rFonts w:ascii="Times New Roman"/>
    </w:rPr>
  </w:style>
  <w:style w:type="character" w:customStyle="1" w:styleId="111">
    <w:name w:val="批注主题 字符1"/>
    <w:link w:val="CommentSubject"/>
    <w:qFormat/>
    <w:rPr>
      <w:rFonts w:ascii="宋体" w:eastAsia="宋体" w:hAnsi="Times New Roman" w:cs="Times New Roman"/>
      <w:sz w:val="34"/>
    </w:rPr>
  </w:style>
  <w:style w:type="paragraph" w:styleId="BodyTextFirstIndent">
    <w:name w:val="Body Text First Indent"/>
    <w:basedOn w:val="BodyText"/>
    <w:link w:val="a1"/>
    <w:qFormat/>
    <w:pPr>
      <w:spacing w:after="120" w:line="240" w:lineRule="auto"/>
      <w:ind w:firstLine="420" w:firstLineChars="100"/>
    </w:pPr>
    <w:rPr>
      <w:sz w:val="21"/>
    </w:rPr>
  </w:style>
  <w:style w:type="character" w:customStyle="1" w:styleId="a1">
    <w:name w:val="正文文本首行缩进 字符"/>
    <w:link w:val="BodyTextFirstIndent"/>
    <w:qFormat/>
    <w:rPr>
      <w:rFonts w:ascii="Times New Roman" w:eastAsia="宋体" w:hAnsi="Times New Roman" w:cs="Times New Roman"/>
      <w:b/>
      <w:bCs/>
      <w:kern w:val="2"/>
      <w:sz w:val="21"/>
      <w:szCs w:val="24"/>
      <w:lang w:val="en-US" w:eastAsia="zh-CN" w:bidi="ar-SA"/>
    </w:rPr>
  </w:style>
  <w:style w:type="paragraph" w:styleId="BodyTextFirstIndent2">
    <w:name w:val="Body Text First Indent 2"/>
    <w:basedOn w:val="BodyTextIndent"/>
    <w:next w:val="BodyTextFirstIndent"/>
    <w:link w:val="2"/>
    <w:qFormat/>
    <w:pPr>
      <w:spacing w:after="120" w:line="240" w:lineRule="auto"/>
      <w:ind w:left="420" w:leftChars="200"/>
    </w:pPr>
  </w:style>
  <w:style w:type="character" w:customStyle="1" w:styleId="2">
    <w:name w:val="正文文本首行缩进 2 字符"/>
    <w:link w:val="BodyTextFirstIndent2"/>
    <w:qFormat/>
    <w:rPr>
      <w:rFonts w:ascii="Times New Roman" w:eastAsia="宋体" w:hAnsi="Times New Roman" w:cs="Times New Roman"/>
      <w:kern w:val="2"/>
      <w:sz w:val="21"/>
      <w:szCs w:val="24"/>
      <w:lang w:val="en-US" w:eastAsia="zh-CN" w:bidi="ar-SA"/>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qFormat/>
    <w:pPr>
      <w:widowControl w:val="0"/>
      <w:jc w:val="both"/>
    </w:pPr>
    <w:tblP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StylePr>
  </w:style>
  <w:style w:type="character" w:styleId="Strong">
    <w:name w:val="Strong"/>
    <w:qFormat/>
    <w:rPr>
      <w:rFonts w:ascii="Times New Roman" w:eastAsia="宋体" w:hAnsi="Times New Roman" w:cs="Times New Roman"/>
      <w:b/>
      <w:bCs/>
    </w:rPr>
  </w:style>
  <w:style w:type="character" w:styleId="PageNumber">
    <w:name w:val="page number"/>
    <w:qFormat/>
    <w:rPr>
      <w:rFonts w:ascii="Times New Roman" w:eastAsia="宋体" w:hAnsi="Times New Roman" w:cs="Times New Roman"/>
    </w:rPr>
  </w:style>
  <w:style w:type="character" w:styleId="FollowedHyperlink">
    <w:name w:val="FollowedHyperlink"/>
    <w:qFormat/>
    <w:rPr>
      <w:rFonts w:ascii="Times New Roman" w:eastAsia="宋体" w:hAnsi="Times New Roman" w:cs="Times New Roman"/>
      <w:color w:val="800080"/>
      <w:u w:val="none"/>
    </w:rPr>
  </w:style>
  <w:style w:type="character" w:styleId="Emphasis">
    <w:name w:val="Emphasis"/>
    <w:qFormat/>
    <w:rPr>
      <w:rFonts w:ascii="Times New Roman" w:eastAsia="宋体" w:hAnsi="Times New Roman" w:cs="Times New Roman"/>
    </w:rPr>
  </w:style>
  <w:style w:type="character" w:styleId="HTMLDefinition">
    <w:name w:val="HTML Definition"/>
    <w:qFormat/>
    <w:rPr>
      <w:rFonts w:ascii="Times New Roman" w:eastAsia="宋体" w:hAnsi="Times New Roman" w:cs="Times New Roman"/>
      <w:i/>
    </w:rPr>
  </w:style>
  <w:style w:type="character" w:styleId="HTMLTypewriter">
    <w:name w:val="HTML Typewriter"/>
    <w:rPr>
      <w:rFonts w:ascii="monospace" w:eastAsia="monospace" w:hAnsi="monospace" w:cs="monospace"/>
      <w:sz w:val="20"/>
    </w:rPr>
  </w:style>
  <w:style w:type="character" w:styleId="HTMLAcronym">
    <w:name w:val="HTML Acronym"/>
  </w:style>
  <w:style w:type="character" w:styleId="HTMLVariable">
    <w:name w:val="HTML Variable"/>
    <w:qFormat/>
    <w:rPr>
      <w:rFonts w:ascii="Times New Roman" w:eastAsia="宋体" w:hAnsi="Times New Roman" w:cs="Times New Roman"/>
      <w:i/>
    </w:rPr>
  </w:style>
  <w:style w:type="character" w:styleId="Hyperlink">
    <w:name w:val="Hyperlink"/>
    <w:qFormat/>
    <w:rPr>
      <w:rFonts w:ascii="Times New Roman" w:eastAsia="宋体" w:hAnsi="Times New Roman" w:cs="Times New Roman"/>
      <w:color w:val="0000FF"/>
      <w:u w:val="none"/>
    </w:rPr>
  </w:style>
  <w:style w:type="character" w:styleId="HTMLCode">
    <w:name w:val="HTML Code"/>
    <w:qFormat/>
    <w:rPr>
      <w:rFonts w:ascii="monospace" w:eastAsia="monospace" w:hAnsi="monospace" w:cs="monospace" w:hint="default"/>
      <w:sz w:val="21"/>
      <w:szCs w:val="21"/>
    </w:rPr>
  </w:style>
  <w:style w:type="character" w:styleId="CommentReference">
    <w:name w:val="annotation reference"/>
    <w:uiPriority w:val="99"/>
    <w:qFormat/>
    <w:rPr>
      <w:rFonts w:ascii="Times New Roman" w:eastAsia="宋体" w:hAnsi="Times New Roman" w:cs="Times New Roman"/>
      <w:sz w:val="21"/>
      <w:szCs w:val="21"/>
    </w:rPr>
  </w:style>
  <w:style w:type="character" w:styleId="HTMLCite">
    <w:name w:val="HTML Cite"/>
    <w:rPr>
      <w:i w:val="0"/>
      <w:iCs w:val="0"/>
    </w:rPr>
  </w:style>
  <w:style w:type="character" w:styleId="HTMLKeyboard">
    <w:name w:val="HTML Keyboard"/>
    <w:qFormat/>
    <w:rPr>
      <w:rFonts w:ascii="monospace" w:eastAsia="monospace" w:hAnsi="monospace" w:cs="monospace" w:hint="default"/>
      <w:sz w:val="21"/>
      <w:szCs w:val="21"/>
    </w:rPr>
  </w:style>
  <w:style w:type="character" w:styleId="HTMLSample">
    <w:name w:val="HTML Sample"/>
    <w:qFormat/>
    <w:rPr>
      <w:rFonts w:ascii="monospace" w:eastAsia="monospace" w:hAnsi="monospace" w:cs="monospace"/>
      <w:sz w:val="21"/>
      <w:szCs w:val="21"/>
    </w:rPr>
  </w:style>
  <w:style w:type="character" w:customStyle="1" w:styleId="active6">
    <w:name w:val="active6"/>
    <w:qFormat/>
    <w:rPr>
      <w:rFonts w:ascii="Times New Roman" w:eastAsia="宋体" w:hAnsi="Times New Roman" w:cs="Times New Roman"/>
      <w:color w:val="FFFFFF"/>
    </w:rPr>
  </w:style>
  <w:style w:type="character" w:customStyle="1" w:styleId="9Char1">
    <w:name w:val="标题 9 Char1"/>
    <w:qFormat/>
    <w:rPr>
      <w:rFonts w:ascii="Arial" w:eastAsia="黑体" w:hAnsi="Arial" w:cs="Times New Roman"/>
      <w:kern w:val="0"/>
      <w:sz w:val="20"/>
      <w:szCs w:val="20"/>
    </w:rPr>
  </w:style>
  <w:style w:type="character" w:customStyle="1" w:styleId="5">
    <w:name w:val="标题 5 字符"/>
    <w:qFormat/>
    <w:rPr>
      <w:rFonts w:ascii="Times New Roman" w:eastAsia="宋体" w:hAnsi="Times New Roman" w:cs="Times New Roman"/>
      <w:b/>
      <w:sz w:val="28"/>
      <w:szCs w:val="20"/>
    </w:rPr>
  </w:style>
  <w:style w:type="character" w:customStyle="1" w:styleId="Char1">
    <w:name w:val="纯文本 Char1"/>
    <w:qFormat/>
    <w:rPr>
      <w:rFonts w:ascii="宋体" w:eastAsia="宋体" w:hAnsi="Courier New" w:cs="Times New Roman"/>
      <w:kern w:val="0"/>
      <w:sz w:val="20"/>
      <w:szCs w:val="20"/>
    </w:rPr>
  </w:style>
  <w:style w:type="character" w:customStyle="1" w:styleId="3">
    <w:name w:val="正文文本 3 字符"/>
    <w:qFormat/>
    <w:rPr>
      <w:rFonts w:ascii="Times New Roman" w:eastAsia="宋体" w:hAnsi="Times New Roman" w:cs="Times New Roman"/>
      <w:sz w:val="16"/>
      <w:szCs w:val="16"/>
    </w:rPr>
  </w:style>
  <w:style w:type="character" w:customStyle="1" w:styleId="a2">
    <w:name w:val="日期 字符"/>
    <w:qFormat/>
    <w:rPr>
      <w:rFonts w:ascii="Calibri" w:eastAsia="宋体" w:hAnsi="Calibri" w:cs="Times New Roman"/>
    </w:rPr>
  </w:style>
  <w:style w:type="character" w:customStyle="1" w:styleId="a3">
    <w:name w:val="样式 宋体"/>
    <w:qFormat/>
    <w:rPr>
      <w:rFonts w:ascii="宋体" w:eastAsia="宋体" w:hAnsi="Times New Roman" w:cs="Times New Roman"/>
      <w:sz w:val="24"/>
    </w:rPr>
  </w:style>
  <w:style w:type="character" w:customStyle="1" w:styleId="Char10">
    <w:name w:val="批注框文本 Char1"/>
    <w:qFormat/>
    <w:rPr>
      <w:rFonts w:ascii="Times New Roman" w:eastAsia="宋体" w:hAnsi="Times New Roman" w:cs="Times New Roman"/>
      <w:kern w:val="0"/>
      <w:sz w:val="18"/>
      <w:szCs w:val="18"/>
    </w:rPr>
  </w:style>
  <w:style w:type="character" w:customStyle="1" w:styleId="HTMLChar1">
    <w:name w:val="HTML 预设格式 Char1"/>
    <w:qFormat/>
    <w:rPr>
      <w:rFonts w:ascii="Arial Unicode MS" w:eastAsia="Arial Unicode MS" w:hAnsi="Arial Unicode MS" w:cs="Times New Roman"/>
      <w:color w:val="000000"/>
      <w:kern w:val="0"/>
      <w:sz w:val="20"/>
      <w:szCs w:val="20"/>
    </w:rPr>
  </w:style>
  <w:style w:type="character" w:customStyle="1" w:styleId="span41">
    <w:name w:val="span41"/>
    <w:qFormat/>
    <w:rPr>
      <w:rFonts w:ascii="Times New Roman" w:eastAsia="宋体" w:hAnsi="Times New Roman" w:cs="Times New Roman"/>
    </w:rPr>
  </w:style>
  <w:style w:type="character" w:customStyle="1" w:styleId="a4">
    <w:name w:val="正文缩进 字符"/>
    <w:qFormat/>
    <w:rPr>
      <w:rFonts w:ascii="Times New Roman" w:eastAsia="宋体" w:hAnsi="Times New Roman" w:cs="Times New Roman"/>
      <w:szCs w:val="20"/>
    </w:rPr>
  </w:style>
  <w:style w:type="character" w:customStyle="1" w:styleId="Char">
    <w:name w:val="文档结构图 Char"/>
    <w:qFormat/>
    <w:rPr>
      <w:rFonts w:ascii="宋体" w:eastAsia="宋体" w:hAnsi="Times New Roman" w:cs="Times New Roman"/>
      <w:sz w:val="18"/>
      <w:szCs w:val="18"/>
    </w:rPr>
  </w:style>
  <w:style w:type="character" w:customStyle="1" w:styleId="Char11">
    <w:name w:val="正文文本缩进 Char1"/>
    <w:qFormat/>
    <w:rPr>
      <w:rFonts w:ascii="Times New Roman" w:eastAsia="宋体" w:hAnsi="Times New Roman" w:cs="Times New Roman"/>
      <w:kern w:val="0"/>
      <w:sz w:val="20"/>
      <w:szCs w:val="24"/>
    </w:rPr>
  </w:style>
  <w:style w:type="character" w:customStyle="1" w:styleId="hover20">
    <w:name w:val="hover20"/>
    <w:qFormat/>
    <w:rPr>
      <w:rFonts w:ascii="Times New Roman" w:eastAsia="宋体" w:hAnsi="Times New Roman" w:cs="Times New Roman"/>
    </w:rPr>
  </w:style>
  <w:style w:type="character" w:customStyle="1" w:styleId="a5">
    <w:name w:val="正文文本 字符"/>
    <w:qFormat/>
    <w:rPr>
      <w:rFonts w:ascii="Times New Roman" w:eastAsia="宋体" w:hAnsi="Times New Roman" w:cs="Times New Roman"/>
      <w:b/>
      <w:bCs/>
      <w:sz w:val="24"/>
      <w:szCs w:val="24"/>
    </w:rPr>
  </w:style>
  <w:style w:type="character" w:customStyle="1" w:styleId="Char12">
    <w:name w:val="批注主题 Char1"/>
    <w:qFormat/>
    <w:rPr>
      <w:rFonts w:ascii="Times New Roman" w:eastAsia="宋体" w:hAnsi="Times New Roman" w:cs="Times New Roman"/>
      <w:b/>
      <w:bCs/>
      <w:kern w:val="0"/>
      <w:sz w:val="34"/>
      <w:szCs w:val="24"/>
    </w:rPr>
  </w:style>
  <w:style w:type="character" w:customStyle="1" w:styleId="2Char1">
    <w:name w:val="标题 2 Char1"/>
    <w:qFormat/>
    <w:rPr>
      <w:rFonts w:ascii="宋体" w:eastAsia="宋体" w:hAnsi="宋体" w:cs="Times New Roman"/>
      <w:b/>
      <w:kern w:val="0"/>
      <w:sz w:val="24"/>
      <w:szCs w:val="20"/>
    </w:rPr>
  </w:style>
  <w:style w:type="character" w:customStyle="1" w:styleId="20">
    <w:name w:val="标题2"/>
    <w:qFormat/>
    <w:rPr>
      <w:rFonts w:ascii="Times New Roman" w:eastAsia="宋体" w:hAnsi="Times New Roman" w:cs="Times New Roman"/>
    </w:rPr>
  </w:style>
  <w:style w:type="character" w:customStyle="1" w:styleId="3CharChar">
    <w:name w:val="标题 3 Char Char"/>
    <w:qFormat/>
    <w:rPr>
      <w:rFonts w:ascii="Times New Roman" w:eastAsia="宋体" w:hAnsi="Times New Roman" w:cs="Times New Roman"/>
      <w:b/>
      <w:bCs/>
      <w:kern w:val="2"/>
      <w:sz w:val="32"/>
      <w:szCs w:val="32"/>
      <w:lang w:val="en-US" w:eastAsia="zh-CN" w:bidi="ar-SA"/>
    </w:rPr>
  </w:style>
  <w:style w:type="character" w:customStyle="1" w:styleId="span3">
    <w:name w:val="span3"/>
    <w:qFormat/>
    <w:rPr>
      <w:rFonts w:ascii="Times New Roman" w:eastAsia="宋体" w:hAnsi="Times New Roman" w:cs="Times New Roman"/>
    </w:rPr>
  </w:style>
  <w:style w:type="character" w:customStyle="1" w:styleId="30">
    <w:name w:val="标题 3 字符"/>
    <w:qFormat/>
    <w:rPr>
      <w:rFonts w:ascii="宋体" w:eastAsia="宋体" w:hAnsi="宋体" w:cs="Times New Roman"/>
      <w:b/>
      <w:bCs/>
      <w:sz w:val="28"/>
      <w:szCs w:val="32"/>
    </w:rPr>
  </w:style>
  <w:style w:type="character" w:customStyle="1" w:styleId="hover4">
    <w:name w:val="hover4"/>
  </w:style>
  <w:style w:type="character" w:customStyle="1" w:styleId="span11">
    <w:name w:val="span11"/>
    <w:qFormat/>
    <w:rPr>
      <w:rFonts w:ascii="Times New Roman" w:eastAsia="宋体" w:hAnsi="Times New Roman" w:cs="Times New Roman"/>
    </w:rPr>
  </w:style>
  <w:style w:type="character" w:customStyle="1" w:styleId="style9">
    <w:name w:val="style9"/>
    <w:qFormat/>
    <w:rPr>
      <w:rFonts w:ascii="Times New Roman" w:eastAsia="宋体" w:hAnsi="Times New Roman" w:cs="Times New Roman"/>
    </w:rPr>
  </w:style>
  <w:style w:type="character" w:customStyle="1" w:styleId="unnamed4">
    <w:name w:val="unnamed4"/>
    <w:qFormat/>
    <w:rPr>
      <w:rFonts w:ascii="Times New Roman" w:eastAsia="宋体" w:hAnsi="Times New Roman" w:cs="Times New Roman"/>
    </w:rPr>
  </w:style>
  <w:style w:type="character" w:customStyle="1" w:styleId="bdsnopic">
    <w:name w:val="bds_nopic"/>
    <w:qFormat/>
    <w:rPr>
      <w:rFonts w:ascii="Times New Roman" w:eastAsia="宋体" w:hAnsi="Times New Roman" w:cs="Times New Roman"/>
    </w:rPr>
  </w:style>
  <w:style w:type="character" w:customStyle="1" w:styleId="hover14">
    <w:name w:val="hover14"/>
    <w:qFormat/>
    <w:rPr>
      <w:rFonts w:ascii="Times New Roman" w:eastAsia="宋体" w:hAnsi="Times New Roman" w:cs="Times New Roman"/>
    </w:rPr>
  </w:style>
  <w:style w:type="character" w:customStyle="1" w:styleId="a6">
    <w:name w:val="纯文本 字符"/>
    <w:qFormat/>
    <w:rPr>
      <w:rFonts w:ascii="宋体" w:eastAsia="宋体" w:hAnsi="Courier New" w:cs="Times New Roman"/>
      <w:szCs w:val="20"/>
    </w:rPr>
  </w:style>
  <w:style w:type="character" w:customStyle="1" w:styleId="font41">
    <w:name w:val="font41"/>
    <w:qFormat/>
    <w:rPr>
      <w:rFonts w:ascii="Times New Roman" w:eastAsia="宋体" w:hAnsi="Times New Roman" w:cs="Times New Roman"/>
      <w:color w:val="000000"/>
      <w:spacing w:val="260"/>
      <w:sz w:val="18"/>
      <w:szCs w:val="18"/>
      <w:u w:val="none"/>
    </w:rPr>
  </w:style>
  <w:style w:type="character" w:customStyle="1" w:styleId="black11">
    <w:name w:val="black11"/>
    <w:qFormat/>
    <w:rPr>
      <w:rFonts w:ascii="Verdana" w:eastAsia="仿宋_GB2312" w:hAnsi="Verdana" w:cs="Times New Roman"/>
      <w:color w:val="000000"/>
      <w:kern w:val="0"/>
      <w:sz w:val="18"/>
      <w:szCs w:val="18"/>
      <w:lang w:eastAsia="en-US"/>
    </w:rPr>
  </w:style>
  <w:style w:type="character" w:customStyle="1" w:styleId="FormatvorlageNurTextArialCharCharCharCharCharCharCharCharCharCharCharCharCharCharCharCharCharCharCharCharCharCharCharCharCharChar">
    <w:name w:val="Formatvorlage Nur Text + Arial Char Char Char Char Char Char Char Char Char Char Char Char Char Char Char Char Char Char Char Char Char Char Char Char Char Char"/>
    <w:link w:val="FormatvorlageNurTextArialCharCharCharCharCharCharCharCharCharCharCharCharCharCharCharCharCharCharCharCharCharCharCharCharChar"/>
    <w:qFormat/>
    <w:rPr>
      <w:rFonts w:ascii="Arial" w:eastAsia="宋体" w:hAnsi="Arial" w:cs="Times New Roman"/>
      <w:sz w:val="21"/>
      <w:szCs w:val="36"/>
      <w:lang w:val="de-DE"/>
    </w:rPr>
  </w:style>
  <w:style w:type="paragraph" w:customStyle="1" w:styleId="FormatvorlageNurTextArialCharCharCharCharCharCharCharCharCharCharCharCharCharCharCharCharCharCharCharCharCharCharCharCharChar">
    <w:name w:val="Formatvorlage Nur Text + Arial Char Char Char Char Char Char Char Char Char Char Char Char Char Char Char Char Char Char Char Char Char Char Char Char Char"/>
    <w:basedOn w:val="PlainText"/>
    <w:link w:val="FormatvorlageNurTextArialCharCharCharCharCharCharCharCharCharCharCharCharCharCharCharCharCharCharCharCharCharCharCharCharCharChar"/>
    <w:qFormat/>
    <w:pPr>
      <w:widowControl/>
      <w:spacing w:after="160" w:line="320" w:lineRule="exact"/>
      <w:jc w:val="left"/>
    </w:pPr>
    <w:rPr>
      <w:rFonts w:ascii="Arial" w:hAnsi="Arial"/>
      <w:kern w:val="0"/>
      <w:szCs w:val="36"/>
      <w:lang w:val="de-DE"/>
    </w:rPr>
  </w:style>
  <w:style w:type="character" w:customStyle="1" w:styleId="GTA-2CharChar">
    <w:name w:val="GTA正文-2 Char Char"/>
    <w:link w:val="GTA-2"/>
    <w:qFormat/>
    <w:rPr>
      <w:rFonts w:ascii="微软雅黑" w:eastAsia="微软雅黑" w:hAnsi="微软雅黑" w:cs="Arial"/>
      <w:sz w:val="24"/>
      <w:szCs w:val="24"/>
    </w:rPr>
  </w:style>
  <w:style w:type="paragraph" w:customStyle="1" w:styleId="GTA-2">
    <w:name w:val="GTA正文-2"/>
    <w:basedOn w:val="Normal"/>
    <w:link w:val="GTA-2CharChar"/>
    <w:qFormat/>
    <w:pPr>
      <w:snapToGrid w:val="0"/>
      <w:spacing w:beforeLines="50" w:after="156" w:line="480" w:lineRule="atLeast"/>
      <w:ind w:firstLine="480" w:firstLineChars="200"/>
    </w:pPr>
    <w:rPr>
      <w:rFonts w:ascii="微软雅黑" w:eastAsia="微软雅黑" w:hAnsi="微软雅黑"/>
      <w:kern w:val="0"/>
      <w:sz w:val="24"/>
    </w:rPr>
  </w:style>
  <w:style w:type="character" w:customStyle="1" w:styleId="active">
    <w:name w:val="active"/>
    <w:qFormat/>
    <w:rPr>
      <w:rFonts w:ascii="Times New Roman" w:eastAsia="宋体" w:hAnsi="Times New Roman" w:cs="Times New Roman"/>
      <w:color w:val="FFFFFF"/>
    </w:rPr>
  </w:style>
  <w:style w:type="character" w:customStyle="1" w:styleId="Char2">
    <w:name w:val="副标题 Char2"/>
    <w:qFormat/>
    <w:rPr>
      <w:rFonts w:ascii="Cambria" w:eastAsia="宋体" w:hAnsi="Cambria" w:cs="Times New Roman"/>
      <w:b/>
      <w:bCs/>
      <w:kern w:val="28"/>
      <w:sz w:val="32"/>
      <w:szCs w:val="32"/>
    </w:rPr>
  </w:style>
  <w:style w:type="character" w:customStyle="1" w:styleId="1Char">
    <w:name w:val="章标题1 Char"/>
    <w:qFormat/>
    <w:rPr>
      <w:rFonts w:ascii="Times New Roman" w:eastAsia="宋体" w:hAnsi="Times New Roman" w:cs="Times New Roman"/>
      <w:b/>
      <w:bCs/>
      <w:kern w:val="2"/>
      <w:sz w:val="32"/>
      <w:szCs w:val="32"/>
      <w:lang w:val="en-US" w:eastAsia="zh-CN" w:bidi="ar-SA"/>
    </w:rPr>
  </w:style>
  <w:style w:type="character" w:customStyle="1" w:styleId="span4">
    <w:name w:val="span4"/>
    <w:qFormat/>
    <w:rPr>
      <w:rFonts w:ascii="Times New Roman" w:eastAsia="宋体" w:hAnsi="Times New Roman" w:cs="Times New Roman"/>
    </w:rPr>
  </w:style>
  <w:style w:type="character" w:customStyle="1" w:styleId="span22">
    <w:name w:val="span22"/>
    <w:qFormat/>
    <w:rPr>
      <w:rFonts w:ascii="Times New Roman" w:eastAsia="宋体" w:hAnsi="Times New Roman" w:cs="Times New Roman"/>
    </w:rPr>
  </w:style>
  <w:style w:type="character" w:customStyle="1" w:styleId="font11">
    <w:name w:val="font11"/>
    <w:qFormat/>
    <w:rPr>
      <w:rFonts w:ascii="ˎ̥" w:eastAsia="宋体" w:hAnsi="ˎ̥" w:cs="Times New Roman" w:hint="default"/>
    </w:rPr>
  </w:style>
  <w:style w:type="character" w:customStyle="1" w:styleId="entry--no-results-link">
    <w:name w:val="entry--no-results-link"/>
    <w:qFormat/>
    <w:rPr>
      <w:rFonts w:ascii="Times New Roman" w:eastAsia="宋体" w:hAnsi="Times New Roman" w:cs="Times New Roman"/>
      <w:b/>
      <w:caps/>
      <w:color w:val="00539F"/>
    </w:rPr>
  </w:style>
  <w:style w:type="character" w:customStyle="1" w:styleId="mini-outputtext1">
    <w:name w:val="mini-outputtext1"/>
  </w:style>
  <w:style w:type="character" w:customStyle="1" w:styleId="active5">
    <w:name w:val="active5"/>
    <w:qFormat/>
    <w:rPr>
      <w:rFonts w:ascii="Times New Roman" w:eastAsia="宋体" w:hAnsi="Times New Roman" w:cs="Times New Roman"/>
      <w:color w:val="FFFFFF"/>
    </w:rPr>
  </w:style>
  <w:style w:type="character" w:customStyle="1" w:styleId="badge2">
    <w:name w:val="badge2"/>
    <w:qFormat/>
    <w:rPr>
      <w:rFonts w:ascii="Times New Roman" w:eastAsia="宋体" w:hAnsi="Times New Roman" w:cs="Times New Roman"/>
      <w:color w:val="757575"/>
    </w:rPr>
  </w:style>
  <w:style w:type="character" w:customStyle="1" w:styleId="slick-dot-inner1">
    <w:name w:val="slick-dot-inner1"/>
    <w:qFormat/>
    <w:rPr>
      <w:rFonts w:ascii="Times New Roman" w:eastAsia="宋体" w:hAnsi="Times New Roman" w:cs="Times New Roman"/>
      <w:shd w:val="clear" w:color="auto" w:fill="676D73"/>
    </w:rPr>
  </w:style>
  <w:style w:type="character" w:customStyle="1" w:styleId="Char13">
    <w:name w:val="批注文字 Char1"/>
    <w:qFormat/>
    <w:rPr>
      <w:rFonts w:ascii="宋体" w:eastAsia="宋体" w:hAnsi="Times New Roman" w:cs="Times New Roman"/>
      <w:kern w:val="0"/>
      <w:sz w:val="34"/>
      <w:szCs w:val="20"/>
    </w:rPr>
  </w:style>
  <w:style w:type="character" w:customStyle="1" w:styleId="112">
    <w:name w:val="标题 1 字符"/>
    <w:qFormat/>
    <w:rPr>
      <w:rFonts w:ascii="宋体" w:eastAsia="黑体" w:hAnsi="宋体" w:cs="Times New Roman"/>
      <w:b/>
      <w:bCs/>
      <w:kern w:val="44"/>
      <w:sz w:val="36"/>
      <w:szCs w:val="36"/>
    </w:rPr>
  </w:style>
  <w:style w:type="character" w:customStyle="1" w:styleId="hover3">
    <w:name w:val="hover3"/>
    <w:rPr>
      <w:color w:val="2590EB"/>
    </w:rPr>
  </w:style>
  <w:style w:type="character" w:customStyle="1" w:styleId="a7">
    <w:name w:val="批注文字 字符"/>
    <w:qFormat/>
    <w:rPr>
      <w:rFonts w:ascii="宋体" w:eastAsia="宋体" w:hAnsi="Times New Roman" w:cs="Times New Roman"/>
      <w:kern w:val="0"/>
      <w:sz w:val="34"/>
      <w:szCs w:val="20"/>
    </w:rPr>
  </w:style>
  <w:style w:type="character" w:customStyle="1" w:styleId="bdsnopic1">
    <w:name w:val="bds_nopic1"/>
    <w:qFormat/>
    <w:rPr>
      <w:rFonts w:ascii="Times New Roman" w:eastAsia="宋体" w:hAnsi="Times New Roman" w:cs="Times New Roman"/>
    </w:rPr>
  </w:style>
  <w:style w:type="character" w:customStyle="1" w:styleId="2Char10">
    <w:name w:val="正文文本缩进 2 Char1"/>
    <w:qFormat/>
    <w:rPr>
      <w:rFonts w:ascii="宋体" w:eastAsia="宋体" w:hAnsi="宋体" w:cs="Times New Roman"/>
      <w:kern w:val="0"/>
      <w:sz w:val="20"/>
      <w:szCs w:val="24"/>
    </w:rPr>
  </w:style>
  <w:style w:type="character" w:customStyle="1" w:styleId="hover">
    <w:name w:val="hover"/>
    <w:qFormat/>
    <w:rPr>
      <w:rFonts w:ascii="Times New Roman" w:eastAsia="宋体" w:hAnsi="Times New Roman" w:cs="Times New Roman"/>
    </w:rPr>
  </w:style>
  <w:style w:type="character" w:customStyle="1" w:styleId="bdsmore1">
    <w:name w:val="bds_more1"/>
    <w:qFormat/>
    <w:rPr>
      <w:rFonts w:ascii="Times New Roman" w:eastAsia="宋体" w:hAnsi="Times New Roman" w:cs="Times New Roman"/>
    </w:rPr>
  </w:style>
  <w:style w:type="character" w:customStyle="1" w:styleId="st">
    <w:name w:val="st"/>
    <w:qFormat/>
    <w:rPr>
      <w:rFonts w:ascii="Times New Roman" w:eastAsia="宋体" w:hAnsi="Times New Roman" w:cs="Times New Roman"/>
    </w:rPr>
  </w:style>
  <w:style w:type="character" w:customStyle="1" w:styleId="thumb">
    <w:name w:val="thumb"/>
    <w:qFormat/>
    <w:rPr>
      <w:rFonts w:ascii="Times New Roman" w:eastAsia="宋体" w:hAnsi="Times New Roman" w:cs="Times New Roman"/>
      <w:vanish/>
    </w:rPr>
  </w:style>
  <w:style w:type="character" w:customStyle="1" w:styleId="8Char1">
    <w:name w:val="标题 8 Char1"/>
    <w:qFormat/>
    <w:rPr>
      <w:rFonts w:ascii="Arial" w:eastAsia="黑体" w:hAnsi="Arial" w:cs="Times New Roman"/>
      <w:kern w:val="0"/>
      <w:sz w:val="24"/>
      <w:szCs w:val="20"/>
    </w:rPr>
  </w:style>
  <w:style w:type="character" w:customStyle="1" w:styleId="prodheadlines">
    <w:name w:val="prodheadlines"/>
    <w:qFormat/>
    <w:rPr>
      <w:rFonts w:ascii="Times New Roman" w:eastAsia="宋体" w:hAnsi="Times New Roman" w:cs="Times New Roman"/>
    </w:rPr>
  </w:style>
  <w:style w:type="character" w:customStyle="1" w:styleId="A40">
    <w:name w:val="A4"/>
    <w:qFormat/>
    <w:rPr>
      <w:rFonts w:ascii="Times New Roman" w:eastAsia="宋体" w:hAnsi="Times New Roman" w:cs="Times New Roman"/>
      <w:color w:val="000000"/>
    </w:rPr>
  </w:style>
  <w:style w:type="character" w:customStyle="1" w:styleId="22">
    <w:name w:val="正文文本缩进 2 字符"/>
    <w:qFormat/>
    <w:rPr>
      <w:rFonts w:ascii="宋体" w:eastAsia="宋体" w:hAnsi="宋体" w:cs="Times New Roman"/>
      <w:szCs w:val="24"/>
    </w:rPr>
  </w:style>
  <w:style w:type="character" w:customStyle="1" w:styleId="6Char1">
    <w:name w:val="标题 6 Char1"/>
    <w:qFormat/>
    <w:rPr>
      <w:rFonts w:ascii="Arial" w:eastAsia="黑体" w:hAnsi="Arial" w:cs="Times New Roman"/>
      <w:b/>
      <w:kern w:val="0"/>
      <w:sz w:val="24"/>
      <w:szCs w:val="20"/>
    </w:rPr>
  </w:style>
  <w:style w:type="character" w:customStyle="1" w:styleId="info4">
    <w:name w:val="info4"/>
    <w:qFormat/>
    <w:rPr>
      <w:rFonts w:ascii="Times New Roman" w:eastAsia="宋体" w:hAnsi="Times New Roman" w:cs="Times New Roman"/>
    </w:rPr>
  </w:style>
  <w:style w:type="character" w:customStyle="1" w:styleId="a8">
    <w:name w:val="正文文本缩进 字符"/>
    <w:qFormat/>
    <w:rPr>
      <w:rFonts w:ascii="Times New Roman" w:eastAsia="宋体" w:hAnsi="Times New Roman" w:cs="Times New Roman"/>
      <w:szCs w:val="24"/>
    </w:rPr>
  </w:style>
  <w:style w:type="character" w:customStyle="1" w:styleId="mode">
    <w:name w:val="mode"/>
    <w:qFormat/>
    <w:rPr>
      <w:rFonts w:ascii="Times New Roman" w:eastAsia="宋体" w:hAnsi="Times New Roman" w:cs="Times New Roman"/>
    </w:rPr>
  </w:style>
  <w:style w:type="character" w:customStyle="1" w:styleId="inline-help">
    <w:name w:val="inline-help"/>
    <w:qFormat/>
    <w:rPr>
      <w:rFonts w:ascii="Times New Roman" w:eastAsia="宋体" w:hAnsi="Times New Roman" w:cs="Times New Roman"/>
    </w:rPr>
  </w:style>
  <w:style w:type="character" w:customStyle="1" w:styleId="hilite">
    <w:name w:val="hilite"/>
    <w:qFormat/>
    <w:rPr>
      <w:rFonts w:ascii="Times New Roman" w:eastAsia="宋体" w:hAnsi="Times New Roman" w:cs="Times New Roman"/>
      <w:color w:val="000000"/>
    </w:rPr>
  </w:style>
  <w:style w:type="character" w:customStyle="1" w:styleId="unnamed3">
    <w:name w:val="unnamed3"/>
    <w:qFormat/>
    <w:rPr>
      <w:rFonts w:ascii="Times New Roman" w:eastAsia="宋体" w:hAnsi="Times New Roman" w:cs="Times New Roman"/>
    </w:rPr>
  </w:style>
  <w:style w:type="character" w:customStyle="1" w:styleId="font">
    <w:name w:val="font"/>
    <w:qFormat/>
    <w:rPr>
      <w:rFonts w:ascii="Times New Roman" w:eastAsia="宋体" w:hAnsi="Times New Roman" w:cs="Times New Roman"/>
    </w:rPr>
  </w:style>
  <w:style w:type="character" w:customStyle="1" w:styleId="ca-32">
    <w:name w:val="ca-32"/>
    <w:qFormat/>
    <w:rPr>
      <w:rFonts w:ascii="Times New Roman" w:eastAsia="宋体" w:hAnsi="Times New Roman" w:cs="Times New Roman"/>
    </w:rPr>
  </w:style>
  <w:style w:type="character" w:customStyle="1" w:styleId="--CharChar">
    <w:name w:val="--规划正文 Char Char"/>
    <w:qFormat/>
    <w:rPr>
      <w:rFonts w:ascii="Times New Roman" w:eastAsia="宋体" w:hAnsi="Times New Roman" w:cs="Times New Roman"/>
      <w:kern w:val="2"/>
      <w:sz w:val="24"/>
      <w:szCs w:val="24"/>
      <w:lang w:val="en-US" w:eastAsia="zh-CN" w:bidi="ar-SA"/>
    </w:rPr>
  </w:style>
  <w:style w:type="character" w:customStyle="1" w:styleId="gray6">
    <w:name w:val="gray6"/>
    <w:qFormat/>
    <w:rPr>
      <w:rFonts w:ascii="Times New Roman" w:eastAsia="宋体" w:hAnsi="Times New Roman" w:cs="Times New Roman"/>
    </w:rPr>
  </w:style>
  <w:style w:type="character" w:customStyle="1" w:styleId="H4Char2">
    <w:name w:val="H4 Char2"/>
    <w:qFormat/>
    <w:rPr>
      <w:rFonts w:ascii="Arial" w:eastAsia="黑体" w:hAnsi="Arial" w:cs="Times New Roman"/>
      <w:b/>
      <w:bCs/>
      <w:kern w:val="2"/>
      <w:sz w:val="28"/>
      <w:szCs w:val="28"/>
      <w:lang w:val="en-US" w:eastAsia="zh-CN" w:bidi="ar-SA"/>
    </w:rPr>
  </w:style>
  <w:style w:type="character" w:customStyle="1" w:styleId="span2">
    <w:name w:val="span2"/>
    <w:qFormat/>
    <w:rPr>
      <w:rFonts w:ascii="Times New Roman" w:eastAsia="宋体" w:hAnsi="Times New Roman" w:cs="Times New Roman"/>
    </w:rPr>
  </w:style>
  <w:style w:type="character" w:customStyle="1" w:styleId="4">
    <w:name w:val="标题 4 字符"/>
    <w:qFormat/>
    <w:rPr>
      <w:rFonts w:ascii="Arial" w:eastAsia="黑体" w:hAnsi="Arial" w:cs="Times New Roman"/>
      <w:b/>
      <w:bCs/>
      <w:sz w:val="28"/>
      <w:szCs w:val="28"/>
    </w:rPr>
  </w:style>
  <w:style w:type="character" w:customStyle="1" w:styleId="bdsmore3">
    <w:name w:val="bds_more3"/>
    <w:qFormat/>
    <w:rPr>
      <w:rFonts w:ascii="Times New Roman" w:eastAsia="宋体" w:hAnsi="Times New Roman" w:cs="Times New Roman"/>
    </w:rPr>
  </w:style>
  <w:style w:type="character" w:customStyle="1" w:styleId="6">
    <w:name w:val="标题 6 字符"/>
    <w:qFormat/>
    <w:rPr>
      <w:rFonts w:ascii="Arial" w:eastAsia="黑体" w:hAnsi="Arial" w:cs="Times New Roman"/>
      <w:b/>
      <w:sz w:val="24"/>
      <w:szCs w:val="20"/>
    </w:rPr>
  </w:style>
  <w:style w:type="character" w:customStyle="1" w:styleId="slick-dot-inner">
    <w:name w:val="slick-dot-inner"/>
    <w:qFormat/>
    <w:rPr>
      <w:rFonts w:ascii="Times New Roman" w:eastAsia="宋体" w:hAnsi="Times New Roman" w:cs="Times New Roman"/>
      <w:shd w:val="clear" w:color="auto" w:fill="DAE0E5"/>
    </w:rPr>
  </w:style>
  <w:style w:type="character" w:customStyle="1" w:styleId="HTML">
    <w:name w:val="HTML 预设格式 字符"/>
    <w:qFormat/>
    <w:rPr>
      <w:rFonts w:ascii="Arial Unicode MS" w:eastAsia="Arial Unicode MS" w:hAnsi="Arial Unicode MS" w:cs="Times New Roman"/>
      <w:color w:val="000000"/>
      <w:kern w:val="0"/>
      <w:sz w:val="20"/>
      <w:szCs w:val="20"/>
    </w:rPr>
  </w:style>
  <w:style w:type="character" w:customStyle="1" w:styleId="span1">
    <w:name w:val="span1"/>
    <w:qFormat/>
    <w:rPr>
      <w:rFonts w:ascii="Times New Roman" w:eastAsia="宋体" w:hAnsi="Times New Roman" w:cs="Times New Roman"/>
      <w:b/>
      <w:sz w:val="21"/>
      <w:szCs w:val="21"/>
    </w:rPr>
  </w:style>
  <w:style w:type="character" w:customStyle="1" w:styleId="2Char">
    <w:name w:val="样式 首行缩进 + 首行缩进:  2 字符 Char"/>
    <w:link w:val="23"/>
    <w:qFormat/>
    <w:rPr>
      <w:rFonts w:ascii="Times New Roman" w:eastAsia="宋体" w:hAnsi="Times New Roman" w:cs="Times New Roman"/>
      <w:sz w:val="24"/>
    </w:rPr>
  </w:style>
  <w:style w:type="paragraph" w:customStyle="1" w:styleId="23">
    <w:name w:val="样式 首行缩进 + 首行缩进:  2 字符"/>
    <w:basedOn w:val="Normal"/>
    <w:link w:val="2Char"/>
    <w:qFormat/>
    <w:pPr>
      <w:widowControl/>
      <w:spacing w:line="480" w:lineRule="auto"/>
      <w:ind w:firstLine="480" w:firstLineChars="200"/>
      <w:jc w:val="left"/>
    </w:pPr>
    <w:rPr>
      <w:kern w:val="0"/>
      <w:sz w:val="24"/>
      <w:szCs w:val="20"/>
    </w:rPr>
  </w:style>
  <w:style w:type="character" w:customStyle="1" w:styleId="Char0">
    <w:name w:val="缩进正文 Char"/>
    <w:link w:val="a9"/>
    <w:qFormat/>
    <w:rPr>
      <w:rFonts w:ascii="Times New Roman" w:eastAsia="仿宋_GB2312" w:hAnsi="Times New Roman" w:cs="宋体"/>
      <w:kern w:val="2"/>
      <w:sz w:val="28"/>
      <w:lang w:val="en-US" w:eastAsia="zh-CN" w:bidi="ar-SA"/>
    </w:rPr>
  </w:style>
  <w:style w:type="paragraph" w:customStyle="1" w:styleId="a9">
    <w:name w:val="缩进正文"/>
    <w:basedOn w:val="Normal"/>
    <w:link w:val="Char0"/>
    <w:qFormat/>
    <w:pPr>
      <w:ind w:firstLine="560" w:firstLineChars="200"/>
    </w:pPr>
    <w:rPr>
      <w:rFonts w:eastAsia="仿宋_GB2312" w:cs="宋体"/>
      <w:sz w:val="28"/>
      <w:szCs w:val="20"/>
    </w:rPr>
  </w:style>
  <w:style w:type="character" w:customStyle="1" w:styleId="1Char1">
    <w:name w:val="标题 1 Char1"/>
    <w:qFormat/>
    <w:rPr>
      <w:rFonts w:ascii="宋体" w:eastAsia="黑体" w:hAnsi="宋体" w:cs="Times New Roman"/>
      <w:b/>
      <w:bCs/>
      <w:kern w:val="44"/>
      <w:sz w:val="36"/>
      <w:szCs w:val="36"/>
    </w:rPr>
  </w:style>
  <w:style w:type="character" w:customStyle="1" w:styleId="content1">
    <w:name w:val="content1"/>
    <w:qFormat/>
    <w:rPr>
      <w:rFonts w:ascii="??" w:eastAsia="宋体" w:hAnsi="??" w:cs="Times New Roman" w:hint="default"/>
      <w:sz w:val="16"/>
      <w:szCs w:val="16"/>
      <w:u w:val="none"/>
    </w:rPr>
  </w:style>
  <w:style w:type="character" w:customStyle="1" w:styleId="ze">
    <w:name w:val="ze"/>
    <w:qFormat/>
    <w:rPr>
      <w:rFonts w:ascii="Times New Roman" w:eastAsia="宋体" w:hAnsi="Times New Roman" w:cs="Times New Roman"/>
      <w:vanish/>
      <w:shd w:val="clear" w:color="auto" w:fill="828282"/>
    </w:rPr>
  </w:style>
  <w:style w:type="character" w:customStyle="1" w:styleId="a10">
    <w:name w:val="文档结构图 字符"/>
    <w:qFormat/>
    <w:rPr>
      <w:rFonts w:ascii="Times New Roman" w:eastAsia="宋体" w:hAnsi="Times New Roman" w:cs="Times New Roman"/>
      <w:szCs w:val="24"/>
      <w:shd w:val="clear" w:color="auto" w:fill="000080"/>
    </w:rPr>
  </w:style>
  <w:style w:type="character" w:customStyle="1" w:styleId="3Char1">
    <w:name w:val="正文文本 3 Char1"/>
    <w:qFormat/>
    <w:rPr>
      <w:rFonts w:ascii="Times New Roman" w:eastAsia="宋体" w:hAnsi="Times New Roman" w:cs="Times New Roman"/>
      <w:kern w:val="0"/>
      <w:sz w:val="16"/>
      <w:szCs w:val="16"/>
    </w:rPr>
  </w:style>
  <w:style w:type="character" w:customStyle="1" w:styleId="hover19">
    <w:name w:val="hover19"/>
    <w:qFormat/>
    <w:rPr>
      <w:rFonts w:ascii="Times New Roman" w:eastAsia="宋体" w:hAnsi="Times New Roman" w:cs="Times New Roman"/>
    </w:rPr>
  </w:style>
  <w:style w:type="character" w:customStyle="1" w:styleId="24">
    <w:name w:val="正文文本 2 字符"/>
    <w:qFormat/>
    <w:rPr>
      <w:rFonts w:ascii="Times New Roman" w:eastAsia="宋体" w:hAnsi="Times New Roman" w:cs="Times New Roman"/>
      <w:sz w:val="24"/>
      <w:szCs w:val="24"/>
    </w:rPr>
  </w:style>
  <w:style w:type="character" w:customStyle="1" w:styleId="9">
    <w:name w:val="标题 9 字符"/>
    <w:qFormat/>
    <w:rPr>
      <w:rFonts w:ascii="Arial" w:eastAsia="黑体" w:hAnsi="Arial" w:cs="Times New Roman"/>
      <w:szCs w:val="20"/>
    </w:rPr>
  </w:style>
  <w:style w:type="character" w:customStyle="1" w:styleId="alt-edited1">
    <w:name w:val="alt-edited1"/>
    <w:qFormat/>
    <w:rPr>
      <w:rFonts w:ascii="Times New Roman" w:eastAsia="宋体" w:hAnsi="Times New Roman" w:cs="Times New Roman"/>
      <w:color w:val="4D90F0"/>
    </w:rPr>
  </w:style>
  <w:style w:type="character" w:customStyle="1" w:styleId="blue">
    <w:name w:val="blue"/>
    <w:qFormat/>
    <w:rPr>
      <w:rFonts w:ascii="Times New Roman" w:eastAsia="宋体" w:hAnsi="Times New Roman" w:cs="Times New Roman"/>
    </w:rPr>
  </w:style>
  <w:style w:type="character" w:customStyle="1" w:styleId="3Char">
    <w:name w:val="标题 3 Char"/>
    <w:qFormat/>
    <w:rPr>
      <w:rFonts w:ascii="黑体" w:eastAsia="黑体" w:hAnsi="Times New Roman" w:cs="Times New Roman"/>
      <w:bCs/>
      <w:sz w:val="30"/>
    </w:rPr>
  </w:style>
  <w:style w:type="character" w:customStyle="1" w:styleId="--Char1">
    <w:name w:val="--规划正文 Char1"/>
    <w:qFormat/>
    <w:rPr>
      <w:rFonts w:ascii="Times New Roman" w:eastAsia="宋体" w:hAnsi="Times New Roman" w:cs="Times New Roman"/>
      <w:kern w:val="2"/>
      <w:sz w:val="21"/>
      <w:lang w:val="en-US" w:eastAsia="zh-CN" w:bidi="ar-SA"/>
    </w:rPr>
  </w:style>
  <w:style w:type="character" w:customStyle="1" w:styleId="hilite6">
    <w:name w:val="hilite6"/>
    <w:qFormat/>
    <w:rPr>
      <w:rFonts w:ascii="Times New Roman" w:eastAsia="宋体" w:hAnsi="Times New Roman" w:cs="Times New Roman"/>
      <w:color w:val="000000"/>
    </w:rPr>
  </w:style>
  <w:style w:type="character" w:customStyle="1" w:styleId="a11">
    <w:name w:val="页眉 字符"/>
    <w:qFormat/>
    <w:rPr>
      <w:rFonts w:ascii="Calibri" w:eastAsia="宋体" w:hAnsi="Calibri" w:cs="Times New Roman"/>
      <w:sz w:val="18"/>
      <w:szCs w:val="18"/>
    </w:rPr>
  </w:style>
  <w:style w:type="character" w:customStyle="1" w:styleId="grame">
    <w:name w:val="grame"/>
    <w:qFormat/>
    <w:rPr>
      <w:rFonts w:ascii="Times New Roman" w:eastAsia="宋体" w:hAnsi="Times New Roman" w:cs="Times New Roman"/>
    </w:rPr>
  </w:style>
  <w:style w:type="character" w:customStyle="1" w:styleId="proddescription">
    <w:name w:val="proddescription"/>
    <w:qFormat/>
    <w:rPr>
      <w:rFonts w:ascii="Times New Roman" w:eastAsia="宋体" w:hAnsi="Times New Roman" w:cs="Times New Roman"/>
    </w:rPr>
  </w:style>
  <w:style w:type="character" w:customStyle="1" w:styleId="font2">
    <w:name w:val="font2"/>
    <w:qFormat/>
    <w:rPr>
      <w:rFonts w:ascii="Times New Roman" w:eastAsia="宋体" w:hAnsi="Times New Roman" w:cs="Times New Roman"/>
    </w:rPr>
  </w:style>
  <w:style w:type="character" w:customStyle="1" w:styleId="160">
    <w:name w:val="16"/>
    <w:qFormat/>
    <w:rPr>
      <w:rFonts w:ascii="ˎ̥" w:eastAsia="宋体" w:hAnsi="ˎ̥" w:cs="Times New Roman" w:hint="default"/>
      <w:b/>
      <w:bCs/>
      <w:color w:val="FF0356"/>
      <w:sz w:val="21"/>
      <w:szCs w:val="21"/>
    </w:rPr>
  </w:style>
  <w:style w:type="character" w:customStyle="1" w:styleId="2Char11">
    <w:name w:val="正文文本 2 Char1"/>
    <w:qFormat/>
    <w:rPr>
      <w:rFonts w:ascii="Times New Roman" w:eastAsia="宋体" w:hAnsi="Times New Roman" w:cs="Times New Roman"/>
      <w:kern w:val="0"/>
      <w:sz w:val="24"/>
      <w:szCs w:val="24"/>
    </w:rPr>
  </w:style>
  <w:style w:type="character" w:customStyle="1" w:styleId="4Char1">
    <w:name w:val="标题 4 Char1"/>
    <w:qFormat/>
    <w:rPr>
      <w:rFonts w:ascii="Arial" w:eastAsia="黑体" w:hAnsi="Arial" w:cs="Times New Roman"/>
      <w:b/>
      <w:bCs/>
      <w:kern w:val="0"/>
      <w:sz w:val="28"/>
      <w:szCs w:val="28"/>
    </w:rPr>
  </w:style>
  <w:style w:type="character" w:customStyle="1" w:styleId="shorttext">
    <w:name w:val="short_text"/>
    <w:qFormat/>
    <w:rPr>
      <w:rFonts w:ascii="Times New Roman" w:eastAsia="宋体" w:hAnsi="Times New Roman" w:cs="Times New Roman"/>
    </w:rPr>
  </w:style>
  <w:style w:type="character" w:customStyle="1" w:styleId="Char20">
    <w:name w:val="纯文本 Char2"/>
    <w:qFormat/>
    <w:rPr>
      <w:rFonts w:ascii="宋体" w:eastAsia="宋体" w:hAnsi="Courier New" w:cs="Times New Roman"/>
      <w:kern w:val="2"/>
      <w:sz w:val="21"/>
      <w:lang w:val="en-US" w:eastAsia="zh-CN" w:bidi="ar-SA"/>
    </w:rPr>
  </w:style>
  <w:style w:type="character" w:customStyle="1" w:styleId="8">
    <w:name w:val="标题 8 字符"/>
    <w:qFormat/>
    <w:rPr>
      <w:rFonts w:ascii="Arial" w:eastAsia="黑体" w:hAnsi="Arial" w:cs="Times New Roman"/>
      <w:sz w:val="24"/>
      <w:szCs w:val="20"/>
    </w:rPr>
  </w:style>
  <w:style w:type="character" w:customStyle="1" w:styleId="Char14">
    <w:name w:val="日期 Char1"/>
    <w:qFormat/>
    <w:rPr>
      <w:rFonts w:ascii="Calibri" w:eastAsia="宋体" w:hAnsi="Calibri" w:cs="Times New Roman"/>
      <w:kern w:val="0"/>
      <w:sz w:val="20"/>
      <w:szCs w:val="20"/>
    </w:rPr>
  </w:style>
  <w:style w:type="character" w:customStyle="1" w:styleId="7">
    <w:name w:val="标题 7 字符"/>
    <w:qFormat/>
    <w:rPr>
      <w:rFonts w:ascii="Times New Roman" w:eastAsia="宋体" w:hAnsi="Times New Roman" w:cs="Times New Roman"/>
      <w:b/>
      <w:sz w:val="24"/>
      <w:szCs w:val="20"/>
    </w:rPr>
  </w:style>
  <w:style w:type="character" w:customStyle="1" w:styleId="a12">
    <w:name w:val="页脚 字符"/>
    <w:qFormat/>
    <w:rPr>
      <w:rFonts w:ascii="Calibri" w:eastAsia="宋体" w:hAnsi="Calibri" w:cs="Times New Roman"/>
      <w:sz w:val="18"/>
      <w:szCs w:val="18"/>
    </w:rPr>
  </w:style>
  <w:style w:type="character" w:customStyle="1" w:styleId="a13">
    <w:name w:val="批注框文本 字符"/>
    <w:qFormat/>
    <w:rPr>
      <w:rFonts w:ascii="Times New Roman" w:eastAsia="宋体" w:hAnsi="Times New Roman" w:cs="Times New Roman"/>
      <w:sz w:val="18"/>
      <w:szCs w:val="18"/>
    </w:rPr>
  </w:style>
  <w:style w:type="character" w:customStyle="1" w:styleId="span31">
    <w:name w:val="span31"/>
    <w:qFormat/>
    <w:rPr>
      <w:rFonts w:ascii="Times New Roman" w:eastAsia="宋体" w:hAnsi="Times New Roman" w:cs="Times New Roman"/>
    </w:rPr>
  </w:style>
  <w:style w:type="character" w:customStyle="1" w:styleId="bdsmore">
    <w:name w:val="bds_more"/>
    <w:qFormat/>
    <w:rPr>
      <w:rFonts w:ascii="宋体" w:eastAsia="宋体" w:hAnsi="宋体" w:cs="宋体" w:hint="eastAsia"/>
    </w:rPr>
  </w:style>
  <w:style w:type="character" w:customStyle="1" w:styleId="25">
    <w:name w:val="标题 2 字符"/>
    <w:qFormat/>
    <w:rPr>
      <w:rFonts w:ascii="宋体" w:eastAsia="宋体" w:hAnsi="宋体" w:cs="Times New Roman"/>
      <w:b/>
      <w:kern w:val="0"/>
      <w:sz w:val="24"/>
      <w:szCs w:val="20"/>
    </w:rPr>
  </w:style>
  <w:style w:type="character" w:customStyle="1" w:styleId="a14">
    <w:name w:val="标题 字符"/>
    <w:qFormat/>
    <w:rPr>
      <w:rFonts w:ascii="Arial" w:eastAsia="隶书" w:hAnsi="Arial" w:cs="Arial"/>
      <w:b/>
      <w:bCs/>
      <w:sz w:val="32"/>
      <w:szCs w:val="32"/>
    </w:rPr>
  </w:style>
  <w:style w:type="character" w:customStyle="1" w:styleId="bdsmore2">
    <w:name w:val="bds_more2"/>
    <w:qFormat/>
    <w:rPr>
      <w:rFonts w:ascii="宋体" w:eastAsia="宋体" w:hAnsi="宋体" w:cs="宋体" w:hint="eastAsia"/>
    </w:rPr>
  </w:style>
  <w:style w:type="character" w:customStyle="1" w:styleId="nth-of-type11">
    <w:name w:val="nth-of-type(1)1"/>
    <w:rPr>
      <w:rFonts w:ascii="Times New Roman" w:eastAsia="宋体" w:hAnsi="Times New Roman" w:cs="Times New Roman"/>
    </w:rPr>
  </w:style>
  <w:style w:type="character" w:customStyle="1" w:styleId="hv">
    <w:name w:val="hv"/>
    <w:qFormat/>
    <w:rPr>
      <w:rFonts w:ascii="Times New Roman" w:eastAsia="宋体" w:hAnsi="Times New Roman" w:cs="Times New Roman"/>
    </w:rPr>
  </w:style>
  <w:style w:type="character" w:customStyle="1" w:styleId="a15">
    <w:name w:val="样式 小三 加粗"/>
    <w:qFormat/>
    <w:rPr>
      <w:rFonts w:ascii="Times New Roman" w:eastAsia="宋体" w:hAnsi="Times New Roman" w:cs="Times New Roman"/>
      <w:b/>
      <w:bCs/>
      <w:sz w:val="32"/>
    </w:rPr>
  </w:style>
  <w:style w:type="character" w:customStyle="1" w:styleId="NormalCharacter">
    <w:name w:val="NormalCharacter"/>
    <w:qFormat/>
    <w:rPr>
      <w:rFonts w:ascii="Times New Roman" w:eastAsia="宋体" w:hAnsi="Times New Roman" w:cs="Times New Roman"/>
    </w:rPr>
  </w:style>
  <w:style w:type="character" w:customStyle="1" w:styleId="longtext">
    <w:name w:val="long_text"/>
    <w:qFormat/>
    <w:rPr>
      <w:rFonts w:ascii="Times New Roman" w:eastAsia="宋体" w:hAnsi="Times New Roman" w:cs="Times New Roman"/>
    </w:rPr>
  </w:style>
  <w:style w:type="character" w:customStyle="1" w:styleId="bdsnopic2">
    <w:name w:val="bds_nopic2"/>
    <w:qFormat/>
    <w:rPr>
      <w:rFonts w:ascii="Times New Roman" w:eastAsia="宋体" w:hAnsi="Times New Roman" w:cs="Times New Roman"/>
    </w:rPr>
  </w:style>
  <w:style w:type="character" w:customStyle="1" w:styleId="bdsmore4">
    <w:name w:val="bds_more4"/>
    <w:qFormat/>
    <w:rPr>
      <w:rFonts w:ascii="Times New Roman" w:eastAsia="宋体" w:hAnsi="Times New Roman" w:cs="Times New Roman"/>
    </w:rPr>
  </w:style>
  <w:style w:type="character" w:customStyle="1" w:styleId="Char15">
    <w:name w:val="副标题 Char1"/>
    <w:qFormat/>
    <w:rPr>
      <w:rFonts w:ascii="Cambria" w:eastAsia="宋体" w:hAnsi="Cambria" w:cs="Times New Roman"/>
      <w:b/>
      <w:bCs/>
      <w:kern w:val="28"/>
      <w:sz w:val="32"/>
      <w:szCs w:val="32"/>
    </w:rPr>
  </w:style>
  <w:style w:type="character" w:customStyle="1" w:styleId="hover1">
    <w:name w:val="hover1"/>
    <w:rPr>
      <w:color w:val="2590EB"/>
      <w:shd w:val="clear" w:color="auto" w:fill="E9F4FD"/>
    </w:rPr>
  </w:style>
  <w:style w:type="character" w:customStyle="1" w:styleId="apple-style-span">
    <w:name w:val="apple-style-span"/>
    <w:qFormat/>
    <w:rPr>
      <w:rFonts w:ascii="Times New Roman" w:eastAsia="宋体" w:hAnsi="Times New Roman" w:cs="Times New Roman"/>
    </w:rPr>
  </w:style>
  <w:style w:type="character" w:customStyle="1" w:styleId="hover2">
    <w:name w:val="hover2"/>
    <w:rPr>
      <w:color w:val="2590EB"/>
    </w:rPr>
  </w:style>
  <w:style w:type="character" w:customStyle="1" w:styleId="fielderror">
    <w:name w:val="fielderror"/>
    <w:qFormat/>
    <w:rPr>
      <w:rFonts w:ascii="Times New Roman" w:eastAsia="宋体" w:hAnsi="Times New Roman" w:cs="Times New Roman"/>
      <w:color w:val="800000"/>
    </w:rPr>
  </w:style>
  <w:style w:type="character" w:customStyle="1" w:styleId="5Char1">
    <w:name w:val="标题 5 Char1"/>
    <w:qFormat/>
    <w:rPr>
      <w:rFonts w:ascii="Times New Roman" w:eastAsia="宋体" w:hAnsi="Times New Roman" w:cs="Times New Roman"/>
      <w:b/>
      <w:kern w:val="0"/>
      <w:sz w:val="28"/>
      <w:szCs w:val="20"/>
    </w:rPr>
  </w:style>
  <w:style w:type="character" w:customStyle="1" w:styleId="7Char1">
    <w:name w:val="标题 7 Char1"/>
    <w:qFormat/>
    <w:rPr>
      <w:rFonts w:ascii="Times New Roman" w:eastAsia="宋体" w:hAnsi="Times New Roman" w:cs="Times New Roman"/>
      <w:b/>
      <w:kern w:val="0"/>
      <w:sz w:val="24"/>
      <w:szCs w:val="20"/>
    </w:rPr>
  </w:style>
  <w:style w:type="character" w:customStyle="1" w:styleId="32">
    <w:name w:val="正文文本缩进 3 字符"/>
    <w:qFormat/>
    <w:rPr>
      <w:rFonts w:ascii="宋体" w:eastAsia="宋体" w:hAnsi="Times New Roman" w:cs="Times New Roman"/>
      <w:b/>
      <w:bCs/>
      <w:sz w:val="24"/>
      <w:szCs w:val="24"/>
    </w:rPr>
  </w:style>
  <w:style w:type="character" w:customStyle="1" w:styleId="085Char">
    <w:name w:val="首行缩进:  0.85 厘米 Char"/>
    <w:link w:val="085"/>
    <w:qFormat/>
    <w:rPr>
      <w:rFonts w:ascii="Times New Roman" w:eastAsia="宋体" w:hAnsi="Times New Roman" w:cs="宋体"/>
      <w:sz w:val="24"/>
      <w:lang w:eastAsia="en-US" w:bidi="en-US"/>
    </w:rPr>
  </w:style>
  <w:style w:type="paragraph" w:customStyle="1" w:styleId="085">
    <w:name w:val="首行缩进:  0.85 厘米"/>
    <w:basedOn w:val="Normal"/>
    <w:link w:val="085Char"/>
    <w:qFormat/>
    <w:pPr>
      <w:widowControl/>
      <w:spacing w:line="360" w:lineRule="auto"/>
      <w:ind w:firstLine="480"/>
      <w:jc w:val="left"/>
    </w:pPr>
    <w:rPr>
      <w:rFonts w:cs="宋体"/>
      <w:kern w:val="0"/>
      <w:sz w:val="24"/>
      <w:szCs w:val="20"/>
      <w:lang w:eastAsia="en-US" w:bidi="en-US"/>
    </w:rPr>
  </w:style>
  <w:style w:type="character" w:customStyle="1" w:styleId="text">
    <w:name w:val="text"/>
    <w:qFormat/>
    <w:rPr>
      <w:rFonts w:ascii="Times New Roman" w:eastAsia="宋体" w:hAnsi="Times New Roman" w:cs="Times New Roman"/>
    </w:rPr>
  </w:style>
  <w:style w:type="character" w:customStyle="1" w:styleId="Char3">
    <w:name w:val="第*章 Char"/>
    <w:qFormat/>
    <w:rPr>
      <w:rFonts w:ascii="Arial" w:eastAsia="黑体" w:hAnsi="Arial" w:cs="Times New Roman"/>
      <w:b/>
      <w:bCs/>
      <w:kern w:val="2"/>
      <w:sz w:val="32"/>
      <w:szCs w:val="32"/>
    </w:rPr>
  </w:style>
  <w:style w:type="character" w:customStyle="1" w:styleId="3Char10">
    <w:name w:val="正文文本缩进 3 Char1"/>
    <w:qFormat/>
    <w:rPr>
      <w:rFonts w:ascii="宋体" w:eastAsia="宋体" w:hAnsi="Times New Roman" w:cs="Times New Roman"/>
      <w:b/>
      <w:bCs/>
      <w:kern w:val="0"/>
      <w:sz w:val="24"/>
      <w:szCs w:val="24"/>
    </w:rPr>
  </w:style>
  <w:style w:type="character" w:customStyle="1" w:styleId="hv1">
    <w:name w:val="hv1"/>
    <w:qFormat/>
    <w:rPr>
      <w:rFonts w:ascii="Times New Roman" w:eastAsia="宋体" w:hAnsi="Times New Roman" w:cs="Times New Roman"/>
    </w:rPr>
  </w:style>
  <w:style w:type="character" w:customStyle="1" w:styleId="Char4">
    <w:name w:val="正文文字首行缩进 Char"/>
    <w:qFormat/>
    <w:rPr>
      <w:rFonts w:ascii="Times New Roman" w:eastAsia="宋体" w:hAnsi="Times New Roman" w:cs="Times New Roman"/>
      <w:kern w:val="2"/>
      <w:sz w:val="21"/>
      <w:szCs w:val="24"/>
    </w:rPr>
  </w:style>
  <w:style w:type="character" w:customStyle="1" w:styleId="Char16">
    <w:name w:val="标题 Char1"/>
    <w:qFormat/>
    <w:rPr>
      <w:rFonts w:ascii="Arial" w:eastAsia="隶书" w:hAnsi="Arial" w:cs="Times New Roman"/>
      <w:b/>
      <w:bCs/>
      <w:kern w:val="0"/>
      <w:sz w:val="32"/>
      <w:szCs w:val="32"/>
    </w:rPr>
  </w:style>
  <w:style w:type="character" w:customStyle="1" w:styleId="a16">
    <w:name w:val="批注主题 字符"/>
    <w:qFormat/>
    <w:rPr>
      <w:rFonts w:ascii="Times New Roman" w:eastAsia="宋体" w:hAnsi="Times New Roman" w:cs="Times New Roman"/>
      <w:b/>
      <w:bCs/>
      <w:kern w:val="0"/>
      <w:sz w:val="34"/>
      <w:szCs w:val="24"/>
    </w:rPr>
  </w:style>
  <w:style w:type="paragraph" w:customStyle="1" w:styleId="-1">
    <w:name w:val="标题-1级"/>
    <w:basedOn w:val="Normal"/>
    <w:qFormat/>
    <w:pPr>
      <w:spacing w:before="120" w:after="120" w:line="560" w:lineRule="exact"/>
      <w:outlineLvl w:val="0"/>
    </w:pPr>
    <w:rPr>
      <w:rFonts w:ascii="仿宋_GB2312" w:eastAsia="仿宋_GB2312" w:hAnsi="黑体"/>
      <w:b/>
      <w:sz w:val="32"/>
      <w:szCs w:val="32"/>
    </w:rPr>
  </w:style>
  <w:style w:type="paragraph" w:customStyle="1" w:styleId="NormalIndent0">
    <w:name w:val="NormalIndent"/>
    <w:qFormat/>
    <w:pPr>
      <w:ind w:firstLine="420" w:firstLineChars="200"/>
      <w:jc w:val="both"/>
    </w:pPr>
    <w:rPr>
      <w:kern w:val="2"/>
      <w:sz w:val="21"/>
      <w:szCs w:val="24"/>
      <w:lang w:val="en-US" w:eastAsia="zh-CN" w:bidi="ar-SA"/>
    </w:rPr>
  </w:style>
  <w:style w:type="paragraph" w:customStyle="1" w:styleId="xl66">
    <w:name w:val="xl66"/>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025">
    <w:name w:val="样式 左侧:  0 厘米 悬挂缩进: 2.5 字符"/>
    <w:basedOn w:val="Normal"/>
    <w:qFormat/>
    <w:pPr>
      <w:ind w:left="525" w:hanging="525" w:hangingChars="250"/>
    </w:pPr>
    <w:rPr>
      <w:szCs w:val="20"/>
    </w:rPr>
  </w:style>
  <w:style w:type="paragraph" w:customStyle="1" w:styleId="a17">
    <w:name w:val="段落正文"/>
    <w:basedOn w:val="PlainText"/>
    <w:qFormat/>
    <w:pPr>
      <w:ind w:firstLine="560" w:firstLineChars="200"/>
    </w:pPr>
    <w:rPr>
      <w:rFonts w:ascii="Times New Roman" w:hAnsi="Times New Roman"/>
      <w:sz w:val="28"/>
    </w:rPr>
  </w:style>
  <w:style w:type="paragraph" w:customStyle="1" w:styleId="xl29">
    <w:name w:val="xl29"/>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993300"/>
      <w:kern w:val="0"/>
      <w:sz w:val="24"/>
    </w:rPr>
  </w:style>
  <w:style w:type="paragraph" w:customStyle="1" w:styleId="xl34">
    <w:name w:val="xl34"/>
    <w:basedOn w:val="Normal"/>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140">
    <w:name w:val="a14"/>
    <w:basedOn w:val="Normal"/>
    <w:qFormat/>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CharChar">
    <w:name w:val="Char Char"/>
    <w:basedOn w:val="Normal"/>
    <w:qFormat/>
    <w:rPr>
      <w:rFonts w:ascii="Tahoma" w:hAnsi="Tahoma"/>
      <w:sz w:val="24"/>
      <w:szCs w:val="20"/>
    </w:rPr>
  </w:style>
  <w:style w:type="paragraph" w:customStyle="1" w:styleId="Char5">
    <w:name w:val="正文(首行缩进) Char"/>
    <w:qFormat/>
    <w:pPr>
      <w:spacing w:before="120" w:after="60" w:line="360" w:lineRule="auto"/>
      <w:ind w:firstLine="200" w:firstLineChars="200"/>
    </w:pPr>
    <w:rPr>
      <w:rFonts w:eastAsia="仿宋_GB2312"/>
      <w:spacing w:val="2"/>
      <w:kern w:val="24"/>
      <w:sz w:val="24"/>
      <w:szCs w:val="24"/>
      <w:lang w:val="en-US" w:eastAsia="zh-CN" w:bidi="ar-SA"/>
    </w:rPr>
  </w:style>
  <w:style w:type="paragraph" w:customStyle="1" w:styleId="Style1">
    <w:name w:val="_Style 1"/>
    <w:basedOn w:val="Normal"/>
    <w:qFormat/>
    <w:pPr>
      <w:ind w:firstLine="420" w:firstLineChars="200"/>
    </w:pPr>
  </w:style>
  <w:style w:type="paragraph" w:customStyle="1" w:styleId="Style0">
    <w:name w:val="_Style 0"/>
    <w:qFormat/>
    <w:rPr>
      <w:sz w:val="21"/>
      <w:szCs w:val="22"/>
      <w:lang w:val="en-US" w:eastAsia="zh-CN" w:bidi="ar-SA"/>
    </w:rPr>
  </w:style>
  <w:style w:type="paragraph" w:customStyle="1" w:styleId="CharCharCharCharCharCharChar11">
    <w:name w:val="Char Char Char Char Char Char Char11"/>
    <w:basedOn w:val="Normal"/>
    <w:qFormat/>
    <w:rPr>
      <w:rFonts w:ascii="Tahoma" w:hAnsi="Tahoma"/>
      <w:sz w:val="24"/>
      <w:szCs w:val="20"/>
    </w:rPr>
  </w:style>
  <w:style w:type="paragraph" w:customStyle="1" w:styleId="410">
    <w:name w:val="样式41"/>
    <w:basedOn w:val="Normal"/>
    <w:qFormat/>
    <w:pPr>
      <w:numPr>
        <w:ilvl w:val="0"/>
        <w:numId w:val="2"/>
      </w:numPr>
      <w:tabs>
        <w:tab w:val="left" w:pos="945"/>
        <w:tab w:val="clear" w:pos="2040"/>
      </w:tabs>
      <w:spacing w:line="360" w:lineRule="auto"/>
    </w:pPr>
    <w:rPr>
      <w:b/>
      <w:color w:val="000000"/>
      <w:sz w:val="24"/>
      <w:szCs w:val="20"/>
    </w:rPr>
  </w:style>
  <w:style w:type="paragraph" w:customStyle="1" w:styleId="Char6">
    <w:name w:val="文档正文 Char"/>
    <w:basedOn w:val="Normal"/>
    <w:qFormat/>
    <w:pPr>
      <w:adjustRightInd w:val="0"/>
      <w:spacing w:line="500" w:lineRule="exact"/>
      <w:ind w:firstLine="567"/>
      <w:textAlignment w:val="baseline"/>
    </w:pPr>
    <w:rPr>
      <w:rFonts w:ascii="仿宋_GB2312" w:eastAsia="仿宋_GB2312"/>
      <w:sz w:val="28"/>
    </w:rPr>
  </w:style>
  <w:style w:type="paragraph" w:customStyle="1" w:styleId="xl51">
    <w:name w:val="xl51"/>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800080"/>
      <w:kern w:val="0"/>
      <w:sz w:val="24"/>
    </w:rPr>
  </w:style>
  <w:style w:type="paragraph" w:customStyle="1" w:styleId="60">
    <w:name w:val="列出段落6"/>
    <w:basedOn w:val="Normal"/>
    <w:qFormat/>
    <w:pPr>
      <w:ind w:firstLine="420" w:firstLineChars="200"/>
    </w:pPr>
    <w:rPr>
      <w:szCs w:val="20"/>
    </w:rPr>
  </w:style>
  <w:style w:type="paragraph" w:customStyle="1" w:styleId="tableheader">
    <w:name w:val="tableheader"/>
    <w:basedOn w:val="Normal"/>
    <w:qFormat/>
    <w:pPr>
      <w:widowControl/>
      <w:shd w:val="clear" w:color="auto" w:fill="ABCDEF"/>
      <w:spacing w:before="100" w:beforeAutospacing="1" w:after="100" w:afterAutospacing="1"/>
      <w:jc w:val="left"/>
    </w:pPr>
    <w:rPr>
      <w:rFonts w:ascii="宋体" w:hAnsi="宋体" w:cs="宋体"/>
      <w:kern w:val="0"/>
      <w:sz w:val="24"/>
    </w:rPr>
  </w:style>
  <w:style w:type="paragraph" w:customStyle="1" w:styleId="a18">
    <w:name w:val="一级编号"/>
    <w:basedOn w:val="Normal"/>
    <w:qFormat/>
    <w:pPr>
      <w:tabs>
        <w:tab w:val="left" w:pos="360"/>
        <w:tab w:val="left" w:pos="900"/>
      </w:tabs>
      <w:ind w:left="900" w:hanging="360"/>
    </w:pPr>
    <w:rPr>
      <w:rFonts w:ascii="仿宋_GB2312" w:eastAsia="仿宋_GB2312" w:hAnsi="Calibri"/>
      <w:b/>
      <w:sz w:val="28"/>
      <w:szCs w:val="28"/>
    </w:rPr>
  </w:style>
  <w:style w:type="paragraph" w:customStyle="1" w:styleId="113">
    <w:name w:val="小标题 1"/>
    <w:basedOn w:val="Normal"/>
    <w:qFormat/>
    <w:pPr>
      <w:autoSpaceDE w:val="0"/>
      <w:autoSpaceDN w:val="0"/>
      <w:adjustRightInd w:val="0"/>
      <w:spacing w:line="360" w:lineRule="atLeast"/>
    </w:pPr>
    <w:rPr>
      <w:rFonts w:ascii="文鼎粗黑" w:eastAsia="文鼎粗黑"/>
      <w:kern w:val="0"/>
      <w:sz w:val="22"/>
      <w:szCs w:val="20"/>
    </w:rPr>
  </w:style>
  <w:style w:type="paragraph" w:customStyle="1" w:styleId="TableParagraph">
    <w:name w:val="Table Paragraph"/>
    <w:basedOn w:val="Normal"/>
    <w:qFormat/>
    <w:rPr>
      <w:rFonts w:ascii="仿宋" w:eastAsia="仿宋" w:hAnsi="仿宋" w:cs="仿宋"/>
      <w:lang w:val="zh-CN" w:bidi="zh-CN"/>
    </w:rPr>
  </w:style>
  <w:style w:type="paragraph" w:customStyle="1" w:styleId="a19">
    <w:name w:val="缺省文本"/>
    <w:basedOn w:val="Normal"/>
    <w:qFormat/>
    <w:pPr>
      <w:autoSpaceDE w:val="0"/>
      <w:autoSpaceDN w:val="0"/>
      <w:adjustRightInd w:val="0"/>
      <w:jc w:val="left"/>
    </w:pPr>
    <w:rPr>
      <w:kern w:val="0"/>
    </w:rPr>
  </w:style>
  <w:style w:type="paragraph" w:customStyle="1" w:styleId="a20">
    <w:name w:val="产品描述"/>
    <w:qFormat/>
    <w:pPr>
      <w:widowControl w:val="0"/>
      <w:autoSpaceDE w:val="0"/>
      <w:autoSpaceDN w:val="0"/>
      <w:adjustRightInd w:val="0"/>
      <w:spacing w:line="270" w:lineRule="atLeast"/>
      <w:ind w:firstLine="397"/>
      <w:jc w:val="both"/>
    </w:pPr>
    <w:rPr>
      <w:rFonts w:ascii="宋体"/>
      <w:sz w:val="18"/>
      <w:szCs w:val="18"/>
      <w:lang w:val="en-US" w:eastAsia="zh-CN" w:bidi="ar-SA"/>
    </w:rPr>
  </w:style>
  <w:style w:type="paragraph" w:customStyle="1" w:styleId="xl42">
    <w:name w:val="xl42"/>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CC99FF"/>
      <w:kern w:val="0"/>
      <w:sz w:val="24"/>
    </w:rPr>
  </w:style>
  <w:style w:type="paragraph" w:customStyle="1" w:styleId="word">
    <w:name w:val="word"/>
    <w:basedOn w:val="Normal"/>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xl56">
    <w:name w:val="xl56"/>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幼圆" w:eastAsia="幼圆" w:hAnsi="宋体" w:hint="eastAsia"/>
      <w:color w:val="008080"/>
      <w:kern w:val="0"/>
      <w:sz w:val="24"/>
    </w:rPr>
  </w:style>
  <w:style w:type="paragraph" w:customStyle="1" w:styleId="tabletext">
    <w:name w:val="tabletext"/>
    <w:basedOn w:val="Normal"/>
    <w:qFormat/>
    <w:pPr>
      <w:widowControl/>
      <w:spacing w:before="100" w:beforeAutospacing="1" w:after="100" w:afterAutospacing="1"/>
      <w:jc w:val="left"/>
    </w:pPr>
    <w:rPr>
      <w:rFonts w:ascii="宋体" w:hAnsi="宋体" w:cs="宋体"/>
      <w:kern w:val="0"/>
      <w:sz w:val="24"/>
    </w:rPr>
  </w:style>
  <w:style w:type="paragraph" w:customStyle="1" w:styleId="Teksti2">
    <w:name w:val="Teksti2"/>
    <w:basedOn w:val="Normal"/>
    <w:qFormat/>
    <w:pPr>
      <w:widowControl/>
      <w:tabs>
        <w:tab w:val="right" w:pos="8370"/>
      </w:tabs>
      <w:jc w:val="left"/>
    </w:pPr>
    <w:rPr>
      <w:kern w:val="0"/>
      <w:sz w:val="20"/>
      <w:szCs w:val="20"/>
      <w:lang w:eastAsia="fi-FI"/>
    </w:rPr>
  </w:style>
  <w:style w:type="paragraph" w:customStyle="1" w:styleId="80">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lang w:val="en-US" w:eastAsia="zh-CN" w:bidi="ar-SA"/>
    </w:rPr>
  </w:style>
  <w:style w:type="paragraph" w:customStyle="1" w:styleId="xl64">
    <w:name w:val="xl64"/>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CC99FF"/>
      <w:kern w:val="0"/>
      <w:sz w:val="24"/>
    </w:rPr>
  </w:style>
  <w:style w:type="paragraph" w:customStyle="1" w:styleId="114">
    <w:name w:val="正文1"/>
    <w:basedOn w:val="Normal"/>
    <w:qFormat/>
    <w:pPr>
      <w:spacing w:line="360" w:lineRule="auto"/>
    </w:pPr>
    <w:rPr>
      <w:rFonts w:eastAsia="仿宋_GB2312"/>
      <w:sz w:val="24"/>
    </w:rPr>
  </w:style>
  <w:style w:type="paragraph" w:customStyle="1" w:styleId="115">
    <w:name w:val="无间隔1"/>
    <w:qFormat/>
    <w:pPr>
      <w:widowControl w:val="0"/>
      <w:jc w:val="both"/>
    </w:pPr>
    <w:rPr>
      <w:kern w:val="2"/>
      <w:sz w:val="22"/>
      <w:szCs w:val="22"/>
      <w:lang w:val="en-US" w:eastAsia="zh-CN" w:bidi="ar-SA"/>
    </w:rPr>
  </w:style>
  <w:style w:type="paragraph" w:customStyle="1" w:styleId="xl72">
    <w:name w:val="xl72"/>
    <w:basedOn w:val="Normal"/>
    <w:qFormat/>
    <w:pPr>
      <w:widowControl/>
      <w:spacing w:before="100" w:beforeAutospacing="1" w:after="100" w:afterAutospacing="1"/>
      <w:jc w:val="left"/>
    </w:pPr>
    <w:rPr>
      <w:rFonts w:ascii="宋体" w:hAnsi="宋体"/>
      <w:b/>
      <w:bCs/>
      <w:kern w:val="0"/>
      <w:sz w:val="28"/>
      <w:szCs w:val="28"/>
    </w:rPr>
  </w:style>
  <w:style w:type="paragraph" w:customStyle="1" w:styleId="xl38">
    <w:name w:val="xl3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993300"/>
      <w:kern w:val="0"/>
      <w:sz w:val="24"/>
    </w:rPr>
  </w:style>
  <w:style w:type="paragraph" w:customStyle="1" w:styleId="xl55">
    <w:name w:val="xl5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8080"/>
      <w:kern w:val="0"/>
      <w:sz w:val="24"/>
    </w:rPr>
  </w:style>
  <w:style w:type="paragraph" w:customStyle="1" w:styleId="a21">
    <w:name w:val="设计依据"/>
    <w:basedOn w:val="BodyText"/>
    <w:qFormat/>
    <w:pPr>
      <w:numPr>
        <w:ilvl w:val="1"/>
        <w:numId w:val="3"/>
      </w:numPr>
      <w:tabs>
        <w:tab w:val="clear" w:pos="840"/>
        <w:tab w:val="left" w:pos="1440"/>
      </w:tabs>
      <w:adjustRightInd w:val="0"/>
      <w:ind w:left="1440"/>
      <w:textAlignment w:val="baseline"/>
    </w:pPr>
    <w:rPr>
      <w:rFonts w:ascii="宋体" w:hAnsi="宋体"/>
      <w:b w:val="0"/>
      <w:kern w:val="0"/>
      <w:sz w:val="28"/>
      <w:szCs w:val="18"/>
    </w:rPr>
  </w:style>
  <w:style w:type="paragraph" w:customStyle="1" w:styleId="BodyText21">
    <w:name w:val="Body Text 21"/>
    <w:basedOn w:val="Normal"/>
    <w:qFormat/>
    <w:pPr>
      <w:adjustRightInd w:val="0"/>
      <w:spacing w:line="400" w:lineRule="exact"/>
      <w:ind w:firstLine="425"/>
      <w:jc w:val="left"/>
      <w:textAlignment w:val="baseline"/>
    </w:pPr>
    <w:rPr>
      <w:sz w:val="28"/>
      <w:szCs w:val="20"/>
    </w:rPr>
  </w:style>
  <w:style w:type="paragraph" w:customStyle="1" w:styleId="CharCharCharChar1">
    <w:name w:val="Char Char Char Char1"/>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xl28">
    <w:name w:val="xl2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lang w:val="en-US" w:eastAsia="zh-CN" w:bidi="ar-SA"/>
    </w:rPr>
  </w:style>
  <w:style w:type="paragraph" w:customStyle="1" w:styleId="GB231215">
    <w:name w:val="样式 仿宋_GB2312 行距: 1.5 倍行距"/>
    <w:basedOn w:val="Normal"/>
    <w:qFormat/>
    <w:pPr>
      <w:adjustRightInd w:val="0"/>
      <w:snapToGrid w:val="0"/>
      <w:spacing w:line="520" w:lineRule="exact"/>
      <w:ind w:firstLine="560" w:firstLineChars="200"/>
    </w:pPr>
    <w:rPr>
      <w:rFonts w:eastAsia="仿宋_GB2312"/>
      <w:sz w:val="28"/>
      <w:szCs w:val="20"/>
    </w:rPr>
  </w:style>
  <w:style w:type="paragraph" w:customStyle="1" w:styleId="A22">
    <w:name w:val="正文 A"/>
    <w:qFormat/>
    <w:pPr>
      <w:framePr w:wrap="around" w:vAnchor="margin" w:hAnchor="text" w:y="1"/>
    </w:pPr>
    <w:rPr>
      <w:rFonts w:ascii="Arial" w:eastAsia="Arial Unicode MS" w:hAnsi="Arial" w:cs="Arial Unicode MS"/>
      <w:color w:val="000000"/>
      <w:spacing w:val="-5"/>
      <w:sz w:val="21"/>
      <w:szCs w:val="22"/>
      <w:lang w:val="en-US" w:eastAsia="zh-CN" w:bidi="ar-SA"/>
    </w:rPr>
  </w:style>
  <w:style w:type="paragraph" w:customStyle="1" w:styleId="----">
    <w:name w:val="--规划-表格-居中"/>
    <w:basedOn w:val="--"/>
    <w:qFormat/>
    <w:pPr>
      <w:spacing w:line="240" w:lineRule="auto"/>
      <w:ind w:firstLine="0" w:firstLineChars="0"/>
      <w:jc w:val="center"/>
    </w:pPr>
    <w:rPr>
      <w:sz w:val="20"/>
    </w:rPr>
  </w:style>
  <w:style w:type="paragraph" w:customStyle="1" w:styleId="--">
    <w:name w:val="--规划正文"/>
    <w:basedOn w:val="Normal"/>
    <w:qFormat/>
    <w:pPr>
      <w:spacing w:line="360" w:lineRule="auto"/>
      <w:ind w:firstLine="200" w:firstLineChars="200"/>
    </w:pPr>
    <w:rPr>
      <w:szCs w:val="20"/>
    </w:rPr>
  </w:style>
  <w:style w:type="paragraph" w:customStyle="1" w:styleId="xl30">
    <w:name w:val="xl30"/>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0000"/>
      <w:kern w:val="0"/>
      <w:sz w:val="24"/>
    </w:rPr>
  </w:style>
  <w:style w:type="paragraph" w:customStyle="1" w:styleId="BodyText31">
    <w:name w:val="Body Text 31"/>
    <w:basedOn w:val="Normal"/>
    <w:qFormat/>
    <w:pPr>
      <w:adjustRightInd w:val="0"/>
      <w:spacing w:line="320" w:lineRule="exact"/>
      <w:jc w:val="left"/>
      <w:textAlignment w:val="baseline"/>
    </w:pPr>
    <w:rPr>
      <w:sz w:val="24"/>
      <w:szCs w:val="20"/>
    </w:rPr>
  </w:style>
  <w:style w:type="paragraph" w:customStyle="1" w:styleId="Char7">
    <w:name w:val="Char"/>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Normal"/>
    <w:qFormat/>
    <w:pPr>
      <w:suppressAutoHyphens/>
      <w:autoSpaceDE w:val="0"/>
      <w:spacing w:after="120"/>
      <w:jc w:val="left"/>
    </w:pPr>
    <w:rPr>
      <w:rFonts w:ascii="Helvetica" w:hAnsi="Helvetica"/>
      <w:kern w:val="1"/>
      <w:sz w:val="20"/>
      <w:szCs w:val="20"/>
    </w:rPr>
  </w:style>
  <w:style w:type="paragraph" w:customStyle="1" w:styleId="Style408">
    <w:name w:val="_Style 408"/>
    <w:basedOn w:val="Heading1"/>
    <w:next w:val="Normal"/>
    <w:qFormat/>
    <w:pPr>
      <w:widowControl/>
      <w:spacing w:before="480" w:after="0" w:line="276" w:lineRule="auto"/>
      <w:jc w:val="left"/>
      <w:outlineLvl w:val="9"/>
    </w:pPr>
    <w:rPr>
      <w:rFonts w:ascii="Cambria" w:eastAsia="宋体" w:hAnsi="Cambria"/>
      <w:color w:val="365F91"/>
      <w:kern w:val="0"/>
      <w:szCs w:val="28"/>
    </w:rPr>
  </w:style>
  <w:style w:type="paragraph" w:customStyle="1" w:styleId="CharCharCharCharCharChar1CharCharCharCharCharCharCharCharCharCharCharCharChar">
    <w:name w:val="Char Char Char Char Char Char1 Char Char Char Char Char Char Char Char Char Char Char Char Char"/>
    <w:basedOn w:val="Normal"/>
    <w:qFormat/>
    <w:pPr>
      <w:widowControl/>
      <w:spacing w:after="160" w:line="240" w:lineRule="exact"/>
      <w:jc w:val="left"/>
    </w:pPr>
    <w:rPr>
      <w:rFonts w:ascii="Arial" w:eastAsia="Times New Roman" w:hAnsi="Arial" w:cs="Verdana"/>
      <w:b/>
      <w:kern w:val="0"/>
      <w:sz w:val="24"/>
      <w:lang w:eastAsia="en-US"/>
    </w:rPr>
  </w:style>
  <w:style w:type="paragraph" w:customStyle="1" w:styleId="style2">
    <w:name w:val="style2"/>
    <w:basedOn w:val="Normal"/>
    <w:qFormat/>
    <w:pPr>
      <w:widowControl/>
      <w:spacing w:before="100" w:beforeAutospacing="1" w:after="100" w:afterAutospacing="1"/>
      <w:jc w:val="left"/>
    </w:pPr>
    <w:rPr>
      <w:rFonts w:ascii="宋体" w:hAnsi="宋体" w:cs="宋体"/>
      <w:kern w:val="0"/>
      <w:sz w:val="18"/>
      <w:szCs w:val="18"/>
    </w:rPr>
  </w:style>
  <w:style w:type="paragraph" w:styleId="NoSpacing">
    <w:name w:val="No Spacing"/>
    <w:uiPriority w:val="1"/>
    <w:qFormat/>
    <w:pPr>
      <w:widowControl w:val="0"/>
      <w:jc w:val="both"/>
    </w:pPr>
    <w:rPr>
      <w:rFonts w:ascii="Calibri" w:hAnsi="Calibri"/>
      <w:kern w:val="2"/>
      <w:sz w:val="21"/>
      <w:szCs w:val="21"/>
      <w:lang w:val="en-US" w:eastAsia="zh-CN" w:bidi="ar-SA"/>
    </w:rPr>
  </w:style>
  <w:style w:type="paragraph" w:customStyle="1" w:styleId="xl33">
    <w:name w:val="xl33"/>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333399"/>
      <w:kern w:val="0"/>
      <w:sz w:val="24"/>
    </w:rPr>
  </w:style>
  <w:style w:type="paragraph" w:customStyle="1" w:styleId="NormalParagraph">
    <w:name w:val="Normal Paragraph"/>
    <w:basedOn w:val="Normal"/>
    <w:qFormat/>
    <w:pPr>
      <w:widowControl/>
      <w:spacing w:before="120" w:line="360" w:lineRule="auto"/>
      <w:ind w:firstLine="425"/>
    </w:pPr>
    <w:rPr>
      <w:kern w:val="0"/>
      <w:sz w:val="24"/>
    </w:rPr>
  </w:style>
  <w:style w:type="paragraph" w:customStyle="1" w:styleId="a23">
    <w:name w:val="表格字"/>
    <w:basedOn w:val="Normal"/>
    <w:qFormat/>
    <w:pPr>
      <w:adjustRightInd w:val="0"/>
      <w:jc w:val="center"/>
    </w:pPr>
    <w:rPr>
      <w:rFonts w:ascii="宋体"/>
      <w:sz w:val="24"/>
      <w:szCs w:val="20"/>
    </w:rPr>
  </w:style>
  <w:style w:type="paragraph" w:customStyle="1" w:styleId="240">
    <w:name w:val="2册标题4"/>
    <w:basedOn w:val="Normal"/>
    <w:next w:val="Normal"/>
    <w:qFormat/>
    <w:pPr>
      <w:spacing w:beforeLines="50" w:afterLines="50" w:line="300" w:lineRule="auto"/>
      <w:ind w:left="420" w:leftChars="200"/>
      <w:outlineLvl w:val="3"/>
    </w:pPr>
    <w:rPr>
      <w:rFonts w:ascii="Arial" w:eastAsia="幼圆" w:hAnsi="Arial" w:cs="Arial"/>
      <w:b/>
      <w:sz w:val="24"/>
    </w:rPr>
  </w:style>
  <w:style w:type="paragraph" w:customStyle="1" w:styleId="33">
    <w:name w:val="样式3"/>
    <w:basedOn w:val="Heading1"/>
    <w:qFormat/>
    <w:pPr>
      <w:numPr>
        <w:ilvl w:val="0"/>
        <w:numId w:val="4"/>
      </w:numPr>
      <w:tabs>
        <w:tab w:val="left" w:pos="1290"/>
      </w:tabs>
      <w:spacing w:before="240" w:after="240" w:line="480" w:lineRule="auto"/>
      <w:ind w:right="210" w:rightChars="100"/>
      <w:jc w:val="left"/>
    </w:pPr>
    <w:rPr>
      <w:rFonts w:eastAsia="宋体"/>
      <w:sz w:val="32"/>
    </w:rPr>
  </w:style>
  <w:style w:type="paragraph" w:customStyle="1" w:styleId="116">
    <w:name w:val="列表段落1"/>
    <w:basedOn w:val="Normal"/>
    <w:qFormat/>
    <w:pPr>
      <w:ind w:firstLine="420" w:firstLineChars="200"/>
    </w:pPr>
    <w:rPr>
      <w:rFonts w:ascii="Calibri" w:hAnsi="Calibri"/>
      <w:szCs w:val="22"/>
    </w:rPr>
  </w:style>
  <w:style w:type="paragraph" w:customStyle="1" w:styleId="a24">
    <w:name w:val="方案要点"/>
    <w:basedOn w:val="Normal"/>
    <w:qFormat/>
    <w:pPr>
      <w:numPr>
        <w:ilvl w:val="0"/>
        <w:numId w:val="3"/>
      </w:numPr>
      <w:tabs>
        <w:tab w:val="left" w:pos="420"/>
      </w:tabs>
      <w:spacing w:line="360" w:lineRule="auto"/>
    </w:pPr>
    <w:rPr>
      <w:rFonts w:ascii="仿宋_GB2312" w:eastAsia="仿宋_GB2312" w:hAnsi="宋体"/>
      <w:color w:val="000000"/>
      <w:sz w:val="28"/>
      <w:szCs w:val="28"/>
    </w:rPr>
  </w:style>
  <w:style w:type="paragraph" w:customStyle="1" w:styleId="40">
    <w:name w:val="列出段落4"/>
    <w:basedOn w:val="Normal"/>
    <w:qFormat/>
    <w:pPr>
      <w:ind w:firstLine="420" w:firstLineChars="200"/>
    </w:pPr>
    <w:rPr>
      <w:szCs w:val="20"/>
    </w:rPr>
  </w:style>
  <w:style w:type="paragraph" w:customStyle="1" w:styleId="26">
    <w:name w:val="列出段落2"/>
    <w:basedOn w:val="Normal"/>
    <w:qFormat/>
    <w:pPr>
      <w:ind w:firstLine="420" w:firstLineChars="200"/>
    </w:pPr>
    <w:rPr>
      <w:szCs w:val="20"/>
    </w:rPr>
  </w:style>
  <w:style w:type="paragraph" w:customStyle="1" w:styleId="xl31">
    <w:name w:val="xl31"/>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4"/>
    </w:rPr>
  </w:style>
  <w:style w:type="paragraph" w:customStyle="1" w:styleId="cont">
    <w:name w:val="cont"/>
    <w:basedOn w:val="Normal"/>
    <w:qFormat/>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xl25">
    <w:name w:val="xl2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font10">
    <w:name w:val="font10"/>
    <w:basedOn w:val="Normal"/>
    <w:qFormat/>
    <w:pPr>
      <w:widowControl/>
      <w:spacing w:before="100" w:beforeAutospacing="1" w:after="100" w:afterAutospacing="1"/>
      <w:jc w:val="left"/>
    </w:pPr>
    <w:rPr>
      <w:rFonts w:ascii="宋体" w:hAnsi="宋体" w:hint="eastAsia"/>
      <w:color w:val="333399"/>
      <w:kern w:val="0"/>
      <w:sz w:val="24"/>
    </w:rPr>
  </w:style>
  <w:style w:type="paragraph" w:customStyle="1" w:styleId="82">
    <w:name w:val="列出段落8"/>
    <w:basedOn w:val="Normal"/>
    <w:qFormat/>
    <w:pPr>
      <w:ind w:firstLine="420" w:firstLineChars="200"/>
    </w:pPr>
    <w:rPr>
      <w:szCs w:val="21"/>
    </w:rPr>
  </w:style>
  <w:style w:type="paragraph" w:customStyle="1" w:styleId="a25">
    <w:name w:val="正文表标题"/>
    <w:next w:val="Normal"/>
    <w:qFormat/>
    <w:pPr>
      <w:numPr>
        <w:ilvl w:val="0"/>
        <w:numId w:val="5"/>
      </w:numPr>
      <w:spacing w:beforeLines="50" w:afterLines="50"/>
      <w:jc w:val="center"/>
    </w:pPr>
    <w:rPr>
      <w:rFonts w:ascii="黑体" w:eastAsia="黑体"/>
      <w:sz w:val="21"/>
      <w:lang w:val="en-US" w:eastAsia="zh-CN" w:bidi="ar-SA"/>
    </w:rPr>
  </w:style>
  <w:style w:type="paragraph" w:customStyle="1" w:styleId="62">
    <w:name w:val="6"/>
    <w:basedOn w:val="50"/>
    <w:qFormat/>
    <w:pPr>
      <w:spacing w:line="270" w:lineRule="atLeast"/>
      <w:jc w:val="both"/>
    </w:pPr>
    <w:rPr>
      <w:rFonts w:ascii="Times New Roman"/>
      <w:b w:val="0"/>
      <w:bCs w:val="0"/>
    </w:rPr>
  </w:style>
  <w:style w:type="paragraph" w:customStyle="1" w:styleId="50">
    <w:name w:val="5"/>
    <w:basedOn w:val="Normal"/>
    <w:qFormat/>
    <w:pPr>
      <w:autoSpaceDE w:val="0"/>
      <w:autoSpaceDN w:val="0"/>
      <w:adjustRightInd w:val="0"/>
      <w:jc w:val="left"/>
    </w:pPr>
    <w:rPr>
      <w:rFonts w:ascii="宋体"/>
      <w:b/>
      <w:bCs/>
      <w:kern w:val="0"/>
      <w:sz w:val="18"/>
      <w:szCs w:val="18"/>
    </w:rPr>
  </w:style>
  <w:style w:type="paragraph" w:customStyle="1" w:styleId="BodyText1I2">
    <w:name w:val="BodyText1I2"/>
    <w:qFormat/>
    <w:pPr>
      <w:widowControl w:val="0"/>
      <w:ind w:left="420" w:firstLine="420" w:firstLineChars="200"/>
      <w:jc w:val="both"/>
    </w:pPr>
    <w:rPr>
      <w:rFonts w:ascii="楷体_GB2312" w:eastAsia="楷体_GB2312"/>
      <w:kern w:val="2"/>
      <w:sz w:val="28"/>
      <w:szCs w:val="24"/>
      <w:lang w:val="en-US" w:eastAsia="zh-CN" w:bidi="ar-SA"/>
    </w:rPr>
  </w:style>
  <w:style w:type="paragraph" w:customStyle="1" w:styleId="font15">
    <w:name w:val="font15"/>
    <w:basedOn w:val="Normal"/>
    <w:qFormat/>
    <w:pPr>
      <w:widowControl/>
      <w:spacing w:before="100" w:beforeAutospacing="1" w:after="100" w:afterAutospacing="1"/>
      <w:jc w:val="left"/>
    </w:pPr>
    <w:rPr>
      <w:color w:val="008080"/>
      <w:kern w:val="0"/>
      <w:sz w:val="24"/>
    </w:rPr>
  </w:style>
  <w:style w:type="paragraph" w:styleId="ListParagraph">
    <w:name w:val="List Paragraph"/>
    <w:basedOn w:val="Normal"/>
    <w:qFormat/>
    <w:pPr>
      <w:ind w:firstLine="420" w:firstLineChars="200"/>
    </w:pPr>
    <w:rPr>
      <w:rFonts w:ascii="Calibri" w:hAnsi="Calibri"/>
      <w:szCs w:val="22"/>
    </w:rPr>
  </w:style>
  <w:style w:type="paragraph" w:customStyle="1" w:styleId="font9">
    <w:name w:val="font9"/>
    <w:basedOn w:val="Normal"/>
    <w:qFormat/>
    <w:pPr>
      <w:widowControl/>
      <w:spacing w:before="100" w:beforeAutospacing="1" w:after="100" w:afterAutospacing="1"/>
      <w:jc w:val="left"/>
    </w:pPr>
    <w:rPr>
      <w:color w:val="993300"/>
      <w:kern w:val="0"/>
      <w:sz w:val="24"/>
    </w:rPr>
  </w:style>
  <w:style w:type="paragraph" w:customStyle="1" w:styleId="Char21">
    <w:name w:val="Char2"/>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xmsonormal">
    <w:name w:val="x_msonormal"/>
    <w:basedOn w:val="Normal"/>
    <w:qFormat/>
    <w:pPr>
      <w:widowControl/>
      <w:spacing w:before="100" w:beforeAutospacing="1" w:after="100" w:afterAutospacing="1"/>
      <w:jc w:val="left"/>
    </w:pPr>
    <w:rPr>
      <w:rFonts w:ascii="PMingLiU" w:eastAsia="PMingLiU" w:hAnsi="PMingLiU" w:cs="PMingLiU"/>
      <w:kern w:val="0"/>
      <w:sz w:val="24"/>
      <w:lang w:eastAsia="zh-TW"/>
    </w:rPr>
  </w:style>
  <w:style w:type="paragraph" w:customStyle="1" w:styleId="font0">
    <w:name w:val="font0"/>
    <w:basedOn w:val="Normal"/>
    <w:qFormat/>
    <w:pPr>
      <w:widowControl/>
      <w:spacing w:before="100" w:beforeAutospacing="1" w:after="100" w:afterAutospacing="1"/>
      <w:jc w:val="left"/>
    </w:pPr>
    <w:rPr>
      <w:rFonts w:ascii="宋体" w:hAnsi="宋体" w:hint="eastAsia"/>
      <w:kern w:val="0"/>
      <w:sz w:val="24"/>
    </w:rPr>
  </w:style>
  <w:style w:type="paragraph" w:customStyle="1" w:styleId="117">
    <w:name w:val="列出段落11"/>
    <w:basedOn w:val="Normal"/>
    <w:qFormat/>
    <w:pPr>
      <w:widowControl/>
      <w:spacing w:line="360" w:lineRule="auto"/>
      <w:ind w:firstLine="420" w:firstLineChars="200"/>
      <w:jc w:val="left"/>
    </w:pPr>
    <w:rPr>
      <w:rFonts w:eastAsia="微软雅黑"/>
      <w:sz w:val="24"/>
    </w:rPr>
  </w:style>
  <w:style w:type="paragraph" w:customStyle="1" w:styleId="-11">
    <w:name w:val="彩色列表 - 强调文字颜色 11"/>
    <w:basedOn w:val="Normal"/>
    <w:qFormat/>
    <w:pPr>
      <w:ind w:firstLine="420" w:firstLineChars="200"/>
    </w:pPr>
    <w:rPr>
      <w:rFonts w:ascii="Calibri" w:hAnsi="Calibri"/>
      <w:szCs w:val="22"/>
    </w:rPr>
  </w:style>
  <w:style w:type="paragraph" w:customStyle="1" w:styleId="a26">
    <w:name w:val="表格顶格文字"/>
    <w:basedOn w:val="Normal"/>
    <w:qFormat/>
    <w:rPr>
      <w:rFonts w:ascii="仿宋" w:hAnsi="仿宋"/>
    </w:rPr>
  </w:style>
  <w:style w:type="paragraph" w:customStyle="1" w:styleId="CharCharCharCharCharCharCharCharCharChar">
    <w:name w:val="Char Char Char Char Char Char Char Char Char Char"/>
    <w:basedOn w:val="Normal"/>
    <w:qFormat/>
    <w:rPr>
      <w:rFonts w:ascii="Tahoma" w:hAnsi="Tahoma"/>
      <w:sz w:val="24"/>
      <w:szCs w:val="20"/>
    </w:rPr>
  </w:style>
  <w:style w:type="paragraph" w:customStyle="1" w:styleId="27">
    <w:name w:val="样式 首行缩进:  2 字符"/>
    <w:next w:val="DocumentMap"/>
    <w:qFormat/>
    <w:pPr>
      <w:spacing w:line="360" w:lineRule="auto"/>
      <w:ind w:firstLine="200" w:firstLineChars="200"/>
    </w:pPr>
    <w:rPr>
      <w:rFonts w:ascii="宋体"/>
      <w:sz w:val="24"/>
      <w:lang w:val="en-US" w:eastAsia="zh-CN" w:bidi="ar-SA"/>
    </w:rPr>
  </w:style>
  <w:style w:type="paragraph" w:customStyle="1" w:styleId="xl44">
    <w:name w:val="xl44"/>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FF0000"/>
      <w:kern w:val="0"/>
      <w:sz w:val="24"/>
    </w:rPr>
  </w:style>
  <w:style w:type="paragraph" w:customStyle="1" w:styleId="xl54">
    <w:name w:val="xl54"/>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808080"/>
      <w:kern w:val="0"/>
      <w:sz w:val="24"/>
    </w:rPr>
  </w:style>
  <w:style w:type="paragraph" w:customStyle="1" w:styleId="118">
    <w:name w:val="列出段落1"/>
    <w:basedOn w:val="Normal"/>
    <w:qFormat/>
    <w:pPr>
      <w:ind w:firstLine="420" w:firstLineChars="200"/>
    </w:pPr>
    <w:rPr>
      <w:rFonts w:ascii="Calibri" w:hAnsi="Calibri" w:cs="Calibri"/>
      <w:szCs w:val="21"/>
    </w:rPr>
  </w:style>
  <w:style w:type="paragraph" w:customStyle="1" w:styleId="42">
    <w:name w:val="样式4"/>
    <w:basedOn w:val="Normal"/>
    <w:qFormat/>
    <w:pPr>
      <w:tabs>
        <w:tab w:val="left" w:pos="842"/>
      </w:tabs>
      <w:spacing w:line="360" w:lineRule="auto"/>
      <w:ind w:left="842" w:hanging="420"/>
    </w:pPr>
    <w:rPr>
      <w:sz w:val="24"/>
    </w:rPr>
  </w:style>
  <w:style w:type="paragraph" w:customStyle="1" w:styleId="font16">
    <w:name w:val="font16"/>
    <w:basedOn w:val="Normal"/>
    <w:qFormat/>
    <w:pPr>
      <w:widowControl/>
      <w:spacing w:before="100" w:beforeAutospacing="1" w:after="100" w:afterAutospacing="1"/>
      <w:jc w:val="left"/>
    </w:pPr>
    <w:rPr>
      <w:rFonts w:ascii="宋体" w:hAnsi="宋体" w:hint="eastAsia"/>
      <w:color w:val="008000"/>
      <w:kern w:val="0"/>
      <w:sz w:val="24"/>
    </w:rPr>
  </w:style>
  <w:style w:type="paragraph" w:customStyle="1" w:styleId="119">
    <w:name w:val="样式1"/>
    <w:basedOn w:val="Title"/>
    <w:qFormat/>
    <w:pPr>
      <w:spacing w:before="120" w:after="120"/>
    </w:pPr>
    <w:rPr>
      <w:rFonts w:ascii="Times New Roman" w:eastAsia="黑体" w:hAnsi="Times New Roman" w:cs="Times New Roman"/>
      <w:b w:val="0"/>
      <w:sz w:val="30"/>
      <w:szCs w:val="21"/>
    </w:rPr>
  </w:style>
  <w:style w:type="paragraph" w:customStyle="1" w:styleId="a27">
    <w:name w:val="图"/>
    <w:basedOn w:val="Normal"/>
    <w:qFormat/>
    <w:pPr>
      <w:keepNext/>
      <w:adjustRightInd w:val="0"/>
      <w:snapToGrid w:val="0"/>
      <w:spacing w:before="60" w:after="60" w:line="300" w:lineRule="auto"/>
      <w:jc w:val="center"/>
    </w:pPr>
    <w:rPr>
      <w:spacing w:val="20"/>
      <w:kern w:val="0"/>
      <w:sz w:val="24"/>
      <w:szCs w:val="20"/>
    </w:rPr>
  </w:style>
  <w:style w:type="paragraph" w:customStyle="1" w:styleId="a28">
    <w:name w:val="文档正文"/>
    <w:basedOn w:val="Normal"/>
    <w:qFormat/>
    <w:pPr>
      <w:adjustRightInd w:val="0"/>
      <w:spacing w:line="480" w:lineRule="atLeast"/>
      <w:ind w:firstLine="567" w:firstLineChars="200"/>
      <w:textAlignment w:val="baseline"/>
    </w:pPr>
    <w:rPr>
      <w:rFonts w:ascii="长城仿宋"/>
      <w:kern w:val="0"/>
      <w:szCs w:val="20"/>
    </w:rPr>
  </w:style>
  <w:style w:type="paragraph" w:customStyle="1" w:styleId="CharCharCharCharCharChar1Char">
    <w:name w:val="Char Char Char Char Char Char1 Char"/>
    <w:basedOn w:val="Normal"/>
    <w:qFormat/>
    <w:pPr>
      <w:widowControl/>
      <w:spacing w:after="160" w:line="240" w:lineRule="exact"/>
      <w:jc w:val="left"/>
    </w:pPr>
    <w:rPr>
      <w:rFonts w:ascii="Verdana" w:hAnsi="Verdana"/>
      <w:kern w:val="0"/>
      <w:szCs w:val="20"/>
      <w:lang w:eastAsia="en-US"/>
    </w:rPr>
  </w:style>
  <w:style w:type="paragraph" w:customStyle="1" w:styleId="---">
    <w:name w:val="--规划-小标题"/>
    <w:basedOn w:val="Normal"/>
    <w:next w:val="--"/>
    <w:qFormat/>
    <w:pPr>
      <w:keepNext/>
      <w:keepLines/>
      <w:spacing w:line="360" w:lineRule="auto"/>
      <w:outlineLvl w:val="4"/>
    </w:pPr>
    <w:rPr>
      <w:rFonts w:eastAsia="黑体"/>
    </w:rPr>
  </w:style>
  <w:style w:type="paragraph" w:customStyle="1" w:styleId="p15">
    <w:name w:val="p15"/>
    <w:basedOn w:val="Normal"/>
    <w:qFormat/>
    <w:pPr>
      <w:widowControl/>
      <w:ind w:firstLine="420"/>
    </w:pPr>
    <w:rPr>
      <w:kern w:val="0"/>
      <w:szCs w:val="21"/>
    </w:rPr>
  </w:style>
  <w:style w:type="paragraph" w:customStyle="1" w:styleId="a29">
    <w:name w:val="表格文字"/>
    <w:basedOn w:val="Normal"/>
    <w:qFormat/>
    <w:pPr>
      <w:spacing w:before="25" w:after="25"/>
      <w:jc w:val="left"/>
    </w:pPr>
    <w:rPr>
      <w:bCs/>
      <w:spacing w:val="10"/>
      <w:kern w:val="0"/>
      <w:sz w:val="24"/>
      <w:szCs w:val="20"/>
    </w:rPr>
  </w:style>
  <w:style w:type="paragraph" w:customStyle="1" w:styleId="a30">
    <w:name w:val="表格内容"/>
    <w:basedOn w:val="Normal"/>
    <w:qFormat/>
    <w:pPr>
      <w:adjustRightInd w:val="0"/>
      <w:snapToGrid w:val="0"/>
      <w:ind w:left="125" w:hanging="43"/>
    </w:pPr>
    <w:rPr>
      <w:rFonts w:ascii="Arial" w:hAnsi="Arial" w:cs="Arial"/>
      <w:kern w:val="0"/>
      <w:sz w:val="22"/>
      <w:szCs w:val="22"/>
    </w:rPr>
  </w:style>
  <w:style w:type="paragraph" w:customStyle="1" w:styleId="83">
    <w:name w:val="8"/>
    <w:basedOn w:val="Normal"/>
    <w:next w:val="BodyTextIndent"/>
    <w:qFormat/>
    <w:pPr>
      <w:spacing w:after="120"/>
      <w:ind w:left="420" w:leftChars="200"/>
    </w:pPr>
  </w:style>
  <w:style w:type="paragraph" w:customStyle="1" w:styleId="CharCharCharChar2">
    <w:name w:val="Char Char Char Char2"/>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font12">
    <w:name w:val="font12"/>
    <w:basedOn w:val="Normal"/>
    <w:qFormat/>
    <w:pPr>
      <w:widowControl/>
      <w:spacing w:before="100" w:beforeAutospacing="1" w:after="100" w:afterAutospacing="1"/>
      <w:jc w:val="left"/>
    </w:pPr>
    <w:rPr>
      <w:rFonts w:ascii="宋体" w:hAnsi="宋体" w:hint="eastAsia"/>
      <w:color w:val="99CC00"/>
      <w:kern w:val="0"/>
      <w:sz w:val="24"/>
    </w:rPr>
  </w:style>
  <w:style w:type="paragraph" w:customStyle="1" w:styleId="xl67">
    <w:name w:val="xl67"/>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808000"/>
      <w:kern w:val="0"/>
      <w:sz w:val="20"/>
      <w:szCs w:val="20"/>
    </w:rPr>
  </w:style>
  <w:style w:type="paragraph" w:customStyle="1" w:styleId="p0">
    <w:name w:val="p0"/>
    <w:basedOn w:val="Normal"/>
    <w:qFormat/>
    <w:pPr>
      <w:widowControl/>
      <w:spacing w:before="100" w:beforeAutospacing="1" w:after="100" w:afterAutospacing="1"/>
      <w:jc w:val="left"/>
    </w:pPr>
    <w:rPr>
      <w:rFonts w:ascii="宋体" w:hAnsi="宋体" w:cs="宋体"/>
      <w:kern w:val="0"/>
      <w:sz w:val="24"/>
    </w:rPr>
  </w:style>
  <w:style w:type="paragraph" w:customStyle="1" w:styleId="--0">
    <w:name w:val="--编号内缩进"/>
    <w:basedOn w:val="Normal"/>
    <w:qFormat/>
    <w:pPr>
      <w:spacing w:line="360" w:lineRule="auto"/>
      <w:ind w:left="420" w:firstLine="200" w:firstLineChars="200"/>
    </w:pPr>
    <w:rPr>
      <w:szCs w:val="21"/>
    </w:rPr>
  </w:style>
  <w:style w:type="paragraph" w:customStyle="1" w:styleId="a31">
    <w:name w:val="表格内文字"/>
    <w:basedOn w:val="Normal"/>
    <w:qFormat/>
    <w:rPr>
      <w:sz w:val="24"/>
      <w:szCs w:val="20"/>
    </w:rPr>
  </w:style>
  <w:style w:type="paragraph" w:customStyle="1" w:styleId="a32">
    <w:name w:val="自定义正文"/>
    <w:basedOn w:val="Normal"/>
    <w:qFormat/>
    <w:pPr>
      <w:spacing w:afterLines="50"/>
      <w:ind w:left="600" w:leftChars="600"/>
    </w:pPr>
  </w:style>
  <w:style w:type="paragraph" w:customStyle="1" w:styleId="CharCharCharCharChar">
    <w:name w:val="Char Char Char Char Char"/>
    <w:basedOn w:val="Normal"/>
    <w:qFormat/>
    <w:rPr>
      <w:rFonts w:ascii="Tahoma" w:hAnsi="Tahoma"/>
      <w:sz w:val="24"/>
      <w:szCs w:val="20"/>
    </w:rPr>
  </w:style>
  <w:style w:type="paragraph" w:customStyle="1" w:styleId="NoSpacing1">
    <w:name w:val="No Spacing1"/>
    <w:qFormat/>
    <w:pPr>
      <w:suppressAutoHyphens/>
    </w:pPr>
    <w:rPr>
      <w:color w:val="00000A"/>
      <w:sz w:val="22"/>
      <w:szCs w:val="22"/>
      <w:lang w:val="en-US" w:eastAsia="zh-CN" w:bidi="ar-SA"/>
    </w:rPr>
  </w:style>
  <w:style w:type="paragraph" w:customStyle="1" w:styleId="xl53">
    <w:name w:val="xl53"/>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00FF"/>
      <w:kern w:val="0"/>
      <w:sz w:val="24"/>
    </w:rPr>
  </w:style>
  <w:style w:type="paragraph" w:customStyle="1" w:styleId="28">
    <w:name w:val="正文文字缩进 2"/>
    <w:basedOn w:val="Normal"/>
    <w:qFormat/>
    <w:pPr>
      <w:widowControl/>
      <w:spacing w:line="351" w:lineRule="atLeast"/>
      <w:ind w:firstLine="481"/>
      <w:textAlignment w:val="baseline"/>
    </w:pPr>
    <w:rPr>
      <w:rFonts w:ascii="仿宋_GB2312" w:eastAsia="仿宋_GB2312"/>
      <w:color w:val="000000"/>
      <w:kern w:val="0"/>
      <w:sz w:val="24"/>
      <w:szCs w:val="20"/>
    </w:rPr>
  </w:style>
  <w:style w:type="paragraph" w:customStyle="1" w:styleId="xl63">
    <w:name w:val="xl63"/>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3366FF"/>
      <w:kern w:val="0"/>
      <w:sz w:val="24"/>
    </w:rPr>
  </w:style>
  <w:style w:type="paragraph" w:customStyle="1" w:styleId="CharCharCharCharCharCharChar">
    <w:name w:val="Char Char Char Char Char Char Char"/>
    <w:basedOn w:val="Normal"/>
    <w:qFormat/>
    <w:pPr>
      <w:widowControl/>
      <w:spacing w:after="160" w:line="240" w:lineRule="exact"/>
      <w:jc w:val="left"/>
    </w:pPr>
  </w:style>
  <w:style w:type="paragraph" w:customStyle="1" w:styleId="EnvelopeReturn0">
    <w:name w:val="EnvelopeReturn"/>
    <w:qFormat/>
    <w:pPr>
      <w:widowControl w:val="0"/>
      <w:snapToGrid w:val="0"/>
      <w:jc w:val="both"/>
    </w:pPr>
    <w:rPr>
      <w:rFonts w:ascii="Arial" w:hAnsi="Arial"/>
      <w:kern w:val="2"/>
      <w:sz w:val="21"/>
      <w:szCs w:val="24"/>
      <w:lang w:val="en-US" w:eastAsia="zh-CN" w:bidi="ar-SA"/>
    </w:rPr>
  </w:style>
  <w:style w:type="paragraph" w:customStyle="1" w:styleId="Char1CharCharCharCharCharCharCharCharChar">
    <w:name w:val="Char1 Char Char Char Char Char Char Char Char Char"/>
    <w:basedOn w:val="Normal"/>
    <w:qFormat/>
    <w:pPr>
      <w:widowControl/>
      <w:spacing w:line="400" w:lineRule="exact"/>
      <w:jc w:val="center"/>
    </w:pPr>
    <w:rPr>
      <w:rFonts w:ascii="Verdana" w:hAnsi="Verdana"/>
      <w:kern w:val="0"/>
      <w:szCs w:val="20"/>
      <w:lang w:eastAsia="en-US"/>
    </w:rPr>
  </w:style>
  <w:style w:type="paragraph" w:customStyle="1" w:styleId="font13">
    <w:name w:val="font13"/>
    <w:basedOn w:val="Normal"/>
    <w:qFormat/>
    <w:pPr>
      <w:widowControl/>
      <w:spacing w:before="100" w:beforeAutospacing="1" w:after="100" w:afterAutospacing="1"/>
      <w:jc w:val="left"/>
    </w:pPr>
    <w:rPr>
      <w:rFonts w:ascii="宋体" w:hAnsi="宋体" w:hint="eastAsia"/>
      <w:color w:val="FFFF00"/>
      <w:kern w:val="0"/>
      <w:sz w:val="24"/>
    </w:rPr>
  </w:style>
  <w:style w:type="paragraph" w:customStyle="1" w:styleId="xl32">
    <w:name w:val="xl32"/>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333399"/>
      <w:kern w:val="0"/>
      <w:sz w:val="24"/>
    </w:rPr>
  </w:style>
  <w:style w:type="paragraph" w:customStyle="1" w:styleId="2GB23120015">
    <w:name w:val="样式 标题 2 + 仿宋_GB2312 五号 非加粗 段前: 0 磅 段后: 0 磅 行距: 1.5 倍行距"/>
    <w:basedOn w:val="Heading2"/>
    <w:next w:val="Normal"/>
    <w:qFormat/>
    <w:pPr>
      <w:adjustRightInd/>
      <w:spacing w:line="360" w:lineRule="auto"/>
      <w:ind w:left="369" w:right="-159" w:hanging="65" w:leftChars="304" w:rightChars="-159" w:hangingChars="65"/>
      <w:jc w:val="both"/>
      <w:textAlignment w:val="auto"/>
    </w:pPr>
    <w:rPr>
      <w:rFonts w:ascii="仿宋_GB2312" w:eastAsia="仿宋_GB2312" w:hAnsi="仿宋_GB2312" w:cs="宋体"/>
      <w:bCs w:val="0"/>
      <w:sz w:val="21"/>
    </w:rPr>
  </w:style>
  <w:style w:type="paragraph" w:customStyle="1" w:styleId="xl47">
    <w:name w:val="xl47"/>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99CC00"/>
      <w:kern w:val="0"/>
      <w:sz w:val="24"/>
    </w:rPr>
  </w:style>
  <w:style w:type="paragraph" w:customStyle="1" w:styleId="a33">
    <w:name w:val="文字"/>
    <w:basedOn w:val="Normal"/>
    <w:qFormat/>
    <w:pPr>
      <w:tabs>
        <w:tab w:val="left" w:pos="8520"/>
      </w:tabs>
      <w:spacing w:line="312" w:lineRule="auto"/>
      <w:ind w:right="-210" w:firstLine="556"/>
    </w:pPr>
    <w:rPr>
      <w:rFonts w:ascii="宋体"/>
      <w:sz w:val="28"/>
      <w:szCs w:val="20"/>
    </w:rPr>
  </w:style>
  <w:style w:type="paragraph" w:customStyle="1" w:styleId="00">
    <w:name w:val="00"/>
    <w:basedOn w:val="Normal"/>
    <w:qFormat/>
    <w:pPr>
      <w:autoSpaceDE w:val="0"/>
      <w:autoSpaceDN w:val="0"/>
      <w:adjustRightInd w:val="0"/>
      <w:jc w:val="left"/>
    </w:pPr>
    <w:rPr>
      <w:rFonts w:ascii="黑体" w:eastAsia="黑体"/>
      <w:b/>
      <w:bCs/>
      <w:kern w:val="0"/>
      <w:sz w:val="2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qFormat/>
    <w:pPr>
      <w:widowControl/>
      <w:spacing w:line="400" w:lineRule="exact"/>
      <w:jc w:val="center"/>
    </w:pPr>
    <w:rPr>
      <w:rFonts w:ascii="Verdana" w:hAnsi="Verdana"/>
      <w:kern w:val="0"/>
      <w:szCs w:val="20"/>
      <w:lang w:eastAsia="en-US"/>
    </w:rPr>
  </w:style>
  <w:style w:type="paragraph" w:customStyle="1" w:styleId="a34">
    <w:name w:val="姜文清定义的正文"/>
    <w:basedOn w:val="Normal"/>
    <w:qFormat/>
    <w:pPr>
      <w:spacing w:line="240" w:lineRule="atLeast"/>
      <w:ind w:firstLine="567"/>
    </w:pPr>
    <w:rPr>
      <w:szCs w:val="20"/>
    </w:rPr>
  </w:style>
  <w:style w:type="paragraph" w:customStyle="1" w:styleId="xl24">
    <w:name w:val="xl24"/>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6">
    <w:name w:val="xl26"/>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NewNewNewNewNew">
    <w:name w:val="正文 New New New New New"/>
    <w:basedOn w:val="Normal"/>
    <w:qFormat/>
  </w:style>
  <w:style w:type="paragraph" w:customStyle="1" w:styleId="cucd-3">
    <w:name w:val="cucd-3"/>
    <w:next w:val="Normal"/>
    <w:qFormat/>
    <w:pPr>
      <w:tabs>
        <w:tab w:val="left" w:pos="0"/>
      </w:tabs>
      <w:spacing w:line="360" w:lineRule="auto"/>
      <w:outlineLvl w:val="2"/>
    </w:pPr>
    <w:rPr>
      <w:rFonts w:ascii="宋体" w:hAnsi="宋体"/>
      <w:color w:val="000000"/>
      <w:kern w:val="2"/>
      <w:sz w:val="21"/>
      <w:szCs w:val="21"/>
      <w:lang w:val="en-US" w:eastAsia="zh-CN" w:bidi="ar-SA"/>
    </w:rPr>
  </w:style>
  <w:style w:type="paragraph" w:customStyle="1" w:styleId="a35">
    <w:name w:val="*正文"/>
    <w:qFormat/>
    <w:pPr>
      <w:widowControl w:val="0"/>
      <w:spacing w:line="300" w:lineRule="auto"/>
      <w:ind w:firstLine="200" w:firstLineChars="200"/>
      <w:jc w:val="both"/>
    </w:pPr>
    <w:rPr>
      <w:rFonts w:eastAsia="仿宋"/>
      <w:kern w:val="2"/>
      <w:sz w:val="24"/>
      <w:szCs w:val="24"/>
      <w:lang w:val="en-US" w:eastAsia="zh-CN" w:bidi="ar-SA"/>
    </w:rPr>
  </w:style>
  <w:style w:type="paragraph" w:customStyle="1" w:styleId="BodyTextIndent0">
    <w:name w:val="BodyTextIndent"/>
    <w:next w:val="EnvelopeReturn0"/>
    <w:qFormat/>
    <w:pPr>
      <w:widowControl w:val="0"/>
      <w:ind w:firstLine="700" w:firstLineChars="250"/>
      <w:jc w:val="both"/>
    </w:pPr>
    <w:rPr>
      <w:rFonts w:ascii="楷体_GB2312" w:eastAsia="楷体_GB2312"/>
      <w:kern w:val="2"/>
      <w:sz w:val="28"/>
      <w:szCs w:val="24"/>
      <w:lang w:val="en-US" w:eastAsia="zh-CN" w:bidi="ar-SA"/>
    </w:rPr>
  </w:style>
  <w:style w:type="paragraph" w:customStyle="1" w:styleId="Char17">
    <w:name w:val="Char1"/>
    <w:basedOn w:val="Normal"/>
    <w:qFormat/>
    <w:pPr>
      <w:jc w:val="left"/>
    </w:pPr>
    <w:rPr>
      <w:rFonts w:ascii="Tahoma" w:hAnsi="Tahoma"/>
      <w:sz w:val="24"/>
      <w:szCs w:val="20"/>
    </w:rPr>
  </w:style>
  <w:style w:type="paragraph" w:customStyle="1" w:styleId="CharCharCharChar11">
    <w:name w:val="Char Char Char Char11"/>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a36">
    <w:name w:val="评价"/>
    <w:basedOn w:val="Normal"/>
    <w:qFormat/>
    <w:pPr>
      <w:spacing w:afterLines="20"/>
      <w:ind w:firstLine="1446" w:firstLineChars="200"/>
    </w:pPr>
    <w:rPr>
      <w:rFonts w:ascii="Calibri" w:hAnsi="Calibri"/>
      <w:sz w:val="24"/>
    </w:rPr>
  </w:style>
  <w:style w:type="paragraph" w:customStyle="1" w:styleId="xl36">
    <w:name w:val="xl36"/>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9900"/>
      <w:kern w:val="0"/>
      <w:sz w:val="24"/>
    </w:rPr>
  </w:style>
  <w:style w:type="paragraph" w:customStyle="1" w:styleId="xl59">
    <w:name w:val="xl59"/>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幼圆" w:eastAsia="幼圆" w:hAnsi="宋体" w:hint="eastAsia"/>
      <w:color w:val="FFCC00"/>
      <w:kern w:val="0"/>
      <w:sz w:val="24"/>
    </w:rPr>
  </w:style>
  <w:style w:type="paragraph" w:customStyle="1" w:styleId="text1">
    <w:name w:val="text1"/>
    <w:basedOn w:val="Normal"/>
    <w:qFormat/>
    <w:pPr>
      <w:widowControl/>
      <w:spacing w:before="100" w:beforeAutospacing="1" w:after="100" w:afterAutospacing="1"/>
      <w:jc w:val="left"/>
    </w:pPr>
    <w:rPr>
      <w:rFonts w:ascii="宋体" w:hAnsi="宋体" w:cs="宋体"/>
      <w:kern w:val="0"/>
      <w:sz w:val="24"/>
    </w:rPr>
  </w:style>
  <w:style w:type="paragraph" w:customStyle="1" w:styleId="Style303">
    <w:name w:val="_Style 303"/>
    <w:qFormat/>
    <w:rPr>
      <w:kern w:val="2"/>
      <w:sz w:val="21"/>
      <w:szCs w:val="24"/>
      <w:lang w:val="en-US" w:eastAsia="zh-CN" w:bidi="ar-SA"/>
    </w:rPr>
  </w:style>
  <w:style w:type="paragraph" w:customStyle="1" w:styleId="a37">
    <w:name w:val="保留正文"/>
    <w:basedOn w:val="BodyText"/>
    <w:qFormat/>
    <w:pPr>
      <w:keepNext/>
      <w:spacing w:after="160" w:line="240" w:lineRule="auto"/>
    </w:pPr>
    <w:rPr>
      <w:b w:val="0"/>
      <w:bCs w:val="0"/>
      <w:sz w:val="21"/>
    </w:rPr>
  </w:style>
  <w:style w:type="paragraph" w:customStyle="1" w:styleId="34">
    <w:name w:val="列出段落3"/>
    <w:basedOn w:val="Normal"/>
    <w:qFormat/>
    <w:pPr>
      <w:ind w:firstLine="420" w:firstLineChars="200"/>
    </w:pPr>
    <w:rPr>
      <w:szCs w:val="20"/>
    </w:rPr>
  </w:style>
  <w:style w:type="paragraph" w:customStyle="1" w:styleId="21313">
    <w:name w:val="样式 标题 2 + 段前: 13 磅 段后: 13 磅 行距: 单倍行距"/>
    <w:basedOn w:val="Heading2"/>
    <w:qFormat/>
    <w:pPr>
      <w:adjustRightInd/>
      <w:jc w:val="both"/>
      <w:textAlignment w:val="auto"/>
    </w:pPr>
    <w:rPr>
      <w:rFonts w:ascii="Cambria" w:hAnsi="Cambria" w:cs="宋体"/>
      <w:kern w:val="2"/>
      <w:sz w:val="32"/>
    </w:rPr>
  </w:style>
  <w:style w:type="paragraph" w:customStyle="1" w:styleId="9BOLD">
    <w:name w:val="汉仪细等线简9BOLD"/>
    <w:basedOn w:val="Normal"/>
    <w:qFormat/>
    <w:pPr>
      <w:autoSpaceDE w:val="0"/>
      <w:autoSpaceDN w:val="0"/>
      <w:adjustRightInd w:val="0"/>
      <w:spacing w:line="240" w:lineRule="atLeast"/>
    </w:pPr>
    <w:rPr>
      <w:rFonts w:ascii="汉仪细等线简" w:eastAsia="汉仪细等线简"/>
      <w:b/>
      <w:bCs/>
      <w:kern w:val="0"/>
      <w:sz w:val="18"/>
      <w:szCs w:val="18"/>
    </w:rPr>
  </w:style>
  <w:style w:type="paragraph" w:customStyle="1" w:styleId="---0">
    <w:name w:val="--规划-图和表"/>
    <w:next w:val="--"/>
    <w:qFormat/>
    <w:pPr>
      <w:jc w:val="center"/>
    </w:pPr>
    <w:rPr>
      <w:kern w:val="2"/>
      <w:sz w:val="21"/>
      <w:lang w:val="en-US" w:eastAsia="zh-CN" w:bidi="ar-SA"/>
    </w:rPr>
  </w:style>
  <w:style w:type="paragraph" w:customStyle="1" w:styleId="Char120">
    <w:name w:val="Char12"/>
    <w:basedOn w:val="Normal"/>
    <w:qFormat/>
    <w:pPr>
      <w:tabs>
        <w:tab w:val="left" w:pos="360"/>
      </w:tabs>
    </w:pPr>
    <w:rPr>
      <w:sz w:val="24"/>
    </w:rPr>
  </w:style>
  <w:style w:type="paragraph" w:customStyle="1" w:styleId="CharCharCharCharCharCharCharCharCharCharChar">
    <w:name w:val="Char Char Char Char Char Char Char Char Char Char Char"/>
    <w:basedOn w:val="Normal"/>
    <w:qFormat/>
    <w:rPr>
      <w:rFonts w:ascii="Tahoma" w:hAnsi="Tahoma"/>
      <w:sz w:val="24"/>
      <w:szCs w:val="20"/>
    </w:rPr>
  </w:style>
  <w:style w:type="paragraph" w:customStyle="1" w:styleId="xl39">
    <w:name w:val="xl39"/>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font8">
    <w:name w:val="font8"/>
    <w:basedOn w:val="Normal"/>
    <w:qFormat/>
    <w:pPr>
      <w:widowControl/>
      <w:spacing w:before="100" w:beforeAutospacing="1" w:after="100" w:afterAutospacing="1"/>
      <w:jc w:val="left"/>
    </w:pPr>
    <w:rPr>
      <w:kern w:val="0"/>
      <w:sz w:val="20"/>
      <w:szCs w:val="20"/>
    </w:rPr>
  </w:style>
  <w:style w:type="paragraph" w:customStyle="1" w:styleId="RFItextfrom3rdLevel">
    <w:name w:val="RFI text from 3rd Level"/>
    <w:basedOn w:val="Normal"/>
    <w:qFormat/>
    <w:pPr>
      <w:widowControl/>
      <w:numPr>
        <w:ilvl w:val="0"/>
        <w:numId w:val="6"/>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CharCharChar">
    <w:name w:val="Char Char Char"/>
    <w:basedOn w:val="Normal"/>
    <w:qFormat/>
    <w:rPr>
      <w:rFonts w:ascii="Tahoma" w:hAnsi="Tahoma"/>
      <w:sz w:val="24"/>
      <w:szCs w:val="20"/>
    </w:rPr>
  </w:style>
  <w:style w:type="paragraph" w:customStyle="1" w:styleId="xl40">
    <w:name w:val="xl40"/>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38">
    <w:name w:val="列表项目"/>
    <w:basedOn w:val="Normal"/>
    <w:qFormat/>
    <w:pPr>
      <w:tabs>
        <w:tab w:val="left" w:pos="420"/>
        <w:tab w:val="left" w:pos="1080"/>
      </w:tabs>
      <w:spacing w:line="288" w:lineRule="auto"/>
      <w:ind w:left="1080" w:hanging="360"/>
    </w:pPr>
    <w:rPr>
      <w:sz w:val="24"/>
      <w:szCs w:val="20"/>
    </w:rPr>
  </w:style>
  <w:style w:type="paragraph" w:customStyle="1" w:styleId="a39">
    <w:name w:val="正文(首行缩进)"/>
    <w:qFormat/>
    <w:pPr>
      <w:spacing w:line="360" w:lineRule="auto"/>
      <w:ind w:firstLine="488" w:firstLineChars="200"/>
      <w:jc w:val="both"/>
    </w:pPr>
    <w:rPr>
      <w:rFonts w:eastAsia="仿宋_GB2312"/>
      <w:spacing w:val="2"/>
      <w:sz w:val="24"/>
      <w:szCs w:val="24"/>
      <w:lang w:val="en-US" w:eastAsia="zh-CN" w:bidi="ar-SA"/>
    </w:rPr>
  </w:style>
  <w:style w:type="paragraph" w:customStyle="1" w:styleId="90">
    <w:name w:val="9"/>
    <w:basedOn w:val="Normal"/>
    <w:next w:val="NormalIndent"/>
    <w:qFormat/>
    <w:pPr>
      <w:autoSpaceDE w:val="0"/>
      <w:autoSpaceDN w:val="0"/>
      <w:adjustRightInd w:val="0"/>
      <w:ind w:firstLine="420"/>
      <w:jc w:val="left"/>
      <w:textAlignment w:val="baseline"/>
    </w:pPr>
    <w:rPr>
      <w:rFonts w:ascii="宋体"/>
      <w:kern w:val="0"/>
      <w:sz w:val="34"/>
      <w:szCs w:val="20"/>
    </w:rPr>
  </w:style>
  <w:style w:type="paragraph" w:customStyle="1" w:styleId="xl57">
    <w:name w:val="xl57"/>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80"/>
      <w:kern w:val="0"/>
      <w:sz w:val="24"/>
    </w:rPr>
  </w:style>
  <w:style w:type="paragraph" w:customStyle="1" w:styleId="xl65">
    <w:name w:val="xl6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69696"/>
      <w:kern w:val="0"/>
      <w:sz w:val="24"/>
    </w:rPr>
  </w:style>
  <w:style w:type="paragraph" w:customStyle="1" w:styleId="xl50">
    <w:name w:val="xl50"/>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993366"/>
      <w:kern w:val="0"/>
      <w:sz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宋体" w:eastAsia="等线" w:hAnsi="宋体"/>
      <w:kern w:val="16"/>
      <w:sz w:val="21"/>
      <w:szCs w:val="24"/>
      <w:lang w:val="en-US" w:eastAsia="zh-CN" w:bidi="ar-SA"/>
    </w:rPr>
  </w:style>
  <w:style w:type="paragraph" w:customStyle="1" w:styleId="xl35">
    <w:name w:val="xl3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FF00"/>
      <w:kern w:val="0"/>
      <w:sz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70">
    <w:name w:val="列出段落7"/>
    <w:basedOn w:val="Normal"/>
    <w:qFormat/>
    <w:pPr>
      <w:ind w:firstLine="420" w:firstLineChars="200"/>
    </w:pPr>
    <w:rPr>
      <w:szCs w:val="20"/>
    </w:rPr>
  </w:style>
  <w:style w:type="paragraph" w:customStyle="1" w:styleId="qw">
    <w:name w:val="qw"/>
    <w:qFormat/>
    <w:pPr>
      <w:widowControl w:val="0"/>
      <w:adjustRightInd w:val="0"/>
      <w:spacing w:line="312" w:lineRule="atLeast"/>
      <w:jc w:val="both"/>
      <w:textAlignment w:val="baseline"/>
    </w:pPr>
    <w:rPr>
      <w:rFonts w:ascii="宋体"/>
      <w:sz w:val="24"/>
      <w:lang w:val="en-US" w:eastAsia="zh-CN" w:bidi="ar-SA"/>
    </w:rPr>
  </w:style>
  <w:style w:type="paragraph" w:customStyle="1" w:styleId="----0">
    <w:name w:val="--规划-表格-居左"/>
    <w:basedOn w:val="--"/>
    <w:qFormat/>
    <w:pPr>
      <w:spacing w:line="240" w:lineRule="auto"/>
      <w:ind w:firstLine="0" w:firstLineChars="0"/>
    </w:pPr>
    <w:rPr>
      <w:sz w:val="20"/>
    </w:rPr>
  </w:style>
  <w:style w:type="paragraph" w:customStyle="1" w:styleId="xl61">
    <w:name w:val="xl61"/>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幼圆" w:eastAsia="幼圆" w:hAnsi="宋体" w:hint="eastAsia"/>
      <w:color w:val="808000"/>
      <w:kern w:val="0"/>
      <w:sz w:val="24"/>
    </w:rPr>
  </w:style>
  <w:style w:type="paragraph" w:customStyle="1" w:styleId="xl43">
    <w:name w:val="xl43"/>
    <w:basedOn w:val="Normal"/>
    <w:qFormat/>
    <w:pPr>
      <w:widowControl/>
      <w:pBdr>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
    <w:name w:val="--规划正文 Char"/>
    <w:basedOn w:val="Normal"/>
    <w:qFormat/>
    <w:pPr>
      <w:spacing w:line="360" w:lineRule="auto"/>
      <w:ind w:firstLine="200" w:firstLineChars="200"/>
    </w:pPr>
    <w:rPr>
      <w:sz w:val="24"/>
    </w:rPr>
  </w:style>
  <w:style w:type="paragraph" w:customStyle="1" w:styleId="xl37">
    <w:name w:val="xl37"/>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9900"/>
      <w:kern w:val="0"/>
      <w:sz w:val="24"/>
    </w:rPr>
  </w:style>
  <w:style w:type="paragraph" w:customStyle="1" w:styleId="a41">
    <w:name w:val="正文文字缩进项目"/>
    <w:basedOn w:val="BodyTextIndent"/>
    <w:qFormat/>
    <w:pPr>
      <w:numPr>
        <w:ilvl w:val="1"/>
        <w:numId w:val="6"/>
      </w:numPr>
      <w:tabs>
        <w:tab w:val="left" w:pos="840"/>
        <w:tab w:val="clear" w:pos="1260"/>
      </w:tabs>
      <w:spacing w:after="120" w:line="240" w:lineRule="auto"/>
      <w:ind w:left="840" w:firstLine="0" w:firstLineChars="0"/>
    </w:pPr>
    <w:rPr>
      <w:rFonts w:ascii="Tahoma" w:hAnsi="Tahoma"/>
      <w:sz w:val="22"/>
      <w:szCs w:val="20"/>
    </w:rPr>
  </w:style>
  <w:style w:type="paragraph" w:customStyle="1" w:styleId="Style339">
    <w:name w:val="_Style 339"/>
    <w:basedOn w:val="Normal"/>
    <w:next w:val="Normal"/>
    <w:qFormat/>
    <w:pPr>
      <w:widowControl/>
      <w:pBdr>
        <w:bottom w:val="single" w:sz="6" w:space="1" w:color="auto"/>
      </w:pBdr>
      <w:jc w:val="center"/>
    </w:pPr>
    <w:rPr>
      <w:rFonts w:ascii="Arial" w:hAnsi="Arial" w:cs="Arial"/>
      <w:vanish/>
      <w:kern w:val="0"/>
      <w:sz w:val="16"/>
      <w:szCs w:val="16"/>
    </w:rPr>
  </w:style>
  <w:style w:type="paragraph" w:customStyle="1" w:styleId="a42">
    <w:name w:val="È±Ê¡ÎÄ±¾"/>
    <w:basedOn w:val="Normal"/>
    <w:qFormat/>
    <w:pPr>
      <w:widowControl/>
      <w:overflowPunct w:val="0"/>
      <w:autoSpaceDE w:val="0"/>
      <w:autoSpaceDN w:val="0"/>
      <w:adjustRightInd w:val="0"/>
      <w:jc w:val="left"/>
      <w:textAlignment w:val="baseline"/>
    </w:pPr>
    <w:rPr>
      <w:kern w:val="0"/>
      <w:sz w:val="24"/>
      <w:szCs w:val="20"/>
    </w:rPr>
  </w:style>
  <w:style w:type="paragraph" w:customStyle="1" w:styleId="Style20">
    <w:name w:val="_Style 2"/>
    <w:basedOn w:val="Normal"/>
    <w:qFormat/>
    <w:pPr>
      <w:ind w:firstLine="420" w:firstLineChars="200"/>
    </w:pPr>
    <w:rPr>
      <w:rFonts w:ascii="Calibri" w:hAnsi="Calibri"/>
    </w:rPr>
  </w:style>
  <w:style w:type="paragraph" w:customStyle="1" w:styleId="xl46">
    <w:name w:val="xl46"/>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666699"/>
      <w:kern w:val="0"/>
      <w:sz w:val="24"/>
    </w:rPr>
  </w:style>
  <w:style w:type="paragraph" w:customStyle="1" w:styleId="xl58">
    <w:name w:val="xl5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幼圆" w:eastAsia="幼圆" w:hAnsi="宋体" w:hint="eastAsia"/>
      <w:color w:val="000080"/>
      <w:kern w:val="0"/>
      <w:sz w:val="24"/>
    </w:rPr>
  </w:style>
  <w:style w:type="paragraph" w:customStyle="1" w:styleId="xl48">
    <w:name w:val="xl4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CCFF"/>
      <w:kern w:val="0"/>
      <w:sz w:val="24"/>
    </w:rPr>
  </w:style>
  <w:style w:type="paragraph" w:customStyle="1" w:styleId="CharCharCharChar">
    <w:name w:val="Char Char Char Char"/>
    <w:basedOn w:val="Normal"/>
    <w:qFormat/>
    <w:rPr>
      <w:rFonts w:ascii="Tahoma" w:hAnsi="Tahoma"/>
      <w:sz w:val="24"/>
      <w:szCs w:val="20"/>
    </w:rPr>
  </w:style>
  <w:style w:type="paragraph" w:styleId="Revision">
    <w:name w:val="Revision"/>
    <w:uiPriority w:val="99"/>
    <w:unhideWhenUsed/>
    <w:rPr>
      <w:kern w:val="2"/>
      <w:sz w:val="21"/>
      <w:szCs w:val="24"/>
      <w:lang w:val="en-US" w:eastAsia="zh-CN" w:bidi="ar-SA"/>
    </w:rPr>
  </w:style>
  <w:style w:type="paragraph" w:customStyle="1" w:styleId="Style264">
    <w:name w:val="_Style 264"/>
    <w:basedOn w:val="Normal"/>
    <w:next w:val="Normal"/>
    <w:qFormat/>
    <w:pPr>
      <w:widowControl/>
      <w:pBdr>
        <w:top w:val="single" w:sz="6" w:space="1" w:color="auto"/>
      </w:pBdr>
      <w:jc w:val="center"/>
    </w:pPr>
    <w:rPr>
      <w:rFonts w:ascii="Arial" w:hAnsi="Arial" w:cs="Arial"/>
      <w:vanish/>
      <w:kern w:val="0"/>
      <w:sz w:val="16"/>
      <w:szCs w:val="16"/>
    </w:rPr>
  </w:style>
  <w:style w:type="paragraph" w:customStyle="1" w:styleId="xl27">
    <w:name w:val="xl27"/>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CC99FF"/>
      <w:kern w:val="0"/>
      <w:sz w:val="24"/>
    </w:rPr>
  </w:style>
  <w:style w:type="paragraph" w:customStyle="1" w:styleId="black1">
    <w:name w:val="black1"/>
    <w:basedOn w:val="Normal"/>
    <w:qFormat/>
    <w:pPr>
      <w:widowControl/>
      <w:spacing w:before="100" w:beforeAutospacing="1" w:after="100" w:afterAutospacing="1" w:line="280" w:lineRule="atLeast"/>
      <w:jc w:val="left"/>
    </w:pPr>
    <w:rPr>
      <w:rFonts w:ascii="_x000B__x000C_" w:hAnsi="_x000B__x000C_"/>
      <w:color w:val="000000"/>
      <w:kern w:val="0"/>
      <w:sz w:val="18"/>
      <w:szCs w:val="18"/>
    </w:rPr>
  </w:style>
  <w:style w:type="paragraph" w:customStyle="1" w:styleId="Style131">
    <w:name w:val="_Style 131"/>
    <w:basedOn w:val="Normal"/>
    <w:next w:val="ListParagraph"/>
    <w:qFormat/>
    <w:pPr>
      <w:widowControl/>
      <w:spacing w:after="160" w:line="259" w:lineRule="auto"/>
      <w:ind w:left="720"/>
      <w:contextualSpacing/>
      <w:jc w:val="left"/>
    </w:pPr>
    <w:rPr>
      <w:rFonts w:ascii="Calibri" w:eastAsia="等线" w:hAnsi="Calibri"/>
      <w:kern w:val="0"/>
      <w:sz w:val="22"/>
      <w:szCs w:val="22"/>
    </w:rPr>
  </w:style>
  <w:style w:type="paragraph" w:customStyle="1" w:styleId="a43">
    <w:name w:val="正文样式"/>
    <w:basedOn w:val="Normal"/>
    <w:qFormat/>
    <w:pPr>
      <w:adjustRightInd w:val="0"/>
      <w:spacing w:line="400" w:lineRule="atLeast"/>
      <w:ind w:firstLine="570" w:firstLineChars="203"/>
      <w:textAlignment w:val="baseline"/>
    </w:pPr>
    <w:rPr>
      <w:rFonts w:eastAsia="仿宋_GB2312"/>
      <w:kern w:val="0"/>
      <w:sz w:val="28"/>
      <w:szCs w:val="20"/>
    </w:rPr>
  </w:style>
  <w:style w:type="paragraph" w:customStyle="1" w:styleId="29">
    <w:name w:val="样式2"/>
    <w:basedOn w:val="Title"/>
    <w:next w:val="119"/>
    <w:qFormat/>
    <w:pPr>
      <w:spacing w:before="120" w:after="120"/>
    </w:pPr>
    <w:rPr>
      <w:rFonts w:ascii="Times New Roman" w:eastAsia="黑体" w:hAnsi="Times New Roman" w:cs="Times New Roman"/>
      <w:b w:val="0"/>
      <w:sz w:val="30"/>
      <w:szCs w:val="30"/>
    </w:rPr>
  </w:style>
  <w:style w:type="paragraph" w:customStyle="1" w:styleId="Char110">
    <w:name w:val="Char11"/>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xl45">
    <w:name w:val="xl4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6600"/>
      <w:kern w:val="0"/>
      <w:sz w:val="24"/>
    </w:rPr>
  </w:style>
  <w:style w:type="paragraph" w:customStyle="1" w:styleId="Style23">
    <w:name w:val="_Style 23"/>
    <w:basedOn w:val="Normal"/>
    <w:next w:val="ListParagraph"/>
    <w:qFormat/>
    <w:pPr>
      <w:ind w:firstLine="420" w:firstLineChars="200"/>
    </w:pPr>
    <w:rPr>
      <w:szCs w:val="20"/>
    </w:rPr>
  </w:style>
  <w:style w:type="paragraph" w:customStyle="1" w:styleId="font7">
    <w:name w:val="font7"/>
    <w:basedOn w:val="Normal"/>
    <w:qFormat/>
    <w:pPr>
      <w:widowControl/>
      <w:spacing w:before="100" w:beforeAutospacing="1" w:after="100" w:afterAutospacing="1"/>
      <w:jc w:val="left"/>
    </w:pPr>
    <w:rPr>
      <w:rFonts w:ascii="宋体" w:hAnsi="宋体" w:hint="eastAsia"/>
      <w:kern w:val="0"/>
      <w:sz w:val="20"/>
      <w:szCs w:val="20"/>
    </w:rPr>
  </w:style>
  <w:style w:type="paragraph" w:customStyle="1" w:styleId="52">
    <w:name w:val="列出段落5"/>
    <w:basedOn w:val="Normal"/>
    <w:qFormat/>
    <w:pPr>
      <w:ind w:firstLine="420" w:firstLineChars="200"/>
    </w:pPr>
    <w:rPr>
      <w:szCs w:val="20"/>
    </w:rPr>
  </w:style>
  <w:style w:type="paragraph" w:customStyle="1" w:styleId="ListParagraph1">
    <w:name w:val="List Paragraph1"/>
    <w:basedOn w:val="Normal"/>
    <w:qFormat/>
    <w:pPr>
      <w:ind w:firstLine="420" w:firstLineChars="200"/>
    </w:pPr>
    <w:rPr>
      <w:rFonts w:ascii="Calibri" w:hAnsi="Calibri"/>
      <w:szCs w:val="22"/>
    </w:rPr>
  </w:style>
  <w:style w:type="paragraph" w:customStyle="1" w:styleId="xl41">
    <w:name w:val="xl41"/>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幼圆" w:eastAsia="幼圆" w:hAnsi="宋体" w:hint="eastAsia"/>
      <w:color w:val="993300"/>
      <w:kern w:val="0"/>
      <w:sz w:val="24"/>
    </w:rPr>
  </w:style>
  <w:style w:type="paragraph" w:customStyle="1" w:styleId="font6">
    <w:name w:val="font6"/>
    <w:basedOn w:val="Normal"/>
    <w:qFormat/>
    <w:pPr>
      <w:widowControl/>
      <w:spacing w:before="100" w:beforeAutospacing="1" w:after="100" w:afterAutospacing="1"/>
      <w:jc w:val="left"/>
    </w:pPr>
    <w:rPr>
      <w:kern w:val="0"/>
      <w:sz w:val="24"/>
    </w:rPr>
  </w:style>
  <w:style w:type="paragraph" w:customStyle="1" w:styleId="72">
    <w:name w:val="7"/>
    <w:basedOn w:val="Normal"/>
    <w:qFormat/>
    <w:pPr>
      <w:autoSpaceDE w:val="0"/>
      <w:autoSpaceDN w:val="0"/>
      <w:adjustRightInd w:val="0"/>
      <w:spacing w:line="270" w:lineRule="atLeast"/>
      <w:jc w:val="left"/>
    </w:pPr>
    <w:rPr>
      <w:rFonts w:ascii="宋体"/>
      <w:kern w:val="0"/>
      <w:sz w:val="18"/>
      <w:szCs w:val="18"/>
    </w:rPr>
  </w:style>
  <w:style w:type="paragraph" w:customStyle="1" w:styleId="35">
    <w:name w:val="正文文字缩进 3"/>
    <w:basedOn w:val="Normal"/>
    <w:qFormat/>
    <w:pPr>
      <w:widowControl/>
      <w:spacing w:before="119" w:line="272" w:lineRule="atLeast"/>
      <w:ind w:left="719" w:firstLine="481"/>
      <w:jc w:val="left"/>
      <w:textAlignment w:val="baseline"/>
    </w:pPr>
    <w:rPr>
      <w:rFonts w:ascii="宋体"/>
      <w:color w:val="000000"/>
      <w:kern w:val="0"/>
      <w:sz w:val="24"/>
      <w:szCs w:val="20"/>
    </w:rPr>
  </w:style>
  <w:style w:type="paragraph" w:customStyle="1" w:styleId="blue1">
    <w:name w:val="blue1"/>
    <w:basedOn w:val="Normal"/>
    <w:qFormat/>
    <w:pPr>
      <w:widowControl/>
      <w:spacing w:before="100" w:beforeAutospacing="1" w:after="100" w:afterAutospacing="1"/>
      <w:jc w:val="left"/>
    </w:pPr>
    <w:rPr>
      <w:rFonts w:ascii="宋体" w:hAnsi="宋体" w:cs="宋体"/>
      <w:kern w:val="0"/>
      <w:sz w:val="24"/>
    </w:rPr>
  </w:style>
  <w:style w:type="paragraph" w:customStyle="1" w:styleId="a44">
    <w:name w:val="普通文字"/>
    <w:basedOn w:val="Normal"/>
    <w:qFormat/>
    <w:pPr>
      <w:widowControl/>
      <w:spacing w:line="351" w:lineRule="atLeast"/>
      <w:ind w:firstLine="419"/>
      <w:textAlignment w:val="baseline"/>
    </w:pPr>
    <w:rPr>
      <w:rFonts w:ascii="宋体"/>
      <w:color w:val="000000"/>
      <w:kern w:val="0"/>
      <w:szCs w:val="20"/>
    </w:rPr>
  </w:style>
  <w:style w:type="paragraph" w:customStyle="1" w:styleId="xl62">
    <w:name w:val="xl62"/>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8000"/>
      <w:kern w:val="0"/>
      <w:sz w:val="24"/>
    </w:rPr>
  </w:style>
  <w:style w:type="paragraph" w:customStyle="1" w:styleId="CharCharCharCharCharCharChar1">
    <w:name w:val="Char Char Char Char Char Char Char1"/>
    <w:basedOn w:val="Normal"/>
    <w:qFormat/>
    <w:pPr>
      <w:widowControl/>
      <w:spacing w:after="160" w:line="240" w:lineRule="exact"/>
      <w:jc w:val="left"/>
    </w:pPr>
  </w:style>
  <w:style w:type="paragraph" w:customStyle="1" w:styleId="a45">
    <w:name w:val="封面文档标题"/>
    <w:basedOn w:val="Normal"/>
    <w:qFormat/>
    <w:pPr>
      <w:autoSpaceDE w:val="0"/>
      <w:autoSpaceDN w:val="0"/>
      <w:adjustRightInd w:val="0"/>
      <w:spacing w:line="360" w:lineRule="auto"/>
      <w:jc w:val="center"/>
    </w:pPr>
    <w:rPr>
      <w:rFonts w:ascii="Arial" w:hAnsi="Arial"/>
      <w:b/>
      <w:kern w:val="0"/>
      <w:sz w:val="56"/>
    </w:rPr>
  </w:style>
  <w:style w:type="paragraph" w:customStyle="1" w:styleId="xl49">
    <w:name w:val="xl49"/>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FF00"/>
      <w:kern w:val="0"/>
      <w:sz w:val="24"/>
    </w:rPr>
  </w:style>
  <w:style w:type="paragraph" w:customStyle="1" w:styleId="xl68">
    <w:name w:val="xl6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808000"/>
      <w:kern w:val="0"/>
      <w:sz w:val="24"/>
    </w:rPr>
  </w:style>
  <w:style w:type="paragraph" w:customStyle="1" w:styleId="font5">
    <w:name w:val="font5"/>
    <w:basedOn w:val="Normal"/>
    <w:qFormat/>
    <w:pPr>
      <w:widowControl/>
      <w:spacing w:before="100" w:beforeAutospacing="1" w:after="100" w:afterAutospacing="1"/>
      <w:jc w:val="left"/>
    </w:pPr>
    <w:rPr>
      <w:rFonts w:ascii="宋体" w:hAnsi="宋体" w:hint="eastAsia"/>
      <w:kern w:val="0"/>
      <w:sz w:val="18"/>
      <w:szCs w:val="18"/>
    </w:rPr>
  </w:style>
  <w:style w:type="paragraph" w:customStyle="1" w:styleId="xl52">
    <w:name w:val="xl52"/>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CC00"/>
      <w:kern w:val="0"/>
      <w:sz w:val="24"/>
    </w:rPr>
  </w:style>
  <w:style w:type="paragraph" w:customStyle="1" w:styleId="a46">
    <w:name w:val="正文段落"/>
    <w:basedOn w:val="Normal"/>
    <w:qFormat/>
    <w:pPr>
      <w:spacing w:line="360" w:lineRule="auto"/>
      <w:ind w:firstLine="440" w:firstLineChars="200"/>
    </w:pPr>
    <w:rPr>
      <w:rFonts w:ascii="宋体" w:hAnsi="宋体" w:cs="宋体"/>
      <w:kern w:val="0"/>
      <w:szCs w:val="20"/>
    </w:rPr>
  </w:style>
  <w:style w:type="paragraph" w:customStyle="1" w:styleId="font14">
    <w:name w:val="font14"/>
    <w:basedOn w:val="Normal"/>
    <w:qFormat/>
    <w:pPr>
      <w:widowControl/>
      <w:spacing w:before="100" w:beforeAutospacing="1" w:after="100" w:afterAutospacing="1"/>
      <w:jc w:val="left"/>
    </w:pPr>
    <w:rPr>
      <w:color w:val="FFFF00"/>
      <w:kern w:val="0"/>
      <w:sz w:val="24"/>
    </w:rPr>
  </w:style>
  <w:style w:type="paragraph" w:customStyle="1" w:styleId="xl60">
    <w:name w:val="xl60"/>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808000"/>
      <w:kern w:val="0"/>
      <w:sz w:val="24"/>
    </w:rPr>
  </w:style>
  <w:style w:type="paragraph" w:customStyle="1" w:styleId="120">
    <w:name w:val="编号1"/>
    <w:basedOn w:val="Normal"/>
    <w:qFormat/>
    <w:pPr>
      <w:numPr>
        <w:ilvl w:val="0"/>
        <w:numId w:val="7"/>
      </w:numPr>
      <w:tabs>
        <w:tab w:val="left" w:pos="360"/>
      </w:tabs>
      <w:adjustRightInd w:val="0"/>
      <w:spacing w:line="300" w:lineRule="auto"/>
      <w:ind w:right="210"/>
      <w:textAlignment w:val="center"/>
    </w:pPr>
    <w:rPr>
      <w:rFonts w:ascii="宋体" w:hAnsi="宋体"/>
      <w:snapToGrid w:val="0"/>
      <w:spacing w:val="10"/>
      <w:kern w:val="24"/>
    </w:rPr>
  </w:style>
  <w:style w:type="paragraph" w:customStyle="1" w:styleId="USE1">
    <w:name w:val="USE 1"/>
    <w:basedOn w:val="Normal"/>
    <w:qFormat/>
    <w:pPr>
      <w:spacing w:line="200" w:lineRule="atLeast"/>
      <w:jc w:val="left"/>
    </w:pPr>
    <w:rPr>
      <w:rFonts w:ascii="宋体" w:hAnsi="宋体"/>
      <w:b/>
      <w:sz w:val="24"/>
      <w:szCs w:val="28"/>
    </w:rPr>
  </w:style>
  <w:style w:type="paragraph" w:customStyle="1" w:styleId="---1">
    <w:name w:val="--规划-题注"/>
    <w:basedOn w:val="Normal"/>
    <w:next w:val="--"/>
    <w:qFormat/>
    <w:pPr>
      <w:spacing w:line="360" w:lineRule="auto"/>
      <w:jc w:val="center"/>
    </w:pPr>
    <w:rPr>
      <w:rFonts w:eastAsia="黑体"/>
    </w:rPr>
  </w:style>
  <w:style w:type="paragraph" w:customStyle="1" w:styleId="xl69">
    <w:name w:val="xl69"/>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808000"/>
      <w:kern w:val="0"/>
      <w:sz w:val="24"/>
    </w:rPr>
  </w:style>
  <w:style w:type="table" w:customStyle="1" w:styleId="1-11">
    <w:name w:val="网格表 1 浅色 - 着色 11"/>
    <w:basedOn w:val="TableNormal"/>
    <w:qFormat/>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tcPr>
        <w:tcBorders>
          <w:bottom w:val="single" w:sz="12" w:space="0" w:color="8EAADB"/>
        </w:tcBorders>
      </w:tcPr>
    </w:tblStylePr>
    <w:tblStylePr w:type="lastRow">
      <w:tcPr>
        <w:tcBorders>
          <w:top w:val="double" w:sz="2" w:space="0" w:color="8EAADB"/>
        </w:tcBorders>
      </w:tcPr>
    </w:tblStyle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image" Target="media/image2.png" /><Relationship Id="rId15" Type="http://schemas.openxmlformats.org/officeDocument/2006/relationships/image" Target="media/image3.png" /><Relationship Id="rId16" Type="http://schemas.openxmlformats.org/officeDocument/2006/relationships/footer" Target="footer5.xml" /><Relationship Id="rId17" Type="http://schemas.openxmlformats.org/officeDocument/2006/relationships/footer" Target="footer6.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2.xml" /><Relationship Id="rId8" Type="http://schemas.openxmlformats.org/officeDocument/2006/relationships/footer" Target="footer3.xml" /><Relationship Id="rId9" Type="http://schemas.openxmlformats.org/officeDocument/2006/relationships/header" Target="header3.xml" /></Relationships>
</file>

<file path=docProps/app.xml><?xml version="1.0" encoding="utf-8"?>
<Properties xmlns="http://schemas.openxmlformats.org/officeDocument/2006/extended-properties" xmlns:vt="http://schemas.openxmlformats.org/officeDocument/2006/docPropsVTypes">
  <Template>Normal</Template>
  <TotalTime>157257600</TotalTime>
  <Pages>67</Pages>
  <Words>61815</Words>
  <Characters>67528</Characters>
  <Application>Microsoft Office Word</Application>
  <DocSecurity>0</DocSecurity>
  <Lines>534</Lines>
  <Paragraphs>150</Paragraphs>
  <ScaleCrop>false</ScaleCrop>
  <Company>Microsoft</Company>
  <LinksUpToDate>false</LinksUpToDate>
  <CharactersWithSpaces>73118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L</cp:lastModifiedBy>
  <cp:revision>4</cp:revision>
  <cp:lastPrinted>2022-06-14T02:51:00Z</cp:lastPrinted>
  <dcterms:created xsi:type="dcterms:W3CDTF">2023-05-24T08:09:00Z</dcterms:created>
  <dcterms:modified xsi:type="dcterms:W3CDTF">2023-08-30T10:17:05Z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5F3AD73FB92B457691643BD6AC9ECDCC_13</vt:lpwstr>
  </property>
  <property fmtid="{D5CDD505-2E9C-101B-9397-08002B2CF9AE}" pid="3" name="KSOProductBuildVer">
    <vt:lpwstr>2052-11.1.0.14309</vt:lpwstr>
  </property>
</Properties>
</file>