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righ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附件1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44"/>
          <w:szCs w:val="44"/>
          <w:rFonts w:ascii="黑体" w:eastAsia="黑体" w:hAnsi="黑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黑体" w:eastAsia="黑体" w:hAnsi="黑体" w:hint="default"/>
        </w:rPr>
        <w:t>清华大学港澳研究中心重点项目（2019）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《香港在粤港澳大湾区建设中的优势与作用研究》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（课题目录）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4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399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一、“一国两制”与粤港澳大湾区建设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1. 习近平关于新时代港澳大政方针重要讲话解读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2. 新时代港澳在助力国家全面开放中的作用研究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3. 新时代港澳积极主动融入国家发展大局研究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4. 新时代港澳积极主动参与国家治理研究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5. 新时代港澳积极主动促进国际人文交流研究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6. 粤港澳大湾区建设：“一国两制”的新实践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2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二、香港所具有的内地难以比拟的独特优势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7. 香港“一国两制”的独特优势研究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8. 香港区位优势研究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9. 香港开放合作的先行优势研究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10. 香港服务业专业化优势研究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11. 香港文化优势研究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2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三、香港在粤港澳大湾区建设的定位和作用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12. 从《粤港澳发展规划纲要》看香港的定位和作用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13. 粤港澳大湾区建设与香港发展机遇期研究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14. 香港助推粤港澳大湾区制度机制创新作用研究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15. 香港在粤港澳大湾区科技创新发展中的地位和作用研究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2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四、香港参与粤港澳大湾区建设的政策建议与重大举措研究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16. 内地涉港澳人财物往来的法规调整建议及理据研究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17. “国家所需，香港所长”结合点的选择与政策建议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18. 推进粤港澳大湾区生态环境协同治理的政策建议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19. 共建粤港澳大湾区宜居、宜业、宜游优质圈的政策建议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20. 推进粤港澳大湾区基础设施建设互联互通的政策建议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21. 共建粤港澳人文湾区，推动人文交流，文化创意产业发展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22. 发挥香港-深圳极点带动引领作用研究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23. 推动香港与粤港澳区域深度合作示范区研究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24. 拓展香港青年在粤港澳区域发展空间研究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lef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25. 推动粤港澳高校合作办学研究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rStyle w:val="PO0"/>
          <w:spacing w:val="0"/>
          <w:vertAlign w:val="baseline"/>
          <w:color w:val="auto"/>
          <w:position w:val="0"/>
          <w:sz w:val="20"/>
          <w:szCs w:val="20"/>
          <w:smallCaps w:val="0"/>
          <w:rFonts w:ascii="Calibri" w:eastAsia="宋体" w:hAnsi="宋体" w:hint="default"/>
        </w:rPr>
        <w:snapToGrid w:val="on"/>
        <w:autoSpaceDE w:val="1"/>
        <w:autoSpaceDN w:val="1"/>
      </w:pPr>
      <w:r>
        <w:br w:type="page"/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left"/>
      <w:spacing w:lineRule="auto" w:line="240" w:before="0" w:after="0"/>
      <w:ind w:right="0" w:left="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left"/>
      <w:spacing w:lineRule="auto" w:line="240" w:before="0" w:after="0"/>
      <w:ind w:right="0" w:left="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left"/>
      <w:spacing w:lineRule="auto" w:line="240" w:before="0" w:after="0"/>
      <w:ind w:right="0" w:left="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left="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left="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left="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ind w:firstLine="400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Balloon Text"/>
    <w:basedOn w:val="PO1"/>
    <w:link w:val="PO153"/>
    <w:uiPriority w:val="152"/>
    <w:rPr>
      <w:shd w:val="clear"/>
      <w:sz w:val="18"/>
      <w:szCs w:val="18"/>
      <w:w w:val="100"/>
    </w:rPr>
  </w:style>
  <w:style w:customStyle="1" w:styleId="PO153" w:type="character">
    <w:name w:val="批注框文本 Char"/>
    <w:basedOn w:val="PO2"/>
    <w:link w:val="PO152"/>
    <w:uiPriority w:val="153"/>
    <w:rPr>
      <w:rFonts w:ascii="Times New Roman" w:eastAsia="Times New Roman" w:hAnsi="Times New Roman"/>
      <w:shd w:val="clear"/>
      <w:sz w:val="18"/>
      <w:szCs w:val="18"/>
      <w:w w:val="100"/>
    </w:rPr>
  </w:style>
  <w:style w:styleId="PO154" w:type="paragraph">
    <w:name w:val="header"/>
    <w:basedOn w:val="PO1"/>
    <w:link w:val="PO155"/>
    <w:uiPriority w:val="154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眉 Char"/>
    <w:basedOn w:val="PO2"/>
    <w:link w:val="PO154"/>
    <w:uiPriority w:val="155"/>
    <w:rPr>
      <w:rFonts w:ascii="Times New Roman" w:eastAsia="Times New Roman" w:hAnsi="Times New Roman"/>
      <w:shd w:val="clear"/>
      <w:sz w:val="18"/>
      <w:szCs w:val="18"/>
      <w:w w:val="100"/>
    </w:rPr>
  </w:style>
  <w:style w:styleId="PO156" w:type="paragraph">
    <w:name w:val="footer"/>
    <w:basedOn w:val="PO1"/>
    <w:link w:val="PO157"/>
    <w:uiPriority w:val="156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7" w:type="character">
    <w:name w:val="页脚 Char"/>
    <w:basedOn w:val="PO2"/>
    <w:link w:val="PO156"/>
    <w:uiPriority w:val="157"/>
    <w:rPr>
      <w:rFonts w:ascii="Times New Roman" w:eastAsia="Times New Roman" w:hAnsi="Times New Roman"/>
      <w:shd w:val="clear"/>
      <w:sz w:val="18"/>
      <w:szCs w:val="18"/>
      <w:w w:val="100"/>
    </w:rPr>
  </w:style>
  <w:style w:styleId="PO158" w:type="character">
    <w:name w:val="Hyperlink"/>
    <w:basedOn w:val="PO2"/>
    <w:uiPriority w:val="158"/>
    <w:rPr>
      <w:color w:val="0563C1" w:themeColor="hyperlink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5.xml"></Relationship><Relationship Id="rId8" Type="http://schemas.openxmlformats.org/officeDocument/2006/relationships/footer" Target="footer6.xml"></Relationship><Relationship Id="rId9" Type="http://schemas.openxmlformats.org/officeDocument/2006/relationships/header" Target="header4.xml"></Relationship><Relationship Id="rId10" Type="http://schemas.openxmlformats.org/officeDocument/2006/relationships/footer" Target="footer7.xml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Sky123.Org</Company>
  <DocSecurity>0</DocSecurity>
  <HyperlinksChanged>false</HyperlinksChanged>
  <Lines>11</Lines>
  <LinksUpToDate>false</LinksUpToDate>
  <Pages>2</Pages>
  <Paragraphs>3</Paragraphs>
  <Words>234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丝烙</dc:creator>
  <cp:lastModifiedBy/>
  <dcterms:modified xsi:type="dcterms:W3CDTF">2019-03-19T08:28:00Z</dcterms:modified>
</cp:coreProperties>
</file>