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23" w:rsidRPr="00D86E6B" w:rsidRDefault="00E15023" w:rsidP="00E15023">
      <w:pPr>
        <w:adjustRightInd w:val="0"/>
        <w:snapToGrid w:val="0"/>
        <w:spacing w:line="360" w:lineRule="auto"/>
        <w:rPr>
          <w:b/>
          <w:kern w:val="0"/>
          <w:sz w:val="24"/>
        </w:rPr>
      </w:pPr>
      <w:r w:rsidRPr="00D86E6B">
        <w:rPr>
          <w:rFonts w:hint="eastAsia"/>
          <w:b/>
          <w:kern w:val="0"/>
          <w:sz w:val="24"/>
        </w:rPr>
        <w:t>附件1：购置需求</w:t>
      </w:r>
    </w:p>
    <w:p w:rsidR="00E15023" w:rsidRPr="00D86E6B" w:rsidRDefault="00E15023" w:rsidP="00E15023">
      <w:pPr>
        <w:adjustRightInd w:val="0"/>
        <w:snapToGrid w:val="0"/>
        <w:spacing w:line="360" w:lineRule="auto"/>
        <w:rPr>
          <w:b/>
          <w:kern w:val="0"/>
          <w:sz w:val="24"/>
        </w:rPr>
      </w:pPr>
      <w:r w:rsidRPr="00D86E6B">
        <w:rPr>
          <w:rFonts w:hint="eastAsia"/>
          <w:b/>
          <w:kern w:val="0"/>
          <w:sz w:val="24"/>
        </w:rPr>
        <w:t>光学运动捕捉系统</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一、应用背景</w:t>
      </w:r>
    </w:p>
    <w:p w:rsidR="00E15023" w:rsidRPr="00D86E6B" w:rsidRDefault="00E15023" w:rsidP="00E15023">
      <w:pPr>
        <w:adjustRightInd w:val="0"/>
        <w:snapToGrid w:val="0"/>
        <w:spacing w:line="360" w:lineRule="auto"/>
        <w:ind w:firstLineChars="200" w:firstLine="480"/>
        <w:rPr>
          <w:kern w:val="0"/>
          <w:sz w:val="24"/>
        </w:rPr>
      </w:pPr>
      <w:r>
        <w:rPr>
          <w:rFonts w:hint="eastAsia"/>
          <w:kern w:val="0"/>
          <w:sz w:val="24"/>
        </w:rPr>
        <w:t>光学</w:t>
      </w:r>
      <w:r w:rsidRPr="00D86E6B">
        <w:rPr>
          <w:rFonts w:hint="eastAsia"/>
          <w:kern w:val="0"/>
          <w:sz w:val="24"/>
        </w:rPr>
        <w:t>运动捕捉系统作为一种高精度的运动测量技术，已经在电影、游戏和体育等领域广泛应用。</w:t>
      </w:r>
      <w:r>
        <w:rPr>
          <w:rFonts w:hint="eastAsia"/>
          <w:kern w:val="0"/>
          <w:sz w:val="24"/>
        </w:rPr>
        <w:t>光学</w:t>
      </w:r>
      <w:r w:rsidRPr="00D86E6B">
        <w:rPr>
          <w:rFonts w:hint="eastAsia"/>
          <w:kern w:val="0"/>
          <w:sz w:val="24"/>
        </w:rPr>
        <w:t>运动捕捉系统通过激光、红外线或摄像机等设备，实时采集目标物体的运动数据，并将其转化为数学模型。这些数据可以帮助研究人员分析结构物的运动特性，包括姿态、位移、速度和加速度等。</w:t>
      </w:r>
      <w:r>
        <w:rPr>
          <w:rFonts w:hint="eastAsia"/>
          <w:kern w:val="0"/>
          <w:sz w:val="24"/>
        </w:rPr>
        <w:t>光学</w:t>
      </w:r>
      <w:r w:rsidRPr="00D86E6B">
        <w:rPr>
          <w:rFonts w:hint="eastAsia"/>
          <w:kern w:val="0"/>
          <w:sz w:val="24"/>
        </w:rPr>
        <w:t>运动捕捉系统可以为浮式海洋工程结构物的运动控制研究提供强大的支持。首先，运动捕捉系统可以实时、准确地测量结构物的运动状态，提供宝贵的实验数据。研究人员可以通过分析这些数据，了解结构物在波浪、风力等外部环境作用下的运动规律，从而优化控制策略。其次，</w:t>
      </w:r>
      <w:r>
        <w:rPr>
          <w:rFonts w:hint="eastAsia"/>
          <w:kern w:val="0"/>
          <w:sz w:val="24"/>
        </w:rPr>
        <w:t>光学</w:t>
      </w:r>
      <w:r w:rsidRPr="00D86E6B">
        <w:rPr>
          <w:rFonts w:hint="eastAsia"/>
          <w:kern w:val="0"/>
          <w:sz w:val="24"/>
        </w:rPr>
        <w:t>运动捕捉系统还可以与其他实验设备和仿真软件进行集成，提供多模态的数据。研究人员可以通过将</w:t>
      </w:r>
      <w:r>
        <w:rPr>
          <w:rFonts w:hint="eastAsia"/>
          <w:kern w:val="0"/>
          <w:sz w:val="24"/>
        </w:rPr>
        <w:t>光学</w:t>
      </w:r>
      <w:r w:rsidRPr="00D86E6B">
        <w:rPr>
          <w:rFonts w:hint="eastAsia"/>
          <w:kern w:val="0"/>
          <w:sz w:val="24"/>
        </w:rPr>
        <w:t>运动捕捉系统数据与海洋环境模拟器或控制算法相结合，评估不同的控制策略对于结构物运动的影响，优化控制系统的性能。此外，</w:t>
      </w:r>
      <w:r>
        <w:rPr>
          <w:rFonts w:hint="eastAsia"/>
          <w:kern w:val="0"/>
          <w:sz w:val="24"/>
        </w:rPr>
        <w:t>光学</w:t>
      </w:r>
      <w:r w:rsidRPr="00D86E6B">
        <w:rPr>
          <w:rFonts w:hint="eastAsia"/>
          <w:kern w:val="0"/>
          <w:sz w:val="24"/>
        </w:rPr>
        <w:t>运动捕捉系统还可以帮助研究人员进行结构物的故障诊断和性能评估。通过监测结构物在运动过程中的异常行为，研究人员可以及时发现潜在的故障点，并采取相应的修复措施。</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二、基本配置</w:t>
      </w:r>
    </w:p>
    <w:p w:rsidR="00E15023" w:rsidRPr="00D86E6B" w:rsidRDefault="00E15023" w:rsidP="00E15023">
      <w:pPr>
        <w:adjustRightInd w:val="0"/>
        <w:snapToGrid w:val="0"/>
        <w:spacing w:line="360" w:lineRule="auto"/>
        <w:rPr>
          <w:kern w:val="0"/>
          <w:sz w:val="24"/>
        </w:rPr>
      </w:pPr>
      <w:r w:rsidRPr="00D86E6B">
        <w:rPr>
          <w:kern w:val="0"/>
          <w:sz w:val="24"/>
        </w:rPr>
        <w:t>2.1 光学运动捕捉相机</w:t>
      </w:r>
    </w:p>
    <w:p w:rsidR="00E15023" w:rsidRPr="00D86E6B" w:rsidRDefault="00E15023" w:rsidP="00E15023">
      <w:pPr>
        <w:adjustRightInd w:val="0"/>
        <w:snapToGrid w:val="0"/>
        <w:spacing w:line="360" w:lineRule="auto"/>
        <w:rPr>
          <w:kern w:val="0"/>
          <w:sz w:val="24"/>
        </w:rPr>
      </w:pPr>
      <w:r w:rsidRPr="00D86E6B">
        <w:rPr>
          <w:kern w:val="0"/>
          <w:sz w:val="24"/>
        </w:rPr>
        <w:t>2.2 运动捕捉软件</w:t>
      </w:r>
    </w:p>
    <w:p w:rsidR="00E15023" w:rsidRPr="00D86E6B" w:rsidRDefault="00E15023" w:rsidP="00E15023">
      <w:pPr>
        <w:adjustRightInd w:val="0"/>
        <w:snapToGrid w:val="0"/>
        <w:spacing w:line="360" w:lineRule="auto"/>
        <w:rPr>
          <w:kern w:val="0"/>
          <w:sz w:val="24"/>
        </w:rPr>
      </w:pPr>
      <w:r w:rsidRPr="00D86E6B">
        <w:rPr>
          <w:kern w:val="0"/>
          <w:sz w:val="24"/>
        </w:rPr>
        <w:t>2.3 多相机同步软件</w:t>
      </w:r>
    </w:p>
    <w:p w:rsidR="00E15023" w:rsidRPr="00D86E6B" w:rsidRDefault="00E15023" w:rsidP="00E15023">
      <w:pPr>
        <w:adjustRightInd w:val="0"/>
        <w:snapToGrid w:val="0"/>
        <w:spacing w:line="360" w:lineRule="auto"/>
        <w:rPr>
          <w:kern w:val="0"/>
          <w:sz w:val="24"/>
        </w:rPr>
      </w:pPr>
      <w:r w:rsidRPr="00D86E6B">
        <w:rPr>
          <w:kern w:val="0"/>
          <w:sz w:val="24"/>
        </w:rPr>
        <w:t>2.4 标定工具</w:t>
      </w:r>
    </w:p>
    <w:p w:rsidR="00E15023" w:rsidRPr="00D86E6B" w:rsidRDefault="00E15023" w:rsidP="00E15023">
      <w:pPr>
        <w:adjustRightInd w:val="0"/>
        <w:snapToGrid w:val="0"/>
        <w:spacing w:line="360" w:lineRule="auto"/>
        <w:rPr>
          <w:kern w:val="0"/>
          <w:sz w:val="24"/>
        </w:rPr>
      </w:pPr>
      <w:r w:rsidRPr="00D86E6B">
        <w:rPr>
          <w:kern w:val="0"/>
          <w:sz w:val="24"/>
        </w:rPr>
        <w:t>2.5 交换机</w:t>
      </w:r>
    </w:p>
    <w:p w:rsidR="00E15023" w:rsidRPr="00D86E6B" w:rsidRDefault="00E15023" w:rsidP="00E15023">
      <w:pPr>
        <w:adjustRightInd w:val="0"/>
        <w:snapToGrid w:val="0"/>
        <w:spacing w:line="360" w:lineRule="auto"/>
        <w:rPr>
          <w:kern w:val="0"/>
          <w:sz w:val="24"/>
        </w:rPr>
      </w:pPr>
      <w:r w:rsidRPr="00D86E6B">
        <w:rPr>
          <w:kern w:val="0"/>
          <w:sz w:val="24"/>
        </w:rPr>
        <w:t>2.6 标记点</w:t>
      </w:r>
    </w:p>
    <w:p w:rsidR="00E15023" w:rsidRPr="00D86E6B" w:rsidRDefault="00E15023" w:rsidP="00E15023">
      <w:pPr>
        <w:adjustRightInd w:val="0"/>
        <w:snapToGrid w:val="0"/>
        <w:spacing w:line="360" w:lineRule="auto"/>
        <w:rPr>
          <w:kern w:val="0"/>
          <w:sz w:val="24"/>
        </w:rPr>
      </w:pPr>
      <w:r w:rsidRPr="00D86E6B">
        <w:rPr>
          <w:kern w:val="0"/>
          <w:sz w:val="24"/>
        </w:rPr>
        <w:t>2.7 线缆</w:t>
      </w:r>
    </w:p>
    <w:p w:rsidR="00E15023" w:rsidRPr="00D86E6B" w:rsidRDefault="00E15023" w:rsidP="00E15023">
      <w:pPr>
        <w:adjustRightInd w:val="0"/>
        <w:snapToGrid w:val="0"/>
        <w:spacing w:line="360" w:lineRule="auto"/>
        <w:rPr>
          <w:kern w:val="0"/>
          <w:sz w:val="24"/>
        </w:rPr>
      </w:pPr>
      <w:r w:rsidRPr="00D86E6B">
        <w:rPr>
          <w:kern w:val="0"/>
          <w:sz w:val="24"/>
        </w:rPr>
        <w:t>2.8 安装工具</w:t>
      </w:r>
    </w:p>
    <w:p w:rsidR="00E15023" w:rsidRPr="00D86E6B" w:rsidRDefault="00E15023" w:rsidP="00E15023">
      <w:pPr>
        <w:adjustRightInd w:val="0"/>
        <w:snapToGrid w:val="0"/>
        <w:spacing w:line="360" w:lineRule="auto"/>
        <w:rPr>
          <w:kern w:val="0"/>
          <w:sz w:val="24"/>
        </w:rPr>
      </w:pPr>
      <w:r w:rsidRPr="00D86E6B">
        <w:rPr>
          <w:kern w:val="0"/>
          <w:sz w:val="24"/>
        </w:rPr>
        <w:t>2.9定制桁架</w:t>
      </w:r>
    </w:p>
    <w:p w:rsidR="00E15023" w:rsidRPr="00D86E6B" w:rsidRDefault="00E15023" w:rsidP="00E15023">
      <w:pPr>
        <w:adjustRightInd w:val="0"/>
        <w:snapToGrid w:val="0"/>
        <w:spacing w:line="360" w:lineRule="auto"/>
        <w:rPr>
          <w:kern w:val="0"/>
          <w:sz w:val="24"/>
        </w:rPr>
      </w:pPr>
      <w:r w:rsidRPr="00D86E6B">
        <w:rPr>
          <w:kern w:val="0"/>
          <w:sz w:val="24"/>
        </w:rPr>
        <w:t>2.10相机支架</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三、主要性能指标</w:t>
      </w:r>
    </w:p>
    <w:p w:rsidR="00E15023" w:rsidRPr="00D86E6B" w:rsidRDefault="00E15023" w:rsidP="00E15023">
      <w:pPr>
        <w:adjustRightInd w:val="0"/>
        <w:snapToGrid w:val="0"/>
        <w:spacing w:line="360" w:lineRule="auto"/>
        <w:rPr>
          <w:kern w:val="0"/>
          <w:sz w:val="24"/>
        </w:rPr>
      </w:pPr>
      <w:r w:rsidRPr="00D86E6B">
        <w:rPr>
          <w:kern w:val="0"/>
          <w:sz w:val="24"/>
        </w:rPr>
        <w:lastRenderedPageBreak/>
        <w:t>3.1 相机配置：</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1）分辨率：≥1824</w:t>
      </w:r>
      <w:r w:rsidRPr="00D86E6B">
        <w:rPr>
          <w:rFonts w:ascii="MS Gothic" w:eastAsia="MS Gothic" w:hAnsi="MS Gothic" w:cs="MS Gothic" w:hint="eastAsia"/>
          <w:kern w:val="0"/>
          <w:sz w:val="24"/>
        </w:rPr>
        <w:t> </w:t>
      </w:r>
      <w:r w:rsidRPr="00D86E6B">
        <w:rPr>
          <w:rFonts w:ascii="等线" w:eastAsia="等线" w:hAnsi="等线" w:cs="等线" w:hint="eastAsia"/>
          <w:kern w:val="0"/>
          <w:sz w:val="24"/>
        </w:rPr>
        <w:t>×</w:t>
      </w:r>
      <w:r w:rsidRPr="00D86E6B">
        <w:rPr>
          <w:rFonts w:ascii="MS Gothic" w:eastAsia="MS Gothic" w:hAnsi="MS Gothic" w:cs="MS Gothic" w:hint="eastAsia"/>
          <w:kern w:val="0"/>
          <w:sz w:val="24"/>
        </w:rPr>
        <w:t> </w:t>
      </w:r>
      <w:r w:rsidRPr="00D86E6B">
        <w:rPr>
          <w:kern w:val="0"/>
          <w:sz w:val="24"/>
        </w:rPr>
        <w:t>1088</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2）帧速：≥180FPS</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3）捕捉距离：≥16m</w:t>
      </w:r>
    </w:p>
    <w:p w:rsidR="00E15023" w:rsidRPr="00D86E6B" w:rsidRDefault="00E15023" w:rsidP="00E15023">
      <w:pPr>
        <w:adjustRightInd w:val="0"/>
        <w:snapToGrid w:val="0"/>
        <w:spacing w:line="360" w:lineRule="auto"/>
        <w:rPr>
          <w:kern w:val="0"/>
          <w:sz w:val="24"/>
        </w:rPr>
      </w:pPr>
      <w:r w:rsidRPr="00D86E6B">
        <w:rPr>
          <w:kern w:val="0"/>
          <w:sz w:val="24"/>
        </w:rPr>
        <w:t>3.2 运动捕捉软件：</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 软件支持数据格式：捕捉的数据可导出为C3D、CSV、FBX、BVH等格式；</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2）重建精度：标定重建精度低于或者等于0.1mm，</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3）刚体创建：可以一键式快速创建刚体，支持编辑刚体属性，已创建的刚体能够自由进出场地，并能被快速自动识别；自动匹配已创建刚体，支持手工构造任意形式刚体；</w:t>
      </w:r>
    </w:p>
    <w:p w:rsidR="00E15023" w:rsidRPr="00D86E6B" w:rsidRDefault="00E15023" w:rsidP="00E15023">
      <w:pPr>
        <w:adjustRightInd w:val="0"/>
        <w:snapToGrid w:val="0"/>
        <w:spacing w:line="360" w:lineRule="auto"/>
        <w:rPr>
          <w:kern w:val="0"/>
          <w:sz w:val="24"/>
        </w:rPr>
      </w:pPr>
      <w:r w:rsidRPr="00D86E6B">
        <w:rPr>
          <w:kern w:val="0"/>
          <w:sz w:val="24"/>
        </w:rPr>
        <w:t>3.3 多相机同步软件：</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1）同步器控制：具备Core核固定功能和同步发生器串口控制功能，能够控制同步器启动、停止、占空比修改。（需在谈判现场提供演示视频资料作为佐证材料）</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2）内存读取：支持实时读取以及显示系统总内存大小以及占用大小</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3）数据储存：支持读取当前存储盘名称、可存储空间大小，存储磁盘位置可选，可将数据存储在不同的指定存储位置。（需在谈判现场提供演示视频资料作为佐证材料）</w:t>
      </w:r>
    </w:p>
    <w:p w:rsidR="00E15023" w:rsidRPr="00D86E6B" w:rsidRDefault="00E15023" w:rsidP="00E15023">
      <w:pPr>
        <w:adjustRightInd w:val="0"/>
        <w:snapToGrid w:val="0"/>
        <w:spacing w:line="360" w:lineRule="auto"/>
        <w:rPr>
          <w:kern w:val="0"/>
          <w:sz w:val="24"/>
        </w:rPr>
      </w:pPr>
      <w:r w:rsidRPr="00D86E6B">
        <w:rPr>
          <w:kern w:val="0"/>
          <w:sz w:val="24"/>
        </w:rPr>
        <w:t>3.4标定工具：</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1）T型标定工具，用于标定摄像机相对位置关系及空间扭曲精度，</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2）L型标定工具，可折叠，杆身具备两个水平尺，可根据不同地面情况进行水平尺寸调节，支持毕达哥拉斯定律标定计算模型，标定工具可用于建立运动捕捉系统世界坐标系原点。</w:t>
      </w:r>
    </w:p>
    <w:p w:rsidR="00E15023" w:rsidRPr="00D86E6B" w:rsidRDefault="00E15023" w:rsidP="00E15023">
      <w:pPr>
        <w:adjustRightInd w:val="0"/>
        <w:snapToGrid w:val="0"/>
        <w:spacing w:line="360" w:lineRule="auto"/>
        <w:rPr>
          <w:kern w:val="0"/>
          <w:sz w:val="24"/>
        </w:rPr>
      </w:pPr>
      <w:r w:rsidRPr="00D86E6B">
        <w:rPr>
          <w:kern w:val="0"/>
          <w:sz w:val="24"/>
        </w:rPr>
        <w:t>3.5交换机：</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1）传输速率：10/100/1000Mbps</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2）端口数量：≥48个千兆端口(PoE)，≥4个SFP端口</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3）PoE功率：≥760W</w:t>
      </w:r>
    </w:p>
    <w:p w:rsidR="00E15023" w:rsidRPr="00D86E6B" w:rsidRDefault="00E15023" w:rsidP="00E15023">
      <w:pPr>
        <w:adjustRightInd w:val="0"/>
        <w:snapToGrid w:val="0"/>
        <w:spacing w:line="360" w:lineRule="auto"/>
        <w:rPr>
          <w:kern w:val="0"/>
          <w:sz w:val="24"/>
        </w:rPr>
      </w:pPr>
      <w:r w:rsidRPr="00D86E6B">
        <w:rPr>
          <w:kern w:val="0"/>
          <w:sz w:val="24"/>
        </w:rPr>
        <w:t>3.6标记点：</w:t>
      </w:r>
    </w:p>
    <w:p w:rsidR="00E15023" w:rsidRPr="00D86E6B" w:rsidRDefault="00E15023" w:rsidP="00E15023">
      <w:pPr>
        <w:adjustRightInd w:val="0"/>
        <w:snapToGrid w:val="0"/>
        <w:spacing w:line="360" w:lineRule="auto"/>
        <w:rPr>
          <w:kern w:val="0"/>
          <w:sz w:val="24"/>
        </w:rPr>
      </w:pPr>
      <w:r w:rsidRPr="00D86E6B">
        <w:rPr>
          <w:rFonts w:hint="eastAsia"/>
          <w:kern w:val="0"/>
          <w:sz w:val="24"/>
        </w:rPr>
        <w:lastRenderedPageBreak/>
        <w:t>（</w:t>
      </w:r>
      <w:r w:rsidRPr="00D86E6B">
        <w:rPr>
          <w:kern w:val="0"/>
          <w:sz w:val="24"/>
        </w:rPr>
        <w:t>1）反光标志点marker球</w:t>
      </w:r>
    </w:p>
    <w:p w:rsidR="00E15023" w:rsidRPr="00D86E6B" w:rsidRDefault="00E15023" w:rsidP="00E15023">
      <w:pPr>
        <w:adjustRightInd w:val="0"/>
        <w:snapToGrid w:val="0"/>
        <w:spacing w:line="360" w:lineRule="auto"/>
        <w:rPr>
          <w:kern w:val="0"/>
          <w:sz w:val="24"/>
        </w:rPr>
      </w:pPr>
      <w:r w:rsidRPr="00D86E6B">
        <w:rPr>
          <w:kern w:val="0"/>
          <w:sz w:val="24"/>
        </w:rPr>
        <w:t>3.7线缆：</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1）专用千兆网线，支持自定义长度。</w:t>
      </w:r>
    </w:p>
    <w:p w:rsidR="00E15023" w:rsidRPr="00D86E6B" w:rsidRDefault="00E15023" w:rsidP="00E15023">
      <w:pPr>
        <w:adjustRightInd w:val="0"/>
        <w:snapToGrid w:val="0"/>
        <w:spacing w:line="360" w:lineRule="auto"/>
        <w:rPr>
          <w:kern w:val="0"/>
          <w:sz w:val="24"/>
        </w:rPr>
      </w:pPr>
      <w:r w:rsidRPr="00D86E6B">
        <w:rPr>
          <w:kern w:val="0"/>
          <w:sz w:val="24"/>
        </w:rPr>
        <w:t>3.8 安装工具：</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1）动捕相机安装工具套装。</w:t>
      </w:r>
    </w:p>
    <w:p w:rsidR="00E15023" w:rsidRPr="00D86E6B" w:rsidRDefault="00E15023" w:rsidP="00E15023">
      <w:pPr>
        <w:adjustRightInd w:val="0"/>
        <w:snapToGrid w:val="0"/>
        <w:spacing w:line="360" w:lineRule="auto"/>
        <w:rPr>
          <w:kern w:val="0"/>
          <w:sz w:val="24"/>
        </w:rPr>
      </w:pPr>
      <w:r w:rsidRPr="00D86E6B">
        <w:rPr>
          <w:kern w:val="0"/>
          <w:sz w:val="24"/>
        </w:rPr>
        <w:t>3.9定制桁架：</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1）定制桁架，用于固定动捕相机和布线，用铝合金方管焊接而成。</w:t>
      </w:r>
    </w:p>
    <w:p w:rsidR="00E15023" w:rsidRPr="00D86E6B" w:rsidRDefault="00E15023" w:rsidP="00E15023">
      <w:pPr>
        <w:adjustRightInd w:val="0"/>
        <w:snapToGrid w:val="0"/>
        <w:spacing w:line="360" w:lineRule="auto"/>
        <w:rPr>
          <w:kern w:val="0"/>
          <w:sz w:val="24"/>
        </w:rPr>
      </w:pPr>
      <w:r w:rsidRPr="00D86E6B">
        <w:rPr>
          <w:kern w:val="0"/>
          <w:sz w:val="24"/>
        </w:rPr>
        <w:t>3.10相机支架</w:t>
      </w:r>
    </w:p>
    <w:p w:rsidR="00E15023" w:rsidRPr="00D86E6B" w:rsidRDefault="00E15023" w:rsidP="00E15023">
      <w:pPr>
        <w:adjustRightInd w:val="0"/>
        <w:snapToGrid w:val="0"/>
        <w:spacing w:line="360" w:lineRule="auto"/>
        <w:rPr>
          <w:kern w:val="0"/>
          <w:sz w:val="24"/>
        </w:rPr>
      </w:pPr>
      <w:r w:rsidRPr="00D86E6B">
        <w:rPr>
          <w:rFonts w:hint="eastAsia"/>
          <w:kern w:val="0"/>
          <w:sz w:val="24"/>
        </w:rPr>
        <w:t>（</w:t>
      </w:r>
      <w:r w:rsidRPr="00D86E6B">
        <w:rPr>
          <w:kern w:val="0"/>
          <w:sz w:val="24"/>
        </w:rPr>
        <w:t>1）动捕相机三脚架，便于相机移动使用，高度大于2米。</w:t>
      </w:r>
    </w:p>
    <w:p w:rsidR="00E15023" w:rsidRPr="00D86E6B" w:rsidRDefault="00E15023" w:rsidP="00E15023">
      <w:pPr>
        <w:adjustRightInd w:val="0"/>
        <w:snapToGrid w:val="0"/>
        <w:spacing w:line="360" w:lineRule="auto"/>
        <w:rPr>
          <w:b/>
          <w:kern w:val="0"/>
          <w:sz w:val="24"/>
        </w:rPr>
      </w:pPr>
      <w:r w:rsidRPr="00D86E6B">
        <w:rPr>
          <w:rFonts w:hint="eastAsia"/>
          <w:b/>
          <w:kern w:val="0"/>
          <w:sz w:val="24"/>
        </w:rPr>
        <w:t>附件2：谈判报价须知</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一、合同主要条款</w:t>
      </w:r>
    </w:p>
    <w:p w:rsidR="00E15023" w:rsidRPr="00D86E6B" w:rsidRDefault="00E15023" w:rsidP="00E15023">
      <w:pPr>
        <w:adjustRightInd w:val="0"/>
        <w:snapToGrid w:val="0"/>
        <w:spacing w:line="360" w:lineRule="auto"/>
        <w:rPr>
          <w:kern w:val="0"/>
          <w:sz w:val="24"/>
        </w:rPr>
      </w:pPr>
      <w:r w:rsidRPr="00D86E6B">
        <w:rPr>
          <w:rFonts w:hint="eastAsia"/>
          <w:kern w:val="0"/>
          <w:sz w:val="24"/>
        </w:rPr>
        <w:t>1）报价及交货方式：</w:t>
      </w:r>
    </w:p>
    <w:p w:rsidR="00E15023" w:rsidRPr="00D86E6B" w:rsidRDefault="00E15023" w:rsidP="00E15023">
      <w:pPr>
        <w:adjustRightInd w:val="0"/>
        <w:snapToGrid w:val="0"/>
        <w:spacing w:line="360" w:lineRule="auto"/>
        <w:ind w:firstLineChars="200" w:firstLine="480"/>
        <w:rPr>
          <w:kern w:val="0"/>
          <w:sz w:val="24"/>
        </w:rPr>
      </w:pPr>
      <w:r w:rsidRPr="00D86E6B">
        <w:rPr>
          <w:rFonts w:hint="eastAsia"/>
          <w:kern w:val="0"/>
          <w:sz w:val="24"/>
        </w:rPr>
        <w:t>清华大学深圳国际研究生院实验室交货，国产</w:t>
      </w:r>
      <w:r w:rsidRPr="00D86E6B">
        <w:rPr>
          <w:kern w:val="0"/>
          <w:sz w:val="24"/>
        </w:rPr>
        <w:t>设备</w:t>
      </w:r>
      <w:r w:rsidRPr="00D86E6B">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rsidR="00E15023" w:rsidRPr="00D86E6B" w:rsidRDefault="00E15023" w:rsidP="00E15023">
      <w:pPr>
        <w:adjustRightInd w:val="0"/>
        <w:snapToGrid w:val="0"/>
        <w:spacing w:line="360" w:lineRule="auto"/>
        <w:rPr>
          <w:kern w:val="0"/>
          <w:sz w:val="24"/>
        </w:rPr>
      </w:pPr>
      <w:r w:rsidRPr="00D86E6B">
        <w:rPr>
          <w:rFonts w:hint="eastAsia"/>
          <w:kern w:val="0"/>
          <w:sz w:val="24"/>
        </w:rPr>
        <w:t>2）付款方式：</w:t>
      </w:r>
    </w:p>
    <w:p w:rsidR="00E15023" w:rsidRPr="00D86E6B" w:rsidRDefault="00E15023" w:rsidP="00E15023">
      <w:pPr>
        <w:pStyle w:val="a3"/>
        <w:ind w:left="420" w:firstLineChars="0" w:firstLine="0"/>
        <w:rPr>
          <w:rFonts w:asciiTheme="minorHAnsi" w:eastAsiaTheme="minorEastAsia" w:hAnsiTheme="minorHAnsi" w:cstheme="minorBidi"/>
          <w:kern w:val="0"/>
          <w:sz w:val="24"/>
          <w:szCs w:val="24"/>
        </w:rPr>
      </w:pPr>
      <w:r w:rsidRPr="00D86E6B">
        <w:rPr>
          <w:rFonts w:ascii="微软雅黑" w:eastAsia="微软雅黑" w:hAnsi="微软雅黑" w:cstheme="minorBidi" w:hint="eastAsia"/>
          <w:kern w:val="0"/>
          <w:sz w:val="24"/>
          <w:szCs w:val="24"/>
        </w:rPr>
        <w:t>①</w:t>
      </w:r>
      <w:r w:rsidRPr="00D86E6B">
        <w:rPr>
          <w:rFonts w:asciiTheme="minorHAnsi" w:eastAsiaTheme="minorEastAsia" w:hAnsiTheme="minorHAnsi" w:cstheme="minorBidi" w:hint="eastAsia"/>
          <w:kern w:val="0"/>
          <w:sz w:val="24"/>
          <w:szCs w:val="24"/>
        </w:rPr>
        <w:t>国产设备</w:t>
      </w:r>
      <w:r w:rsidRPr="00D86E6B">
        <w:rPr>
          <w:rFonts w:asciiTheme="minorHAnsi" w:eastAsiaTheme="minorEastAsia" w:hAnsiTheme="minorHAnsi" w:cstheme="minorBidi"/>
          <w:kern w:val="0"/>
          <w:sz w:val="24"/>
          <w:szCs w:val="24"/>
        </w:rPr>
        <w:t>：</w:t>
      </w:r>
    </w:p>
    <w:p w:rsidR="00E15023" w:rsidRDefault="00E15023" w:rsidP="00E15023">
      <w:pPr>
        <w:adjustRightInd w:val="0"/>
        <w:snapToGrid w:val="0"/>
        <w:spacing w:line="360" w:lineRule="auto"/>
        <w:ind w:firstLineChars="200" w:firstLine="480"/>
        <w:rPr>
          <w:kern w:val="0"/>
          <w:sz w:val="24"/>
        </w:rPr>
      </w:pPr>
      <w:r w:rsidRPr="00D86E6B">
        <w:rPr>
          <w:rFonts w:hint="eastAsia"/>
          <w:kern w:val="0"/>
          <w:sz w:val="24"/>
        </w:rPr>
        <w:t>签订合同后支付</w:t>
      </w:r>
      <w:r w:rsidRPr="00D86E6B">
        <w:rPr>
          <w:kern w:val="0"/>
          <w:sz w:val="24"/>
        </w:rPr>
        <w:t>65%</w:t>
      </w:r>
      <w:r w:rsidRPr="00D86E6B">
        <w:rPr>
          <w:rFonts w:hint="eastAsia"/>
          <w:kern w:val="0"/>
          <w:sz w:val="24"/>
        </w:rPr>
        <w:t>货款；②设备到货安装验收合格后，凭验收报告支付</w:t>
      </w:r>
      <w:r w:rsidRPr="00D86E6B">
        <w:rPr>
          <w:kern w:val="0"/>
          <w:sz w:val="24"/>
        </w:rPr>
        <w:t>35%</w:t>
      </w:r>
      <w:r w:rsidRPr="00D86E6B">
        <w:rPr>
          <w:rFonts w:hint="eastAsia"/>
          <w:kern w:val="0"/>
          <w:sz w:val="24"/>
        </w:rPr>
        <w:t>货款。</w:t>
      </w:r>
    </w:p>
    <w:p w:rsidR="00E15023" w:rsidRDefault="00E15023" w:rsidP="00E15023">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E15023" w:rsidRPr="00E40A1F" w:rsidRDefault="00E15023" w:rsidP="00E15023">
      <w:pPr>
        <w:pStyle w:val="a3"/>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w:t>
      </w:r>
      <w:r>
        <w:rPr>
          <w:rFonts w:asciiTheme="minorHAnsi" w:eastAsiaTheme="minorEastAsia" w:hAnsiTheme="minorHAnsi" w:cstheme="minorBidi" w:hint="eastAsia"/>
          <w:kern w:val="0"/>
          <w:sz w:val="24"/>
          <w:szCs w:val="24"/>
        </w:rPr>
        <w:t>3</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万元</w:t>
      </w:r>
      <w:r w:rsidRPr="00E40A1F">
        <w:rPr>
          <w:rFonts w:asciiTheme="minorHAnsi" w:eastAsiaTheme="minorEastAsia" w:hAnsiTheme="minorHAnsi" w:cstheme="minorBidi" w:hint="eastAsia"/>
          <w:kern w:val="0"/>
          <w:sz w:val="24"/>
          <w:szCs w:val="24"/>
        </w:rPr>
        <w:t>。</w:t>
      </w:r>
    </w:p>
    <w:p w:rsidR="00E15023" w:rsidRPr="00E40A1F" w:rsidRDefault="00E15023" w:rsidP="00E15023">
      <w:pPr>
        <w:pStyle w:val="a3"/>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rsidR="00E15023" w:rsidRPr="00E40A1F" w:rsidRDefault="00E15023" w:rsidP="00E15023">
      <w:pPr>
        <w:pStyle w:val="a3"/>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rPr>
        <w:t>65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65</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Pr>
          <w:rFonts w:asciiTheme="minorHAnsi" w:eastAsiaTheme="minorEastAsia" w:hAnsiTheme="minorHAnsi" w:cstheme="minorBidi"/>
          <w:kern w:val="0"/>
          <w:sz w:val="24"/>
          <w:szCs w:val="24"/>
        </w:rPr>
        <w:t>35</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35</w:t>
      </w:r>
      <w:r w:rsidRPr="00E40A1F">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货款给卖方</w:t>
      </w:r>
      <w:r w:rsidRPr="00E40A1F">
        <w:rPr>
          <w:rFonts w:asciiTheme="minorHAnsi" w:eastAsiaTheme="minorEastAsia" w:hAnsiTheme="minorHAnsi" w:cstheme="minorBidi" w:hint="eastAsia"/>
          <w:kern w:val="0"/>
          <w:sz w:val="24"/>
          <w:szCs w:val="24"/>
        </w:rPr>
        <w:t>（合同执行期间产生的外币汇</w:t>
      </w:r>
      <w:r w:rsidRPr="00E40A1F">
        <w:rPr>
          <w:rFonts w:asciiTheme="minorHAnsi" w:eastAsiaTheme="minorEastAsia" w:hAnsiTheme="minorHAnsi" w:cstheme="minorBidi" w:hint="eastAsia"/>
          <w:kern w:val="0"/>
          <w:sz w:val="24"/>
          <w:szCs w:val="24"/>
        </w:rPr>
        <w:lastRenderedPageBreak/>
        <w:t>率损失由卖方承担）。</w:t>
      </w:r>
    </w:p>
    <w:p w:rsidR="00E15023" w:rsidRDefault="00E15023" w:rsidP="00E15023">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E15023" w:rsidRPr="00D86E6B" w:rsidRDefault="00E15023" w:rsidP="00E15023">
      <w:pPr>
        <w:adjustRightInd w:val="0"/>
        <w:snapToGrid w:val="0"/>
        <w:spacing w:line="360" w:lineRule="auto"/>
        <w:rPr>
          <w:kern w:val="0"/>
          <w:sz w:val="24"/>
        </w:rPr>
      </w:pPr>
      <w:r w:rsidRPr="00D86E6B">
        <w:rPr>
          <w:rFonts w:hint="eastAsia"/>
          <w:kern w:val="0"/>
          <w:sz w:val="24"/>
        </w:rPr>
        <w:t>3）交货日期：</w:t>
      </w:r>
    </w:p>
    <w:p w:rsidR="00E15023" w:rsidRPr="00D86E6B" w:rsidRDefault="00E15023" w:rsidP="00E15023">
      <w:pPr>
        <w:adjustRightInd w:val="0"/>
        <w:snapToGrid w:val="0"/>
        <w:spacing w:line="360" w:lineRule="auto"/>
        <w:ind w:firstLineChars="200" w:firstLine="480"/>
        <w:rPr>
          <w:kern w:val="0"/>
          <w:sz w:val="24"/>
        </w:rPr>
      </w:pPr>
      <w:r w:rsidRPr="00D86E6B">
        <w:rPr>
          <w:rFonts w:hint="eastAsia"/>
          <w:kern w:val="0"/>
          <w:sz w:val="24"/>
        </w:rPr>
        <w:t>合同签订后</w:t>
      </w:r>
      <w:r w:rsidRPr="00D86E6B">
        <w:rPr>
          <w:b/>
          <w:kern w:val="0"/>
          <w:sz w:val="24"/>
        </w:rPr>
        <w:t>30</w:t>
      </w:r>
      <w:r w:rsidRPr="00D86E6B">
        <w:rPr>
          <w:rFonts w:hint="eastAsia"/>
          <w:kern w:val="0"/>
          <w:sz w:val="24"/>
        </w:rPr>
        <w:t>个工作日。</w:t>
      </w:r>
    </w:p>
    <w:p w:rsidR="00E15023" w:rsidRPr="00D86E6B" w:rsidRDefault="00E15023" w:rsidP="00E15023">
      <w:pPr>
        <w:adjustRightInd w:val="0"/>
        <w:snapToGrid w:val="0"/>
        <w:spacing w:line="360" w:lineRule="auto"/>
        <w:rPr>
          <w:kern w:val="0"/>
          <w:sz w:val="24"/>
        </w:rPr>
      </w:pPr>
      <w:r w:rsidRPr="00D86E6B">
        <w:rPr>
          <w:rFonts w:hint="eastAsia"/>
          <w:kern w:val="0"/>
          <w:sz w:val="24"/>
        </w:rPr>
        <w:t>4）质保期</w:t>
      </w:r>
    </w:p>
    <w:p w:rsidR="00E15023" w:rsidRPr="00D86E6B" w:rsidRDefault="00E15023" w:rsidP="00E15023">
      <w:pPr>
        <w:adjustRightInd w:val="0"/>
        <w:snapToGrid w:val="0"/>
        <w:spacing w:line="360" w:lineRule="auto"/>
        <w:ind w:firstLineChars="200" w:firstLine="480"/>
        <w:rPr>
          <w:kern w:val="0"/>
          <w:sz w:val="24"/>
        </w:rPr>
      </w:pPr>
      <w:r w:rsidRPr="00D86E6B">
        <w:rPr>
          <w:rFonts w:hint="eastAsia"/>
          <w:kern w:val="0"/>
          <w:sz w:val="24"/>
        </w:rPr>
        <w:t>质保期</w:t>
      </w:r>
      <w:r>
        <w:rPr>
          <w:kern w:val="0"/>
          <w:sz w:val="24"/>
        </w:rPr>
        <w:t>2</w:t>
      </w:r>
      <w:r w:rsidRPr="00D86E6B">
        <w:rPr>
          <w:rFonts w:hint="eastAsia"/>
          <w:kern w:val="0"/>
          <w:sz w:val="24"/>
        </w:rPr>
        <w:t>年，自验收合格之日算起。</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二、其它配置</w:t>
      </w:r>
    </w:p>
    <w:p w:rsidR="00E15023" w:rsidRPr="00D86E6B" w:rsidRDefault="00E15023" w:rsidP="00E15023">
      <w:pPr>
        <w:adjustRightInd w:val="0"/>
        <w:snapToGrid w:val="0"/>
        <w:spacing w:line="360" w:lineRule="auto"/>
        <w:rPr>
          <w:kern w:val="0"/>
          <w:sz w:val="24"/>
        </w:rPr>
      </w:pPr>
      <w:r w:rsidRPr="00D86E6B">
        <w:rPr>
          <w:rFonts w:hint="eastAsia"/>
          <w:kern w:val="0"/>
          <w:sz w:val="24"/>
        </w:rPr>
        <w:t>1）根据购置需求配备仪器设备必需的随机附件、易损件及备件、设备操作和维修的专用工具。将以上附件、备件（包括操作工具）、易损件等列出清单，单独报价，并计入总价。</w:t>
      </w:r>
    </w:p>
    <w:p w:rsidR="00E15023" w:rsidRPr="00D86E6B" w:rsidRDefault="00E15023" w:rsidP="00E15023">
      <w:pPr>
        <w:adjustRightInd w:val="0"/>
        <w:snapToGrid w:val="0"/>
        <w:spacing w:line="360" w:lineRule="auto"/>
        <w:rPr>
          <w:kern w:val="0"/>
          <w:sz w:val="24"/>
        </w:rPr>
      </w:pPr>
      <w:r w:rsidRPr="00D86E6B">
        <w:rPr>
          <w:rFonts w:hint="eastAsia"/>
          <w:kern w:val="0"/>
          <w:sz w:val="24"/>
        </w:rPr>
        <w:t>2）除基本配置要求外，各公司还可以根据学校的研究背景及公司的产品特点配置相应的功能模块，单独报价，提供参考，不计入总价。</w:t>
      </w:r>
    </w:p>
    <w:p w:rsidR="00E15023" w:rsidRPr="00D86E6B" w:rsidRDefault="00E15023" w:rsidP="00E15023">
      <w:pPr>
        <w:adjustRightInd w:val="0"/>
        <w:snapToGrid w:val="0"/>
        <w:spacing w:line="360" w:lineRule="auto"/>
        <w:rPr>
          <w:b/>
          <w:kern w:val="0"/>
          <w:sz w:val="24"/>
        </w:rPr>
      </w:pPr>
      <w:r w:rsidRPr="00D86E6B">
        <w:rPr>
          <w:rFonts w:hint="eastAsia"/>
          <w:b/>
          <w:kern w:val="0"/>
          <w:sz w:val="24"/>
        </w:rPr>
        <w:t>三、基本服务要求</w:t>
      </w:r>
    </w:p>
    <w:p w:rsidR="00E15023" w:rsidRPr="00D86E6B" w:rsidRDefault="00E15023" w:rsidP="00E15023">
      <w:pPr>
        <w:adjustRightInd w:val="0"/>
        <w:snapToGrid w:val="0"/>
        <w:spacing w:line="360" w:lineRule="auto"/>
        <w:rPr>
          <w:kern w:val="0"/>
          <w:sz w:val="24"/>
        </w:rPr>
      </w:pPr>
      <w:r w:rsidRPr="00D86E6B">
        <w:rPr>
          <w:rFonts w:hint="eastAsia"/>
          <w:kern w:val="0"/>
          <w:sz w:val="24"/>
        </w:rPr>
        <w:t>1）安装、调试、检验、培训及技术服务费用分项报价并计入总价。</w:t>
      </w:r>
    </w:p>
    <w:p w:rsidR="00E15023" w:rsidRPr="00D86E6B" w:rsidRDefault="00E15023" w:rsidP="00E15023">
      <w:pPr>
        <w:adjustRightInd w:val="0"/>
        <w:snapToGrid w:val="0"/>
        <w:spacing w:line="360" w:lineRule="auto"/>
        <w:rPr>
          <w:kern w:val="0"/>
          <w:sz w:val="24"/>
        </w:rPr>
      </w:pPr>
      <w:r w:rsidRPr="00D86E6B">
        <w:rPr>
          <w:rFonts w:hint="eastAsia"/>
          <w:kern w:val="0"/>
          <w:sz w:val="24"/>
        </w:rPr>
        <w:t>2）提供仪器使用说明书、操作手册、维修手册、工作软件说明书等技术资料。</w:t>
      </w:r>
    </w:p>
    <w:p w:rsidR="00E15023" w:rsidRPr="00D86E6B" w:rsidRDefault="00E15023" w:rsidP="00E15023">
      <w:pPr>
        <w:adjustRightInd w:val="0"/>
        <w:snapToGrid w:val="0"/>
        <w:spacing w:line="360" w:lineRule="auto"/>
        <w:rPr>
          <w:sz w:val="24"/>
        </w:rPr>
      </w:pPr>
      <w:r w:rsidRPr="00D86E6B">
        <w:rPr>
          <w:rFonts w:hint="eastAsia"/>
          <w:kern w:val="0"/>
          <w:sz w:val="24"/>
        </w:rPr>
        <w:t>3）工程师到仪器用户现场安装、调试仪器，要求按照购置需求要求进行验收。</w:t>
      </w:r>
      <w:r w:rsidRPr="00D86E6B">
        <w:rPr>
          <w:rFonts w:hint="eastAsia"/>
          <w:sz w:val="24"/>
        </w:rPr>
        <w:t>以上服务的费用已计入总价，不另行收费。</w:t>
      </w:r>
    </w:p>
    <w:p w:rsidR="00E15023" w:rsidRPr="00D86E6B" w:rsidRDefault="00E15023" w:rsidP="00E15023">
      <w:pPr>
        <w:adjustRightInd w:val="0"/>
        <w:snapToGrid w:val="0"/>
        <w:spacing w:line="360" w:lineRule="auto"/>
        <w:rPr>
          <w:kern w:val="0"/>
          <w:sz w:val="24"/>
        </w:rPr>
      </w:pPr>
      <w:r w:rsidRPr="00D86E6B">
        <w:rPr>
          <w:rFonts w:hint="eastAsia"/>
          <w:kern w:val="0"/>
          <w:sz w:val="24"/>
        </w:rPr>
        <w:t>4）在用户现场对用户的仪器操作、维修和电气人员免费进行技术培训。培训内容包括仪器的基本原理、安装、调试、操作使用和日常保养维修等。培训时间均不少于</w:t>
      </w:r>
      <w:r w:rsidRPr="00D86E6B">
        <w:rPr>
          <w:b/>
          <w:kern w:val="0"/>
          <w:sz w:val="24"/>
        </w:rPr>
        <w:t>2</w:t>
      </w:r>
      <w:r w:rsidRPr="00D86E6B">
        <w:rPr>
          <w:rFonts w:hint="eastAsia"/>
          <w:kern w:val="0"/>
          <w:sz w:val="24"/>
        </w:rPr>
        <w:t>个工作日。验收合格后一个月，再在用户现场进行第2次提高培训。</w:t>
      </w:r>
    </w:p>
    <w:p w:rsidR="00E15023" w:rsidRPr="00D86E6B" w:rsidRDefault="00E15023" w:rsidP="00E15023">
      <w:pPr>
        <w:adjustRightInd w:val="0"/>
        <w:snapToGrid w:val="0"/>
        <w:spacing w:line="360" w:lineRule="auto"/>
        <w:rPr>
          <w:kern w:val="0"/>
          <w:sz w:val="24"/>
        </w:rPr>
      </w:pPr>
      <w:r w:rsidRPr="00D86E6B">
        <w:rPr>
          <w:rFonts w:hint="eastAsia"/>
          <w:kern w:val="0"/>
          <w:sz w:val="24"/>
        </w:rPr>
        <w:t>5）质保期内，</w:t>
      </w:r>
      <w:r w:rsidRPr="00D86E6B">
        <w:rPr>
          <w:rFonts w:hint="eastAsia"/>
          <w:sz w:val="24"/>
        </w:rPr>
        <w:t>对使用单位的任何问题能保障4小时内电话响应，</w:t>
      </w:r>
      <w:r w:rsidRPr="00D86E6B">
        <w:rPr>
          <w:rFonts w:hint="eastAsia"/>
          <w:kern w:val="0"/>
          <w:sz w:val="24"/>
        </w:rPr>
        <w:t>卖方接到买方故障信息后24小时内（第二个工作日）到达用户现场，排除故障，免费更换损坏零件。软件终身免费更新、升级。</w:t>
      </w:r>
    </w:p>
    <w:p w:rsidR="00E15023" w:rsidRPr="00D86E6B" w:rsidRDefault="00E15023" w:rsidP="00E15023">
      <w:pPr>
        <w:adjustRightInd w:val="0"/>
        <w:snapToGrid w:val="0"/>
        <w:spacing w:line="360" w:lineRule="auto"/>
        <w:rPr>
          <w:sz w:val="24"/>
        </w:rPr>
      </w:pPr>
      <w:r w:rsidRPr="00D86E6B">
        <w:rPr>
          <w:rFonts w:hint="eastAsia"/>
          <w:kern w:val="0"/>
          <w:sz w:val="24"/>
        </w:rPr>
        <w:t>6）仪器质保期满后，卖方应对仪器提供终生服务，并且提供广泛而优惠的技术支持和备件成本价格供应。</w:t>
      </w:r>
    </w:p>
    <w:p w:rsidR="00336A5F" w:rsidRDefault="00336A5F"/>
    <w:p w:rsidR="00E15023" w:rsidRDefault="00E15023"/>
    <w:p w:rsidR="00E15023" w:rsidRDefault="00E15023"/>
    <w:p w:rsidR="00E15023" w:rsidRDefault="00E15023"/>
    <w:p w:rsidR="00E15023" w:rsidRDefault="00E15023">
      <w:pPr>
        <w:rPr>
          <w:rFonts w:hint="eastAsia"/>
        </w:rPr>
      </w:pPr>
    </w:p>
    <w:p w:rsidR="00E15023" w:rsidRPr="00E15023" w:rsidRDefault="00E15023" w:rsidP="00E15023">
      <w:pPr>
        <w:jc w:val="center"/>
        <w:rPr>
          <w:rFonts w:ascii="宋体" w:eastAsia="宋体" w:hAnsi="宋体" w:cs="Times New Roman" w:hint="eastAsia"/>
          <w:szCs w:val="20"/>
        </w:rPr>
      </w:pPr>
      <w:r w:rsidRPr="00DB6A10">
        <w:rPr>
          <w:rFonts w:ascii="宋体" w:eastAsia="宋体" w:hAnsi="宋体" w:cs="Times New Roman"/>
          <w:b/>
          <w:sz w:val="24"/>
        </w:rPr>
        <w:lastRenderedPageBreak/>
        <w:t>谈判响应文件的要求</w:t>
      </w:r>
    </w:p>
    <w:p w:rsidR="00E15023" w:rsidRDefault="00E15023" w:rsidP="00E15023">
      <w:pPr>
        <w:spacing w:line="360" w:lineRule="auto"/>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E15023" w:rsidRDefault="00E15023" w:rsidP="00E15023">
      <w:pPr>
        <w:spacing w:line="360" w:lineRule="auto"/>
        <w:rPr>
          <w:rFonts w:ascii="微软雅黑" w:eastAsia="微软雅黑" w:hAnsi="微软雅黑" w:cs="Times New Roman"/>
          <w:szCs w:val="20"/>
        </w:rPr>
      </w:pPr>
      <w:r>
        <w:rPr>
          <w:rFonts w:ascii="微软雅黑" w:eastAsia="微软雅黑" w:hAnsi="微软雅黑" w:cs="Times New Roman" w:hint="eastAsia"/>
          <w:szCs w:val="21"/>
        </w:rPr>
        <w:t xml:space="preserve">  各谈判供应商应按本文件中提供的文件格式、内容和要求制作谈判响应文件。谈判响应文件应装订成册。</w:t>
      </w:r>
      <w:r>
        <w:rPr>
          <w:rFonts w:ascii="微软雅黑" w:eastAsia="微软雅黑" w:hAnsi="微软雅黑" w:cs="Times New Roman" w:hint="eastAsia"/>
          <w:szCs w:val="20"/>
        </w:rPr>
        <w:t>谈判响应文件须提供正本一份、副本至少二份。谈判响应文件的内容应包括：</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法人代表证明书及身份证明；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法人授权委托证明书及身份证明；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法人营业执照的复印件、税务登记证书复印件（若提供的营业执照为三证合一，则税务登记证可不单独提供）；</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参与竞谈供应商控股及管理关系情况申报表；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相关人员（法定代表人、主要经营负责人、项目投标授权代表人、项目负责人、主要技术人员）的社保缴纳证明（提供最近一个月的社会保险证明，查询时间需在递交谈判响应文件截止日期之前）；</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技术规格偏离表及商务条款偏离表；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价格一览表及分项价格表；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制造厂家的授权书（适用于进口设备）；</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《谈判响应文件》真实性承诺函；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企业诚信声明与承诺；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公司基本情况简介；</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公司近三年内在经营活动中没有重大违法记录以及被禁止参与政府采购活动的声明与承诺；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lastRenderedPageBreak/>
        <w:t>公司近三年无行贿犯罪记录承诺；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信用信息查询记录网络截图件</w:t>
      </w:r>
      <w:r>
        <w:rPr>
          <w:rFonts w:ascii="微软雅黑" w:eastAsia="微软雅黑" w:hAnsi="微软雅黑" w:cs="Times New Roman" w:hint="eastAsia"/>
          <w:color w:val="000000" w:themeColor="text1"/>
          <w:szCs w:val="20"/>
        </w:rPr>
        <w:t>（</w:t>
      </w:r>
      <w:r>
        <w:rPr>
          <w:rFonts w:ascii="微软雅黑" w:eastAsia="微软雅黑" w:hAnsi="微软雅黑" w:cs="Times New Roman" w:hint="eastAsia"/>
          <w:color w:val="000000" w:themeColor="text1"/>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r>
        <w:rPr>
          <w:rFonts w:ascii="微软雅黑" w:eastAsia="微软雅黑" w:hAnsi="微软雅黑" w:cs="Times New Roman" w:hint="eastAsia"/>
          <w:color w:val="000000" w:themeColor="text1"/>
          <w:szCs w:val="20"/>
        </w:rPr>
        <w:t>）；</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政府采购违法行为风险知悉确认书；</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公司认为有必要提供的其他材料（如：产品彩页、说明书等）</w:t>
      </w:r>
    </w:p>
    <w:p w:rsidR="00E15023" w:rsidRDefault="00E15023" w:rsidP="00E15023">
      <w:pPr>
        <w:ind w:firstLineChars="200" w:firstLine="440"/>
        <w:rPr>
          <w:rFonts w:ascii="微软雅黑" w:eastAsia="微软雅黑" w:hAnsi="微软雅黑" w:cs="Times New Roman"/>
          <w:b/>
          <w:color w:val="FF0000"/>
          <w:sz w:val="22"/>
          <w:szCs w:val="20"/>
        </w:rPr>
      </w:pPr>
      <w:r>
        <w:rPr>
          <w:rFonts w:ascii="微软雅黑" w:eastAsia="微软雅黑" w:hAnsi="微软雅黑" w:cs="Times New Roman" w:hint="eastAsia"/>
          <w:b/>
          <w:color w:val="FF0000"/>
          <w:sz w:val="22"/>
          <w:szCs w:val="20"/>
        </w:rPr>
        <w:t>注意：以上所有文件均需加盖公章。</w:t>
      </w:r>
    </w:p>
    <w:p w:rsidR="00E15023" w:rsidRDefault="00E15023" w:rsidP="00E15023">
      <w:pPr>
        <w:rPr>
          <w:rFonts w:hint="eastAsia"/>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731F851C" wp14:editId="1B42681A">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rsidR="00E15023" w:rsidRPr="00B77622" w:rsidRDefault="00E15023" w:rsidP="00E15023">
      <w:pPr>
        <w:jc w:val="center"/>
        <w:rPr>
          <w:rFonts w:ascii="宋体" w:eastAsia="宋体" w:hAnsi="宋体" w:cs="Times New Roman"/>
          <w:b/>
          <w:sz w:val="22"/>
          <w:szCs w:val="28"/>
        </w:rPr>
      </w:pPr>
    </w:p>
    <w:p w:rsidR="00E15023" w:rsidRDefault="00E15023" w:rsidP="00E15023">
      <w:pPr>
        <w:rPr>
          <w:rFonts w:ascii="宋体" w:eastAsia="宋体" w:hAnsi="宋体" w:cs="Times New Roman"/>
          <w:b/>
          <w:sz w:val="24"/>
        </w:rPr>
      </w:pPr>
    </w:p>
    <w:p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E15023" w:rsidRDefault="00E15023" w:rsidP="00E15023">
      <w:pPr>
        <w:spacing w:line="480" w:lineRule="auto"/>
        <w:rPr>
          <w:rFonts w:ascii="宋体" w:eastAsia="宋体" w:hAnsi="宋体" w:cs="Times New Roman"/>
          <w:b/>
          <w:sz w:val="24"/>
        </w:rPr>
      </w:pPr>
    </w:p>
    <w:p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rsidR="00E15023" w:rsidRDefault="00E15023" w:rsidP="00E15023">
      <w:pPr>
        <w:rPr>
          <w:rFonts w:ascii="宋体" w:eastAsia="宋体" w:hAnsi="宋体" w:cs="Times New Roman"/>
          <w:b/>
          <w:sz w:val="24"/>
        </w:rPr>
      </w:pPr>
      <w:bookmarkStart w:id="0" w:name="一"/>
      <w:r>
        <w:rPr>
          <w:rFonts w:ascii="宋体" w:eastAsia="宋体" w:hAnsi="宋体" w:cs="Times New Roman" w:hint="eastAsia"/>
          <w:b/>
          <w:sz w:val="24"/>
        </w:rPr>
        <w:lastRenderedPageBreak/>
        <w:t>一、 谈判响应函（模板）</w:t>
      </w:r>
    </w:p>
    <w:bookmarkEnd w:id="0"/>
    <w:p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rsidR="00E15023" w:rsidRDefault="00E15023" w:rsidP="00E15023">
      <w:pPr>
        <w:rPr>
          <w:rFonts w:ascii="宋体" w:eastAsia="宋体" w:hAnsi="宋体" w:cs="Times New Roman"/>
          <w:b/>
          <w:szCs w:val="21"/>
        </w:rPr>
      </w:pPr>
    </w:p>
    <w:p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E15023" w:rsidRDefault="00E15023" w:rsidP="00E15023">
      <w:pPr>
        <w:ind w:left="720"/>
        <w:rPr>
          <w:rFonts w:ascii="宋体" w:eastAsia="宋体" w:hAnsi="宋体" w:cs="Times New Roman"/>
          <w:szCs w:val="21"/>
          <w:u w:val="single"/>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rsidR="00E15023" w:rsidRDefault="00E15023" w:rsidP="00E15023">
      <w:pPr>
        <w:spacing w:line="360" w:lineRule="auto"/>
        <w:rPr>
          <w:rFonts w:ascii="宋体" w:eastAsia="宋体" w:hAnsi="宋体" w:cs="Times New Roman"/>
          <w:b/>
          <w:bCs/>
          <w:szCs w:val="21"/>
        </w:rPr>
      </w:pPr>
    </w:p>
    <w:p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E15023" w:rsidRDefault="00E15023" w:rsidP="00E15023">
      <w:pPr>
        <w:ind w:firstLineChars="1200" w:firstLine="3360"/>
        <w:rPr>
          <w:rFonts w:ascii="宋体" w:eastAsia="宋体" w:hAnsi="宋体" w:cs="Times New Roman"/>
          <w:sz w:val="28"/>
          <w:szCs w:val="28"/>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E15023" w:rsidRDefault="00E15023" w:rsidP="00E15023">
      <w:pPr>
        <w:jc w:val="left"/>
        <w:rPr>
          <w:rFonts w:ascii="宋体" w:eastAsia="宋体" w:hAnsi="宋体" w:cs="Times New Roman"/>
          <w:b/>
          <w:sz w:val="24"/>
          <w:szCs w:val="20"/>
        </w:rPr>
      </w:pPr>
    </w:p>
    <w:p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E15023" w:rsidRDefault="00E15023" w:rsidP="00E15023">
      <w:pPr>
        <w:rPr>
          <w:rFonts w:ascii="宋体" w:eastAsia="宋体" w:hAnsi="宋体" w:cs="Times New Roman"/>
          <w:szCs w:val="21"/>
        </w:rPr>
      </w:pPr>
    </w:p>
    <w:p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15023" w:rsidRDefault="00E15023" w:rsidP="00E15023">
      <w:pPr>
        <w:spacing w:line="360" w:lineRule="auto"/>
        <w:rPr>
          <w:rFonts w:ascii="宋体" w:eastAsia="宋体" w:hAnsi="宋体" w:cs="Times New Roman"/>
          <w:szCs w:val="20"/>
        </w:rPr>
      </w:pPr>
    </w:p>
    <w:p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rsidR="00E15023" w:rsidRDefault="00E15023" w:rsidP="00E15023">
      <w:pPr>
        <w:pStyle w:val="2"/>
        <w:spacing w:line="240" w:lineRule="auto"/>
        <w:jc w:val="center"/>
        <w:rPr>
          <w:rFonts w:ascii="宋体" w:eastAsia="宋体" w:hAnsi="宋体"/>
          <w:sz w:val="30"/>
          <w:szCs w:val="30"/>
        </w:rPr>
      </w:pPr>
      <w:bookmarkStart w:id="1" w:name="_Toc14403"/>
      <w:r>
        <w:rPr>
          <w:rFonts w:ascii="宋体" w:eastAsia="宋体" w:hAnsi="宋体" w:hint="eastAsia"/>
          <w:sz w:val="30"/>
          <w:szCs w:val="30"/>
        </w:rPr>
        <w:t>参与竞谈供应商控股及管理关系情况申报表</w:t>
      </w:r>
      <w:bookmarkEnd w:id="1"/>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bl>
    <w:p w:rsidR="00E15023" w:rsidRDefault="00E15023" w:rsidP="00E15023">
      <w:pPr>
        <w:spacing w:line="440" w:lineRule="exact"/>
        <w:rPr>
          <w:rFonts w:ascii="宋体" w:eastAsia="宋体" w:hAnsi="宋体" w:cs="Times New Roman"/>
          <w:szCs w:val="21"/>
        </w:rPr>
      </w:pPr>
    </w:p>
    <w:p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E15023" w:rsidRDefault="00E15023" w:rsidP="00E15023">
      <w:pPr>
        <w:rPr>
          <w:rFonts w:ascii="宋体" w:eastAsia="宋体" w:hAnsi="宋体" w:cs="Times New Roman"/>
          <w:b/>
          <w:szCs w:val="21"/>
        </w:rPr>
      </w:pP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bookmarkStart w:id="2" w:name="_GoBack"/>
      <w:bookmarkEnd w:id="2"/>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E15023" w:rsidRDefault="00E15023" w:rsidP="00E15023">
      <w:pPr>
        <w:rPr>
          <w:rFonts w:ascii="宋体" w:eastAsia="宋体" w:hAnsi="宋体" w:cs="Times New Roman"/>
          <w:b/>
          <w:sz w:val="24"/>
          <w:szCs w:val="32"/>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E15023" w:rsidRDefault="00E15023" w:rsidP="00E15023">
      <w:pPr>
        <w:spacing w:before="120" w:after="120"/>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spacing w:before="120"/>
        <w:jc w:val="center"/>
        <w:outlineLvl w:val="0"/>
        <w:rPr>
          <w:rFonts w:ascii="宋体" w:eastAsia="宋体" w:hAnsi="宋体" w:cs="Times New Roman"/>
          <w:b/>
          <w:szCs w:val="20"/>
        </w:rPr>
      </w:pPr>
      <w:bookmarkStart w:id="3" w:name="_Toc233001761"/>
    </w:p>
    <w:p w:rsidR="00E15023" w:rsidRDefault="00E15023" w:rsidP="00E15023">
      <w:pPr>
        <w:spacing w:before="120"/>
        <w:jc w:val="center"/>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E15023" w:rsidRDefault="00E15023" w:rsidP="00E15023">
      <w:pPr>
        <w:jc w:val="center"/>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rsidTr="00EA3FF2">
        <w:trPr>
          <w:trHeight w:val="504"/>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E15023" w:rsidRDefault="00E15023" w:rsidP="00E15023">
      <w:pPr>
        <w:tabs>
          <w:tab w:val="left" w:pos="5580"/>
        </w:tabs>
        <w:spacing w:before="120" w:line="360" w:lineRule="auto"/>
        <w:rPr>
          <w:rFonts w:ascii="宋体" w:eastAsia="宋体" w:hAnsi="宋体" w:cs="Times New Roman"/>
          <w:szCs w:val="21"/>
        </w:rPr>
      </w:pPr>
    </w:p>
    <w:p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E15023" w:rsidRDefault="00E15023" w:rsidP="00E15023">
      <w:pPr>
        <w:pStyle w:val="a4"/>
        <w:tabs>
          <w:tab w:val="left" w:pos="5580"/>
        </w:tabs>
        <w:spacing w:line="360" w:lineRule="auto"/>
        <w:ind w:left="424" w:firstLine="240"/>
        <w:jc w:val="right"/>
        <w:rPr>
          <w:rFonts w:hAnsi="宋体" w:cs="Times New Roman"/>
          <w:szCs w:val="21"/>
        </w:rPr>
      </w:pPr>
    </w:p>
    <w:p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E15023" w:rsidRDefault="00E15023" w:rsidP="00E15023">
      <w:pPr>
        <w:rPr>
          <w:rFonts w:ascii="宋体" w:eastAsia="宋体" w:hAnsi="宋体" w:cs="Times New Roman"/>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15023" w:rsidRDefault="00E15023" w:rsidP="00E15023">
      <w:pPr>
        <w:jc w:val="left"/>
        <w:rPr>
          <w:rFonts w:ascii="宋体" w:eastAsia="宋体" w:hAnsi="宋体" w:cs="Times New Roman"/>
          <w:szCs w:val="21"/>
        </w:rPr>
      </w:pPr>
    </w:p>
    <w:p w:rsidR="00E15023" w:rsidRDefault="00E15023" w:rsidP="00E15023">
      <w:pPr>
        <w:jc w:val="left"/>
        <w:rPr>
          <w:rFonts w:ascii="宋体" w:eastAsia="宋体" w:hAnsi="宋体" w:cs="Times New Roman"/>
          <w:szCs w:val="21"/>
        </w:rPr>
      </w:pPr>
    </w:p>
    <w:p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E15023" w:rsidRDefault="00E15023" w:rsidP="00E15023">
      <w:pPr>
        <w:spacing w:line="300" w:lineRule="auto"/>
        <w:jc w:val="left"/>
        <w:rPr>
          <w:rFonts w:ascii="宋体" w:eastAsia="宋体" w:hAnsi="宋体" w:cs="Times New Roman"/>
          <w:szCs w:val="21"/>
        </w:rPr>
      </w:pPr>
    </w:p>
    <w:p w:rsidR="00E15023" w:rsidRDefault="00E15023" w:rsidP="00E15023">
      <w:pPr>
        <w:spacing w:line="300" w:lineRule="auto"/>
        <w:jc w:val="left"/>
        <w:rPr>
          <w:rFonts w:ascii="宋体" w:eastAsia="宋体" w:hAnsi="宋体" w:cs="Times New Roman"/>
          <w:szCs w:val="21"/>
        </w:rPr>
      </w:pPr>
    </w:p>
    <w:p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E15023" w:rsidRDefault="00E15023" w:rsidP="00E15023">
      <w:pPr>
        <w:spacing w:line="300" w:lineRule="auto"/>
        <w:jc w:val="right"/>
        <w:rPr>
          <w:rFonts w:ascii="宋体" w:eastAsia="宋体" w:hAnsi="宋体" w:cs="Times New Roman"/>
          <w:szCs w:val="21"/>
        </w:rPr>
      </w:pPr>
    </w:p>
    <w:p w:rsidR="00E15023" w:rsidRDefault="00E15023" w:rsidP="00E15023">
      <w:pPr>
        <w:spacing w:line="300" w:lineRule="auto"/>
        <w:jc w:val="right"/>
        <w:rPr>
          <w:rFonts w:ascii="宋体" w:eastAsia="宋体" w:hAnsi="宋体" w:cs="Times New Roman"/>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E15023" w:rsidRDefault="00E15023" w:rsidP="00E15023">
      <w:pPr>
        <w:jc w:val="center"/>
        <w:rPr>
          <w:rFonts w:ascii="宋体" w:eastAsia="宋体" w:hAnsi="宋体" w:cs="Times New Roman"/>
          <w:b/>
          <w:bCs/>
          <w:sz w:val="36"/>
          <w:szCs w:val="20"/>
        </w:rPr>
      </w:pPr>
    </w:p>
    <w:p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E15023" w:rsidRDefault="00E15023" w:rsidP="00E15023">
      <w:pPr>
        <w:spacing w:line="480" w:lineRule="auto"/>
        <w:rPr>
          <w:rFonts w:ascii="宋体" w:eastAsia="宋体" w:hAnsi="宋体" w:cs="Times New Roman"/>
          <w:sz w:val="24"/>
          <w:szCs w:val="20"/>
        </w:rPr>
      </w:pP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DA07AB2" wp14:editId="708FE2EA">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5B012C8F" wp14:editId="57174609">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noProof/>
        </w:rPr>
        <w:lastRenderedPageBreak/>
        <w:drawing>
          <wp:inline distT="0" distB="0" distL="0" distR="0" wp14:anchorId="32E6AA2D" wp14:editId="561B5132">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106C4A0" wp14:editId="2BB229AF">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4"/>
        </w:rPr>
      </w:pPr>
    </w:p>
    <w:p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E15023" w:rsidRDefault="00E15023" w:rsidP="00E15023">
      <w:pPr>
        <w:spacing w:line="579" w:lineRule="exact"/>
        <w:rPr>
          <w:rFonts w:ascii="宋体" w:eastAsia="宋体" w:hAnsi="宋体" w:cs="Times New Roman"/>
          <w:sz w:val="32"/>
          <w:szCs w:val="32"/>
        </w:rPr>
      </w:pPr>
    </w:p>
    <w:p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Cs w:val="24"/>
        </w:rPr>
      </w:pP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204051"/>
    <w:rsid w:val="00336A5F"/>
    <w:rsid w:val="008F25E0"/>
    <w:rsid w:val="00B3495D"/>
    <w:rsid w:val="00E1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CD89"/>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32</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1</cp:revision>
  <dcterms:created xsi:type="dcterms:W3CDTF">2024-01-12T03:39:00Z</dcterms:created>
  <dcterms:modified xsi:type="dcterms:W3CDTF">2024-01-12T05:40:00Z</dcterms:modified>
</cp:coreProperties>
</file>