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tabs>
          <w:tab w:val="left" w:pos="3517"/>
        </w:tabs>
      </w:pPr>
      <w:bookmarkStart w:id="0" w:name="竞争性谈判邀请"/>
      <w:bookmarkStart w:id="1" w:name="_GoBack"/>
      <w:bookmarkEnd w:id="1"/>
      <w:r>
        <w:drawing>
          <wp:inline distT="0" distB="0" distL="0" distR="0">
            <wp:extent cx="1591310" cy="618490"/>
            <wp:effectExtent l="0" t="0" r="8890" b="10160"/>
            <wp:docPr id="5" name="图片 5" descr="C:\Users\Administrator\Desktop\采联集团新LOGO-JPG.jpg采联集团新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strator\Desktop\采联集团新LOGO-JPG.jpg采联集团新LOGO-JPG"/>
                    <pic:cNvPicPr>
                      <a:picLocks noChangeAspect="1"/>
                    </pic:cNvPicPr>
                  </pic:nvPicPr>
                  <pic:blipFill>
                    <a:blip xmlns:r="http://schemas.openxmlformats.org/officeDocument/2006/relationships" r:embed="rId4"/>
                    <a:stretch>
                      <a:fillRect/>
                    </a:stretch>
                  </pic:blipFill>
                  <pic:spPr>
                    <a:xfrm>
                      <a:off x="0" y="0"/>
                      <a:ext cx="1591310" cy="638263"/>
                    </a:xfrm>
                    <a:prstGeom prst="rect">
                      <a:avLst/>
                    </a:prstGeom>
                  </pic:spPr>
                </pic:pic>
              </a:graphicData>
            </a:graphic>
          </wp:inline>
        </w:drawing>
      </w:r>
      <w:r>
        <w:rPr>
          <w:rFonts w:hint="eastAsia"/>
        </w:rPr>
        <w:tab/>
      </w:r>
    </w:p>
    <w:p>
      <w:pPr>
        <w:tabs>
          <w:tab w:val="left" w:pos="720"/>
        </w:tabs>
        <w:spacing w:line="360" w:lineRule="auto"/>
        <w:jc w:val="center"/>
      </w:pPr>
    </w:p>
    <w:p>
      <w:pPr>
        <w:tabs>
          <w:tab w:val="left" w:pos="720"/>
        </w:tabs>
        <w:spacing w:line="360" w:lineRule="auto"/>
        <w:jc w:val="center"/>
      </w:pPr>
    </w:p>
    <w:p>
      <w:pPr>
        <w:tabs>
          <w:tab w:val="left" w:pos="720"/>
        </w:tabs>
        <w:spacing w:line="360" w:lineRule="auto"/>
        <w:jc w:val="center"/>
        <w:rPr>
          <w:color w:val="auto"/>
        </w:rPr>
      </w:pPr>
      <w:r>
        <w:rPr>
          <w:rFonts w:ascii="仿宋" w:eastAsia="仿宋" w:hAnsi="仿宋" w:hint="eastAsia"/>
          <w:b/>
          <w:color w:val="auto"/>
          <w:sz w:val="48"/>
          <w:szCs w:val="48"/>
        </w:rPr>
        <w:t>政府采购货物单一来源采购项目</w:t>
      </w:r>
    </w:p>
    <w:p>
      <w:pPr>
        <w:tabs>
          <w:tab w:val="left" w:pos="720"/>
        </w:tabs>
        <w:spacing w:line="360" w:lineRule="auto"/>
        <w:jc w:val="center"/>
      </w:pPr>
    </w:p>
    <w:p>
      <w:pPr>
        <w:tabs>
          <w:tab w:val="left" w:pos="720"/>
          <w:tab w:val="left" w:pos="5823"/>
        </w:tabs>
        <w:spacing w:line="360" w:lineRule="auto"/>
        <w:jc w:val="left"/>
      </w:pPr>
      <w:r>
        <w:rPr>
          <w:rFonts w:hint="eastAsia"/>
        </w:rPr>
        <w:tab/>
      </w:r>
      <w:r>
        <w:rPr>
          <w:rFonts w:hint="eastAsia"/>
        </w:rPr>
        <w:tab/>
      </w:r>
    </w:p>
    <w:p>
      <w:pPr>
        <w:tabs>
          <w:tab w:val="left" w:pos="720"/>
          <w:tab w:val="left" w:pos="2340"/>
        </w:tabs>
        <w:spacing w:line="360" w:lineRule="auto"/>
        <w:jc w:val="center"/>
      </w:pPr>
    </w:p>
    <w:p>
      <w:pPr>
        <w:tabs>
          <w:tab w:val="left" w:pos="720"/>
        </w:tabs>
        <w:spacing w:line="360" w:lineRule="auto"/>
      </w:pPr>
    </w:p>
    <w:p>
      <w:pPr>
        <w:autoSpaceDE w:val="0"/>
        <w:autoSpaceDN w:val="0"/>
        <w:adjustRightInd w:val="0"/>
        <w:snapToGrid w:val="0"/>
        <w:spacing w:before="156" w:beforeLines="50"/>
        <w:jc w:val="center"/>
        <w:rPr>
          <w:rFonts w:ascii="黑体" w:eastAsia="黑体" w:hAnsi="华文中宋" w:cs="华文中宋"/>
          <w:b/>
          <w:bCs/>
          <w:sz w:val="72"/>
          <w:szCs w:val="72"/>
        </w:rPr>
      </w:pPr>
      <w:r>
        <w:rPr>
          <w:rFonts w:ascii="黑体" w:eastAsia="黑体" w:hAnsi="华文中宋" w:cs="华文中宋" w:hint="eastAsia"/>
          <w:b/>
          <w:bCs/>
          <w:sz w:val="72"/>
          <w:szCs w:val="72"/>
        </w:rPr>
        <w:t>单一来源采购文件</w:t>
      </w:r>
    </w:p>
    <w:p>
      <w:pPr>
        <w:tabs>
          <w:tab w:val="left" w:pos="720"/>
        </w:tabs>
        <w:spacing w:line="360" w:lineRule="auto"/>
        <w:jc w:val="center"/>
        <w:rPr>
          <w:b/>
          <w:sz w:val="36"/>
          <w:szCs w:val="36"/>
        </w:rPr>
      </w:pPr>
    </w:p>
    <w:p>
      <w:pPr>
        <w:tabs>
          <w:tab w:val="left" w:pos="2160"/>
        </w:tabs>
        <w:spacing w:line="360" w:lineRule="auto"/>
        <w:ind w:firstLine="420" w:firstLineChars="200"/>
        <w:rPr>
          <w:rFonts w:ascii="黑体" w:eastAsia="黑体" w:hAnsi="宋体"/>
          <w:bCs/>
          <w:sz w:val="28"/>
          <w:szCs w:val="28"/>
        </w:rPr>
      </w:pPr>
    </w:p>
    <w:p>
      <w:pPr>
        <w:tabs>
          <w:tab w:val="left" w:pos="2160"/>
        </w:tabs>
        <w:spacing w:line="360" w:lineRule="auto"/>
        <w:ind w:firstLine="420" w:firstLineChars="200"/>
        <w:rPr>
          <w:rFonts w:ascii="宋体" w:eastAsia="宋体" w:hAnsi="宋体" w:cs="宋体" w:hint="eastAsia"/>
          <w:bCs/>
          <w:sz w:val="28"/>
          <w:szCs w:val="28"/>
        </w:rPr>
      </w:pPr>
    </w:p>
    <w:p>
      <w:pPr>
        <w:pStyle w:val="BodyText"/>
        <w:spacing w:after="120" w:line="360" w:lineRule="auto"/>
        <w:ind w:firstLine="836" w:firstLineChars="398"/>
        <w:rPr>
          <w:rFonts w:ascii="宋体" w:eastAsia="宋体" w:hAnsi="宋体" w:cs="宋体" w:hint="eastAsia"/>
          <w:b/>
          <w:color w:val="auto"/>
          <w:sz w:val="32"/>
        </w:rPr>
      </w:pPr>
      <w:r>
        <w:rPr>
          <w:rFonts w:ascii="宋体" w:eastAsia="宋体" w:hAnsi="宋体" w:cs="宋体" w:hint="eastAsia"/>
          <w:b/>
          <w:color w:val="auto"/>
          <w:sz w:val="32"/>
        </w:rPr>
        <w:t>采购方式：单一来源采购</w:t>
      </w:r>
    </w:p>
    <w:p>
      <w:pPr>
        <w:pStyle w:val="BodyText"/>
        <w:spacing w:after="120" w:line="360" w:lineRule="auto"/>
        <w:ind w:firstLine="836" w:firstLineChars="398"/>
        <w:rPr>
          <w:rFonts w:ascii="宋体" w:eastAsia="宋体" w:hAnsi="宋体" w:cs="宋体" w:hint="eastAsia"/>
          <w:b/>
          <w:color w:val="auto"/>
          <w:sz w:val="32"/>
          <w:lang w:eastAsia="zh-CN"/>
        </w:rPr>
      </w:pPr>
      <w:r>
        <w:rPr>
          <w:rFonts w:ascii="宋体" w:eastAsia="宋体" w:hAnsi="宋体" w:cs="宋体" w:hint="eastAsia"/>
          <w:b/>
          <w:color w:val="auto"/>
          <w:sz w:val="32"/>
        </w:rPr>
        <w:t>项目编号：</w:t>
      </w:r>
      <w:r>
        <w:rPr>
          <w:rFonts w:ascii="宋体" w:hAnsi="宋体" w:cs="宋体" w:hint="eastAsia"/>
          <w:b/>
          <w:color w:val="auto"/>
          <w:sz w:val="32"/>
          <w:lang w:eastAsia="zh-CN"/>
        </w:rPr>
        <w:t>SZDL2024001286（CLF0123SZ22ZC60C）</w:t>
      </w:r>
    </w:p>
    <w:p>
      <w:pPr>
        <w:pStyle w:val="BodyText"/>
        <w:spacing w:after="120" w:line="360" w:lineRule="auto"/>
        <w:ind w:left="2327" w:hanging="1050" w:leftChars="608" w:hangingChars="500"/>
        <w:rPr>
          <w:rFonts w:ascii="宋体" w:eastAsia="宋体" w:hAnsi="宋体" w:cs="宋体" w:hint="eastAsia"/>
          <w:b/>
          <w:color w:val="auto"/>
          <w:sz w:val="32"/>
          <w:lang w:eastAsia="zh-CN"/>
        </w:rPr>
      </w:pPr>
      <w:r>
        <w:rPr>
          <w:rFonts w:ascii="宋体" w:eastAsia="宋体" w:hAnsi="宋体" w:cs="宋体" w:hint="eastAsia"/>
          <w:b/>
          <w:color w:val="auto"/>
          <w:sz w:val="32"/>
        </w:rPr>
        <w:t>项目名称：</w:t>
      </w:r>
      <w:r>
        <w:rPr>
          <w:rFonts w:ascii="宋体" w:eastAsia="宋体" w:hAnsi="宋体" w:cs="宋体" w:hint="eastAsia"/>
          <w:b/>
          <w:color w:val="auto"/>
          <w:sz w:val="32"/>
          <w:lang w:eastAsia="zh-CN"/>
        </w:rPr>
        <w:t>污泥原位高效资源化利用系统设计、制造和安装调试</w:t>
      </w:r>
    </w:p>
    <w:p>
      <w:pPr>
        <w:spacing w:line="360" w:lineRule="auto"/>
        <w:jc w:val="center"/>
        <w:rPr>
          <w:rFonts w:eastAsia="华文中宋" w:hint="eastAsia"/>
          <w:color w:val="auto"/>
          <w:sz w:val="30"/>
          <w:lang w:eastAsia="zh-CN"/>
        </w:rPr>
      </w:pPr>
    </w:p>
    <w:p>
      <w:pPr>
        <w:spacing w:line="360" w:lineRule="auto"/>
        <w:jc w:val="center"/>
        <w:rPr>
          <w:rFonts w:eastAsia="华文中宋" w:hint="eastAsia"/>
          <w:color w:val="auto"/>
          <w:sz w:val="30"/>
          <w:lang w:eastAsia="zh-CN"/>
        </w:rPr>
      </w:pPr>
    </w:p>
    <w:p>
      <w:pPr>
        <w:spacing w:line="360" w:lineRule="auto"/>
        <w:jc w:val="center"/>
        <w:rPr>
          <w:rFonts w:eastAsia="华文中宋" w:hint="eastAsia"/>
          <w:color w:val="auto"/>
          <w:sz w:val="30"/>
          <w:lang w:eastAsia="zh-CN"/>
        </w:rPr>
      </w:pPr>
      <w:r>
        <w:rPr>
          <w:rFonts w:eastAsia="华文中宋" w:hint="eastAsia"/>
          <w:color w:val="auto"/>
          <w:sz w:val="30"/>
          <w:lang w:eastAsia="zh-CN"/>
        </w:rPr>
        <w:t>清华大学深圳国际研究生院</w:t>
      </w:r>
    </w:p>
    <w:p>
      <w:pPr>
        <w:autoSpaceDE w:val="0"/>
        <w:autoSpaceDN w:val="0"/>
        <w:adjustRightInd w:val="0"/>
        <w:snapToGrid w:val="0"/>
        <w:spacing w:line="360" w:lineRule="auto"/>
        <w:jc w:val="center"/>
        <w:rPr>
          <w:rFonts w:ascii="黑体" w:eastAsia="黑体" w:hAnsi="华文中宋" w:cs="华文中宋"/>
          <w:color w:val="auto"/>
          <w:sz w:val="30"/>
          <w:szCs w:val="30"/>
        </w:rPr>
      </w:pPr>
      <w:r>
        <w:rPr>
          <w:rFonts w:ascii="黑体" w:eastAsia="黑体" w:hAnsi="华文中宋" w:cs="华文中宋" w:hint="eastAsia"/>
          <w:color w:val="auto"/>
          <w:sz w:val="30"/>
          <w:szCs w:val="30"/>
        </w:rPr>
        <w:t>采联国际招标采购集团有限公司</w:t>
      </w:r>
    </w:p>
    <w:p>
      <w:pPr>
        <w:autoSpaceDE w:val="0"/>
        <w:autoSpaceDN w:val="0"/>
        <w:adjustRightInd w:val="0"/>
        <w:snapToGrid w:val="0"/>
        <w:spacing w:line="360" w:lineRule="auto"/>
        <w:jc w:val="center"/>
      </w:pPr>
      <w:r>
        <w:rPr>
          <w:rFonts w:ascii="黑体" w:eastAsia="黑体" w:hAnsi="华文中宋" w:cs="华文中宋" w:hint="eastAsia"/>
          <w:color w:val="auto"/>
          <w:sz w:val="30"/>
          <w:szCs w:val="30"/>
        </w:rPr>
        <w:t>202</w:t>
      </w:r>
      <w:r>
        <w:rPr>
          <w:rFonts w:ascii="黑体" w:eastAsia="黑体" w:hAnsi="华文中宋" w:cs="华文中宋" w:hint="eastAsia"/>
          <w:color w:val="auto"/>
          <w:sz w:val="30"/>
          <w:szCs w:val="30"/>
          <w:lang w:val="en-US" w:eastAsia="zh-CN"/>
        </w:rPr>
        <w:t>4</w:t>
      </w:r>
      <w:r>
        <w:rPr>
          <w:rFonts w:ascii="黑体" w:eastAsia="黑体" w:hAnsi="华文中宋" w:cs="华文中宋" w:hint="eastAsia"/>
          <w:color w:val="auto"/>
          <w:sz w:val="30"/>
          <w:szCs w:val="30"/>
        </w:rPr>
        <w:t>年</w:t>
      </w:r>
      <w:bookmarkStart w:id="2" w:name="_Toc50737317"/>
      <w:bookmarkStart w:id="3" w:name="_Toc50691018"/>
      <w:bookmarkStart w:id="4" w:name="_Toc50737285"/>
      <w:bookmarkStart w:id="5" w:name="_Toc50736465"/>
      <w:bookmarkStart w:id="6" w:name="_Toc87417446"/>
      <w:r>
        <w:br w:type="page"/>
      </w:r>
    </w:p>
    <w:p>
      <w:pPr>
        <w:autoSpaceDE w:val="0"/>
        <w:autoSpaceDN w:val="0"/>
        <w:adjustRightInd w:val="0"/>
        <w:snapToGrid w:val="0"/>
        <w:spacing w:before="156" w:beforeLines="50" w:after="156" w:afterLines="50"/>
        <w:jc w:val="center"/>
        <w:rPr>
          <w:rFonts w:ascii="黑体" w:eastAsia="黑体" w:hAnsi="黑体"/>
          <w:b/>
          <w:sz w:val="44"/>
          <w:szCs w:val="44"/>
        </w:rPr>
      </w:pPr>
      <w:r>
        <w:rPr>
          <w:rFonts w:ascii="黑体" w:eastAsia="黑体" w:hAnsi="黑体" w:hint="eastAsia"/>
          <w:b/>
          <w:sz w:val="44"/>
          <w:szCs w:val="44"/>
        </w:rPr>
        <w:t>警示条款</w:t>
      </w:r>
    </w:p>
    <w:p>
      <w:pPr>
        <w:spacing w:line="360" w:lineRule="auto"/>
        <w:ind w:firstLine="420" w:firstLineChars="200"/>
        <w:rPr>
          <w:rFonts w:ascii="宋体" w:hAnsi="宋体"/>
          <w:sz w:val="24"/>
        </w:rPr>
      </w:pPr>
      <w:r>
        <w:rPr>
          <w:rFonts w:ascii="宋体" w:hAnsi="宋体" w:hint="eastAsia"/>
          <w:sz w:val="24"/>
        </w:rPr>
        <w:t>一、</w:t>
      </w:r>
      <w:r>
        <w:rPr>
          <w:rFonts w:ascii="宋体" w:hAnsi="宋体" w:hint="eastAsia"/>
          <w:b/>
          <w:bCs/>
          <w:sz w:val="24"/>
        </w:rPr>
        <w:t>《深圳经济特区政府采购条例》第五十七条</w:t>
      </w:r>
      <w:r>
        <w:rPr>
          <w:rFonts w:ascii="宋体" w:hAnsi="宋体" w:hint="eastAsia"/>
          <w:sz w:val="24"/>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spacing w:line="360" w:lineRule="auto"/>
        <w:ind w:firstLine="420" w:firstLineChars="200"/>
        <w:rPr>
          <w:rFonts w:ascii="宋体" w:hAnsi="宋体"/>
          <w:sz w:val="24"/>
        </w:rPr>
      </w:pPr>
      <w:r>
        <w:rPr>
          <w:rFonts w:ascii="宋体" w:hAnsi="宋体" w:hint="eastAsia"/>
          <w:sz w:val="24"/>
        </w:rPr>
        <w:t>（一）在采购活动中应当回避而未回避的；</w:t>
      </w:r>
    </w:p>
    <w:p>
      <w:pPr>
        <w:spacing w:line="360" w:lineRule="auto"/>
        <w:ind w:firstLine="420" w:firstLineChars="200"/>
        <w:rPr>
          <w:rFonts w:ascii="宋体" w:hAnsi="宋体"/>
          <w:sz w:val="24"/>
        </w:rPr>
      </w:pPr>
      <w:r>
        <w:rPr>
          <w:rFonts w:ascii="宋体" w:hAnsi="宋体" w:hint="eastAsia"/>
          <w:sz w:val="24"/>
        </w:rPr>
        <w:t>（二）未按本条例规定签订、履行采购合同，造成严重后果的；</w:t>
      </w:r>
    </w:p>
    <w:p>
      <w:pPr>
        <w:spacing w:line="360" w:lineRule="auto"/>
        <w:ind w:firstLine="420" w:firstLineChars="200"/>
        <w:rPr>
          <w:rFonts w:ascii="宋体" w:hAnsi="宋体"/>
          <w:sz w:val="24"/>
        </w:rPr>
      </w:pPr>
      <w:r>
        <w:rPr>
          <w:rFonts w:ascii="宋体" w:hAnsi="宋体" w:hint="eastAsia"/>
          <w:sz w:val="24"/>
        </w:rPr>
        <w:t>（三）隐瞒真实情况，提供虚假资料的；</w:t>
      </w:r>
    </w:p>
    <w:p>
      <w:pPr>
        <w:spacing w:line="360" w:lineRule="auto"/>
        <w:ind w:firstLine="420" w:firstLineChars="200"/>
        <w:rPr>
          <w:rFonts w:ascii="宋体" w:hAnsi="宋体"/>
          <w:sz w:val="24"/>
        </w:rPr>
      </w:pPr>
      <w:r>
        <w:rPr>
          <w:rFonts w:ascii="宋体" w:hAnsi="宋体" w:hint="eastAsia"/>
          <w:sz w:val="24"/>
        </w:rPr>
        <w:t>（四）以非法手段排斥其他供应商参与竞争的；</w:t>
      </w:r>
    </w:p>
    <w:p>
      <w:pPr>
        <w:spacing w:line="360" w:lineRule="auto"/>
        <w:ind w:firstLine="420" w:firstLineChars="200"/>
        <w:rPr>
          <w:rFonts w:ascii="宋体" w:hAnsi="宋体"/>
          <w:sz w:val="24"/>
        </w:rPr>
      </w:pPr>
      <w:r>
        <w:rPr>
          <w:rFonts w:ascii="宋体" w:hAnsi="宋体" w:hint="eastAsia"/>
          <w:sz w:val="24"/>
        </w:rPr>
        <w:t>（五）与其他采购参加人串通投标的；</w:t>
      </w:r>
    </w:p>
    <w:p>
      <w:pPr>
        <w:spacing w:line="360" w:lineRule="auto"/>
        <w:ind w:firstLine="420" w:firstLineChars="200"/>
        <w:rPr>
          <w:rFonts w:ascii="宋体" w:hAnsi="宋体"/>
          <w:sz w:val="24"/>
        </w:rPr>
      </w:pPr>
      <w:r>
        <w:rPr>
          <w:rFonts w:ascii="宋体" w:hAnsi="宋体" w:hint="eastAsia"/>
          <w:sz w:val="24"/>
        </w:rPr>
        <w:t>（六）恶意投诉的；</w:t>
      </w:r>
    </w:p>
    <w:p>
      <w:pPr>
        <w:spacing w:line="360" w:lineRule="auto"/>
        <w:ind w:firstLine="420" w:firstLineChars="200"/>
        <w:rPr>
          <w:rFonts w:ascii="宋体" w:hAnsi="宋体"/>
          <w:sz w:val="24"/>
        </w:rPr>
      </w:pPr>
      <w:r>
        <w:rPr>
          <w:rFonts w:ascii="宋体" w:hAnsi="宋体" w:hint="eastAsia"/>
          <w:sz w:val="24"/>
        </w:rPr>
        <w:t>（七）向采购项目相关人行贿或者提供其他不当利益的；</w:t>
      </w:r>
    </w:p>
    <w:p>
      <w:pPr>
        <w:spacing w:line="360" w:lineRule="auto"/>
        <w:ind w:firstLine="420" w:firstLineChars="200"/>
        <w:rPr>
          <w:rFonts w:ascii="宋体" w:hAnsi="宋体"/>
          <w:sz w:val="24"/>
        </w:rPr>
      </w:pPr>
      <w:r>
        <w:rPr>
          <w:rFonts w:ascii="宋体" w:hAnsi="宋体" w:hint="eastAsia"/>
          <w:sz w:val="24"/>
        </w:rPr>
        <w:t>（八）阻碍、抗拒主管部门监督检查的；</w:t>
      </w:r>
    </w:p>
    <w:p>
      <w:pPr>
        <w:spacing w:line="360" w:lineRule="auto"/>
        <w:ind w:firstLine="420" w:firstLineChars="200"/>
        <w:rPr>
          <w:rFonts w:ascii="宋体" w:hAnsi="宋体"/>
          <w:sz w:val="24"/>
        </w:rPr>
      </w:pPr>
      <w:r>
        <w:rPr>
          <w:rFonts w:ascii="宋体" w:hAnsi="宋体" w:hint="eastAsia"/>
          <w:sz w:val="24"/>
        </w:rPr>
        <w:t>（九）其他违反本条例规定的行为。</w:t>
      </w:r>
    </w:p>
    <w:p>
      <w:pPr>
        <w:spacing w:line="360" w:lineRule="auto"/>
        <w:ind w:firstLine="420" w:firstLineChars="200"/>
        <w:rPr>
          <w:rFonts w:ascii="宋体" w:hAnsi="宋体"/>
          <w:sz w:val="24"/>
        </w:rPr>
      </w:pPr>
      <w:r>
        <w:rPr>
          <w:rFonts w:ascii="宋体" w:hAnsi="宋体" w:hint="eastAsia"/>
          <w:b/>
          <w:bCs/>
          <w:sz w:val="24"/>
        </w:rPr>
        <w:t>二、《深圳经济特区政府采购条例实施细则》第七十九条 </w:t>
      </w:r>
      <w:r>
        <w:rPr>
          <w:rFonts w:ascii="宋体" w:hAnsi="宋体" w:hint="eastAsia"/>
          <w:sz w:val="24"/>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应答)文件由同一单位或者同一人编制，或者由同一人分阶段参与编制的；（四）不同投标供应商的投标(应答)文件或部分投标(应答)文件相互混装；（五）不同投标供应商的投标(应答)文件内容存在非正常一致；（六）由同一单位工作人员为两家以上（含两家）供应商进行同一项投标活动的；（七）主管部门依照法律、法规认定的其他情形。</w:t>
      </w:r>
    </w:p>
    <w:p>
      <w:pPr>
        <w:spacing w:line="360" w:lineRule="auto"/>
        <w:ind w:firstLine="420" w:firstLineChars="200"/>
        <w:rPr>
          <w:rFonts w:ascii="宋体" w:hAnsi="宋体"/>
          <w:sz w:val="24"/>
        </w:rPr>
      </w:pPr>
      <w:r>
        <w:rPr>
          <w:rFonts w:ascii="宋体" w:hAnsi="宋体" w:hint="eastAsia"/>
          <w:b/>
          <w:bCs/>
          <w:sz w:val="24"/>
        </w:rPr>
        <w:t>三、《深圳经济特区政府采购条例实施细则》第八十一条 </w:t>
      </w:r>
      <w:r>
        <w:rPr>
          <w:rFonts w:ascii="宋体" w:hAnsi="宋体" w:hint="eastAsia"/>
          <w:sz w:val="24"/>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应答)文件上加盖印章或者签字的；（三）项目负责人或者主要技术人员不是本单位人员的；（四）投标保证金不是从投标供应商基本账户转出的；（五）其他隐瞒真实情况、提供虚假资料的行为。</w:t>
      </w:r>
    </w:p>
    <w:p>
      <w:pPr>
        <w:spacing w:line="360" w:lineRule="auto"/>
        <w:ind w:firstLine="420" w:firstLineChars="200"/>
        <w:rPr>
          <w:rFonts w:ascii="宋体" w:hAnsi="宋体"/>
          <w:sz w:val="24"/>
        </w:rPr>
      </w:pPr>
      <w:r>
        <w:rPr>
          <w:rFonts w:ascii="宋体" w:hAnsi="宋体" w:hint="eastAsia"/>
          <w:sz w:val="24"/>
        </w:rPr>
        <w:t>投标供应商不能提供项目负责人或者主要技术人员的劳动合同、社会保险等劳动关系证明材料的，视为存在前款第（三）项规定的情形。</w:t>
      </w:r>
    </w:p>
    <w:p>
      <w:pPr>
        <w:spacing w:line="360" w:lineRule="auto"/>
        <w:ind w:firstLine="420" w:firstLineChars="200"/>
        <w:rPr>
          <w:rFonts w:ascii="宋体" w:hAnsi="宋体" w:cs="宋体"/>
          <w:sz w:val="24"/>
          <w:szCs w:val="24"/>
          <w:highlight w:val="none"/>
        </w:rPr>
      </w:pPr>
      <w:r>
        <w:rPr>
          <w:rFonts w:ascii="宋体" w:hAnsi="宋体" w:cs="宋体" w:hint="eastAsia"/>
          <w:sz w:val="24"/>
          <w:szCs w:val="24"/>
          <w:highlight w:val="none"/>
        </w:rPr>
        <w:t>四、请响应供应商阅读</w:t>
      </w:r>
      <w:r>
        <w:rPr>
          <w:rFonts w:ascii="宋体" w:hAnsi="宋体" w:cs="宋体" w:hint="eastAsia"/>
          <w:b/>
          <w:sz w:val="24"/>
          <w:szCs w:val="24"/>
          <w:highlight w:val="none"/>
        </w:rPr>
        <w:t>《政府采购违法行为风险知悉确认书》</w:t>
      </w:r>
      <w:r>
        <w:rPr>
          <w:rFonts w:ascii="宋体" w:hAnsi="宋体" w:cs="宋体" w:hint="eastAsia"/>
          <w:sz w:val="24"/>
          <w:szCs w:val="24"/>
          <w:highlight w:val="none"/>
        </w:rPr>
        <w:t>（内容详见“第六章谈判应答文件格式”，并经各响应供应商负责人或投标授权代表签字并加盖响应供应商公章后，扫描上传至应答文件一并提交。</w:t>
      </w:r>
    </w:p>
    <w:p>
      <w:pPr>
        <w:spacing w:line="360" w:lineRule="auto"/>
        <w:ind w:firstLine="420" w:firstLineChars="200"/>
        <w:rPr>
          <w:rFonts w:ascii="宋体" w:hAnsi="宋体" w:cs="宋体"/>
          <w:sz w:val="24"/>
          <w:szCs w:val="24"/>
          <w:highlight w:val="none"/>
        </w:rPr>
      </w:pPr>
      <w:r>
        <w:rPr>
          <w:rFonts w:ascii="宋体" w:hAnsi="宋体" w:cs="宋体" w:hint="eastAsia"/>
          <w:sz w:val="24"/>
          <w:szCs w:val="24"/>
          <w:highlight w:val="none"/>
        </w:rPr>
        <w:t>注：该风险知悉确认书用于对供应商违法行为的警示，不作为供应商资格、符合性审查条件。</w:t>
      </w:r>
    </w:p>
    <w:p>
      <w:pPr>
        <w:spacing w:line="360" w:lineRule="auto"/>
        <w:ind w:firstLine="420" w:firstLineChars="200"/>
        <w:rPr>
          <w:rFonts w:ascii="宋体" w:hAnsi="宋体"/>
          <w:sz w:val="24"/>
          <w:highlight w:val="none"/>
        </w:rPr>
      </w:pPr>
      <w:r>
        <w:rPr>
          <w:rFonts w:ascii="宋体" w:hAnsi="宋体" w:hint="eastAsia"/>
          <w:sz w:val="24"/>
          <w:highlight w:val="none"/>
        </w:rPr>
        <w:t>五、不同投标供应商使用同一网络或同一设备编制、提交谈判(应答)文件，将可能涉嫌串通投标违法行为而被立案调查，请依法依规参与政府采购活动。</w:t>
      </w:r>
    </w:p>
    <w:p>
      <w:pPr>
        <w:widowControl/>
        <w:spacing w:line="360" w:lineRule="auto"/>
        <w:ind w:firstLine="420" w:firstLineChars="200"/>
        <w:jc w:val="left"/>
        <w:rPr>
          <w:rFonts w:ascii="宋体" w:hAnsi="宋体"/>
          <w:b/>
        </w:rPr>
      </w:pPr>
    </w:p>
    <w:p>
      <w:pPr>
        <w:widowControl/>
        <w:jc w:val="left"/>
        <w:rPr>
          <w:rFonts w:ascii="宋体" w:hAnsi="宋体"/>
          <w:b/>
          <w:bCs/>
          <w:sz w:val="44"/>
        </w:rPr>
      </w:pPr>
      <w:r>
        <w:rPr>
          <w:rFonts w:ascii="宋体" w:hAnsi="宋体" w:cs="黑体"/>
          <w:b/>
          <w:sz w:val="44"/>
          <w:szCs w:val="44"/>
          <w:lang w:eastAsia="zh-TW"/>
        </w:rPr>
        <w:br w:type="page"/>
      </w:r>
    </w:p>
    <w:p>
      <w:pPr>
        <w:autoSpaceDE w:val="0"/>
        <w:autoSpaceDN w:val="0"/>
        <w:adjustRightInd w:val="0"/>
        <w:snapToGrid w:val="0"/>
        <w:spacing w:line="360" w:lineRule="auto"/>
        <w:ind w:right="422" w:rightChars="201"/>
        <w:jc w:val="center"/>
        <w:rPr>
          <w:b/>
          <w:bCs/>
          <w:color w:val="auto"/>
        </w:rPr>
      </w:pPr>
      <w:r>
        <w:rPr>
          <w:rFonts w:ascii="宋体" w:hAnsi="宋体" w:hint="eastAsia"/>
          <w:b/>
          <w:bCs/>
          <w:sz w:val="44"/>
        </w:rPr>
        <w:t>目</w:t>
      </w:r>
      <w:r>
        <w:rPr>
          <w:rFonts w:ascii="宋体" w:hAnsi="宋体"/>
          <w:b/>
          <w:bCs/>
          <w:sz w:val="44"/>
        </w:rPr>
        <w:t xml:space="preserve">   </w:t>
      </w:r>
      <w:r>
        <w:rPr>
          <w:rFonts w:ascii="宋体" w:hAnsi="宋体" w:hint="eastAsia"/>
          <w:b/>
          <w:bCs/>
          <w:sz w:val="44"/>
        </w:rPr>
        <w:t>录</w:t>
      </w:r>
      <w:bookmarkEnd w:id="2"/>
      <w:bookmarkEnd w:id="3"/>
      <w:bookmarkEnd w:id="4"/>
      <w:bookmarkEnd w:id="5"/>
      <w:bookmarkEnd w:id="6"/>
      <w:bookmarkStart w:id="7" w:name="_Toc435614385"/>
      <w:r>
        <w:rPr>
          <w:b/>
          <w:bCs/>
          <w:color w:val="auto"/>
        </w:rPr>
        <w:fldChar w:fldCharType="begin"/>
      </w:r>
      <w:r>
        <w:rPr>
          <w:b/>
          <w:bCs/>
          <w:color w:val="auto"/>
        </w:rPr>
        <w:instrText xml:space="preserve"> TOC \o "1-1" \h \z \u </w:instrText>
      </w:r>
      <w:r>
        <w:rPr>
          <w:b/>
          <w:bCs/>
          <w:color w:val="auto"/>
        </w:rPr>
        <w:fldChar w:fldCharType="separate"/>
      </w:r>
    </w:p>
    <w:p>
      <w:pPr>
        <w:pStyle w:val="TOC1"/>
        <w:tabs>
          <w:tab w:val="right" w:leader="dot" w:pos="9736"/>
        </w:tabs>
        <w:rPr>
          <w:rFonts w:asciiTheme="minorHAnsi" w:hAnsiTheme="minorHAnsi"/>
          <w:noProof/>
          <w:sz w:val="22"/>
        </w:rPr>
      </w:pPr>
      <w:r>
        <w:fldChar w:fldCharType="begin"/>
      </w:r>
      <w:r>
        <w:rPr>
          <w:rStyle w:val="Hyperlink"/>
        </w:rPr>
        <w:instrText xml:space="preserve"> HYPERLINK \l "_Toc256000000" </w:instrText>
      </w:r>
      <w:r>
        <w:fldChar w:fldCharType="separate"/>
      </w:r>
      <w:r>
        <w:rPr>
          <w:rStyle w:val="Hyperlink"/>
          <w:rFonts w:hint="eastAsia"/>
          <w:kern w:val="0"/>
        </w:rPr>
        <w:t>第一</w:t>
      </w:r>
      <w:r>
        <w:rPr>
          <w:rStyle w:val="Hyperlink"/>
          <w:kern w:val="0"/>
        </w:rPr>
        <w:t xml:space="preserve">章  </w:t>
      </w:r>
      <w:r>
        <w:rPr>
          <w:rStyle w:val="Hyperlink"/>
          <w:rFonts w:hint="eastAsia"/>
          <w:kern w:val="0"/>
        </w:rPr>
        <w:t>单一来源谈判</w:t>
      </w:r>
      <w:r>
        <w:rPr>
          <w:rStyle w:val="Hyperlink"/>
          <w:kern w:val="0"/>
        </w:rPr>
        <w:t>邀请</w:t>
      </w:r>
      <w:r>
        <w:rPr>
          <w:rStyle w:val="Hyperlink"/>
        </w:rPr>
        <w:tab/>
      </w:r>
      <w:r>
        <w:fldChar w:fldCharType="begin"/>
      </w:r>
      <w:r>
        <w:rPr>
          <w:rStyle w:val="Hyperlink"/>
        </w:rPr>
        <w:instrText xml:space="preserve"> PAGEREF _Toc256000000 \h </w:instrText>
      </w:r>
      <w:r>
        <w:fldChar w:fldCharType="separate"/>
      </w:r>
      <w:r>
        <w:rPr>
          <w:rStyle w:val="Hyperlink"/>
        </w:rPr>
        <w:t>5</w:t>
      </w:r>
      <w:r>
        <w:fldChar w:fldCharType="end"/>
      </w:r>
      <w:r>
        <w:fldChar w:fldCharType="end"/>
      </w:r>
    </w:p>
    <w:p>
      <w:pPr>
        <w:pStyle w:val="TOC1"/>
        <w:tabs>
          <w:tab w:val="right" w:leader="dot" w:pos="9736"/>
        </w:tabs>
        <w:rPr>
          <w:rFonts w:asciiTheme="minorHAnsi" w:hAnsiTheme="minorHAnsi"/>
          <w:noProof/>
          <w:sz w:val="22"/>
        </w:rPr>
      </w:pPr>
      <w:r>
        <w:fldChar w:fldCharType="begin"/>
      </w:r>
      <w:r>
        <w:rPr>
          <w:rStyle w:val="Hyperlink"/>
        </w:rPr>
        <w:instrText xml:space="preserve"> HYPERLINK \l "_Toc256000001" </w:instrText>
      </w:r>
      <w:r>
        <w:fldChar w:fldCharType="separate"/>
      </w:r>
      <w:r>
        <w:rPr>
          <w:rStyle w:val="Hyperlink"/>
          <w:rFonts w:hint="eastAsia"/>
          <w:kern w:val="0"/>
        </w:rPr>
        <w:t>第二章  谈判须知</w:t>
      </w:r>
      <w:r>
        <w:rPr>
          <w:rStyle w:val="Hyperlink"/>
        </w:rPr>
        <w:tab/>
      </w:r>
      <w:r>
        <w:fldChar w:fldCharType="begin"/>
      </w:r>
      <w:r>
        <w:rPr>
          <w:rStyle w:val="Hyperlink"/>
        </w:rPr>
        <w:instrText xml:space="preserve"> PAGEREF _Toc256000001 \h </w:instrText>
      </w:r>
      <w:r>
        <w:fldChar w:fldCharType="separate"/>
      </w:r>
      <w:r>
        <w:rPr>
          <w:rStyle w:val="Hyperlink"/>
        </w:rPr>
        <w:t>10</w:t>
      </w:r>
      <w:r>
        <w:fldChar w:fldCharType="end"/>
      </w:r>
      <w:r>
        <w:fldChar w:fldCharType="end"/>
      </w:r>
    </w:p>
    <w:p>
      <w:pPr>
        <w:pStyle w:val="TOC1"/>
        <w:tabs>
          <w:tab w:val="right" w:leader="dot" w:pos="9736"/>
        </w:tabs>
        <w:rPr>
          <w:rFonts w:asciiTheme="minorHAnsi" w:hAnsiTheme="minorHAnsi"/>
          <w:noProof/>
          <w:sz w:val="22"/>
        </w:rPr>
      </w:pPr>
      <w:r>
        <w:fldChar w:fldCharType="begin"/>
      </w:r>
      <w:r>
        <w:rPr>
          <w:rStyle w:val="Hyperlink"/>
        </w:rPr>
        <w:instrText xml:space="preserve"> HYPERLINK \l "_Toc256000002" </w:instrText>
      </w:r>
      <w:r>
        <w:fldChar w:fldCharType="separate"/>
      </w:r>
      <w:r>
        <w:rPr>
          <w:rStyle w:val="Hyperlink"/>
          <w:rFonts w:hint="eastAsia"/>
          <w:kern w:val="0"/>
        </w:rPr>
        <w:t>第三章  评审标准</w:t>
      </w:r>
      <w:r>
        <w:rPr>
          <w:rStyle w:val="Hyperlink"/>
        </w:rPr>
        <w:tab/>
      </w:r>
      <w:r>
        <w:fldChar w:fldCharType="begin"/>
      </w:r>
      <w:r>
        <w:rPr>
          <w:rStyle w:val="Hyperlink"/>
        </w:rPr>
        <w:instrText xml:space="preserve"> PAGEREF _Toc256000002 \h </w:instrText>
      </w:r>
      <w:r>
        <w:fldChar w:fldCharType="separate"/>
      </w:r>
      <w:r>
        <w:rPr>
          <w:rStyle w:val="Hyperlink"/>
        </w:rPr>
        <w:t>23</w:t>
      </w:r>
      <w:r>
        <w:fldChar w:fldCharType="end"/>
      </w:r>
      <w:r>
        <w:fldChar w:fldCharType="end"/>
      </w:r>
    </w:p>
    <w:p>
      <w:pPr>
        <w:pStyle w:val="TOC1"/>
        <w:tabs>
          <w:tab w:val="right" w:leader="dot" w:pos="9736"/>
        </w:tabs>
        <w:rPr>
          <w:rFonts w:asciiTheme="minorHAnsi" w:hAnsiTheme="minorHAnsi"/>
          <w:noProof/>
          <w:sz w:val="22"/>
        </w:rPr>
      </w:pPr>
      <w:r>
        <w:fldChar w:fldCharType="begin"/>
      </w:r>
      <w:r>
        <w:rPr>
          <w:rStyle w:val="Hyperlink"/>
        </w:rPr>
        <w:instrText xml:space="preserve"> HYPERLINK \l "_Toc256000003" </w:instrText>
      </w:r>
      <w:r>
        <w:fldChar w:fldCharType="separate"/>
      </w:r>
      <w:r>
        <w:rPr>
          <w:rStyle w:val="Hyperlink"/>
          <w:rFonts w:hint="eastAsia"/>
          <w:b/>
          <w:bCs/>
        </w:rPr>
        <w:t>第四章  用户需求书</w:t>
      </w:r>
      <w:r>
        <w:rPr>
          <w:rStyle w:val="Hyperlink"/>
        </w:rPr>
        <w:tab/>
      </w:r>
      <w:r>
        <w:fldChar w:fldCharType="begin"/>
      </w:r>
      <w:r>
        <w:rPr>
          <w:rStyle w:val="Hyperlink"/>
        </w:rPr>
        <w:instrText xml:space="preserve"> PAGEREF _Toc256000003 \h </w:instrText>
      </w:r>
      <w:r>
        <w:fldChar w:fldCharType="separate"/>
      </w:r>
      <w:r>
        <w:rPr>
          <w:rStyle w:val="Hyperlink"/>
        </w:rPr>
        <w:t>25</w:t>
      </w:r>
      <w:r>
        <w:fldChar w:fldCharType="end"/>
      </w:r>
      <w:r>
        <w:fldChar w:fldCharType="end"/>
      </w:r>
    </w:p>
    <w:p>
      <w:pPr>
        <w:pStyle w:val="TOC1"/>
        <w:tabs>
          <w:tab w:val="right" w:leader="dot" w:pos="9736"/>
        </w:tabs>
        <w:rPr>
          <w:rFonts w:asciiTheme="minorHAnsi" w:hAnsiTheme="minorHAnsi"/>
          <w:noProof/>
          <w:sz w:val="22"/>
        </w:rPr>
      </w:pPr>
      <w:r>
        <w:fldChar w:fldCharType="begin"/>
      </w:r>
      <w:r>
        <w:rPr>
          <w:rStyle w:val="Hyperlink"/>
        </w:rPr>
        <w:instrText xml:space="preserve"> HYPERLINK \l "_Toc256000004" </w:instrText>
      </w:r>
      <w:r>
        <w:fldChar w:fldCharType="separate"/>
      </w:r>
      <w:r>
        <w:rPr>
          <w:rStyle w:val="Hyperlink"/>
          <w:rFonts w:hint="eastAsia"/>
          <w:b/>
          <w:bCs/>
        </w:rPr>
        <w:t>第五章</w:t>
      </w:r>
      <w:r>
        <w:rPr>
          <w:rStyle w:val="Hyperlink"/>
          <w:rFonts w:hint="eastAsia"/>
          <w:b/>
          <w:bCs/>
        </w:rPr>
        <w:t xml:space="preserve">  </w:t>
      </w:r>
      <w:r>
        <w:rPr>
          <w:rStyle w:val="Hyperlink"/>
          <w:rFonts w:hint="eastAsia"/>
          <w:b/>
          <w:bCs/>
        </w:rPr>
        <w:t>合同文本（仅供参考）</w:t>
      </w:r>
      <w:r>
        <w:rPr>
          <w:rStyle w:val="Hyperlink"/>
        </w:rPr>
        <w:tab/>
      </w:r>
      <w:r>
        <w:fldChar w:fldCharType="begin"/>
      </w:r>
      <w:r>
        <w:rPr>
          <w:rStyle w:val="Hyperlink"/>
        </w:rPr>
        <w:instrText xml:space="preserve"> PAGEREF _Toc256000004 \h </w:instrText>
      </w:r>
      <w:r>
        <w:fldChar w:fldCharType="separate"/>
      </w:r>
      <w:r>
        <w:rPr>
          <w:rStyle w:val="Hyperlink"/>
        </w:rPr>
        <w:t>29</w:t>
      </w:r>
      <w:r>
        <w:fldChar w:fldCharType="end"/>
      </w:r>
      <w:r>
        <w:fldChar w:fldCharType="end"/>
      </w:r>
    </w:p>
    <w:p>
      <w:pPr>
        <w:pStyle w:val="TOC1"/>
        <w:tabs>
          <w:tab w:val="right" w:leader="dot" w:pos="9736"/>
        </w:tabs>
        <w:rPr>
          <w:rFonts w:asciiTheme="minorHAnsi" w:hAnsiTheme="minorHAnsi"/>
          <w:noProof/>
          <w:sz w:val="22"/>
        </w:rPr>
      </w:pPr>
      <w:r>
        <w:fldChar w:fldCharType="begin"/>
      </w:r>
      <w:r>
        <w:rPr>
          <w:rStyle w:val="Hyperlink"/>
        </w:rPr>
        <w:instrText xml:space="preserve"> HYPERLINK \l "_Toc256000005" </w:instrText>
      </w:r>
      <w:r>
        <w:fldChar w:fldCharType="separate"/>
      </w:r>
      <w:r>
        <w:rPr>
          <w:rStyle w:val="Hyperlink"/>
          <w:rFonts w:hint="eastAsia"/>
        </w:rPr>
        <w:t>第6章</w:t>
      </w:r>
      <w:r>
        <w:rPr>
          <w:rStyle w:val="Hyperlink"/>
        </w:rPr>
        <w:t xml:space="preserve"> </w:t>
      </w:r>
      <w:r>
        <w:rPr>
          <w:rStyle w:val="Hyperlink"/>
          <w:rFonts w:hint="eastAsia"/>
          <w:kern w:val="0"/>
        </w:rPr>
        <w:t>谈判应答文件格式</w:t>
      </w:r>
      <w:r>
        <w:rPr>
          <w:rStyle w:val="Hyperlink"/>
        </w:rPr>
        <w:tab/>
      </w:r>
      <w:r>
        <w:fldChar w:fldCharType="begin"/>
      </w:r>
      <w:r>
        <w:rPr>
          <w:rStyle w:val="Hyperlink"/>
        </w:rPr>
        <w:instrText xml:space="preserve"> PAGEREF _Toc256000005 \h </w:instrText>
      </w:r>
      <w:r>
        <w:fldChar w:fldCharType="separate"/>
      </w:r>
      <w:r>
        <w:rPr>
          <w:rStyle w:val="Hyperlink"/>
        </w:rPr>
        <w:t>32</w:t>
      </w:r>
      <w:r>
        <w:fldChar w:fldCharType="end"/>
      </w:r>
      <w:r>
        <w:fldChar w:fldCharType="end"/>
      </w:r>
    </w:p>
    <w:p>
      <w:pPr>
        <w:autoSpaceDE w:val="0"/>
        <w:autoSpaceDN w:val="0"/>
        <w:adjustRightInd w:val="0"/>
        <w:snapToGrid w:val="0"/>
        <w:spacing w:line="360" w:lineRule="auto"/>
        <w:ind w:right="422" w:rightChars="201"/>
        <w:jc w:val="center"/>
        <w:rPr>
          <w:b/>
          <w:bCs/>
          <w:color w:val="auto"/>
        </w:rPr>
      </w:pPr>
      <w:r>
        <w:rPr>
          <w:b/>
          <w:bCs/>
          <w:color w:val="auto"/>
        </w:rPr>
        <w:fldChar w:fldCharType="end"/>
      </w:r>
    </w:p>
    <w:p>
      <w:pPr>
        <w:pStyle w:val="Heading1"/>
        <w:adjustRightInd w:val="0"/>
        <w:snapToGrid w:val="0"/>
        <w:spacing w:before="0" w:after="0" w:line="360" w:lineRule="auto"/>
        <w:jc w:val="center"/>
        <w:rPr>
          <w:rFonts w:ascii="宋体" w:hAnsi="宋体"/>
        </w:rPr>
      </w:pPr>
      <w:r>
        <w:br w:type="page"/>
      </w:r>
      <w:bookmarkStart w:id="8" w:name="_Toc29958"/>
      <w:bookmarkStart w:id="9" w:name="_Toc256000000"/>
      <w:r>
        <w:rPr>
          <w:rFonts w:hint="eastAsia"/>
          <w:kern w:val="0"/>
          <w:sz w:val="30"/>
          <w:szCs w:val="30"/>
        </w:rPr>
        <w:t>第一</w:t>
      </w:r>
      <w:r>
        <w:rPr>
          <w:kern w:val="0"/>
          <w:sz w:val="30"/>
          <w:szCs w:val="30"/>
        </w:rPr>
        <w:t xml:space="preserve">章  </w:t>
      </w:r>
      <w:bookmarkStart w:id="10" w:name="_Hlk42088619"/>
      <w:r>
        <w:rPr>
          <w:rFonts w:hint="eastAsia"/>
          <w:kern w:val="0"/>
          <w:sz w:val="30"/>
          <w:szCs w:val="30"/>
        </w:rPr>
        <w:t>单一来源谈判</w:t>
      </w:r>
      <w:bookmarkEnd w:id="10"/>
      <w:r>
        <w:rPr>
          <w:kern w:val="0"/>
          <w:sz w:val="30"/>
          <w:szCs w:val="30"/>
        </w:rPr>
        <w:t>邀请</w:t>
      </w:r>
      <w:bookmarkEnd w:id="9"/>
      <w:bookmarkEnd w:id="7"/>
      <w:bookmarkEnd w:id="8"/>
    </w:p>
    <w:p>
      <w:pPr>
        <w:spacing w:line="360" w:lineRule="auto"/>
        <w:rPr>
          <w:rFonts w:ascii="宋体" w:hAnsi="宋体"/>
        </w:rPr>
      </w:pPr>
      <w:r>
        <w:rPr>
          <w:rFonts w:ascii="宋体" w:hAnsi="宋体" w:hint="eastAsia"/>
        </w:rPr>
        <w:t>项目概况</w:t>
      </w:r>
    </w:p>
    <w:p>
      <w:pPr>
        <w:pStyle w:val="a0"/>
        <w:ind w:firstLine="420" w:firstLineChars="200"/>
        <w:rPr>
          <w:rFonts w:ascii="宋体" w:hAnsi="宋体"/>
          <w:sz w:val="21"/>
        </w:rPr>
      </w:pPr>
      <w:r>
        <w:rPr>
          <w:rFonts w:ascii="宋体" w:hAnsi="宋体" w:hint="eastAsia"/>
          <w:color w:val="auto"/>
          <w:sz w:val="21"/>
          <w:lang w:eastAsia="zh-CN"/>
        </w:rPr>
        <w:t>污泥原位高效资源化利用系统设计、制造和安装调试</w:t>
      </w:r>
      <w:r>
        <w:rPr>
          <w:rFonts w:ascii="宋体" w:hAnsi="宋体" w:hint="eastAsia"/>
          <w:color w:val="auto"/>
          <w:sz w:val="21"/>
        </w:rPr>
        <w:t>的潜在</w:t>
      </w:r>
      <w:r>
        <w:rPr>
          <w:rFonts w:ascii="宋体" w:hAnsi="宋体" w:hint="eastAsia"/>
          <w:sz w:val="21"/>
        </w:rPr>
        <w:t>响应供应商</w:t>
      </w:r>
      <w:r>
        <w:rPr>
          <w:rFonts w:ascii="宋体" w:hAnsi="宋体" w:hint="eastAsia"/>
          <w:i w:val="0"/>
          <w:iCs w:val="0"/>
          <w:sz w:val="21"/>
        </w:rPr>
        <w:t>应在（本公告附件中）获</w:t>
      </w:r>
      <w:r>
        <w:rPr>
          <w:rFonts w:ascii="宋体" w:hAnsi="宋体" w:hint="eastAsia"/>
          <w:sz w:val="21"/>
        </w:rPr>
        <w:t>取谈判文件，并于</w:t>
      </w:r>
      <w:r>
        <w:rPr>
          <w:rFonts w:ascii="宋体" w:hAnsi="宋体" w:hint="eastAsia"/>
          <w:sz w:val="21"/>
          <w:lang w:val="en-US" w:eastAsia="zh-CN"/>
        </w:rPr>
        <w:t>2024年8月22日9：30</w:t>
      </w:r>
      <w:r>
        <w:rPr>
          <w:rFonts w:ascii="宋体" w:hAnsi="宋体" w:hint="eastAsia"/>
          <w:sz w:val="21"/>
        </w:rPr>
        <w:t>（北京时间）前网上递交应答</w:t>
      </w:r>
      <w:r>
        <w:rPr>
          <w:rFonts w:ascii="宋体" w:hAnsi="宋体"/>
          <w:sz w:val="21"/>
        </w:rPr>
        <w:t>文件</w:t>
      </w:r>
      <w:r>
        <w:rPr>
          <w:rFonts w:ascii="宋体" w:hAnsi="宋体" w:hint="eastAsia"/>
          <w:sz w:val="21"/>
        </w:rPr>
        <w:t>。</w:t>
      </w:r>
    </w:p>
    <w:p>
      <w:pPr>
        <w:pStyle w:val="Heading2"/>
        <w:spacing w:line="360" w:lineRule="auto"/>
        <w:rPr>
          <w:rFonts w:ascii="宋体" w:eastAsia="宋体" w:hAnsi="宋体"/>
          <w:b w:val="0"/>
          <w:sz w:val="21"/>
          <w:szCs w:val="21"/>
        </w:rPr>
      </w:pPr>
      <w:bookmarkStart w:id="11" w:name="_Toc35393629"/>
      <w:bookmarkStart w:id="12" w:name="_Toc28359089"/>
      <w:bookmarkStart w:id="13" w:name="_Toc35393798"/>
      <w:bookmarkStart w:id="14" w:name="_Toc28359012"/>
      <w:r>
        <w:rPr>
          <w:rFonts w:ascii="宋体" w:eastAsia="宋体" w:hAnsi="宋体" w:hint="eastAsia"/>
          <w:b w:val="0"/>
          <w:sz w:val="21"/>
          <w:szCs w:val="21"/>
        </w:rPr>
        <w:t>一、项目基本情况</w:t>
      </w:r>
      <w:bookmarkEnd w:id="11"/>
      <w:bookmarkEnd w:id="12"/>
      <w:bookmarkEnd w:id="13"/>
      <w:bookmarkEnd w:id="14"/>
    </w:p>
    <w:p>
      <w:pPr>
        <w:spacing w:line="360" w:lineRule="auto"/>
        <w:ind w:firstLine="420" w:firstLineChars="200"/>
        <w:rPr>
          <w:rFonts w:ascii="宋体" w:eastAsia="宋体" w:hAnsi="宋体" w:hint="eastAsia"/>
          <w:color w:val="auto"/>
          <w:lang w:eastAsia="zh-CN"/>
        </w:rPr>
      </w:pPr>
      <w:bookmarkStart w:id="15" w:name="_Toc35393799"/>
      <w:bookmarkStart w:id="16" w:name="_Toc28359013"/>
      <w:bookmarkStart w:id="17" w:name="_Toc35393630"/>
      <w:bookmarkStart w:id="18" w:name="_Toc28359090"/>
      <w:r>
        <w:rPr>
          <w:rFonts w:ascii="宋体" w:hAnsi="宋体" w:hint="eastAsia"/>
          <w:color w:val="auto"/>
          <w:lang w:val="en-US" w:eastAsia="zh-CN"/>
        </w:rPr>
        <w:t>（一）</w:t>
      </w:r>
      <w:r>
        <w:rPr>
          <w:rFonts w:ascii="宋体" w:hAnsi="宋体" w:hint="eastAsia"/>
          <w:color w:val="auto"/>
        </w:rPr>
        <w:t>项目编号：</w:t>
      </w:r>
      <w:r>
        <w:rPr>
          <w:rFonts w:ascii="宋体" w:hAnsi="宋体" w:hint="eastAsia"/>
          <w:color w:val="auto"/>
          <w:lang w:eastAsia="zh-CN"/>
        </w:rPr>
        <w:t>SZDL2024001286（CLF0123SZ22ZC60C）</w:t>
      </w:r>
    </w:p>
    <w:p>
      <w:pPr>
        <w:spacing w:line="360" w:lineRule="auto"/>
        <w:ind w:firstLine="420" w:firstLineChars="200"/>
        <w:rPr>
          <w:rFonts w:ascii="宋体" w:eastAsia="宋体" w:hAnsi="宋体" w:hint="eastAsia"/>
          <w:color w:val="auto"/>
          <w:lang w:eastAsia="zh-CN"/>
        </w:rPr>
      </w:pPr>
      <w:r>
        <w:rPr>
          <w:rFonts w:ascii="宋体" w:hAnsi="宋体" w:hint="eastAsia"/>
          <w:color w:val="auto"/>
          <w:lang w:eastAsia="zh-CN"/>
        </w:rPr>
        <w:t>（二）</w:t>
      </w:r>
      <w:r>
        <w:rPr>
          <w:rFonts w:ascii="宋体" w:hAnsi="宋体" w:hint="eastAsia"/>
          <w:color w:val="auto"/>
        </w:rPr>
        <w:t>项目名称：</w:t>
      </w:r>
      <w:r>
        <w:rPr>
          <w:rFonts w:ascii="宋体" w:hAnsi="宋体" w:hint="eastAsia"/>
          <w:color w:val="auto"/>
          <w:lang w:eastAsia="zh-CN"/>
        </w:rPr>
        <w:t>污泥原位高效资源化利用系统设计、制造和安装调试</w:t>
      </w:r>
    </w:p>
    <w:p>
      <w:pPr>
        <w:spacing w:line="360" w:lineRule="auto"/>
        <w:ind w:firstLine="420" w:firstLineChars="200"/>
        <w:rPr>
          <w:rFonts w:ascii="宋体" w:hAnsi="宋体"/>
          <w:color w:val="auto"/>
        </w:rPr>
      </w:pPr>
      <w:r>
        <w:rPr>
          <w:rFonts w:ascii="宋体" w:hAnsi="宋体" w:hint="eastAsia"/>
          <w:color w:val="auto"/>
          <w:lang w:eastAsia="zh-CN"/>
        </w:rPr>
        <w:t>（三）</w:t>
      </w:r>
      <w:r>
        <w:rPr>
          <w:rFonts w:ascii="宋体" w:hAnsi="宋体" w:hint="eastAsia"/>
          <w:color w:val="auto"/>
        </w:rPr>
        <w:t>采购方式：单一来源谈判</w:t>
      </w:r>
    </w:p>
    <w:p>
      <w:pPr>
        <w:spacing w:line="360" w:lineRule="auto"/>
        <w:ind w:firstLine="420" w:firstLineChars="200"/>
        <w:rPr>
          <w:rFonts w:ascii="宋体" w:hAnsi="宋体"/>
          <w:color w:val="auto"/>
        </w:rPr>
      </w:pPr>
      <w:r>
        <w:rPr>
          <w:rFonts w:ascii="宋体" w:hAnsi="宋体" w:hint="eastAsia"/>
          <w:color w:val="auto"/>
          <w:lang w:eastAsia="zh-CN"/>
        </w:rPr>
        <w:t>（四）</w:t>
      </w:r>
      <w:r>
        <w:rPr>
          <w:rFonts w:ascii="宋体" w:hAnsi="宋体" w:hint="eastAsia"/>
          <w:color w:val="auto"/>
        </w:rPr>
        <w:t>预算金额：人民币</w:t>
      </w:r>
      <w:r>
        <w:rPr>
          <w:rFonts w:ascii="宋体" w:hAnsi="宋体" w:hint="eastAsia"/>
          <w:color w:val="auto"/>
          <w:lang w:val="en-US" w:eastAsia="zh-CN"/>
        </w:rPr>
        <w:t>230</w:t>
      </w:r>
      <w:r>
        <w:rPr>
          <w:rFonts w:ascii="宋体" w:hAnsi="宋体" w:hint="eastAsia"/>
          <w:color w:val="auto"/>
        </w:rPr>
        <w:t>.</w:t>
      </w:r>
      <w:r>
        <w:rPr>
          <w:rFonts w:ascii="宋体" w:hAnsi="宋体"/>
          <w:color w:val="auto"/>
        </w:rPr>
        <w:t>00</w:t>
      </w:r>
      <w:r>
        <w:rPr>
          <w:rFonts w:ascii="宋体" w:hAnsi="宋体" w:hint="eastAsia"/>
          <w:color w:val="auto"/>
        </w:rPr>
        <w:t>万元</w:t>
      </w:r>
    </w:p>
    <w:p>
      <w:pPr>
        <w:spacing w:line="360" w:lineRule="auto"/>
        <w:ind w:firstLine="420" w:firstLineChars="200"/>
        <w:rPr>
          <w:rFonts w:ascii="宋体" w:hAnsi="宋体"/>
          <w:color w:val="auto"/>
        </w:rPr>
      </w:pPr>
      <w:r>
        <w:rPr>
          <w:rFonts w:ascii="宋体" w:hAnsi="宋体" w:hint="eastAsia"/>
          <w:color w:val="auto"/>
          <w:lang w:eastAsia="zh-CN"/>
        </w:rPr>
        <w:t>（五）</w:t>
      </w:r>
      <w:r>
        <w:rPr>
          <w:rFonts w:ascii="宋体" w:hAnsi="宋体" w:hint="eastAsia"/>
          <w:color w:val="auto"/>
        </w:rPr>
        <w:t>最高限价：人民币</w:t>
      </w:r>
      <w:r>
        <w:rPr>
          <w:rFonts w:ascii="宋体" w:hAnsi="宋体" w:hint="eastAsia"/>
          <w:color w:val="auto"/>
          <w:lang w:val="en-US" w:eastAsia="zh-CN"/>
        </w:rPr>
        <w:t>230</w:t>
      </w:r>
      <w:r>
        <w:rPr>
          <w:rFonts w:ascii="宋体" w:hAnsi="宋体" w:hint="eastAsia"/>
          <w:color w:val="auto"/>
        </w:rPr>
        <w:t>.</w:t>
      </w:r>
      <w:r>
        <w:rPr>
          <w:rFonts w:ascii="宋体" w:hAnsi="宋体"/>
          <w:color w:val="auto"/>
        </w:rPr>
        <w:t>00</w:t>
      </w:r>
      <w:r>
        <w:rPr>
          <w:rFonts w:ascii="宋体" w:hAnsi="宋体" w:hint="eastAsia"/>
          <w:color w:val="auto"/>
        </w:rPr>
        <w:t>万元</w:t>
      </w:r>
    </w:p>
    <w:p>
      <w:pPr>
        <w:spacing w:line="360" w:lineRule="auto"/>
        <w:ind w:firstLine="420" w:firstLineChars="200"/>
        <w:rPr>
          <w:rFonts w:ascii="宋体" w:hAnsi="宋体"/>
        </w:rPr>
      </w:pPr>
      <w:r>
        <w:rPr>
          <w:rFonts w:ascii="宋体" w:hAnsi="宋体" w:hint="eastAsia"/>
          <w:lang w:eastAsia="zh-CN"/>
        </w:rPr>
        <w:t>（六）</w:t>
      </w:r>
      <w:r>
        <w:rPr>
          <w:rFonts w:ascii="宋体" w:hAnsi="宋体" w:hint="eastAsia"/>
        </w:rPr>
        <w:t>采购需求：</w:t>
      </w:r>
      <w:r>
        <w:rPr>
          <w:rFonts w:ascii="宋体" w:hAnsi="宋体"/>
        </w:rPr>
        <w:t xml:space="preserve"> </w:t>
      </w:r>
    </w:p>
    <w:tbl>
      <w:tblPr>
        <w:tblStyle w:val="TableGrid"/>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002"/>
        <w:gridCol w:w="1456"/>
        <w:gridCol w:w="4501"/>
        <w:gridCol w:w="1999"/>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1005" w:type="pct"/>
            <w:vAlign w:val="center"/>
          </w:tcPr>
          <w:p>
            <w:pPr>
              <w:autoSpaceDE w:val="0"/>
              <w:autoSpaceDN w:val="0"/>
              <w:adjustRightInd w:val="0"/>
              <w:spacing w:line="360" w:lineRule="auto"/>
              <w:jc w:val="center"/>
              <w:rPr>
                <w:rFonts w:ascii="宋体" w:hAnsi="宋体"/>
              </w:rPr>
            </w:pPr>
            <w:r>
              <w:rPr>
                <w:rFonts w:ascii="宋体" w:hAnsi="宋体" w:hint="eastAsia"/>
              </w:rPr>
              <w:t>标的名称</w:t>
            </w:r>
          </w:p>
        </w:tc>
        <w:tc>
          <w:tcPr>
            <w:tcW w:w="731" w:type="pct"/>
            <w:vAlign w:val="center"/>
          </w:tcPr>
          <w:p>
            <w:pPr>
              <w:autoSpaceDE w:val="0"/>
              <w:autoSpaceDN w:val="0"/>
              <w:adjustRightInd w:val="0"/>
              <w:spacing w:line="360" w:lineRule="auto"/>
              <w:jc w:val="center"/>
              <w:rPr>
                <w:rFonts w:ascii="宋体" w:hAnsi="宋体"/>
              </w:rPr>
            </w:pPr>
            <w:r>
              <w:rPr>
                <w:rFonts w:ascii="宋体" w:hAnsi="宋体" w:hint="eastAsia"/>
              </w:rPr>
              <w:t>数量</w:t>
            </w:r>
          </w:p>
        </w:tc>
        <w:tc>
          <w:tcPr>
            <w:tcW w:w="2259" w:type="pct"/>
            <w:vAlign w:val="center"/>
          </w:tcPr>
          <w:p>
            <w:pPr>
              <w:autoSpaceDE w:val="0"/>
              <w:autoSpaceDN w:val="0"/>
              <w:adjustRightInd w:val="0"/>
              <w:spacing w:line="360" w:lineRule="auto"/>
              <w:jc w:val="center"/>
              <w:rPr>
                <w:rFonts w:ascii="宋体" w:hAnsi="宋体"/>
              </w:rPr>
            </w:pPr>
            <w:r>
              <w:rPr>
                <w:rFonts w:ascii="宋体" w:hAnsi="宋体" w:hint="eastAsia"/>
              </w:rPr>
              <w:t>简要技术需求（服务需求）</w:t>
            </w:r>
          </w:p>
        </w:tc>
        <w:tc>
          <w:tcPr>
            <w:tcW w:w="1003" w:type="pct"/>
            <w:vAlign w:val="center"/>
          </w:tcPr>
          <w:p>
            <w:pPr>
              <w:autoSpaceDE w:val="0"/>
              <w:autoSpaceDN w:val="0"/>
              <w:adjustRightInd w:val="0"/>
              <w:spacing w:line="360" w:lineRule="auto"/>
              <w:jc w:val="center"/>
              <w:rPr>
                <w:rFonts w:ascii="宋体" w:hAnsi="宋体"/>
              </w:rPr>
            </w:pPr>
            <w:r>
              <w:rPr>
                <w:rFonts w:ascii="宋体" w:hAnsi="宋体" w:hint="eastAsia"/>
              </w:rPr>
              <w:t>备注</w:t>
            </w:r>
          </w:p>
        </w:tc>
      </w:tr>
      <w:tr>
        <w:tblPrEx>
          <w:tblW w:w="4998" w:type="pct"/>
          <w:jc w:val="center"/>
          <w:tblCellMar>
            <w:top w:w="0" w:type="dxa"/>
            <w:left w:w="108" w:type="dxa"/>
            <w:bottom w:w="0" w:type="dxa"/>
            <w:right w:w="108" w:type="dxa"/>
          </w:tblCellMar>
        </w:tblPrEx>
        <w:trPr>
          <w:jc w:val="center"/>
        </w:trPr>
        <w:tc>
          <w:tcPr>
            <w:tcW w:w="1005" w:type="pct"/>
            <w:vAlign w:val="center"/>
          </w:tcPr>
          <w:p>
            <w:pPr>
              <w:autoSpaceDE w:val="0"/>
              <w:autoSpaceDN w:val="0"/>
              <w:adjustRightInd w:val="0"/>
              <w:spacing w:line="360" w:lineRule="auto"/>
              <w:jc w:val="center"/>
              <w:rPr>
                <w:rFonts w:ascii="宋体" w:hAnsi="宋体"/>
                <w:u w:val="single"/>
              </w:rPr>
            </w:pPr>
            <w:r>
              <w:rPr>
                <w:rFonts w:ascii="宋体" w:hAnsi="宋体" w:hint="eastAsia"/>
                <w:color w:val="auto"/>
                <w:lang w:eastAsia="zh-CN"/>
              </w:rPr>
              <w:t>污泥原位高效资源化利用系统设计、制造和安装调试</w:t>
            </w:r>
          </w:p>
        </w:tc>
        <w:tc>
          <w:tcPr>
            <w:tcW w:w="731" w:type="pct"/>
            <w:vAlign w:val="center"/>
          </w:tcPr>
          <w:p>
            <w:pPr>
              <w:autoSpaceDE w:val="0"/>
              <w:autoSpaceDN w:val="0"/>
              <w:adjustRightInd w:val="0"/>
              <w:spacing w:line="360" w:lineRule="auto"/>
              <w:jc w:val="center"/>
              <w:rPr>
                <w:rFonts w:ascii="宋体" w:eastAsia="宋体" w:hAnsi="宋体" w:hint="default"/>
                <w:u w:val="single"/>
                <w:lang w:val="en-US" w:eastAsia="zh-CN"/>
              </w:rPr>
            </w:pPr>
            <w:r>
              <w:rPr>
                <w:rFonts w:ascii="宋体" w:hAnsi="宋体" w:hint="eastAsia"/>
                <w:color w:val="auto"/>
                <w:lang w:val="en-US" w:eastAsia="zh-CN"/>
              </w:rPr>
              <w:t>1项</w:t>
            </w:r>
          </w:p>
        </w:tc>
        <w:tc>
          <w:tcPr>
            <w:tcW w:w="2259" w:type="pct"/>
            <w:vAlign w:val="center"/>
          </w:tcPr>
          <w:p>
            <w:pPr>
              <w:autoSpaceDE w:val="0"/>
              <w:autoSpaceDN w:val="0"/>
              <w:adjustRightInd w:val="0"/>
              <w:spacing w:line="360" w:lineRule="auto"/>
              <w:ind w:firstLine="0"/>
              <w:jc w:val="center"/>
              <w:rPr>
                <w:rFonts w:ascii="宋体" w:hAnsi="宋体"/>
                <w:u w:val="single"/>
              </w:rPr>
            </w:pPr>
            <w:r>
              <w:rPr>
                <w:rFonts w:ascii="宋体" w:hAnsi="宋体" w:hint="eastAsia"/>
              </w:rPr>
              <w:t>详见附件内容</w:t>
            </w:r>
          </w:p>
        </w:tc>
        <w:tc>
          <w:tcPr>
            <w:tcW w:w="1003" w:type="pct"/>
            <w:vAlign w:val="center"/>
          </w:tcPr>
          <w:p>
            <w:pPr>
              <w:autoSpaceDE w:val="0"/>
              <w:autoSpaceDN w:val="0"/>
              <w:adjustRightInd w:val="0"/>
              <w:spacing w:line="360" w:lineRule="auto"/>
              <w:jc w:val="center"/>
              <w:rPr>
                <w:rFonts w:ascii="宋体" w:hAnsi="宋体"/>
                <w:u w:val="single"/>
              </w:rPr>
            </w:pPr>
            <w:r>
              <w:rPr>
                <w:rFonts w:ascii="宋体" w:hAnsi="宋体" w:hint="eastAsia"/>
              </w:rPr>
              <w:t>/</w:t>
            </w:r>
          </w:p>
        </w:tc>
      </w:tr>
    </w:tbl>
    <w:p>
      <w:pPr>
        <w:spacing w:line="360" w:lineRule="auto"/>
        <w:rPr>
          <w:rFonts w:ascii="宋体" w:hAnsi="宋体"/>
          <w:color w:val="auto"/>
          <w:u w:val="single"/>
        </w:rPr>
      </w:pPr>
      <w:r>
        <w:rPr>
          <w:rFonts w:ascii="宋体" w:hAnsi="宋体" w:hint="eastAsia"/>
          <w:color w:val="auto"/>
        </w:rPr>
        <w:t xml:space="preserve">    </w:t>
      </w:r>
      <w:r>
        <w:rPr>
          <w:rFonts w:ascii="宋体" w:hAnsi="宋体" w:hint="eastAsia"/>
          <w:color w:val="auto"/>
          <w:lang w:eastAsia="zh-CN"/>
        </w:rPr>
        <w:t>（七）</w:t>
      </w:r>
      <w:r>
        <w:rPr>
          <w:rFonts w:ascii="宋体" w:hAnsi="宋体" w:hint="eastAsia"/>
          <w:color w:val="auto"/>
        </w:rPr>
        <w:t>合同履行期限：</w:t>
      </w:r>
      <w:r>
        <w:rPr>
          <w:rFonts w:ascii="宋体" w:hAnsi="宋体" w:hint="eastAsia"/>
          <w:color w:val="auto"/>
          <w:lang w:val="en-US" w:eastAsia="zh-CN"/>
        </w:rPr>
        <w:t>设备到货时间：合同签订后50日内，设备安装调试交付使用时间：设备到货后30天内。</w:t>
      </w:r>
    </w:p>
    <w:p>
      <w:pPr>
        <w:spacing w:line="360" w:lineRule="auto"/>
        <w:ind w:firstLine="420" w:firstLineChars="200"/>
        <w:rPr>
          <w:rFonts w:ascii="宋体" w:hAnsi="宋体"/>
          <w:color w:val="auto"/>
        </w:rPr>
      </w:pPr>
      <w:r>
        <w:rPr>
          <w:rFonts w:ascii="宋体" w:hAnsi="宋体" w:hint="eastAsia"/>
          <w:color w:val="auto"/>
          <w:lang w:eastAsia="zh-CN"/>
        </w:rPr>
        <w:t>（八）</w:t>
      </w:r>
      <w:r>
        <w:rPr>
          <w:rFonts w:ascii="宋体" w:hAnsi="宋体" w:hint="eastAsia"/>
          <w:color w:val="auto"/>
        </w:rPr>
        <w:t>本项目接受联合体投标。</w:t>
      </w:r>
    </w:p>
    <w:p>
      <w:pPr>
        <w:spacing w:line="360" w:lineRule="auto"/>
        <w:ind w:firstLine="420" w:firstLineChars="200"/>
        <w:rPr>
          <w:rFonts w:ascii="宋体" w:hAnsi="宋体"/>
          <w:color w:val="auto"/>
        </w:rPr>
      </w:pPr>
      <w:r>
        <w:rPr>
          <w:rFonts w:ascii="宋体" w:hAnsi="宋体" w:hint="eastAsia"/>
          <w:color w:val="auto"/>
          <w:lang w:eastAsia="zh-CN"/>
        </w:rPr>
        <w:t>（九）</w:t>
      </w:r>
      <w:r>
        <w:rPr>
          <w:rFonts w:ascii="宋体" w:hAnsi="宋体"/>
          <w:color w:val="auto"/>
        </w:rPr>
        <w:t>不接受响应供应商选用进口产品</w:t>
      </w:r>
      <w:r>
        <w:rPr>
          <w:rFonts w:ascii="宋体" w:hAnsi="宋体" w:hint="eastAsia"/>
          <w:color w:val="auto"/>
          <w:lang w:val="en-US" w:eastAsia="zh-CN"/>
        </w:rPr>
        <w:t>/服务</w:t>
      </w:r>
      <w:r>
        <w:rPr>
          <w:rFonts w:ascii="宋体" w:hAnsi="宋体"/>
          <w:color w:val="auto"/>
        </w:rPr>
        <w:t>参与投标。</w:t>
      </w:r>
    </w:p>
    <w:p>
      <w:pPr>
        <w:spacing w:line="360" w:lineRule="auto"/>
        <w:ind w:firstLine="420" w:firstLineChars="200"/>
        <w:rPr>
          <w:rFonts w:ascii="宋体" w:hAnsi="宋体"/>
          <w:color w:val="auto"/>
        </w:rPr>
      </w:pPr>
      <w:r>
        <w:rPr>
          <w:rFonts w:ascii="宋体" w:hAnsi="宋体" w:hint="eastAsia"/>
          <w:color w:val="auto"/>
          <w:lang w:eastAsia="zh-CN"/>
        </w:rPr>
        <w:t>（十）</w:t>
      </w:r>
      <w:r>
        <w:rPr>
          <w:rFonts w:ascii="宋体" w:hAnsi="宋体" w:hint="eastAsia"/>
          <w:color w:val="auto"/>
        </w:rPr>
        <w:t>其他：政府采购监督管理部门为深圳市财政局。</w:t>
      </w:r>
    </w:p>
    <w:p>
      <w:pPr>
        <w:spacing w:line="360" w:lineRule="auto"/>
        <w:ind w:firstLine="420" w:firstLineChars="200"/>
        <w:rPr>
          <w:rFonts w:ascii="宋体" w:hAnsi="宋体"/>
          <w:color w:val="auto"/>
        </w:rPr>
      </w:pPr>
      <w:r>
        <w:rPr>
          <w:rFonts w:ascii="宋体" w:hAnsi="宋体" w:hint="eastAsia"/>
          <w:color w:val="auto"/>
          <w:lang w:eastAsia="zh-CN"/>
        </w:rPr>
        <w:t>（十一）</w:t>
      </w:r>
      <w:r>
        <w:rPr>
          <w:rFonts w:ascii="宋体" w:hAnsi="宋体" w:hint="eastAsia"/>
          <w:color w:val="auto"/>
        </w:rPr>
        <w:t>本项目只接受收到邀请的供应商参与报价。</w:t>
      </w:r>
    </w:p>
    <w:p>
      <w:pPr>
        <w:pStyle w:val="Heading2"/>
        <w:spacing w:line="360" w:lineRule="auto"/>
        <w:rPr>
          <w:rFonts w:ascii="宋体" w:eastAsia="宋体" w:hAnsi="宋体"/>
          <w:b w:val="0"/>
          <w:color w:val="auto"/>
          <w:sz w:val="21"/>
          <w:szCs w:val="21"/>
        </w:rPr>
      </w:pPr>
      <w:r>
        <w:rPr>
          <w:rFonts w:ascii="宋体" w:eastAsia="宋体" w:hAnsi="宋体" w:hint="eastAsia"/>
          <w:b w:val="0"/>
          <w:color w:val="auto"/>
          <w:sz w:val="21"/>
          <w:szCs w:val="21"/>
        </w:rPr>
        <w:t>二、申请人的资格要求</w:t>
      </w:r>
      <w:bookmarkEnd w:id="15"/>
      <w:bookmarkEnd w:id="16"/>
      <w:bookmarkEnd w:id="17"/>
      <w:bookmarkEnd w:id="18"/>
    </w:p>
    <w:p>
      <w:pPr>
        <w:spacing w:line="360" w:lineRule="auto"/>
        <w:ind w:firstLine="420" w:firstLineChars="200"/>
        <w:rPr>
          <w:rFonts w:ascii="宋体" w:hAnsi="宋体"/>
          <w:color w:val="auto"/>
        </w:rPr>
      </w:pPr>
      <w:bookmarkStart w:id="19" w:name="_Toc28359091"/>
      <w:bookmarkStart w:id="20" w:name="_Toc28359014"/>
      <w:r>
        <w:rPr>
          <w:rFonts w:ascii="宋体" w:hAnsi="宋体" w:hint="eastAsia"/>
          <w:color w:val="auto"/>
          <w:lang w:val="en-US" w:eastAsia="zh-CN"/>
        </w:rPr>
        <w:t>（一）</w:t>
      </w:r>
      <w:r>
        <w:rPr>
          <w:rFonts w:ascii="宋体" w:hAnsi="宋体" w:hint="eastAsia"/>
          <w:color w:val="auto"/>
        </w:rPr>
        <w:t>满足《中华人民共和国政府采购法》第二十二条规定（要求响应供应商提供营业执照或事业单位法人证等法人证明扫描件以及《</w:t>
      </w:r>
      <w:r>
        <w:rPr>
          <w:rFonts w:ascii="宋体" w:hAnsi="宋体"/>
          <w:color w:val="auto"/>
        </w:rPr>
        <w:t>响应供应商资格声明函</w:t>
      </w:r>
      <w:r>
        <w:rPr>
          <w:rFonts w:ascii="宋体" w:hAnsi="宋体" w:hint="eastAsia"/>
          <w:color w:val="auto"/>
        </w:rPr>
        <w:t>》）。</w:t>
      </w:r>
    </w:p>
    <w:p>
      <w:pPr>
        <w:spacing w:line="360" w:lineRule="auto"/>
        <w:ind w:firstLine="420" w:firstLineChars="200"/>
        <w:rPr>
          <w:rFonts w:ascii="宋体" w:hAnsi="宋体"/>
          <w:color w:val="auto"/>
        </w:rPr>
      </w:pPr>
      <w:r>
        <w:rPr>
          <w:rFonts w:ascii="宋体" w:hAnsi="宋体" w:hint="eastAsia"/>
          <w:color w:val="auto"/>
          <w:lang w:eastAsia="zh-CN"/>
        </w:rPr>
        <w:t>（二）</w:t>
      </w:r>
      <w:r>
        <w:rPr>
          <w:rFonts w:ascii="宋体" w:hAnsi="宋体" w:hint="eastAsia"/>
          <w:color w:val="auto"/>
        </w:rPr>
        <w:t>落实政府采购政策需满足的资格要求：</w:t>
      </w:r>
      <w:bookmarkStart w:id="21" w:name="_Hlk41992222"/>
      <w:r>
        <w:rPr>
          <w:rFonts w:ascii="宋体" w:hAnsi="宋体" w:hint="eastAsia"/>
          <w:color w:val="auto"/>
        </w:rPr>
        <w:t>无</w:t>
      </w:r>
      <w:bookmarkEnd w:id="21"/>
      <w:r>
        <w:rPr>
          <w:rStyle w:val="CommentReference"/>
          <w:rFonts w:ascii="宋体" w:hAnsi="宋体" w:cstheme="minorBidi" w:hint="eastAsia"/>
          <w:color w:val="auto"/>
        </w:rPr>
        <w:t>。</w:t>
      </w:r>
    </w:p>
    <w:p>
      <w:pPr>
        <w:spacing w:line="360" w:lineRule="auto"/>
        <w:ind w:firstLine="420" w:firstLineChars="200"/>
        <w:rPr>
          <w:rFonts w:ascii="宋体" w:eastAsia="宋体" w:hAnsi="宋体" w:cs="Times New Roman" w:hint="eastAsia"/>
          <w:color w:val="auto"/>
          <w:lang w:val="en-US" w:eastAsia="zh-CN"/>
        </w:rPr>
      </w:pPr>
      <w:r>
        <w:rPr>
          <w:rFonts w:ascii="宋体" w:hAnsi="宋体" w:hint="eastAsia"/>
          <w:color w:val="auto"/>
          <w:lang w:eastAsia="zh-CN"/>
        </w:rPr>
        <w:t>（</w:t>
      </w:r>
      <w:r>
        <w:rPr>
          <w:rFonts w:ascii="宋体" w:eastAsia="宋体" w:hAnsi="宋体" w:cs="Times New Roman" w:hint="eastAsia"/>
          <w:color w:val="auto"/>
          <w:lang w:eastAsia="zh-CN"/>
        </w:rPr>
        <w:t>三）</w:t>
      </w:r>
      <w:r>
        <w:rPr>
          <w:rFonts w:ascii="宋体" w:eastAsia="宋体" w:hAnsi="宋体" w:cs="Times New Roman" w:hint="eastAsia"/>
          <w:color w:val="auto"/>
        </w:rPr>
        <w:t>本项目的特定资格要求：</w:t>
      </w:r>
      <w:bookmarkStart w:id="22" w:name="_Hlk41992228"/>
      <w:r>
        <w:rPr>
          <w:rFonts w:ascii="宋体" w:eastAsia="宋体" w:hAnsi="宋体" w:cs="Times New Roman" w:hint="eastAsia"/>
          <w:color w:val="auto"/>
          <w:lang w:val="en-US" w:eastAsia="zh-CN"/>
        </w:rPr>
        <w:t>供应商同时具备下列证书（如为联合体投标，联合体任一方或各方须满足以下所有要求）</w:t>
      </w:r>
    </w:p>
    <w:p>
      <w:pPr>
        <w:spacing w:line="360" w:lineRule="auto"/>
        <w:ind w:firstLine="420" w:firstLineChars="200"/>
        <w:rPr>
          <w:rFonts w:ascii="宋体" w:eastAsia="宋体" w:hAnsi="宋体" w:cs="Times New Roman" w:hint="eastAsia"/>
          <w:color w:val="auto"/>
          <w:lang w:val="en-US" w:eastAsia="zh-CN"/>
        </w:rPr>
      </w:pPr>
      <w:r>
        <w:rPr>
          <w:rFonts w:ascii="宋体" w:eastAsia="宋体" w:hAnsi="宋体" w:cs="Times New Roman" w:hint="eastAsia"/>
          <w:color w:val="auto"/>
          <w:lang w:val="en-US" w:eastAsia="zh-CN"/>
        </w:rPr>
        <w:t>（1）有效期内的《特种设备生产许可证-固定式压力容器中、低容器》D类</w:t>
      </w:r>
      <w:r>
        <w:rPr>
          <w:rFonts w:ascii="宋体" w:eastAsia="宋体" w:hAnsi="宋体" w:cs="Times New Roman" w:hint="eastAsia"/>
          <w:color w:val="auto"/>
        </w:rPr>
        <w:t>或以上级别</w:t>
      </w:r>
      <w:r>
        <w:rPr>
          <w:rFonts w:ascii="宋体" w:eastAsia="宋体" w:hAnsi="宋体" w:cs="Times New Roman" w:hint="eastAsia"/>
          <w:color w:val="auto"/>
          <w:lang w:eastAsia="zh-CN"/>
        </w:rPr>
        <w:t>。</w:t>
      </w:r>
    </w:p>
    <w:p>
      <w:pPr>
        <w:spacing w:line="360" w:lineRule="auto"/>
        <w:ind w:firstLine="420" w:firstLineChars="200"/>
        <w:rPr>
          <w:rFonts w:ascii="宋体" w:eastAsia="宋体" w:hAnsi="宋体" w:cs="Times New Roman" w:hint="eastAsia"/>
          <w:color w:val="auto"/>
          <w:lang w:val="en-US" w:eastAsia="zh-CN"/>
        </w:rPr>
      </w:pPr>
      <w:r>
        <w:rPr>
          <w:rFonts w:ascii="宋体" w:eastAsia="宋体" w:hAnsi="宋体" w:cs="Times New Roman" w:hint="eastAsia"/>
          <w:color w:val="auto"/>
          <w:lang w:val="en-US" w:eastAsia="zh-CN"/>
        </w:rPr>
        <w:t>（2）有效期内的建筑机电安装工程专业承包三级及以上资质证书。</w:t>
      </w:r>
    </w:p>
    <w:p>
      <w:pPr>
        <w:spacing w:line="360" w:lineRule="auto"/>
        <w:ind w:firstLine="420" w:firstLineChars="200"/>
        <w:rPr>
          <w:rFonts w:ascii="宋体" w:eastAsia="宋体" w:hAnsi="宋体" w:cs="Times New Roman" w:hint="eastAsia"/>
          <w:color w:val="auto"/>
          <w:highlight w:val="none"/>
          <w:lang w:val="en-US" w:eastAsia="zh-CN"/>
        </w:rPr>
      </w:pPr>
      <w:r>
        <w:rPr>
          <w:rFonts w:ascii="宋体" w:eastAsia="宋体" w:hAnsi="宋体" w:cs="Times New Roman" w:hint="eastAsia"/>
          <w:color w:val="auto"/>
          <w:highlight w:val="none"/>
          <w:lang w:val="en-US" w:eastAsia="zh-CN"/>
        </w:rPr>
        <w:t>（3）有效期内的安全生产许可证。</w:t>
      </w:r>
    </w:p>
    <w:p>
      <w:pPr>
        <w:spacing w:line="360" w:lineRule="auto"/>
        <w:ind w:firstLine="420" w:firstLineChars="200"/>
        <w:rPr>
          <w:rFonts w:ascii="宋体" w:eastAsia="宋体" w:hAnsi="宋体" w:cs="Times New Roman" w:hint="eastAsia"/>
          <w:color w:val="auto"/>
          <w:highlight w:val="none"/>
          <w:lang w:val="en-US" w:eastAsia="zh-CN"/>
        </w:rPr>
      </w:pPr>
      <w:r>
        <w:rPr>
          <w:rFonts w:ascii="宋体" w:eastAsia="宋体" w:hAnsi="宋体" w:cs="Times New Roman" w:hint="eastAsia"/>
          <w:color w:val="auto"/>
          <w:highlight w:val="none"/>
          <w:lang w:val="en-US" w:eastAsia="zh-CN"/>
        </w:rPr>
        <w:t>（4）有效期内的《中华人民共和国特种设备安装改造维修许可证（压力管道）》GC 类（GC2 级或以上级别）或《特种设备生产许可证-</w:t>
      </w:r>
      <w:r>
        <w:rPr>
          <w:rFonts w:hint="eastAsia"/>
          <w:color w:val="auto"/>
          <w:highlight w:val="none"/>
          <w:lang w:val="en-US" w:eastAsia="zh-CN"/>
        </w:rPr>
        <w:t>承压类特种设备安装、修理、改造</w:t>
      </w:r>
      <w:r>
        <w:rPr>
          <w:rFonts w:ascii="宋体" w:eastAsia="宋体" w:hAnsi="宋体" w:cs="Times New Roman" w:hint="eastAsia"/>
          <w:color w:val="auto"/>
          <w:highlight w:val="none"/>
          <w:lang w:val="en-US" w:eastAsia="zh-CN"/>
        </w:rPr>
        <w:t>（</w:t>
      </w:r>
      <w:r>
        <w:rPr>
          <w:rFonts w:ascii="宋体" w:hAnsi="宋体" w:cs="Times New Roman" w:hint="eastAsia"/>
          <w:color w:val="auto"/>
          <w:highlight w:val="none"/>
          <w:lang w:val="en-US" w:eastAsia="zh-CN"/>
        </w:rPr>
        <w:t>工业管道安装</w:t>
      </w:r>
      <w:r>
        <w:rPr>
          <w:rFonts w:ascii="宋体" w:eastAsia="宋体" w:hAnsi="宋体" w:cs="Times New Roman" w:hint="eastAsia"/>
          <w:color w:val="auto"/>
          <w:highlight w:val="none"/>
          <w:lang w:val="en-US" w:eastAsia="zh-CN"/>
        </w:rPr>
        <w:t>）》GC 类（GC2 级或以上级别）。</w:t>
      </w:r>
    </w:p>
    <w:p>
      <w:pPr>
        <w:spacing w:line="360" w:lineRule="auto"/>
        <w:ind w:firstLine="420" w:firstLineChars="200"/>
        <w:rPr>
          <w:rFonts w:ascii="宋体" w:eastAsia="宋体" w:hAnsi="宋体" w:cs="Times New Roman" w:hint="eastAsia"/>
          <w:color w:val="auto"/>
          <w:highlight w:val="none"/>
          <w:lang w:val="en-US" w:eastAsia="zh-CN"/>
        </w:rPr>
      </w:pPr>
      <w:r>
        <w:rPr>
          <w:rFonts w:ascii="宋体" w:eastAsia="宋体" w:hAnsi="宋体" w:cs="Times New Roman" w:hint="eastAsia"/>
          <w:color w:val="auto"/>
          <w:highlight w:val="none"/>
          <w:lang w:val="en-US" w:eastAsia="zh-CN"/>
        </w:rPr>
        <w:t>（5）有效期内的工程设计化工石化医药行业乙级或以上资质或工程设计综合甲级资质。</w:t>
      </w:r>
    </w:p>
    <w:p>
      <w:pPr>
        <w:spacing w:line="360" w:lineRule="auto"/>
        <w:ind w:firstLine="420" w:firstLineChars="200"/>
        <w:rPr>
          <w:rFonts w:ascii="宋体" w:eastAsia="宋体" w:hAnsi="宋体" w:cs="Times New Roman" w:hint="eastAsia"/>
          <w:color w:val="auto"/>
          <w:highlight w:val="none"/>
        </w:rPr>
      </w:pPr>
      <w:bookmarkEnd w:id="22"/>
      <w:r>
        <w:rPr>
          <w:rFonts w:ascii="宋体" w:eastAsia="宋体" w:hAnsi="宋体" w:cs="Times New Roman" w:hint="eastAsia"/>
          <w:color w:val="auto"/>
          <w:highlight w:val="none"/>
        </w:rPr>
        <w:t>（①提供在有效期内的证书扫描件，如证书上未体现年检记录或有效期的，需同时提供发证机构官方网站显示的年检或有效期的截图作为证明材料；②如国家另有规定，则适用其规定，供应商提供相关证明材料，如有效的资质证书及相关政府部门的规定；）</w:t>
      </w:r>
    </w:p>
    <w:p>
      <w:pPr>
        <w:spacing w:line="360" w:lineRule="auto"/>
        <w:ind w:firstLine="420" w:firstLineChars="200"/>
        <w:rPr>
          <w:rFonts w:ascii="宋体" w:hAnsi="宋体"/>
          <w:highlight w:val="none"/>
        </w:rPr>
      </w:pPr>
      <w:r>
        <w:rPr>
          <w:rFonts w:ascii="宋体" w:hAnsi="宋体" w:hint="eastAsia"/>
          <w:color w:val="auto"/>
          <w:highlight w:val="none"/>
          <w:lang w:eastAsia="zh-CN"/>
        </w:rPr>
        <w:t>（四）</w:t>
      </w:r>
      <w:r>
        <w:rPr>
          <w:rFonts w:ascii="宋体" w:hAnsi="宋体" w:hint="eastAsia"/>
          <w:color w:val="auto"/>
          <w:highlight w:val="none"/>
        </w:rPr>
        <w:t>参与本项目投标前三年内，</w:t>
      </w:r>
      <w:r>
        <w:rPr>
          <w:rFonts w:ascii="宋体" w:hAnsi="宋体" w:hint="eastAsia"/>
          <w:color w:val="auto"/>
        </w:rPr>
        <w:t>在经营活动中没有重大违法记录（由供应商在《响应供应商资格声明函》中作出声明</w:t>
      </w:r>
      <w:r>
        <w:rPr>
          <w:rFonts w:ascii="宋体" w:hAnsi="宋体" w:hint="eastAsia"/>
          <w:color w:val="auto"/>
          <w:highlight w:val="none"/>
        </w:rPr>
        <w:t>）（重大违法记录是指供应商因</w:t>
      </w:r>
      <w:r>
        <w:rPr>
          <w:rFonts w:ascii="宋体" w:hAnsi="宋体" w:hint="eastAsia"/>
          <w:highlight w:val="none"/>
        </w:rPr>
        <w:t>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spacing w:line="360" w:lineRule="auto"/>
        <w:ind w:firstLine="420" w:firstLineChars="200"/>
        <w:rPr>
          <w:rFonts w:ascii="宋体" w:hAnsi="宋体"/>
          <w:highlight w:val="none"/>
        </w:rPr>
      </w:pPr>
      <w:r>
        <w:rPr>
          <w:rFonts w:ascii="宋体" w:hAnsi="宋体" w:hint="eastAsia"/>
          <w:highlight w:val="none"/>
          <w:lang w:eastAsia="zh-CN"/>
        </w:rPr>
        <w:t>（五）</w:t>
      </w:r>
      <w:r>
        <w:rPr>
          <w:rFonts w:ascii="宋体" w:hAnsi="宋体" w:hint="eastAsia"/>
          <w:highlight w:val="none"/>
        </w:rPr>
        <w:t>参与本项目政府采购活动时不存在被有关部门禁止参与政府采购活动且在有效期内的情况（由供应商在《响应供应商资格声明函》中作出声明）。</w:t>
      </w:r>
    </w:p>
    <w:p>
      <w:pPr>
        <w:spacing w:line="360" w:lineRule="auto"/>
        <w:ind w:firstLine="420" w:firstLineChars="200"/>
        <w:rPr>
          <w:rFonts w:ascii="宋体" w:hAnsi="宋体" w:hint="eastAsia"/>
          <w:highlight w:val="none"/>
        </w:rPr>
      </w:pPr>
      <w:r>
        <w:rPr>
          <w:rFonts w:ascii="宋体" w:hAnsi="宋体" w:hint="eastAsia"/>
          <w:highlight w:val="none"/>
          <w:lang w:eastAsia="zh-CN"/>
        </w:rPr>
        <w:t>（六）</w:t>
      </w:r>
      <w:r>
        <w:rPr>
          <w:rFonts w:ascii="宋体" w:hAnsi="宋体" w:hint="eastAsia"/>
          <w:highlight w:val="none"/>
        </w:rPr>
        <w:t>未</w:t>
      </w:r>
      <w:bookmarkStart w:id="23" w:name="_Hlk41992259"/>
      <w:r>
        <w:rPr>
          <w:rFonts w:ascii="宋体" w:hAnsi="宋体" w:hint="eastAsia"/>
          <w:highlight w:val="none"/>
        </w:rPr>
        <w:t>被列入失信被执行人、</w:t>
      </w:r>
      <w:r>
        <w:rPr>
          <w:rFonts w:ascii="宋体" w:hAnsi="宋体" w:hint="eastAsia"/>
          <w:highlight w:val="none"/>
          <w:lang w:eastAsia="zh-CN"/>
        </w:rPr>
        <w:t>重大税收违法失信主体</w:t>
      </w:r>
      <w:r>
        <w:rPr>
          <w:rFonts w:ascii="宋体" w:hAnsi="宋体" w:hint="eastAsia"/>
          <w:highlight w:val="none"/>
        </w:rPr>
        <w:t>、政府采购严重违法失信行为记录名单（由供应商在《响应供应商资格声明函》中作出声明）。注：“信用中国”、“中国政府采购网”、“深圳信用网”以及“深圳市政府采购监管网”为供应商信用信息的查询渠道，相关信息以开标当日的查询结果为准。</w:t>
      </w:r>
      <w:bookmarkEnd w:id="23"/>
      <w:r>
        <w:rPr>
          <w:rFonts w:ascii="宋体" w:hAnsi="宋体" w:hint="eastAsia"/>
          <w:highlight w:val="none"/>
        </w:rPr>
        <w:t xml:space="preserve"> </w:t>
      </w:r>
    </w:p>
    <w:p>
      <w:pPr>
        <w:spacing w:line="360" w:lineRule="auto"/>
        <w:ind w:firstLine="420" w:firstLineChars="200"/>
        <w:rPr>
          <w:rFonts w:ascii="宋体" w:hAnsi="宋体" w:hint="eastAsia"/>
          <w:szCs w:val="21"/>
          <w:highlight w:val="none"/>
          <w:lang w:eastAsia="zh-CN"/>
        </w:rPr>
      </w:pPr>
      <w:r>
        <w:rPr>
          <w:rFonts w:ascii="宋体" w:eastAsia="宋体" w:hAnsi="宋体" w:cs="Times New Roman" w:hint="eastAsia"/>
          <w:sz w:val="21"/>
          <w:szCs w:val="21"/>
          <w:highlight w:val="none"/>
          <w:lang w:val="en-US" w:eastAsia="zh-CN" w:bidi="ar-SA"/>
        </w:rPr>
        <w:t>（七）</w:t>
      </w:r>
      <w:r>
        <w:rPr>
          <w:rFonts w:ascii="宋体" w:hAnsi="宋体" w:hint="eastAsia"/>
          <w:szCs w:val="21"/>
          <w:highlight w:val="none"/>
          <w:lang w:eastAsia="zh-CN"/>
        </w:rPr>
        <w:t>响应供应商不存在《深圳市财政局政府采购供应商信用信息管理办法》（深财规〔2023〕3号）列明的严重违法失信行为”。（由供应商在《响应供应商资格声明函》中作出声明）</w:t>
      </w:r>
    </w:p>
    <w:p>
      <w:pPr>
        <w:spacing w:line="360" w:lineRule="auto"/>
        <w:ind w:left="420" w:firstLine="0" w:leftChars="200" w:firstLineChars="0"/>
        <w:rPr>
          <w:rFonts w:ascii="宋体" w:eastAsia="宋体" w:hAnsi="宋体" w:cs="Times New Roman" w:hint="eastAsia"/>
          <w:highlight w:val="none"/>
          <w:lang w:val="en-US" w:eastAsia="zh-CN"/>
        </w:rPr>
      </w:pPr>
      <w:r>
        <w:rPr>
          <w:rFonts w:ascii="宋体" w:eastAsia="宋体" w:hAnsi="宋体" w:cs="Times New Roman" w:hint="eastAsia"/>
          <w:highlight w:val="none"/>
          <w:lang w:eastAsia="zh-CN"/>
        </w:rPr>
        <w:t>（</w:t>
      </w:r>
      <w:r>
        <w:rPr>
          <w:rFonts w:ascii="宋体" w:eastAsia="宋体" w:hAnsi="宋体" w:cs="Times New Roman" w:hint="eastAsia"/>
          <w:highlight w:val="none"/>
          <w:lang w:val="en-US" w:eastAsia="zh-CN"/>
        </w:rPr>
        <w:t>八</w:t>
      </w:r>
      <w:r>
        <w:rPr>
          <w:rFonts w:ascii="宋体" w:eastAsia="宋体" w:hAnsi="宋体" w:cs="Times New Roman" w:hint="eastAsia"/>
          <w:highlight w:val="none"/>
          <w:lang w:eastAsia="zh-CN"/>
        </w:rPr>
        <w:t>）</w:t>
      </w:r>
      <w:r>
        <w:rPr>
          <w:rFonts w:ascii="宋体" w:eastAsia="宋体" w:hAnsi="宋体" w:cs="Times New Roman" w:hint="eastAsia"/>
          <w:highlight w:val="none"/>
          <w:lang w:val="en-US" w:eastAsia="zh-CN"/>
        </w:rPr>
        <w:t>本项目接</w:t>
      </w:r>
      <w:r>
        <w:rPr>
          <w:rFonts w:ascii="宋体" w:eastAsia="宋体" w:hAnsi="宋体" w:cs="Times New Roman" w:hint="eastAsia"/>
          <w:highlight w:val="none"/>
          <w:lang w:eastAsia="zh-CN"/>
        </w:rPr>
        <w:t>受</w:t>
      </w:r>
      <w:r>
        <w:rPr>
          <w:rFonts w:ascii="宋体" w:eastAsia="宋体" w:hAnsi="宋体" w:cs="Times New Roman" w:hint="eastAsia"/>
          <w:highlight w:val="none"/>
          <w:lang w:val="en-US" w:eastAsia="zh-CN"/>
        </w:rPr>
        <w:t>联合体投标，(联合体投标的供应商须提交各方共同签署的《联合协议书》）。</w:t>
      </w:r>
    </w:p>
    <w:p>
      <w:pPr>
        <w:spacing w:line="360" w:lineRule="auto"/>
        <w:ind w:left="420" w:firstLine="0" w:leftChars="200" w:firstLineChars="0"/>
        <w:rPr>
          <w:rFonts w:ascii="宋体" w:eastAsia="宋体" w:hAnsi="宋体" w:cs="Times New Roman" w:hint="eastAsia"/>
          <w:highlight w:val="none"/>
          <w:lang w:eastAsia="zh-CN"/>
        </w:rPr>
      </w:pPr>
      <w:r>
        <w:rPr>
          <w:rFonts w:ascii="宋体" w:eastAsia="宋体" w:hAnsi="宋体" w:cs="Times New Roman" w:hint="eastAsia"/>
          <w:highlight w:val="none"/>
          <w:lang w:val="en-US" w:eastAsia="zh-CN"/>
        </w:rPr>
        <w:t>（九）为采购项目提供整体设计、规范编制或者项目管理、监理、检测等服务的供应商，不得再参加该采购项目同一合同项下的其他采购活动（</w:t>
      </w:r>
      <w:r>
        <w:rPr>
          <w:rFonts w:ascii="宋体" w:hAnsi="宋体" w:hint="eastAsia"/>
          <w:szCs w:val="21"/>
          <w:highlight w:val="none"/>
          <w:lang w:eastAsia="zh-CN"/>
        </w:rPr>
        <w:t>由供应商在《响应供应商资格声明函》中作出声明</w:t>
      </w:r>
      <w:r>
        <w:rPr>
          <w:rFonts w:ascii="宋体" w:eastAsia="宋体" w:hAnsi="宋体" w:cs="Times New Roman" w:hint="eastAsia"/>
          <w:highlight w:val="none"/>
          <w:lang w:val="en-US" w:eastAsia="zh-CN"/>
        </w:rPr>
        <w:t>）。</w:t>
      </w:r>
    </w:p>
    <w:p>
      <w:pPr>
        <w:pStyle w:val="Heading2"/>
        <w:spacing w:line="360" w:lineRule="auto"/>
        <w:rPr>
          <w:rFonts w:ascii="宋体" w:eastAsia="宋体" w:hAnsi="宋体"/>
          <w:b w:val="0"/>
          <w:sz w:val="21"/>
          <w:szCs w:val="21"/>
        </w:rPr>
      </w:pPr>
      <w:bookmarkStart w:id="24" w:name="_Toc35393631"/>
      <w:bookmarkStart w:id="25" w:name="_Toc35393800"/>
      <w:r>
        <w:rPr>
          <w:rFonts w:ascii="宋体" w:eastAsia="宋体" w:hAnsi="宋体" w:hint="eastAsia"/>
          <w:b w:val="0"/>
          <w:sz w:val="21"/>
          <w:szCs w:val="21"/>
        </w:rPr>
        <w:t>三、获取谈判文件</w:t>
      </w:r>
      <w:bookmarkEnd w:id="19"/>
      <w:bookmarkEnd w:id="20"/>
      <w:bookmarkEnd w:id="24"/>
      <w:bookmarkEnd w:id="25"/>
    </w:p>
    <w:p>
      <w:pPr>
        <w:spacing w:line="360" w:lineRule="auto"/>
        <w:ind w:firstLine="420" w:firstLineChars="200"/>
        <w:jc w:val="left"/>
        <w:rPr>
          <w:rFonts w:ascii="宋体" w:hAnsi="宋体"/>
          <w:color w:val="auto"/>
        </w:rPr>
      </w:pPr>
      <w:bookmarkStart w:id="26" w:name="_Toc28359092"/>
      <w:bookmarkStart w:id="27" w:name="_Toc35393801"/>
      <w:bookmarkStart w:id="28" w:name="_Toc28359015"/>
      <w:bookmarkStart w:id="29" w:name="_Toc35393632"/>
      <w:r>
        <w:rPr>
          <w:rFonts w:ascii="宋体" w:hAnsi="宋体" w:hint="eastAsia"/>
          <w:color w:val="auto"/>
        </w:rPr>
        <w:t>时间：</w:t>
      </w:r>
      <w:r>
        <w:rPr>
          <w:rFonts w:ascii="宋体" w:hAnsi="宋体" w:hint="eastAsia"/>
          <w:sz w:val="21"/>
          <w:lang w:val="en-US" w:eastAsia="zh-CN"/>
        </w:rPr>
        <w:t>2024</w:t>
      </w:r>
      <w:r>
        <w:rPr>
          <w:rFonts w:ascii="宋体" w:hAnsi="宋体" w:hint="eastAsia"/>
          <w:sz w:val="21"/>
        </w:rPr>
        <w:t>年</w:t>
      </w:r>
      <w:r>
        <w:rPr>
          <w:rFonts w:ascii="宋体" w:hAnsi="宋体" w:hint="eastAsia"/>
          <w:sz w:val="21"/>
          <w:lang w:val="en-US" w:eastAsia="zh-CN"/>
        </w:rPr>
        <w:t>8月14</w:t>
      </w:r>
      <w:r>
        <w:rPr>
          <w:rFonts w:ascii="宋体" w:hAnsi="宋体" w:hint="eastAsia"/>
          <w:sz w:val="21"/>
        </w:rPr>
        <w:t>日</w:t>
      </w:r>
      <w:r>
        <w:rPr>
          <w:rFonts w:ascii="宋体" w:hAnsi="宋体" w:hint="eastAsia"/>
          <w:color w:val="auto"/>
        </w:rPr>
        <w:t>至</w:t>
      </w:r>
      <w:r>
        <w:rPr>
          <w:rFonts w:ascii="宋体" w:hAnsi="宋体" w:hint="eastAsia"/>
          <w:sz w:val="21"/>
          <w:lang w:val="en-US" w:eastAsia="zh-CN"/>
        </w:rPr>
        <w:t>2024年8月22日9：30</w:t>
      </w:r>
      <w:r>
        <w:rPr>
          <w:rFonts w:ascii="宋体" w:hAnsi="宋体" w:hint="eastAsia"/>
          <w:color w:val="auto"/>
        </w:rPr>
        <w:t>（北京时间）。</w:t>
      </w:r>
    </w:p>
    <w:p>
      <w:pPr>
        <w:spacing w:line="360" w:lineRule="auto"/>
        <w:ind w:firstLine="420" w:firstLineChars="200"/>
        <w:jc w:val="left"/>
        <w:rPr>
          <w:rFonts w:ascii="宋体" w:hAnsi="宋体"/>
        </w:rPr>
      </w:pPr>
      <w:r>
        <w:rPr>
          <w:rFonts w:ascii="宋体" w:hAnsi="宋体" w:hint="eastAsia"/>
          <w:color w:val="auto"/>
        </w:rPr>
        <w:t>地点：登录深圳政府采购智慧平台网上办事子系统</w:t>
      </w:r>
      <w:r>
        <w:rPr>
          <w:rFonts w:ascii="宋体" w:hAnsi="宋体" w:hint="eastAsia"/>
        </w:rPr>
        <w:t>（http://zfcg.szggzy.com:8081/TPBidder/memberLogin）下载本项目的谈判文件。</w:t>
      </w:r>
    </w:p>
    <w:p>
      <w:pPr>
        <w:spacing w:line="360" w:lineRule="auto"/>
        <w:ind w:firstLine="420" w:firstLineChars="200"/>
        <w:jc w:val="left"/>
        <w:rPr>
          <w:rFonts w:ascii="宋体" w:hAnsi="宋体"/>
        </w:rPr>
      </w:pPr>
      <w:r>
        <w:rPr>
          <w:rFonts w:ascii="宋体" w:hAnsi="宋体" w:hint="eastAsia"/>
        </w:rPr>
        <w:t>方式：在线下载。</w:t>
      </w:r>
    </w:p>
    <w:p>
      <w:pPr>
        <w:spacing w:line="360" w:lineRule="auto"/>
        <w:ind w:firstLine="420" w:firstLineChars="200"/>
        <w:jc w:val="left"/>
        <w:rPr>
          <w:rFonts w:ascii="宋体" w:hAnsi="宋体"/>
        </w:rPr>
      </w:pPr>
      <w:r>
        <w:rPr>
          <w:rFonts w:ascii="宋体" w:hAnsi="宋体" w:hint="eastAsia"/>
        </w:rPr>
        <w:t>售价：免费。</w:t>
      </w:r>
    </w:p>
    <w:p>
      <w:pPr>
        <w:spacing w:line="360" w:lineRule="auto"/>
        <w:ind w:firstLine="420" w:firstLineChars="200"/>
        <w:jc w:val="left"/>
        <w:rPr>
          <w:rFonts w:ascii="宋体" w:hAnsi="宋体"/>
        </w:rPr>
      </w:pPr>
      <w:r>
        <w:rPr>
          <w:rFonts w:ascii="宋体" w:hAnsi="宋体" w:hint="eastAsia"/>
        </w:rPr>
        <w:t>凡已注册的深圳市网上政府采购供应商，按照授予的操作权限，可于</w:t>
      </w:r>
      <w:r>
        <w:rPr>
          <w:rFonts w:ascii="宋体" w:hAnsi="宋体" w:hint="eastAsia"/>
          <w:sz w:val="21"/>
          <w:lang w:val="en-US" w:eastAsia="zh-CN"/>
        </w:rPr>
        <w:t>2024</w:t>
      </w:r>
      <w:r>
        <w:rPr>
          <w:rFonts w:ascii="宋体" w:hAnsi="宋体" w:hint="eastAsia"/>
          <w:sz w:val="21"/>
        </w:rPr>
        <w:t>年</w:t>
      </w:r>
      <w:r>
        <w:rPr>
          <w:rFonts w:ascii="宋体" w:hAnsi="宋体" w:hint="eastAsia"/>
          <w:sz w:val="21"/>
          <w:lang w:val="en-US" w:eastAsia="zh-CN"/>
        </w:rPr>
        <w:t>8月14</w:t>
      </w:r>
      <w:r>
        <w:rPr>
          <w:rFonts w:ascii="宋体" w:hAnsi="宋体" w:hint="eastAsia"/>
          <w:sz w:val="21"/>
        </w:rPr>
        <w:t>日</w:t>
      </w:r>
      <w:r>
        <w:rPr>
          <w:rFonts w:ascii="宋体" w:hAnsi="宋体" w:hint="eastAsia"/>
          <w:color w:val="auto"/>
        </w:rPr>
        <w:t>至</w:t>
      </w:r>
      <w:r>
        <w:rPr>
          <w:rFonts w:ascii="宋体" w:hAnsi="宋体" w:hint="eastAsia"/>
          <w:sz w:val="21"/>
          <w:lang w:val="en-US" w:eastAsia="zh-CN"/>
        </w:rPr>
        <w:t>2024年8月22日9：30</w:t>
      </w:r>
      <w:r>
        <w:rPr>
          <w:rFonts w:ascii="宋体" w:hAnsi="宋体" w:hint="eastAsia"/>
        </w:rPr>
        <w:t>期间登录深圳政府采购智慧平台网上办事子系统（http://zfcg.szggzy.com:8081/TPBidder/memberLogin）下载本项目的谈判文件。供应商如确定参加投标，首先要在深圳政府采购智慧平台网上办事子系统网上报名投标，方法为登录深圳政府采购智慧平台网上办事子系统（http://zfcg.szggzy.com:8081/TPBidder/memberLogin）后点击【消息提醒】→【邀请提醒】→【点击相应标段】→【确认参加】”；如果网上报名后上传了投标(应答)文件，又不参加投标，应登录深圳市政府采购用户网上办事子系统后，通过【我的项目】→【项目流程】→【递交投标(应答)文件】中撤销投标(应答)文件功能撤回已上传投标(应答)文件；如果是未注册为深圳政府采购智慧平台（http://zfcg.szggzy.com:8081/）的供应商，请先办理密钥，并前往深圳公共资源交易中心（深圳交易集团有限公司政府采购业务分公司）绑定深圳政府采购智慧平台用户（地</w:t>
      </w:r>
      <w:r>
        <w:rPr>
          <w:rFonts w:ascii="宋体" w:hAnsi="宋体" w:hint="eastAsia"/>
          <w:highlight w:val="none"/>
        </w:rPr>
        <w:t>址：深圳市南山区沙河西路3157号南山智谷A座（深圳交易集团总部大楼）3楼办事大厅4、5号窗口；</w:t>
      </w:r>
      <w:r>
        <w:rPr>
          <w:rFonts w:ascii="宋体" w:hAnsi="宋体" w:hint="eastAsia"/>
        </w:rPr>
        <w:t>电子密钥办理咨询电话：0755-83948165），再进行投标报名。在网上报名后，点击“【我的项目】→【项目流程】→【采购文件下载】”进行采购文件的下载。</w:t>
      </w:r>
    </w:p>
    <w:p>
      <w:pPr>
        <w:pStyle w:val="Heading2"/>
        <w:spacing w:line="360" w:lineRule="auto"/>
        <w:rPr>
          <w:rFonts w:ascii="宋体" w:eastAsia="宋体" w:hAnsi="宋体"/>
          <w:b w:val="0"/>
          <w:color w:val="auto"/>
          <w:sz w:val="21"/>
          <w:szCs w:val="21"/>
        </w:rPr>
      </w:pPr>
      <w:r>
        <w:rPr>
          <w:rFonts w:ascii="宋体" w:eastAsia="宋体" w:hAnsi="宋体" w:hint="eastAsia"/>
          <w:b w:val="0"/>
          <w:sz w:val="21"/>
          <w:szCs w:val="21"/>
        </w:rPr>
        <w:t>四、应答文</w:t>
      </w:r>
      <w:r>
        <w:rPr>
          <w:rFonts w:ascii="宋体" w:eastAsia="宋体" w:hAnsi="宋体" w:hint="eastAsia"/>
          <w:b w:val="0"/>
          <w:color w:val="auto"/>
          <w:sz w:val="21"/>
          <w:szCs w:val="21"/>
        </w:rPr>
        <w:t>件提交</w:t>
      </w:r>
      <w:bookmarkEnd w:id="26"/>
      <w:bookmarkEnd w:id="27"/>
      <w:bookmarkEnd w:id="28"/>
      <w:bookmarkEnd w:id="29"/>
    </w:p>
    <w:p>
      <w:pPr>
        <w:spacing w:line="360" w:lineRule="auto"/>
        <w:ind w:firstLine="420" w:firstLineChars="200"/>
        <w:rPr>
          <w:rFonts w:ascii="宋体" w:hAnsi="宋体"/>
          <w:color w:val="auto"/>
        </w:rPr>
      </w:pPr>
      <w:r>
        <w:rPr>
          <w:rFonts w:ascii="宋体" w:hAnsi="宋体" w:hint="eastAsia"/>
          <w:color w:val="auto"/>
          <w:lang w:val="en-US" w:eastAsia="zh-CN"/>
        </w:rPr>
        <w:t>（一）</w:t>
      </w:r>
      <w:r>
        <w:rPr>
          <w:rFonts w:ascii="宋体" w:hAnsi="宋体" w:hint="eastAsia"/>
          <w:color w:val="auto"/>
        </w:rPr>
        <w:t>应答文件提交截止时间：所有应答文件应于</w:t>
      </w:r>
      <w:r>
        <w:rPr>
          <w:rFonts w:ascii="宋体" w:hAnsi="宋体" w:hint="eastAsia"/>
          <w:sz w:val="21"/>
          <w:lang w:val="en-US" w:eastAsia="zh-CN"/>
        </w:rPr>
        <w:t>2024年8月22日9：30</w:t>
      </w:r>
      <w:r>
        <w:rPr>
          <w:rFonts w:ascii="宋体" w:hAnsi="宋体" w:hint="eastAsia"/>
          <w:color w:val="auto"/>
        </w:rPr>
        <w:t>（北京时间）之前上传到深圳政府采购智慧平台。具体操作为登录“深圳政府采购智慧平台用户网上办事子系统（http://zfcg.szggzy.com:8081/TPBidder/memberLogin）”，用“【我的项目】→【项目流程】→【递交投标(应答)文件】”功能点上传响应文件。本项目电子投标(应答)文件最大容量为100MB，超过此容量的文件将被拒绝。</w:t>
      </w:r>
    </w:p>
    <w:p>
      <w:pPr>
        <w:spacing w:line="360" w:lineRule="auto"/>
        <w:rPr>
          <w:rFonts w:ascii="宋体" w:hAnsi="宋体"/>
          <w:color w:val="auto"/>
        </w:rPr>
      </w:pPr>
      <w:r>
        <w:rPr>
          <w:rFonts w:ascii="宋体" w:hAnsi="宋体" w:hint="eastAsia"/>
          <w:color w:val="auto"/>
        </w:rPr>
        <w:t xml:space="preserve">   </w:t>
      </w:r>
      <w:r>
        <w:rPr>
          <w:rFonts w:ascii="宋体" w:hAnsi="宋体" w:hint="eastAsia"/>
          <w:color w:val="auto"/>
          <w:lang w:eastAsia="zh-CN"/>
        </w:rPr>
        <w:t>（二）</w:t>
      </w:r>
      <w:r>
        <w:rPr>
          <w:rFonts w:ascii="宋体" w:hAnsi="宋体" w:hint="eastAsia"/>
          <w:color w:val="auto"/>
        </w:rPr>
        <w:t>开标时间和地点：定于</w:t>
      </w:r>
      <w:r>
        <w:rPr>
          <w:rFonts w:ascii="宋体" w:hAnsi="宋体" w:hint="eastAsia"/>
          <w:sz w:val="21"/>
          <w:lang w:val="en-US" w:eastAsia="zh-CN"/>
        </w:rPr>
        <w:t>2024年8月22日9：30</w:t>
      </w:r>
      <w:r>
        <w:rPr>
          <w:rFonts w:ascii="宋体" w:hAnsi="宋体" w:hint="eastAsia"/>
          <w:color w:val="auto"/>
        </w:rPr>
        <w:t>（北京时间），在深圳市福田区竹子林中国经贸大厦10</w:t>
      </w:r>
      <w:r>
        <w:rPr>
          <w:rFonts w:ascii="宋体" w:hAnsi="宋体" w:hint="eastAsia"/>
          <w:color w:val="auto"/>
          <w:lang w:eastAsia="zh-CN"/>
        </w:rPr>
        <w:t>楼</w:t>
      </w:r>
      <w:r>
        <w:rPr>
          <w:rFonts w:ascii="宋体" w:hAnsi="宋体" w:hint="eastAsia"/>
          <w:color w:val="auto"/>
        </w:rPr>
        <w:t>采联国际招标采购集团有限公司深圳分公司单一来源谈判。供应商可以登录“深圳政府采购智慧平台用户网上办事子系统（http://zfcg.szggzy.com:8081/TPBidder/memberLogin）”，在“【我的项目】→【项目流程】→【开标及解密】”进行在线解密、查询开标情况。</w:t>
      </w:r>
    </w:p>
    <w:p>
      <w:pPr>
        <w:spacing w:line="360" w:lineRule="auto"/>
        <w:rPr>
          <w:rFonts w:ascii="宋体" w:hAnsi="宋体"/>
        </w:rPr>
      </w:pPr>
      <w:r>
        <w:rPr>
          <w:rFonts w:ascii="宋体" w:hAnsi="宋体" w:hint="eastAsia"/>
          <w:color w:val="auto"/>
        </w:rPr>
        <w:t xml:space="preserve">    </w:t>
      </w:r>
      <w:r>
        <w:rPr>
          <w:rFonts w:ascii="宋体" w:hAnsi="宋体" w:hint="eastAsia"/>
          <w:color w:val="auto"/>
          <w:lang w:eastAsia="zh-CN"/>
        </w:rPr>
        <w:t>（三）</w:t>
      </w:r>
      <w:r>
        <w:rPr>
          <w:rFonts w:ascii="宋体" w:hAnsi="宋体" w:hint="eastAsia"/>
          <w:color w:val="auto"/>
        </w:rPr>
        <w:t>在线解密：供应商须在开标当日09:30-10:00期间进行解</w:t>
      </w:r>
      <w:r>
        <w:rPr>
          <w:rFonts w:ascii="宋体" w:hAnsi="宋体" w:hint="eastAsia"/>
        </w:rPr>
        <w:t>密，逾期未解密的作无效处理。解密方法：登录“深圳政府采购智慧平台用户网上办事子系统（http://zfcg.szggzy.com:8081/TPBidder/memberLogin）”，使用本单位制作电子投标(应答)文件同一个电子密钥，在“【我的项目】→【项目流程】→【开标及解密】”进行在线解密、查询开标情况。</w:t>
      </w:r>
    </w:p>
    <w:p>
      <w:pPr>
        <w:pStyle w:val="Heading2"/>
        <w:spacing w:line="360" w:lineRule="auto"/>
        <w:rPr>
          <w:rFonts w:ascii="宋体" w:eastAsia="宋体" w:hAnsi="宋体"/>
          <w:b w:val="0"/>
          <w:sz w:val="21"/>
          <w:szCs w:val="21"/>
        </w:rPr>
      </w:pPr>
      <w:bookmarkStart w:id="30" w:name="_Toc28359094"/>
      <w:bookmarkStart w:id="31" w:name="_Toc35393634"/>
      <w:bookmarkStart w:id="32" w:name="_Toc28359017"/>
      <w:bookmarkStart w:id="33" w:name="_Toc35393803"/>
      <w:r>
        <w:rPr>
          <w:rFonts w:ascii="宋体" w:eastAsia="宋体" w:hAnsi="宋体" w:hint="eastAsia"/>
          <w:b w:val="0"/>
          <w:sz w:val="21"/>
          <w:szCs w:val="21"/>
        </w:rPr>
        <w:t>五、公告期限</w:t>
      </w:r>
      <w:bookmarkEnd w:id="30"/>
      <w:bookmarkEnd w:id="31"/>
      <w:bookmarkEnd w:id="32"/>
      <w:bookmarkEnd w:id="33"/>
    </w:p>
    <w:p>
      <w:pPr>
        <w:spacing w:line="360" w:lineRule="auto"/>
        <w:ind w:firstLine="420" w:firstLineChars="200"/>
        <w:rPr>
          <w:rFonts w:ascii="宋体" w:hAnsi="宋体"/>
        </w:rPr>
      </w:pPr>
      <w:r>
        <w:rPr>
          <w:rFonts w:ascii="宋体" w:hAnsi="宋体" w:hint="eastAsia"/>
        </w:rPr>
        <w:t>自本公告发布之日起3个工作日。</w:t>
      </w:r>
    </w:p>
    <w:p>
      <w:pPr>
        <w:pStyle w:val="Heading2"/>
        <w:spacing w:line="360" w:lineRule="auto"/>
        <w:rPr>
          <w:rFonts w:ascii="宋体" w:eastAsia="宋体" w:hAnsi="宋体"/>
          <w:b w:val="0"/>
          <w:sz w:val="21"/>
          <w:szCs w:val="21"/>
        </w:rPr>
      </w:pPr>
      <w:r>
        <w:rPr>
          <w:rFonts w:ascii="宋体" w:eastAsia="宋体" w:hAnsi="宋体" w:hint="eastAsia"/>
          <w:b w:val="0"/>
          <w:sz w:val="21"/>
          <w:szCs w:val="21"/>
        </w:rPr>
        <w:t>六、其他补充事宜</w:t>
      </w:r>
    </w:p>
    <w:p>
      <w:pPr>
        <w:adjustRightInd w:val="0"/>
        <w:snapToGrid w:val="0"/>
        <w:spacing w:line="360" w:lineRule="auto"/>
        <w:ind w:firstLine="420" w:firstLineChars="200"/>
        <w:rPr>
          <w:rFonts w:ascii="宋体" w:hAnsi="宋体" w:cs="宋体"/>
        </w:rPr>
      </w:pPr>
      <w:r>
        <w:rPr>
          <w:rFonts w:ascii="宋体" w:hAnsi="宋体" w:hint="eastAsia"/>
          <w:lang w:val="en-US" w:eastAsia="zh-CN"/>
        </w:rPr>
        <w:t>（一）</w:t>
      </w:r>
      <w:r>
        <w:rPr>
          <w:rFonts w:ascii="宋体" w:hAnsi="宋体" w:cs="宋体" w:hint="eastAsia"/>
        </w:rPr>
        <w:t>本项目实行网上投标，采用电子投标(应答)文件。</w:t>
      </w:r>
    </w:p>
    <w:p>
      <w:pPr>
        <w:adjustRightInd w:val="0"/>
        <w:snapToGrid w:val="0"/>
        <w:spacing w:line="360" w:lineRule="auto"/>
        <w:ind w:firstLine="420" w:firstLineChars="200"/>
        <w:rPr>
          <w:rFonts w:ascii="宋体" w:hAnsi="宋体" w:cs="宋体"/>
        </w:rPr>
      </w:pPr>
      <w:r>
        <w:rPr>
          <w:rFonts w:ascii="宋体" w:hAnsi="宋体" w:hint="eastAsia"/>
          <w:lang w:eastAsia="zh-CN"/>
        </w:rPr>
        <w:t>（二）</w:t>
      </w:r>
      <w:r>
        <w:rPr>
          <w:rFonts w:ascii="宋体" w:hAnsi="宋体" w:cs="宋体" w:hint="eastAsia"/>
        </w:rPr>
        <w:t>应答操作：具体操作为登录“深圳政府采购智慧平台（http://zfcg.szggzy.com:8081/）”，用“我的项目→项目流程→递交投标(应答)文件→上传投标(应答)文件”功能点上传投标(应答)文件。本项目电子投标(应答)文件最大容量为100MB，超过此容量的文件将可能被拒绝。</w:t>
      </w:r>
    </w:p>
    <w:p>
      <w:pPr>
        <w:adjustRightInd w:val="0"/>
        <w:snapToGrid w:val="0"/>
        <w:spacing w:line="360" w:lineRule="auto"/>
        <w:ind w:firstLine="420" w:firstLineChars="200"/>
        <w:rPr>
          <w:rFonts w:ascii="宋体" w:hAnsi="宋体" w:cs="宋体"/>
        </w:rPr>
      </w:pPr>
      <w:r>
        <w:rPr>
          <w:rFonts w:ascii="宋体" w:hAnsi="宋体" w:hint="eastAsia"/>
          <w:lang w:eastAsia="zh-CN"/>
        </w:rPr>
        <w:t>（三）</w:t>
      </w:r>
      <w:r>
        <w:rPr>
          <w:rFonts w:ascii="宋体" w:hAnsi="宋体" w:cs="宋体" w:hint="eastAsia"/>
        </w:rPr>
        <w:t>谈判文件澄清/修改事项：</w:t>
      </w:r>
      <w:r>
        <w:rPr>
          <w:rFonts w:ascii="宋体" w:hAnsi="宋体" w:hint="eastAsia"/>
          <w:sz w:val="21"/>
          <w:lang w:val="en-US" w:eastAsia="zh-CN"/>
        </w:rPr>
        <w:t>2024</w:t>
      </w:r>
      <w:r>
        <w:rPr>
          <w:rFonts w:ascii="宋体" w:hAnsi="宋体" w:hint="eastAsia"/>
          <w:sz w:val="21"/>
        </w:rPr>
        <w:t>年</w:t>
      </w:r>
      <w:r>
        <w:rPr>
          <w:rFonts w:ascii="宋体" w:hAnsi="宋体" w:hint="eastAsia"/>
          <w:sz w:val="21"/>
          <w:lang w:val="en-US" w:eastAsia="zh-CN"/>
        </w:rPr>
        <w:t>8月17</w:t>
      </w:r>
      <w:r>
        <w:rPr>
          <w:rFonts w:ascii="宋体" w:hAnsi="宋体" w:hint="eastAsia"/>
          <w:sz w:val="21"/>
        </w:rPr>
        <w:t>日</w:t>
      </w:r>
      <w:r>
        <w:rPr>
          <w:rFonts w:ascii="宋体" w:hAnsi="宋体" w:hint="eastAsia"/>
          <w:sz w:val="21"/>
          <w:lang w:val="en-US" w:eastAsia="zh-CN"/>
        </w:rPr>
        <w:t>00</w:t>
      </w:r>
      <w:r>
        <w:rPr>
          <w:rFonts w:ascii="宋体" w:hAnsi="宋体" w:hint="eastAsia"/>
          <w:sz w:val="21"/>
        </w:rPr>
        <w:t>：</w:t>
      </w:r>
      <w:r>
        <w:rPr>
          <w:rFonts w:ascii="宋体" w:hAnsi="宋体" w:hint="eastAsia"/>
          <w:sz w:val="21"/>
          <w:lang w:val="en-US" w:eastAsia="zh-CN"/>
        </w:rPr>
        <w:t>00</w:t>
      </w:r>
      <w:r>
        <w:rPr>
          <w:rFonts w:ascii="宋体" w:hAnsi="宋体" w:cs="宋体" w:hint="eastAsia"/>
          <w:lang w:val="en-US" w:eastAsia="zh-CN"/>
        </w:rPr>
        <w:t>（北京时</w:t>
      </w:r>
      <w:r>
        <w:rPr>
          <w:rFonts w:ascii="宋体" w:hAnsi="宋体" w:cs="宋体" w:hint="eastAsia"/>
        </w:rPr>
        <w:t>间）前，供应商如果认为采购文件存在不明确、不清晰和前后不一致等问题，可登录深圳政府采购智慧平台（http://zfcg.szggzy.com:8081/）→“深圳政府采购智慧平台用户网上办事子系统（http://zfcg.szggzy.com:8081/TPBidder/memberLogin）”，在“【我的项目】→【项目流程】→【提问】”功能点中填写需澄清内容。</w:t>
      </w:r>
      <w:r>
        <w:rPr>
          <w:rFonts w:ascii="宋体" w:hAnsi="宋体" w:hint="eastAsia"/>
          <w:sz w:val="21"/>
          <w:lang w:val="en-US" w:eastAsia="zh-CN"/>
        </w:rPr>
        <w:t>2024</w:t>
      </w:r>
      <w:r>
        <w:rPr>
          <w:rFonts w:ascii="宋体" w:hAnsi="宋体" w:hint="eastAsia"/>
          <w:sz w:val="21"/>
        </w:rPr>
        <w:t>年</w:t>
      </w:r>
      <w:r>
        <w:rPr>
          <w:rFonts w:ascii="宋体" w:hAnsi="宋体" w:hint="eastAsia"/>
          <w:sz w:val="21"/>
          <w:lang w:val="en-US" w:eastAsia="zh-CN"/>
        </w:rPr>
        <w:t>8月19</w:t>
      </w:r>
      <w:r>
        <w:rPr>
          <w:rFonts w:ascii="宋体" w:hAnsi="宋体" w:hint="eastAsia"/>
          <w:sz w:val="21"/>
        </w:rPr>
        <w:t>日</w:t>
      </w:r>
      <w:r>
        <w:rPr>
          <w:rFonts w:ascii="宋体" w:hAnsi="宋体" w:hint="eastAsia"/>
          <w:sz w:val="21"/>
          <w:lang w:val="en-US" w:eastAsia="zh-CN"/>
        </w:rPr>
        <w:t>00</w:t>
      </w:r>
      <w:r>
        <w:rPr>
          <w:rFonts w:ascii="宋体" w:hAnsi="宋体" w:hint="eastAsia"/>
          <w:sz w:val="21"/>
        </w:rPr>
        <w:t>：</w:t>
      </w:r>
      <w:r>
        <w:rPr>
          <w:rFonts w:ascii="宋体" w:hAnsi="宋体" w:hint="eastAsia"/>
          <w:sz w:val="21"/>
          <w:lang w:val="en-US" w:eastAsia="zh-CN"/>
        </w:rPr>
        <w:t>00</w:t>
      </w:r>
      <w:r>
        <w:rPr>
          <w:rFonts w:ascii="宋体" w:hAnsi="宋体" w:cs="宋体" w:hint="eastAsia"/>
        </w:rPr>
        <w:t>（北京时间）前将谈判文件澄清/修改情况在“【我的项目】→【项目流程】→【答疑澄清文件下载】”中公布，望供应商予以关注。</w:t>
      </w:r>
    </w:p>
    <w:p>
      <w:pPr>
        <w:adjustRightInd w:val="0"/>
        <w:snapToGrid w:val="0"/>
        <w:spacing w:line="360" w:lineRule="auto"/>
        <w:rPr>
          <w:rFonts w:ascii="宋体" w:hAnsi="宋体" w:cs="宋体"/>
        </w:rPr>
      </w:pPr>
      <w:r>
        <w:rPr>
          <w:rFonts w:ascii="宋体" w:hAnsi="宋体" w:cs="宋体" w:hint="eastAsia"/>
        </w:rPr>
        <w:t xml:space="preserve">    （重</w:t>
      </w:r>
      <w:r>
        <w:rPr>
          <w:rFonts w:ascii="宋体" w:hAnsi="宋体" w:cs="宋体" w:hint="eastAsia"/>
          <w:highlight w:val="none"/>
        </w:rPr>
        <w:t>要提示：“提出谈判文件澄清要求”不等同于“对谈判文件质疑”，供应商提出的澄清要求内容如出现“质疑”字眼，将予以退回。供应商如认为谈判文件存在限制性、倾向性、其权益受到损害，应当自知道或者应当知道其权益受到损害之日（应当知道其权益受到损害之日是指对谈判文件的质疑，为谈判文件公布之日）起七个工作日内以书面形式提出质疑。根据《深圳经济特区政府采购条例》第四十二条“供应商投诉的事项应当是经过质疑</w:t>
      </w:r>
      <w:r>
        <w:rPr>
          <w:rFonts w:ascii="宋体" w:hAnsi="宋体" w:cs="宋体" w:hint="eastAsia"/>
        </w:rPr>
        <w:t>的事项”的规定，未经正式质疑的，将影响供应商行使向财政部门提起投诉的权利。 ）</w:t>
      </w:r>
    </w:p>
    <w:p>
      <w:pPr>
        <w:adjustRightInd w:val="0"/>
        <w:snapToGrid w:val="0"/>
        <w:spacing w:line="360" w:lineRule="auto"/>
        <w:rPr>
          <w:rFonts w:ascii="宋体" w:hAnsi="宋体" w:cs="宋体"/>
        </w:rPr>
      </w:pPr>
      <w:r>
        <w:rPr>
          <w:rFonts w:ascii="宋体" w:hAnsi="宋体" w:cs="宋体" w:hint="eastAsia"/>
        </w:rPr>
        <w:t xml:space="preserve">    </w:t>
      </w:r>
      <w:r>
        <w:rPr>
          <w:rFonts w:ascii="宋体" w:hAnsi="宋体" w:hint="eastAsia"/>
          <w:lang w:eastAsia="zh-CN"/>
        </w:rPr>
        <w:t>（四）</w:t>
      </w:r>
      <w:r>
        <w:rPr>
          <w:rFonts w:ascii="宋体" w:hAnsi="宋体" w:cs="宋体" w:hint="eastAsia"/>
        </w:rPr>
        <w:t>采购人及采购代理机构有权对谈判供应商就本项目要求提供的相关证明资料（原件）进行审查。供应商提供虚假资料被查实的，则可能面临被取消本项目中标资格、列入不良行为记录名单和三年内禁止参与深圳市政府采购活动的风险。</w:t>
      </w:r>
    </w:p>
    <w:p>
      <w:pPr>
        <w:adjustRightInd w:val="0"/>
        <w:snapToGrid w:val="0"/>
        <w:spacing w:line="360" w:lineRule="auto"/>
        <w:rPr>
          <w:rFonts w:ascii="宋体" w:hAnsi="宋体" w:cs="宋体"/>
        </w:rPr>
      </w:pPr>
      <w:r>
        <w:rPr>
          <w:rFonts w:ascii="宋体" w:hAnsi="宋体" w:cs="宋体" w:hint="eastAsia"/>
        </w:rPr>
        <w:t xml:space="preserve">    </w:t>
      </w:r>
      <w:r>
        <w:rPr>
          <w:rFonts w:ascii="宋体" w:hAnsi="宋体" w:hint="eastAsia"/>
          <w:lang w:eastAsia="zh-CN"/>
        </w:rPr>
        <w:t>（五）</w:t>
      </w:r>
      <w:r>
        <w:rPr>
          <w:rFonts w:ascii="宋体" w:hAnsi="宋体" w:cs="宋体" w:hint="eastAsia"/>
        </w:rPr>
        <w:t>本公告及本项目谈判文件所涉及的时间一律为北京时间。供应商有义务在采购活动实施期间浏览深圳政府采购智慧平台（http://zfcg.szggzy.com:8081/），在深圳政府采购智慧平台（http://zfcg.szggzy.com:8081/）网上公布的与本次谈判项目有关的信息视为已送达各供应商。</w:t>
      </w:r>
    </w:p>
    <w:p>
      <w:pPr>
        <w:adjustRightInd w:val="0"/>
        <w:snapToGrid w:val="0"/>
        <w:spacing w:line="360" w:lineRule="auto"/>
        <w:ind w:firstLine="420"/>
        <w:rPr>
          <w:rFonts w:ascii="宋体" w:hAnsi="宋体" w:cs="宋体"/>
        </w:rPr>
      </w:pPr>
      <w:r>
        <w:rPr>
          <w:rFonts w:ascii="宋体" w:hAnsi="宋体" w:hint="eastAsia"/>
          <w:lang w:eastAsia="zh-CN"/>
        </w:rPr>
        <w:t>（六）</w:t>
      </w:r>
      <w:r>
        <w:rPr>
          <w:rFonts w:ascii="宋体" w:hAnsi="宋体" w:cs="宋体" w:hint="eastAsia"/>
        </w:rPr>
        <w:t>本项目不需要供应商提交谈判保证金。</w:t>
      </w:r>
    </w:p>
    <w:p>
      <w:pPr>
        <w:wordWrap w:val="0"/>
        <w:adjustRightInd w:val="0"/>
        <w:snapToGrid w:val="0"/>
        <w:spacing w:line="360" w:lineRule="auto"/>
        <w:ind w:firstLine="420"/>
        <w:rPr>
          <w:rFonts w:ascii="宋体" w:hAnsi="宋体"/>
          <w:color w:val="auto"/>
          <w:highlight w:val="none"/>
        </w:rPr>
      </w:pPr>
      <w:r>
        <w:rPr>
          <w:rFonts w:ascii="宋体" w:hAnsi="宋体" w:hint="eastAsia"/>
          <w:lang w:eastAsia="zh-CN"/>
        </w:rPr>
        <w:t>（七）</w:t>
      </w:r>
      <w:r>
        <w:rPr>
          <w:rFonts w:ascii="宋体" w:hAnsi="宋体" w:cs="宋体" w:hint="eastAsia"/>
        </w:rPr>
        <w:t>需要落实的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w:t>
      </w:r>
      <w:r>
        <w:rPr>
          <w:rFonts w:ascii="宋体" w:hAnsi="宋体" w:cs="宋体" w:hint="eastAsia"/>
          <w:color w:val="auto"/>
          <w:highlight w:val="none"/>
        </w:rPr>
        <w:t>府采购执行机制的通知》（财库〔2019〕9号）、《快递包装政府采购需求标准（试行）》（财办库〔2020〕123号）</w:t>
      </w:r>
      <w:r>
        <w:rPr>
          <w:rFonts w:ascii="宋体" w:hAnsi="宋体" w:cs="宋体"/>
          <w:color w:val="auto"/>
          <w:szCs w:val="21"/>
          <w:highlight w:val="none"/>
        </w:rPr>
        <w:t>、</w:t>
      </w:r>
      <w:r>
        <w:rPr>
          <w:rFonts w:ascii="宋体" w:hAnsi="宋体" w:hint="eastAsia"/>
          <w:bCs/>
          <w:color w:val="auto"/>
          <w:szCs w:val="21"/>
          <w:highlight w:val="none"/>
          <w:lang w:val="en-US" w:eastAsia="zh-CN"/>
        </w:rPr>
        <w:t>《绿色建筑和绿色建材政府采购需求标准》（财办库〔2022〕35 号）、《绿色数据中心政府采购需求标准（试行）》（财办库〔2023〕7 号）</w:t>
      </w:r>
      <w:r>
        <w:rPr>
          <w:rFonts w:ascii="宋体" w:hAnsi="宋体" w:cs="宋体" w:hint="eastAsia"/>
          <w:color w:val="auto"/>
          <w:highlight w:val="none"/>
        </w:rPr>
        <w:t>等。</w:t>
      </w:r>
      <w:r>
        <w:rPr>
          <w:rFonts w:ascii="宋体" w:hAnsi="宋体" w:cs="宋体" w:hint="eastAsia"/>
          <w:color w:val="auto"/>
          <w:highlight w:val="none"/>
        </w:rPr>
        <w:cr/>
      </w:r>
      <w:r>
        <w:rPr>
          <w:rFonts w:ascii="宋体" w:hAnsi="宋体" w:cs="宋体" w:hint="eastAsia"/>
          <w:color w:val="auto"/>
          <w:highlight w:val="none"/>
          <w:lang w:val="en-US" w:eastAsia="zh-CN"/>
        </w:rPr>
        <w:t xml:space="preserve">  </w:t>
      </w:r>
      <w:r>
        <w:rPr>
          <w:rFonts w:ascii="宋体" w:hAnsi="宋体" w:hint="eastAsia"/>
          <w:color w:val="auto"/>
          <w:highlight w:val="none"/>
          <w:lang w:eastAsia="zh-CN"/>
        </w:rPr>
        <w:t>（八）</w:t>
      </w:r>
      <w:r>
        <w:rPr>
          <w:rFonts w:ascii="宋体" w:hAnsi="宋体" w:hint="eastAsia"/>
          <w:color w:val="auto"/>
          <w:highlight w:val="none"/>
        </w:rPr>
        <w:t>本项目相关公告在以下媒体发布</w:t>
      </w:r>
      <w:r>
        <w:rPr>
          <w:rFonts w:ascii="宋体" w:hAnsi="宋体" w:hint="eastAsia"/>
          <w:color w:val="auto"/>
          <w:highlight w:val="none"/>
        </w:rPr>
        <w:cr/>
      </w:r>
      <w:r>
        <w:rPr>
          <w:rFonts w:ascii="宋体" w:hAnsi="宋体"/>
          <w:color w:val="auto"/>
          <w:highlight w:val="none"/>
        </w:rPr>
        <w:t xml:space="preserve">    1</w:t>
      </w:r>
      <w:r>
        <w:rPr>
          <w:rFonts w:ascii="宋体" w:hAnsi="宋体" w:hint="eastAsia"/>
          <w:color w:val="auto"/>
          <w:highlight w:val="none"/>
          <w:lang w:val="en-US" w:eastAsia="zh-CN"/>
        </w:rPr>
        <w:t>、</w:t>
      </w:r>
      <w:r>
        <w:rPr>
          <w:rFonts w:ascii="宋体" w:hAnsi="宋体" w:hint="eastAsia"/>
          <w:color w:val="auto"/>
          <w:highlight w:val="none"/>
        </w:rPr>
        <w:t>法定媒体：深圳政府采购智慧平台（http://zfcg.szggzy.com:8081/）。相关公告在法定媒体上公布之日即视为有效送达，不再另行通知。</w:t>
      </w:r>
    </w:p>
    <w:p>
      <w:pPr>
        <w:wordWrap w:val="0"/>
        <w:adjustRightInd w:val="0"/>
        <w:snapToGrid w:val="0"/>
        <w:spacing w:line="360" w:lineRule="auto"/>
        <w:ind w:firstLine="420"/>
        <w:rPr>
          <w:rFonts w:ascii="宋体" w:eastAsia="宋体" w:hAnsi="宋体" w:cs="Times New Roman" w:hint="eastAsia"/>
          <w:color w:val="auto"/>
          <w:highlight w:val="none"/>
        </w:rPr>
      </w:pPr>
      <w:r>
        <w:rPr>
          <w:rFonts w:ascii="宋体" w:eastAsia="宋体" w:hAnsi="宋体" w:cs="Times New Roman"/>
          <w:color w:val="auto"/>
          <w:highlight w:val="none"/>
        </w:rPr>
        <w:t>2</w:t>
      </w:r>
      <w:r>
        <w:rPr>
          <w:rFonts w:ascii="宋体" w:eastAsia="宋体" w:hAnsi="宋体" w:cs="Times New Roman" w:hint="eastAsia"/>
          <w:color w:val="auto"/>
          <w:highlight w:val="none"/>
          <w:lang w:val="en-US" w:eastAsia="zh-CN"/>
        </w:rPr>
        <w:t>、</w:t>
      </w:r>
      <w:r>
        <w:rPr>
          <w:rFonts w:ascii="宋体" w:eastAsia="宋体" w:hAnsi="宋体" w:cs="Times New Roman" w:hint="eastAsia"/>
          <w:color w:val="auto"/>
          <w:highlight w:val="none"/>
        </w:rPr>
        <w:t>采购代理机构网站（www.chinapsp.cn）。</w:t>
      </w:r>
    </w:p>
    <w:p>
      <w:pPr>
        <w:wordWrap w:val="0"/>
        <w:adjustRightInd w:val="0"/>
        <w:snapToGrid w:val="0"/>
        <w:spacing w:line="360" w:lineRule="auto"/>
        <w:ind w:firstLine="420"/>
        <w:rPr>
          <w:rFonts w:ascii="宋体" w:eastAsia="宋体" w:hAnsi="宋体" w:cs="Times New Roman" w:hint="eastAsia"/>
          <w:color w:val="auto"/>
          <w:highlight w:val="none"/>
        </w:rPr>
      </w:pPr>
      <w:r>
        <w:rPr>
          <w:rFonts w:ascii="宋体" w:eastAsia="宋体" w:hAnsi="宋体" w:cs="Times New Roman" w:hint="eastAsia"/>
          <w:color w:val="auto"/>
          <w:highlight w:val="none"/>
          <w:lang w:val="en-US" w:eastAsia="zh-CN"/>
        </w:rPr>
        <w:t>3、</w:t>
      </w:r>
      <w:r>
        <w:rPr>
          <w:rFonts w:ascii="宋体" w:eastAsia="宋体" w:hAnsi="宋体" w:cs="Times New Roman" w:hint="eastAsia"/>
          <w:color w:val="auto"/>
          <w:highlight w:val="none"/>
        </w:rPr>
        <w:t>清华大学深圳国际研究生院官网（https://www.sigs.tsinghua.edu.cn/）</w:t>
      </w:r>
    </w:p>
    <w:p>
      <w:pPr>
        <w:wordWrap w:val="0"/>
        <w:adjustRightInd w:val="0"/>
        <w:snapToGrid w:val="0"/>
        <w:spacing w:line="360" w:lineRule="auto"/>
        <w:ind w:firstLine="420"/>
        <w:rPr>
          <w:rFonts w:ascii="宋体" w:eastAsia="宋体" w:hAnsi="宋体" w:cs="Times New Roman"/>
          <w:color w:val="auto"/>
          <w:highlight w:val="none"/>
        </w:rPr>
      </w:pPr>
      <w:r>
        <w:rPr>
          <w:rFonts w:ascii="宋体" w:eastAsia="宋体" w:hAnsi="宋体" w:cs="Times New Roman" w:hint="eastAsia"/>
          <w:color w:val="auto"/>
          <w:highlight w:val="none"/>
          <w:lang w:val="en-US" w:eastAsia="zh-CN"/>
        </w:rPr>
        <w:t>4、</w:t>
      </w:r>
      <w:r>
        <w:rPr>
          <w:rFonts w:ascii="宋体" w:eastAsia="宋体" w:hAnsi="宋体" w:cs="Times New Roman" w:hint="eastAsia"/>
          <w:color w:val="auto"/>
          <w:highlight w:val="none"/>
        </w:rPr>
        <w:t>以上媒体公告内容不一致的，以深圳政府采购智慧平台（http://zfcg.szggzy.com:8081/）的公告内容为准。</w:t>
      </w:r>
    </w:p>
    <w:p>
      <w:pPr>
        <w:pStyle w:val="Heading2"/>
        <w:spacing w:line="360" w:lineRule="auto"/>
        <w:rPr>
          <w:rFonts w:ascii="宋体" w:eastAsia="宋体" w:hAnsi="宋体"/>
          <w:b w:val="0"/>
          <w:sz w:val="21"/>
          <w:szCs w:val="21"/>
        </w:rPr>
      </w:pPr>
      <w:r>
        <w:rPr>
          <w:rFonts w:ascii="宋体" w:eastAsia="宋体" w:hAnsi="宋体" w:hint="eastAsia"/>
          <w:b w:val="0"/>
          <w:sz w:val="21"/>
          <w:szCs w:val="21"/>
        </w:rPr>
        <w:t>七、对本次采购提出询问，请按</w:t>
      </w:r>
      <w:r>
        <w:rPr>
          <w:rFonts w:ascii="宋体" w:eastAsia="宋体" w:hAnsi="宋体"/>
          <w:b w:val="0"/>
          <w:sz w:val="21"/>
          <w:szCs w:val="21"/>
        </w:rPr>
        <w:t>以下方式</w:t>
      </w:r>
      <w:r>
        <w:rPr>
          <w:rFonts w:ascii="宋体" w:eastAsia="宋体" w:hAnsi="宋体" w:hint="eastAsia"/>
          <w:b w:val="0"/>
          <w:sz w:val="21"/>
          <w:szCs w:val="21"/>
        </w:rPr>
        <w:t>联系。</w:t>
      </w:r>
    </w:p>
    <w:p>
      <w:pPr>
        <w:widowControl/>
        <w:spacing w:line="360" w:lineRule="auto"/>
        <w:ind w:firstLine="420" w:firstLineChars="200"/>
        <w:jc w:val="left"/>
        <w:rPr>
          <w:rFonts w:ascii="宋体" w:hAnsi="宋体"/>
        </w:rPr>
      </w:pPr>
      <w:r>
        <w:rPr>
          <w:rFonts w:ascii="宋体" w:hAnsi="宋体" w:hint="eastAsia"/>
          <w:lang w:val="en-US" w:eastAsia="zh-CN"/>
        </w:rPr>
        <w:t>（一）</w:t>
      </w:r>
      <w:r>
        <w:rPr>
          <w:rFonts w:ascii="宋体" w:hAnsi="宋体" w:hint="eastAsia"/>
        </w:rPr>
        <w:t>采购人信息</w:t>
      </w:r>
    </w:p>
    <w:p>
      <w:pPr>
        <w:widowControl/>
        <w:spacing w:line="360" w:lineRule="auto"/>
        <w:ind w:firstLine="420" w:firstLineChars="200"/>
        <w:jc w:val="left"/>
        <w:rPr>
          <w:rFonts w:ascii="宋体" w:hAnsi="宋体" w:hint="eastAsia"/>
          <w:lang w:eastAsia="zh-CN"/>
        </w:rPr>
      </w:pPr>
      <w:r>
        <w:rPr>
          <w:rFonts w:ascii="宋体" w:hAnsi="宋体" w:hint="eastAsia"/>
        </w:rPr>
        <w:t>名称：</w:t>
      </w:r>
      <w:r>
        <w:rPr>
          <w:rFonts w:ascii="宋体" w:hAnsi="宋体" w:hint="eastAsia"/>
          <w:lang w:eastAsia="zh-CN"/>
        </w:rPr>
        <w:t>清华大学深圳国际研究生院</w:t>
      </w:r>
    </w:p>
    <w:p>
      <w:pPr>
        <w:widowControl/>
        <w:spacing w:line="360" w:lineRule="auto"/>
        <w:ind w:firstLine="420" w:firstLineChars="200"/>
        <w:jc w:val="left"/>
        <w:rPr>
          <w:rFonts w:ascii="宋体" w:hAnsi="宋体" w:hint="eastAsia"/>
        </w:rPr>
      </w:pPr>
      <w:r>
        <w:rPr>
          <w:rFonts w:ascii="宋体" w:hAnsi="宋体" w:hint="eastAsia"/>
        </w:rPr>
        <w:t>地址：清华大学深圳国际研究生院A楼2楼</w:t>
      </w:r>
    </w:p>
    <w:p>
      <w:pPr>
        <w:widowControl/>
        <w:spacing w:line="360" w:lineRule="auto"/>
        <w:ind w:firstLine="420" w:firstLineChars="200"/>
        <w:jc w:val="left"/>
        <w:rPr>
          <w:rFonts w:ascii="宋体" w:hAnsi="宋体" w:hint="eastAsia"/>
        </w:rPr>
      </w:pPr>
      <w:r>
        <w:rPr>
          <w:rFonts w:ascii="宋体" w:hAnsi="宋体" w:hint="eastAsia"/>
        </w:rPr>
        <w:t>联系方式：罗老师 0755-26036156</w:t>
      </w:r>
    </w:p>
    <w:p>
      <w:pPr>
        <w:widowControl/>
        <w:spacing w:line="360" w:lineRule="auto"/>
        <w:ind w:firstLine="420" w:firstLineChars="200"/>
        <w:jc w:val="left"/>
        <w:rPr>
          <w:rFonts w:ascii="宋体" w:hAnsi="宋体" w:hint="eastAsia"/>
        </w:rPr>
      </w:pPr>
      <w:r>
        <w:rPr>
          <w:rFonts w:ascii="宋体" w:hAnsi="宋体" w:hint="eastAsia"/>
          <w:lang w:eastAsia="zh-CN"/>
        </w:rPr>
        <w:t>（二）</w:t>
      </w:r>
      <w:r>
        <w:rPr>
          <w:rFonts w:ascii="宋体" w:hAnsi="宋体" w:hint="eastAsia"/>
        </w:rPr>
        <w:t>采购代理机构</w:t>
      </w:r>
    </w:p>
    <w:p>
      <w:pPr>
        <w:widowControl/>
        <w:spacing w:line="360" w:lineRule="auto"/>
        <w:ind w:firstLine="420" w:firstLineChars="200"/>
        <w:jc w:val="left"/>
        <w:rPr>
          <w:rFonts w:ascii="宋体" w:hAnsi="宋体"/>
        </w:rPr>
      </w:pPr>
      <w:r>
        <w:rPr>
          <w:rFonts w:ascii="宋体" w:hAnsi="宋体" w:hint="eastAsia"/>
        </w:rPr>
        <w:t>名称：采联国际招标采购集团有限公司</w:t>
      </w:r>
    </w:p>
    <w:p>
      <w:pPr>
        <w:widowControl/>
        <w:spacing w:line="360" w:lineRule="auto"/>
        <w:ind w:firstLine="420" w:firstLineChars="200"/>
        <w:jc w:val="left"/>
        <w:rPr>
          <w:rFonts w:ascii="宋体" w:hAnsi="宋体"/>
          <w:color w:val="000000"/>
        </w:rPr>
      </w:pPr>
      <w:r>
        <w:rPr>
          <w:rFonts w:ascii="宋体" w:hAnsi="宋体" w:hint="eastAsia"/>
        </w:rPr>
        <w:t>地址：</w:t>
      </w:r>
      <w:r>
        <w:rPr>
          <w:rFonts w:ascii="宋体" w:hAnsi="宋体" w:hint="eastAsia"/>
          <w:color w:val="000000"/>
        </w:rPr>
        <w:t>深圳市福田区竹子林中国经贸大厦10楼采联国际招标采购集团有限公司深圳分公司</w:t>
      </w:r>
      <w:bookmarkStart w:id="34" w:name="_Toc28359010"/>
      <w:bookmarkStart w:id="35" w:name="_Toc28359087"/>
    </w:p>
    <w:p>
      <w:pPr>
        <w:widowControl/>
        <w:spacing w:line="360" w:lineRule="auto"/>
        <w:ind w:firstLine="420" w:firstLineChars="200"/>
        <w:jc w:val="left"/>
        <w:rPr>
          <w:rFonts w:ascii="宋体" w:hAnsi="宋体"/>
          <w:color w:val="auto"/>
        </w:rPr>
      </w:pPr>
      <w:r>
        <w:rPr>
          <w:rFonts w:ascii="宋体" w:hAnsi="宋体" w:hint="eastAsia"/>
          <w:lang w:eastAsia="zh-CN"/>
        </w:rPr>
        <w:t>（三</w:t>
      </w:r>
      <w:r>
        <w:rPr>
          <w:rFonts w:ascii="宋体" w:hAnsi="宋体" w:hint="eastAsia"/>
          <w:color w:val="auto"/>
          <w:lang w:eastAsia="zh-CN"/>
        </w:rPr>
        <w:t>）</w:t>
      </w:r>
      <w:r>
        <w:rPr>
          <w:rFonts w:ascii="宋体" w:hAnsi="宋体" w:hint="eastAsia"/>
          <w:color w:val="auto"/>
        </w:rPr>
        <w:t>项目</w:t>
      </w:r>
      <w:r>
        <w:rPr>
          <w:rFonts w:ascii="宋体" w:hAnsi="宋体"/>
          <w:color w:val="auto"/>
        </w:rPr>
        <w:t>联系方式</w:t>
      </w:r>
      <w:bookmarkEnd w:id="34"/>
      <w:bookmarkEnd w:id="35"/>
    </w:p>
    <w:p>
      <w:pPr>
        <w:widowControl/>
        <w:spacing w:line="360" w:lineRule="auto"/>
        <w:ind w:firstLine="420" w:firstLineChars="200"/>
        <w:jc w:val="left"/>
        <w:rPr>
          <w:rFonts w:hAnsi="宋体" w:hint="eastAsia"/>
          <w:color w:val="auto"/>
        </w:rPr>
      </w:pPr>
      <w:r>
        <w:rPr>
          <w:rFonts w:hAnsi="宋体" w:hint="eastAsia"/>
          <w:color w:val="auto"/>
        </w:rPr>
        <w:t>项目联系人</w:t>
      </w:r>
      <w:r>
        <w:rPr>
          <w:rFonts w:ascii="宋体" w:eastAsia="宋体" w:hAnsi="宋体" w:cs="宋体" w:hint="eastAsia"/>
          <w:color w:val="auto"/>
        </w:rPr>
        <w:t>：</w:t>
      </w:r>
      <w:r>
        <w:rPr>
          <w:rFonts w:ascii="宋体" w:hAnsi="宋体" w:cs="宋体" w:hint="eastAsia"/>
          <w:color w:val="auto"/>
          <w:lang w:val="en-US" w:eastAsia="zh-CN"/>
        </w:rPr>
        <w:t>廖</w:t>
      </w:r>
      <w:r>
        <w:rPr>
          <w:rFonts w:ascii="宋体" w:eastAsia="宋体" w:hAnsi="宋体" w:cs="宋体" w:hint="eastAsia"/>
          <w:color w:val="auto"/>
        </w:rPr>
        <w:t>小姐</w:t>
      </w:r>
    </w:p>
    <w:p>
      <w:pPr>
        <w:widowControl/>
        <w:spacing w:line="360" w:lineRule="auto"/>
        <w:ind w:firstLine="420" w:firstLineChars="200"/>
        <w:jc w:val="left"/>
        <w:rPr>
          <w:rFonts w:ascii="宋体" w:hAnsi="宋体" w:hint="default"/>
          <w:color w:val="auto"/>
          <w:lang w:val="en-US"/>
        </w:rPr>
      </w:pPr>
      <w:r>
        <w:rPr>
          <w:rFonts w:ascii="宋体" w:hAnsi="宋体" w:hint="eastAsia"/>
          <w:color w:val="auto"/>
        </w:rPr>
        <w:t>电话：</w:t>
      </w:r>
      <w:r>
        <w:rPr>
          <w:rFonts w:ascii="宋体" w:hAnsi="宋体" w:hint="eastAsia"/>
          <w:color w:val="auto"/>
          <w:szCs w:val="21"/>
        </w:rPr>
        <w:t>0755-88377572转</w:t>
      </w:r>
      <w:r>
        <w:rPr>
          <w:rFonts w:ascii="宋体" w:hAnsi="宋体" w:hint="eastAsia"/>
          <w:color w:val="auto"/>
          <w:szCs w:val="21"/>
          <w:lang w:val="en-US" w:eastAsia="zh-CN"/>
        </w:rPr>
        <w:t>2321</w:t>
      </w:r>
    </w:p>
    <w:p>
      <w:pPr>
        <w:widowControl/>
        <w:spacing w:line="360" w:lineRule="auto"/>
        <w:ind w:firstLine="420" w:firstLineChars="200"/>
        <w:jc w:val="left"/>
        <w:rPr>
          <w:rFonts w:ascii="宋体" w:hAnsi="宋体" w:hint="eastAsia"/>
          <w:color w:val="auto"/>
        </w:rPr>
      </w:pPr>
      <w:r>
        <w:rPr>
          <w:rFonts w:ascii="宋体" w:hAnsi="宋体" w:hint="eastAsia"/>
          <w:color w:val="auto"/>
        </w:rPr>
        <w:t>邮编：518040</w:t>
      </w:r>
    </w:p>
    <w:p>
      <w:pPr>
        <w:widowControl/>
        <w:spacing w:line="360" w:lineRule="auto"/>
        <w:ind w:firstLine="420" w:firstLineChars="200"/>
        <w:jc w:val="left"/>
        <w:rPr>
          <w:rFonts w:ascii="宋体" w:hAnsi="宋体"/>
        </w:rPr>
      </w:pPr>
      <w:r>
        <w:rPr>
          <w:rFonts w:ascii="宋体" w:hAnsi="宋体" w:hint="eastAsia"/>
        </w:rPr>
        <w:t>邮箱：cailiansz@126.com</w:t>
      </w:r>
    </w:p>
    <w:p>
      <w:pPr>
        <w:pStyle w:val="Heading2"/>
        <w:adjustRightInd w:val="0"/>
        <w:snapToGrid w:val="0"/>
        <w:spacing w:line="360" w:lineRule="auto"/>
        <w:rPr>
          <w:rFonts w:ascii="宋体" w:eastAsia="宋体" w:hAnsi="宋体"/>
          <w:b w:val="0"/>
          <w:sz w:val="21"/>
          <w:szCs w:val="21"/>
        </w:rPr>
      </w:pPr>
      <w:r>
        <w:rPr>
          <w:rFonts w:ascii="宋体" w:eastAsia="宋体" w:hAnsi="宋体" w:hint="eastAsia"/>
          <w:b w:val="0"/>
          <w:sz w:val="21"/>
          <w:szCs w:val="21"/>
        </w:rPr>
        <w:t>八、附件</w:t>
      </w:r>
    </w:p>
    <w:p>
      <w:pPr>
        <w:adjustRightInd w:val="0"/>
        <w:snapToGrid w:val="0"/>
        <w:spacing w:line="360" w:lineRule="auto"/>
        <w:ind w:firstLine="420" w:firstLineChars="200"/>
        <w:jc w:val="left"/>
        <w:rPr>
          <w:rFonts w:ascii="宋体" w:hAnsi="宋体"/>
        </w:rPr>
      </w:pPr>
      <w:r>
        <w:rPr>
          <w:rFonts w:ascii="宋体" w:hAnsi="宋体" w:hint="eastAsia"/>
        </w:rPr>
        <w:t>谈判文件szczf：-详见后面附件-</w:t>
      </w:r>
    </w:p>
    <w:p>
      <w:pPr>
        <w:adjustRightInd w:val="0"/>
        <w:snapToGrid w:val="0"/>
        <w:spacing w:line="360" w:lineRule="auto"/>
        <w:ind w:firstLine="420" w:firstLineChars="200"/>
        <w:jc w:val="left"/>
        <w:rPr>
          <w:rFonts w:ascii="宋体" w:hAnsi="宋体"/>
        </w:rPr>
      </w:pPr>
      <w:r>
        <w:rPr>
          <w:rFonts w:ascii="宋体" w:hAnsi="宋体" w:hint="eastAsia"/>
        </w:rPr>
        <w:t>谈判文件PDF：-详见后面附件-</w:t>
      </w:r>
    </w:p>
    <w:p>
      <w:pPr>
        <w:adjustRightInd w:val="0"/>
        <w:snapToGrid w:val="0"/>
        <w:spacing w:line="360" w:lineRule="auto"/>
        <w:ind w:firstLine="420" w:firstLineChars="200"/>
        <w:jc w:val="left"/>
        <w:rPr>
          <w:rFonts w:ascii="宋体" w:hAnsi="宋体"/>
        </w:rPr>
      </w:pPr>
      <w:r>
        <w:rPr>
          <w:rFonts w:ascii="宋体" w:hAnsi="宋体" w:hint="eastAsia"/>
        </w:rPr>
        <w:t>谈判文件DOC：-详见后面附件-</w:t>
      </w:r>
    </w:p>
    <w:p>
      <w:pPr>
        <w:adjustRightInd w:val="0"/>
        <w:snapToGrid w:val="0"/>
        <w:spacing w:line="360" w:lineRule="auto"/>
        <w:ind w:firstLine="420" w:firstLineChars="200"/>
        <w:jc w:val="left"/>
        <w:rPr>
          <w:rFonts w:ascii="宋体" w:hAnsi="宋体"/>
        </w:rPr>
      </w:pPr>
      <w:r>
        <w:rPr>
          <w:rFonts w:ascii="宋体" w:hAnsi="宋体" w:hint="eastAsia"/>
        </w:rPr>
        <w:t>谈判文件附件：（如工程类项目，还包括图纸和工程量清单）-详见后面附件-</w:t>
      </w:r>
    </w:p>
    <w:p>
      <w:pPr>
        <w:adjustRightInd w:val="0"/>
        <w:snapToGrid w:val="0"/>
        <w:spacing w:line="360" w:lineRule="auto"/>
        <w:ind w:left="1041" w:hanging="262" w:leftChars="371" w:hangingChars="125"/>
        <w:jc w:val="left"/>
        <w:rPr>
          <w:rFonts w:ascii="宋体" w:hAnsi="宋体"/>
        </w:rPr>
      </w:pPr>
    </w:p>
    <w:p>
      <w:pPr>
        <w:adjustRightInd w:val="0"/>
        <w:snapToGrid w:val="0"/>
        <w:spacing w:line="360" w:lineRule="auto"/>
        <w:jc w:val="left"/>
        <w:rPr>
          <w:rFonts w:ascii="宋体" w:hAnsi="宋体"/>
        </w:rPr>
      </w:pPr>
      <w:r>
        <w:rPr>
          <w:rFonts w:ascii="宋体" w:hAnsi="宋体" w:hint="eastAsia"/>
        </w:rPr>
        <w:t>通用附件：</w:t>
      </w:r>
    </w:p>
    <w:p>
      <w:pPr>
        <w:adjustRightInd w:val="0"/>
        <w:snapToGrid w:val="0"/>
        <w:spacing w:line="360" w:lineRule="auto"/>
        <w:ind w:firstLine="420" w:firstLineChars="200"/>
        <w:jc w:val="left"/>
        <w:rPr>
          <w:rFonts w:ascii="宋体" w:hAnsi="宋体"/>
        </w:rPr>
      </w:pPr>
      <w:r>
        <w:rPr>
          <w:rFonts w:ascii="宋体" w:hAnsi="宋体" w:hint="eastAsia"/>
        </w:rPr>
        <w:t>1、请下载并使用相应的深圳智慧采购平台投标(应答)文件制作专用软件打开谈判文件（.szczf格式）。</w:t>
      </w:r>
    </w:p>
    <w:p>
      <w:pPr>
        <w:adjustRightInd w:val="0"/>
        <w:snapToGrid w:val="0"/>
        <w:spacing w:line="360" w:lineRule="auto"/>
        <w:ind w:firstLine="420" w:firstLineChars="200"/>
        <w:jc w:val="left"/>
        <w:rPr>
          <w:rFonts w:ascii="宋体" w:hAnsi="宋体"/>
          <w:b/>
          <w:color w:val="auto"/>
          <w:u w:val="single"/>
        </w:rPr>
      </w:pPr>
      <w:r>
        <w:rPr>
          <w:rFonts w:ascii="宋体" w:hAnsi="宋体" w:hint="eastAsia"/>
        </w:rPr>
        <w:t>2、供应商端操作手册。</w:t>
      </w:r>
    </w:p>
    <w:p>
      <w:pPr>
        <w:tabs>
          <w:tab w:val="right" w:pos="9180"/>
        </w:tabs>
        <w:adjustRightInd w:val="0"/>
        <w:snapToGrid w:val="0"/>
        <w:spacing w:line="360" w:lineRule="auto"/>
        <w:ind w:firstLine="435"/>
        <w:jc w:val="right"/>
        <w:rPr>
          <w:rFonts w:ascii="宋体" w:hAnsi="宋体"/>
          <w:b/>
          <w:color w:val="auto"/>
        </w:rPr>
      </w:pPr>
      <w:r>
        <w:rPr>
          <w:rFonts w:ascii="宋体" w:hAnsi="宋体" w:hint="eastAsia"/>
          <w:b/>
          <w:color w:val="auto"/>
        </w:rPr>
        <w:t>采联国际招标采购集团有限公司</w:t>
      </w:r>
    </w:p>
    <w:p>
      <w:pPr>
        <w:adjustRightInd w:val="0"/>
        <w:snapToGrid w:val="0"/>
        <w:spacing w:line="360" w:lineRule="auto"/>
        <w:ind w:firstLine="435"/>
        <w:jc w:val="right"/>
        <w:rPr>
          <w:rFonts w:ascii="宋体" w:hAnsi="宋体"/>
          <w:b/>
          <w:color w:val="auto"/>
        </w:rPr>
      </w:pPr>
      <w:r>
        <w:rPr>
          <w:rFonts w:ascii="宋体" w:hAnsi="宋体" w:hint="eastAsia"/>
          <w:b/>
          <w:color w:val="auto"/>
        </w:rPr>
        <w:t xml:space="preserve">   </w:t>
      </w:r>
      <w:r>
        <w:rPr>
          <w:rFonts w:ascii="宋体" w:hAnsi="宋体" w:hint="eastAsia"/>
          <w:b/>
          <w:color w:val="auto"/>
          <w:lang w:val="en-US" w:eastAsia="zh-CN"/>
        </w:rPr>
        <w:t>2024</w:t>
      </w:r>
      <w:r>
        <w:rPr>
          <w:rFonts w:ascii="宋体" w:hAnsi="宋体" w:hint="eastAsia"/>
          <w:b/>
          <w:color w:val="auto"/>
        </w:rPr>
        <w:t>年</w:t>
      </w:r>
      <w:r>
        <w:rPr>
          <w:rFonts w:ascii="宋体" w:hAnsi="宋体" w:hint="eastAsia"/>
          <w:b/>
          <w:color w:val="auto"/>
          <w:lang w:val="en-US" w:eastAsia="zh-CN"/>
        </w:rPr>
        <w:t>8月14</w:t>
      </w:r>
      <w:r>
        <w:rPr>
          <w:rFonts w:ascii="宋体" w:hAnsi="宋体" w:hint="eastAsia"/>
          <w:b/>
          <w:color w:val="auto"/>
        </w:rPr>
        <w:t>日</w:t>
      </w:r>
    </w:p>
    <w:p>
      <w:pPr>
        <w:rPr>
          <w:rFonts w:hint="eastAsia"/>
          <w:kern w:val="0"/>
          <w:sz w:val="30"/>
          <w:szCs w:val="30"/>
        </w:rPr>
      </w:pPr>
      <w:bookmarkStart w:id="36" w:name="_Toc23927923"/>
      <w:bookmarkStart w:id="37" w:name="_Toc21682"/>
      <w:r>
        <w:rPr>
          <w:rFonts w:hint="eastAsia"/>
          <w:kern w:val="0"/>
          <w:sz w:val="30"/>
          <w:szCs w:val="30"/>
        </w:rPr>
        <w:br w:type="page"/>
      </w:r>
    </w:p>
    <w:p>
      <w:pPr>
        <w:pStyle w:val="Heading1"/>
        <w:adjustRightInd w:val="0"/>
        <w:snapToGrid w:val="0"/>
        <w:spacing w:before="0" w:after="0" w:line="360" w:lineRule="auto"/>
        <w:jc w:val="center"/>
        <w:rPr>
          <w:kern w:val="0"/>
          <w:sz w:val="30"/>
          <w:szCs w:val="30"/>
        </w:rPr>
      </w:pPr>
      <w:bookmarkStart w:id="38" w:name="_Toc256000001"/>
      <w:r>
        <w:rPr>
          <w:rFonts w:hint="eastAsia"/>
          <w:kern w:val="0"/>
          <w:sz w:val="30"/>
          <w:szCs w:val="30"/>
        </w:rPr>
        <w:t>第二章  谈判须知</w:t>
      </w:r>
      <w:bookmarkEnd w:id="38"/>
      <w:bookmarkEnd w:id="36"/>
      <w:bookmarkEnd w:id="37"/>
    </w:p>
    <w:p>
      <w:pPr>
        <w:jc w:val="center"/>
        <w:outlineLvl w:val="1"/>
        <w:rPr>
          <w:b/>
          <w:sz w:val="30"/>
          <w:szCs w:val="30"/>
        </w:rPr>
      </w:pPr>
      <w:r>
        <w:rPr>
          <w:rFonts w:hint="eastAsia"/>
          <w:b/>
          <w:sz w:val="30"/>
          <w:szCs w:val="30"/>
        </w:rPr>
        <w:t>一、总   则</w:t>
      </w:r>
    </w:p>
    <w:p>
      <w:pPr>
        <w:numPr>
          <w:ilvl w:val="0"/>
          <w:numId w:val="2"/>
        </w:numPr>
        <w:adjustRightInd w:val="0"/>
        <w:snapToGrid w:val="0"/>
        <w:spacing w:line="360" w:lineRule="auto"/>
        <w:ind w:left="426" w:hanging="424" w:hangingChars="202"/>
        <w:outlineLvl w:val="2"/>
        <w:rPr>
          <w:rFonts w:ascii="宋体" w:hAnsi="宋体"/>
          <w:b/>
          <w:bCs/>
        </w:rPr>
      </w:pPr>
      <w:r>
        <w:rPr>
          <w:rFonts w:ascii="宋体" w:hAnsi="宋体" w:hint="eastAsia"/>
          <w:b/>
          <w:bCs/>
        </w:rPr>
        <w:t>定   义</w:t>
      </w:r>
    </w:p>
    <w:p>
      <w:pPr>
        <w:numPr>
          <w:ilvl w:val="1"/>
          <w:numId w:val="2"/>
        </w:numPr>
        <w:adjustRightInd w:val="0"/>
        <w:snapToGrid w:val="0"/>
        <w:spacing w:line="360" w:lineRule="auto"/>
      </w:pPr>
      <w:r>
        <w:rPr>
          <w:rFonts w:hint="eastAsia"/>
        </w:rPr>
        <w:t>采购人：依法进行政府采购的</w:t>
      </w:r>
      <w:r>
        <w:t>国家机关、事业单位和团体组织</w:t>
      </w:r>
    </w:p>
    <w:p>
      <w:pPr>
        <w:numPr>
          <w:ilvl w:val="1"/>
          <w:numId w:val="2"/>
        </w:numPr>
        <w:adjustRightInd w:val="0"/>
        <w:snapToGrid w:val="0"/>
        <w:spacing w:line="360" w:lineRule="auto"/>
        <w:rPr>
          <w:rFonts w:ascii="宋体" w:hAnsi="宋体"/>
        </w:rPr>
      </w:pPr>
      <w:r>
        <w:rPr>
          <w:rFonts w:ascii="宋体" w:hAnsi="宋体" w:cs="宋体" w:hint="eastAsia"/>
          <w:lang w:eastAsia="zh-TW"/>
        </w:rPr>
        <w:t>采购代理机构指</w:t>
      </w:r>
      <w:r>
        <w:rPr>
          <w:rFonts w:ascii="宋体" w:hAnsi="宋体" w:hint="eastAsia"/>
        </w:rPr>
        <w:t>按照规定办理名录登记并通过审核的代理机构</w:t>
      </w:r>
      <w:r>
        <w:rPr>
          <w:rFonts w:ascii="宋体" w:hAnsi="宋体" w:cs="宋体" w:hint="eastAsia"/>
        </w:rPr>
        <w:t>。</w:t>
      </w:r>
    </w:p>
    <w:p>
      <w:pPr>
        <w:numPr>
          <w:ilvl w:val="1"/>
          <w:numId w:val="2"/>
        </w:numPr>
        <w:adjustRightInd w:val="0"/>
        <w:snapToGrid w:val="0"/>
        <w:spacing w:line="360" w:lineRule="auto"/>
        <w:rPr>
          <w:rFonts w:ascii="宋体" w:hAnsi="宋体" w:cs="宋体"/>
          <w:lang w:eastAsia="zh-TW"/>
        </w:rPr>
      </w:pPr>
      <w:r>
        <w:rPr>
          <w:rFonts w:ascii="宋体" w:hAnsi="宋体" w:hint="eastAsia"/>
        </w:rPr>
        <w:t>政府采购监督管理部门</w:t>
      </w:r>
      <w:r>
        <w:rPr>
          <w:rFonts w:ascii="宋体" w:hAnsi="宋体" w:cs="宋体" w:hint="eastAsia"/>
          <w:lang w:eastAsia="zh-TW"/>
        </w:rPr>
        <w:t>：系指人民政府财政部门。</w:t>
      </w:r>
    </w:p>
    <w:p>
      <w:pPr>
        <w:numPr>
          <w:ilvl w:val="1"/>
          <w:numId w:val="2"/>
        </w:numPr>
        <w:adjustRightInd w:val="0"/>
        <w:snapToGrid w:val="0"/>
        <w:spacing w:line="360" w:lineRule="auto"/>
        <w:rPr>
          <w:rFonts w:ascii="宋体" w:hAnsi="宋体"/>
        </w:rPr>
      </w:pPr>
      <w:r>
        <w:rPr>
          <w:rFonts w:ascii="宋体" w:hAnsi="宋体" w:hint="eastAsia"/>
        </w:rPr>
        <w:t>响应供应商：</w:t>
      </w:r>
      <w:r>
        <w:rPr>
          <w:rFonts w:hint="eastAsia"/>
        </w:rPr>
        <w:t>是响应招标并且符合采购文件规定资格条件和参加谈判竞争的法人、其他组织或者自然人</w:t>
      </w:r>
      <w:r>
        <w:rPr>
          <w:rFonts w:ascii="宋体" w:hAnsi="宋体" w:hint="eastAsia"/>
        </w:rPr>
        <w:t>。</w:t>
      </w:r>
    </w:p>
    <w:p>
      <w:pPr>
        <w:numPr>
          <w:ilvl w:val="1"/>
          <w:numId w:val="2"/>
        </w:numPr>
        <w:adjustRightInd w:val="0"/>
        <w:snapToGrid w:val="0"/>
        <w:spacing w:line="360" w:lineRule="auto"/>
        <w:rPr>
          <w:rFonts w:ascii="宋体" w:hAnsi="宋体"/>
        </w:rPr>
      </w:pPr>
      <w:r>
        <w:rPr>
          <w:rFonts w:ascii="宋体" w:hAnsi="宋体" w:hint="eastAsia"/>
        </w:rPr>
        <w:t>成交人：</w:t>
      </w:r>
      <w:r>
        <w:rPr>
          <w:rFonts w:hint="eastAsia"/>
        </w:rPr>
        <w:t>指经法定程序确定并授予合同的响应供应商。</w:t>
      </w:r>
    </w:p>
    <w:p>
      <w:pPr>
        <w:numPr>
          <w:ilvl w:val="1"/>
          <w:numId w:val="2"/>
        </w:numPr>
        <w:adjustRightInd w:val="0"/>
        <w:snapToGrid w:val="0"/>
        <w:spacing w:line="360" w:lineRule="auto"/>
        <w:rPr>
          <w:rFonts w:ascii="宋体" w:hAnsi="宋体"/>
        </w:rPr>
      </w:pPr>
      <w:r>
        <w:rPr>
          <w:rFonts w:ascii="宋体" w:hAnsi="宋体"/>
        </w:rPr>
        <w:t>进口产品</w:t>
      </w:r>
      <w:r>
        <w:rPr>
          <w:rFonts w:ascii="宋体" w:hAnsi="宋体" w:hint="eastAsia"/>
        </w:rPr>
        <w:t>：系</w:t>
      </w:r>
      <w:r>
        <w:rPr>
          <w:rFonts w:ascii="宋体" w:hAnsi="宋体"/>
        </w:rPr>
        <w:t>指通过中国海关报关验放进入中国境内且产自关境外的产品</w:t>
      </w:r>
      <w:r>
        <w:rPr>
          <w:rFonts w:ascii="宋体" w:hAnsi="宋体" w:cs="宋体" w:hint="eastAsia"/>
          <w:lang w:eastAsia="zh-TW"/>
        </w:rPr>
        <w:t>（如适用）</w:t>
      </w:r>
      <w:r>
        <w:rPr>
          <w:rFonts w:ascii="宋体" w:hAnsi="宋体"/>
        </w:rPr>
        <w:t>。</w:t>
      </w:r>
    </w:p>
    <w:p>
      <w:pPr>
        <w:numPr>
          <w:ilvl w:val="1"/>
          <w:numId w:val="2"/>
        </w:numPr>
        <w:adjustRightInd w:val="0"/>
        <w:snapToGrid w:val="0"/>
        <w:spacing w:line="360" w:lineRule="auto"/>
        <w:rPr>
          <w:rFonts w:ascii="宋体" w:hAnsi="宋体"/>
        </w:rPr>
      </w:pPr>
      <w:r>
        <w:rPr>
          <w:rFonts w:ascii="宋体" w:hAnsi="宋体" w:hint="eastAsia"/>
        </w:rPr>
        <w:t>实质性响应：是指对采购文件要求、条款、条件和规定没有重大偏离或保留。</w:t>
      </w:r>
    </w:p>
    <w:p>
      <w:pPr>
        <w:numPr>
          <w:ilvl w:val="1"/>
          <w:numId w:val="2"/>
        </w:numPr>
        <w:adjustRightInd w:val="0"/>
        <w:snapToGrid w:val="0"/>
        <w:spacing w:line="360" w:lineRule="auto"/>
        <w:rPr>
          <w:rFonts w:ascii="宋体" w:hAnsi="宋体"/>
        </w:rPr>
      </w:pPr>
      <w:r>
        <w:rPr>
          <w:rFonts w:ascii="宋体" w:hAnsi="宋体" w:hint="eastAsia"/>
        </w:rPr>
        <w:t>重大偏离或保留：是指影响到采购文件规定的货物和质量或限制了采购人的权利和响应供应商的义务的规定，而纠正这些偏离将影响到其它响应供应商的公平竞争地位。</w:t>
      </w:r>
    </w:p>
    <w:p>
      <w:pPr>
        <w:numPr>
          <w:ilvl w:val="1"/>
          <w:numId w:val="2"/>
        </w:numPr>
        <w:adjustRightInd w:val="0"/>
        <w:snapToGrid w:val="0"/>
        <w:spacing w:line="360" w:lineRule="auto"/>
        <w:rPr>
          <w:rFonts w:ascii="宋体" w:hAnsi="宋体"/>
        </w:rPr>
      </w:pPr>
      <w:r>
        <w:rPr>
          <w:rFonts w:ascii="宋体" w:hAnsi="宋体" w:hint="eastAsia"/>
        </w:rPr>
        <w:t>履约保证金：是指</w:t>
      </w:r>
      <w:r>
        <w:rPr>
          <w:rFonts w:hint="eastAsia"/>
        </w:rPr>
        <w:t>采购人</w:t>
      </w:r>
      <w:r>
        <w:t>为防止</w:t>
      </w:r>
      <w:r>
        <w:rPr>
          <w:rFonts w:hint="eastAsia"/>
        </w:rPr>
        <w:t>成交人</w:t>
      </w:r>
      <w:r>
        <w:t>在合同执行过程中违反合同规定或违约，并弥补给</w:t>
      </w:r>
      <w:r>
        <w:rPr>
          <w:rFonts w:hint="eastAsia"/>
        </w:rPr>
        <w:t>采购</w:t>
      </w:r>
      <w:r>
        <w:t>人造成的经济损失</w:t>
      </w:r>
      <w:r>
        <w:rPr>
          <w:rFonts w:hint="eastAsia"/>
        </w:rPr>
        <w:t>，</w:t>
      </w:r>
      <w:r>
        <w:t>既不同于定金，也不同于预付款</w:t>
      </w:r>
      <w:r>
        <w:rPr>
          <w:rFonts w:ascii="宋体" w:hAnsi="宋体" w:cs="宋体" w:hint="eastAsia"/>
          <w:lang w:eastAsia="zh-TW"/>
        </w:rPr>
        <w:t>（如适用）</w:t>
      </w:r>
      <w:r>
        <w:rPr>
          <w:rFonts w:hint="eastAsia"/>
        </w:rPr>
        <w:t>。</w:t>
      </w:r>
      <w:r>
        <w:rPr>
          <w:rFonts w:hint="eastAsia"/>
          <w:lang w:eastAsia="zh-CN"/>
        </w:rPr>
        <w:t>（</w:t>
      </w:r>
      <w:r>
        <w:rPr>
          <w:rFonts w:hint="eastAsia"/>
          <w:lang w:val="en-US" w:eastAsia="zh-CN"/>
        </w:rPr>
        <w:t>本项目不适用</w:t>
      </w:r>
      <w:r>
        <w:rPr>
          <w:rFonts w:hint="eastAsia"/>
          <w:lang w:eastAsia="zh-CN"/>
        </w:rPr>
        <w:t>）</w:t>
      </w:r>
    </w:p>
    <w:p>
      <w:pPr>
        <w:numPr>
          <w:ilvl w:val="1"/>
          <w:numId w:val="2"/>
        </w:numPr>
        <w:adjustRightInd w:val="0"/>
        <w:snapToGrid w:val="0"/>
        <w:spacing w:line="360" w:lineRule="auto"/>
        <w:rPr>
          <w:rFonts w:ascii="宋体" w:hAnsi="宋体"/>
        </w:rPr>
      </w:pPr>
      <w:r>
        <w:rPr>
          <w:rFonts w:ascii="宋体" w:hAnsi="宋体" w:hint="eastAsia"/>
        </w:rPr>
        <w:t>日期、天数、时间：无特别说明时是指公历日及北京时间。</w:t>
      </w:r>
    </w:p>
    <w:p>
      <w:pPr>
        <w:numPr>
          <w:ilvl w:val="0"/>
          <w:numId w:val="2"/>
        </w:numPr>
        <w:adjustRightInd w:val="0"/>
        <w:snapToGrid w:val="0"/>
        <w:spacing w:line="360" w:lineRule="auto"/>
        <w:ind w:left="426" w:hanging="424" w:hangingChars="202"/>
        <w:outlineLvl w:val="2"/>
        <w:rPr>
          <w:rFonts w:ascii="宋体" w:hAnsi="宋体"/>
          <w:b/>
          <w:bCs/>
        </w:rPr>
      </w:pPr>
      <w:r>
        <w:rPr>
          <w:rFonts w:ascii="宋体" w:hAnsi="宋体" w:hint="eastAsia"/>
          <w:b/>
          <w:bCs/>
        </w:rPr>
        <w:t>适用范围</w:t>
      </w:r>
    </w:p>
    <w:p>
      <w:pPr>
        <w:numPr>
          <w:ilvl w:val="1"/>
          <w:numId w:val="2"/>
        </w:numPr>
        <w:adjustRightInd w:val="0"/>
        <w:snapToGrid w:val="0"/>
        <w:spacing w:line="360" w:lineRule="auto"/>
        <w:rPr>
          <w:rFonts w:ascii="宋体" w:hAnsi="宋体"/>
        </w:rPr>
      </w:pPr>
      <w:r>
        <w:rPr>
          <w:rFonts w:ascii="宋体" w:hAnsi="宋体" w:hint="eastAsia"/>
        </w:rPr>
        <w:t>依据《中华人民共和国政府采购法》《深圳经济特区政府采购条例》《深圳经济特区政府采购条例实施细则》及其配套的法规、规章、政策。</w:t>
      </w:r>
    </w:p>
    <w:p>
      <w:pPr>
        <w:numPr>
          <w:ilvl w:val="1"/>
          <w:numId w:val="2"/>
        </w:numPr>
        <w:adjustRightInd w:val="0"/>
        <w:snapToGrid w:val="0"/>
        <w:spacing w:line="360" w:lineRule="auto"/>
        <w:rPr>
          <w:rFonts w:ascii="宋体" w:hAnsi="宋体"/>
        </w:rPr>
      </w:pPr>
      <w:r>
        <w:rPr>
          <w:rFonts w:ascii="宋体" w:hAnsi="宋体" w:hint="eastAsia"/>
        </w:rPr>
        <w:t>采购人、响应供应商、采购代理机构及各方当事人适用本须知。</w:t>
      </w:r>
    </w:p>
    <w:p>
      <w:pPr>
        <w:numPr>
          <w:ilvl w:val="0"/>
          <w:numId w:val="2"/>
        </w:numPr>
        <w:adjustRightInd w:val="0"/>
        <w:snapToGrid w:val="0"/>
        <w:spacing w:line="360" w:lineRule="auto"/>
        <w:ind w:left="426" w:hanging="424" w:hangingChars="202"/>
        <w:outlineLvl w:val="2"/>
        <w:rPr>
          <w:rFonts w:ascii="宋体" w:hAnsi="宋体"/>
        </w:rPr>
      </w:pPr>
      <w:r>
        <w:rPr>
          <w:rFonts w:ascii="宋体" w:hAnsi="宋体" w:hint="eastAsia"/>
          <w:b/>
          <w:bCs/>
        </w:rPr>
        <w:t>资金来源</w:t>
      </w:r>
      <w:r>
        <w:rPr>
          <w:rFonts w:ascii="宋体" w:hAnsi="宋体" w:hint="eastAsia"/>
        </w:rPr>
        <w:t>：</w:t>
      </w:r>
      <w:r>
        <w:rPr>
          <w:rFonts w:ascii="宋体" w:hAnsi="宋体" w:hint="eastAsia"/>
          <w:b/>
        </w:rPr>
        <w:t>财政性资金</w:t>
      </w:r>
    </w:p>
    <w:p>
      <w:pPr>
        <w:numPr>
          <w:ilvl w:val="0"/>
          <w:numId w:val="2"/>
        </w:numPr>
        <w:adjustRightInd w:val="0"/>
        <w:snapToGrid w:val="0"/>
        <w:spacing w:line="360" w:lineRule="auto"/>
        <w:ind w:left="426" w:hanging="424" w:hangingChars="202"/>
        <w:outlineLvl w:val="2"/>
        <w:rPr>
          <w:rFonts w:ascii="宋体" w:hAnsi="宋体" w:cs="黑体"/>
          <w:b/>
          <w:bCs/>
          <w:strike/>
        </w:rPr>
      </w:pPr>
      <w:r>
        <w:rPr>
          <w:rFonts w:ascii="宋体" w:hAnsi="宋体" w:hint="eastAsia"/>
          <w:b/>
          <w:bCs/>
        </w:rPr>
        <w:t>本项目投标费用：</w:t>
      </w:r>
    </w:p>
    <w:p>
      <w:pPr>
        <w:numPr>
          <w:ilvl w:val="1"/>
          <w:numId w:val="2"/>
        </w:numPr>
        <w:autoSpaceDE w:val="0"/>
        <w:autoSpaceDN w:val="0"/>
        <w:adjustRightInd w:val="0"/>
        <w:snapToGrid w:val="0"/>
        <w:spacing w:line="360" w:lineRule="auto"/>
        <w:rPr>
          <w:rFonts w:ascii="宋体" w:hAnsi="宋体" w:cs="黑体"/>
          <w:b/>
          <w:bCs/>
          <w:strike/>
        </w:rPr>
      </w:pPr>
      <w:r>
        <w:rPr>
          <w:rFonts w:ascii="宋体" w:hAnsi="宋体" w:cs="宋体" w:hint="eastAsia"/>
        </w:rPr>
        <w:t>响应供应商</w:t>
      </w:r>
      <w:r>
        <w:rPr>
          <w:rFonts w:ascii="宋体" w:hAnsi="宋体" w:cs="宋体" w:hint="eastAsia"/>
          <w:lang w:eastAsia="zh-TW"/>
        </w:rPr>
        <w:t>应承担所有与准备和参加投标有关的费用。不论投标的结果如何</w:t>
      </w:r>
      <w:r>
        <w:rPr>
          <w:rFonts w:ascii="宋体" w:hAnsi="宋体" w:cs="宋体" w:hint="eastAsia"/>
        </w:rPr>
        <w:t>，</w:t>
      </w:r>
      <w:r>
        <w:rPr>
          <w:rFonts w:ascii="宋体" w:hAnsi="宋体" w:cs="宋体" w:hint="eastAsia"/>
          <w:lang w:eastAsia="zh-TW"/>
        </w:rPr>
        <w:t>采购人及采购代理机构均无义务和责任承担这些费用</w:t>
      </w:r>
      <w:r>
        <w:rPr>
          <w:rFonts w:ascii="宋体" w:hAnsi="宋体" w:cs="宋体" w:hint="eastAsia"/>
        </w:rPr>
        <w:t>。</w:t>
      </w:r>
    </w:p>
    <w:p>
      <w:pPr>
        <w:numPr>
          <w:ilvl w:val="0"/>
          <w:numId w:val="2"/>
        </w:numPr>
        <w:adjustRightInd w:val="0"/>
        <w:snapToGrid w:val="0"/>
        <w:spacing w:line="360" w:lineRule="auto"/>
        <w:ind w:left="426" w:hanging="424" w:hangingChars="202"/>
        <w:outlineLvl w:val="2"/>
        <w:rPr>
          <w:rFonts w:ascii="宋体" w:hAnsi="宋体"/>
          <w:b/>
          <w:bCs/>
          <w:color w:val="FF0000"/>
        </w:rPr>
      </w:pPr>
      <w:r>
        <w:rPr>
          <w:rFonts w:ascii="宋体" w:hAnsi="宋体" w:hint="eastAsia"/>
          <w:b/>
          <w:bCs/>
        </w:rPr>
        <w:t>合格的货物和服务</w:t>
      </w:r>
    </w:p>
    <w:p>
      <w:pPr>
        <w:numPr>
          <w:ilvl w:val="1"/>
          <w:numId w:val="2"/>
        </w:numPr>
        <w:autoSpaceDE w:val="0"/>
        <w:autoSpaceDN w:val="0"/>
        <w:adjustRightInd w:val="0"/>
        <w:snapToGrid w:val="0"/>
        <w:spacing w:line="360" w:lineRule="auto"/>
        <w:rPr>
          <w:rFonts w:ascii="宋体" w:hAnsi="宋体"/>
        </w:rPr>
      </w:pPr>
      <w:r>
        <w:rPr>
          <w:rFonts w:ascii="宋体" w:hAnsi="宋体" w:hint="eastAsia"/>
        </w:rPr>
        <w:t>“货物”是指</w:t>
      </w:r>
      <w:r>
        <w:rPr>
          <w:rFonts w:cs="新宋体" w:hint="eastAsia"/>
        </w:rPr>
        <w:t>响应</w:t>
      </w:r>
      <w:r>
        <w:rPr>
          <w:rFonts w:cs="新宋体"/>
        </w:rPr>
        <w:t>供应商</w:t>
      </w:r>
      <w:r>
        <w:rPr>
          <w:rFonts w:ascii="宋体" w:hAnsi="宋体" w:hint="eastAsia"/>
        </w:rPr>
        <w:t>制造或组织符合采购文件要求的货物等。投标的货物必须是其合法生产、合法来源的符合国家有关标准要求的货物，并满足采购文件规定的规格、参数、质量、价格、有效期、售后服务、</w:t>
      </w:r>
      <w:r>
        <w:rPr>
          <w:rFonts w:cs="新宋体" w:hint="eastAsia"/>
        </w:rPr>
        <w:t>运输、安装、技术支持、其它伴随服务</w:t>
      </w:r>
      <w:r>
        <w:rPr>
          <w:rFonts w:ascii="宋体" w:hAnsi="宋体" w:hint="eastAsia"/>
        </w:rPr>
        <w:t>等要求</w:t>
      </w:r>
      <w:r>
        <w:rPr>
          <w:rFonts w:ascii="宋体" w:hAnsi="宋体" w:hint="eastAsia"/>
          <w:bCs/>
        </w:rPr>
        <w:t>。</w:t>
      </w:r>
    </w:p>
    <w:p>
      <w:pPr>
        <w:numPr>
          <w:ilvl w:val="1"/>
          <w:numId w:val="2"/>
        </w:numPr>
        <w:autoSpaceDE w:val="0"/>
        <w:autoSpaceDN w:val="0"/>
        <w:adjustRightInd w:val="0"/>
        <w:snapToGrid w:val="0"/>
        <w:spacing w:line="360" w:lineRule="auto"/>
        <w:jc w:val="left"/>
        <w:rPr>
          <w:rFonts w:ascii="宋体" w:hAnsi="宋体"/>
        </w:rPr>
      </w:pPr>
      <w:r>
        <w:rPr>
          <w:rFonts w:ascii="宋体" w:hAnsi="宋体" w:hint="eastAsia"/>
        </w:rPr>
        <w:t>“服务”是指响应供应商须承担的运输、安装、技术支持、培训以及采购文件规定的其它伴随服务。</w:t>
      </w:r>
    </w:p>
    <w:p>
      <w:pPr>
        <w:numPr>
          <w:ilvl w:val="1"/>
          <w:numId w:val="2"/>
        </w:numPr>
        <w:autoSpaceDE w:val="0"/>
        <w:autoSpaceDN w:val="0"/>
        <w:adjustRightInd w:val="0"/>
        <w:snapToGrid w:val="0"/>
        <w:spacing w:line="360" w:lineRule="auto"/>
        <w:rPr>
          <w:rFonts w:ascii="宋体" w:hAnsi="宋体"/>
        </w:rPr>
      </w:pPr>
      <w:r>
        <w:rPr>
          <w:rFonts w:ascii="宋体" w:hAnsi="宋体" w:hint="eastAsia"/>
        </w:rPr>
        <w:t>关于进口产品：根据财政部《政府采购进口产品管理办法》（财库〔2007〕119 号）“第三条本办法所称进口产品是指通过中国海关报关验放进入中国境内且产自关境外的产品。” 及《关于政府采购进口产品管理有关问题的通知》（财办库[2008]248号）“二、关于关境和海关特殊监管区域产品认定 根据《中华人民共和国海关法》(以下简称海关法)的规定，我国现行关境是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这些区域仅在关税待遇及贸易管制方面实施不同于我国关境内其他地区的特殊政策，但仍属于中华人民共和国关境内区域，由海关按照海关法实施监管。因此，凡在海关特殊监管区域内企业生产或加工(包括从境外进口料件)销往境内其他地区的产品，不作为政府采购项下进口产品。对从境外进入海关特殊监管区域，再经办理报关手续后从海关特殊监管区进入境内其他地区的产品，应当认定为进口产品”。</w:t>
      </w:r>
    </w:p>
    <w:p>
      <w:pPr>
        <w:numPr>
          <w:ilvl w:val="1"/>
          <w:numId w:val="2"/>
        </w:numPr>
        <w:adjustRightInd w:val="0"/>
        <w:snapToGrid w:val="0"/>
        <w:spacing w:line="360" w:lineRule="auto"/>
        <w:rPr>
          <w:rFonts w:ascii="宋体" w:hAnsi="宋体"/>
        </w:rPr>
      </w:pPr>
      <w:r>
        <w:rPr>
          <w:rFonts w:ascii="宋体" w:hAnsi="宋体" w:hint="eastAsia"/>
        </w:rPr>
        <w:t>采购人有权拒绝接受任何不合格的货物和服务，由此产生的费用及相关后果均由响应供应商自行承担。</w:t>
      </w:r>
    </w:p>
    <w:p>
      <w:pPr>
        <w:numPr>
          <w:ilvl w:val="0"/>
          <w:numId w:val="2"/>
        </w:numPr>
        <w:autoSpaceDE w:val="0"/>
        <w:autoSpaceDN w:val="0"/>
        <w:adjustRightInd w:val="0"/>
        <w:snapToGrid w:val="0"/>
        <w:spacing w:line="360" w:lineRule="auto"/>
        <w:rPr>
          <w:rFonts w:ascii="宋体" w:hAnsi="宋体"/>
          <w:b/>
          <w:bCs/>
        </w:rPr>
      </w:pPr>
      <w:r>
        <w:rPr>
          <w:rFonts w:ascii="宋体" w:hAnsi="宋体" w:hint="eastAsia"/>
          <w:b/>
          <w:bCs/>
        </w:rPr>
        <w:t>其他</w:t>
      </w:r>
    </w:p>
    <w:p>
      <w:pPr>
        <w:numPr>
          <w:ilvl w:val="1"/>
          <w:numId w:val="2"/>
        </w:numPr>
        <w:autoSpaceDE w:val="0"/>
        <w:autoSpaceDN w:val="0"/>
        <w:adjustRightInd w:val="0"/>
        <w:snapToGrid w:val="0"/>
        <w:spacing w:line="360" w:lineRule="auto"/>
      </w:pPr>
      <w:r>
        <w:rPr>
          <w:rFonts w:ascii="宋体" w:hAnsi="宋体" w:cs="宋体" w:hint="eastAsia"/>
          <w:lang w:eastAsia="zh-TW"/>
        </w:rPr>
        <w:t>所有时间均为24小时制北京时间，所有货币单位均为人民币元，所使用的计量单位均以《中华人民共和国法定计量单位》为准（特别注明除外）</w:t>
      </w:r>
      <w:r>
        <w:rPr>
          <w:rFonts w:ascii="宋体" w:hAnsi="宋体" w:cs="宋体" w:hint="eastAsia"/>
        </w:rPr>
        <w:t>。</w:t>
      </w:r>
    </w:p>
    <w:p>
      <w:pPr>
        <w:numPr>
          <w:ilvl w:val="1"/>
          <w:numId w:val="2"/>
        </w:numPr>
        <w:autoSpaceDE w:val="0"/>
        <w:autoSpaceDN w:val="0"/>
        <w:adjustRightInd w:val="0"/>
        <w:snapToGrid w:val="0"/>
        <w:spacing w:line="360" w:lineRule="auto"/>
        <w:rPr>
          <w:rFonts w:ascii="宋体" w:hAnsi="宋体" w:cs="宋体"/>
          <w:lang w:eastAsia="zh-TW"/>
        </w:rPr>
      </w:pPr>
      <w:r>
        <w:rPr>
          <w:rFonts w:ascii="宋体" w:hAnsi="宋体" w:cs="宋体" w:hint="eastAsia"/>
          <w:lang w:eastAsia="zh-TW"/>
        </w:rPr>
        <w:t>供应商（响应供应商）向我司咨询的有关项目事项，一切以法律法规的规定和本公司书面答复为准，其他一切形式均为个人意见，不代表本公司的意见。</w:t>
      </w:r>
    </w:p>
    <w:p>
      <w:pPr>
        <w:numPr>
          <w:ilvl w:val="1"/>
          <w:numId w:val="2"/>
        </w:numPr>
        <w:adjustRightInd w:val="0"/>
        <w:snapToGrid w:val="0"/>
        <w:spacing w:line="360" w:lineRule="auto"/>
        <w:rPr>
          <w:rFonts w:ascii="宋体" w:hAnsi="宋体"/>
        </w:rPr>
      </w:pPr>
      <w:bookmarkStart w:id="39" w:name="_Hlk21592778"/>
      <w:bookmarkStart w:id="40" w:name="_Hlk42089657"/>
      <w:r>
        <w:rPr>
          <w:rFonts w:ascii="宋体" w:hAnsi="宋体" w:hint="eastAsia"/>
        </w:rPr>
        <w:t>对列入失信</w:t>
      </w:r>
      <w:r>
        <w:rPr>
          <w:rFonts w:ascii="宋体" w:hAnsi="宋体"/>
        </w:rPr>
        <w:t>“</w:t>
      </w:r>
      <w:r>
        <w:rPr>
          <w:rFonts w:ascii="宋体" w:hAnsi="宋体" w:hint="eastAsia"/>
        </w:rPr>
        <w:t>黑名单</w:t>
      </w:r>
      <w:r>
        <w:rPr>
          <w:rFonts w:ascii="宋体" w:hAnsi="宋体"/>
        </w:rPr>
        <w:t>”</w:t>
      </w:r>
      <w:r>
        <w:rPr>
          <w:rFonts w:ascii="宋体" w:hAnsi="宋体" w:hint="eastAsia"/>
        </w:rPr>
        <w:t>的</w:t>
      </w:r>
      <w:bookmarkStart w:id="41" w:name="_Hlk21591509"/>
      <w:r>
        <w:rPr>
          <w:rFonts w:ascii="宋体" w:hAnsi="宋体" w:hint="eastAsia"/>
        </w:rPr>
        <w:t>供应商限制参与政府采购</w:t>
      </w:r>
      <w:bookmarkEnd w:id="41"/>
      <w:r>
        <w:rPr>
          <w:rFonts w:ascii="宋体" w:hAnsi="宋体" w:hint="eastAsia"/>
        </w:rPr>
        <w:t>。</w:t>
      </w:r>
      <w:r>
        <w:rPr>
          <w:rFonts w:ascii="宋体" w:hAnsi="宋体" w:cs="宋体" w:hint="eastAsia"/>
          <w:bCs/>
        </w:rPr>
        <w:t>供应商诚信查询方式：</w:t>
      </w:r>
      <w:r>
        <w:rPr>
          <w:rFonts w:ascii="宋体" w:hAnsi="宋体"/>
        </w:rPr>
        <w:t>“信用中国”网站(</w:t>
      </w:r>
      <w:r>
        <w:fldChar w:fldCharType="begin"/>
      </w:r>
      <w:r>
        <w:instrText xml:space="preserve"> HYPERLINK "http://www.creditchina.gov.cn" </w:instrText>
      </w:r>
      <w:r>
        <w:fldChar w:fldCharType="separate"/>
      </w:r>
      <w:r>
        <w:rPr>
          <w:rStyle w:val="Hyperlink"/>
          <w:rFonts w:ascii="宋体" w:hAnsi="宋体"/>
          <w:color w:val="auto"/>
        </w:rPr>
        <w:t>www.creditchina.gov.cn</w:t>
      </w:r>
      <w:r>
        <w:rPr>
          <w:rStyle w:val="Hyperlink"/>
          <w:rFonts w:ascii="宋体" w:hAnsi="宋体"/>
          <w:color w:val="auto"/>
        </w:rPr>
        <w:fldChar w:fldCharType="end"/>
      </w:r>
      <w:r>
        <w:rPr>
          <w:rFonts w:ascii="宋体" w:hAnsi="宋体"/>
        </w:rPr>
        <w:t>)</w:t>
      </w:r>
      <w:r>
        <w:rPr>
          <w:rFonts w:ascii="宋体" w:hAnsi="宋体" w:hint="eastAsia"/>
        </w:rPr>
        <w:t>没有以下任意记录名单之一：①</w:t>
      </w:r>
      <w:r>
        <w:rPr>
          <w:rFonts w:ascii="宋体" w:hAnsi="宋体"/>
        </w:rPr>
        <w:t>记录失信被执行人</w:t>
      </w:r>
      <w:r>
        <w:rPr>
          <w:rFonts w:ascii="宋体" w:hAnsi="宋体" w:hint="eastAsia"/>
        </w:rPr>
        <w:t>；②</w:t>
      </w:r>
      <w:r>
        <w:rPr>
          <w:rFonts w:ascii="宋体" w:hAnsi="宋体" w:hint="eastAsia"/>
          <w:lang w:eastAsia="zh-CN"/>
        </w:rPr>
        <w:t>重大税收违法失信主体</w:t>
      </w:r>
      <w:r>
        <w:rPr>
          <w:rFonts w:ascii="宋体" w:hAnsi="宋体" w:hint="eastAsia"/>
        </w:rPr>
        <w:t>；③政府采购严重违法失信行为。</w:t>
      </w:r>
      <w:r>
        <w:rPr>
          <w:rFonts w:ascii="宋体" w:hAnsi="宋体"/>
        </w:rPr>
        <w:t>中国政府采购网(www.ccgp.gov.cn)不处于“政府采购严重违法失信行为信息记录”中的禁止参加政府采购活动期间</w:t>
      </w:r>
      <w:r>
        <w:rPr>
          <w:rFonts w:ascii="宋体" w:hAnsi="宋体" w:hint="eastAsia"/>
        </w:rPr>
        <w:t>；</w:t>
      </w:r>
      <w:bookmarkEnd w:id="39"/>
      <w:r>
        <w:rPr>
          <w:rFonts w:ascii="宋体" w:hAnsi="宋体" w:hint="eastAsia"/>
        </w:rPr>
        <w:t>在深圳信用网（</w:t>
      </w:r>
      <w:r>
        <w:rPr>
          <w:rFonts w:ascii="宋体" w:hAnsi="宋体"/>
        </w:rPr>
        <w:t>https://www.szcredit.com.cn</w:t>
      </w:r>
      <w:r>
        <w:rPr>
          <w:rFonts w:ascii="宋体" w:hAnsi="宋体" w:hint="eastAsia"/>
        </w:rPr>
        <w:t>）、</w:t>
      </w:r>
      <w:r>
        <w:rPr>
          <w:rFonts w:ascii="宋体" w:hAnsi="宋体" w:cs="宋体" w:hint="eastAsia"/>
          <w:bCs/>
        </w:rPr>
        <w:t>深圳市政府采购监督管理网（zfcg.sz.gov.cn）查询相关主体信用记录，对不符合《中华人民共和国政府采购法》第二十二条规定条件的供应商限制参与政府采购。</w:t>
      </w:r>
      <w:r>
        <w:rPr>
          <w:rFonts w:ascii="宋体" w:hAnsi="宋体" w:cs="宋体" w:hint="eastAsia"/>
        </w:rPr>
        <w:t>联合体投标的，对</w:t>
      </w:r>
      <w:r>
        <w:rPr>
          <w:rFonts w:ascii="宋体" w:hAnsi="宋体" w:cs="宋体"/>
        </w:rPr>
        <w:t>所有联合体成员进行信用记录查询，联合体成员存在不良信用记录的，视同联合体存在不良信用记录。</w:t>
      </w:r>
      <w:r>
        <w:rPr>
          <w:rFonts w:ascii="宋体" w:hAnsi="宋体" w:cs="宋体"/>
          <w:bCs/>
        </w:rPr>
        <w:t>如在上述网站查询结果均显示没有相关记录，视为</w:t>
      </w:r>
      <w:r>
        <w:rPr>
          <w:rFonts w:ascii="宋体" w:hAnsi="宋体" w:cs="宋体" w:hint="eastAsia"/>
          <w:bCs/>
        </w:rPr>
        <w:t>不存在</w:t>
      </w:r>
      <w:r>
        <w:rPr>
          <w:rFonts w:ascii="宋体" w:hAnsi="宋体" w:cs="宋体"/>
          <w:bCs/>
        </w:rPr>
        <w:t>上述不良信用记录</w:t>
      </w:r>
      <w:r>
        <w:rPr>
          <w:rFonts w:ascii="宋体" w:hAnsi="宋体" w:cs="宋体" w:hint="eastAsia"/>
          <w:bCs/>
        </w:rPr>
        <w:t>。由采购代理机构对信用信息查询记录和证据截图或下载存档，</w:t>
      </w:r>
      <w:r>
        <w:rPr>
          <w:rFonts w:ascii="宋体" w:hAnsi="宋体" w:hint="eastAsia"/>
        </w:rPr>
        <w:t>相关信息以开标当日的查询结果为准。信用信息查询记录应当作为项目档案材料一并保存。</w:t>
      </w:r>
    </w:p>
    <w:p>
      <w:pPr>
        <w:autoSpaceDE w:val="0"/>
        <w:autoSpaceDN w:val="0"/>
        <w:adjustRightInd w:val="0"/>
        <w:snapToGrid w:val="0"/>
        <w:spacing w:line="360" w:lineRule="auto"/>
        <w:rPr>
          <w:color w:val="0000FF"/>
        </w:rPr>
      </w:pPr>
      <w:bookmarkEnd w:id="40"/>
    </w:p>
    <w:p>
      <w:pPr>
        <w:jc w:val="center"/>
        <w:outlineLvl w:val="1"/>
        <w:rPr>
          <w:b/>
          <w:sz w:val="30"/>
          <w:szCs w:val="30"/>
        </w:rPr>
      </w:pPr>
      <w:r>
        <w:rPr>
          <w:rFonts w:hint="eastAsia"/>
          <w:b/>
          <w:sz w:val="30"/>
          <w:szCs w:val="30"/>
        </w:rPr>
        <w:t>二、谈 判 文 件</w:t>
      </w:r>
    </w:p>
    <w:p>
      <w:pPr>
        <w:numPr>
          <w:ilvl w:val="0"/>
          <w:numId w:val="2"/>
        </w:numPr>
        <w:adjustRightInd w:val="0"/>
        <w:snapToGrid w:val="0"/>
        <w:spacing w:line="360" w:lineRule="auto"/>
        <w:ind w:left="426" w:hanging="424" w:hangingChars="202"/>
        <w:outlineLvl w:val="2"/>
        <w:rPr>
          <w:rFonts w:ascii="宋体" w:hAnsi="宋体"/>
          <w:b/>
        </w:rPr>
      </w:pPr>
      <w:r>
        <w:rPr>
          <w:rFonts w:ascii="宋体" w:hAnsi="宋体" w:hint="eastAsia"/>
          <w:b/>
        </w:rPr>
        <w:t>采购文件的组成</w:t>
      </w:r>
    </w:p>
    <w:p>
      <w:pPr>
        <w:numPr>
          <w:ilvl w:val="1"/>
          <w:numId w:val="2"/>
        </w:numPr>
        <w:tabs>
          <w:tab w:val="left" w:pos="709"/>
        </w:tabs>
        <w:adjustRightInd w:val="0"/>
        <w:snapToGrid w:val="0"/>
        <w:spacing w:line="360" w:lineRule="auto"/>
        <w:ind w:left="709" w:hanging="709"/>
        <w:rPr>
          <w:rFonts w:ascii="宋体" w:hAnsi="宋体"/>
        </w:rPr>
      </w:pPr>
      <w:r>
        <w:rPr>
          <w:rFonts w:ascii="宋体" w:hAnsi="宋体" w:hint="eastAsia"/>
        </w:rPr>
        <w:t>采购文件包括：</w:t>
      </w:r>
    </w:p>
    <w:p>
      <w:pPr>
        <w:numPr>
          <w:ilvl w:val="2"/>
          <w:numId w:val="2"/>
        </w:numPr>
        <w:adjustRightInd w:val="0"/>
        <w:snapToGrid w:val="0"/>
        <w:spacing w:line="360" w:lineRule="auto"/>
        <w:rPr>
          <w:rFonts w:ascii="宋体" w:hAnsi="宋体"/>
        </w:rPr>
      </w:pPr>
      <w:r>
        <w:rPr>
          <w:rFonts w:ascii="宋体" w:hAnsi="宋体" w:hint="eastAsia"/>
        </w:rPr>
        <w:t>谈判邀请；</w:t>
      </w:r>
    </w:p>
    <w:p>
      <w:pPr>
        <w:numPr>
          <w:ilvl w:val="2"/>
          <w:numId w:val="2"/>
        </w:numPr>
        <w:adjustRightInd w:val="0"/>
        <w:snapToGrid w:val="0"/>
        <w:spacing w:line="360" w:lineRule="auto"/>
        <w:rPr>
          <w:rFonts w:ascii="宋体" w:hAnsi="宋体"/>
        </w:rPr>
      </w:pPr>
      <w:r>
        <w:rPr>
          <w:rFonts w:ascii="宋体" w:hAnsi="宋体" w:hint="eastAsia"/>
        </w:rPr>
        <w:t>谈判须知；</w:t>
      </w:r>
    </w:p>
    <w:p>
      <w:pPr>
        <w:numPr>
          <w:ilvl w:val="2"/>
          <w:numId w:val="2"/>
        </w:numPr>
        <w:adjustRightInd w:val="0"/>
        <w:snapToGrid w:val="0"/>
        <w:spacing w:line="360" w:lineRule="auto"/>
        <w:rPr>
          <w:rFonts w:ascii="宋体" w:hAnsi="宋体"/>
        </w:rPr>
      </w:pPr>
      <w:r>
        <w:rPr>
          <w:rFonts w:ascii="宋体" w:hAnsi="宋体" w:hint="eastAsia"/>
        </w:rPr>
        <w:t>用户需求书；</w:t>
      </w:r>
    </w:p>
    <w:p>
      <w:pPr>
        <w:numPr>
          <w:ilvl w:val="2"/>
          <w:numId w:val="2"/>
        </w:numPr>
        <w:adjustRightInd w:val="0"/>
        <w:snapToGrid w:val="0"/>
        <w:spacing w:line="360" w:lineRule="auto"/>
        <w:rPr>
          <w:rFonts w:ascii="宋体" w:hAnsi="宋体"/>
        </w:rPr>
      </w:pPr>
      <w:r>
        <w:rPr>
          <w:rFonts w:ascii="宋体" w:hAnsi="宋体" w:hint="eastAsia"/>
        </w:rPr>
        <w:t>合同通用条款；</w:t>
      </w:r>
    </w:p>
    <w:p>
      <w:pPr>
        <w:numPr>
          <w:ilvl w:val="2"/>
          <w:numId w:val="2"/>
        </w:numPr>
        <w:adjustRightInd w:val="0"/>
        <w:snapToGrid w:val="0"/>
        <w:spacing w:line="360" w:lineRule="auto"/>
        <w:rPr>
          <w:rFonts w:ascii="宋体" w:hAnsi="宋体"/>
        </w:rPr>
      </w:pPr>
      <w:r>
        <w:rPr>
          <w:rFonts w:ascii="宋体" w:hAnsi="宋体" w:hint="eastAsia"/>
        </w:rPr>
        <w:t>谈判应答文件格式；</w:t>
      </w:r>
    </w:p>
    <w:p>
      <w:pPr>
        <w:numPr>
          <w:ilvl w:val="2"/>
          <w:numId w:val="2"/>
        </w:numPr>
        <w:adjustRightInd w:val="0"/>
        <w:snapToGrid w:val="0"/>
        <w:spacing w:line="360" w:lineRule="auto"/>
        <w:rPr>
          <w:rFonts w:ascii="宋体" w:hAnsi="宋体"/>
        </w:rPr>
      </w:pPr>
      <w:r>
        <w:rPr>
          <w:rFonts w:ascii="宋体" w:hAnsi="宋体" w:hint="eastAsia"/>
        </w:rPr>
        <w:t>根据采购文件规定发出的澄清、修改及补充文件（如有）。</w:t>
      </w:r>
    </w:p>
    <w:p>
      <w:pPr>
        <w:numPr>
          <w:ilvl w:val="2"/>
          <w:numId w:val="2"/>
        </w:numPr>
        <w:adjustRightInd w:val="0"/>
        <w:snapToGrid w:val="0"/>
        <w:spacing w:line="360" w:lineRule="auto"/>
        <w:rPr>
          <w:rFonts w:ascii="宋体" w:hAnsi="宋体"/>
        </w:rPr>
      </w:pPr>
      <w:r>
        <w:rPr>
          <w:rFonts w:ascii="宋体" w:hAnsi="宋体" w:hint="eastAsia"/>
        </w:rPr>
        <w:t>图纸（如有）。</w:t>
      </w:r>
    </w:p>
    <w:p>
      <w:pPr>
        <w:numPr>
          <w:ilvl w:val="1"/>
          <w:numId w:val="2"/>
        </w:numPr>
        <w:tabs>
          <w:tab w:val="left" w:pos="709"/>
        </w:tabs>
        <w:adjustRightInd w:val="0"/>
        <w:snapToGrid w:val="0"/>
        <w:spacing w:line="360" w:lineRule="auto"/>
        <w:ind w:left="709" w:hanging="709"/>
        <w:rPr>
          <w:rFonts w:ascii="宋体" w:hAnsi="宋体"/>
        </w:rPr>
      </w:pPr>
      <w:r>
        <w:rPr>
          <w:rFonts w:ascii="宋体" w:hAnsi="宋体" w:hint="eastAsia"/>
        </w:rPr>
        <w:t>响应供应商应认真阅读采购文件中所有的事项、格式、条款和规范等要求。如果响应供应商没有按照采购文件的要求提交全部资料，或者谈判应答文件没有对采购文件做出实质性响应，由此造成的后果由响应供应商负责。</w:t>
      </w:r>
    </w:p>
    <w:p>
      <w:pPr>
        <w:numPr>
          <w:ilvl w:val="1"/>
          <w:numId w:val="2"/>
        </w:numPr>
        <w:tabs>
          <w:tab w:val="left" w:pos="709"/>
        </w:tabs>
        <w:adjustRightInd w:val="0"/>
        <w:snapToGrid w:val="0"/>
        <w:spacing w:line="360" w:lineRule="auto"/>
        <w:ind w:left="709" w:hanging="709"/>
        <w:rPr>
          <w:rFonts w:ascii="宋体" w:hAnsi="宋体"/>
          <w:bCs/>
        </w:rPr>
      </w:pPr>
      <w:r>
        <w:rPr>
          <w:rFonts w:ascii="宋体" w:hAnsi="宋体" w:hint="eastAsia"/>
          <w:bCs/>
        </w:rPr>
        <w:t>采购代理机构保留对谈判过程的保密，对成交结果不作任何解释的权利。</w:t>
      </w:r>
    </w:p>
    <w:p>
      <w:pPr>
        <w:numPr>
          <w:ilvl w:val="0"/>
          <w:numId w:val="2"/>
        </w:numPr>
        <w:adjustRightInd w:val="0"/>
        <w:snapToGrid w:val="0"/>
        <w:spacing w:line="360" w:lineRule="auto"/>
        <w:ind w:left="426" w:hanging="424" w:hangingChars="202"/>
        <w:outlineLvl w:val="2"/>
        <w:rPr>
          <w:rFonts w:ascii="宋体" w:hAnsi="宋体"/>
          <w:b/>
          <w:color w:val="3366FF"/>
        </w:rPr>
      </w:pPr>
      <w:r>
        <w:rPr>
          <w:rFonts w:ascii="宋体" w:hAnsi="宋体" w:hint="eastAsia"/>
          <w:b/>
        </w:rPr>
        <w:t>采购文件的澄清</w:t>
      </w:r>
    </w:p>
    <w:p>
      <w:pPr>
        <w:numPr>
          <w:ilvl w:val="1"/>
          <w:numId w:val="2"/>
        </w:numPr>
        <w:adjustRightInd w:val="0"/>
        <w:snapToGrid w:val="0"/>
        <w:spacing w:line="360" w:lineRule="auto"/>
        <w:outlineLvl w:val="2"/>
        <w:rPr>
          <w:rFonts w:ascii="宋体" w:hAnsi="宋体" w:cs="宋体"/>
          <w:lang w:eastAsia="zh-TW"/>
        </w:rPr>
      </w:pPr>
      <w:r>
        <w:rPr>
          <w:rFonts w:ascii="宋体" w:hAnsi="宋体" w:cs="宋体" w:hint="eastAsia"/>
        </w:rPr>
        <w:t>采购人</w:t>
      </w:r>
      <w:r>
        <w:rPr>
          <w:rFonts w:ascii="宋体" w:hAnsi="宋体" w:cs="宋体" w:hint="eastAsia"/>
          <w:lang w:eastAsia="zh-TW"/>
        </w:rPr>
        <w:t>可以主动地或在解答响应供应商提出的疑问时对已发出的</w:t>
      </w:r>
      <w:r>
        <w:rPr>
          <w:rFonts w:ascii="宋体" w:hAnsi="宋体" w:cs="宋体" w:hint="eastAsia"/>
        </w:rPr>
        <w:t>采购文件</w:t>
      </w:r>
      <w:r>
        <w:rPr>
          <w:rFonts w:ascii="宋体" w:hAnsi="宋体" w:cs="宋体" w:hint="eastAsia"/>
          <w:lang w:eastAsia="zh-TW"/>
        </w:rPr>
        <w:t>进行必要的澄清或修改</w:t>
      </w:r>
      <w:r>
        <w:rPr>
          <w:rFonts w:ascii="宋体" w:hAnsi="宋体" w:cs="宋体" w:hint="eastAsia"/>
        </w:rPr>
        <w:t>，</w:t>
      </w:r>
      <w:r>
        <w:rPr>
          <w:rFonts w:ascii="宋体" w:hAnsi="宋体" w:cs="宋体" w:hint="eastAsia"/>
          <w:lang w:eastAsia="zh-TW"/>
        </w:rPr>
        <w:t>澄清或者修改应当在原公告发布媒体上发布澄清</w:t>
      </w:r>
      <w:r>
        <w:rPr>
          <w:rFonts w:ascii="宋体" w:hAnsi="宋体" w:hint="eastAsia"/>
        </w:rPr>
        <w:t>（更正/变更）</w:t>
      </w:r>
      <w:r>
        <w:rPr>
          <w:rFonts w:ascii="宋体" w:hAnsi="宋体" w:cs="宋体" w:hint="eastAsia"/>
          <w:lang w:eastAsia="zh-TW"/>
        </w:rPr>
        <w:t>公告</w:t>
      </w:r>
      <w:r>
        <w:rPr>
          <w:rFonts w:ascii="宋体" w:hAnsi="宋体" w:cs="宋体" w:hint="eastAsia"/>
        </w:rPr>
        <w:t>。</w:t>
      </w:r>
    </w:p>
    <w:p>
      <w:pPr>
        <w:numPr>
          <w:ilvl w:val="1"/>
          <w:numId w:val="2"/>
        </w:numPr>
        <w:adjustRightInd w:val="0"/>
        <w:snapToGrid w:val="0"/>
        <w:spacing w:line="360" w:lineRule="auto"/>
        <w:outlineLvl w:val="2"/>
        <w:rPr>
          <w:rFonts w:ascii="宋体" w:hAnsi="宋体" w:cs="宋体"/>
          <w:lang w:eastAsia="zh-TW"/>
        </w:rPr>
      </w:pPr>
      <w:r>
        <w:rPr>
          <w:rFonts w:ascii="宋体" w:hAnsi="宋体" w:cs="宋体" w:hint="eastAsia"/>
          <w:lang w:eastAsia="zh-TW"/>
        </w:rPr>
        <w:t>澄清或者修改的内容可能影响</w:t>
      </w:r>
      <w:r>
        <w:rPr>
          <w:rFonts w:ascii="宋体" w:hAnsi="宋体" w:cs="宋体" w:hint="eastAsia"/>
        </w:rPr>
        <w:t>谈判应答文件</w:t>
      </w:r>
      <w:r>
        <w:rPr>
          <w:rFonts w:ascii="宋体" w:hAnsi="宋体" w:cs="宋体" w:hint="eastAsia"/>
          <w:lang w:eastAsia="zh-TW"/>
        </w:rPr>
        <w:t>编制的，采购人、采购代理机构应当在提交首次</w:t>
      </w:r>
      <w:r>
        <w:rPr>
          <w:rFonts w:ascii="宋体" w:hAnsi="宋体" w:cs="宋体" w:hint="eastAsia"/>
        </w:rPr>
        <w:t>谈判应答文件</w:t>
      </w:r>
      <w:r>
        <w:rPr>
          <w:rFonts w:ascii="宋体" w:hAnsi="宋体" w:cs="宋体" w:hint="eastAsia"/>
          <w:lang w:eastAsia="zh-TW"/>
        </w:rPr>
        <w:t>截止时间前，以书面形式</w:t>
      </w:r>
      <w:r>
        <w:rPr>
          <w:rFonts w:ascii="宋体" w:hAnsi="宋体" w:hint="eastAsia"/>
        </w:rPr>
        <w:t>（包括</w:t>
      </w:r>
      <w:r>
        <w:rPr>
          <w:rFonts w:ascii="宋体" w:hAnsi="宋体" w:cs="宋体" w:hint="eastAsia"/>
          <w:lang w:eastAsia="zh-TW"/>
        </w:rPr>
        <w:t>采购人及采购代理机构</w:t>
      </w:r>
      <w:r>
        <w:rPr>
          <w:rFonts w:ascii="宋体" w:hAnsi="宋体" w:hint="eastAsia"/>
        </w:rPr>
        <w:t>网站发布方式）</w:t>
      </w:r>
      <w:r>
        <w:rPr>
          <w:rFonts w:ascii="宋体" w:hAnsi="宋体" w:cs="宋体" w:hint="eastAsia"/>
          <w:lang w:eastAsia="zh-TW"/>
        </w:rPr>
        <w:t>通知</w:t>
      </w:r>
      <w:r>
        <w:rPr>
          <w:rFonts w:ascii="宋体" w:hAnsi="宋体" w:cs="宋体" w:hint="eastAsia"/>
        </w:rPr>
        <w:t>已</w:t>
      </w:r>
      <w:r>
        <w:rPr>
          <w:rFonts w:ascii="宋体" w:hAnsi="宋体" w:cs="宋体" w:hint="eastAsia"/>
          <w:lang w:eastAsia="zh-TW"/>
        </w:rPr>
        <w:t>获取</w:t>
      </w:r>
      <w:r>
        <w:rPr>
          <w:rFonts w:ascii="宋体" w:hAnsi="宋体" w:cs="宋体" w:hint="eastAsia"/>
        </w:rPr>
        <w:t>采购文件</w:t>
      </w:r>
      <w:r>
        <w:rPr>
          <w:rFonts w:ascii="宋体" w:hAnsi="宋体" w:cs="宋体" w:hint="eastAsia"/>
          <w:lang w:eastAsia="zh-TW"/>
        </w:rPr>
        <w:t>的供应商</w:t>
      </w:r>
      <w:r>
        <w:rPr>
          <w:rFonts w:ascii="宋体" w:hAnsi="宋体" w:cs="宋体" w:hint="eastAsia"/>
        </w:rPr>
        <w:t>。</w:t>
      </w:r>
      <w:r>
        <w:rPr>
          <w:rFonts w:ascii="宋体" w:hAnsi="宋体" w:cs="宋体" w:hint="eastAsia"/>
          <w:lang w:eastAsia="zh-TW"/>
        </w:rPr>
        <w:t xml:space="preserve"> </w:t>
      </w:r>
    </w:p>
    <w:p>
      <w:pPr>
        <w:numPr>
          <w:ilvl w:val="1"/>
          <w:numId w:val="2"/>
        </w:numPr>
        <w:adjustRightInd w:val="0"/>
        <w:snapToGrid w:val="0"/>
        <w:spacing w:line="360" w:lineRule="auto"/>
        <w:outlineLvl w:val="2"/>
        <w:rPr>
          <w:rFonts w:ascii="宋体" w:hAnsi="宋体" w:cs="宋体"/>
          <w:lang w:eastAsia="zh-TW"/>
        </w:rPr>
      </w:pPr>
      <w:r>
        <w:rPr>
          <w:rFonts w:ascii="宋体" w:hAnsi="宋体" w:cs="宋体" w:hint="eastAsia"/>
          <w:lang w:eastAsia="zh-TW"/>
        </w:rPr>
        <w:t>采购人及采购代理机构</w:t>
      </w:r>
      <w:r>
        <w:rPr>
          <w:rFonts w:ascii="宋体" w:hAnsi="宋体" w:cs="宋体" w:hint="eastAsia"/>
        </w:rPr>
        <w:t>发出的</w:t>
      </w:r>
      <w:r>
        <w:rPr>
          <w:rFonts w:ascii="宋体" w:hAnsi="宋体" w:hint="eastAsia"/>
        </w:rPr>
        <w:t>澄清或修改（更正）的内容为采购文件的组成部分，</w:t>
      </w:r>
      <w:r>
        <w:rPr>
          <w:rFonts w:ascii="宋体" w:hAnsi="宋体" w:cs="宋体" w:hint="eastAsia"/>
          <w:lang w:eastAsia="zh-TW"/>
        </w:rPr>
        <w:t>并对潜在响应供应商具有约束力</w:t>
      </w:r>
      <w:r>
        <w:rPr>
          <w:rFonts w:ascii="宋体" w:hAnsi="宋体" w:cs="宋体" w:hint="eastAsia"/>
        </w:rPr>
        <w:t>。</w:t>
      </w:r>
    </w:p>
    <w:p>
      <w:pPr>
        <w:numPr>
          <w:ilvl w:val="1"/>
          <w:numId w:val="2"/>
        </w:numPr>
        <w:tabs>
          <w:tab w:val="left" w:pos="567"/>
        </w:tabs>
        <w:adjustRightInd w:val="0"/>
        <w:snapToGrid w:val="0"/>
        <w:spacing w:line="360" w:lineRule="auto"/>
        <w:rPr>
          <w:rFonts w:ascii="宋体" w:hAnsi="宋体" w:cs="宋体"/>
        </w:rPr>
      </w:pPr>
      <w:r>
        <w:rPr>
          <w:rFonts w:ascii="宋体" w:hAnsi="宋体" w:cs="宋体" w:hint="eastAsia"/>
          <w:lang w:eastAsia="zh-TW"/>
        </w:rPr>
        <w:t>响应供应商在规定的时间内未对</w:t>
      </w:r>
      <w:r>
        <w:rPr>
          <w:rFonts w:ascii="宋体" w:hAnsi="宋体" w:cs="宋体" w:hint="eastAsia"/>
        </w:rPr>
        <w:t>采购文件</w:t>
      </w:r>
      <w:r>
        <w:rPr>
          <w:rFonts w:ascii="宋体" w:hAnsi="宋体" w:cs="宋体" w:hint="eastAsia"/>
          <w:lang w:eastAsia="zh-TW"/>
        </w:rPr>
        <w:t>澄清或提出疑问的</w:t>
      </w:r>
      <w:r>
        <w:rPr>
          <w:rFonts w:ascii="宋体" w:hAnsi="宋体" w:cs="宋体" w:hint="eastAsia"/>
        </w:rPr>
        <w:t>，</w:t>
      </w:r>
      <w:r>
        <w:rPr>
          <w:rFonts w:ascii="宋体" w:hAnsi="宋体" w:cs="宋体" w:hint="eastAsia"/>
          <w:lang w:eastAsia="zh-TW"/>
        </w:rPr>
        <w:t>采购人及采购代理机构将视其为无异议。对</w:t>
      </w:r>
      <w:r>
        <w:rPr>
          <w:rFonts w:ascii="宋体" w:hAnsi="宋体" w:cs="宋体" w:hint="eastAsia"/>
        </w:rPr>
        <w:t>采购文件</w:t>
      </w:r>
      <w:r>
        <w:rPr>
          <w:rFonts w:ascii="宋体" w:hAnsi="宋体" w:cs="宋体" w:hint="eastAsia"/>
          <w:lang w:eastAsia="zh-TW"/>
        </w:rPr>
        <w:t>中描述有歧意或前后不一致的地方，</w:t>
      </w:r>
      <w:r>
        <w:rPr>
          <w:rFonts w:ascii="宋体" w:hAnsi="宋体" w:cs="宋体" w:hint="eastAsia"/>
        </w:rPr>
        <w:t>谈判小组</w:t>
      </w:r>
      <w:r>
        <w:rPr>
          <w:rFonts w:ascii="宋体" w:hAnsi="宋体" w:cs="宋体" w:hint="eastAsia"/>
          <w:lang w:eastAsia="zh-TW"/>
        </w:rPr>
        <w:t>有权进行评判，但对同一条款的评判应适用于每个响应供应商。</w:t>
      </w:r>
    </w:p>
    <w:p>
      <w:pPr>
        <w:numPr>
          <w:ilvl w:val="0"/>
          <w:numId w:val="2"/>
        </w:numPr>
        <w:adjustRightInd w:val="0"/>
        <w:snapToGrid w:val="0"/>
        <w:spacing w:line="360" w:lineRule="auto"/>
        <w:ind w:left="426" w:hanging="424" w:hangingChars="202"/>
        <w:outlineLvl w:val="2"/>
        <w:rPr>
          <w:rFonts w:ascii="宋体" w:hAnsi="宋体"/>
          <w:b/>
          <w:bCs/>
        </w:rPr>
      </w:pPr>
      <w:r>
        <w:rPr>
          <w:rFonts w:ascii="宋体" w:hAnsi="宋体" w:hint="eastAsia"/>
          <w:b/>
          <w:bCs/>
        </w:rPr>
        <w:t>采购文件的解释权</w:t>
      </w:r>
    </w:p>
    <w:p>
      <w:pPr>
        <w:adjustRightInd w:val="0"/>
        <w:snapToGrid w:val="0"/>
        <w:spacing w:line="360" w:lineRule="auto"/>
        <w:ind w:firstLine="420" w:firstLineChars="200"/>
      </w:pPr>
      <w:r>
        <w:rPr>
          <w:rFonts w:hint="eastAsia"/>
        </w:rPr>
        <w:t>本采购文件的解释权归“采联国际招标采购集团有限公司”所有。</w:t>
      </w:r>
    </w:p>
    <w:p>
      <w:pPr>
        <w:jc w:val="center"/>
        <w:outlineLvl w:val="1"/>
        <w:rPr>
          <w:b/>
          <w:sz w:val="30"/>
          <w:szCs w:val="30"/>
        </w:rPr>
      </w:pPr>
      <w:r>
        <w:rPr>
          <w:rFonts w:hint="eastAsia"/>
          <w:b/>
          <w:sz w:val="30"/>
          <w:szCs w:val="30"/>
        </w:rPr>
        <w:t>三、谈判应答文件的编制</w:t>
      </w:r>
    </w:p>
    <w:p>
      <w:pPr>
        <w:numPr>
          <w:ilvl w:val="0"/>
          <w:numId w:val="2"/>
        </w:numPr>
        <w:adjustRightInd w:val="0"/>
        <w:snapToGrid w:val="0"/>
        <w:spacing w:line="360" w:lineRule="auto"/>
        <w:ind w:left="426" w:hanging="424" w:hangingChars="202"/>
        <w:outlineLvl w:val="2"/>
        <w:rPr>
          <w:rFonts w:ascii="宋体" w:hAnsi="宋体"/>
          <w:b/>
        </w:rPr>
      </w:pPr>
      <w:r>
        <w:rPr>
          <w:rFonts w:ascii="宋体" w:hAnsi="宋体" w:hint="eastAsia"/>
          <w:b/>
        </w:rPr>
        <w:t>谈判应答文件的语言</w:t>
      </w:r>
    </w:p>
    <w:p>
      <w:pPr>
        <w:numPr>
          <w:ilvl w:val="1"/>
          <w:numId w:val="2"/>
        </w:numPr>
        <w:tabs>
          <w:tab w:val="left" w:pos="709"/>
        </w:tabs>
        <w:adjustRightInd w:val="0"/>
        <w:snapToGrid w:val="0"/>
        <w:spacing w:line="360" w:lineRule="auto"/>
        <w:ind w:left="709" w:hanging="709"/>
        <w:rPr>
          <w:rFonts w:ascii="宋体" w:hAnsi="宋体" w:cs="黑体"/>
          <w:b/>
          <w:bCs/>
        </w:rPr>
      </w:pPr>
      <w:r>
        <w:rPr>
          <w:rFonts w:ascii="宋体" w:hAnsi="宋体" w:cs="宋体" w:hint="eastAsia"/>
          <w:lang w:eastAsia="zh-TW"/>
        </w:rPr>
        <w:t>响应供应商提交的</w:t>
      </w:r>
      <w:r>
        <w:rPr>
          <w:rFonts w:ascii="宋体" w:hAnsi="宋体" w:cs="宋体" w:hint="eastAsia"/>
        </w:rPr>
        <w:t>谈判应答文件</w:t>
      </w:r>
      <w:r>
        <w:rPr>
          <w:rFonts w:ascii="宋体" w:hAnsi="宋体" w:cs="宋体" w:hint="eastAsia"/>
          <w:lang w:eastAsia="zh-TW"/>
        </w:rPr>
        <w:t>以及响应供应商与采购人及采购代理机构就有关谈判的所有来往函电均应使用中文书写。响应供应商提交的支持文件或印刷的资料可以用另一种语言，但相应内容应附有中文翻译本，</w:t>
      </w:r>
      <w:r>
        <w:rPr>
          <w:rFonts w:ascii="宋体" w:hAnsi="宋体" w:hint="eastAsia"/>
        </w:rPr>
        <w:t>由翻译机构盖章或者翻译人员签名，两种语言不一致时以中文翻译本为准</w:t>
      </w:r>
      <w:r>
        <w:rPr>
          <w:rFonts w:ascii="宋体" w:hAnsi="宋体" w:cs="宋体" w:hint="eastAsia"/>
          <w:lang w:eastAsia="zh-TW"/>
        </w:rPr>
        <w:t>。</w:t>
      </w:r>
    </w:p>
    <w:p>
      <w:pPr>
        <w:numPr>
          <w:ilvl w:val="0"/>
          <w:numId w:val="2"/>
        </w:numPr>
        <w:adjustRightInd w:val="0"/>
        <w:snapToGrid w:val="0"/>
        <w:spacing w:line="360" w:lineRule="auto"/>
        <w:ind w:left="426" w:hanging="424" w:hangingChars="202"/>
        <w:outlineLvl w:val="2"/>
        <w:rPr>
          <w:rFonts w:ascii="宋体" w:hAnsi="宋体"/>
          <w:b/>
        </w:rPr>
      </w:pPr>
      <w:r>
        <w:rPr>
          <w:rFonts w:ascii="宋体" w:hAnsi="宋体" w:hint="eastAsia"/>
          <w:b/>
        </w:rPr>
        <w:t>谈判应答文件的构成：</w:t>
      </w:r>
    </w:p>
    <w:p>
      <w:pPr>
        <w:numPr>
          <w:ilvl w:val="1"/>
          <w:numId w:val="2"/>
        </w:numPr>
        <w:tabs>
          <w:tab w:val="left" w:pos="709"/>
        </w:tabs>
        <w:adjustRightInd w:val="0"/>
        <w:snapToGrid w:val="0"/>
        <w:spacing w:line="360" w:lineRule="auto"/>
        <w:ind w:left="709" w:hanging="709"/>
        <w:rPr>
          <w:rFonts w:ascii="宋体" w:hAnsi="宋体"/>
          <w:b/>
        </w:rPr>
      </w:pPr>
      <w:r>
        <w:rPr>
          <w:rFonts w:ascii="宋体" w:hAnsi="宋体" w:cs="宋体" w:hint="eastAsia"/>
        </w:rPr>
        <w:t>谈判应答文件</w:t>
      </w:r>
      <w:r>
        <w:rPr>
          <w:rFonts w:ascii="宋体" w:hAnsi="宋体" w:cs="宋体" w:hint="eastAsia"/>
          <w:lang w:eastAsia="zh-TW"/>
        </w:rPr>
        <w:t>应包括</w:t>
      </w:r>
      <w:r>
        <w:rPr>
          <w:rFonts w:ascii="宋体" w:hAnsi="宋体" w:cs="宋体" w:hint="eastAsia"/>
        </w:rPr>
        <w:t>初审文件、技术文件、商务文件</w:t>
      </w:r>
      <w:r>
        <w:rPr>
          <w:rFonts w:ascii="宋体" w:hAnsi="宋体" w:cs="宋体" w:hint="eastAsia"/>
          <w:lang w:eastAsia="zh-TW"/>
        </w:rPr>
        <w:t>，编排顺序参见</w:t>
      </w:r>
      <w:r>
        <w:rPr>
          <w:rFonts w:ascii="宋体" w:hAnsi="宋体" w:cs="宋体" w:hint="eastAsia"/>
        </w:rPr>
        <w:t>第六章谈判应答文件</w:t>
      </w:r>
      <w:r>
        <w:rPr>
          <w:rFonts w:ascii="宋体" w:hAnsi="宋体" w:cs="宋体" w:hint="eastAsia"/>
          <w:lang w:eastAsia="zh-TW"/>
        </w:rPr>
        <w:t>格式</w:t>
      </w:r>
      <w:r>
        <w:rPr>
          <w:rFonts w:ascii="宋体" w:hAnsi="宋体" w:cs="宋体" w:hint="eastAsia"/>
        </w:rPr>
        <w:t>。</w:t>
      </w:r>
    </w:p>
    <w:p>
      <w:pPr>
        <w:numPr>
          <w:ilvl w:val="1"/>
          <w:numId w:val="2"/>
        </w:numPr>
        <w:tabs>
          <w:tab w:val="left" w:pos="709"/>
        </w:tabs>
        <w:adjustRightInd w:val="0"/>
        <w:snapToGrid w:val="0"/>
        <w:spacing w:line="360" w:lineRule="auto"/>
        <w:ind w:left="709" w:hanging="709"/>
        <w:rPr>
          <w:rFonts w:ascii="宋体" w:hAnsi="宋体" w:cs="宋体"/>
        </w:rPr>
      </w:pPr>
      <w:r>
        <w:rPr>
          <w:rFonts w:ascii="宋体" w:cs="宋体" w:hint="eastAsia"/>
        </w:rPr>
        <w:t>谈判应答文件的构成应符合法律法规及采购文件的要求。</w:t>
      </w:r>
    </w:p>
    <w:p>
      <w:pPr>
        <w:numPr>
          <w:ilvl w:val="0"/>
          <w:numId w:val="2"/>
        </w:numPr>
        <w:adjustRightInd w:val="0"/>
        <w:snapToGrid w:val="0"/>
        <w:spacing w:line="360" w:lineRule="auto"/>
        <w:ind w:left="426" w:hanging="424" w:hangingChars="202"/>
        <w:outlineLvl w:val="2"/>
        <w:rPr>
          <w:rFonts w:ascii="宋体" w:hAnsi="宋体"/>
          <w:b/>
        </w:rPr>
      </w:pPr>
      <w:r>
        <w:rPr>
          <w:rFonts w:ascii="宋体" w:hAnsi="宋体" w:hint="eastAsia"/>
          <w:b/>
        </w:rPr>
        <w:t>谈判应答文件的编写</w:t>
      </w:r>
    </w:p>
    <w:p>
      <w:pPr>
        <w:numPr>
          <w:ilvl w:val="1"/>
          <w:numId w:val="2"/>
        </w:numPr>
        <w:tabs>
          <w:tab w:val="left" w:pos="567"/>
        </w:tabs>
        <w:adjustRightInd w:val="0"/>
        <w:snapToGrid w:val="0"/>
        <w:spacing w:line="360" w:lineRule="auto"/>
        <w:rPr>
          <w:rFonts w:ascii="宋体" w:hAnsi="宋体" w:cs="宋体"/>
        </w:rPr>
      </w:pPr>
      <w:r>
        <w:rPr>
          <w:rFonts w:ascii="宋体" w:hAnsi="宋体" w:hint="eastAsia"/>
        </w:rPr>
        <w:t xml:space="preserve"> 响应供应商应准备所投投标项目的电子投标(应答)文件（谈判应答文件）一份.此电子投标(应答)文件（谈判应答文件）须由供应商根据政府集中采购机构提供的后缀名为</w:t>
      </w:r>
      <w:r>
        <w:t>.szczf</w:t>
      </w:r>
      <w:r>
        <w:rPr>
          <w:rFonts w:ascii="宋体" w:hAnsi="宋体" w:hint="eastAsia"/>
        </w:rPr>
        <w:t>的电子</w:t>
      </w:r>
      <w:r>
        <w:rPr>
          <w:rFonts w:ascii="宋体" w:hAnsi="宋体" w:hint="eastAsia"/>
          <w:lang w:eastAsia="zh-CN"/>
        </w:rPr>
        <w:t>谈判文件</w:t>
      </w:r>
      <w:r>
        <w:rPr>
          <w:rFonts w:ascii="宋体" w:hAnsi="宋体" w:hint="eastAsia"/>
        </w:rPr>
        <w:t>（即谈判文件）、《深圳政府采购智慧平台投标(应答)文件制作专用软件》编制并加密投标(应答)文件【要求下载安装《深圳政府采购智慧平台投标(应答)文件制作专用软件》及其配套软件，进入（https://www.szggzy.com/xxgk/tzgg/content_201792.html）在“附件”中下载。在安装此软件之前】</w:t>
      </w:r>
      <w:r>
        <w:rPr>
          <w:rFonts w:ascii="宋体" w:hAnsi="宋体" w:cs="宋体" w:hint="eastAsia"/>
          <w:lang w:eastAsia="zh-TW"/>
        </w:rPr>
        <w:t>。</w:t>
      </w:r>
    </w:p>
    <w:p>
      <w:pPr>
        <w:numPr>
          <w:ilvl w:val="1"/>
          <w:numId w:val="2"/>
        </w:numPr>
        <w:adjustRightInd w:val="0"/>
        <w:snapToGrid w:val="0"/>
        <w:spacing w:line="360" w:lineRule="auto"/>
        <w:outlineLvl w:val="2"/>
        <w:rPr>
          <w:rFonts w:ascii="宋体" w:hAnsi="宋体" w:cs="宋体"/>
          <w:lang w:eastAsia="zh-TW"/>
        </w:rPr>
      </w:pPr>
      <w:r>
        <w:rPr>
          <w:rFonts w:ascii="宋体" w:hAnsi="宋体" w:hint="eastAsia"/>
        </w:rPr>
        <w:t>供应商在利用《深圳政府采购智慧平台投标(应答)文件制作专用软件》编制投标(应答)文件（谈判应答文件）时须注意：</w:t>
      </w:r>
    </w:p>
    <w:p>
      <w:pPr>
        <w:adjustRightInd w:val="0"/>
        <w:snapToGrid w:val="0"/>
        <w:spacing w:line="360" w:lineRule="auto"/>
        <w:outlineLvl w:val="2"/>
        <w:rPr>
          <w:rFonts w:ascii="宋体" w:hAnsi="宋体" w:cs="宋体"/>
          <w:lang w:eastAsia="zh-TW"/>
        </w:rPr>
      </w:pPr>
      <w:r>
        <w:rPr>
          <w:rFonts w:ascii="宋体" w:hAnsi="宋体" w:hint="eastAsia"/>
        </w:rPr>
        <w:t>（1）导入《深圳政府采购智慧平台投标(应答)文件制作专用软件》的</w:t>
      </w:r>
      <w:r>
        <w:rPr>
          <w:rFonts w:ascii="宋体" w:hAnsi="宋体" w:hint="eastAsia"/>
          <w:lang w:eastAsia="zh-CN"/>
        </w:rPr>
        <w:t>谈判文件</w:t>
      </w:r>
      <w:r>
        <w:rPr>
          <w:rFonts w:ascii="宋体" w:hAnsi="宋体" w:hint="eastAsia"/>
        </w:rPr>
        <w:t>项目编号、包号应与以此制作的投标(应答)文件项目编号、包号一致。例如，不能将甲项目A包的招标书导入《深圳政府采购智慧平台投标(应答)文件制作专用软件》，制作乙项目B包的投标书</w:t>
      </w:r>
      <w:r>
        <w:rPr>
          <w:rFonts w:ascii="宋体" w:hAnsi="宋体" w:cs="宋体" w:hint="eastAsia"/>
          <w:lang w:eastAsia="zh-TW"/>
        </w:rPr>
        <w:t>。</w:t>
      </w:r>
    </w:p>
    <w:p>
      <w:pPr>
        <w:adjustRightInd w:val="0"/>
        <w:snapToGrid w:val="0"/>
        <w:spacing w:line="360" w:lineRule="auto"/>
        <w:rPr>
          <w:rFonts w:ascii="宋体" w:hAnsi="宋体" w:cs="宋体"/>
          <w:lang w:eastAsia="zh-TW"/>
        </w:rPr>
      </w:pPr>
      <w:r>
        <w:rPr>
          <w:rFonts w:ascii="宋体" w:hAnsi="宋体" w:hint="eastAsia"/>
        </w:rPr>
        <w:t>（2）不能用非本公司的电子密钥加密本公司的投标(应答)文件，或者用其它公司的登录用户上传本公司的投标(应答)文件</w:t>
      </w:r>
      <w:r>
        <w:rPr>
          <w:rFonts w:ascii="宋体" w:hAnsi="宋体" w:cs="宋体" w:hint="eastAsia"/>
          <w:lang w:eastAsia="zh-TW"/>
        </w:rPr>
        <w:t>。</w:t>
      </w:r>
    </w:p>
    <w:p>
      <w:pPr>
        <w:adjustRightInd w:val="0"/>
        <w:snapToGrid w:val="0"/>
        <w:spacing w:line="360" w:lineRule="auto"/>
      </w:pPr>
      <w:r>
        <w:rPr>
          <w:rFonts w:ascii="宋体" w:hAnsi="宋体" w:hint="eastAsia"/>
        </w:rPr>
        <w:t>（3）要求用《深圳政府采购智慧平台投标(应答)文件制作专用软件》编制投标书的包，不能用其它方式编制投标书。编制投标(应答)文件时，电脑须连通互联网</w:t>
      </w:r>
      <w:r>
        <w:rPr>
          <w:rFonts w:ascii="宋体" w:hAnsi="宋体" w:cs="宋体" w:hint="eastAsia"/>
          <w:lang w:eastAsia="zh-TW"/>
        </w:rPr>
        <w:t>。</w:t>
      </w:r>
    </w:p>
    <w:p>
      <w:pPr>
        <w:spacing w:line="360" w:lineRule="auto"/>
        <w:rPr>
          <w:rFonts w:ascii="宋体" w:hAnsi="宋体"/>
        </w:rPr>
      </w:pPr>
      <w:r>
        <w:rPr>
          <w:rFonts w:ascii="宋体" w:hAnsi="宋体" w:hint="eastAsia"/>
        </w:rPr>
        <w:t>（4）投标(应答)文件不能带病毒。政府集中采购机构将用专业杀毒软件对投标(应答)文件进行病毒检测，如果这两种软件均报告发现病毒，则政府集中采购机构认为该投标(应答)文件带病毒。</w:t>
      </w:r>
    </w:p>
    <w:p>
      <w:pPr>
        <w:spacing w:line="360" w:lineRule="auto"/>
        <w:rPr>
          <w:rFonts w:ascii="宋体" w:hAnsi="宋体"/>
        </w:rPr>
      </w:pPr>
      <w:r>
        <w:rPr>
          <w:rFonts w:ascii="宋体" w:hAnsi="宋体" w:hint="eastAsia"/>
        </w:rPr>
        <w:t>（5）填写“投标关键信息”，如下图所示：</w:t>
      </w:r>
    </w:p>
    <w:p>
      <w:pPr>
        <w:tabs>
          <w:tab w:val="left" w:pos="567"/>
        </w:tabs>
        <w:adjustRightInd w:val="0"/>
        <w:snapToGrid w:val="0"/>
        <w:spacing w:line="360" w:lineRule="auto"/>
        <w:rPr>
          <w:rFonts w:ascii="宋体" w:hAnsi="宋体"/>
          <w:sz w:val="24"/>
        </w:rPr>
      </w:pPr>
      <w:r>
        <w:rPr>
          <w:rFonts w:ascii="宋体" w:hAnsi="宋体"/>
        </w:rPr>
        <w:drawing>
          <wp:inline distT="0" distB="0" distL="0" distR="0">
            <wp:extent cx="5275580" cy="2727325"/>
            <wp:effectExtent l="0" t="0" r="1270" b="0"/>
            <wp:docPr id="2" name="图片 2"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形用户界面, 应用程序&#10;&#10;描述已自动生成"/>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a:xfrm>
                      <a:off x="0" y="0"/>
                      <a:ext cx="5275580" cy="2727325"/>
                    </a:xfrm>
                    <a:prstGeom prst="rect">
                      <a:avLst/>
                    </a:prstGeom>
                    <a:noFill/>
                    <a:ln>
                      <a:noFill/>
                    </a:ln>
                  </pic:spPr>
                </pic:pic>
              </a:graphicData>
            </a:graphic>
          </wp:inline>
        </w:drawing>
      </w:r>
    </w:p>
    <w:p>
      <w:pPr>
        <w:spacing w:line="360" w:lineRule="auto"/>
        <w:ind w:firstLine="412" w:firstLineChars="196"/>
        <w:rPr>
          <w:rFonts w:ascii="宋体" w:hAnsi="宋体"/>
          <w:b/>
        </w:rPr>
      </w:pPr>
      <w:r>
        <w:rPr>
          <w:rFonts w:ascii="宋体" w:hAnsi="宋体" w:hint="eastAsia"/>
          <w:b/>
        </w:rPr>
        <w:t>备注：上述“开标一览表”中的“投标总价”将作为价格分计算依据；其它信息仅是对投标(应答)文件相关内容的概括性表述，不作为评审依据。</w:t>
      </w:r>
    </w:p>
    <w:p>
      <w:pPr>
        <w:spacing w:line="360" w:lineRule="auto"/>
        <w:rPr>
          <w:rFonts w:ascii="宋体" w:hAnsi="宋体"/>
        </w:rPr>
      </w:pPr>
      <w:r>
        <w:rPr>
          <w:rFonts w:ascii="宋体" w:hAnsi="宋体" w:hint="eastAsia"/>
        </w:rPr>
        <w:t>（6）供应商在编辑投标(应答)文件（谈判应答文件）时，在文件目录中属于本节点内容的必须在本节点中填写，填写到其他节点或附件的将可能导致应答无效，一切后果由供应商自行承担。填写完投标(应答)文件后，要检查每一个章节中图片的清晰程度，如果图片中字体的笔划不连贯，难以辨识的，请及时更换，以确保图片清晰可辨，因为无法辨识的图片将导致对该投标(应答)文件不利的评定。</w:t>
      </w:r>
    </w:p>
    <w:p>
      <w:pPr>
        <w:spacing w:line="360" w:lineRule="auto"/>
        <w:rPr>
          <w:rFonts w:ascii="宋体" w:hAnsi="宋体"/>
        </w:rPr>
      </w:pPr>
      <w:r>
        <w:rPr>
          <w:rFonts w:ascii="宋体" w:hAnsi="宋体" w:hint="eastAsia"/>
        </w:rPr>
        <w:t>（7）投标书编写完成后，必须用属于本公司的电子密钥进行加密，否则视同未盖公章，将导致投标(应答)文件无效。</w:t>
      </w:r>
    </w:p>
    <w:p>
      <w:pPr>
        <w:spacing w:line="360" w:lineRule="auto"/>
        <w:rPr>
          <w:rFonts w:ascii="宋体" w:hAnsi="宋体"/>
        </w:rPr>
      </w:pPr>
      <w:r>
        <w:rPr>
          <w:rFonts w:ascii="宋体" w:hAnsi="宋体" w:hint="eastAsia"/>
        </w:rPr>
        <w:t>（8）采购代理机构不接受投标截止时间后递交的纸质、电子、传真等所有形式的投标(应答)文件。由于对网上招投标操作不熟悉或自身电脑、网络的原因导致不能在投标截止时间之前上传投标(应答)文件，采购代理机构不负任何责任。建议于开标前一个工作日完成投标(应答)文件的制作与上传，如果上传有困难，请及时咨询深圳政府采购智慧平台技术人员。</w:t>
      </w:r>
    </w:p>
    <w:p>
      <w:pPr>
        <w:spacing w:line="360" w:lineRule="auto"/>
        <w:rPr>
          <w:rFonts w:ascii="宋体" w:hAnsi="宋体"/>
        </w:rPr>
      </w:pPr>
      <w:r>
        <w:rPr>
          <w:rFonts w:ascii="宋体" w:hAnsi="宋体" w:hint="eastAsia"/>
        </w:rPr>
        <w:t>（9）如果开标时出现网络故障、技术故障，影响了招投标活动，采购代理机构有权采取措施如延期、接受无法从网上上传的投标书等，以保障招投标活动的公开、公平和公正，供应商不得对此持有异议。</w:t>
      </w:r>
    </w:p>
    <w:p>
      <w:pPr>
        <w:spacing w:line="360" w:lineRule="auto"/>
        <w:rPr>
          <w:rFonts w:ascii="宋体" w:hAnsi="宋体"/>
        </w:rPr>
      </w:pPr>
      <w:r>
        <w:rPr>
          <w:rFonts w:ascii="宋体" w:hAnsi="宋体" w:hint="eastAsia"/>
        </w:rPr>
        <w:t>以上九条，如有违悖，采购代理机构将不接受该投标(应答)文件。</w:t>
      </w:r>
    </w:p>
    <w:p>
      <w:pPr>
        <w:numPr>
          <w:ilvl w:val="1"/>
          <w:numId w:val="2"/>
        </w:numPr>
        <w:adjustRightInd w:val="0"/>
        <w:snapToGrid w:val="0"/>
        <w:spacing w:line="360" w:lineRule="auto"/>
        <w:outlineLvl w:val="2"/>
        <w:rPr>
          <w:rFonts w:ascii="宋体" w:hAnsi="宋体"/>
        </w:rPr>
      </w:pPr>
      <w:r>
        <w:rPr>
          <w:rFonts w:ascii="宋体" w:hAnsi="宋体" w:hint="eastAsia"/>
        </w:rPr>
        <w:t>电报、电话、传真形式的投标（谈判应答）概不接受。</w:t>
      </w:r>
    </w:p>
    <w:p>
      <w:pPr>
        <w:numPr>
          <w:ilvl w:val="1"/>
          <w:numId w:val="2"/>
        </w:numPr>
        <w:adjustRightInd w:val="0"/>
        <w:snapToGrid w:val="0"/>
        <w:spacing w:line="360" w:lineRule="auto"/>
        <w:outlineLvl w:val="2"/>
      </w:pPr>
      <w:r>
        <w:rPr>
          <w:rFonts w:ascii="宋体" w:hAnsi="宋体" w:hint="eastAsia"/>
        </w:rPr>
        <w:t>投标(应答)文件（谈判应答文件）不用盖章或签字</w:t>
      </w:r>
      <w:r>
        <w:rPr>
          <w:rFonts w:ascii="宋体" w:hAnsi="宋体" w:hint="eastAsia"/>
          <w:b/>
          <w:bCs/>
        </w:rPr>
        <w:t>（采购文件另有要求的除外）</w:t>
      </w:r>
      <w:r>
        <w:rPr>
          <w:rFonts w:ascii="宋体" w:hAnsi="宋体" w:hint="eastAsia"/>
        </w:rPr>
        <w:t>，资格证明文件提供扫描件。</w:t>
      </w:r>
    </w:p>
    <w:p>
      <w:pPr>
        <w:numPr>
          <w:ilvl w:val="1"/>
          <w:numId w:val="2"/>
        </w:numPr>
        <w:adjustRightInd w:val="0"/>
        <w:snapToGrid w:val="0"/>
        <w:spacing w:line="360" w:lineRule="auto"/>
        <w:rPr>
          <w:rFonts w:ascii="宋体" w:hAnsi="宋体" w:cs="宋体"/>
          <w:lang w:eastAsia="zh-TW"/>
        </w:rPr>
      </w:pPr>
      <w:r>
        <w:rPr>
          <w:rFonts w:ascii="宋体" w:hAnsi="宋体" w:cs="宋体" w:hint="eastAsia"/>
        </w:rPr>
        <w:t>响应供应商</w:t>
      </w:r>
      <w:r>
        <w:rPr>
          <w:rFonts w:ascii="宋体" w:hAnsi="宋体" w:cs="宋体" w:hint="eastAsia"/>
          <w:lang w:eastAsia="zh-TW"/>
        </w:rPr>
        <w:t>必须对</w:t>
      </w:r>
      <w:r>
        <w:rPr>
          <w:rFonts w:ascii="宋体" w:hAnsi="宋体" w:cs="宋体" w:hint="eastAsia"/>
        </w:rPr>
        <w:t>谈判应答文件</w:t>
      </w:r>
      <w:r>
        <w:rPr>
          <w:rFonts w:ascii="宋体" w:hAnsi="宋体" w:cs="宋体" w:hint="eastAsia"/>
          <w:lang w:eastAsia="zh-TW"/>
        </w:rPr>
        <w:t>所提供的全部资料的真实性承担法律责任，并无条件接受采购人及采购代理机构及政府采购监督管理部门等对其中任何资料进行核实的要求。</w:t>
      </w:r>
    </w:p>
    <w:p>
      <w:pPr>
        <w:numPr>
          <w:ilvl w:val="1"/>
          <w:numId w:val="2"/>
        </w:numPr>
        <w:tabs>
          <w:tab w:val="left" w:pos="567"/>
        </w:tabs>
        <w:adjustRightInd w:val="0"/>
        <w:snapToGrid w:val="0"/>
        <w:spacing w:line="360" w:lineRule="auto"/>
        <w:rPr>
          <w:rFonts w:ascii="宋体" w:hAnsi="宋体" w:cs="宋体"/>
          <w:color w:val="auto"/>
          <w:lang w:eastAsia="zh-TW"/>
        </w:rPr>
      </w:pPr>
      <w:r>
        <w:rPr>
          <w:rFonts w:ascii="宋体" w:hAnsi="宋体" w:cs="宋体" w:hint="eastAsia"/>
          <w:lang w:eastAsia="zh-TW"/>
        </w:rPr>
        <w:t>如果因为响应供应商</w:t>
      </w:r>
      <w:r>
        <w:rPr>
          <w:rFonts w:ascii="宋体" w:hAnsi="宋体" w:cs="宋体" w:hint="eastAsia"/>
        </w:rPr>
        <w:t>的谈判应答文件</w:t>
      </w:r>
      <w:r>
        <w:rPr>
          <w:rFonts w:ascii="宋体" w:hAnsi="宋体" w:cs="宋体" w:hint="eastAsia"/>
          <w:lang w:eastAsia="zh-TW"/>
        </w:rPr>
        <w:t>只填写和提供了本</w:t>
      </w:r>
      <w:r>
        <w:rPr>
          <w:rFonts w:ascii="宋体" w:hAnsi="宋体" w:cs="宋体" w:hint="eastAsia"/>
        </w:rPr>
        <w:t>采购文件</w:t>
      </w:r>
      <w:r>
        <w:rPr>
          <w:rFonts w:ascii="宋体" w:hAnsi="宋体" w:cs="宋体" w:hint="eastAsia"/>
          <w:lang w:eastAsia="zh-TW"/>
        </w:rPr>
        <w:t>要求的部分内容和附件，或没有提供</w:t>
      </w:r>
      <w:r>
        <w:rPr>
          <w:rFonts w:ascii="宋体" w:hAnsi="宋体" w:cs="宋体" w:hint="eastAsia"/>
        </w:rPr>
        <w:t>采购文件</w:t>
      </w:r>
      <w:r>
        <w:rPr>
          <w:rFonts w:ascii="宋体" w:hAnsi="宋体" w:cs="宋体" w:hint="eastAsia"/>
          <w:lang w:eastAsia="zh-TW"/>
        </w:rPr>
        <w:t>中所要求的全部资料及数据，而给谈判造成困难的，其可能导致的结果和责任由响应供</w:t>
      </w:r>
      <w:r>
        <w:rPr>
          <w:rFonts w:ascii="宋体" w:hAnsi="宋体" w:cs="宋体" w:hint="eastAsia"/>
          <w:color w:val="auto"/>
          <w:lang w:eastAsia="zh-TW"/>
        </w:rPr>
        <w:t>应商自行承担。</w:t>
      </w:r>
    </w:p>
    <w:p>
      <w:pPr>
        <w:numPr>
          <w:ilvl w:val="0"/>
          <w:numId w:val="2"/>
        </w:numPr>
        <w:adjustRightInd w:val="0"/>
        <w:snapToGrid w:val="0"/>
        <w:spacing w:line="360" w:lineRule="auto"/>
        <w:ind w:left="426" w:hanging="424" w:hangingChars="202"/>
        <w:outlineLvl w:val="2"/>
        <w:rPr>
          <w:rFonts w:ascii="宋体" w:hAnsi="宋体"/>
          <w:b/>
          <w:bCs/>
          <w:color w:val="auto"/>
        </w:rPr>
      </w:pPr>
      <w:r>
        <w:rPr>
          <w:rFonts w:ascii="宋体" w:hAnsi="宋体" w:hint="eastAsia"/>
          <w:b/>
          <w:bCs/>
          <w:color w:val="auto"/>
        </w:rPr>
        <w:t>报价组成</w:t>
      </w:r>
    </w:p>
    <w:p>
      <w:pPr>
        <w:numPr>
          <w:ilvl w:val="1"/>
          <w:numId w:val="2"/>
        </w:numPr>
        <w:adjustRightInd w:val="0"/>
        <w:snapToGrid w:val="0"/>
        <w:spacing w:line="360" w:lineRule="auto"/>
        <w:ind w:left="709" w:hanging="709"/>
        <w:rPr>
          <w:rFonts w:ascii="宋体" w:hAnsi="宋体"/>
          <w:color w:val="auto"/>
        </w:rPr>
      </w:pPr>
      <w:r>
        <w:rPr>
          <w:rFonts w:ascii="宋体" w:hAnsi="宋体" w:hint="eastAsia"/>
          <w:color w:val="auto"/>
        </w:rPr>
        <w:t>本项目不接受备选投标方案或备选的投标货物型号/规格，对每一种型号及规格的报价产品只允许有一个报价，采购代理机构不接受有任何选择的报价，只接受以项目为单位的报价金额。本项目谈判报价应包含但不限于以下全部费用，响应供应商不得再向采购人收取任何费用。主要包含产品价款、备品备件、易损件、专用工具、相关配件材料、零配件价及其它的所有费用，包含制作费、检验费、保险费用、检测费、检定费、仓储费、运输装卸费、安装调试费，银行费用、税费及一切技术和售后服务费等所有不可预见的隐含费用。 如涉及软件许可使用或技术指导、人员培训，还应包括软件许可费以及一切技术服务费、人员培训费等</w:t>
      </w:r>
      <w:r>
        <w:rPr>
          <w:rFonts w:ascii="宋体" w:hAnsi="宋体" w:hint="eastAsia"/>
          <w:bCs/>
          <w:color w:val="auto"/>
        </w:rPr>
        <w:t>。</w:t>
      </w:r>
      <w:r>
        <w:rPr>
          <w:rFonts w:ascii="宋体" w:hAnsi="宋体" w:hint="eastAsia"/>
          <w:color w:val="auto"/>
        </w:rPr>
        <w:t>以上所列费用如涉及到多次需求，所有费用都应包含在投标报价内。</w:t>
      </w:r>
    </w:p>
    <w:p>
      <w:pPr>
        <w:numPr>
          <w:ilvl w:val="1"/>
          <w:numId w:val="2"/>
        </w:numPr>
        <w:tabs>
          <w:tab w:val="left" w:pos="709"/>
        </w:tabs>
        <w:adjustRightInd w:val="0"/>
        <w:snapToGrid w:val="0"/>
        <w:spacing w:line="360" w:lineRule="auto"/>
        <w:ind w:left="709" w:hanging="709"/>
        <w:rPr>
          <w:rFonts w:ascii="宋体" w:hAnsi="宋体" w:cs="宋体"/>
          <w:color w:val="auto"/>
        </w:rPr>
      </w:pPr>
      <w:r>
        <w:rPr>
          <w:rFonts w:ascii="宋体" w:hAnsi="宋体" w:cs="宋体" w:hint="eastAsia"/>
          <w:color w:val="auto"/>
        </w:rPr>
        <w:t>响应供应商所报的谈判价在合同执行过程中是固定不变的，不得以任何理由予以变更。任何包含价格调整要求的谈判被认为是非实质性响应谈判而予以拒绝。</w:t>
      </w:r>
    </w:p>
    <w:p>
      <w:pPr>
        <w:numPr>
          <w:ilvl w:val="1"/>
          <w:numId w:val="2"/>
        </w:numPr>
        <w:tabs>
          <w:tab w:val="left" w:pos="709"/>
        </w:tabs>
        <w:adjustRightInd w:val="0"/>
        <w:snapToGrid w:val="0"/>
        <w:spacing w:line="360" w:lineRule="auto"/>
        <w:ind w:left="709" w:hanging="709"/>
        <w:rPr>
          <w:rFonts w:ascii="宋体" w:hAnsi="宋体"/>
          <w:color w:val="auto"/>
        </w:rPr>
      </w:pPr>
      <w:r>
        <w:rPr>
          <w:rFonts w:ascii="宋体" w:hAnsi="宋体" w:hint="eastAsia"/>
          <w:color w:val="auto"/>
        </w:rPr>
        <w:t>本次谈判不接受选择性报价，</w:t>
      </w:r>
      <w:r>
        <w:rPr>
          <w:rFonts w:ascii="宋体" w:hAnsi="宋体" w:cs="宋体" w:hint="eastAsia"/>
          <w:color w:val="auto"/>
        </w:rPr>
        <w:t>否则将被视为无效报价。</w:t>
      </w:r>
    </w:p>
    <w:p>
      <w:pPr>
        <w:numPr>
          <w:ilvl w:val="1"/>
          <w:numId w:val="2"/>
        </w:numPr>
        <w:tabs>
          <w:tab w:val="left" w:pos="709"/>
        </w:tabs>
        <w:adjustRightInd w:val="0"/>
        <w:snapToGrid w:val="0"/>
        <w:spacing w:line="360" w:lineRule="auto"/>
        <w:ind w:left="709" w:hanging="709"/>
        <w:rPr>
          <w:rFonts w:ascii="宋体" w:hAnsi="宋体" w:cs="宋体"/>
          <w:color w:val="auto"/>
        </w:rPr>
      </w:pPr>
      <w:r>
        <w:rPr>
          <w:rFonts w:ascii="宋体" w:hAnsi="宋体" w:cs="宋体" w:hint="eastAsia"/>
          <w:color w:val="auto"/>
        </w:rPr>
        <w:t>本次谈判不接受具有附加条件的报价，否则将被视为无效报价。</w:t>
      </w:r>
    </w:p>
    <w:p>
      <w:pPr>
        <w:numPr>
          <w:ilvl w:val="1"/>
          <w:numId w:val="2"/>
        </w:numPr>
        <w:tabs>
          <w:tab w:val="left" w:pos="709"/>
        </w:tabs>
        <w:adjustRightInd w:val="0"/>
        <w:snapToGrid w:val="0"/>
        <w:spacing w:line="360" w:lineRule="auto"/>
        <w:ind w:left="709" w:hanging="709"/>
        <w:rPr>
          <w:rFonts w:ascii="宋体" w:hAnsi="宋体" w:cs="宋体"/>
          <w:color w:val="auto"/>
        </w:rPr>
      </w:pPr>
      <w:r>
        <w:rPr>
          <w:rFonts w:ascii="宋体" w:hAnsi="宋体" w:cs="宋体" w:hint="eastAsia"/>
          <w:color w:val="auto"/>
        </w:rPr>
        <w:t>报价总价</w:t>
      </w:r>
      <w:r>
        <w:rPr>
          <w:rFonts w:ascii="宋体" w:hAnsi="宋体" w:cs="宋体" w:hint="eastAsia"/>
          <w:color w:val="auto"/>
          <w:lang w:eastAsia="zh-TW"/>
        </w:rPr>
        <w:t>中不得包含</w:t>
      </w:r>
      <w:r>
        <w:rPr>
          <w:rFonts w:ascii="宋体" w:hAnsi="宋体" w:cs="宋体" w:hint="eastAsia"/>
          <w:color w:val="auto"/>
        </w:rPr>
        <w:t>采购文件</w:t>
      </w:r>
      <w:r>
        <w:rPr>
          <w:rFonts w:ascii="宋体" w:hAnsi="宋体" w:cs="宋体" w:hint="eastAsia"/>
          <w:color w:val="auto"/>
          <w:lang w:eastAsia="zh-TW"/>
        </w:rPr>
        <w:t>要求以外的内容，否则，在评</w:t>
      </w:r>
      <w:r>
        <w:rPr>
          <w:rFonts w:ascii="宋体" w:hAnsi="宋体" w:cs="宋体" w:hint="eastAsia"/>
          <w:color w:val="auto"/>
        </w:rPr>
        <w:t>审</w:t>
      </w:r>
      <w:r>
        <w:rPr>
          <w:rFonts w:ascii="宋体" w:hAnsi="宋体" w:cs="宋体" w:hint="eastAsia"/>
          <w:color w:val="auto"/>
          <w:lang w:eastAsia="zh-TW"/>
        </w:rPr>
        <w:t>时不予核减。若报价有缺漏项的，缺漏项部分的价格视为已包含在报价中，</w:t>
      </w:r>
      <w:r>
        <w:rPr>
          <w:rFonts w:ascii="宋体" w:hAnsi="宋体" w:cs="宋体" w:hint="eastAsia"/>
          <w:color w:val="auto"/>
        </w:rPr>
        <w:t>成交</w:t>
      </w:r>
      <w:r>
        <w:rPr>
          <w:rFonts w:ascii="宋体" w:hAnsi="宋体" w:cs="宋体" w:hint="eastAsia"/>
          <w:color w:val="auto"/>
          <w:lang w:eastAsia="zh-TW"/>
        </w:rPr>
        <w:t>后不作任何调整</w:t>
      </w:r>
      <w:r>
        <w:rPr>
          <w:rFonts w:ascii="宋体" w:hAnsi="宋体" w:cs="宋体" w:hint="eastAsia"/>
          <w:color w:val="auto"/>
        </w:rPr>
        <w:t>。</w:t>
      </w:r>
    </w:p>
    <w:p>
      <w:pPr>
        <w:numPr>
          <w:ilvl w:val="1"/>
          <w:numId w:val="2"/>
        </w:numPr>
        <w:tabs>
          <w:tab w:val="left" w:pos="709"/>
        </w:tabs>
        <w:adjustRightInd w:val="0"/>
        <w:snapToGrid w:val="0"/>
        <w:spacing w:line="360" w:lineRule="auto"/>
        <w:ind w:left="709" w:hanging="709"/>
        <w:rPr>
          <w:rFonts w:ascii="宋体" w:hAnsi="宋体"/>
          <w:color w:val="auto"/>
        </w:rPr>
      </w:pPr>
      <w:r>
        <w:rPr>
          <w:rFonts w:ascii="宋体" w:hAnsi="宋体" w:hint="eastAsia"/>
          <w:color w:val="auto"/>
        </w:rPr>
        <w:t>报价表必须按照采购文件的项目采购标的清单或项目服务内容进行报价，如有缺漏项（数量不符合将被视为缺漏项）的，视为此项费用已隐含在报价中，成交后不得再向采购人收取任何费用。</w:t>
      </w:r>
    </w:p>
    <w:p>
      <w:pPr>
        <w:numPr>
          <w:ilvl w:val="0"/>
          <w:numId w:val="2"/>
        </w:numPr>
        <w:adjustRightInd w:val="0"/>
        <w:snapToGrid w:val="0"/>
        <w:spacing w:line="360" w:lineRule="auto"/>
        <w:ind w:left="426" w:hanging="424" w:hangingChars="202"/>
        <w:outlineLvl w:val="2"/>
        <w:rPr>
          <w:rFonts w:ascii="宋体" w:hAnsi="宋体"/>
          <w:b/>
          <w:bCs/>
          <w:color w:val="auto"/>
          <w:highlight w:val="none"/>
        </w:rPr>
      </w:pPr>
      <w:bookmarkStart w:id="42" w:name="_Toc378586971"/>
      <w:r>
        <w:rPr>
          <w:rFonts w:ascii="宋体" w:hAnsi="宋体" w:hint="eastAsia"/>
          <w:b/>
          <w:bCs/>
          <w:color w:val="auto"/>
          <w:highlight w:val="none"/>
        </w:rPr>
        <w:t>报价货币</w:t>
      </w:r>
      <w:bookmarkEnd w:id="42"/>
    </w:p>
    <w:p>
      <w:pPr>
        <w:numPr>
          <w:ilvl w:val="1"/>
          <w:numId w:val="2"/>
        </w:numPr>
        <w:tabs>
          <w:tab w:val="left" w:pos="709"/>
        </w:tabs>
        <w:adjustRightInd w:val="0"/>
        <w:snapToGrid w:val="0"/>
        <w:spacing w:line="360" w:lineRule="auto"/>
        <w:ind w:left="709" w:hanging="709"/>
        <w:rPr>
          <w:rFonts w:ascii="宋体" w:hAnsi="宋体"/>
          <w:color w:val="auto"/>
          <w:highlight w:val="none"/>
        </w:rPr>
      </w:pPr>
      <w:r>
        <w:rPr>
          <w:rFonts w:ascii="宋体" w:hAnsi="宋体" w:hint="eastAsia"/>
          <w:color w:val="auto"/>
          <w:highlight w:val="none"/>
        </w:rPr>
        <w:t>响应供应商所提供的货物和服务均应以人民币报价。</w:t>
      </w:r>
    </w:p>
    <w:p>
      <w:pPr>
        <w:numPr>
          <w:ilvl w:val="0"/>
          <w:numId w:val="2"/>
        </w:numPr>
        <w:adjustRightInd w:val="0"/>
        <w:snapToGrid w:val="0"/>
        <w:spacing w:line="360" w:lineRule="auto"/>
        <w:ind w:left="426" w:hanging="424" w:hangingChars="202"/>
        <w:outlineLvl w:val="2"/>
        <w:rPr>
          <w:rFonts w:ascii="宋体" w:hAnsi="宋体"/>
          <w:b/>
          <w:bCs/>
          <w:color w:val="auto"/>
          <w:highlight w:val="none"/>
        </w:rPr>
      </w:pPr>
      <w:r>
        <w:rPr>
          <w:rFonts w:ascii="宋体" w:hAnsi="宋体" w:hint="eastAsia"/>
          <w:b/>
          <w:bCs/>
          <w:color w:val="auto"/>
          <w:highlight w:val="none"/>
        </w:rPr>
        <w:t>联合体投标</w:t>
      </w:r>
      <w:r>
        <w:rPr>
          <w:rFonts w:cs="新宋体" w:hint="eastAsia"/>
          <w:b/>
          <w:color w:val="auto"/>
          <w:highlight w:val="none"/>
        </w:rPr>
        <w:t>（如适用）</w:t>
      </w:r>
    </w:p>
    <w:p>
      <w:pPr>
        <w:numPr>
          <w:ilvl w:val="1"/>
          <w:numId w:val="2"/>
        </w:numPr>
        <w:adjustRightInd w:val="0"/>
        <w:snapToGrid w:val="0"/>
        <w:spacing w:line="360" w:lineRule="auto"/>
        <w:rPr>
          <w:rFonts w:ascii="宋体" w:hAnsi="宋体" w:cs="宋体"/>
          <w:color w:val="auto"/>
          <w:highlight w:val="none"/>
          <w:lang w:eastAsia="zh-TW"/>
        </w:rPr>
      </w:pPr>
      <w:r>
        <w:rPr>
          <w:rFonts w:ascii="宋体" w:hAnsi="宋体" w:cs="宋体" w:hint="eastAsia"/>
          <w:color w:val="auto"/>
          <w:highlight w:val="none"/>
          <w:lang w:eastAsia="zh-TW"/>
        </w:rPr>
        <w:t>以联合体形式参加</w:t>
      </w:r>
      <w:r>
        <w:rPr>
          <w:rFonts w:ascii="宋体" w:hAnsi="宋体" w:cs="宋体" w:hint="eastAsia"/>
          <w:color w:val="auto"/>
          <w:highlight w:val="none"/>
        </w:rPr>
        <w:t>投标</w:t>
      </w:r>
      <w:r>
        <w:rPr>
          <w:rFonts w:ascii="宋体" w:hAnsi="宋体" w:cs="宋体" w:hint="eastAsia"/>
          <w:color w:val="auto"/>
          <w:highlight w:val="none"/>
          <w:lang w:eastAsia="zh-TW"/>
        </w:rPr>
        <w:t>的</w:t>
      </w:r>
      <w:r>
        <w:rPr>
          <w:rFonts w:ascii="宋体" w:hAnsi="宋体" w:hint="eastAsia"/>
          <w:color w:val="auto"/>
          <w:highlight w:val="none"/>
        </w:rPr>
        <w:t>，联合体各方均必须</w:t>
      </w:r>
      <w:r>
        <w:rPr>
          <w:rFonts w:ascii="宋体" w:hAnsi="宋体" w:hint="eastAsia"/>
          <w:bCs/>
          <w:color w:val="auto"/>
          <w:szCs w:val="20"/>
          <w:highlight w:val="none"/>
        </w:rPr>
        <w:t>《中华人民共和国政府采购法》第二十二条第（一）至（六）项规定</w:t>
      </w:r>
      <w:r>
        <w:rPr>
          <w:rFonts w:ascii="宋体" w:hAnsi="宋体" w:hint="eastAsia"/>
          <w:color w:val="auto"/>
          <w:highlight w:val="none"/>
        </w:rPr>
        <w:t>；</w:t>
      </w:r>
    </w:p>
    <w:p>
      <w:pPr>
        <w:numPr>
          <w:ilvl w:val="1"/>
          <w:numId w:val="2"/>
        </w:numPr>
        <w:adjustRightInd w:val="0"/>
        <w:snapToGrid w:val="0"/>
        <w:spacing w:line="360" w:lineRule="auto"/>
        <w:rPr>
          <w:rFonts w:ascii="宋体" w:hAnsi="宋体"/>
          <w:color w:val="auto"/>
          <w:highlight w:val="none"/>
        </w:rPr>
      </w:pPr>
      <w:r>
        <w:rPr>
          <w:rFonts w:ascii="宋体" w:hAnsi="宋体" w:hint="eastAsia"/>
          <w:color w:val="auto"/>
          <w:highlight w:val="none"/>
        </w:rPr>
        <w:t>联合体形式参加采购活动的，</w:t>
      </w:r>
      <w:r>
        <w:rPr>
          <w:rFonts w:ascii="宋体" w:hAnsi="宋体" w:hint="eastAsia"/>
          <w:color w:val="auto"/>
          <w:highlight w:val="none"/>
          <w:lang w:eastAsia="zh-TW"/>
        </w:rPr>
        <w:t>必须提供各方</w:t>
      </w:r>
      <w:r>
        <w:rPr>
          <w:rFonts w:ascii="宋体" w:hAnsi="宋体" w:hint="eastAsia"/>
          <w:color w:val="auto"/>
          <w:highlight w:val="none"/>
        </w:rPr>
        <w:t>共同</w:t>
      </w:r>
      <w:r>
        <w:rPr>
          <w:rFonts w:ascii="宋体" w:hAnsi="宋体" w:hint="eastAsia"/>
          <w:color w:val="auto"/>
          <w:highlight w:val="none"/>
          <w:lang w:eastAsia="zh-TW"/>
        </w:rPr>
        <w:t>签订的</w:t>
      </w:r>
      <w:r>
        <w:rPr>
          <w:rFonts w:ascii="宋体" w:hAnsi="宋体" w:hint="eastAsia"/>
          <w:color w:val="auto"/>
          <w:highlight w:val="none"/>
        </w:rPr>
        <w:t>联合协议，明确约定各方承担的工作和相应的责任。联合体各方签订联合协议后，不得再以自己名义单独在同一项目同一合同项下中谈判，也不得组成新的联合体参加同一项目同一合同项下谈判；</w:t>
      </w:r>
    </w:p>
    <w:p>
      <w:pPr>
        <w:numPr>
          <w:ilvl w:val="1"/>
          <w:numId w:val="2"/>
        </w:numPr>
        <w:adjustRightInd w:val="0"/>
        <w:snapToGrid w:val="0"/>
        <w:spacing w:line="360" w:lineRule="auto"/>
        <w:rPr>
          <w:rFonts w:ascii="宋体" w:hAnsi="宋体"/>
        </w:rPr>
      </w:pPr>
      <w:r>
        <w:rPr>
          <w:rFonts w:ascii="宋体" w:hAnsi="宋体" w:hint="eastAsia"/>
        </w:rPr>
        <w:t>联合体中有同类资质的响应供应商按照联合体分工承担相同工作的，应当按照资质等级较低的响应供应商确定资质等级。</w:t>
      </w:r>
    </w:p>
    <w:p>
      <w:pPr>
        <w:numPr>
          <w:ilvl w:val="1"/>
          <w:numId w:val="2"/>
        </w:numPr>
        <w:adjustRightInd w:val="0"/>
        <w:snapToGrid w:val="0"/>
        <w:spacing w:line="360" w:lineRule="auto"/>
        <w:rPr>
          <w:rFonts w:ascii="宋体" w:hAnsi="宋体"/>
        </w:rPr>
      </w:pPr>
      <w:r>
        <w:rPr>
          <w:rFonts w:ascii="宋体" w:hAnsi="宋体"/>
        </w:rPr>
        <w:t>联合体</w:t>
      </w:r>
      <w:r>
        <w:rPr>
          <w:rFonts w:ascii="宋体" w:hAnsi="宋体" w:hint="eastAsia"/>
        </w:rPr>
        <w:t>成交</w:t>
      </w:r>
      <w:r>
        <w:rPr>
          <w:rFonts w:ascii="宋体" w:hAnsi="宋体"/>
        </w:rPr>
        <w:t>的，联合体各方应当共同与</w:t>
      </w:r>
      <w:r>
        <w:rPr>
          <w:rFonts w:ascii="宋体" w:hAnsi="宋体" w:hint="eastAsia"/>
        </w:rPr>
        <w:t>采购</w:t>
      </w:r>
      <w:r>
        <w:rPr>
          <w:rFonts w:ascii="宋体" w:hAnsi="宋体"/>
        </w:rPr>
        <w:t>人签订合同。</w:t>
      </w:r>
    </w:p>
    <w:p>
      <w:pPr>
        <w:numPr>
          <w:ilvl w:val="0"/>
          <w:numId w:val="2"/>
        </w:numPr>
        <w:adjustRightInd w:val="0"/>
        <w:snapToGrid w:val="0"/>
        <w:spacing w:line="360" w:lineRule="auto"/>
        <w:ind w:left="426" w:hanging="424" w:hangingChars="202"/>
        <w:outlineLvl w:val="2"/>
        <w:rPr>
          <w:rFonts w:ascii="宋体" w:hAnsi="宋体"/>
          <w:b/>
        </w:rPr>
      </w:pPr>
      <w:r>
        <w:rPr>
          <w:rFonts w:ascii="宋体" w:hAnsi="宋体" w:hint="eastAsia"/>
          <w:b/>
        </w:rPr>
        <w:t>报价有效期</w:t>
      </w:r>
    </w:p>
    <w:p>
      <w:pPr>
        <w:numPr>
          <w:ilvl w:val="1"/>
          <w:numId w:val="2"/>
        </w:numPr>
        <w:tabs>
          <w:tab w:val="left" w:pos="709"/>
        </w:tabs>
        <w:adjustRightInd w:val="0"/>
        <w:snapToGrid w:val="0"/>
        <w:spacing w:line="360" w:lineRule="auto"/>
        <w:ind w:left="709" w:hanging="709"/>
        <w:rPr>
          <w:rFonts w:ascii="宋体" w:hAnsi="宋体"/>
        </w:rPr>
      </w:pPr>
      <w:r>
        <w:rPr>
          <w:rFonts w:ascii="宋体" w:hAnsi="宋体" w:hint="eastAsia"/>
        </w:rPr>
        <w:t>谈判应答文件报价截止日起算90日内有效，成交人的投标有效期与签订的本项目采购合同的有效期一致。</w:t>
      </w:r>
      <w:r>
        <w:rPr>
          <w:rFonts w:ascii="宋体" w:hAnsi="宋体" w:cs="宋体" w:hint="eastAsia"/>
        </w:rPr>
        <w:t>报价</w:t>
      </w:r>
      <w:r>
        <w:rPr>
          <w:rFonts w:ascii="宋体" w:hAnsi="宋体" w:cs="宋体" w:hint="eastAsia"/>
          <w:lang w:eastAsia="zh-TW"/>
        </w:rPr>
        <w:t>有效期不足的</w:t>
      </w:r>
      <w:r>
        <w:rPr>
          <w:rFonts w:ascii="宋体" w:hAnsi="宋体" w:cs="宋体" w:hint="eastAsia"/>
        </w:rPr>
        <w:t>谈判应答文件</w:t>
      </w:r>
      <w:r>
        <w:rPr>
          <w:rFonts w:ascii="宋体" w:hAnsi="宋体" w:cs="宋体" w:hint="eastAsia"/>
          <w:lang w:eastAsia="zh-TW"/>
        </w:rPr>
        <w:t>将被视为非实质性响应</w:t>
      </w:r>
      <w:r>
        <w:rPr>
          <w:rFonts w:ascii="宋体" w:hAnsi="宋体" w:hint="eastAsia"/>
        </w:rPr>
        <w:t>，</w:t>
      </w:r>
      <w:r>
        <w:rPr>
          <w:rFonts w:ascii="宋体" w:hAnsi="宋体" w:cs="宋体" w:hint="eastAsia"/>
        </w:rPr>
        <w:t>视为无效报价</w:t>
      </w:r>
      <w:r>
        <w:rPr>
          <w:rFonts w:ascii="宋体" w:hAnsi="宋体" w:cs="宋体" w:hint="eastAsia"/>
          <w:lang w:eastAsia="zh-TW"/>
        </w:rPr>
        <w:t>。</w:t>
      </w:r>
    </w:p>
    <w:p>
      <w:pPr>
        <w:numPr>
          <w:ilvl w:val="1"/>
          <w:numId w:val="2"/>
        </w:numPr>
        <w:tabs>
          <w:tab w:val="left" w:pos="709"/>
        </w:tabs>
        <w:adjustRightInd w:val="0"/>
        <w:snapToGrid w:val="0"/>
        <w:spacing w:line="360" w:lineRule="auto"/>
        <w:ind w:left="709" w:hanging="709"/>
        <w:rPr>
          <w:rFonts w:ascii="宋体" w:hAnsi="宋体"/>
        </w:rPr>
      </w:pPr>
      <w:r>
        <w:rPr>
          <w:rFonts w:ascii="宋体" w:hAnsi="宋体" w:cs="宋体" w:hint="eastAsia"/>
          <w:lang w:eastAsia="zh-TW"/>
        </w:rPr>
        <w:t>特殊情况下</w:t>
      </w:r>
      <w:r>
        <w:rPr>
          <w:rFonts w:ascii="宋体" w:hAnsi="宋体" w:cs="宋体" w:hint="eastAsia"/>
        </w:rPr>
        <w:t>，</w:t>
      </w:r>
      <w:r>
        <w:rPr>
          <w:rFonts w:ascii="宋体" w:hAnsi="宋体" w:hint="eastAsia"/>
        </w:rPr>
        <w:t>在原报价有效期截止之前</w:t>
      </w:r>
      <w:r>
        <w:rPr>
          <w:rFonts w:ascii="宋体" w:hAnsi="宋体" w:cs="宋体" w:hint="eastAsia"/>
        </w:rPr>
        <w:t>，</w:t>
      </w:r>
      <w:r>
        <w:rPr>
          <w:rFonts w:ascii="宋体" w:hAnsi="宋体" w:cs="宋体" w:hint="eastAsia"/>
          <w:lang w:eastAsia="zh-TW"/>
        </w:rPr>
        <w:t>采购代理机构可要求响应供应商延长</w:t>
      </w:r>
      <w:r>
        <w:rPr>
          <w:rFonts w:ascii="宋体" w:hAnsi="宋体" w:cs="宋体" w:hint="eastAsia"/>
        </w:rPr>
        <w:t>报价</w:t>
      </w:r>
      <w:r>
        <w:rPr>
          <w:rFonts w:ascii="宋体" w:hAnsi="宋体" w:cs="宋体" w:hint="eastAsia"/>
          <w:lang w:eastAsia="zh-TW"/>
        </w:rPr>
        <w:t>有效期。这种要求与答复均应以书面形式提交。响应供应商可拒绝采购代理机构的这种要求</w:t>
      </w:r>
      <w:r>
        <w:rPr>
          <w:rFonts w:ascii="宋体" w:hAnsi="宋体" w:cs="宋体" w:hint="eastAsia"/>
        </w:rPr>
        <w:t>，</w:t>
      </w:r>
      <w:r>
        <w:rPr>
          <w:rFonts w:ascii="宋体" w:hAnsi="宋体" w:cs="宋体" w:hint="eastAsia"/>
          <w:lang w:eastAsia="zh-TW"/>
        </w:rPr>
        <w:t>但其谈判在原</w:t>
      </w:r>
      <w:r>
        <w:rPr>
          <w:rFonts w:ascii="宋体" w:hAnsi="宋体" w:cs="宋体" w:hint="eastAsia"/>
        </w:rPr>
        <w:t>报价</w:t>
      </w:r>
      <w:r>
        <w:rPr>
          <w:rFonts w:ascii="宋体" w:hAnsi="宋体" w:cs="宋体" w:hint="eastAsia"/>
          <w:lang w:eastAsia="zh-TW"/>
        </w:rPr>
        <w:t>有效期期满后将不再有效。同意延长</w:t>
      </w:r>
      <w:r>
        <w:rPr>
          <w:rFonts w:ascii="宋体" w:hAnsi="宋体" w:cs="宋体" w:hint="eastAsia"/>
        </w:rPr>
        <w:t>报价</w:t>
      </w:r>
      <w:r>
        <w:rPr>
          <w:rFonts w:ascii="宋体" w:hAnsi="宋体" w:cs="宋体" w:hint="eastAsia"/>
          <w:lang w:eastAsia="zh-TW"/>
        </w:rPr>
        <w:t>有效期的响应供应商将不会被要求和允许修正其谈判。</w:t>
      </w:r>
    </w:p>
    <w:p>
      <w:pPr>
        <w:jc w:val="center"/>
        <w:outlineLvl w:val="1"/>
        <w:rPr>
          <w:b/>
          <w:sz w:val="30"/>
          <w:szCs w:val="30"/>
        </w:rPr>
      </w:pPr>
      <w:r>
        <w:rPr>
          <w:rFonts w:hint="eastAsia"/>
          <w:b/>
          <w:sz w:val="30"/>
          <w:szCs w:val="30"/>
        </w:rPr>
        <w:t>四、谈判应答文件的递交</w:t>
      </w:r>
    </w:p>
    <w:p>
      <w:pPr>
        <w:numPr>
          <w:ilvl w:val="0"/>
          <w:numId w:val="2"/>
        </w:numPr>
        <w:adjustRightInd w:val="0"/>
        <w:snapToGrid w:val="0"/>
        <w:spacing w:line="360" w:lineRule="auto"/>
        <w:ind w:left="426" w:hanging="424" w:hangingChars="202"/>
        <w:outlineLvl w:val="2"/>
        <w:rPr>
          <w:rFonts w:ascii="宋体" w:hAnsi="宋体"/>
          <w:b/>
        </w:rPr>
      </w:pPr>
      <w:r>
        <w:rPr>
          <w:rFonts w:ascii="宋体" w:hAnsi="宋体" w:hint="eastAsia"/>
          <w:b/>
        </w:rPr>
        <w:t>谈判应答文件的密封</w:t>
      </w:r>
    </w:p>
    <w:p>
      <w:pPr>
        <w:numPr>
          <w:ilvl w:val="1"/>
          <w:numId w:val="2"/>
        </w:numPr>
        <w:adjustRightInd w:val="0"/>
        <w:snapToGrid w:val="0"/>
        <w:spacing w:line="360" w:lineRule="auto"/>
        <w:outlineLvl w:val="2"/>
        <w:rPr>
          <w:rFonts w:ascii="宋体" w:hAnsi="宋体" w:cs="宋体"/>
          <w:lang w:eastAsia="zh-TW"/>
        </w:rPr>
      </w:pPr>
      <w:r>
        <w:drawing>
          <wp:anchor distT="0" distB="0" distL="0" distR="0" simplePos="0" relativeHeight="251658240" behindDoc="0" locked="0" layoutInCell="1" allowOverlap="1">
            <wp:simplePos x="0" y="0"/>
            <wp:positionH relativeFrom="column">
              <wp:posOffset>697865</wp:posOffset>
            </wp:positionH>
            <wp:positionV relativeFrom="paragraph">
              <wp:posOffset>1349375</wp:posOffset>
            </wp:positionV>
            <wp:extent cx="4717415" cy="2432050"/>
            <wp:effectExtent l="0" t="0" r="6985" b="6350"/>
            <wp:wrapTopAndBottom/>
            <wp:docPr id="4" name="图片 4"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形用户界面, 应用程序&#10;&#10;描述已自动生成"/>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a:xfrm>
                      <a:off x="0" y="0"/>
                      <a:ext cx="4717415" cy="2432050"/>
                    </a:xfrm>
                    <a:prstGeom prst="rect">
                      <a:avLst/>
                    </a:prstGeom>
                    <a:noFill/>
                    <a:ln>
                      <a:noFill/>
                    </a:ln>
                  </pic:spPr>
                </pic:pic>
              </a:graphicData>
            </a:graphic>
          </wp:anchor>
        </w:drawing>
      </w:r>
      <w:r>
        <w:rPr>
          <w:rFonts w:ascii="宋体" w:hAnsi="宋体" w:hint="eastAsia"/>
        </w:rPr>
        <w:t>在投标(应答)文件制作完成后，在投标(应答)文件制作软件点击【生成标书】按钮进入【填写开标一览表界面】界面，在该界面填写完开标一览表信息后点击【确定】，进入投标(应答)文件生成环节。投标(应答)文件制作软件会在投标(应答)文件生成过程中，提示用户输入密码，输入密码后对标文件自动进行加密，此加密程序确保投标(应答)文件在到达开标时间后才能解密查看。在加密过程中，请按照软件提示进行操作。加密操作界面如下图所示：</w:t>
      </w:r>
    </w:p>
    <w:p>
      <w:pPr>
        <w:pStyle w:val="a0"/>
        <w:spacing w:line="360" w:lineRule="auto"/>
        <w:ind w:firstLine="420" w:firstLineChars="200"/>
        <w:rPr>
          <w:rFonts w:ascii="宋体" w:hAnsi="宋体"/>
          <w:bCs w:val="0"/>
          <w:spacing w:val="0"/>
          <w:sz w:val="21"/>
        </w:rPr>
      </w:pPr>
      <w:r>
        <w:rPr>
          <w:rFonts w:ascii="宋体" w:hAnsi="宋体" w:hint="eastAsia"/>
          <w:bCs w:val="0"/>
          <w:spacing w:val="0"/>
          <w:sz w:val="21"/>
        </w:rPr>
        <w:t>在投标(应答)文件制作软件点击【生成标书】按钮进入【填写开标一览表界面】界面，在该界面填写完开标一</w:t>
      </w:r>
      <w:r>
        <w:drawing>
          <wp:anchor distT="0" distB="0" distL="0" distR="0" simplePos="0" relativeHeight="251659264" behindDoc="0" locked="0" layoutInCell="1" allowOverlap="1">
            <wp:simplePos x="0" y="0"/>
            <wp:positionH relativeFrom="column">
              <wp:posOffset>410845</wp:posOffset>
            </wp:positionH>
            <wp:positionV relativeFrom="paragraph">
              <wp:posOffset>341630</wp:posOffset>
            </wp:positionV>
            <wp:extent cx="5040630" cy="2437765"/>
            <wp:effectExtent l="0" t="0" r="7620" b="635"/>
            <wp:wrapTopAndBottom/>
            <wp:docPr id="6" name="图片 6"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10;&#10;描述已自动生成"/>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5040630" cy="2437765"/>
                    </a:xfrm>
                    <a:prstGeom prst="rect">
                      <a:avLst/>
                    </a:prstGeom>
                    <a:noFill/>
                    <a:ln>
                      <a:noFill/>
                    </a:ln>
                  </pic:spPr>
                </pic:pic>
              </a:graphicData>
            </a:graphic>
          </wp:anchor>
        </w:drawing>
      </w:r>
      <w:r>
        <w:rPr>
          <w:rFonts w:ascii="宋体" w:hAnsi="宋体" w:hint="eastAsia"/>
          <w:bCs w:val="0"/>
          <w:spacing w:val="0"/>
          <w:sz w:val="21"/>
        </w:rPr>
        <w:t>览表信息后点击【确定】，进入投标(应答)文件生成环节。</w:t>
      </w:r>
    </w:p>
    <w:p>
      <w:pPr>
        <w:pStyle w:val="a0"/>
        <w:spacing w:line="360" w:lineRule="auto"/>
        <w:ind w:firstLine="420" w:firstLineChars="200"/>
        <w:rPr>
          <w:rFonts w:ascii="宋体" w:hAnsi="宋体"/>
          <w:bCs w:val="0"/>
          <w:spacing w:val="0"/>
          <w:sz w:val="21"/>
        </w:rPr>
      </w:pPr>
      <w:r>
        <w:rPr>
          <w:rFonts w:ascii="宋体" w:hAnsi="宋体" w:hint="eastAsia"/>
          <w:bCs w:val="0"/>
          <w:spacing w:val="0"/>
          <w:sz w:val="21"/>
        </w:rPr>
        <w:t>投标(应答)文件制作软件会在投标(应答)文件生成过程中，提示用户输入密码，输入密码后对投标(应答)文件自动进行加密。</w:t>
      </w:r>
    </w:p>
    <w:p>
      <w:pPr>
        <w:numPr>
          <w:ilvl w:val="1"/>
          <w:numId w:val="2"/>
        </w:numPr>
        <w:adjustRightInd w:val="0"/>
        <w:snapToGrid w:val="0"/>
        <w:spacing w:line="360" w:lineRule="auto"/>
        <w:outlineLvl w:val="2"/>
        <w:rPr>
          <w:lang w:eastAsia="zh-TW"/>
        </w:rPr>
      </w:pPr>
      <w:r>
        <w:rPr>
          <w:rFonts w:ascii="宋体" w:hAnsi="宋体" w:hint="eastAsia"/>
          <w:b/>
        </w:rPr>
        <w:t>若采购项目出现延期情况：</w:t>
      </w:r>
      <w:r>
        <w:rPr>
          <w:rFonts w:hint="eastAsia"/>
          <w:lang w:eastAsia="zh-TW"/>
        </w:rPr>
        <w:t>如果供下载的</w:t>
      </w:r>
      <w:r>
        <w:rPr>
          <w:rFonts w:hint="eastAsia"/>
          <w:lang w:eastAsia="zh-CN"/>
        </w:rPr>
        <w:t>谈判文件</w:t>
      </w:r>
      <w:r>
        <w:rPr>
          <w:rFonts w:hint="eastAsia"/>
          <w:lang w:eastAsia="zh-TW"/>
        </w:rPr>
        <w:t>（后缀名为.szczf）有更新，投标人必须重新下载</w:t>
      </w:r>
      <w:r>
        <w:rPr>
          <w:rFonts w:hint="eastAsia"/>
          <w:lang w:eastAsia="zh-CN"/>
        </w:rPr>
        <w:t>谈判文件</w:t>
      </w:r>
      <w:r>
        <w:rPr>
          <w:rFonts w:hint="eastAsia"/>
          <w:lang w:eastAsia="zh-TW"/>
        </w:rPr>
        <w:t>、重新制作</w:t>
      </w:r>
      <w:r>
        <w:rPr>
          <w:rFonts w:hint="eastAsia"/>
        </w:rPr>
        <w:t>投标(应答)文件</w:t>
      </w:r>
      <w:r>
        <w:rPr>
          <w:rFonts w:hint="eastAsia"/>
          <w:lang w:eastAsia="zh-TW"/>
        </w:rPr>
        <w:t>、重新加密</w:t>
      </w:r>
      <w:r>
        <w:rPr>
          <w:rFonts w:hint="eastAsia"/>
        </w:rPr>
        <w:t>投标(应答)文件</w:t>
      </w:r>
      <w:r>
        <w:rPr>
          <w:rFonts w:hint="eastAsia"/>
          <w:lang w:eastAsia="zh-TW"/>
        </w:rPr>
        <w:t>、重新上传</w:t>
      </w:r>
      <w:r>
        <w:rPr>
          <w:rFonts w:hint="eastAsia"/>
        </w:rPr>
        <w:t>投标(应答)文件</w:t>
      </w:r>
      <w:r>
        <w:rPr>
          <w:rFonts w:hint="eastAsia"/>
          <w:lang w:eastAsia="zh-TW"/>
        </w:rPr>
        <w:t>；如果供下载的</w:t>
      </w:r>
      <w:r>
        <w:rPr>
          <w:rFonts w:hint="eastAsia"/>
          <w:lang w:eastAsia="zh-CN"/>
        </w:rPr>
        <w:t>谈判文件</w:t>
      </w:r>
      <w:r>
        <w:rPr>
          <w:rFonts w:hint="eastAsia"/>
          <w:lang w:eastAsia="zh-TW"/>
        </w:rPr>
        <w:t>（后缀名为.szczf）没有更新，投标人必须重新加密</w:t>
      </w:r>
      <w:r>
        <w:rPr>
          <w:rFonts w:hint="eastAsia"/>
        </w:rPr>
        <w:t>投标(应答)文件</w:t>
      </w:r>
      <w:r>
        <w:rPr>
          <w:rFonts w:hint="eastAsia"/>
          <w:lang w:eastAsia="zh-TW"/>
        </w:rPr>
        <w:t>、重新上传</w:t>
      </w:r>
      <w:r>
        <w:rPr>
          <w:rFonts w:hint="eastAsia"/>
        </w:rPr>
        <w:t>投标(应答)文件</w:t>
      </w:r>
      <w:r>
        <w:rPr>
          <w:rFonts w:hint="eastAsia"/>
          <w:lang w:eastAsia="zh-TW"/>
        </w:rPr>
        <w:t>（是否重新制作</w:t>
      </w:r>
      <w:r>
        <w:rPr>
          <w:rFonts w:hint="eastAsia"/>
        </w:rPr>
        <w:t>投标(应答)文件</w:t>
      </w:r>
      <w:r>
        <w:rPr>
          <w:rFonts w:hint="eastAsia"/>
          <w:lang w:eastAsia="zh-TW"/>
        </w:rPr>
        <w:t>根据项目实际情况定）。否则，投标人自行承担</w:t>
      </w:r>
      <w:r>
        <w:rPr>
          <w:rFonts w:hint="eastAsia"/>
        </w:rPr>
        <w:t>投标(应答)文件</w:t>
      </w:r>
      <w:r>
        <w:rPr>
          <w:rFonts w:hint="eastAsia"/>
          <w:lang w:eastAsia="zh-TW"/>
        </w:rPr>
        <w:t>无法解密导致投标无效的后果。</w:t>
      </w:r>
    </w:p>
    <w:p>
      <w:pPr>
        <w:numPr>
          <w:ilvl w:val="0"/>
          <w:numId w:val="2"/>
        </w:numPr>
        <w:adjustRightInd w:val="0"/>
        <w:snapToGrid w:val="0"/>
        <w:spacing w:line="360" w:lineRule="auto"/>
        <w:ind w:left="426" w:hanging="424" w:hangingChars="202"/>
        <w:outlineLvl w:val="2"/>
        <w:rPr>
          <w:rFonts w:ascii="宋体" w:hAnsi="宋体"/>
          <w:b/>
          <w:dstrike/>
        </w:rPr>
      </w:pPr>
      <w:r>
        <w:rPr>
          <w:rFonts w:hint="eastAsia"/>
          <w:b/>
        </w:rPr>
        <w:t>谈判应答文件的递交与截止时间</w:t>
      </w:r>
    </w:p>
    <w:p>
      <w:pPr>
        <w:numPr>
          <w:ilvl w:val="1"/>
          <w:numId w:val="2"/>
        </w:numPr>
        <w:tabs>
          <w:tab w:val="left" w:pos="709"/>
        </w:tabs>
        <w:adjustRightInd w:val="0"/>
        <w:snapToGrid w:val="0"/>
        <w:spacing w:line="360" w:lineRule="auto"/>
        <w:rPr>
          <w:rFonts w:ascii="宋体" w:hAnsi="宋体"/>
        </w:rPr>
      </w:pPr>
      <w:r>
        <w:rPr>
          <w:rFonts w:ascii="宋体" w:hAnsi="宋体" w:hint="eastAsia"/>
        </w:rPr>
        <w:t>本项目实施网上投标，供应商</w:t>
      </w:r>
      <w:r>
        <w:rPr>
          <w:rFonts w:ascii="宋体" w:hAnsi="宋体"/>
        </w:rPr>
        <w:t>必须</w:t>
      </w:r>
      <w:r>
        <w:rPr>
          <w:rFonts w:ascii="宋体" w:hAnsi="宋体" w:hint="eastAsia"/>
        </w:rPr>
        <w:t>在采购</w:t>
      </w:r>
      <w:r>
        <w:rPr>
          <w:rFonts w:ascii="宋体" w:hAnsi="宋体"/>
        </w:rPr>
        <w:t>文件规定的</w:t>
      </w:r>
      <w:r>
        <w:rPr>
          <w:rFonts w:ascii="宋体" w:hAnsi="宋体" w:hint="eastAsia"/>
        </w:rPr>
        <w:t>谈判应答文件递交截止时间</w:t>
      </w:r>
      <w:r>
        <w:rPr>
          <w:rFonts w:ascii="宋体" w:hAnsi="宋体"/>
        </w:rPr>
        <w:t>前</w:t>
      </w:r>
      <w:r>
        <w:rPr>
          <w:rFonts w:ascii="宋体" w:hAnsi="宋体" w:hint="eastAsia"/>
        </w:rPr>
        <w:t>用电子密钥登录</w:t>
      </w:r>
      <w:r>
        <w:rPr>
          <w:rFonts w:ascii="宋体" w:hAnsi="宋体" w:cs="宋体" w:hint="eastAsia"/>
          <w:bCs/>
        </w:rPr>
        <w:t>“深圳政府采购智慧平台用户网上办事子系统（http://zfcg.szggzy.com/TPBidder/memberLogin）”</w:t>
      </w:r>
      <w:r>
        <w:rPr>
          <w:rFonts w:ascii="宋体" w:hAnsi="宋体" w:hint="eastAsia"/>
        </w:rPr>
        <w:t xml:space="preserve">，用“【我的项目】→【项目流程】→【递交投标(应答)文件】”功能点上传投标(应答)文件。如果确有困难，多次上传均告失败，请在谈判应答文件递交截止时间之前携带加密后的电子投标(应答)文件送达至政府集中采购机构501政府采购技术支持服务室。 </w:t>
      </w:r>
    </w:p>
    <w:p>
      <w:pPr>
        <w:numPr>
          <w:ilvl w:val="1"/>
          <w:numId w:val="2"/>
        </w:numPr>
        <w:tabs>
          <w:tab w:val="left" w:pos="709"/>
        </w:tabs>
        <w:adjustRightInd w:val="0"/>
        <w:snapToGrid w:val="0"/>
        <w:spacing w:line="360" w:lineRule="auto"/>
        <w:ind w:left="709" w:hanging="709"/>
        <w:rPr>
          <w:rFonts w:ascii="宋体" w:hAnsi="宋体"/>
        </w:rPr>
      </w:pPr>
      <w:r>
        <w:rPr>
          <w:rFonts w:ascii="宋体" w:hAnsi="宋体" w:hint="eastAsia"/>
        </w:rPr>
        <w:t>超过递交截止时间的项目将不被允许上传谈判应答文件。</w:t>
      </w:r>
    </w:p>
    <w:p>
      <w:pPr>
        <w:numPr>
          <w:ilvl w:val="1"/>
          <w:numId w:val="2"/>
        </w:numPr>
        <w:tabs>
          <w:tab w:val="left" w:pos="709"/>
        </w:tabs>
        <w:adjustRightInd w:val="0"/>
        <w:snapToGrid w:val="0"/>
        <w:spacing w:line="360" w:lineRule="auto"/>
        <w:ind w:left="709" w:hanging="709"/>
        <w:rPr>
          <w:rFonts w:ascii="宋体" w:hAnsi="宋体"/>
        </w:rPr>
      </w:pPr>
      <w:r>
        <w:rPr>
          <w:rFonts w:ascii="宋体" w:hAnsi="宋体" w:hint="eastAsia"/>
        </w:rPr>
        <w:t>采购代理机构可以按本须知第8条规定，通过修改采购文件自行决定酌情延长谈判应答文件递交截止时间。在此情况下，采购代理机构、采购单位和供应商受谈判应答文件递交截止时间制约的所有权利和义务均应延长至新的截止时间。在项目延期后，出于投标(应答)文件的保密考虑，建议供应商重新加密投标(应答)文件，重新上传。</w:t>
      </w:r>
    </w:p>
    <w:p>
      <w:pPr>
        <w:numPr>
          <w:ilvl w:val="1"/>
          <w:numId w:val="2"/>
        </w:numPr>
        <w:tabs>
          <w:tab w:val="left" w:pos="709"/>
        </w:tabs>
        <w:adjustRightInd w:val="0"/>
        <w:snapToGrid w:val="0"/>
        <w:spacing w:line="360" w:lineRule="auto"/>
        <w:ind w:left="709" w:hanging="709"/>
        <w:rPr>
          <w:rFonts w:ascii="宋体" w:hAnsi="宋体"/>
          <w:color w:val="FF0000"/>
        </w:rPr>
      </w:pPr>
      <w:r>
        <w:rPr>
          <w:rFonts w:ascii="宋体" w:hAnsi="宋体" w:hint="eastAsia"/>
        </w:rPr>
        <w:t>供应商</w:t>
      </w:r>
      <w:r>
        <w:rPr>
          <w:rFonts w:ascii="宋体" w:hAnsi="宋体"/>
        </w:rPr>
        <w:t>在提交</w:t>
      </w:r>
      <w:r>
        <w:rPr>
          <w:rFonts w:ascii="宋体" w:hAnsi="宋体" w:hint="eastAsia"/>
        </w:rPr>
        <w:t>谈判应答文件</w:t>
      </w:r>
      <w:r>
        <w:rPr>
          <w:rFonts w:ascii="宋体" w:hAnsi="宋体"/>
        </w:rPr>
        <w:t>后</w:t>
      </w:r>
      <w:r>
        <w:rPr>
          <w:rFonts w:ascii="宋体" w:hAnsi="宋体" w:hint="eastAsia"/>
        </w:rPr>
        <w:t>，在谈判应答文件递交截止时间前</w:t>
      </w:r>
      <w:r>
        <w:rPr>
          <w:rFonts w:ascii="宋体" w:hAnsi="宋体"/>
        </w:rPr>
        <w:t>可对其</w:t>
      </w:r>
      <w:r>
        <w:rPr>
          <w:rFonts w:ascii="宋体" w:hAnsi="宋体" w:hint="eastAsia"/>
        </w:rPr>
        <w:t>谈判应答文件</w:t>
      </w:r>
      <w:r>
        <w:rPr>
          <w:rFonts w:ascii="宋体" w:hAnsi="宋体"/>
        </w:rPr>
        <w:t>进行修改</w:t>
      </w:r>
      <w:r>
        <w:rPr>
          <w:rFonts w:ascii="宋体" w:hAnsi="宋体" w:hint="eastAsia"/>
        </w:rPr>
        <w:t>并重新上传谈判应答文件，政府采购机构将仅接受供应商最近上传的谈判应答文件。供应商也可在网上进行</w:t>
      </w:r>
      <w:r>
        <w:rPr>
          <w:rFonts w:ascii="宋体" w:hAnsi="宋体"/>
        </w:rPr>
        <w:t>撤销</w:t>
      </w:r>
      <w:r>
        <w:rPr>
          <w:rFonts w:ascii="宋体" w:hAnsi="宋体" w:hint="eastAsia"/>
        </w:rPr>
        <w:t>投标的操作</w:t>
      </w:r>
      <w:r>
        <w:rPr>
          <w:rFonts w:ascii="宋体" w:hAnsi="宋体"/>
        </w:rPr>
        <w:t>。</w:t>
      </w:r>
    </w:p>
    <w:p>
      <w:pPr>
        <w:numPr>
          <w:ilvl w:val="1"/>
          <w:numId w:val="2"/>
        </w:numPr>
        <w:tabs>
          <w:tab w:val="left" w:pos="709"/>
        </w:tabs>
        <w:adjustRightInd w:val="0"/>
        <w:snapToGrid w:val="0"/>
        <w:spacing w:line="360" w:lineRule="auto"/>
        <w:ind w:left="709" w:hanging="709"/>
        <w:rPr>
          <w:rFonts w:ascii="宋体" w:hAnsi="宋体"/>
          <w:color w:val="FF0000"/>
        </w:rPr>
      </w:pPr>
      <w:r>
        <w:rPr>
          <w:rFonts w:ascii="宋体" w:hAnsi="宋体" w:hint="eastAsia"/>
        </w:rPr>
        <w:t>谈判应答文件递交</w:t>
      </w:r>
      <w:r>
        <w:rPr>
          <w:rFonts w:ascii="宋体" w:hAnsi="宋体"/>
        </w:rPr>
        <w:t>截止时间以后不得修改</w:t>
      </w:r>
      <w:r>
        <w:rPr>
          <w:rFonts w:ascii="宋体" w:hAnsi="宋体" w:hint="eastAsia"/>
        </w:rPr>
        <w:t>、上传谈判应答文件</w:t>
      </w:r>
      <w:r>
        <w:rPr>
          <w:rFonts w:ascii="宋体" w:hAnsi="宋体"/>
        </w:rPr>
        <w:t>。</w:t>
      </w:r>
    </w:p>
    <w:p>
      <w:pPr>
        <w:numPr>
          <w:ilvl w:val="1"/>
          <w:numId w:val="2"/>
        </w:numPr>
        <w:tabs>
          <w:tab w:val="left" w:pos="709"/>
        </w:tabs>
        <w:adjustRightInd w:val="0"/>
        <w:snapToGrid w:val="0"/>
        <w:spacing w:line="360" w:lineRule="auto"/>
        <w:ind w:left="709" w:hanging="709"/>
        <w:rPr>
          <w:rFonts w:ascii="宋体" w:hAnsi="宋体"/>
          <w:color w:val="FF0000"/>
        </w:rPr>
      </w:pPr>
      <w:r>
        <w:rPr>
          <w:rFonts w:ascii="宋体" w:hAnsi="宋体" w:hint="eastAsia"/>
        </w:rPr>
        <w:t>供应商</w:t>
      </w:r>
      <w:r>
        <w:rPr>
          <w:rFonts w:ascii="宋体" w:hAnsi="宋体"/>
        </w:rPr>
        <w:t>不得在开标时间起至</w:t>
      </w:r>
      <w:r>
        <w:rPr>
          <w:rFonts w:ascii="宋体" w:hAnsi="宋体" w:hint="eastAsia"/>
        </w:rPr>
        <w:t>谈判应答文件</w:t>
      </w:r>
      <w:r>
        <w:rPr>
          <w:rFonts w:ascii="宋体" w:hAnsi="宋体"/>
        </w:rPr>
        <w:t>有效期期满前撤销</w:t>
      </w:r>
      <w:r>
        <w:rPr>
          <w:rFonts w:ascii="宋体" w:hAnsi="宋体" w:hint="eastAsia"/>
        </w:rPr>
        <w:t>谈判应答文件</w:t>
      </w:r>
      <w:r>
        <w:rPr>
          <w:rFonts w:ascii="宋体" w:hAnsi="宋体"/>
        </w:rPr>
        <w:t>。</w:t>
      </w:r>
    </w:p>
    <w:p>
      <w:pPr>
        <w:numPr>
          <w:ilvl w:val="1"/>
          <w:numId w:val="2"/>
        </w:numPr>
        <w:tabs>
          <w:tab w:val="left" w:pos="709"/>
        </w:tabs>
        <w:adjustRightInd w:val="0"/>
        <w:snapToGrid w:val="0"/>
        <w:spacing w:line="360" w:lineRule="auto"/>
        <w:ind w:left="709" w:hanging="709"/>
        <w:rPr>
          <w:rFonts w:ascii="宋体" w:hAnsi="宋体"/>
          <w:color w:val="FF0000"/>
        </w:rPr>
      </w:pPr>
      <w:r>
        <w:rPr>
          <w:rFonts w:ascii="宋体" w:hAnsi="宋体" w:hint="eastAsia"/>
        </w:rPr>
        <w:t>谈判应答文件不退还。</w:t>
      </w:r>
    </w:p>
    <w:p>
      <w:pPr>
        <w:numPr>
          <w:ilvl w:val="0"/>
          <w:numId w:val="2"/>
        </w:numPr>
        <w:adjustRightInd w:val="0"/>
        <w:snapToGrid w:val="0"/>
        <w:spacing w:line="360" w:lineRule="auto"/>
        <w:ind w:left="426" w:hanging="424" w:hangingChars="202"/>
        <w:outlineLvl w:val="2"/>
        <w:rPr>
          <w:rFonts w:ascii="宋体" w:hAnsi="宋体"/>
          <w:b/>
          <w:bCs/>
        </w:rPr>
      </w:pPr>
      <w:r>
        <w:rPr>
          <w:rFonts w:ascii="宋体" w:hAnsi="宋体" w:hint="eastAsia"/>
          <w:b/>
        </w:rPr>
        <w:t>谈判应答文件的修改和撤回</w:t>
      </w:r>
      <w:r>
        <w:rPr>
          <w:rFonts w:ascii="宋体" w:hAnsi="宋体" w:hint="eastAsia"/>
          <w:b/>
          <w:bCs/>
        </w:rPr>
        <w:t>、撤销</w:t>
      </w:r>
    </w:p>
    <w:p>
      <w:pPr>
        <w:numPr>
          <w:ilvl w:val="1"/>
          <w:numId w:val="2"/>
        </w:numPr>
        <w:tabs>
          <w:tab w:val="left" w:pos="709"/>
        </w:tabs>
        <w:adjustRightInd w:val="0"/>
        <w:snapToGrid w:val="0"/>
        <w:spacing w:line="360" w:lineRule="auto"/>
        <w:ind w:left="709" w:hanging="709"/>
        <w:rPr>
          <w:rFonts w:ascii="宋体" w:hAnsi="宋体" w:cs="宋体"/>
          <w:lang w:eastAsia="zh-TW"/>
        </w:rPr>
      </w:pPr>
      <w:r>
        <w:rPr>
          <w:rFonts w:ascii="宋体" w:hAnsi="宋体" w:cs="宋体" w:hint="eastAsia"/>
          <w:lang w:eastAsia="zh-TW"/>
        </w:rPr>
        <w:t>响应供应商在</w:t>
      </w:r>
      <w:r>
        <w:rPr>
          <w:rFonts w:ascii="宋体" w:hAnsi="宋体" w:cs="宋体" w:hint="eastAsia"/>
        </w:rPr>
        <w:t>谈判应答文件递交</w:t>
      </w:r>
      <w:r>
        <w:rPr>
          <w:rFonts w:ascii="宋体" w:hAnsi="宋体" w:cs="宋体" w:hint="eastAsia"/>
          <w:lang w:eastAsia="zh-TW"/>
        </w:rPr>
        <w:t>截止</w:t>
      </w:r>
      <w:r>
        <w:rPr>
          <w:rFonts w:ascii="宋体" w:hAnsi="宋体" w:cs="宋体" w:hint="eastAsia"/>
        </w:rPr>
        <w:t>时间</w:t>
      </w:r>
      <w:r>
        <w:rPr>
          <w:rFonts w:ascii="宋体" w:hAnsi="宋体" w:cs="宋体" w:hint="eastAsia"/>
          <w:lang w:eastAsia="zh-TW"/>
        </w:rPr>
        <w:t>前，可以对所递交的</w:t>
      </w:r>
      <w:r>
        <w:rPr>
          <w:rFonts w:ascii="宋体" w:hAnsi="宋体" w:cs="宋体" w:hint="eastAsia"/>
        </w:rPr>
        <w:t>谈判应答文件</w:t>
      </w:r>
      <w:r>
        <w:rPr>
          <w:rFonts w:ascii="宋体" w:hAnsi="宋体" w:cs="宋体" w:hint="eastAsia"/>
          <w:lang w:eastAsia="zh-TW"/>
        </w:rPr>
        <w:t>进行补充、修改或者撤回，并书面通知采购人及采购代理机构。补充、修改的内容应当按</w:t>
      </w:r>
      <w:r>
        <w:rPr>
          <w:rFonts w:ascii="宋体" w:hAnsi="宋体" w:cs="宋体" w:hint="eastAsia"/>
        </w:rPr>
        <w:t>采购文件</w:t>
      </w:r>
      <w:r>
        <w:rPr>
          <w:rFonts w:ascii="宋体" w:hAnsi="宋体" w:cs="宋体" w:hint="eastAsia"/>
          <w:lang w:eastAsia="zh-TW"/>
        </w:rPr>
        <w:t>要求签署、盖章，并作为</w:t>
      </w:r>
      <w:r>
        <w:rPr>
          <w:rFonts w:ascii="宋体" w:hAnsi="宋体" w:cs="宋体" w:hint="eastAsia"/>
        </w:rPr>
        <w:t>谈判应答文件</w:t>
      </w:r>
      <w:r>
        <w:rPr>
          <w:rFonts w:ascii="宋体" w:hAnsi="宋体" w:cs="宋体" w:hint="eastAsia"/>
          <w:lang w:eastAsia="zh-TW"/>
        </w:rPr>
        <w:t>的组成部分。</w:t>
      </w:r>
      <w:r>
        <w:rPr>
          <w:rFonts w:ascii="宋体" w:hAnsi="宋体" w:cs="宋体" w:hint="eastAsia"/>
        </w:rPr>
        <w:t>补充、修改的内容和谈判应答文件不一致的，以补充、修改的内容为准。</w:t>
      </w:r>
      <w:r>
        <w:rPr>
          <w:rFonts w:ascii="宋体" w:hAnsi="宋体" w:cs="宋体" w:hint="eastAsia"/>
          <w:lang w:eastAsia="zh-TW"/>
        </w:rPr>
        <w:t>在</w:t>
      </w:r>
      <w:r>
        <w:rPr>
          <w:rFonts w:ascii="宋体" w:hAnsi="宋体" w:cs="宋体" w:hint="eastAsia"/>
        </w:rPr>
        <w:t>谈判应答文件递交</w:t>
      </w:r>
      <w:r>
        <w:rPr>
          <w:rFonts w:ascii="宋体" w:hAnsi="宋体" w:cs="宋体" w:hint="eastAsia"/>
          <w:lang w:eastAsia="zh-TW"/>
        </w:rPr>
        <w:t>截止</w:t>
      </w:r>
      <w:r>
        <w:rPr>
          <w:rFonts w:ascii="宋体" w:hAnsi="宋体" w:cs="宋体" w:hint="eastAsia"/>
        </w:rPr>
        <w:t>时间</w:t>
      </w:r>
      <w:r>
        <w:rPr>
          <w:rFonts w:ascii="宋体" w:hAnsi="宋体" w:cs="宋体" w:hint="eastAsia"/>
          <w:lang w:eastAsia="zh-TW"/>
        </w:rPr>
        <w:t>之后，响应供应商不得对其</w:t>
      </w:r>
      <w:r>
        <w:rPr>
          <w:rFonts w:ascii="宋体" w:hAnsi="宋体" w:cs="宋体" w:hint="eastAsia"/>
        </w:rPr>
        <w:t>谈判应答文件</w:t>
      </w:r>
      <w:r>
        <w:rPr>
          <w:rFonts w:ascii="宋体" w:hAnsi="宋体" w:cs="宋体" w:hint="eastAsia"/>
          <w:lang w:eastAsia="zh-TW"/>
        </w:rPr>
        <w:t>做任何修改和补充。</w:t>
      </w:r>
    </w:p>
    <w:p>
      <w:pPr>
        <w:numPr>
          <w:ilvl w:val="1"/>
          <w:numId w:val="2"/>
        </w:numPr>
        <w:autoSpaceDE w:val="0"/>
        <w:autoSpaceDN w:val="0"/>
        <w:adjustRightInd w:val="0"/>
        <w:snapToGrid w:val="0"/>
        <w:spacing w:line="360" w:lineRule="auto"/>
        <w:rPr>
          <w:rFonts w:ascii="宋体" w:hAnsi="宋体" w:cs="黑体"/>
          <w:b/>
          <w:bCs/>
        </w:rPr>
      </w:pPr>
      <w:r>
        <w:rPr>
          <w:rFonts w:ascii="宋体" w:hAnsi="宋体" w:cs="宋体" w:hint="eastAsia"/>
          <w:lang w:eastAsia="zh-TW"/>
        </w:rPr>
        <w:t>响应供应商在投标截止后或在</w:t>
      </w:r>
      <w:r>
        <w:rPr>
          <w:rFonts w:ascii="宋体" w:hAnsi="宋体" w:cs="宋体" w:hint="eastAsia"/>
        </w:rPr>
        <w:t>采购文件</w:t>
      </w:r>
      <w:r>
        <w:rPr>
          <w:rFonts w:ascii="宋体" w:hAnsi="宋体" w:cs="宋体" w:hint="eastAsia"/>
          <w:lang w:eastAsia="zh-TW"/>
        </w:rPr>
        <w:t>中规定的</w:t>
      </w:r>
      <w:r>
        <w:rPr>
          <w:rFonts w:ascii="宋体" w:hAnsi="宋体" w:cs="宋体" w:hint="eastAsia"/>
        </w:rPr>
        <w:t>报价有效期</w:t>
      </w:r>
      <w:r>
        <w:rPr>
          <w:rFonts w:ascii="宋体" w:hAnsi="宋体" w:cs="宋体" w:hint="eastAsia"/>
          <w:lang w:eastAsia="zh-TW"/>
        </w:rPr>
        <w:t>内</w:t>
      </w:r>
      <w:r>
        <w:rPr>
          <w:rFonts w:ascii="宋体" w:hAnsi="宋体" w:cs="宋体" w:hint="eastAsia"/>
        </w:rPr>
        <w:t>不可</w:t>
      </w:r>
      <w:r>
        <w:rPr>
          <w:rFonts w:ascii="宋体" w:hAnsi="宋体" w:cs="宋体" w:hint="eastAsia"/>
          <w:lang w:eastAsia="zh-TW"/>
        </w:rPr>
        <w:t>撤</w:t>
      </w:r>
      <w:r>
        <w:rPr>
          <w:rFonts w:ascii="宋体" w:hAnsi="宋体" w:cs="宋体" w:hint="eastAsia"/>
        </w:rPr>
        <w:t>销</w:t>
      </w:r>
      <w:r>
        <w:rPr>
          <w:rFonts w:ascii="宋体" w:hAnsi="宋体" w:cs="宋体" w:hint="eastAsia"/>
          <w:lang w:eastAsia="zh-TW"/>
        </w:rPr>
        <w:t>其投标</w:t>
      </w:r>
      <w:r>
        <w:rPr>
          <w:rFonts w:ascii="宋体" w:hAnsi="宋体" w:cs="宋体" w:hint="eastAsia"/>
        </w:rPr>
        <w:t>。</w:t>
      </w:r>
    </w:p>
    <w:p>
      <w:pPr>
        <w:jc w:val="center"/>
        <w:outlineLvl w:val="1"/>
        <w:rPr>
          <w:b/>
          <w:color w:val="auto"/>
          <w:sz w:val="30"/>
          <w:szCs w:val="30"/>
        </w:rPr>
      </w:pPr>
      <w:r>
        <w:rPr>
          <w:rFonts w:hint="eastAsia"/>
          <w:b/>
          <w:color w:val="auto"/>
          <w:sz w:val="30"/>
          <w:szCs w:val="30"/>
        </w:rPr>
        <w:t>五、单一来源谈判流程</w:t>
      </w:r>
    </w:p>
    <w:p>
      <w:pPr>
        <w:numPr>
          <w:ilvl w:val="0"/>
          <w:numId w:val="2"/>
        </w:numPr>
        <w:adjustRightInd w:val="0"/>
        <w:snapToGrid w:val="0"/>
        <w:spacing w:line="360" w:lineRule="auto"/>
        <w:ind w:left="426" w:hanging="424" w:hangingChars="202"/>
        <w:outlineLvl w:val="2"/>
        <w:rPr>
          <w:rFonts w:ascii="宋体" w:hAnsi="宋体"/>
          <w:b/>
          <w:bCs/>
          <w:color w:val="auto"/>
        </w:rPr>
      </w:pPr>
      <w:r>
        <w:rPr>
          <w:rFonts w:ascii="宋体" w:hAnsi="宋体" w:hint="eastAsia"/>
          <w:b/>
          <w:bCs/>
          <w:color w:val="auto"/>
        </w:rPr>
        <w:t>谈判小组的构成：</w:t>
      </w:r>
    </w:p>
    <w:p>
      <w:pPr>
        <w:numPr>
          <w:ilvl w:val="1"/>
          <w:numId w:val="2"/>
        </w:numPr>
        <w:adjustRightInd w:val="0"/>
        <w:snapToGrid w:val="0"/>
        <w:spacing w:line="360" w:lineRule="auto"/>
        <w:rPr>
          <w:rFonts w:ascii="宋体" w:hAnsi="宋体"/>
          <w:b/>
          <w:color w:val="auto"/>
        </w:rPr>
      </w:pPr>
      <w:r>
        <w:rPr>
          <w:rFonts w:ascii="宋体" w:hAnsi="宋体" w:hint="eastAsia"/>
          <w:color w:val="auto"/>
        </w:rPr>
        <w:t>谈判</w:t>
      </w:r>
      <w:r>
        <w:rPr>
          <w:rFonts w:ascii="宋体" w:hAnsi="宋体" w:hint="eastAsia"/>
          <w:bCs/>
          <w:color w:val="auto"/>
        </w:rPr>
        <w:t>小组</w:t>
      </w:r>
      <w:r>
        <w:rPr>
          <w:rFonts w:ascii="宋体" w:hAnsi="宋体" w:hint="eastAsia"/>
          <w:color w:val="auto"/>
        </w:rPr>
        <w:t>由3名单数组成</w:t>
      </w:r>
      <w:r>
        <w:rPr>
          <w:rFonts w:ascii="宋体" w:cs="宋体" w:hint="eastAsia"/>
          <w:color w:val="auto"/>
          <w:lang w:val="zh-CN"/>
        </w:rPr>
        <w:t>，由采购人的代表</w:t>
      </w:r>
      <w:r>
        <w:rPr>
          <w:rFonts w:ascii="宋体" w:cs="宋体" w:hint="eastAsia"/>
          <w:color w:val="auto"/>
          <w:lang w:val="en-US" w:eastAsia="zh-CN"/>
        </w:rPr>
        <w:t>及推荐的专家</w:t>
      </w:r>
      <w:r>
        <w:rPr>
          <w:rFonts w:ascii="宋体" w:cs="宋体" w:hint="eastAsia"/>
          <w:color w:val="auto"/>
          <w:lang w:val="zh-CN"/>
        </w:rPr>
        <w:t>和从政府采购专家库随机抽取的专家组成。</w:t>
      </w:r>
    </w:p>
    <w:p>
      <w:pPr>
        <w:numPr>
          <w:ilvl w:val="1"/>
          <w:numId w:val="2"/>
        </w:numPr>
        <w:adjustRightInd w:val="0"/>
        <w:snapToGrid w:val="0"/>
        <w:spacing w:line="360" w:lineRule="auto"/>
        <w:rPr>
          <w:rFonts w:ascii="宋体" w:hAnsi="宋体" w:cs="宋体"/>
          <w:color w:val="auto"/>
          <w:lang w:eastAsia="zh-TW"/>
        </w:rPr>
      </w:pPr>
      <w:r>
        <w:rPr>
          <w:rFonts w:ascii="宋体" w:hAnsi="宋体" w:hint="eastAsia"/>
          <w:bCs/>
          <w:color w:val="auto"/>
        </w:rPr>
        <w:t>谈判小组</w:t>
      </w:r>
      <w:r>
        <w:rPr>
          <w:rFonts w:ascii="宋体" w:hAnsi="宋体" w:cs="宋体" w:hint="eastAsia"/>
          <w:color w:val="auto"/>
        </w:rPr>
        <w:t>名单在谈判结果确定前严格保密</w:t>
      </w:r>
      <w:r>
        <w:rPr>
          <w:rFonts w:ascii="宋体" w:hAnsi="宋体" w:cs="宋体" w:hint="eastAsia"/>
          <w:color w:val="auto"/>
          <w:lang w:eastAsia="zh-TW"/>
        </w:rPr>
        <w:t>。</w:t>
      </w:r>
      <w:r>
        <w:rPr>
          <w:rFonts w:ascii="宋体" w:hAnsi="宋体" w:cs="宋体" w:hint="eastAsia"/>
          <w:color w:val="auto"/>
        </w:rPr>
        <w:t>评审</w:t>
      </w:r>
      <w:r>
        <w:rPr>
          <w:rFonts w:ascii="宋体" w:hAnsi="宋体" w:cs="宋体" w:hint="eastAsia"/>
          <w:color w:val="auto"/>
          <w:lang w:eastAsia="zh-TW"/>
        </w:rPr>
        <w:t>专家有下列情形之一的，受到邀请应主动提出回避，采购当事人也可以要求该</w:t>
      </w:r>
      <w:r>
        <w:rPr>
          <w:rFonts w:ascii="宋体" w:hAnsi="宋体" w:cs="宋体" w:hint="eastAsia"/>
          <w:color w:val="auto"/>
        </w:rPr>
        <w:t>评审</w:t>
      </w:r>
      <w:r>
        <w:rPr>
          <w:rFonts w:ascii="宋体" w:hAnsi="宋体" w:cs="宋体" w:hint="eastAsia"/>
          <w:color w:val="auto"/>
          <w:lang w:eastAsia="zh-TW"/>
        </w:rPr>
        <w:t>专家回避：</w:t>
      </w:r>
    </w:p>
    <w:p>
      <w:pPr>
        <w:numPr>
          <w:ilvl w:val="2"/>
          <w:numId w:val="2"/>
        </w:numPr>
        <w:tabs>
          <w:tab w:val="left" w:pos="851"/>
        </w:tabs>
        <w:autoSpaceDE w:val="0"/>
        <w:autoSpaceDN w:val="0"/>
        <w:adjustRightInd w:val="0"/>
        <w:snapToGrid w:val="0"/>
        <w:spacing w:line="360" w:lineRule="auto"/>
        <w:rPr>
          <w:rFonts w:ascii="宋体" w:hAnsi="宋体" w:cs="宋体"/>
          <w:color w:val="auto"/>
          <w:lang w:eastAsia="zh-TW"/>
        </w:rPr>
      </w:pPr>
      <w:r>
        <w:rPr>
          <w:rFonts w:ascii="宋体" w:hAnsi="宋体" w:cs="宋体" w:hint="eastAsia"/>
          <w:color w:val="auto"/>
          <w:lang w:eastAsia="zh-TW"/>
        </w:rPr>
        <w:t>参加采购活动前3年内与供应商存在劳动关系；</w:t>
      </w:r>
    </w:p>
    <w:p>
      <w:pPr>
        <w:numPr>
          <w:ilvl w:val="2"/>
          <w:numId w:val="2"/>
        </w:numPr>
        <w:tabs>
          <w:tab w:val="left" w:pos="851"/>
        </w:tabs>
        <w:autoSpaceDE w:val="0"/>
        <w:autoSpaceDN w:val="0"/>
        <w:adjustRightInd w:val="0"/>
        <w:snapToGrid w:val="0"/>
        <w:spacing w:line="360" w:lineRule="auto"/>
        <w:rPr>
          <w:rFonts w:ascii="宋体" w:hAnsi="宋体" w:cs="宋体"/>
          <w:color w:val="auto"/>
          <w:lang w:eastAsia="zh-TW"/>
        </w:rPr>
      </w:pPr>
      <w:r>
        <w:rPr>
          <w:rFonts w:ascii="宋体" w:hAnsi="宋体" w:cs="宋体" w:hint="eastAsia"/>
          <w:color w:val="auto"/>
          <w:lang w:eastAsia="zh-TW"/>
        </w:rPr>
        <w:t>参加采购活动前3年内担任供应商的董事、监事；</w:t>
      </w:r>
    </w:p>
    <w:p>
      <w:pPr>
        <w:numPr>
          <w:ilvl w:val="2"/>
          <w:numId w:val="2"/>
        </w:numPr>
        <w:tabs>
          <w:tab w:val="left" w:pos="851"/>
        </w:tabs>
        <w:autoSpaceDE w:val="0"/>
        <w:autoSpaceDN w:val="0"/>
        <w:adjustRightInd w:val="0"/>
        <w:snapToGrid w:val="0"/>
        <w:spacing w:line="360" w:lineRule="auto"/>
        <w:rPr>
          <w:rFonts w:ascii="宋体" w:hAnsi="宋体" w:cs="宋体"/>
          <w:color w:val="auto"/>
          <w:lang w:eastAsia="zh-TW"/>
        </w:rPr>
      </w:pPr>
      <w:r>
        <w:rPr>
          <w:rFonts w:ascii="宋体" w:hAnsi="宋体" w:cs="宋体" w:hint="eastAsia"/>
          <w:color w:val="auto"/>
          <w:lang w:eastAsia="zh-TW"/>
        </w:rPr>
        <w:t>参加采购活动前3年内是供应商的控股股东或者实际控制人；</w:t>
      </w:r>
    </w:p>
    <w:p>
      <w:pPr>
        <w:numPr>
          <w:ilvl w:val="2"/>
          <w:numId w:val="2"/>
        </w:numPr>
        <w:tabs>
          <w:tab w:val="left" w:pos="851"/>
        </w:tabs>
        <w:autoSpaceDE w:val="0"/>
        <w:autoSpaceDN w:val="0"/>
        <w:adjustRightInd w:val="0"/>
        <w:snapToGrid w:val="0"/>
        <w:spacing w:line="360" w:lineRule="auto"/>
        <w:rPr>
          <w:rFonts w:ascii="宋体" w:hAnsi="宋体" w:cs="宋体"/>
          <w:color w:val="auto"/>
          <w:lang w:eastAsia="zh-TW"/>
        </w:rPr>
      </w:pPr>
      <w:r>
        <w:rPr>
          <w:rFonts w:ascii="宋体" w:hAnsi="宋体" w:cs="宋体" w:hint="eastAsia"/>
          <w:color w:val="auto"/>
          <w:lang w:eastAsia="zh-TW"/>
        </w:rPr>
        <w:t>与供应商的法定代表人或者负责人有夫妻、直系血亲、三代以内旁系血亲或者近姻亲关系；</w:t>
      </w:r>
    </w:p>
    <w:p>
      <w:pPr>
        <w:numPr>
          <w:ilvl w:val="2"/>
          <w:numId w:val="2"/>
        </w:numPr>
        <w:tabs>
          <w:tab w:val="left" w:pos="851"/>
        </w:tabs>
        <w:autoSpaceDE w:val="0"/>
        <w:autoSpaceDN w:val="0"/>
        <w:adjustRightInd w:val="0"/>
        <w:snapToGrid w:val="0"/>
        <w:spacing w:line="360" w:lineRule="auto"/>
        <w:rPr>
          <w:rFonts w:ascii="宋体" w:hAnsi="宋体" w:cs="宋体"/>
          <w:color w:val="auto"/>
          <w:lang w:eastAsia="zh-TW"/>
        </w:rPr>
      </w:pPr>
      <w:r>
        <w:rPr>
          <w:rFonts w:ascii="宋体" w:hAnsi="宋体" w:cs="宋体" w:hint="eastAsia"/>
          <w:color w:val="auto"/>
          <w:lang w:eastAsia="zh-TW"/>
        </w:rPr>
        <w:t>与供应商有其他可能影响政府采购活动公平、公正进行的关系。</w:t>
      </w:r>
    </w:p>
    <w:p>
      <w:pPr>
        <w:numPr>
          <w:ilvl w:val="1"/>
          <w:numId w:val="2"/>
        </w:numPr>
        <w:tabs>
          <w:tab w:val="left" w:pos="709"/>
        </w:tabs>
        <w:adjustRightInd w:val="0"/>
        <w:snapToGrid w:val="0"/>
        <w:spacing w:line="360" w:lineRule="auto"/>
        <w:ind w:left="709" w:hanging="709"/>
        <w:rPr>
          <w:rFonts w:ascii="宋体" w:hAnsi="宋体" w:cs="宋体"/>
          <w:color w:val="auto"/>
        </w:rPr>
      </w:pPr>
      <w:r>
        <w:rPr>
          <w:rFonts w:ascii="宋体" w:hAnsi="宋体" w:hint="eastAsia"/>
          <w:bCs/>
          <w:color w:val="auto"/>
        </w:rPr>
        <w:t>谈判小组</w:t>
      </w:r>
      <w:r>
        <w:rPr>
          <w:rFonts w:ascii="宋体" w:hAnsi="宋体" w:cs="宋体" w:hint="eastAsia"/>
          <w:color w:val="auto"/>
        </w:rPr>
        <w:t>成员以及评审工作有关的人员不得泄露评审情况以及评审过程中获悉的国家秘密、商业秘密。</w:t>
      </w:r>
    </w:p>
    <w:p>
      <w:pPr>
        <w:numPr>
          <w:ilvl w:val="0"/>
          <w:numId w:val="2"/>
        </w:numPr>
        <w:adjustRightInd w:val="0"/>
        <w:snapToGrid w:val="0"/>
        <w:spacing w:line="360" w:lineRule="auto"/>
        <w:ind w:left="426" w:hanging="424" w:hangingChars="202"/>
        <w:outlineLvl w:val="2"/>
        <w:rPr>
          <w:rFonts w:ascii="宋体" w:hAnsi="宋体"/>
          <w:b/>
          <w:bCs/>
          <w:color w:val="auto"/>
        </w:rPr>
      </w:pPr>
      <w:r>
        <w:rPr>
          <w:rFonts w:ascii="宋体" w:hAnsi="宋体" w:hint="eastAsia"/>
          <w:b/>
          <w:bCs/>
          <w:color w:val="auto"/>
        </w:rPr>
        <w:t>单一来源谈判程序：</w:t>
      </w:r>
    </w:p>
    <w:p>
      <w:pPr>
        <w:numPr>
          <w:ilvl w:val="1"/>
          <w:numId w:val="2"/>
        </w:numPr>
        <w:adjustRightInd w:val="0"/>
        <w:snapToGrid w:val="0"/>
        <w:spacing w:line="360" w:lineRule="auto"/>
        <w:rPr>
          <w:rFonts w:ascii="宋体" w:hAnsi="宋体" w:cs="Arial"/>
          <w:color w:val="auto"/>
        </w:rPr>
      </w:pPr>
      <w:r>
        <w:rPr>
          <w:rFonts w:ascii="宋体" w:hAnsi="宋体" w:cs="Arial" w:hint="eastAsia"/>
          <w:color w:val="auto"/>
        </w:rPr>
        <w:t>谈判小组对谈判应答文件进行初审（资格性、符合性审查），具体条款第三章中</w:t>
      </w:r>
      <w:r>
        <w:rPr>
          <w:rFonts w:ascii="宋体" w:hAnsi="宋体" w:cs="宋体" w:hint="eastAsia"/>
          <w:color w:val="auto"/>
        </w:rPr>
        <w:t>《资格性审查表》及《符合性审查表》</w:t>
      </w:r>
      <w:r>
        <w:rPr>
          <w:rFonts w:ascii="宋体" w:hAnsi="宋体" w:cs="Arial" w:hint="eastAsia"/>
          <w:color w:val="auto"/>
        </w:rPr>
        <w:t>，未能通过资格、符合性审查被认定为无效响应，谈判小组可现场告知有关供应商，</w:t>
      </w:r>
      <w:r>
        <w:rPr>
          <w:rFonts w:ascii="宋体" w:cs="宋体" w:hint="eastAsia"/>
          <w:color w:val="auto"/>
        </w:rPr>
        <w:t>以让其核证、澄清事实。未通过资格、符合性审查的响应供应商，不进入下一步评审</w:t>
      </w:r>
      <w:r>
        <w:rPr>
          <w:rFonts w:ascii="宋体" w:hAnsi="宋体" w:cs="Arial" w:hint="eastAsia"/>
          <w:color w:val="auto"/>
        </w:rPr>
        <w:t>。对响应有效性认定意见不一致的，谈判小组按照少数服从多数的原则确定。</w:t>
      </w:r>
    </w:p>
    <w:p>
      <w:pPr>
        <w:numPr>
          <w:ilvl w:val="1"/>
          <w:numId w:val="2"/>
        </w:numPr>
        <w:tabs>
          <w:tab w:val="left" w:pos="709"/>
        </w:tabs>
        <w:adjustRightInd w:val="0"/>
        <w:snapToGrid w:val="0"/>
        <w:spacing w:line="360" w:lineRule="auto"/>
        <w:ind w:left="709" w:hanging="709"/>
        <w:rPr>
          <w:rFonts w:ascii="宋体" w:hAnsi="宋体" w:cs="宋体"/>
          <w:lang w:eastAsia="zh-TW"/>
        </w:rPr>
      </w:pPr>
      <w:r>
        <w:rPr>
          <w:rFonts w:hint="eastAsia"/>
          <w:color w:val="auto"/>
        </w:rPr>
        <w:t>谈判小组应当对谈判应答文件的有效性、完整性和响应程度进行评审，可以要求供应商对谈判应答文件中含义不明确、同类问题表述不一致或者有明显文字和计算错误的内容等作出必要的澄清、说明或者更正。供应商的澄清、说明或者更正不得超出谈判应答文件的范围或者改变谈判应答文件的实质性内容。</w:t>
      </w:r>
      <w:r>
        <w:rPr>
          <w:rFonts w:ascii="宋体" w:hAnsi="宋体" w:cs="宋体" w:hint="eastAsia"/>
          <w:color w:val="auto"/>
        </w:rPr>
        <w:t>谈判小组要求供应商澄清、说明或者</w:t>
      </w:r>
      <w:r>
        <w:rPr>
          <w:rFonts w:ascii="宋体" w:hAnsi="宋体" w:cs="宋体" w:hint="eastAsia"/>
        </w:rPr>
        <w:t>更正谈判应答文件应当以书面形式作出，供应商的澄清、说明或者更正应当由法定代表人或其授权代表签字或者加盖公章。</w:t>
      </w:r>
      <w:r>
        <w:rPr>
          <w:rFonts w:ascii="宋体" w:hAnsi="宋体" w:cs="宋体" w:hint="eastAsia"/>
          <w:lang w:eastAsia="zh-TW"/>
        </w:rPr>
        <w:t>由授权代表签字的，应当附法定代表人授权书。供应商为自然人的，应当由本人签字并附身份证明。</w:t>
      </w:r>
    </w:p>
    <w:p>
      <w:pPr>
        <w:numPr>
          <w:ilvl w:val="1"/>
          <w:numId w:val="2"/>
        </w:numPr>
        <w:tabs>
          <w:tab w:val="left" w:pos="709"/>
        </w:tabs>
        <w:adjustRightInd w:val="0"/>
        <w:snapToGrid w:val="0"/>
        <w:spacing w:line="360" w:lineRule="auto"/>
        <w:ind w:left="709" w:hanging="709"/>
      </w:pPr>
      <w:r>
        <w:rPr>
          <w:rFonts w:hint="eastAsia"/>
        </w:rPr>
        <w:t>谈判小组根据采购文件规定的程序、评定成交的标准等事项与</w:t>
      </w:r>
      <w:r>
        <w:rPr>
          <w:rFonts w:ascii="宋体" w:hAnsi="宋体" w:cs="宋体" w:hint="eastAsia"/>
          <w:lang w:eastAsia="zh-TW"/>
        </w:rPr>
        <w:t>通过资格、符合性审查</w:t>
      </w:r>
      <w:r>
        <w:rPr>
          <w:rFonts w:hint="eastAsia"/>
        </w:rPr>
        <w:t xml:space="preserve">的供应商进行谈判。 </w:t>
      </w:r>
    </w:p>
    <w:p>
      <w:pPr>
        <w:numPr>
          <w:ilvl w:val="1"/>
          <w:numId w:val="2"/>
        </w:numPr>
        <w:tabs>
          <w:tab w:val="left" w:pos="709"/>
        </w:tabs>
        <w:adjustRightInd w:val="0"/>
        <w:snapToGrid w:val="0"/>
        <w:spacing w:line="360" w:lineRule="auto"/>
        <w:ind w:left="709" w:hanging="709"/>
      </w:pPr>
      <w:r>
        <w:rPr>
          <w:rFonts w:ascii="宋体" w:hAnsi="宋体" w:hint="eastAsia"/>
        </w:rPr>
        <w:t>本项目的谈判方式为网上谈判（电话沟通，网上政府采购系统报价）。按照单一来源规则要求，本项目的谈判为三轮，具体顺序为：第一轮报价（谈判）—&gt;第二轮谈判—&gt;第二轮报价—&gt;第三轮谈判—&gt;第三轮报价（最终报价）；应答文件中的报价及承诺内容即为投标供应商的第一轮报价（谈判）承诺。</w:t>
      </w:r>
    </w:p>
    <w:p>
      <w:pPr>
        <w:numPr>
          <w:ilvl w:val="1"/>
          <w:numId w:val="2"/>
        </w:numPr>
        <w:tabs>
          <w:tab w:val="left" w:pos="709"/>
        </w:tabs>
        <w:adjustRightInd w:val="0"/>
        <w:snapToGrid w:val="0"/>
        <w:spacing w:line="360" w:lineRule="auto"/>
        <w:ind w:left="709" w:hanging="709"/>
      </w:pPr>
      <w:r>
        <w:rPr>
          <w:rFonts w:ascii="宋体" w:hAnsi="宋体" w:hint="eastAsia"/>
        </w:rPr>
        <w:t>具体谈判程序如下：</w:t>
      </w:r>
    </w:p>
    <w:p>
      <w:pPr>
        <w:numPr>
          <w:ilvl w:val="2"/>
          <w:numId w:val="2"/>
        </w:numPr>
        <w:tabs>
          <w:tab w:val="left" w:pos="709"/>
        </w:tabs>
        <w:adjustRightInd w:val="0"/>
        <w:snapToGrid w:val="0"/>
        <w:spacing w:line="360" w:lineRule="auto"/>
        <w:rPr>
          <w:rFonts w:ascii="宋体" w:hAnsi="宋体"/>
        </w:rPr>
      </w:pPr>
      <w:r>
        <w:rPr>
          <w:rFonts w:ascii="宋体" w:hAnsi="宋体" w:hint="eastAsia"/>
        </w:rPr>
        <w:t>第二轮谈判：供应商上传谈判应答文件后，应在开标时间后登录</w:t>
      </w:r>
      <w:r>
        <w:rPr>
          <w:rFonts w:ascii="宋体" w:hAnsi="宋体" w:cs="宋体" w:hint="eastAsia"/>
          <w:color w:val="000000"/>
        </w:rPr>
        <w:t>“深圳政府采购智慧平台用户网上办事子系统（http://zfcg.szggzy.com:8081/TPBidder/memberLogin）”</w:t>
      </w:r>
      <w:r>
        <w:rPr>
          <w:rFonts w:ascii="宋体" w:hAnsi="宋体" w:hint="eastAsia"/>
        </w:rPr>
        <w:t>，点击网上谈判菜单，进入本项目的网页，查看公告栏；公告栏中将提示供应商按照系统随机抽取的谈判顺序依次进行第二轮谈判；谈判小组认为必要的情况下，将视情况拨打供应商电话进行沟通（如谈判小组认为无必要，将直接跳过与相关供应商沟通的环节）；</w:t>
      </w:r>
    </w:p>
    <w:p>
      <w:pPr>
        <w:numPr>
          <w:ilvl w:val="2"/>
          <w:numId w:val="2"/>
        </w:numPr>
        <w:tabs>
          <w:tab w:val="left" w:pos="709"/>
        </w:tabs>
        <w:adjustRightInd w:val="0"/>
        <w:snapToGrid w:val="0"/>
        <w:spacing w:line="360" w:lineRule="auto"/>
        <w:rPr>
          <w:rFonts w:ascii="宋体" w:hAnsi="宋体"/>
        </w:rPr>
      </w:pPr>
      <w:r>
        <w:rPr>
          <w:rFonts w:ascii="宋体" w:hAnsi="宋体" w:hint="eastAsia"/>
        </w:rPr>
        <w:t>第二轮报价：第二轮谈判完成后，谈判小组将启动供应商第二轮报价程序（网上系统将有相关提示）；开始报价时，公告栏会提示“报价开始，请在截止时间之前完成报价”；供应商的报盘时间为10分钟，只能提交一次报盘，提交后将不能修改；此次报盘为第二轮报价，如有谈判过程中需要补充说明的事项，可在网上系统的“服务承诺”及“附加说明”栏中进行填写；所有供应商都提交报盘或报盘时间截止将结束报盘，谈判小组有权酌情延长报盘时间；</w:t>
      </w:r>
    </w:p>
    <w:p>
      <w:pPr>
        <w:numPr>
          <w:ilvl w:val="2"/>
          <w:numId w:val="2"/>
        </w:numPr>
        <w:tabs>
          <w:tab w:val="left" w:pos="709"/>
        </w:tabs>
        <w:adjustRightInd w:val="0"/>
        <w:snapToGrid w:val="0"/>
        <w:spacing w:line="360" w:lineRule="auto"/>
        <w:rPr>
          <w:rFonts w:ascii="宋体" w:hAnsi="宋体"/>
        </w:rPr>
      </w:pPr>
      <w:r>
        <w:rPr>
          <w:rFonts w:ascii="宋体" w:hAnsi="宋体" w:hint="eastAsia"/>
        </w:rPr>
        <w:t>第三轮谈判，具体操作方法与第二轮谈判一致；</w:t>
      </w:r>
    </w:p>
    <w:p>
      <w:pPr>
        <w:numPr>
          <w:ilvl w:val="2"/>
          <w:numId w:val="2"/>
        </w:numPr>
        <w:tabs>
          <w:tab w:val="left" w:pos="709"/>
        </w:tabs>
        <w:adjustRightInd w:val="0"/>
        <w:snapToGrid w:val="0"/>
        <w:spacing w:line="360" w:lineRule="auto"/>
        <w:rPr>
          <w:rFonts w:ascii="宋体" w:hAnsi="宋体"/>
        </w:rPr>
      </w:pPr>
      <w:r>
        <w:rPr>
          <w:rFonts w:ascii="宋体" w:hAnsi="宋体" w:hint="eastAsia"/>
        </w:rPr>
        <w:t>第三轮报价（最终报价），具体操作方法与第二轮报价一致；</w:t>
      </w:r>
    </w:p>
    <w:p>
      <w:pPr>
        <w:numPr>
          <w:ilvl w:val="2"/>
          <w:numId w:val="2"/>
        </w:numPr>
        <w:tabs>
          <w:tab w:val="left" w:pos="709"/>
        </w:tabs>
        <w:adjustRightInd w:val="0"/>
        <w:snapToGrid w:val="0"/>
        <w:spacing w:line="360" w:lineRule="auto"/>
        <w:rPr>
          <w:rFonts w:ascii="宋体" w:hAnsi="宋体"/>
        </w:rPr>
      </w:pPr>
      <w:r>
        <w:rPr>
          <w:rFonts w:ascii="宋体" w:hAnsi="宋体" w:hint="eastAsia"/>
        </w:rPr>
        <w:t>详细的操作指南请登陆</w:t>
      </w:r>
      <w:r>
        <w:rPr>
          <w:rFonts w:ascii="宋体" w:hAnsi="宋体" w:cs="宋体" w:hint="eastAsia"/>
          <w:bCs/>
        </w:rPr>
        <w:t>（https://www.szggzy.com/xxgk/tzgg/content_201792.html）在“附件”中下载“深圳政府采购智慧平台-供应商端操作手册”</w:t>
      </w:r>
      <w:r>
        <w:rPr>
          <w:rFonts w:ascii="宋体" w:hAnsi="宋体" w:hint="eastAsia"/>
        </w:rPr>
        <w:t>。</w:t>
      </w:r>
    </w:p>
    <w:p>
      <w:pPr>
        <w:numPr>
          <w:ilvl w:val="1"/>
          <w:numId w:val="2"/>
        </w:numPr>
        <w:tabs>
          <w:tab w:val="left" w:pos="709"/>
        </w:tabs>
        <w:adjustRightInd w:val="0"/>
        <w:snapToGrid w:val="0"/>
        <w:spacing w:line="360" w:lineRule="auto"/>
        <w:ind w:left="709" w:hanging="709"/>
        <w:rPr>
          <w:rFonts w:ascii="宋体" w:hAnsi="宋体"/>
        </w:rPr>
      </w:pPr>
      <w:r>
        <w:rPr>
          <w:rFonts w:ascii="宋体" w:hAnsi="宋体" w:hint="eastAsia"/>
        </w:rPr>
        <w:t>谈判结束后，谈判小组根据供应商提供的谈判应答文件、谈判过程中产生的相关资料，对供应商谈判应答文件进行评估与比较，提出书面评审意见。</w:t>
      </w:r>
    </w:p>
    <w:p>
      <w:pPr>
        <w:numPr>
          <w:ilvl w:val="1"/>
          <w:numId w:val="2"/>
        </w:numPr>
        <w:tabs>
          <w:tab w:val="left" w:pos="709"/>
        </w:tabs>
        <w:adjustRightInd w:val="0"/>
        <w:snapToGrid w:val="0"/>
        <w:spacing w:line="360" w:lineRule="auto"/>
        <w:ind w:left="709" w:hanging="709"/>
      </w:pPr>
      <w:r>
        <w:rPr>
          <w:rFonts w:ascii="宋体" w:hAnsi="宋体" w:hint="eastAsia"/>
        </w:rPr>
        <w:t>谈判小组将对谈判过程进行记录，以存档备查。</w:t>
      </w:r>
    </w:p>
    <w:p>
      <w:pPr>
        <w:numPr>
          <w:ilvl w:val="1"/>
          <w:numId w:val="2"/>
        </w:numPr>
        <w:autoSpaceDE w:val="0"/>
        <w:autoSpaceDN w:val="0"/>
        <w:adjustRightInd w:val="0"/>
        <w:snapToGrid w:val="0"/>
        <w:spacing w:line="360" w:lineRule="auto"/>
        <w:ind w:left="709" w:hanging="709"/>
        <w:jc w:val="left"/>
      </w:pPr>
      <w:r>
        <w:rPr>
          <w:rFonts w:hint="eastAsia"/>
        </w:rPr>
        <w:t>在谈判过程中，谈判小组可以根据采购文件和谈判情况实质性变动采购需求中的技术、服务要求以及合同草案条款，但不得变动采购文件中的资质条件、评审方法及预算金额。实质性变动的内容，须经采购人代表确认。对采购文件作出实质性变动是采购文件的有效组成部分，谈判小组应当及时以书面形式同时通知参加谈判的响应供应商。</w:t>
      </w:r>
    </w:p>
    <w:p>
      <w:pPr>
        <w:numPr>
          <w:ilvl w:val="1"/>
          <w:numId w:val="2"/>
        </w:numPr>
        <w:tabs>
          <w:tab w:val="left" w:pos="709"/>
        </w:tabs>
        <w:adjustRightInd w:val="0"/>
        <w:snapToGrid w:val="0"/>
        <w:spacing w:line="360" w:lineRule="auto"/>
        <w:ind w:left="709" w:hanging="709"/>
        <w:rPr>
          <w:rFonts w:ascii="宋体" w:hAnsi="宋体" w:cs="宋体"/>
          <w:lang w:eastAsia="zh-TW"/>
        </w:rPr>
      </w:pPr>
      <w:r>
        <w:rPr>
          <w:rFonts w:ascii="宋体" w:hAnsi="宋体" w:cs="宋体" w:hint="eastAsia"/>
          <w:lang w:eastAsia="zh-TW"/>
        </w:rPr>
        <w:t>谈判小组按照评定成交的</w:t>
      </w:r>
      <w:r>
        <w:rPr>
          <w:rFonts w:ascii="宋体" w:hAnsi="宋体" w:cs="宋体"/>
          <w:lang w:eastAsia="zh-TW"/>
        </w:rPr>
        <w:t>评审方法</w:t>
      </w:r>
      <w:r>
        <w:rPr>
          <w:rFonts w:ascii="宋体" w:hAnsi="宋体" w:cs="宋体" w:hint="eastAsia"/>
          <w:lang w:eastAsia="zh-TW"/>
        </w:rPr>
        <w:t>和标准，对</w:t>
      </w:r>
      <w:r>
        <w:rPr>
          <w:rFonts w:ascii="宋体" w:hAnsi="宋体" w:cs="宋体" w:hint="eastAsia"/>
        </w:rPr>
        <w:t>响应</w:t>
      </w:r>
      <w:r>
        <w:rPr>
          <w:rFonts w:ascii="宋体" w:hAnsi="宋体" w:cs="宋体" w:hint="eastAsia"/>
          <w:lang w:eastAsia="zh-TW"/>
        </w:rPr>
        <w:t>供应商提供的最</w:t>
      </w:r>
      <w:r>
        <w:rPr>
          <w:rFonts w:ascii="宋体" w:hAnsi="宋体" w:cs="宋体" w:hint="eastAsia"/>
        </w:rPr>
        <w:t>后</w:t>
      </w:r>
      <w:r>
        <w:rPr>
          <w:rFonts w:ascii="宋体" w:hAnsi="宋体" w:cs="宋体" w:hint="eastAsia"/>
          <w:lang w:eastAsia="zh-TW"/>
        </w:rPr>
        <w:t>报价及有关承诺进行评审。</w:t>
      </w:r>
    </w:p>
    <w:p>
      <w:pPr>
        <w:numPr>
          <w:ilvl w:val="1"/>
          <w:numId w:val="2"/>
        </w:numPr>
        <w:tabs>
          <w:tab w:val="left" w:pos="567"/>
          <w:tab w:val="left" w:pos="709"/>
        </w:tabs>
        <w:adjustRightInd w:val="0"/>
        <w:snapToGrid w:val="0"/>
        <w:spacing w:line="360" w:lineRule="auto"/>
        <w:ind w:left="709" w:hanging="709"/>
        <w:rPr>
          <w:color w:val="auto"/>
        </w:rPr>
      </w:pPr>
      <w:r>
        <w:rPr>
          <w:rFonts w:hint="eastAsia"/>
        </w:rPr>
        <w:t>修正误差</w:t>
      </w:r>
      <w:r>
        <w:rPr>
          <w:rFonts w:hint="eastAsia"/>
          <w:color w:val="auto"/>
        </w:rPr>
        <w:t>的原则如下：</w:t>
      </w:r>
    </w:p>
    <w:p>
      <w:pPr>
        <w:numPr>
          <w:ilvl w:val="2"/>
          <w:numId w:val="2"/>
        </w:numPr>
        <w:tabs>
          <w:tab w:val="left" w:pos="851"/>
        </w:tabs>
        <w:adjustRightInd w:val="0"/>
        <w:snapToGrid w:val="0"/>
        <w:spacing w:line="360" w:lineRule="auto"/>
        <w:rPr>
          <w:rFonts w:ascii="宋体" w:hAnsi="宋体" w:cs="宋体"/>
          <w:color w:val="auto"/>
          <w:lang w:eastAsia="zh-TW"/>
        </w:rPr>
      </w:pPr>
      <w:r>
        <w:rPr>
          <w:rFonts w:ascii="宋体" w:hAnsi="宋体" w:cs="宋体" w:hint="eastAsia"/>
          <w:color w:val="auto"/>
          <w:lang w:eastAsia="zh-TW"/>
        </w:rPr>
        <w:t>谈判应答文件中的大写金额和小写金额不一致的，以大写金额为准；</w:t>
      </w:r>
    </w:p>
    <w:p>
      <w:pPr>
        <w:numPr>
          <w:ilvl w:val="2"/>
          <w:numId w:val="2"/>
        </w:numPr>
        <w:tabs>
          <w:tab w:val="left" w:pos="851"/>
        </w:tabs>
        <w:adjustRightInd w:val="0"/>
        <w:snapToGrid w:val="0"/>
        <w:spacing w:line="360" w:lineRule="auto"/>
        <w:rPr>
          <w:rFonts w:ascii="宋体" w:hAnsi="宋体"/>
          <w:bCs/>
          <w:color w:val="auto"/>
        </w:rPr>
      </w:pPr>
      <w:r>
        <w:rPr>
          <w:rFonts w:ascii="宋体" w:hAnsi="宋体" w:cs="宋体" w:hint="eastAsia"/>
          <w:color w:val="auto"/>
          <w:lang w:eastAsia="zh-TW"/>
        </w:rPr>
        <w:t>单价金额小数点或者百分比有明显错位的，以</w:t>
      </w:r>
      <w:r>
        <w:rPr>
          <w:rFonts w:ascii="宋体" w:hAnsi="宋体" w:cs="宋体" w:hint="eastAsia"/>
          <w:color w:val="auto"/>
        </w:rPr>
        <w:t>报价表</w:t>
      </w:r>
      <w:r>
        <w:rPr>
          <w:rFonts w:ascii="宋体" w:hAnsi="宋体" w:cs="宋体" w:hint="eastAsia"/>
          <w:color w:val="auto"/>
          <w:lang w:eastAsia="zh-TW"/>
        </w:rPr>
        <w:t>的总价为准，并修改单价</w:t>
      </w:r>
      <w:r>
        <w:rPr>
          <w:rFonts w:ascii="宋体" w:hAnsi="宋体" w:hint="eastAsia"/>
          <w:bCs/>
          <w:color w:val="auto"/>
        </w:rPr>
        <w:t>；</w:t>
      </w:r>
    </w:p>
    <w:p>
      <w:pPr>
        <w:numPr>
          <w:ilvl w:val="2"/>
          <w:numId w:val="2"/>
        </w:numPr>
        <w:tabs>
          <w:tab w:val="left" w:pos="851"/>
        </w:tabs>
        <w:adjustRightInd w:val="0"/>
        <w:snapToGrid w:val="0"/>
        <w:spacing w:line="360" w:lineRule="auto"/>
        <w:rPr>
          <w:rFonts w:ascii="宋体" w:hAnsi="宋体"/>
          <w:bCs/>
          <w:color w:val="auto"/>
        </w:rPr>
      </w:pPr>
      <w:r>
        <w:rPr>
          <w:rFonts w:ascii="宋体" w:hAnsi="宋体" w:cs="宋体" w:hint="eastAsia"/>
          <w:color w:val="auto"/>
          <w:lang w:eastAsia="zh-TW"/>
        </w:rPr>
        <w:t>总价金额与按单价汇总金额不一致的，以单价金额计算结果为准</w:t>
      </w:r>
      <w:r>
        <w:rPr>
          <w:rFonts w:ascii="宋体" w:hAnsi="宋体" w:cs="宋体" w:hint="eastAsia"/>
          <w:color w:val="auto"/>
        </w:rPr>
        <w:t>；</w:t>
      </w:r>
    </w:p>
    <w:p>
      <w:pPr>
        <w:tabs>
          <w:tab w:val="left" w:pos="851"/>
        </w:tabs>
        <w:snapToGrid w:val="0"/>
        <w:spacing w:line="360" w:lineRule="auto"/>
        <w:ind w:left="720"/>
        <w:rPr>
          <w:rFonts w:ascii="宋体" w:hAnsi="宋体"/>
          <w:bCs/>
          <w:color w:val="auto"/>
        </w:rPr>
      </w:pPr>
      <w:r>
        <w:rPr>
          <w:rFonts w:ascii="宋体" w:hAnsi="宋体" w:cs="宋体" w:hint="eastAsia"/>
          <w:color w:val="auto"/>
          <w:lang w:eastAsia="zh-TW"/>
        </w:rPr>
        <w:t>同时出现两种以上不一致的，按照前款规定的顺序修正。谈判小组按上述修正误差的原则调整的价格对其响应供应商具有约束力。如果响应供应商不接受修正后的价格，其报价将被拒绝</w:t>
      </w:r>
      <w:r>
        <w:rPr>
          <w:rFonts w:ascii="宋体" w:hAnsi="宋体" w:cs="宋体" w:hint="eastAsia"/>
          <w:color w:val="auto"/>
        </w:rPr>
        <w:t>。</w:t>
      </w:r>
    </w:p>
    <w:p>
      <w:pPr>
        <w:numPr>
          <w:ilvl w:val="1"/>
          <w:numId w:val="2"/>
        </w:numPr>
        <w:tabs>
          <w:tab w:val="left" w:pos="709"/>
        </w:tabs>
        <w:adjustRightInd w:val="0"/>
        <w:snapToGrid w:val="0"/>
        <w:spacing w:line="360" w:lineRule="auto"/>
        <w:ind w:left="709" w:hanging="709"/>
        <w:rPr>
          <w:color w:val="auto"/>
        </w:rPr>
      </w:pPr>
      <w:r>
        <w:rPr>
          <w:rFonts w:hint="eastAsia"/>
          <w:color w:val="auto"/>
        </w:rPr>
        <w:t>协商情况记录应当由谈判小组全体人员签字认可。对记录有异议的谈判小组成员应当签署不同意见并说明理由。谈判小组成员拒绝在记录上签字又不书面说明其不同意见和理由的，视为同意。</w:t>
      </w:r>
    </w:p>
    <w:p>
      <w:pPr>
        <w:numPr>
          <w:ilvl w:val="1"/>
          <w:numId w:val="2"/>
        </w:numPr>
        <w:tabs>
          <w:tab w:val="left" w:pos="709"/>
        </w:tabs>
        <w:adjustRightInd w:val="0"/>
        <w:snapToGrid w:val="0"/>
        <w:spacing w:line="360" w:lineRule="auto"/>
        <w:ind w:left="709" w:hanging="709"/>
        <w:rPr>
          <w:color w:val="auto"/>
        </w:rPr>
      </w:pPr>
      <w:r>
        <w:rPr>
          <w:rFonts w:hint="eastAsia"/>
          <w:color w:val="auto"/>
        </w:rPr>
        <w:t>现下列情形之一的，采购人或者采购代理机构应当终止采购活动，发布项目终止公告并说明原因，重新开展采购活动：</w:t>
      </w:r>
    </w:p>
    <w:p>
      <w:pPr>
        <w:numPr>
          <w:ilvl w:val="2"/>
          <w:numId w:val="2"/>
        </w:numPr>
        <w:tabs>
          <w:tab w:val="left" w:pos="709"/>
          <w:tab w:val="left" w:pos="851"/>
        </w:tabs>
        <w:adjustRightInd w:val="0"/>
        <w:snapToGrid w:val="0"/>
        <w:spacing w:line="360" w:lineRule="auto"/>
        <w:rPr>
          <w:rFonts w:ascii="宋体" w:hAnsi="宋体" w:cs="宋体"/>
          <w:color w:val="auto"/>
        </w:rPr>
      </w:pPr>
      <w:r>
        <w:rPr>
          <w:rFonts w:ascii="宋体" w:hAnsi="宋体" w:cs="宋体" w:hint="eastAsia"/>
          <w:color w:val="auto"/>
        </w:rPr>
        <w:t>因情况变化，不再符合规定的单一来源采购方式适用情形的；</w:t>
      </w:r>
    </w:p>
    <w:p>
      <w:pPr>
        <w:numPr>
          <w:ilvl w:val="2"/>
          <w:numId w:val="2"/>
        </w:numPr>
        <w:tabs>
          <w:tab w:val="left" w:pos="709"/>
          <w:tab w:val="left" w:pos="851"/>
        </w:tabs>
        <w:adjustRightInd w:val="0"/>
        <w:snapToGrid w:val="0"/>
        <w:spacing w:line="360" w:lineRule="auto"/>
        <w:rPr>
          <w:rFonts w:ascii="宋体" w:hAnsi="宋体" w:cs="宋体"/>
          <w:color w:val="auto"/>
        </w:rPr>
      </w:pPr>
      <w:r>
        <w:rPr>
          <w:rFonts w:ascii="宋体" w:hAnsi="宋体" w:cs="宋体" w:hint="eastAsia"/>
          <w:color w:val="auto"/>
        </w:rPr>
        <w:t>出现影响采购公正的违法、违规行为的；</w:t>
      </w:r>
    </w:p>
    <w:p>
      <w:pPr>
        <w:numPr>
          <w:ilvl w:val="2"/>
          <w:numId w:val="2"/>
        </w:numPr>
        <w:tabs>
          <w:tab w:val="left" w:pos="709"/>
          <w:tab w:val="left" w:pos="851"/>
        </w:tabs>
        <w:adjustRightInd w:val="0"/>
        <w:snapToGrid w:val="0"/>
        <w:spacing w:line="360" w:lineRule="auto"/>
        <w:rPr>
          <w:rFonts w:ascii="宋体" w:hAnsi="宋体" w:cs="宋体"/>
          <w:color w:val="auto"/>
        </w:rPr>
      </w:pPr>
      <w:r>
        <w:rPr>
          <w:rFonts w:ascii="宋体" w:hAnsi="宋体" w:cs="宋体" w:hint="eastAsia"/>
          <w:color w:val="auto"/>
        </w:rPr>
        <w:t>报价超过采购预算（最高限价）的。</w:t>
      </w:r>
    </w:p>
    <w:p>
      <w:pPr>
        <w:numPr>
          <w:ilvl w:val="0"/>
          <w:numId w:val="2"/>
        </w:numPr>
        <w:adjustRightInd w:val="0"/>
        <w:snapToGrid w:val="0"/>
        <w:spacing w:line="360" w:lineRule="auto"/>
        <w:ind w:left="426" w:hanging="424" w:hangingChars="202"/>
        <w:outlineLvl w:val="2"/>
        <w:rPr>
          <w:rFonts w:ascii="宋体" w:hAnsi="宋体"/>
          <w:b/>
          <w:bCs/>
          <w:color w:val="auto"/>
        </w:rPr>
      </w:pPr>
      <w:r>
        <w:rPr>
          <w:rFonts w:ascii="宋体" w:hAnsi="宋体" w:hint="eastAsia"/>
          <w:b/>
          <w:bCs/>
          <w:color w:val="auto"/>
        </w:rPr>
        <w:t>评定成交的</w:t>
      </w:r>
      <w:r>
        <w:rPr>
          <w:rFonts w:ascii="宋体" w:hAnsi="宋体"/>
          <w:b/>
          <w:bCs/>
          <w:color w:val="auto"/>
        </w:rPr>
        <w:t>评审方法</w:t>
      </w:r>
      <w:r>
        <w:rPr>
          <w:rFonts w:ascii="宋体" w:hAnsi="宋体" w:hint="eastAsia"/>
          <w:b/>
          <w:bCs/>
          <w:color w:val="auto"/>
        </w:rPr>
        <w:t>和标准</w:t>
      </w:r>
    </w:p>
    <w:p>
      <w:pPr>
        <w:numPr>
          <w:ilvl w:val="1"/>
          <w:numId w:val="2"/>
        </w:numPr>
        <w:tabs>
          <w:tab w:val="left" w:pos="426"/>
          <w:tab w:val="left" w:pos="567"/>
        </w:tabs>
        <w:adjustRightInd w:val="0"/>
        <w:snapToGrid w:val="0"/>
        <w:spacing w:line="360" w:lineRule="auto"/>
        <w:rPr>
          <w:color w:val="auto"/>
        </w:rPr>
      </w:pPr>
      <w:r>
        <w:rPr>
          <w:rFonts w:ascii="宋体" w:hAnsi="宋体" w:hint="eastAsia"/>
          <w:color w:val="auto"/>
        </w:rPr>
        <w:t>本项目由具有相关经验的专业人员（谈判小组成员）与供应商商定合理的成交价格并保证采购项目质量的前提下，推荐成交候选人。</w:t>
      </w:r>
      <w:r>
        <w:rPr>
          <w:color w:val="auto"/>
        </w:rPr>
        <w:t xml:space="preserve"> </w:t>
      </w:r>
    </w:p>
    <w:p>
      <w:pPr>
        <w:numPr>
          <w:ilvl w:val="1"/>
          <w:numId w:val="2"/>
        </w:numPr>
        <w:tabs>
          <w:tab w:val="left" w:pos="426"/>
          <w:tab w:val="left" w:pos="567"/>
        </w:tabs>
        <w:adjustRightInd w:val="0"/>
        <w:snapToGrid w:val="0"/>
        <w:spacing w:line="360" w:lineRule="auto"/>
        <w:rPr>
          <w:rFonts w:ascii="宋体" w:hAnsi="宋体"/>
          <w:color w:val="auto"/>
        </w:rPr>
      </w:pPr>
      <w:r>
        <w:rPr>
          <w:rFonts w:ascii="宋体" w:hAnsi="宋体" w:hint="eastAsia"/>
          <w:color w:val="auto"/>
        </w:rPr>
        <w:t>谈判小组认为响应供应商的投标报价或者某些分项报价明显不合理或者低于成本，有可能影响货物及服务质量和不能诚信履约的，响应供应商应当在谈判小组发出投标报价澄清要求的时间内提供书面文件予以解释说明，并提交相关证明文件，并由</w:t>
      </w:r>
      <w:r>
        <w:rPr>
          <w:rFonts w:hint="eastAsia"/>
          <w:color w:val="auto"/>
        </w:rPr>
        <w:t>响应供应商法人代表或授权代表当场签字后生效，</w:t>
      </w:r>
      <w:r>
        <w:rPr>
          <w:rFonts w:ascii="宋体" w:hAnsi="宋体" w:hint="eastAsia"/>
          <w:color w:val="auto"/>
        </w:rPr>
        <w:t>否则，谈判小组可以评定该响应供应商为无效投标报价，并取消该响应供应商的成交候选资格。</w:t>
      </w:r>
    </w:p>
    <w:p>
      <w:pPr>
        <w:numPr>
          <w:ilvl w:val="1"/>
          <w:numId w:val="2"/>
        </w:numPr>
        <w:tabs>
          <w:tab w:val="left" w:pos="426"/>
          <w:tab w:val="left" w:pos="567"/>
        </w:tabs>
        <w:adjustRightInd w:val="0"/>
        <w:snapToGrid w:val="0"/>
        <w:spacing w:line="360" w:lineRule="auto"/>
        <w:rPr>
          <w:rFonts w:ascii="宋体" w:hAnsi="宋体"/>
          <w:color w:val="auto"/>
        </w:rPr>
      </w:pPr>
      <w:r>
        <w:rPr>
          <w:rFonts w:ascii="宋体" w:hAnsi="宋体" w:cs="宋体"/>
          <w:color w:val="auto"/>
          <w:lang w:eastAsia="zh-TW"/>
        </w:rPr>
        <w:t>谈判小组提</w:t>
      </w:r>
      <w:r>
        <w:rPr>
          <w:rFonts w:ascii="宋体" w:hAnsi="宋体" w:cs="宋体" w:hint="eastAsia"/>
          <w:color w:val="auto"/>
          <w:lang w:eastAsia="zh-TW"/>
        </w:rPr>
        <w:t>交</w:t>
      </w:r>
      <w:r>
        <w:rPr>
          <w:rFonts w:hint="eastAsia"/>
          <w:color w:val="auto"/>
        </w:rPr>
        <w:t>协商情况记录</w:t>
      </w:r>
      <w:r>
        <w:rPr>
          <w:rFonts w:ascii="宋体" w:hAnsi="宋体" w:cs="宋体"/>
          <w:color w:val="auto"/>
          <w:lang w:eastAsia="zh-TW"/>
        </w:rPr>
        <w:t>和推荐成交意见报</w:t>
      </w:r>
      <w:r>
        <w:rPr>
          <w:rFonts w:ascii="宋体" w:hAnsi="宋体" w:cs="宋体" w:hint="eastAsia"/>
          <w:color w:val="auto"/>
          <w:lang w:eastAsia="zh-TW"/>
        </w:rPr>
        <w:t>采购</w:t>
      </w:r>
      <w:r>
        <w:rPr>
          <w:rFonts w:ascii="宋体" w:hAnsi="宋体" w:cs="宋体"/>
          <w:color w:val="auto"/>
          <w:lang w:eastAsia="zh-TW"/>
        </w:rPr>
        <w:t>人</w:t>
      </w:r>
      <w:r>
        <w:rPr>
          <w:rFonts w:ascii="宋体" w:hAnsi="宋体" w:cs="宋体" w:hint="eastAsia"/>
          <w:color w:val="auto"/>
          <w:lang w:eastAsia="zh-TW"/>
        </w:rPr>
        <w:t>确认</w:t>
      </w:r>
      <w:r>
        <w:rPr>
          <w:rFonts w:ascii="宋体" w:hAnsi="宋体" w:hint="eastAsia"/>
          <w:color w:val="auto"/>
        </w:rPr>
        <w:t>，采购人在收到</w:t>
      </w:r>
      <w:r>
        <w:rPr>
          <w:rFonts w:hint="eastAsia"/>
          <w:color w:val="auto"/>
        </w:rPr>
        <w:t>协商情况记录</w:t>
      </w:r>
      <w:r>
        <w:rPr>
          <w:rFonts w:ascii="宋体" w:hAnsi="宋体" w:hint="eastAsia"/>
          <w:color w:val="auto"/>
        </w:rPr>
        <w:t>后的规定时间内，按照</w:t>
      </w:r>
      <w:r>
        <w:rPr>
          <w:rFonts w:hint="eastAsia"/>
          <w:color w:val="auto"/>
        </w:rPr>
        <w:t>协商情况记录</w:t>
      </w:r>
      <w:r>
        <w:rPr>
          <w:rFonts w:ascii="宋体" w:hAnsi="宋体" w:hint="eastAsia"/>
          <w:color w:val="auto"/>
        </w:rPr>
        <w:t>中推荐的成交候选人顺序确定成交人，也可以事先授权谈判小组直接确定成交人。</w:t>
      </w:r>
    </w:p>
    <w:p>
      <w:pPr>
        <w:numPr>
          <w:ilvl w:val="0"/>
          <w:numId w:val="2"/>
        </w:numPr>
        <w:adjustRightInd w:val="0"/>
        <w:snapToGrid w:val="0"/>
        <w:spacing w:line="360" w:lineRule="auto"/>
        <w:ind w:left="426" w:hanging="424" w:hangingChars="202"/>
        <w:outlineLvl w:val="2"/>
        <w:rPr>
          <w:rFonts w:ascii="宋体" w:hAnsi="宋体"/>
          <w:b/>
          <w:color w:val="auto"/>
        </w:rPr>
      </w:pPr>
      <w:r>
        <w:rPr>
          <w:rFonts w:ascii="宋体" w:hAnsi="宋体" w:hint="eastAsia"/>
          <w:b/>
          <w:color w:val="auto"/>
        </w:rPr>
        <w:t>确定</w:t>
      </w:r>
      <w:r>
        <w:rPr>
          <w:rFonts w:ascii="宋体" w:hAnsi="宋体" w:hint="eastAsia"/>
          <w:b/>
          <w:bCs/>
          <w:color w:val="auto"/>
        </w:rPr>
        <w:t>成交</w:t>
      </w:r>
      <w:r>
        <w:rPr>
          <w:rFonts w:ascii="宋体" w:hAnsi="宋体" w:hint="eastAsia"/>
          <w:b/>
          <w:color w:val="auto"/>
        </w:rPr>
        <w:t>结果</w:t>
      </w:r>
    </w:p>
    <w:p>
      <w:pPr>
        <w:numPr>
          <w:ilvl w:val="1"/>
          <w:numId w:val="2"/>
        </w:numPr>
        <w:tabs>
          <w:tab w:val="left" w:pos="426"/>
          <w:tab w:val="left" w:pos="567"/>
        </w:tabs>
        <w:adjustRightInd w:val="0"/>
        <w:snapToGrid w:val="0"/>
        <w:spacing w:line="360" w:lineRule="auto"/>
        <w:rPr>
          <w:rFonts w:ascii="宋体" w:hAnsi="宋体"/>
          <w:color w:val="auto"/>
        </w:rPr>
      </w:pPr>
      <w:r>
        <w:rPr>
          <w:rFonts w:ascii="宋体" w:hAnsi="宋体" w:hint="eastAsia"/>
          <w:color w:val="auto"/>
        </w:rPr>
        <w:t>成交人确定后，采购代理机构将成交结果在</w:t>
      </w:r>
      <w:r>
        <w:rPr>
          <w:rFonts w:ascii="宋体" w:hAnsi="宋体" w:cs="宋体" w:hint="eastAsia"/>
          <w:color w:val="auto"/>
        </w:rPr>
        <w:t>指定的</w:t>
      </w:r>
      <w:r>
        <w:rPr>
          <w:rFonts w:ascii="宋体" w:hAnsi="宋体" w:hint="eastAsia"/>
          <w:color w:val="auto"/>
        </w:rPr>
        <w:t>媒体上发布成交公告。</w:t>
      </w:r>
    </w:p>
    <w:p>
      <w:pPr>
        <w:numPr>
          <w:ilvl w:val="1"/>
          <w:numId w:val="2"/>
        </w:numPr>
        <w:tabs>
          <w:tab w:val="left" w:pos="426"/>
          <w:tab w:val="left" w:pos="567"/>
        </w:tabs>
        <w:adjustRightInd w:val="0"/>
        <w:snapToGrid w:val="0"/>
        <w:spacing w:line="360" w:lineRule="auto"/>
        <w:rPr>
          <w:rFonts w:ascii="宋体" w:hAnsi="宋体"/>
          <w:color w:val="auto"/>
        </w:rPr>
      </w:pPr>
      <w:r>
        <w:rPr>
          <w:rFonts w:ascii="宋体" w:hAnsi="宋体" w:hint="eastAsia"/>
          <w:color w:val="auto"/>
        </w:rPr>
        <w:t>成交结果公告后，采购代理机构向成交人发出《成交通知书》，向采购人发出《成交结果通知书》，《成交通知书》对成交人和采购人具有同等法律效力。</w:t>
      </w:r>
    </w:p>
    <w:p>
      <w:pPr>
        <w:numPr>
          <w:ilvl w:val="1"/>
          <w:numId w:val="2"/>
        </w:numPr>
        <w:tabs>
          <w:tab w:val="left" w:pos="426"/>
          <w:tab w:val="left" w:pos="567"/>
        </w:tabs>
        <w:adjustRightInd w:val="0"/>
        <w:snapToGrid w:val="0"/>
        <w:spacing w:line="360" w:lineRule="auto"/>
        <w:rPr>
          <w:rFonts w:ascii="宋体" w:hAnsi="宋体"/>
          <w:color w:val="auto"/>
        </w:rPr>
      </w:pPr>
      <w:r>
        <w:rPr>
          <w:rFonts w:ascii="宋体" w:hAnsi="宋体" w:hint="eastAsia"/>
          <w:color w:val="auto"/>
        </w:rPr>
        <w:t>《成交通知书》将作为授予合同资格的合法依据，是合同的一个组成部分。</w:t>
      </w:r>
    </w:p>
    <w:p>
      <w:pPr>
        <w:numPr>
          <w:ilvl w:val="0"/>
          <w:numId w:val="2"/>
        </w:numPr>
        <w:adjustRightInd w:val="0"/>
        <w:snapToGrid w:val="0"/>
        <w:spacing w:line="360" w:lineRule="auto"/>
        <w:ind w:left="426" w:hanging="424" w:hangingChars="202"/>
        <w:outlineLvl w:val="2"/>
        <w:rPr>
          <w:rFonts w:ascii="宋体" w:hAnsi="宋体"/>
          <w:b/>
          <w:bCs/>
          <w:color w:val="auto"/>
        </w:rPr>
      </w:pPr>
      <w:bookmarkStart w:id="43" w:name="_Toc433127783"/>
      <w:r>
        <w:rPr>
          <w:rFonts w:ascii="宋体" w:hAnsi="宋体" w:hint="eastAsia"/>
          <w:b/>
          <w:color w:val="auto"/>
        </w:rPr>
        <w:t>询问</w:t>
      </w:r>
      <w:r>
        <w:rPr>
          <w:rFonts w:ascii="宋体" w:hAnsi="宋体" w:hint="eastAsia"/>
          <w:b/>
          <w:bCs/>
          <w:color w:val="auto"/>
        </w:rPr>
        <w:t>、质疑、投诉</w:t>
      </w:r>
      <w:bookmarkEnd w:id="43"/>
    </w:p>
    <w:p>
      <w:pPr>
        <w:numPr>
          <w:ilvl w:val="1"/>
          <w:numId w:val="2"/>
        </w:numPr>
        <w:autoSpaceDE w:val="0"/>
        <w:autoSpaceDN w:val="0"/>
        <w:adjustRightInd w:val="0"/>
        <w:snapToGrid w:val="0"/>
        <w:spacing w:line="360" w:lineRule="auto"/>
        <w:rPr>
          <w:rFonts w:ascii="宋体" w:hAnsi="宋体" w:cs="黑体"/>
          <w:bCs/>
          <w:color w:val="auto"/>
        </w:rPr>
      </w:pPr>
      <w:r>
        <w:rPr>
          <w:rFonts w:ascii="宋体" w:hAnsi="宋体" w:cs="黑体" w:hint="eastAsia"/>
          <w:bCs/>
          <w:color w:val="auto"/>
        </w:rPr>
        <w:t>询问</w:t>
      </w:r>
    </w:p>
    <w:p>
      <w:pPr>
        <w:numPr>
          <w:ilvl w:val="2"/>
          <w:numId w:val="2"/>
        </w:numPr>
        <w:tabs>
          <w:tab w:val="left" w:pos="784"/>
        </w:tabs>
        <w:autoSpaceDE w:val="0"/>
        <w:autoSpaceDN w:val="0"/>
        <w:adjustRightInd w:val="0"/>
        <w:snapToGrid w:val="0"/>
        <w:spacing w:line="360" w:lineRule="auto"/>
        <w:ind w:left="784" w:hanging="784"/>
        <w:rPr>
          <w:rFonts w:ascii="宋体" w:hAnsi="宋体" w:cs="黑体"/>
          <w:bCs/>
          <w:color w:val="auto"/>
        </w:rPr>
      </w:pPr>
      <w:r>
        <w:rPr>
          <w:rFonts w:ascii="宋体" w:hAnsi="宋体" w:cs="黑体" w:hint="eastAsia"/>
          <w:bCs/>
          <w:color w:val="auto"/>
        </w:rPr>
        <w:t>供应商对政府采购活动事项有疑问的，可以向采购人及采购代理机构提出询问，询问可以口头方式提出，也可以书面方式提出。</w:t>
      </w:r>
    </w:p>
    <w:p>
      <w:pPr>
        <w:numPr>
          <w:ilvl w:val="2"/>
          <w:numId w:val="2"/>
        </w:numPr>
        <w:tabs>
          <w:tab w:val="left" w:pos="784"/>
        </w:tabs>
        <w:autoSpaceDE w:val="0"/>
        <w:autoSpaceDN w:val="0"/>
        <w:adjustRightInd w:val="0"/>
        <w:snapToGrid w:val="0"/>
        <w:spacing w:line="360" w:lineRule="auto"/>
        <w:ind w:left="784" w:hanging="784"/>
        <w:rPr>
          <w:rFonts w:ascii="宋体" w:hAnsi="宋体" w:cs="黑体"/>
          <w:bCs/>
          <w:color w:val="auto"/>
        </w:rPr>
      </w:pPr>
      <w:r>
        <w:rPr>
          <w:rFonts w:ascii="宋体" w:hAnsi="宋体" w:cs="黑体" w:hint="eastAsia"/>
          <w:bCs/>
          <w:color w:val="auto"/>
        </w:rPr>
        <w:t>如采用书面方式提出询问，供应商为自然人的，询问函应当由本人签字；供应商为法人或者其他组织的，应当由法定代表人、主要负责人或授权代表签字或者签章，并加盖公章。响应供应商递交询问函时非法定代表人亲自办理的需提供法定代表人授权委托书（应载明授权代表的姓名或者名称、代理事项、具体权限、期限和相关事项）及授权代表身份证复印件。</w:t>
      </w:r>
    </w:p>
    <w:p>
      <w:pPr>
        <w:numPr>
          <w:ilvl w:val="2"/>
          <w:numId w:val="2"/>
        </w:numPr>
        <w:tabs>
          <w:tab w:val="left" w:pos="784"/>
        </w:tabs>
        <w:autoSpaceDE w:val="0"/>
        <w:autoSpaceDN w:val="0"/>
        <w:adjustRightInd w:val="0"/>
        <w:snapToGrid w:val="0"/>
        <w:spacing w:line="360" w:lineRule="auto"/>
        <w:ind w:left="784" w:hanging="784"/>
        <w:rPr>
          <w:rFonts w:ascii="宋体" w:hAnsi="宋体" w:cs="黑体"/>
          <w:bCs/>
          <w:color w:val="auto"/>
        </w:rPr>
      </w:pPr>
      <w:r>
        <w:rPr>
          <w:rFonts w:ascii="宋体" w:hAnsi="宋体" w:cs="黑体" w:hint="eastAsia"/>
          <w:bCs/>
          <w:color w:val="auto"/>
        </w:rPr>
        <w:t>采购人及采购代理机构在三个工作日内对供应商依法提出的询问作出答复。</w:t>
      </w:r>
    </w:p>
    <w:p>
      <w:pPr>
        <w:numPr>
          <w:ilvl w:val="1"/>
          <w:numId w:val="2"/>
        </w:numPr>
        <w:autoSpaceDE w:val="0"/>
        <w:autoSpaceDN w:val="0"/>
        <w:adjustRightInd w:val="0"/>
        <w:snapToGrid w:val="0"/>
        <w:spacing w:line="360" w:lineRule="auto"/>
        <w:rPr>
          <w:rFonts w:ascii="宋体" w:hAnsi="宋体" w:cs="黑体"/>
          <w:bCs/>
          <w:color w:val="auto"/>
        </w:rPr>
      </w:pPr>
      <w:r>
        <w:rPr>
          <w:rFonts w:ascii="宋体" w:hAnsi="宋体" w:cs="黑体" w:hint="eastAsia"/>
          <w:bCs/>
          <w:color w:val="auto"/>
        </w:rPr>
        <w:t>质疑</w:t>
      </w:r>
    </w:p>
    <w:p>
      <w:pPr>
        <w:numPr>
          <w:ilvl w:val="2"/>
          <w:numId w:val="2"/>
        </w:numPr>
        <w:tabs>
          <w:tab w:val="left" w:pos="784"/>
        </w:tabs>
        <w:autoSpaceDE w:val="0"/>
        <w:autoSpaceDN w:val="0"/>
        <w:adjustRightInd w:val="0"/>
        <w:snapToGrid w:val="0"/>
        <w:spacing w:line="360" w:lineRule="auto"/>
        <w:ind w:left="784" w:hanging="784"/>
        <w:rPr>
          <w:color w:val="auto"/>
          <w:highlight w:val="none"/>
        </w:rPr>
      </w:pPr>
      <w:r>
        <w:rPr>
          <w:rFonts w:ascii="宋体" w:hAnsi="宋体" w:cs="黑体" w:hint="eastAsia"/>
          <w:bCs/>
          <w:color w:val="auto"/>
          <w:highlight w:val="none"/>
        </w:rPr>
        <w:t>提出质疑：</w:t>
      </w:r>
    </w:p>
    <w:p>
      <w:pPr>
        <w:numPr>
          <w:ilvl w:val="0"/>
          <w:numId w:val="0"/>
        </w:numPr>
        <w:tabs>
          <w:tab w:val="left" w:pos="784"/>
        </w:tabs>
        <w:autoSpaceDE w:val="0"/>
        <w:autoSpaceDN w:val="0"/>
        <w:adjustRightInd w:val="0"/>
        <w:snapToGrid w:val="0"/>
        <w:spacing w:line="360" w:lineRule="auto"/>
        <w:ind w:left="840" w:hanging="840" w:leftChars="0" w:hangingChars="400"/>
        <w:rPr>
          <w:rFonts w:ascii="宋体" w:hAnsi="宋体" w:cs="黑体" w:hint="eastAsia"/>
          <w:bCs/>
          <w:color w:val="auto"/>
          <w:highlight w:val="none"/>
        </w:rPr>
      </w:pPr>
      <w:r>
        <w:rPr>
          <w:rFonts w:ascii="宋体" w:hAnsi="宋体" w:cs="黑体" w:hint="eastAsia"/>
          <w:bCs/>
          <w:color w:val="auto"/>
          <w:highlight w:val="none"/>
          <w:lang w:val="en-US" w:eastAsia="zh-CN"/>
        </w:rPr>
        <w:t>24.2.1.1</w:t>
      </w:r>
      <w:r>
        <w:rPr>
          <w:rFonts w:ascii="宋体" w:hAnsi="宋体" w:cs="黑体" w:hint="eastAsia"/>
          <w:bCs/>
          <w:color w:val="auto"/>
          <w:highlight w:val="none"/>
        </w:rPr>
        <w:t>参与政府采购活动的供应商认为自己的权益在采购活动中受到损害的，应当自知道或者应当知道其权益受到损害之日起七个工作日内向采购人、采购代理机构以书面形式提出质疑。</w:t>
      </w:r>
    </w:p>
    <w:p>
      <w:pPr>
        <w:numPr>
          <w:ilvl w:val="2"/>
          <w:numId w:val="2"/>
        </w:numPr>
        <w:tabs>
          <w:tab w:val="left" w:pos="784"/>
        </w:tabs>
        <w:autoSpaceDE w:val="0"/>
        <w:autoSpaceDN w:val="0"/>
        <w:adjustRightInd w:val="0"/>
        <w:snapToGrid w:val="0"/>
        <w:spacing w:line="360" w:lineRule="auto"/>
        <w:ind w:left="784" w:hanging="784"/>
        <w:rPr>
          <w:rFonts w:ascii="宋体" w:hAnsi="宋体" w:cs="黑体"/>
          <w:bCs/>
          <w:color w:val="auto"/>
          <w:highlight w:val="none"/>
        </w:rPr>
      </w:pPr>
      <w:r>
        <w:rPr>
          <w:rFonts w:ascii="宋体" w:hAnsi="宋体" w:cs="黑体" w:hint="eastAsia"/>
          <w:bCs/>
          <w:color w:val="auto"/>
          <w:highlight w:val="none"/>
        </w:rPr>
        <w:t>质疑期限：</w:t>
      </w:r>
    </w:p>
    <w:p>
      <w:pPr>
        <w:numPr>
          <w:ilvl w:val="3"/>
          <w:numId w:val="2"/>
        </w:numPr>
        <w:tabs>
          <w:tab w:val="left" w:pos="1078"/>
        </w:tabs>
        <w:autoSpaceDE w:val="0"/>
        <w:autoSpaceDN w:val="0"/>
        <w:adjustRightInd w:val="0"/>
        <w:snapToGrid w:val="0"/>
        <w:spacing w:line="360" w:lineRule="auto"/>
        <w:rPr>
          <w:rFonts w:ascii="宋体" w:hAnsi="宋体" w:cs="黑体"/>
          <w:bCs/>
          <w:highlight w:val="none"/>
        </w:rPr>
      </w:pPr>
      <w:r>
        <w:rPr>
          <w:rFonts w:ascii="宋体" w:hAnsi="宋体" w:cs="黑体" w:hint="eastAsia"/>
          <w:bCs/>
          <w:color w:val="auto"/>
          <w:highlight w:val="none"/>
        </w:rPr>
        <w:t>供应商认为</w:t>
      </w:r>
      <w:r>
        <w:rPr>
          <w:rFonts w:ascii="宋体" w:hAnsi="宋体" w:cs="黑体" w:hint="eastAsia"/>
          <w:bCs/>
          <w:color w:val="auto"/>
          <w:highlight w:val="none"/>
          <w:lang w:eastAsia="zh-CN"/>
        </w:rPr>
        <w:t>谈判文件</w:t>
      </w:r>
      <w:r>
        <w:rPr>
          <w:rFonts w:ascii="宋体" w:hAnsi="宋体" w:cs="黑体" w:hint="eastAsia"/>
          <w:bCs/>
          <w:color w:val="auto"/>
          <w:highlight w:val="none"/>
        </w:rPr>
        <w:t>的内容损害其权益的，应当在法定质疑期</w:t>
      </w:r>
      <w:r>
        <w:rPr>
          <w:rFonts w:ascii="宋体" w:hAnsi="宋体" w:cs="黑体" w:hint="eastAsia"/>
          <w:bCs/>
          <w:highlight w:val="none"/>
        </w:rPr>
        <w:t>限（即自知道或应当知道权益受到损害之日起7个工作日内）提出。应当知道其权益受到损害之日是指对</w:t>
      </w:r>
      <w:r>
        <w:rPr>
          <w:rFonts w:ascii="宋体" w:hAnsi="宋体" w:cs="黑体" w:hint="eastAsia"/>
          <w:bCs/>
          <w:highlight w:val="none"/>
          <w:lang w:eastAsia="zh-CN"/>
        </w:rPr>
        <w:t>谈判文件</w:t>
      </w:r>
      <w:r>
        <w:rPr>
          <w:rFonts w:ascii="宋体" w:hAnsi="宋体" w:cs="黑体" w:hint="eastAsia"/>
          <w:bCs/>
          <w:highlight w:val="none"/>
        </w:rPr>
        <w:t>的质疑，为</w:t>
      </w:r>
      <w:r>
        <w:rPr>
          <w:rFonts w:ascii="宋体" w:hAnsi="宋体" w:cs="黑体" w:hint="eastAsia"/>
          <w:bCs/>
          <w:highlight w:val="none"/>
          <w:lang w:eastAsia="zh-CN"/>
        </w:rPr>
        <w:t>谈判文件</w:t>
      </w:r>
      <w:r>
        <w:rPr>
          <w:rFonts w:ascii="宋体" w:hAnsi="宋体" w:cs="黑体" w:hint="eastAsia"/>
          <w:bCs/>
          <w:highlight w:val="none"/>
        </w:rPr>
        <w:t>公布之日。</w:t>
      </w:r>
    </w:p>
    <w:p>
      <w:pPr>
        <w:numPr>
          <w:ilvl w:val="3"/>
          <w:numId w:val="2"/>
        </w:numPr>
        <w:tabs>
          <w:tab w:val="left" w:pos="1078"/>
        </w:tabs>
        <w:autoSpaceDE w:val="0"/>
        <w:autoSpaceDN w:val="0"/>
        <w:adjustRightInd w:val="0"/>
        <w:snapToGrid w:val="0"/>
        <w:spacing w:line="360" w:lineRule="auto"/>
        <w:rPr>
          <w:rFonts w:ascii="宋体" w:hAnsi="宋体" w:cs="黑体"/>
          <w:bCs/>
        </w:rPr>
      </w:pPr>
      <w:r>
        <w:rPr>
          <w:rFonts w:ascii="宋体" w:hAnsi="宋体" w:cs="黑体" w:hint="eastAsia"/>
          <w:bCs/>
        </w:rPr>
        <w:t>供应商认为采购过程损害其权益的，应在各采购程序环节结束之日起七个工作日内。</w:t>
      </w:r>
    </w:p>
    <w:p>
      <w:pPr>
        <w:numPr>
          <w:ilvl w:val="3"/>
          <w:numId w:val="2"/>
        </w:numPr>
        <w:tabs>
          <w:tab w:val="left" w:pos="1078"/>
        </w:tabs>
        <w:autoSpaceDE w:val="0"/>
        <w:autoSpaceDN w:val="0"/>
        <w:adjustRightInd w:val="0"/>
        <w:snapToGrid w:val="0"/>
        <w:spacing w:line="360" w:lineRule="auto"/>
        <w:rPr>
          <w:rFonts w:ascii="宋体" w:hAnsi="宋体" w:cs="黑体"/>
          <w:bCs/>
        </w:rPr>
      </w:pPr>
      <w:r>
        <w:rPr>
          <w:rFonts w:ascii="宋体" w:hAnsi="宋体" w:cs="黑体" w:hint="eastAsia"/>
          <w:bCs/>
        </w:rPr>
        <w:t>供应商认为中标或者成交结果以及评审委员会、谈判小组、竞价小组组成人员损害其权益的，应在中标或者成交结果公示之日起七个工作日内。</w:t>
      </w:r>
    </w:p>
    <w:p>
      <w:pPr>
        <w:numPr>
          <w:ilvl w:val="2"/>
          <w:numId w:val="2"/>
        </w:numPr>
        <w:tabs>
          <w:tab w:val="left" w:pos="784"/>
        </w:tabs>
        <w:autoSpaceDE w:val="0"/>
        <w:autoSpaceDN w:val="0"/>
        <w:adjustRightInd w:val="0"/>
        <w:snapToGrid w:val="0"/>
        <w:spacing w:line="360" w:lineRule="auto"/>
        <w:ind w:left="784" w:hanging="784"/>
        <w:rPr>
          <w:rFonts w:ascii="宋体" w:hAnsi="宋体" w:cs="黑体"/>
          <w:bCs/>
          <w:color w:val="auto"/>
          <w:highlight w:val="none"/>
        </w:rPr>
      </w:pPr>
      <w:r>
        <w:rPr>
          <w:rFonts w:ascii="宋体" w:hAnsi="宋体" w:cs="黑体" w:hint="eastAsia"/>
          <w:bCs/>
          <w:color w:val="auto"/>
          <w:highlight w:val="none"/>
        </w:rPr>
        <w:t>提交要求：</w:t>
      </w:r>
    </w:p>
    <w:p>
      <w:pPr>
        <w:numPr>
          <w:ilvl w:val="3"/>
          <w:numId w:val="2"/>
        </w:numPr>
        <w:tabs>
          <w:tab w:val="left" w:pos="993"/>
        </w:tabs>
        <w:autoSpaceDE w:val="0"/>
        <w:autoSpaceDN w:val="0"/>
        <w:adjustRightInd w:val="0"/>
        <w:snapToGrid w:val="0"/>
        <w:spacing w:line="360" w:lineRule="auto"/>
        <w:ind w:left="993" w:hanging="993"/>
        <w:rPr>
          <w:rFonts w:ascii="宋体" w:hAnsi="宋体" w:cs="黑体"/>
          <w:bCs/>
          <w:color w:val="auto"/>
          <w:highlight w:val="none"/>
        </w:rPr>
      </w:pPr>
      <w:r>
        <w:rPr>
          <w:rFonts w:ascii="宋体" w:hAnsi="宋体" w:cs="黑体" w:hint="eastAsia"/>
          <w:bCs/>
          <w:color w:val="auto"/>
          <w:highlight w:val="none"/>
        </w:rPr>
        <w:t>以书面形式向采购人或者采购代理机构</w:t>
      </w:r>
      <w:r>
        <w:rPr>
          <w:rFonts w:ascii="宋体" w:hAnsi="宋体" w:cs="宋体" w:hint="eastAsia"/>
          <w:color w:val="auto"/>
          <w:highlight w:val="none"/>
        </w:rPr>
        <w:t>一次性提出针对同一采购程序环节的</w:t>
      </w:r>
      <w:r>
        <w:rPr>
          <w:rFonts w:ascii="宋体" w:hAnsi="宋体" w:cs="黑体" w:hint="eastAsia"/>
          <w:bCs/>
          <w:color w:val="auto"/>
          <w:highlight w:val="none"/>
        </w:rPr>
        <w:t>质疑。</w:t>
      </w:r>
    </w:p>
    <w:p>
      <w:pPr>
        <w:numPr>
          <w:ilvl w:val="3"/>
          <w:numId w:val="2"/>
        </w:numPr>
        <w:tabs>
          <w:tab w:val="left" w:pos="993"/>
        </w:tabs>
        <w:autoSpaceDE w:val="0"/>
        <w:autoSpaceDN w:val="0"/>
        <w:adjustRightInd w:val="0"/>
        <w:snapToGrid w:val="0"/>
        <w:spacing w:line="360" w:lineRule="auto"/>
        <w:ind w:left="993" w:hanging="993"/>
        <w:rPr>
          <w:rFonts w:ascii="宋体" w:hAnsi="宋体" w:cs="黑体"/>
          <w:bCs/>
          <w:color w:val="auto"/>
          <w:highlight w:val="none"/>
        </w:rPr>
      </w:pPr>
      <w:r>
        <w:rPr>
          <w:rFonts w:ascii="宋体" w:hAnsi="宋体" w:cs="黑体" w:hint="eastAsia"/>
          <w:bCs/>
          <w:color w:val="auto"/>
          <w:highlight w:val="none"/>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签章，并加盖公章。响应供应商递交质疑函时非法定代表人亲自办理的需提供法定代表人授权委托书（应载明授权代表的姓名或者名称、代理事项、具体权限、期限和相关事项）及授权代表身份证复印件。</w:t>
      </w:r>
    </w:p>
    <w:p>
      <w:pPr>
        <w:numPr>
          <w:ilvl w:val="3"/>
          <w:numId w:val="2"/>
        </w:numPr>
        <w:tabs>
          <w:tab w:val="left" w:pos="993"/>
        </w:tabs>
        <w:autoSpaceDE w:val="0"/>
        <w:autoSpaceDN w:val="0"/>
        <w:adjustRightInd w:val="0"/>
        <w:snapToGrid w:val="0"/>
        <w:spacing w:line="360" w:lineRule="auto"/>
        <w:ind w:left="993" w:hanging="993"/>
        <w:rPr>
          <w:rFonts w:ascii="宋体" w:hAnsi="宋体" w:cs="黑体"/>
          <w:bCs/>
          <w:color w:val="auto"/>
          <w:highlight w:val="none"/>
        </w:rPr>
      </w:pPr>
      <w:r>
        <w:rPr>
          <w:rFonts w:ascii="宋体" w:hAnsi="宋体" w:cs="黑体" w:hint="eastAsia"/>
          <w:bCs/>
          <w:color w:val="auto"/>
          <w:highlight w:val="none"/>
        </w:rPr>
        <w:t>供应商质疑应当有明确的请求和必要的证明材料，捏造事实、提供虚假材料或者以非法手段取得证明材料不能作为质疑的证明材料。</w:t>
      </w:r>
    </w:p>
    <w:p>
      <w:pPr>
        <w:numPr>
          <w:ilvl w:val="3"/>
          <w:numId w:val="2"/>
        </w:numPr>
        <w:tabs>
          <w:tab w:val="left" w:pos="993"/>
        </w:tabs>
        <w:autoSpaceDE w:val="0"/>
        <w:autoSpaceDN w:val="0"/>
        <w:adjustRightInd w:val="0"/>
        <w:snapToGrid w:val="0"/>
        <w:spacing w:line="360" w:lineRule="auto"/>
        <w:ind w:left="993" w:hanging="993"/>
        <w:rPr>
          <w:rFonts w:ascii="宋体" w:hAnsi="宋体" w:cs="黑体"/>
          <w:bCs/>
          <w:color w:val="auto"/>
          <w:highlight w:val="none"/>
        </w:rPr>
      </w:pPr>
      <w:r>
        <w:rPr>
          <w:rFonts w:ascii="宋体" w:hAnsi="宋体" w:cs="黑体" w:hint="eastAsia"/>
          <w:bCs/>
          <w:color w:val="auto"/>
          <w:highlight w:val="none"/>
        </w:rPr>
        <w:t>采购人及采购代理机构在收到响应供应商的书面质疑后7个工作日内作出答复，并以书面形式通知质疑响应供应商和其他有关响应供应商，但答复内容不涉及商业秘密。质疑响应供应商须提供相关证明材料，包括但不限于权益受损害的情况说明及受损害的原因、证据内容等，并对质疑内容的真实性承担责任。</w:t>
      </w:r>
    </w:p>
    <w:p>
      <w:pPr>
        <w:numPr>
          <w:ilvl w:val="3"/>
          <w:numId w:val="2"/>
        </w:numPr>
        <w:tabs>
          <w:tab w:val="left" w:pos="993"/>
        </w:tabs>
        <w:autoSpaceDE w:val="0"/>
        <w:autoSpaceDN w:val="0"/>
        <w:adjustRightInd w:val="0"/>
        <w:snapToGrid w:val="0"/>
        <w:spacing w:line="360" w:lineRule="auto"/>
        <w:ind w:left="993" w:hanging="993"/>
        <w:rPr>
          <w:rFonts w:ascii="宋体" w:hAnsi="宋体" w:cs="黑体"/>
          <w:bCs/>
          <w:color w:val="auto"/>
          <w:highlight w:val="none"/>
        </w:rPr>
      </w:pPr>
      <w:r>
        <w:rPr>
          <w:rFonts w:hAnsi="宋体" w:hint="eastAsia"/>
          <w:snapToGrid w:val="0"/>
          <w:color w:val="auto"/>
          <w:highlight w:val="none"/>
        </w:rPr>
        <w:t>采购人或采购代理机构接收以书面形式递交的质疑函，接收质疑函的</w:t>
      </w:r>
      <w:r>
        <w:rPr>
          <w:rFonts w:ascii="宋体" w:hAnsi="宋体" w:cs="宋体" w:hint="eastAsia"/>
          <w:color w:val="auto"/>
          <w:highlight w:val="none"/>
        </w:rPr>
        <w:t xml:space="preserve">联系人： </w:t>
      </w:r>
      <w:r>
        <w:rPr>
          <w:rFonts w:ascii="宋体" w:hAnsi="宋体" w:cs="宋体" w:hint="eastAsia"/>
          <w:color w:val="auto"/>
          <w:highlight w:val="none"/>
          <w:lang w:val="en-US" w:eastAsia="zh-CN"/>
        </w:rPr>
        <w:t>廖小姐</w:t>
      </w:r>
      <w:r>
        <w:rPr>
          <w:rFonts w:ascii="宋体" w:hAnsi="宋体" w:cs="宋体" w:hint="eastAsia"/>
          <w:color w:val="auto"/>
          <w:highlight w:val="none"/>
        </w:rPr>
        <w:t>，通讯电话：0755-8837 757</w:t>
      </w:r>
      <w:r>
        <w:rPr>
          <w:rFonts w:ascii="宋体" w:hAnsi="宋体" w:cs="宋体" w:hint="eastAsia"/>
          <w:color w:val="auto"/>
          <w:highlight w:val="none"/>
          <w:lang w:val="en-US" w:eastAsia="zh-CN"/>
        </w:rPr>
        <w:t>2</w:t>
      </w:r>
      <w:r>
        <w:rPr>
          <w:rFonts w:ascii="宋体" w:hAnsi="宋体" w:cs="宋体" w:hint="eastAsia"/>
          <w:color w:val="auto"/>
          <w:highlight w:val="none"/>
        </w:rPr>
        <w:t>转</w:t>
      </w:r>
      <w:r>
        <w:rPr>
          <w:rFonts w:ascii="宋体" w:hAnsi="宋体" w:cs="宋体" w:hint="eastAsia"/>
          <w:color w:val="auto"/>
          <w:highlight w:val="none"/>
          <w:lang w:val="en-US" w:eastAsia="zh-CN"/>
        </w:rPr>
        <w:t>2321</w:t>
      </w:r>
      <w:r>
        <w:rPr>
          <w:rFonts w:ascii="宋体" w:hAnsi="宋体" w:cs="宋体" w:hint="eastAsia"/>
          <w:color w:val="auto"/>
          <w:highlight w:val="none"/>
        </w:rPr>
        <w:t>，通讯地址：</w:t>
      </w:r>
      <w:r>
        <w:rPr>
          <w:rFonts w:ascii="宋体" w:hAnsi="宋体" w:hint="eastAsia"/>
          <w:color w:val="auto"/>
          <w:highlight w:val="none"/>
        </w:rPr>
        <w:t>深圳市福田区竹子林中国经贸大厦10</w:t>
      </w:r>
      <w:r>
        <w:rPr>
          <w:rFonts w:ascii="宋体" w:hAnsi="宋体" w:hint="eastAsia"/>
          <w:color w:val="auto"/>
          <w:highlight w:val="none"/>
          <w:lang w:eastAsia="zh-CN"/>
        </w:rPr>
        <w:t>楼</w:t>
      </w:r>
      <w:r>
        <w:rPr>
          <w:rFonts w:ascii="宋体" w:hAnsi="宋体" w:hint="eastAsia"/>
          <w:color w:val="auto"/>
          <w:highlight w:val="none"/>
        </w:rPr>
        <w:t>采联国际招标采购集团有限公司深圳分公司</w:t>
      </w:r>
      <w:r>
        <w:rPr>
          <w:rFonts w:ascii="宋体" w:hAnsi="宋体" w:cs="宋体" w:hint="eastAsia"/>
          <w:color w:val="auto"/>
          <w:highlight w:val="none"/>
        </w:rPr>
        <w:t>，通讯部门：项目部</w:t>
      </w:r>
      <w:r>
        <w:rPr>
          <w:rFonts w:ascii="宋体" w:hAnsi="宋体" w:hint="eastAsia"/>
          <w:color w:val="auto"/>
          <w:highlight w:val="none"/>
        </w:rPr>
        <w:t>。</w:t>
      </w:r>
    </w:p>
    <w:p>
      <w:pPr>
        <w:numPr>
          <w:ilvl w:val="2"/>
          <w:numId w:val="2"/>
        </w:numPr>
        <w:tabs>
          <w:tab w:val="left" w:pos="784"/>
        </w:tabs>
        <w:autoSpaceDE w:val="0"/>
        <w:autoSpaceDN w:val="0"/>
        <w:adjustRightInd w:val="0"/>
        <w:snapToGrid w:val="0"/>
        <w:spacing w:line="360" w:lineRule="auto"/>
        <w:ind w:left="784" w:hanging="784"/>
        <w:rPr>
          <w:rFonts w:ascii="宋体" w:hAnsi="宋体" w:cs="黑体" w:hint="eastAsia"/>
          <w:bCs/>
          <w:color w:val="auto"/>
          <w:highlight w:val="none"/>
        </w:rPr>
      </w:pPr>
      <w:r>
        <w:rPr>
          <w:rFonts w:ascii="宋体" w:hAnsi="宋体" w:cs="黑体" w:hint="eastAsia"/>
          <w:bCs/>
          <w:color w:val="auto"/>
          <w:highlight w:val="none"/>
        </w:rPr>
        <w:t>质疑后续处理:</w:t>
      </w:r>
    </w:p>
    <w:p>
      <w:pPr>
        <w:numPr>
          <w:ilvl w:val="3"/>
          <w:numId w:val="2"/>
        </w:numPr>
        <w:tabs>
          <w:tab w:val="left" w:pos="1078"/>
        </w:tabs>
        <w:autoSpaceDE w:val="0"/>
        <w:autoSpaceDN w:val="0"/>
        <w:adjustRightInd w:val="0"/>
        <w:snapToGrid w:val="0"/>
        <w:spacing w:line="360" w:lineRule="auto"/>
        <w:rPr>
          <w:rFonts w:ascii="宋体" w:hAnsi="宋体" w:cs="黑体" w:hint="eastAsia"/>
          <w:bCs/>
          <w:color w:val="auto"/>
          <w:highlight w:val="none"/>
        </w:rPr>
      </w:pPr>
      <w:r>
        <w:rPr>
          <w:rFonts w:ascii="宋体" w:hAnsi="宋体" w:cs="黑体" w:hint="eastAsia"/>
          <w:bCs/>
          <w:color w:val="auto"/>
          <w:highlight w:val="none"/>
        </w:rPr>
        <w:t>供应商质疑不成立，或者成立但未对中标、成交结果构成影响的，继续开展采购活动。</w:t>
      </w:r>
    </w:p>
    <w:p>
      <w:pPr>
        <w:numPr>
          <w:ilvl w:val="3"/>
          <w:numId w:val="2"/>
        </w:numPr>
        <w:tabs>
          <w:tab w:val="left" w:pos="1078"/>
        </w:tabs>
        <w:autoSpaceDE w:val="0"/>
        <w:autoSpaceDN w:val="0"/>
        <w:adjustRightInd w:val="0"/>
        <w:snapToGrid w:val="0"/>
        <w:spacing w:line="360" w:lineRule="auto"/>
        <w:rPr>
          <w:rFonts w:ascii="宋体" w:hAnsi="宋体" w:cs="黑体" w:hint="eastAsia"/>
          <w:bCs/>
          <w:color w:val="auto"/>
          <w:highlight w:val="none"/>
        </w:rPr>
      </w:pPr>
      <w:r>
        <w:rPr>
          <w:rFonts w:ascii="宋体" w:hAnsi="宋体" w:cs="黑体" w:hint="eastAsia"/>
          <w:bCs/>
          <w:color w:val="auto"/>
          <w:highlight w:val="none"/>
        </w:rPr>
        <w:t>供应商质疑成立且影响或者可能影响中标、成交结果的，按照下列情况处理：</w:t>
      </w:r>
    </w:p>
    <w:p>
      <w:pPr>
        <w:numPr>
          <w:ilvl w:val="4"/>
          <w:numId w:val="2"/>
        </w:numPr>
        <w:tabs>
          <w:tab w:val="left" w:pos="1078"/>
        </w:tabs>
        <w:autoSpaceDE w:val="0"/>
        <w:autoSpaceDN w:val="0"/>
        <w:adjustRightInd w:val="0"/>
        <w:snapToGrid w:val="0"/>
        <w:spacing w:line="360" w:lineRule="auto"/>
        <w:ind w:left="992" w:hanging="992" w:leftChars="0" w:firstLineChars="0"/>
        <w:rPr>
          <w:rFonts w:ascii="宋体" w:hAnsi="宋体" w:cs="黑体" w:hint="eastAsia"/>
          <w:bCs/>
          <w:color w:val="auto"/>
          <w:highlight w:val="none"/>
        </w:rPr>
      </w:pPr>
      <w:r>
        <w:rPr>
          <w:rFonts w:ascii="宋体" w:hAnsi="宋体" w:cs="黑体" w:hint="eastAsia"/>
          <w:bCs/>
          <w:color w:val="auto"/>
          <w:highlight w:val="none"/>
        </w:rPr>
        <w:t>对采购文件提出的质疑，依法通过澄清或者修改可以继续开展采购活动的，澄清或者修改采购文件后继续开展采购活动；否则应当修改采购文件后重新开展采购活动。</w:t>
      </w:r>
    </w:p>
    <w:p>
      <w:pPr>
        <w:numPr>
          <w:ilvl w:val="4"/>
          <w:numId w:val="2"/>
        </w:numPr>
        <w:tabs>
          <w:tab w:val="left" w:pos="1078"/>
        </w:tabs>
        <w:autoSpaceDE w:val="0"/>
        <w:autoSpaceDN w:val="0"/>
        <w:adjustRightInd w:val="0"/>
        <w:snapToGrid w:val="0"/>
        <w:spacing w:line="360" w:lineRule="auto"/>
        <w:ind w:left="992" w:hanging="992" w:leftChars="0" w:firstLineChars="0"/>
        <w:rPr>
          <w:rFonts w:ascii="宋体" w:hAnsi="宋体" w:cs="黑体" w:hint="eastAsia"/>
          <w:bCs/>
          <w:color w:val="auto"/>
          <w:highlight w:val="none"/>
        </w:rPr>
      </w:pPr>
      <w:r>
        <w:rPr>
          <w:rFonts w:ascii="宋体" w:hAnsi="宋体" w:cs="黑体" w:hint="eastAsia"/>
          <w:bCs/>
          <w:color w:val="auto"/>
          <w:highlight w:val="none"/>
        </w:rPr>
        <w:t>对采购过程、中标或者成交结果提出的质疑，合格供应商符合法定数量时，可以从合格的中标或者成交候选人中另行确定中标、成交供应商的，应当依法另行确定中标、成交供应商。否则应当重新开展采购活动。</w:t>
      </w:r>
    </w:p>
    <w:p>
      <w:pPr>
        <w:numPr>
          <w:ilvl w:val="1"/>
          <w:numId w:val="2"/>
        </w:numPr>
        <w:autoSpaceDE w:val="0"/>
        <w:autoSpaceDN w:val="0"/>
        <w:adjustRightInd w:val="0"/>
        <w:snapToGrid w:val="0"/>
        <w:spacing w:line="360" w:lineRule="auto"/>
        <w:rPr>
          <w:rFonts w:ascii="宋体" w:hAnsi="宋体" w:cs="黑体"/>
          <w:b/>
          <w:bCs/>
          <w:color w:val="auto"/>
        </w:rPr>
      </w:pPr>
      <w:r>
        <w:rPr>
          <w:rFonts w:ascii="宋体" w:hAnsi="宋体" w:hint="eastAsia"/>
          <w:b/>
          <w:color w:val="auto"/>
        </w:rPr>
        <w:t>投诉</w:t>
      </w:r>
    </w:p>
    <w:p>
      <w:pPr>
        <w:numPr>
          <w:ilvl w:val="2"/>
          <w:numId w:val="2"/>
        </w:numPr>
        <w:tabs>
          <w:tab w:val="left" w:pos="784"/>
        </w:tabs>
        <w:autoSpaceDE w:val="0"/>
        <w:autoSpaceDN w:val="0"/>
        <w:adjustRightInd w:val="0"/>
        <w:snapToGrid w:val="0"/>
        <w:spacing w:line="360" w:lineRule="auto"/>
        <w:ind w:left="784" w:hanging="784"/>
        <w:rPr>
          <w:rFonts w:ascii="宋体" w:hAnsi="宋体" w:cs="黑体"/>
          <w:b/>
          <w:bCs/>
          <w:color w:val="auto"/>
        </w:rPr>
      </w:pPr>
      <w:r>
        <w:rPr>
          <w:rFonts w:ascii="宋体" w:hAnsi="宋体" w:hint="eastAsia"/>
          <w:color w:val="auto"/>
        </w:rPr>
        <w:t>质疑供应商对采购人及采购代理机构的质疑答复不满意，或采购人及采购代理机构未在规定期限内作出答复的，可以在答复期满后十五个工作日内向同级监管部门提出投诉。</w:t>
      </w:r>
    </w:p>
    <w:p>
      <w:pPr>
        <w:jc w:val="center"/>
        <w:outlineLvl w:val="1"/>
        <w:rPr>
          <w:b/>
          <w:color w:val="auto"/>
          <w:sz w:val="30"/>
          <w:szCs w:val="30"/>
        </w:rPr>
      </w:pPr>
      <w:bookmarkStart w:id="44" w:name="_Toc378602099"/>
      <w:r>
        <w:rPr>
          <w:rFonts w:hint="eastAsia"/>
          <w:b/>
          <w:color w:val="auto"/>
          <w:sz w:val="30"/>
          <w:szCs w:val="30"/>
        </w:rPr>
        <w:t>六、授予合同</w:t>
      </w:r>
      <w:bookmarkEnd w:id="44"/>
    </w:p>
    <w:p>
      <w:pPr>
        <w:numPr>
          <w:ilvl w:val="0"/>
          <w:numId w:val="2"/>
        </w:numPr>
        <w:adjustRightInd w:val="0"/>
        <w:snapToGrid w:val="0"/>
        <w:spacing w:line="360" w:lineRule="auto"/>
        <w:ind w:left="426" w:hanging="424" w:hangingChars="202"/>
        <w:outlineLvl w:val="2"/>
        <w:rPr>
          <w:rFonts w:ascii="宋体" w:hAnsi="宋体"/>
          <w:b/>
          <w:color w:val="auto"/>
        </w:rPr>
      </w:pPr>
      <w:r>
        <w:rPr>
          <w:rFonts w:ascii="宋体" w:hAnsi="宋体" w:hint="eastAsia"/>
          <w:b/>
          <w:color w:val="auto"/>
        </w:rPr>
        <w:t>合同的订立</w:t>
      </w:r>
    </w:p>
    <w:p>
      <w:pPr>
        <w:numPr>
          <w:ilvl w:val="1"/>
          <w:numId w:val="2"/>
        </w:numPr>
        <w:tabs>
          <w:tab w:val="left" w:pos="426"/>
          <w:tab w:val="left" w:pos="567"/>
        </w:tabs>
        <w:adjustRightInd w:val="0"/>
        <w:snapToGrid w:val="0"/>
        <w:spacing w:line="360" w:lineRule="auto"/>
        <w:rPr>
          <w:rFonts w:ascii="宋体" w:hAnsi="宋体"/>
          <w:color w:val="auto"/>
        </w:rPr>
      </w:pPr>
      <w:r>
        <w:rPr>
          <w:rFonts w:ascii="宋体" w:hAnsi="宋体" w:hint="eastAsia"/>
          <w:color w:val="auto"/>
        </w:rPr>
        <w:t>采购人应当自成交通知书发出之日起</w:t>
      </w:r>
      <w:r>
        <w:rPr>
          <w:rFonts w:ascii="宋体" w:hAnsi="宋体" w:cs="宋体" w:hint="eastAsia"/>
          <w:color w:val="auto"/>
          <w:lang w:eastAsia="zh-TW"/>
        </w:rPr>
        <w:t>十</w:t>
      </w:r>
      <w:r>
        <w:rPr>
          <w:rFonts w:ascii="宋体" w:hAnsi="宋体" w:cs="宋体" w:hint="eastAsia"/>
          <w:color w:val="auto"/>
        </w:rPr>
        <w:t>个工作</w:t>
      </w:r>
      <w:r>
        <w:rPr>
          <w:rFonts w:ascii="宋体" w:hAnsi="宋体" w:cs="宋体" w:hint="eastAsia"/>
          <w:color w:val="auto"/>
          <w:lang w:eastAsia="zh-TW"/>
        </w:rPr>
        <w:t>日内</w:t>
      </w:r>
      <w:r>
        <w:rPr>
          <w:rFonts w:ascii="宋体" w:hAnsi="宋体" w:hint="eastAsia"/>
          <w:color w:val="auto"/>
        </w:rPr>
        <w:t>，按照采购文件要求和成交人谈判应答文件承诺签订政府采购合同。</w:t>
      </w:r>
    </w:p>
    <w:p>
      <w:pPr>
        <w:numPr>
          <w:ilvl w:val="1"/>
          <w:numId w:val="2"/>
        </w:numPr>
        <w:tabs>
          <w:tab w:val="left" w:pos="426"/>
          <w:tab w:val="left" w:pos="567"/>
        </w:tabs>
        <w:adjustRightInd w:val="0"/>
        <w:snapToGrid w:val="0"/>
        <w:spacing w:line="360" w:lineRule="auto"/>
        <w:rPr>
          <w:rFonts w:ascii="宋体" w:hAnsi="宋体"/>
          <w:color w:val="auto"/>
        </w:rPr>
      </w:pPr>
      <w:r>
        <w:rPr>
          <w:rFonts w:ascii="宋体" w:hAnsi="宋体" w:hint="eastAsia"/>
          <w:color w:val="auto"/>
        </w:rPr>
        <w:t>采购人应当自政府采购合同签订之日起2个工作日内，将政府采购合同在省级以上人民政府财政部门指定的媒体上公告，但政府采购合同中涉及国家秘密、商业秘密的内容除外。</w:t>
      </w:r>
    </w:p>
    <w:p>
      <w:pPr>
        <w:numPr>
          <w:ilvl w:val="1"/>
          <w:numId w:val="2"/>
        </w:numPr>
        <w:tabs>
          <w:tab w:val="left" w:pos="426"/>
          <w:tab w:val="left" w:pos="567"/>
        </w:tabs>
        <w:adjustRightInd w:val="0"/>
        <w:snapToGrid w:val="0"/>
        <w:spacing w:line="360" w:lineRule="auto"/>
        <w:rPr>
          <w:rFonts w:ascii="宋体" w:hAnsi="宋体" w:cs="宋体"/>
          <w:color w:val="auto"/>
        </w:rPr>
      </w:pPr>
      <w:r>
        <w:rPr>
          <w:rFonts w:ascii="宋体" w:hAnsi="宋体" w:cs="宋体" w:hint="eastAsia"/>
          <w:color w:val="auto"/>
          <w:lang w:eastAsia="zh-TW"/>
        </w:rPr>
        <w:t>签订采购合同后</w:t>
      </w:r>
      <w:r>
        <w:rPr>
          <w:rFonts w:ascii="宋体" w:hAnsi="宋体" w:cs="宋体" w:hint="eastAsia"/>
          <w:color w:val="auto"/>
        </w:rPr>
        <w:t>起10</w:t>
      </w:r>
      <w:r>
        <w:rPr>
          <w:rFonts w:ascii="宋体" w:hAnsi="宋体" w:cs="宋体" w:hint="eastAsia"/>
          <w:color w:val="auto"/>
          <w:lang w:eastAsia="zh-TW"/>
        </w:rPr>
        <w:t>日内，采购人应将采购合同副本报政府采购监督管理部门备案。</w:t>
      </w:r>
    </w:p>
    <w:p>
      <w:pPr>
        <w:numPr>
          <w:ilvl w:val="0"/>
          <w:numId w:val="2"/>
        </w:numPr>
        <w:adjustRightInd w:val="0"/>
        <w:snapToGrid w:val="0"/>
        <w:spacing w:line="360" w:lineRule="auto"/>
        <w:ind w:left="426" w:hanging="424" w:hangingChars="202"/>
        <w:outlineLvl w:val="2"/>
        <w:rPr>
          <w:rFonts w:ascii="宋体" w:hAnsi="宋体"/>
          <w:b/>
          <w:color w:val="auto"/>
        </w:rPr>
      </w:pPr>
      <w:bookmarkStart w:id="45" w:name="_Toc378586990"/>
      <w:r>
        <w:rPr>
          <w:rFonts w:ascii="宋体" w:hAnsi="宋体" w:hint="eastAsia"/>
          <w:b/>
          <w:color w:val="auto"/>
        </w:rPr>
        <w:t>合同的履行</w:t>
      </w:r>
      <w:bookmarkEnd w:id="45"/>
    </w:p>
    <w:p>
      <w:pPr>
        <w:numPr>
          <w:ilvl w:val="1"/>
          <w:numId w:val="2"/>
        </w:numPr>
        <w:tabs>
          <w:tab w:val="left" w:pos="426"/>
          <w:tab w:val="left" w:pos="567"/>
        </w:tabs>
        <w:adjustRightInd w:val="0"/>
        <w:snapToGrid w:val="0"/>
        <w:spacing w:line="360" w:lineRule="auto"/>
        <w:rPr>
          <w:rFonts w:ascii="宋体" w:hAnsi="宋体" w:cs="宋体"/>
          <w:color w:val="auto"/>
          <w:lang w:eastAsia="zh-TW"/>
        </w:rPr>
      </w:pPr>
      <w:r>
        <w:rPr>
          <w:rFonts w:ascii="宋体" w:hAnsi="宋体" w:cs="宋体" w:hint="eastAsia"/>
          <w:color w:val="auto"/>
          <w:lang w:eastAsia="zh-TW"/>
        </w:rPr>
        <w:t>采购合同履行中，采购人需追加与合同标的相同的货物、工程或者服务的，在不改变合同其他条款的前提下，可以与响应供应商签订补充合同，但所补充合同的采购金额不得超过原</w:t>
      </w:r>
      <w:r>
        <w:rPr>
          <w:rFonts w:ascii="宋体" w:hAnsi="宋体" w:cs="宋体" w:hint="eastAsia"/>
          <w:color w:val="auto"/>
        </w:rPr>
        <w:t>合同</w:t>
      </w:r>
      <w:r>
        <w:rPr>
          <w:rFonts w:ascii="宋体" w:hAnsi="宋体" w:cs="宋体" w:hint="eastAsia"/>
          <w:color w:val="auto"/>
          <w:lang w:eastAsia="zh-TW"/>
        </w:rPr>
        <w:t>采购金额的百分之十。</w:t>
      </w:r>
    </w:p>
    <w:p>
      <w:pPr>
        <w:numPr>
          <w:ilvl w:val="0"/>
          <w:numId w:val="2"/>
        </w:numPr>
        <w:adjustRightInd w:val="0"/>
        <w:snapToGrid w:val="0"/>
        <w:spacing w:line="360" w:lineRule="auto"/>
        <w:outlineLvl w:val="2"/>
        <w:rPr>
          <w:rFonts w:ascii="宋体" w:hAnsi="宋体"/>
          <w:b/>
          <w:color w:val="auto"/>
        </w:rPr>
      </w:pPr>
      <w:bookmarkStart w:id="46" w:name="_Toc378586991"/>
      <w:r>
        <w:rPr>
          <w:rFonts w:ascii="宋体" w:hAnsi="宋体" w:hint="eastAsia"/>
          <w:b/>
          <w:color w:val="auto"/>
        </w:rPr>
        <w:t>履约保证金</w:t>
      </w:r>
      <w:bookmarkEnd w:id="46"/>
      <w:r>
        <w:rPr>
          <w:rFonts w:hint="eastAsia"/>
          <w:lang w:eastAsia="zh-CN"/>
        </w:rPr>
        <w:t>（</w:t>
      </w:r>
      <w:r>
        <w:rPr>
          <w:rFonts w:hint="eastAsia"/>
          <w:lang w:val="en-US" w:eastAsia="zh-CN"/>
        </w:rPr>
        <w:t>本项目不适用</w:t>
      </w:r>
      <w:r>
        <w:rPr>
          <w:rFonts w:hint="eastAsia"/>
          <w:lang w:eastAsia="zh-CN"/>
        </w:rPr>
        <w:t>）</w:t>
      </w:r>
    </w:p>
    <w:p>
      <w:pPr>
        <w:numPr>
          <w:ilvl w:val="1"/>
          <w:numId w:val="2"/>
        </w:numPr>
        <w:autoSpaceDE w:val="0"/>
        <w:autoSpaceDN w:val="0"/>
        <w:adjustRightInd w:val="0"/>
        <w:snapToGrid w:val="0"/>
        <w:spacing w:line="360" w:lineRule="auto"/>
        <w:jc w:val="left"/>
        <w:rPr>
          <w:rFonts w:ascii="宋体" w:hAnsi="宋体"/>
          <w:color w:val="auto"/>
        </w:rPr>
      </w:pPr>
      <w:r>
        <w:rPr>
          <w:rFonts w:ascii="宋体" w:hAnsi="宋体" w:cs="宋体" w:hint="eastAsia"/>
          <w:color w:val="auto"/>
          <w:lang w:eastAsia="zh-TW"/>
        </w:rPr>
        <w:t>成交人应按照</w:t>
      </w:r>
      <w:r>
        <w:rPr>
          <w:rFonts w:ascii="宋体" w:hAnsi="宋体" w:cs="宋体" w:hint="eastAsia"/>
          <w:color w:val="auto"/>
        </w:rPr>
        <w:t>采购文件中</w:t>
      </w:r>
      <w:r>
        <w:rPr>
          <w:rFonts w:ascii="宋体" w:hAnsi="宋体" w:cs="宋体" w:hint="eastAsia"/>
          <w:color w:val="auto"/>
          <w:lang w:eastAsia="zh-TW"/>
        </w:rPr>
        <w:t>规定的</w:t>
      </w:r>
      <w:r>
        <w:rPr>
          <w:rFonts w:ascii="宋体" w:hAnsi="宋体" w:cs="宋体" w:hint="eastAsia"/>
          <w:color w:val="auto"/>
        </w:rPr>
        <w:t>金额，</w:t>
      </w:r>
      <w:r>
        <w:rPr>
          <w:rFonts w:ascii="宋体" w:hAnsi="宋体" w:cs="宋体" w:hint="eastAsia"/>
          <w:color w:val="auto"/>
          <w:lang w:eastAsia="zh-TW"/>
        </w:rPr>
        <w:t>采用</w:t>
      </w:r>
      <w:r>
        <w:rPr>
          <w:rFonts w:ascii="宋体" w:hAnsi="宋体" w:cs="宋体" w:hint="eastAsia"/>
          <w:color w:val="auto"/>
        </w:rPr>
        <w:t>采购文件</w:t>
      </w:r>
      <w:r>
        <w:rPr>
          <w:rFonts w:ascii="宋体" w:hAnsi="宋体" w:cs="宋体" w:hint="eastAsia"/>
          <w:color w:val="auto"/>
          <w:lang w:eastAsia="zh-TW"/>
        </w:rPr>
        <w:t>中提供的履约保证金保函格式或采购人可以接受的其他形式向采购人提交履约保证金。</w:t>
      </w:r>
    </w:p>
    <w:p>
      <w:pPr>
        <w:numPr>
          <w:ilvl w:val="0"/>
          <w:numId w:val="2"/>
        </w:numPr>
        <w:adjustRightInd w:val="0"/>
        <w:snapToGrid w:val="0"/>
        <w:spacing w:line="360" w:lineRule="auto"/>
        <w:ind w:left="426" w:hanging="424" w:hangingChars="202"/>
        <w:outlineLvl w:val="2"/>
        <w:rPr>
          <w:rFonts w:ascii="宋体" w:hAnsi="宋体" w:cs="宋体"/>
          <w:b/>
          <w:color w:val="auto"/>
        </w:rPr>
      </w:pPr>
      <w:r>
        <w:rPr>
          <w:rFonts w:ascii="宋体" w:hAnsi="宋体" w:cs="宋体" w:hint="eastAsia"/>
          <w:b/>
          <w:color w:val="auto"/>
        </w:rPr>
        <w:t>采购代理服务费</w:t>
      </w:r>
    </w:p>
    <w:p>
      <w:pPr>
        <w:numPr>
          <w:ilvl w:val="1"/>
          <w:numId w:val="2"/>
        </w:numPr>
        <w:tabs>
          <w:tab w:val="left" w:pos="426"/>
          <w:tab w:val="left" w:pos="567"/>
        </w:tabs>
        <w:adjustRightInd w:val="0"/>
        <w:snapToGrid w:val="0"/>
        <w:spacing w:line="360" w:lineRule="auto"/>
        <w:rPr>
          <w:rFonts w:ascii="宋体" w:hAnsi="宋体" w:cs="宋体"/>
          <w:color w:val="auto"/>
        </w:rPr>
      </w:pPr>
      <w:r>
        <w:rPr>
          <w:rFonts w:ascii="宋体" w:hAnsi="宋体" w:cs="宋体" w:hint="eastAsia"/>
          <w:color w:val="auto"/>
        </w:rPr>
        <w:t>成交人须向采购代理机构按如下标准和规定缴纳采购代理服务费：</w:t>
      </w:r>
    </w:p>
    <w:p>
      <w:pPr>
        <w:numPr>
          <w:ilvl w:val="4"/>
          <w:numId w:val="3"/>
        </w:numPr>
        <w:tabs>
          <w:tab w:val="left" w:pos="798"/>
          <w:tab w:val="left" w:pos="851"/>
          <w:tab w:val="clear" w:pos="992"/>
        </w:tabs>
        <w:adjustRightInd w:val="0"/>
        <w:snapToGrid w:val="0"/>
        <w:spacing w:line="360" w:lineRule="auto"/>
        <w:ind w:left="798" w:hanging="798"/>
        <w:rPr>
          <w:rFonts w:ascii="宋体" w:hAnsi="宋体" w:cs="宋体"/>
          <w:color w:val="auto"/>
        </w:rPr>
      </w:pPr>
      <w:r>
        <w:rPr>
          <w:rFonts w:ascii="宋体" w:hAnsi="宋体" w:cs="宋体" w:hint="eastAsia"/>
          <w:color w:val="auto"/>
        </w:rPr>
        <w:t>以成交通知书中成交</w:t>
      </w:r>
      <w:r>
        <w:rPr>
          <w:rFonts w:ascii="宋体" w:hAnsi="宋体" w:cs="宋体" w:hint="eastAsia"/>
          <w:bCs/>
          <w:color w:val="auto"/>
        </w:rPr>
        <w:t>金额作为采购代理服务费的计算基数。</w:t>
      </w:r>
    </w:p>
    <w:p>
      <w:pPr>
        <w:spacing w:line="360" w:lineRule="auto"/>
        <w:ind w:firstLine="315" w:firstLineChars="150"/>
        <w:rPr>
          <w:rFonts w:ascii="宋体" w:hAnsi="宋体" w:cs="宋体"/>
          <w:color w:val="auto"/>
        </w:rPr>
      </w:pPr>
      <w:r>
        <w:rPr>
          <w:rFonts w:ascii="宋体" w:hAnsi="宋体" w:cs="宋体" w:hint="eastAsia"/>
          <w:color w:val="auto"/>
        </w:rPr>
        <w:t>采购代理服务费收费采用差额定率累进法计算方式。按《深圳市财政委员会关于规范深圳市社会采购代理机构管理有关事项的补充通知》（深财购〔2018〕27号）代理费用参考标准规定的“</w:t>
      </w:r>
      <w:r>
        <w:rPr>
          <w:rFonts w:ascii="宋体" w:hAnsi="宋体" w:cs="宋体" w:hint="eastAsia"/>
          <w:color w:val="auto"/>
          <w:u w:val="single"/>
          <w:lang w:eastAsia="zh-CN"/>
        </w:rPr>
        <w:t>☑</w:t>
      </w:r>
      <w:r>
        <w:rPr>
          <w:rFonts w:ascii="宋体" w:hAnsi="宋体" w:cs="宋体" w:hint="eastAsia"/>
          <w:color w:val="auto"/>
          <w:u w:val="single"/>
        </w:rPr>
        <w:t>货物类”</w:t>
      </w:r>
      <w:r>
        <w:rPr>
          <w:rFonts w:ascii="宋体" w:hAnsi="宋体" w:cs="宋体" w:hint="eastAsia"/>
          <w:color w:val="auto"/>
        </w:rPr>
        <w:t>计费标准</w:t>
      </w:r>
      <w:r>
        <w:rPr>
          <w:rFonts w:ascii="宋体" w:hAnsi="宋体" w:cs="宋体" w:hint="eastAsia"/>
          <w:color w:val="auto"/>
          <w:u w:val="single"/>
        </w:rPr>
        <w:t>下浮</w:t>
      </w:r>
      <w:r>
        <w:rPr>
          <w:rFonts w:ascii="宋体" w:hAnsi="宋体" w:cs="宋体" w:hint="eastAsia"/>
          <w:color w:val="auto"/>
          <w:u w:val="single"/>
          <w:lang w:val="en-US" w:eastAsia="zh-CN"/>
        </w:rPr>
        <w:t>20</w:t>
      </w:r>
      <w:r>
        <w:rPr>
          <w:rFonts w:ascii="宋体" w:hAnsi="宋体" w:cs="宋体" w:hint="eastAsia"/>
          <w:color w:val="auto"/>
          <w:u w:val="single"/>
        </w:rPr>
        <w:t xml:space="preserve"> %</w:t>
      </w:r>
      <w:r>
        <w:rPr>
          <w:rFonts w:ascii="宋体" w:hAnsi="宋体" w:cs="宋体" w:hint="eastAsia"/>
          <w:color w:val="auto"/>
        </w:rPr>
        <w:t>计算并缴纳。</w:t>
      </w:r>
    </w:p>
    <w:tbl>
      <w:tblPr>
        <w:tblStyle w:val="TableNormal"/>
        <w:tblW w:w="7983" w:type="dxa"/>
        <w:jc w:val="center"/>
        <w:tblLayout w:type="fixed"/>
        <w:tblCellMar>
          <w:top w:w="15" w:type="dxa"/>
          <w:left w:w="15" w:type="dxa"/>
          <w:bottom w:w="15" w:type="dxa"/>
          <w:right w:w="15" w:type="dxa"/>
        </w:tblCellMar>
      </w:tblPr>
      <w:tblGrid>
        <w:gridCol w:w="3392"/>
        <w:gridCol w:w="1530"/>
        <w:gridCol w:w="1530"/>
        <w:gridCol w:w="1531"/>
      </w:tblGrid>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single" w:sz="8" w:space="0" w:color="auto"/>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jc w:val="center"/>
              <w:rPr>
                <w:rFonts w:ascii="宋体" w:hAnsi="宋体" w:cs="宋体"/>
              </w:rPr>
            </w:pPr>
            <w:r>
              <w:rPr>
                <w:rFonts w:ascii="宋体" w:hAnsi="宋体" w:cs="宋体" w:hint="eastAsia"/>
                <w:b/>
                <w:bCs/>
              </w:rPr>
              <w:t>服务费率类型</w:t>
            </w:r>
          </w:p>
          <w:p>
            <w:pPr>
              <w:widowControl/>
              <w:wordWrap w:val="0"/>
              <w:jc w:val="center"/>
              <w:rPr>
                <w:rFonts w:ascii="宋体" w:hAnsi="宋体" w:cs="宋体"/>
              </w:rPr>
            </w:pPr>
            <w:r>
              <w:rPr>
                <w:rFonts w:ascii="宋体" w:hAnsi="宋体" w:cs="宋体" w:hint="eastAsia"/>
                <w:b/>
                <w:bCs/>
              </w:rPr>
              <w:t>中标金额</w:t>
            </w:r>
          </w:p>
        </w:tc>
        <w:tc>
          <w:tcPr>
            <w:tcW w:w="1530" w:type="dxa"/>
            <w:tcBorders>
              <w:top w:val="single" w:sz="8" w:space="0" w:color="auto"/>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b/>
                <w:bCs/>
              </w:rPr>
              <w:t>货物采购</w:t>
            </w:r>
          </w:p>
        </w:tc>
        <w:tc>
          <w:tcPr>
            <w:tcW w:w="1530" w:type="dxa"/>
            <w:tcBorders>
              <w:top w:val="single" w:sz="8" w:space="0" w:color="auto"/>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b/>
                <w:bCs/>
              </w:rPr>
              <w:t>服务采购</w:t>
            </w:r>
          </w:p>
        </w:tc>
        <w:tc>
          <w:tcPr>
            <w:tcW w:w="1531" w:type="dxa"/>
            <w:tcBorders>
              <w:top w:val="single" w:sz="8" w:space="0" w:color="auto"/>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b/>
                <w:bCs/>
              </w:rPr>
              <w:t>工程采购</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100万元以下</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1.5%</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1.5%</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1.0%</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100万元（含）-500万元</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1.1%</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0.8%</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0.7%</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500万元（含）-1000万元</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0.8%</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0.45%</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0.55%</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1000万元（含）-5000万元</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0.5%</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0.25%</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0.35%</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5000万元（含）-1亿元</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0.25%</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0.1%</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0.2%</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1亿元（含）-5亿元</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0.05%</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0.05%</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0.05%</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5亿元（含）-10亿元</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0.035%</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0.035%</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0.035%</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10亿元（含）-50亿元</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0.008%</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0.008%</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0.008%</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50亿元（含）-100亿元</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0.006%</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0.006%</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0.006%</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100亿元（含）以上</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0.004%</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0.004%</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0.004%</w:t>
            </w:r>
          </w:p>
        </w:tc>
      </w:tr>
    </w:tbl>
    <w:p>
      <w:pPr>
        <w:numPr>
          <w:ilvl w:val="4"/>
          <w:numId w:val="3"/>
        </w:numPr>
        <w:tabs>
          <w:tab w:val="left" w:pos="851"/>
        </w:tabs>
        <w:adjustRightInd w:val="0"/>
        <w:snapToGrid w:val="0"/>
        <w:spacing w:line="360" w:lineRule="auto"/>
        <w:rPr>
          <w:rFonts w:ascii="宋体" w:hAnsi="宋体"/>
        </w:rPr>
      </w:pPr>
      <w:r>
        <w:rPr>
          <w:rFonts w:ascii="宋体" w:hAnsi="宋体" w:hint="eastAsia"/>
        </w:rPr>
        <w:t>采购代理服务费</w:t>
      </w:r>
      <w:r>
        <w:rPr>
          <w:rFonts w:ascii="宋体" w:hAnsi="宋体"/>
        </w:rPr>
        <w:t>的缴纳形式：</w:t>
      </w:r>
    </w:p>
    <w:p>
      <w:pPr>
        <w:numPr>
          <w:ilvl w:val="3"/>
          <w:numId w:val="4"/>
        </w:numPr>
        <w:tabs>
          <w:tab w:val="left" w:pos="993"/>
        </w:tabs>
        <w:adjustRightInd w:val="0"/>
        <w:snapToGrid w:val="0"/>
        <w:spacing w:line="360" w:lineRule="auto"/>
        <w:rPr>
          <w:rFonts w:ascii="宋体" w:hAnsi="宋体"/>
        </w:rPr>
      </w:pPr>
      <w:r>
        <w:rPr>
          <w:rFonts w:ascii="宋体" w:hAnsi="宋体"/>
        </w:rPr>
        <w:t>向采购代理机构直接缴纳</w:t>
      </w:r>
      <w:r>
        <w:rPr>
          <w:rFonts w:ascii="宋体" w:hAnsi="宋体" w:hint="eastAsia"/>
        </w:rPr>
        <w:t>采购代理服务费（</w:t>
      </w:r>
      <w:r>
        <w:rPr>
          <w:rFonts w:ascii="宋体" w:hAnsi="宋体"/>
        </w:rPr>
        <w:t>可用支票、汇票、电汇等付款方式</w:t>
      </w:r>
      <w:r>
        <w:rPr>
          <w:rFonts w:ascii="宋体" w:hAnsi="宋体" w:hint="eastAsia"/>
        </w:rPr>
        <w:t>）</w:t>
      </w:r>
      <w:r>
        <w:rPr>
          <w:rFonts w:ascii="宋体" w:hAnsi="宋体"/>
        </w:rPr>
        <w:t>。</w:t>
      </w:r>
    </w:p>
    <w:p>
      <w:pPr>
        <w:numPr>
          <w:ilvl w:val="4"/>
          <w:numId w:val="3"/>
        </w:numPr>
        <w:tabs>
          <w:tab w:val="left" w:pos="851"/>
        </w:tabs>
        <w:adjustRightInd w:val="0"/>
        <w:snapToGrid w:val="0"/>
        <w:spacing w:line="360" w:lineRule="auto"/>
        <w:rPr>
          <w:rFonts w:ascii="宋体" w:hAnsi="宋体"/>
          <w:color w:val="000000"/>
        </w:rPr>
      </w:pPr>
      <w:r>
        <w:rPr>
          <w:rFonts w:ascii="宋体" w:hAnsi="宋体" w:hint="eastAsia"/>
          <w:color w:val="000000"/>
        </w:rPr>
        <w:t>响应供应商</w:t>
      </w:r>
      <w:r>
        <w:rPr>
          <w:rFonts w:ascii="宋体" w:hAnsi="宋体"/>
          <w:color w:val="000000"/>
        </w:rPr>
        <w:t>应签署</w:t>
      </w:r>
      <w:r>
        <w:rPr>
          <w:rFonts w:ascii="宋体" w:hAnsi="宋体" w:hint="eastAsia"/>
          <w:color w:val="000000"/>
        </w:rPr>
        <w:t>第六</w:t>
      </w:r>
      <w:r>
        <w:rPr>
          <w:rFonts w:ascii="宋体" w:hAnsi="宋体"/>
          <w:color w:val="000000"/>
        </w:rPr>
        <w:t>章所附格式的</w:t>
      </w:r>
      <w:r>
        <w:rPr>
          <w:rFonts w:ascii="宋体" w:hAnsi="宋体" w:hint="eastAsia"/>
          <w:color w:val="000000"/>
        </w:rPr>
        <w:t>采购代理服务费</w:t>
      </w:r>
      <w:r>
        <w:rPr>
          <w:rFonts w:ascii="宋体" w:hAnsi="宋体"/>
          <w:color w:val="000000"/>
        </w:rPr>
        <w:t>承诺书，作为</w:t>
      </w:r>
      <w:r>
        <w:rPr>
          <w:rFonts w:ascii="宋体" w:hAnsi="宋体" w:hint="eastAsia"/>
          <w:color w:val="000000"/>
        </w:rPr>
        <w:t>谈判应答文件</w:t>
      </w:r>
      <w:r>
        <w:rPr>
          <w:rFonts w:ascii="宋体" w:hAnsi="宋体"/>
          <w:color w:val="000000"/>
        </w:rPr>
        <w:t>的一部分。</w:t>
      </w:r>
    </w:p>
    <w:p>
      <w:pPr>
        <w:numPr>
          <w:ilvl w:val="4"/>
          <w:numId w:val="3"/>
        </w:numPr>
        <w:tabs>
          <w:tab w:val="left" w:pos="851"/>
          <w:tab w:val="clear" w:pos="992"/>
        </w:tabs>
        <w:adjustRightInd w:val="0"/>
        <w:snapToGrid w:val="0"/>
        <w:spacing w:line="360" w:lineRule="auto"/>
        <w:ind w:left="851" w:hanging="851"/>
        <w:rPr>
          <w:rFonts w:ascii="宋体" w:hAnsi="宋体"/>
          <w:color w:val="000000"/>
        </w:rPr>
      </w:pPr>
      <w:r>
        <w:rPr>
          <w:rFonts w:ascii="宋体" w:hAnsi="宋体" w:hint="eastAsia"/>
          <w:color w:val="000000"/>
        </w:rPr>
        <w:t>成交人须向采购代理机构交纳采购代理服务费后，凭领取人身份证复印件并加盖公章领取《成交通知书》。如采用电汇或银行转账，须同时递交采购代理服务费缴费凭证复印件并加盖公章。</w:t>
      </w:r>
      <w:bookmarkStart w:id="47" w:name="_Toc355768048"/>
      <w:bookmarkStart w:id="48" w:name="_Toc50737289"/>
      <w:bookmarkStart w:id="49" w:name="_Toc50737321"/>
      <w:bookmarkStart w:id="50" w:name="_Toc50691022"/>
      <w:bookmarkStart w:id="51" w:name="_Toc50736469"/>
      <w:bookmarkStart w:id="52" w:name="_Toc43264512"/>
      <w:bookmarkStart w:id="53" w:name="_Toc87417451"/>
    </w:p>
    <w:p>
      <w:pPr>
        <w:numPr>
          <w:ilvl w:val="4"/>
          <w:numId w:val="3"/>
        </w:numPr>
        <w:tabs>
          <w:tab w:val="left" w:pos="851"/>
          <w:tab w:val="clear" w:pos="992"/>
          <w:tab w:val="left" w:pos="2551"/>
        </w:tabs>
        <w:adjustRightInd w:val="0"/>
        <w:snapToGrid w:val="0"/>
        <w:spacing w:line="360" w:lineRule="auto"/>
        <w:ind w:left="851" w:hanging="851"/>
        <w:rPr>
          <w:rFonts w:ascii="宋体" w:hAnsi="宋体" w:cs="宋体"/>
        </w:rPr>
      </w:pPr>
      <w:r>
        <w:rPr>
          <w:rFonts w:ascii="宋体" w:hAnsi="宋体" w:cs="宋体" w:hint="eastAsia"/>
        </w:rPr>
        <w:t>经依法取消成交资格的，采购代理服务费不予退还。</w:t>
      </w:r>
    </w:p>
    <w:p>
      <w:pPr>
        <w:numPr>
          <w:ilvl w:val="0"/>
          <w:numId w:val="2"/>
        </w:numPr>
        <w:adjustRightInd w:val="0"/>
        <w:snapToGrid w:val="0"/>
        <w:spacing w:line="360" w:lineRule="auto"/>
        <w:ind w:left="426" w:hanging="424" w:hangingChars="202"/>
        <w:outlineLvl w:val="2"/>
        <w:rPr>
          <w:rFonts w:ascii="宋体" w:hAnsi="宋体" w:cs="黑体"/>
          <w:b/>
          <w:bCs/>
          <w:lang w:eastAsia="zh-TW"/>
        </w:rPr>
      </w:pPr>
      <w:r>
        <w:rPr>
          <w:rFonts w:ascii="宋体" w:hAnsi="宋体" w:cs="黑体" w:hint="eastAsia"/>
          <w:b/>
          <w:bCs/>
          <w:lang w:eastAsia="zh-TW"/>
        </w:rPr>
        <w:t>询问函、质疑函格式</w:t>
      </w:r>
    </w:p>
    <w:p>
      <w:pPr>
        <w:snapToGrid w:val="0"/>
        <w:spacing w:line="360" w:lineRule="auto"/>
        <w:ind w:firstLine="422" w:firstLineChars="201"/>
        <w:rPr>
          <w:rFonts w:ascii="宋体" w:hAnsi="宋体" w:cs="宋体"/>
          <w:color w:val="0000FF"/>
        </w:rPr>
      </w:pPr>
      <w:r>
        <w:rPr>
          <w:rFonts w:ascii="宋体" w:hAnsi="宋体" w:hint="eastAsia"/>
          <w:b/>
          <w:color w:val="000000"/>
        </w:rPr>
        <w:t>说明：本部分格式为响应供应商提交询问函（见附件一）、质疑函（见附件二）时使用，不属于谈判应答文件格式的组成部分。</w:t>
      </w:r>
    </w:p>
    <w:p>
      <w:pPr>
        <w:autoSpaceDE w:val="0"/>
        <w:autoSpaceDN w:val="0"/>
        <w:adjustRightInd w:val="0"/>
        <w:snapToGrid w:val="0"/>
        <w:spacing w:line="360" w:lineRule="auto"/>
        <w:jc w:val="left"/>
        <w:rPr>
          <w:bCs/>
        </w:rPr>
      </w:pPr>
    </w:p>
    <w:p>
      <w:pPr>
        <w:autoSpaceDE w:val="0"/>
        <w:autoSpaceDN w:val="0"/>
        <w:adjustRightInd w:val="0"/>
        <w:snapToGrid w:val="0"/>
        <w:spacing w:line="360" w:lineRule="auto"/>
        <w:jc w:val="left"/>
        <w:rPr>
          <w:bCs/>
        </w:rPr>
      </w:pPr>
      <w:r>
        <w:rPr>
          <w:bCs/>
        </w:rPr>
        <w:br w:type="page"/>
      </w:r>
    </w:p>
    <w:p>
      <w:pPr>
        <w:autoSpaceDE w:val="0"/>
        <w:autoSpaceDN w:val="0"/>
        <w:adjustRightInd w:val="0"/>
        <w:snapToGrid w:val="0"/>
        <w:spacing w:line="360" w:lineRule="auto"/>
        <w:jc w:val="left"/>
        <w:rPr>
          <w:bCs/>
        </w:rPr>
      </w:pPr>
      <w:r>
        <w:rPr>
          <w:rFonts w:hint="eastAsia"/>
          <w:bCs/>
        </w:rPr>
        <w:t>附件一：</w:t>
      </w:r>
    </w:p>
    <w:p>
      <w:pPr>
        <w:adjustRightInd w:val="0"/>
        <w:snapToGrid w:val="0"/>
        <w:spacing w:before="156" w:beforeLines="50" w:after="156" w:afterLines="50" w:line="360" w:lineRule="auto"/>
        <w:jc w:val="center"/>
        <w:rPr>
          <w:rFonts w:ascii="宋体" w:hAnsi="宋体" w:cs="宋体"/>
          <w:b/>
          <w:bCs/>
          <w:lang w:eastAsia="zh-TW"/>
        </w:rPr>
      </w:pPr>
      <w:r>
        <w:rPr>
          <w:rFonts w:ascii="宋体" w:hAnsi="宋体" w:cs="宋体" w:hint="eastAsia"/>
          <w:b/>
          <w:bCs/>
          <w:lang w:eastAsia="zh-TW"/>
        </w:rPr>
        <w:t>询问函</w:t>
      </w:r>
    </w:p>
    <w:p>
      <w:pPr>
        <w:widowControl/>
        <w:tabs>
          <w:tab w:val="left" w:pos="6300"/>
        </w:tabs>
        <w:snapToGrid w:val="0"/>
        <w:spacing w:line="360" w:lineRule="auto"/>
        <w:rPr>
          <w:rFonts w:ascii="宋体" w:hAnsi="宋体"/>
        </w:rPr>
      </w:pPr>
      <w:r>
        <w:rPr>
          <w:rFonts w:ascii="宋体" w:hAnsi="宋体" w:hint="eastAsia"/>
          <w:b/>
        </w:rPr>
        <w:t>采联国际招标采购集团有限公司/（采购人单位名称）</w:t>
      </w:r>
      <w:r>
        <w:rPr>
          <w:rFonts w:ascii="宋体" w:hAnsi="宋体" w:hint="eastAsia"/>
        </w:rPr>
        <w:t>：</w:t>
      </w:r>
    </w:p>
    <w:p>
      <w:pPr>
        <w:widowControl/>
        <w:tabs>
          <w:tab w:val="left" w:pos="6300"/>
        </w:tabs>
        <w:snapToGrid w:val="0"/>
        <w:spacing w:line="360" w:lineRule="auto"/>
        <w:ind w:firstLine="420" w:firstLineChars="200"/>
        <w:rPr>
          <w:rFonts w:ascii="宋体" w:hAnsi="宋体"/>
        </w:rPr>
      </w:pPr>
      <w:r>
        <w:rPr>
          <w:rFonts w:ascii="宋体" w:hAnsi="宋体" w:hint="eastAsia"/>
        </w:rPr>
        <w:t>我单位已报名并准备参与</w:t>
      </w:r>
      <w:r>
        <w:rPr>
          <w:rFonts w:ascii="宋体" w:hAnsi="宋体" w:hint="eastAsia"/>
          <w:u w:val="single"/>
          <w:lang w:eastAsia="zh-CN"/>
        </w:rPr>
        <w:t>污泥原位高效资源化利用系统设计、制造和安装调试</w:t>
      </w:r>
      <w:r>
        <w:rPr>
          <w:rFonts w:ascii="宋体" w:hAnsi="宋体" w:hint="eastAsia"/>
        </w:rPr>
        <w:t>（项目采购编号：项目编号）的投标（或报价）活动，现有以下几个内容（或条款）存在疑问（或无法理解），特提出询问。</w:t>
      </w:r>
    </w:p>
    <w:p>
      <w:pPr>
        <w:widowControl/>
        <w:tabs>
          <w:tab w:val="center" w:pos="5019"/>
        </w:tabs>
        <w:snapToGrid w:val="0"/>
        <w:spacing w:line="360" w:lineRule="auto"/>
        <w:ind w:firstLine="420" w:firstLineChars="200"/>
        <w:rPr>
          <w:rFonts w:ascii="宋体" w:hAnsi="宋体"/>
        </w:rPr>
      </w:pPr>
      <w:r>
        <w:rPr>
          <w:rFonts w:ascii="宋体" w:hAnsi="宋体" w:hint="eastAsia"/>
        </w:rPr>
        <w:t>一、_____________________（事项一）</w:t>
      </w:r>
      <w:r>
        <w:rPr>
          <w:rFonts w:ascii="宋体" w:hAnsi="宋体" w:hint="eastAsia"/>
        </w:rPr>
        <w:tab/>
      </w:r>
    </w:p>
    <w:p>
      <w:pPr>
        <w:widowControl/>
        <w:tabs>
          <w:tab w:val="left" w:pos="6300"/>
        </w:tabs>
        <w:snapToGrid w:val="0"/>
        <w:spacing w:line="360" w:lineRule="auto"/>
        <w:ind w:firstLine="420" w:firstLineChars="200"/>
        <w:rPr>
          <w:rFonts w:ascii="宋体" w:hAnsi="宋体"/>
        </w:rPr>
      </w:pPr>
      <w:r>
        <w:rPr>
          <w:rFonts w:ascii="宋体" w:hAnsi="宋体" w:hint="eastAsia"/>
        </w:rPr>
        <w:t>（1）____________________（问题或条款内容）</w:t>
      </w:r>
    </w:p>
    <w:p>
      <w:pPr>
        <w:widowControl/>
        <w:tabs>
          <w:tab w:val="left" w:pos="6300"/>
        </w:tabs>
        <w:snapToGrid w:val="0"/>
        <w:spacing w:line="360" w:lineRule="auto"/>
        <w:ind w:firstLine="420" w:firstLineChars="200"/>
        <w:rPr>
          <w:rFonts w:ascii="宋体" w:hAnsi="宋体"/>
        </w:rPr>
      </w:pPr>
      <w:r>
        <w:rPr>
          <w:rFonts w:ascii="宋体" w:hAnsi="宋体" w:hint="eastAsia"/>
        </w:rPr>
        <w:t>（2）____________________（说明疑问或无法理解原因）</w:t>
      </w:r>
    </w:p>
    <w:p>
      <w:pPr>
        <w:widowControl/>
        <w:tabs>
          <w:tab w:val="left" w:pos="6300"/>
        </w:tabs>
        <w:snapToGrid w:val="0"/>
        <w:spacing w:line="360" w:lineRule="auto"/>
        <w:ind w:firstLine="420" w:firstLineChars="200"/>
        <w:rPr>
          <w:rFonts w:ascii="宋体" w:hAnsi="宋体"/>
        </w:rPr>
      </w:pPr>
      <w:r>
        <w:rPr>
          <w:rFonts w:ascii="宋体" w:hAnsi="宋体" w:hint="eastAsia"/>
        </w:rPr>
        <w:t>（3）____________________（建议）</w:t>
      </w:r>
    </w:p>
    <w:p>
      <w:pPr>
        <w:widowControl/>
        <w:tabs>
          <w:tab w:val="left" w:pos="6300"/>
        </w:tabs>
        <w:snapToGrid w:val="0"/>
        <w:spacing w:line="360" w:lineRule="auto"/>
        <w:ind w:firstLine="420" w:firstLineChars="200"/>
        <w:rPr>
          <w:rFonts w:ascii="宋体" w:hAnsi="宋体"/>
        </w:rPr>
      </w:pPr>
      <w:r>
        <w:rPr>
          <w:rFonts w:ascii="宋体" w:hAnsi="宋体" w:hint="eastAsia"/>
        </w:rPr>
        <w:t>二、_____________________（事项二）</w:t>
      </w:r>
    </w:p>
    <w:p>
      <w:pPr>
        <w:widowControl/>
        <w:tabs>
          <w:tab w:val="left" w:pos="6300"/>
        </w:tabs>
        <w:snapToGrid w:val="0"/>
        <w:spacing w:line="360" w:lineRule="auto"/>
        <w:ind w:firstLine="420" w:firstLineChars="200"/>
        <w:rPr>
          <w:rFonts w:ascii="宋体" w:hAnsi="宋体"/>
        </w:rPr>
      </w:pPr>
      <w:r>
        <w:rPr>
          <w:rFonts w:ascii="宋体" w:hAnsi="宋体" w:hint="eastAsia"/>
        </w:rPr>
        <w:t>……</w:t>
      </w:r>
    </w:p>
    <w:p>
      <w:pPr>
        <w:widowControl/>
        <w:tabs>
          <w:tab w:val="left" w:pos="6300"/>
        </w:tabs>
        <w:snapToGrid w:val="0"/>
        <w:spacing w:line="360" w:lineRule="auto"/>
        <w:ind w:firstLine="420" w:firstLineChars="200"/>
        <w:rPr>
          <w:rFonts w:ascii="宋体" w:hAnsi="宋体"/>
        </w:rPr>
      </w:pPr>
      <w:r>
        <w:rPr>
          <w:rFonts w:ascii="宋体" w:hAnsi="宋体" w:hint="eastAsia"/>
        </w:rPr>
        <w:t>随附相关证明材料如下：（目录）。</w:t>
      </w:r>
    </w:p>
    <w:p>
      <w:pPr>
        <w:widowControl/>
        <w:tabs>
          <w:tab w:val="left" w:pos="6300"/>
        </w:tabs>
        <w:snapToGrid w:val="0"/>
        <w:spacing w:line="360" w:lineRule="auto"/>
        <w:ind w:firstLine="1260" w:firstLineChars="600"/>
        <w:rPr>
          <w:rFonts w:ascii="宋体" w:hAnsi="宋体"/>
        </w:rPr>
      </w:pPr>
      <w:r>
        <w:rPr>
          <w:rFonts w:ascii="宋体" w:hAnsi="宋体" w:hint="eastAsia"/>
        </w:rPr>
        <w:t>询问人：（公章）</w:t>
      </w:r>
    </w:p>
    <w:p>
      <w:pPr>
        <w:widowControl/>
        <w:tabs>
          <w:tab w:val="left" w:pos="6300"/>
        </w:tabs>
        <w:snapToGrid w:val="0"/>
        <w:spacing w:line="360" w:lineRule="auto"/>
        <w:ind w:firstLine="1260" w:firstLineChars="600"/>
        <w:rPr>
          <w:rFonts w:ascii="宋体" w:hAnsi="宋体"/>
        </w:rPr>
      </w:pPr>
      <w:r>
        <w:rPr>
          <w:rFonts w:ascii="宋体" w:hAnsi="宋体" w:hint="eastAsia"/>
        </w:rPr>
        <w:t>法定代表人（授权代表）：</w:t>
      </w:r>
    </w:p>
    <w:p>
      <w:pPr>
        <w:tabs>
          <w:tab w:val="left" w:pos="6300"/>
        </w:tabs>
        <w:snapToGrid w:val="0"/>
        <w:spacing w:line="360" w:lineRule="auto"/>
        <w:ind w:firstLine="1260" w:firstLineChars="600"/>
        <w:rPr>
          <w:rFonts w:ascii="宋体" w:hAnsi="宋体"/>
        </w:rPr>
      </w:pPr>
      <w:r>
        <w:rPr>
          <w:rFonts w:ascii="宋体" w:hAnsi="宋体" w:hint="eastAsia"/>
        </w:rPr>
        <w:t>地址/邮编：</w:t>
      </w:r>
    </w:p>
    <w:p>
      <w:pPr>
        <w:tabs>
          <w:tab w:val="left" w:pos="6300"/>
        </w:tabs>
        <w:snapToGrid w:val="0"/>
        <w:spacing w:line="360" w:lineRule="auto"/>
        <w:ind w:firstLine="1260" w:firstLineChars="600"/>
        <w:rPr>
          <w:rFonts w:ascii="宋体" w:hAnsi="宋体"/>
        </w:rPr>
      </w:pPr>
      <w:r>
        <w:rPr>
          <w:rFonts w:ascii="宋体" w:hAnsi="宋体" w:hint="eastAsia"/>
        </w:rPr>
        <w:t>电话/传真：</w:t>
      </w:r>
    </w:p>
    <w:p>
      <w:pPr>
        <w:spacing w:line="360" w:lineRule="auto"/>
        <w:jc w:val="right"/>
        <w:rPr>
          <w:rFonts w:ascii="宋体" w:hAnsi="宋体"/>
        </w:rPr>
      </w:pPr>
      <w:r>
        <w:rPr>
          <w:rFonts w:ascii="宋体" w:hAnsi="宋体" w:hint="eastAsia"/>
        </w:rPr>
        <w:t xml:space="preserve"> </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pPr>
        <w:snapToGrid w:val="0"/>
        <w:spacing w:line="360" w:lineRule="auto"/>
        <w:ind w:firstLine="378" w:firstLineChars="180"/>
        <w:rPr>
          <w:rFonts w:ascii="宋体" w:hAnsi="宋体"/>
        </w:rPr>
      </w:pPr>
    </w:p>
    <w:p>
      <w:pPr>
        <w:pStyle w:val="NormalWeb"/>
        <w:adjustRightInd w:val="0"/>
        <w:snapToGrid w:val="0"/>
        <w:spacing w:before="0" w:beforeAutospacing="0" w:after="0" w:afterAutospacing="0" w:line="360" w:lineRule="auto"/>
        <w:jc w:val="both"/>
        <w:rPr>
          <w:sz w:val="21"/>
        </w:rPr>
      </w:pPr>
      <w:r>
        <w:rPr>
          <w:rFonts w:cs="宋体" w:hint="eastAsia"/>
          <w:sz w:val="21"/>
        </w:rPr>
        <w:br w:type="page"/>
      </w:r>
      <w:r>
        <w:rPr>
          <w:rFonts w:hint="eastAsia"/>
          <w:bCs/>
          <w:sz w:val="21"/>
        </w:rPr>
        <w:t>附件二：</w:t>
      </w:r>
    </w:p>
    <w:p>
      <w:pPr>
        <w:jc w:val="center"/>
        <w:rPr>
          <w:rFonts w:ascii="宋体" w:hAnsi="宋体" w:cs="仿宋"/>
          <w:b/>
          <w:bCs/>
        </w:rPr>
      </w:pPr>
      <w:r>
        <w:rPr>
          <w:rFonts w:ascii="宋体" w:hAnsi="宋体" w:cs="仿宋" w:hint="eastAsia"/>
          <w:b/>
          <w:bCs/>
        </w:rPr>
        <w:t>质疑函范本</w:t>
      </w:r>
    </w:p>
    <w:p>
      <w:pPr>
        <w:adjustRightInd w:val="0"/>
        <w:snapToGrid w:val="0"/>
        <w:spacing w:before="312" w:beforeLines="100" w:line="360" w:lineRule="auto"/>
        <w:rPr>
          <w:rFonts w:ascii="宋体" w:hAnsi="宋体" w:cs="仿宋"/>
          <w:bCs/>
        </w:rPr>
      </w:pPr>
      <w:r>
        <w:rPr>
          <w:rFonts w:ascii="宋体" w:hAnsi="宋体" w:cs="仿宋" w:hint="eastAsia"/>
          <w:bCs/>
        </w:rPr>
        <w:t>一、质疑供应商基本信息</w:t>
      </w:r>
    </w:p>
    <w:p>
      <w:pPr>
        <w:adjustRightInd w:val="0"/>
        <w:snapToGrid w:val="0"/>
        <w:spacing w:line="360" w:lineRule="auto"/>
        <w:rPr>
          <w:rFonts w:ascii="宋体" w:hAnsi="宋体" w:cs="仿宋"/>
          <w:u w:val="dotted"/>
        </w:rPr>
      </w:pPr>
      <w:r>
        <w:rPr>
          <w:rFonts w:ascii="宋体" w:hAnsi="宋体" w:cs="仿宋" w:hint="eastAsia"/>
        </w:rPr>
        <w:t>质疑供应商：</w:t>
      </w:r>
      <w:r>
        <w:rPr>
          <w:rFonts w:ascii="宋体" w:hAnsi="宋体" w:cs="仿宋" w:hint="eastAsia"/>
          <w:u w:val="single"/>
        </w:rPr>
        <w:t xml:space="preserve">                                        </w:t>
      </w:r>
    </w:p>
    <w:p>
      <w:pPr>
        <w:adjustRightInd w:val="0"/>
        <w:snapToGrid w:val="0"/>
        <w:spacing w:line="360" w:lineRule="auto"/>
        <w:rPr>
          <w:rFonts w:ascii="宋体" w:hAnsi="宋体" w:cs="仿宋"/>
        </w:rPr>
      </w:pPr>
      <w:r>
        <w:rPr>
          <w:rFonts w:ascii="宋体" w:hAnsi="宋体" w:cs="仿宋" w:hint="eastAsia"/>
        </w:rPr>
        <w:t>地址：</w:t>
      </w:r>
      <w:r>
        <w:rPr>
          <w:rFonts w:ascii="宋体" w:hAnsi="宋体" w:cs="仿宋" w:hint="eastAsia"/>
          <w:u w:val="single"/>
        </w:rPr>
        <w:t xml:space="preserve">                          </w:t>
      </w:r>
      <w:r>
        <w:rPr>
          <w:rFonts w:ascii="宋体" w:hAnsi="宋体" w:cs="仿宋" w:hint="eastAsia"/>
        </w:rPr>
        <w:t>邮编：</w:t>
      </w:r>
      <w:r>
        <w:rPr>
          <w:rFonts w:ascii="宋体" w:hAnsi="宋体" w:cs="仿宋" w:hint="eastAsia"/>
          <w:u w:val="single"/>
        </w:rPr>
        <w:t xml:space="preserve">                                                   </w:t>
      </w:r>
    </w:p>
    <w:p>
      <w:pPr>
        <w:adjustRightInd w:val="0"/>
        <w:snapToGrid w:val="0"/>
        <w:spacing w:line="360" w:lineRule="auto"/>
        <w:rPr>
          <w:rFonts w:ascii="宋体" w:hAnsi="宋体" w:cs="仿宋"/>
        </w:rPr>
      </w:pPr>
      <w:r>
        <w:rPr>
          <w:rFonts w:ascii="宋体" w:hAnsi="宋体" w:cs="仿宋" w:hint="eastAsia"/>
        </w:rPr>
        <w:t>联系人：</w:t>
      </w:r>
      <w:r>
        <w:rPr>
          <w:rFonts w:ascii="宋体" w:hAnsi="宋体" w:cs="仿宋" w:hint="eastAsia"/>
          <w:u w:val="single"/>
        </w:rPr>
        <w:t xml:space="preserve">                      </w:t>
      </w:r>
      <w:r>
        <w:rPr>
          <w:rFonts w:ascii="宋体" w:hAnsi="宋体" w:cs="仿宋" w:hint="eastAsia"/>
        </w:rPr>
        <w:t>联系电话：</w:t>
      </w:r>
      <w:r>
        <w:rPr>
          <w:rFonts w:ascii="宋体" w:hAnsi="宋体" w:cs="仿宋" w:hint="eastAsia"/>
          <w:u w:val="single"/>
        </w:rPr>
        <w:t xml:space="preserve">                              </w:t>
      </w:r>
    </w:p>
    <w:p>
      <w:pPr>
        <w:adjustRightInd w:val="0"/>
        <w:snapToGrid w:val="0"/>
        <w:spacing w:line="360" w:lineRule="auto"/>
        <w:rPr>
          <w:rFonts w:ascii="宋体" w:hAnsi="宋体" w:cs="仿宋"/>
          <w:u w:val="dotted"/>
        </w:rPr>
      </w:pPr>
      <w:r>
        <w:rPr>
          <w:rFonts w:ascii="宋体" w:hAnsi="宋体" w:cs="仿宋" w:hint="eastAsia"/>
        </w:rPr>
        <w:t>授权代表：</w:t>
      </w:r>
      <w:r>
        <w:rPr>
          <w:rFonts w:ascii="宋体" w:hAnsi="宋体" w:cs="仿宋" w:hint="eastAsia"/>
          <w:u w:val="single"/>
        </w:rPr>
        <w:t xml:space="preserve">                                          </w:t>
      </w:r>
    </w:p>
    <w:p>
      <w:pPr>
        <w:adjustRightInd w:val="0"/>
        <w:snapToGrid w:val="0"/>
        <w:spacing w:line="360" w:lineRule="auto"/>
        <w:rPr>
          <w:rFonts w:ascii="宋体" w:hAnsi="宋体" w:cs="仿宋"/>
        </w:rPr>
      </w:pPr>
      <w:r>
        <w:rPr>
          <w:rFonts w:ascii="宋体" w:hAnsi="宋体" w:cs="仿宋" w:hint="eastAsia"/>
        </w:rPr>
        <w:t>联系电话：</w:t>
      </w:r>
      <w:r>
        <w:rPr>
          <w:rFonts w:ascii="宋体" w:hAnsi="宋体" w:cs="仿宋" w:hint="eastAsia"/>
          <w:u w:val="single"/>
        </w:rPr>
        <w:t xml:space="preserve">                                           </w:t>
      </w:r>
      <w:r>
        <w:rPr>
          <w:rFonts w:ascii="宋体" w:hAnsi="宋体" w:cs="仿宋"/>
        </w:rPr>
        <w:t xml:space="preserve"> </w:t>
      </w:r>
    </w:p>
    <w:p>
      <w:pPr>
        <w:adjustRightInd w:val="0"/>
        <w:snapToGrid w:val="0"/>
        <w:spacing w:line="360" w:lineRule="auto"/>
        <w:rPr>
          <w:rFonts w:ascii="宋体" w:hAnsi="宋体" w:cs="仿宋"/>
        </w:rPr>
      </w:pPr>
      <w:r>
        <w:rPr>
          <w:rFonts w:ascii="宋体" w:hAnsi="宋体" w:cs="仿宋" w:hint="eastAsia"/>
        </w:rPr>
        <w:t>地址：</w:t>
      </w:r>
      <w:r>
        <w:rPr>
          <w:rFonts w:ascii="宋体" w:hAnsi="宋体" w:cs="仿宋"/>
          <w:u w:val="single"/>
        </w:rPr>
        <w:t xml:space="preserve"> </w:t>
      </w:r>
      <w:r>
        <w:rPr>
          <w:rFonts w:ascii="宋体" w:hAnsi="宋体" w:cs="仿宋" w:hint="eastAsia"/>
          <w:u w:val="single"/>
        </w:rPr>
        <w:t xml:space="preserve">                        </w:t>
      </w:r>
      <w:r>
        <w:rPr>
          <w:rFonts w:ascii="宋体" w:hAnsi="宋体" w:cs="仿宋" w:hint="eastAsia"/>
        </w:rPr>
        <w:t>邮编：</w:t>
      </w:r>
      <w:r>
        <w:rPr>
          <w:rFonts w:ascii="宋体" w:hAnsi="宋体" w:cs="仿宋" w:hint="eastAsia"/>
          <w:u w:val="single"/>
        </w:rPr>
        <w:t xml:space="preserve">                                                </w:t>
      </w:r>
    </w:p>
    <w:p>
      <w:pPr>
        <w:adjustRightInd w:val="0"/>
        <w:snapToGrid w:val="0"/>
        <w:spacing w:line="360" w:lineRule="auto"/>
        <w:rPr>
          <w:rFonts w:ascii="宋体" w:hAnsi="宋体" w:cs="仿宋"/>
          <w:bCs/>
        </w:rPr>
      </w:pPr>
      <w:r>
        <w:rPr>
          <w:rFonts w:ascii="宋体" w:hAnsi="宋体" w:cs="仿宋" w:hint="eastAsia"/>
          <w:bCs/>
        </w:rPr>
        <w:t>二、质疑项目基本情况</w:t>
      </w:r>
    </w:p>
    <w:p>
      <w:pPr>
        <w:adjustRightInd w:val="0"/>
        <w:snapToGrid w:val="0"/>
        <w:spacing w:line="360" w:lineRule="auto"/>
        <w:rPr>
          <w:rFonts w:ascii="宋体" w:hAnsi="宋体" w:cs="仿宋"/>
        </w:rPr>
      </w:pPr>
      <w:r>
        <w:rPr>
          <w:rFonts w:ascii="宋体" w:hAnsi="宋体" w:cs="仿宋" w:hint="eastAsia"/>
        </w:rPr>
        <w:t>质疑项目的名称：</w:t>
      </w:r>
      <w:r>
        <w:rPr>
          <w:rFonts w:ascii="宋体" w:hAnsi="宋体" w:cs="仿宋" w:hint="eastAsia"/>
          <w:u w:val="single"/>
        </w:rPr>
        <w:t xml:space="preserve">                                      </w:t>
      </w:r>
    </w:p>
    <w:p>
      <w:pPr>
        <w:adjustRightInd w:val="0"/>
        <w:snapToGrid w:val="0"/>
        <w:spacing w:line="360" w:lineRule="auto"/>
        <w:rPr>
          <w:rFonts w:ascii="宋体" w:hAnsi="宋体" w:cs="仿宋"/>
        </w:rPr>
      </w:pPr>
      <w:r>
        <w:rPr>
          <w:rFonts w:ascii="宋体" w:hAnsi="宋体" w:cs="仿宋" w:hint="eastAsia"/>
        </w:rPr>
        <w:t>质疑项目的编号：</w:t>
      </w:r>
      <w:r>
        <w:rPr>
          <w:rFonts w:ascii="宋体" w:hAnsi="宋体" w:cs="仿宋" w:hint="eastAsia"/>
          <w:u w:val="single"/>
        </w:rPr>
        <w:t xml:space="preserve">               </w:t>
      </w:r>
      <w:r>
        <w:rPr>
          <w:rFonts w:ascii="宋体" w:hAnsi="宋体" w:cs="仿宋" w:hint="eastAsia"/>
        </w:rPr>
        <w:t>包号：</w:t>
      </w:r>
      <w:r>
        <w:rPr>
          <w:rFonts w:ascii="宋体" w:hAnsi="宋体" w:cs="仿宋" w:hint="eastAsia"/>
          <w:u w:val="single"/>
        </w:rPr>
        <w:t xml:space="preserve">                 </w:t>
      </w:r>
    </w:p>
    <w:p>
      <w:pPr>
        <w:adjustRightInd w:val="0"/>
        <w:snapToGrid w:val="0"/>
        <w:spacing w:line="360" w:lineRule="auto"/>
        <w:rPr>
          <w:rFonts w:ascii="宋体" w:hAnsi="宋体" w:cs="仿宋"/>
          <w:u w:val="single"/>
        </w:rPr>
      </w:pPr>
      <w:r>
        <w:rPr>
          <w:rFonts w:ascii="宋体" w:hAnsi="宋体" w:cs="仿宋" w:hint="eastAsia"/>
        </w:rPr>
        <w:t>采购人名称：</w:t>
      </w:r>
      <w:r>
        <w:rPr>
          <w:rFonts w:ascii="宋体" w:hAnsi="宋体" w:cs="仿宋" w:hint="eastAsia"/>
          <w:u w:val="single"/>
        </w:rPr>
        <w:t xml:space="preserve">                                         </w:t>
      </w:r>
    </w:p>
    <w:p>
      <w:pPr>
        <w:adjustRightInd w:val="0"/>
        <w:snapToGrid w:val="0"/>
        <w:spacing w:line="360" w:lineRule="auto"/>
        <w:rPr>
          <w:rFonts w:ascii="宋体" w:hAnsi="宋体" w:cs="仿宋"/>
          <w:u w:val="single"/>
        </w:rPr>
      </w:pPr>
      <w:r>
        <w:rPr>
          <w:rFonts w:ascii="宋体" w:hAnsi="宋体" w:cs="仿宋" w:hint="eastAsia"/>
        </w:rPr>
        <w:t>采购文件获取日期：</w:t>
      </w:r>
      <w:r>
        <w:rPr>
          <w:rFonts w:ascii="宋体" w:hAnsi="宋体" w:cs="仿宋" w:hint="eastAsia"/>
          <w:u w:val="single"/>
        </w:rPr>
        <w:t xml:space="preserve">                                           </w:t>
      </w:r>
    </w:p>
    <w:p>
      <w:pPr>
        <w:adjustRightInd w:val="0"/>
        <w:snapToGrid w:val="0"/>
        <w:spacing w:line="360" w:lineRule="auto"/>
        <w:rPr>
          <w:rFonts w:ascii="宋体" w:hAnsi="宋体" w:cs="仿宋"/>
          <w:bCs/>
        </w:rPr>
      </w:pPr>
      <w:r>
        <w:rPr>
          <w:rFonts w:ascii="宋体" w:hAnsi="宋体" w:cs="仿宋" w:hint="eastAsia"/>
          <w:bCs/>
        </w:rPr>
        <w:t>三、质疑事项具体内容</w:t>
      </w:r>
    </w:p>
    <w:p>
      <w:pPr>
        <w:adjustRightInd w:val="0"/>
        <w:snapToGrid w:val="0"/>
        <w:spacing w:line="360" w:lineRule="auto"/>
        <w:rPr>
          <w:rFonts w:ascii="宋体" w:hAnsi="宋体" w:cs="仿宋"/>
          <w:u w:val="single"/>
        </w:rPr>
      </w:pPr>
      <w:r>
        <w:rPr>
          <w:rFonts w:ascii="宋体" w:hAnsi="宋体" w:cs="仿宋" w:hint="eastAsia"/>
        </w:rPr>
        <w:t>质疑事项1：</w:t>
      </w:r>
      <w:r>
        <w:rPr>
          <w:rFonts w:ascii="宋体" w:hAnsi="宋体" w:cs="仿宋" w:hint="eastAsia"/>
          <w:u w:val="single"/>
        </w:rPr>
        <w:t xml:space="preserve">                                         </w:t>
      </w:r>
    </w:p>
    <w:p>
      <w:pPr>
        <w:adjustRightInd w:val="0"/>
        <w:snapToGrid w:val="0"/>
        <w:spacing w:line="360" w:lineRule="auto"/>
        <w:rPr>
          <w:rFonts w:ascii="宋体" w:hAnsi="宋体" w:cs="仿宋"/>
          <w:u w:val="single"/>
        </w:rPr>
      </w:pPr>
      <w:r>
        <w:rPr>
          <w:rFonts w:ascii="宋体" w:hAnsi="宋体" w:cs="仿宋" w:hint="eastAsia"/>
        </w:rPr>
        <w:t>事实依据：</w:t>
      </w:r>
      <w:r>
        <w:rPr>
          <w:rFonts w:ascii="宋体" w:hAnsi="宋体" w:cs="仿宋" w:hint="eastAsia"/>
          <w:u w:val="single"/>
        </w:rPr>
        <w:t xml:space="preserve">                                          </w:t>
      </w:r>
    </w:p>
    <w:p>
      <w:pPr>
        <w:adjustRightInd w:val="0"/>
        <w:snapToGrid w:val="0"/>
        <w:spacing w:line="360" w:lineRule="auto"/>
        <w:rPr>
          <w:rFonts w:ascii="宋体" w:hAnsi="宋体" w:cs="仿宋"/>
          <w:u w:val="single"/>
        </w:rPr>
      </w:pPr>
      <w:r>
        <w:rPr>
          <w:rFonts w:ascii="宋体" w:hAnsi="宋体" w:cs="仿宋" w:hint="eastAsia"/>
          <w:u w:val="single"/>
        </w:rPr>
        <w:t xml:space="preserve">                                                       </w:t>
      </w:r>
    </w:p>
    <w:p>
      <w:pPr>
        <w:adjustRightInd w:val="0"/>
        <w:snapToGrid w:val="0"/>
        <w:spacing w:line="360" w:lineRule="auto"/>
        <w:rPr>
          <w:rFonts w:ascii="宋体" w:hAnsi="宋体" w:cs="仿宋"/>
          <w:u w:val="single"/>
        </w:rPr>
      </w:pPr>
      <w:r>
        <w:rPr>
          <w:rFonts w:ascii="宋体" w:hAnsi="宋体" w:cs="仿宋" w:hint="eastAsia"/>
        </w:rPr>
        <w:t>法律依据：</w:t>
      </w:r>
      <w:r>
        <w:rPr>
          <w:rFonts w:ascii="宋体" w:hAnsi="宋体" w:cs="仿宋" w:hint="eastAsia"/>
          <w:u w:val="single"/>
        </w:rPr>
        <w:t xml:space="preserve">                                          </w:t>
      </w:r>
    </w:p>
    <w:p>
      <w:pPr>
        <w:adjustRightInd w:val="0"/>
        <w:snapToGrid w:val="0"/>
        <w:spacing w:line="360" w:lineRule="auto"/>
        <w:rPr>
          <w:rFonts w:ascii="宋体" w:hAnsi="宋体" w:cs="仿宋"/>
          <w:u w:val="single"/>
        </w:rPr>
      </w:pPr>
      <w:r>
        <w:rPr>
          <w:rFonts w:ascii="宋体" w:hAnsi="宋体" w:cs="仿宋" w:hint="eastAsia"/>
          <w:u w:val="single"/>
        </w:rPr>
        <w:t xml:space="preserve">                                                     </w:t>
      </w:r>
    </w:p>
    <w:p>
      <w:pPr>
        <w:adjustRightInd w:val="0"/>
        <w:snapToGrid w:val="0"/>
        <w:spacing w:line="360" w:lineRule="auto"/>
        <w:rPr>
          <w:rFonts w:ascii="宋体" w:hAnsi="宋体" w:cs="仿宋"/>
          <w:u w:val="dotted"/>
        </w:rPr>
      </w:pPr>
      <w:r>
        <w:rPr>
          <w:rFonts w:ascii="宋体" w:hAnsi="宋体" w:cs="仿宋" w:hint="eastAsia"/>
        </w:rPr>
        <w:t>质疑事项2</w:t>
      </w:r>
    </w:p>
    <w:p>
      <w:pPr>
        <w:adjustRightInd w:val="0"/>
        <w:snapToGrid w:val="0"/>
        <w:spacing w:line="360" w:lineRule="auto"/>
        <w:rPr>
          <w:rFonts w:ascii="宋体" w:hAnsi="宋体" w:cs="仿宋"/>
        </w:rPr>
      </w:pPr>
      <w:r>
        <w:rPr>
          <w:rFonts w:ascii="宋体" w:hAnsi="宋体" w:cs="仿宋" w:hint="eastAsia"/>
        </w:rPr>
        <w:t>……</w:t>
      </w:r>
    </w:p>
    <w:p>
      <w:pPr>
        <w:adjustRightInd w:val="0"/>
        <w:snapToGrid w:val="0"/>
        <w:spacing w:line="360" w:lineRule="auto"/>
        <w:rPr>
          <w:rFonts w:ascii="宋体" w:hAnsi="宋体" w:cs="仿宋"/>
          <w:bCs/>
        </w:rPr>
      </w:pPr>
      <w:r>
        <w:rPr>
          <w:rFonts w:ascii="宋体" w:hAnsi="宋体" w:cs="仿宋" w:hint="eastAsia"/>
          <w:bCs/>
        </w:rPr>
        <w:t>四、与质疑事项相关的质疑请求</w:t>
      </w:r>
    </w:p>
    <w:p>
      <w:pPr>
        <w:adjustRightInd w:val="0"/>
        <w:snapToGrid w:val="0"/>
        <w:spacing w:line="360" w:lineRule="auto"/>
        <w:rPr>
          <w:rFonts w:ascii="宋体" w:hAnsi="宋体" w:cs="仿宋"/>
          <w:u w:val="dotted"/>
        </w:rPr>
      </w:pPr>
      <w:r>
        <w:rPr>
          <w:rFonts w:ascii="宋体" w:hAnsi="宋体" w:cs="仿宋" w:hint="eastAsia"/>
        </w:rPr>
        <w:t>请求：</w:t>
      </w:r>
      <w:r>
        <w:rPr>
          <w:rFonts w:ascii="宋体" w:hAnsi="宋体" w:cs="仿宋" w:hint="eastAsia"/>
          <w:u w:val="single"/>
        </w:rPr>
        <w:t xml:space="preserve">                                               </w:t>
      </w:r>
    </w:p>
    <w:p>
      <w:pPr>
        <w:spacing w:line="360" w:lineRule="auto"/>
        <w:rPr>
          <w:rFonts w:ascii="宋体" w:hAnsi="宋体"/>
        </w:rPr>
      </w:pPr>
      <w:r>
        <w:rPr>
          <w:rFonts w:ascii="宋体" w:hAnsi="宋体" w:hint="eastAsia"/>
        </w:rPr>
        <w:t xml:space="preserve">签字(签章)：                   公章：                      </w:t>
      </w:r>
    </w:p>
    <w:p>
      <w:pPr>
        <w:spacing w:line="360" w:lineRule="auto"/>
        <w:rPr>
          <w:rFonts w:ascii="宋体" w:hAnsi="宋体"/>
        </w:rPr>
      </w:pPr>
      <w:r>
        <w:rPr>
          <w:rFonts w:ascii="宋体" w:hAnsi="宋体" w:hint="eastAsia"/>
        </w:rPr>
        <w:t xml:space="preserve">日期：    </w:t>
      </w:r>
    </w:p>
    <w:p>
      <w:pPr>
        <w:adjustRightInd w:val="0"/>
        <w:snapToGrid w:val="0"/>
        <w:spacing w:line="360" w:lineRule="auto"/>
        <w:rPr>
          <w:rFonts w:ascii="宋体" w:hAnsi="宋体" w:cs="仿宋"/>
        </w:rPr>
      </w:pPr>
      <w:r>
        <w:rPr>
          <w:rFonts w:ascii="宋体" w:hAnsi="宋体" w:cs="仿宋" w:hint="eastAsia"/>
        </w:rPr>
        <w:t>附件：</w:t>
      </w:r>
    </w:p>
    <w:tbl>
      <w:tblPr>
        <w:tblStyle w:val="TableNormal"/>
        <w:tblW w:w="900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Pr>
      <w:tblGrid>
        <w:gridCol w:w="1747"/>
        <w:gridCol w:w="2761"/>
        <w:gridCol w:w="2247"/>
        <w:gridCol w:w="2247"/>
      </w:tblGrid>
      <w:tr>
        <w:tblPrEx>
          <w:tblW w:w="900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PrEx>
        <w:trPr>
          <w:trHeight w:val="327"/>
        </w:trPr>
        <w:tc>
          <w:tcPr>
            <w:tcW w:w="17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r>
              <w:rPr>
                <w:rFonts w:ascii="宋体" w:hAnsi="宋体" w:cs="仿宋" w:hint="eastAsia"/>
              </w:rPr>
              <w:t>序号</w:t>
            </w:r>
          </w:p>
        </w:tc>
        <w:tc>
          <w:tcPr>
            <w:tcW w:w="2761"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r>
              <w:rPr>
                <w:rFonts w:hAnsi="宋体" w:hint="eastAsia"/>
              </w:rPr>
              <w:t>证明材料</w:t>
            </w:r>
            <w:r>
              <w:rPr>
                <w:rFonts w:ascii="宋体" w:hAnsi="宋体" w:cs="仿宋" w:hint="eastAsia"/>
              </w:rPr>
              <w:t>名称</w:t>
            </w:r>
          </w:p>
        </w:tc>
        <w:tc>
          <w:tcPr>
            <w:tcW w:w="22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r>
              <w:rPr>
                <w:rFonts w:hAnsi="宋体" w:hint="eastAsia"/>
              </w:rPr>
              <w:t>证明材料</w:t>
            </w:r>
            <w:r>
              <w:rPr>
                <w:rFonts w:ascii="宋体" w:hAnsi="宋体" w:cs="仿宋" w:hint="eastAsia"/>
              </w:rPr>
              <w:t>来源</w:t>
            </w:r>
          </w:p>
        </w:tc>
        <w:tc>
          <w:tcPr>
            <w:tcW w:w="22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r>
              <w:rPr>
                <w:rFonts w:ascii="宋体" w:hAnsi="宋体" w:cs="仿宋" w:hint="eastAsia"/>
              </w:rPr>
              <w:t>证明对象</w:t>
            </w:r>
            <w:r>
              <w:rPr>
                <w:rFonts w:ascii="宋体" w:hAnsi="宋体" w:cs="仿宋"/>
              </w:rPr>
              <w:t xml:space="preserve"> </w:t>
            </w:r>
          </w:p>
        </w:tc>
      </w:tr>
      <w:tr>
        <w:tblPrEx>
          <w:tblW w:w="9002" w:type="dxa"/>
          <w:tblInd w:w="0" w:type="dxa"/>
          <w:tblLayout w:type="fixed"/>
          <w:tblCellMar>
            <w:top w:w="0" w:type="dxa"/>
            <w:left w:w="0" w:type="dxa"/>
            <w:bottom w:w="0" w:type="dxa"/>
            <w:right w:w="0" w:type="dxa"/>
          </w:tblCellMar>
        </w:tblPrEx>
        <w:trPr>
          <w:trHeight w:val="327"/>
        </w:trPr>
        <w:tc>
          <w:tcPr>
            <w:tcW w:w="17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r>
              <w:rPr>
                <w:rFonts w:ascii="宋体" w:hAnsi="宋体" w:cs="仿宋"/>
              </w:rPr>
              <w:t xml:space="preserve">1 </w:t>
            </w:r>
          </w:p>
        </w:tc>
        <w:tc>
          <w:tcPr>
            <w:tcW w:w="2761"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c>
          <w:tcPr>
            <w:tcW w:w="22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c>
          <w:tcPr>
            <w:tcW w:w="22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r>
      <w:tr>
        <w:tblPrEx>
          <w:tblW w:w="9002" w:type="dxa"/>
          <w:tblInd w:w="0" w:type="dxa"/>
          <w:tblLayout w:type="fixed"/>
          <w:tblCellMar>
            <w:top w:w="0" w:type="dxa"/>
            <w:left w:w="0" w:type="dxa"/>
            <w:bottom w:w="0" w:type="dxa"/>
            <w:right w:w="0" w:type="dxa"/>
          </w:tblCellMar>
        </w:tblPrEx>
        <w:trPr>
          <w:trHeight w:val="327"/>
        </w:trPr>
        <w:tc>
          <w:tcPr>
            <w:tcW w:w="17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r>
              <w:rPr>
                <w:rFonts w:ascii="宋体" w:hAnsi="宋体" w:cs="仿宋"/>
              </w:rPr>
              <w:t xml:space="preserve">2 </w:t>
            </w:r>
          </w:p>
        </w:tc>
        <w:tc>
          <w:tcPr>
            <w:tcW w:w="2761"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c>
          <w:tcPr>
            <w:tcW w:w="22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c>
          <w:tcPr>
            <w:tcW w:w="22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r>
      <w:tr>
        <w:tblPrEx>
          <w:tblW w:w="9002" w:type="dxa"/>
          <w:tblInd w:w="0" w:type="dxa"/>
          <w:tblLayout w:type="fixed"/>
          <w:tblCellMar>
            <w:top w:w="0" w:type="dxa"/>
            <w:left w:w="0" w:type="dxa"/>
            <w:bottom w:w="0" w:type="dxa"/>
            <w:right w:w="0" w:type="dxa"/>
          </w:tblCellMar>
        </w:tblPrEx>
        <w:trPr>
          <w:trHeight w:val="327"/>
        </w:trPr>
        <w:tc>
          <w:tcPr>
            <w:tcW w:w="17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r>
              <w:rPr>
                <w:rFonts w:ascii="宋体" w:hAnsi="宋体" w:cs="仿宋" w:hint="eastAsia"/>
              </w:rPr>
              <w:t>……</w:t>
            </w:r>
          </w:p>
        </w:tc>
        <w:tc>
          <w:tcPr>
            <w:tcW w:w="2761"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c>
          <w:tcPr>
            <w:tcW w:w="22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c>
          <w:tcPr>
            <w:tcW w:w="22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r>
    </w:tbl>
    <w:p>
      <w:pPr>
        <w:adjustRightInd w:val="0"/>
        <w:snapToGrid w:val="0"/>
        <w:spacing w:line="360" w:lineRule="auto"/>
        <w:rPr>
          <w:rFonts w:ascii="宋体" w:hAnsi="宋体" w:cs="仿宋"/>
        </w:rPr>
      </w:pPr>
    </w:p>
    <w:p>
      <w:pPr>
        <w:adjustRightInd w:val="0"/>
        <w:snapToGrid w:val="0"/>
        <w:spacing w:line="360" w:lineRule="auto"/>
        <w:rPr>
          <w:rFonts w:ascii="宋体" w:hAnsi="宋体" w:cs="仿宋"/>
        </w:rPr>
      </w:pPr>
    </w:p>
    <w:p>
      <w:pPr>
        <w:spacing w:line="360" w:lineRule="auto"/>
        <w:rPr>
          <w:rFonts w:ascii="宋体" w:hAnsi="宋体"/>
          <w:b/>
        </w:rPr>
      </w:pPr>
      <w:r>
        <w:rPr>
          <w:rFonts w:ascii="宋体" w:hAnsi="宋体" w:hint="eastAsia"/>
          <w:b/>
        </w:rPr>
        <w:t>质疑函制作说明：</w:t>
      </w:r>
    </w:p>
    <w:p>
      <w:pPr>
        <w:widowControl/>
        <w:spacing w:line="360" w:lineRule="auto"/>
        <w:ind w:firstLine="420" w:firstLineChars="200"/>
        <w:jc w:val="left"/>
        <w:rPr>
          <w:rFonts w:ascii="宋体" w:hAnsi="宋体"/>
        </w:rPr>
      </w:pPr>
      <w:r>
        <w:rPr>
          <w:rFonts w:ascii="宋体" w:hAnsi="宋体" w:hint="eastAsia"/>
        </w:rPr>
        <w:t>1.供应商提出质疑时，应提交质疑函和必要的证明材料。</w:t>
      </w:r>
    </w:p>
    <w:p>
      <w:pPr>
        <w:widowControl/>
        <w:spacing w:line="360" w:lineRule="auto"/>
        <w:ind w:firstLine="420" w:firstLineChars="200"/>
        <w:jc w:val="left"/>
        <w:rPr>
          <w:rFonts w:ascii="宋体" w:hAnsi="宋体"/>
        </w:rPr>
      </w:pPr>
      <w:r>
        <w:rPr>
          <w:rFonts w:ascii="宋体" w:hAnsi="宋体" w:hint="eastAsia"/>
        </w:rPr>
        <w:t>2.质疑供应商若委托代理人进行质疑的，质疑函应按要求列明“授权代表”的有关内容，并在附件中提交由质疑</w:t>
      </w:r>
      <w:r>
        <w:rPr>
          <w:rFonts w:ascii="宋体" w:hAnsi="宋体" w:cs="宋体" w:hint="eastAsia"/>
        </w:rPr>
        <w:t>供应商签署的授权委托书。授权委托书应载明代理人的姓名或者名称、代理事项、具体权限、期限和相关事项。</w:t>
      </w:r>
    </w:p>
    <w:p>
      <w:pPr>
        <w:widowControl/>
        <w:spacing w:line="360" w:lineRule="auto"/>
        <w:ind w:firstLine="420" w:firstLineChars="200"/>
        <w:jc w:val="left"/>
        <w:rPr>
          <w:rFonts w:ascii="宋体" w:hAnsi="宋体"/>
        </w:rPr>
      </w:pPr>
      <w:r>
        <w:rPr>
          <w:rFonts w:ascii="宋体" w:hAnsi="宋体" w:hint="eastAsia"/>
        </w:rPr>
        <w:t>3.质疑供应商若对项目的某一分包进行质疑，质疑函中应列明具体分包号。</w:t>
      </w:r>
    </w:p>
    <w:p>
      <w:pPr>
        <w:widowControl/>
        <w:spacing w:line="360" w:lineRule="auto"/>
        <w:ind w:firstLine="420" w:firstLineChars="200"/>
        <w:jc w:val="left"/>
        <w:rPr>
          <w:rFonts w:ascii="宋体" w:hAnsi="宋体"/>
        </w:rPr>
      </w:pPr>
      <w:r>
        <w:rPr>
          <w:rFonts w:ascii="宋体" w:hAnsi="宋体" w:hint="eastAsia"/>
        </w:rPr>
        <w:t>4.质疑函的质疑事项应具体、明确，并有必要的事实依据和法律依据。</w:t>
      </w:r>
    </w:p>
    <w:p>
      <w:pPr>
        <w:widowControl/>
        <w:spacing w:line="360" w:lineRule="auto"/>
        <w:ind w:firstLine="420" w:firstLineChars="200"/>
        <w:jc w:val="left"/>
        <w:rPr>
          <w:rFonts w:ascii="宋体" w:hAnsi="宋体"/>
        </w:rPr>
      </w:pPr>
      <w:r>
        <w:rPr>
          <w:rFonts w:ascii="宋体" w:hAnsi="宋体" w:hint="eastAsia"/>
        </w:rPr>
        <w:t>5.质疑函的质疑请求应与质疑事项相关。</w:t>
      </w:r>
    </w:p>
    <w:p>
      <w:pPr>
        <w:spacing w:line="360" w:lineRule="auto"/>
        <w:ind w:firstLine="420" w:firstLineChars="200"/>
        <w:rPr>
          <w:rFonts w:ascii="宋体" w:hAnsi="宋体"/>
        </w:rPr>
      </w:pPr>
      <w:r>
        <w:rPr>
          <w:rFonts w:ascii="宋体" w:hAnsi="宋体" w:hint="eastAsia"/>
        </w:rPr>
        <w:t>6.质疑供应商为自然人的，质疑函应由本人签字；质疑供应商为法人或者其他组织的，质疑函应由法定代表人、主要负责人，或者其授权代表签字或者签章，并加盖公章。</w:t>
      </w:r>
    </w:p>
    <w:p>
      <w:pPr>
        <w:spacing w:line="360" w:lineRule="auto"/>
        <w:ind w:left="422" w:leftChars="201"/>
        <w:rPr>
          <w:rFonts w:ascii="宋体" w:hAnsi="宋体"/>
          <w:b/>
          <w:bCs/>
          <w:sz w:val="44"/>
        </w:rPr>
      </w:pPr>
      <w:r>
        <w:rPr>
          <w:rFonts w:ascii="宋体" w:hAnsi="宋体" w:hint="eastAsia"/>
        </w:rPr>
        <w:t>7. 供应商应在提交的证明材料中对质疑点的内容作出相应的标识或以醒目的方式标明。</w:t>
      </w:r>
    </w:p>
    <w:p>
      <w:pPr>
        <w:widowControl/>
        <w:snapToGrid w:val="0"/>
        <w:spacing w:line="360" w:lineRule="auto"/>
        <w:ind w:firstLine="420" w:firstLineChars="200"/>
        <w:rPr>
          <w:rFonts w:ascii="宋体" w:hAnsi="宋体"/>
        </w:rPr>
      </w:pPr>
    </w:p>
    <w:p>
      <w:pPr>
        <w:pStyle w:val="Heading1"/>
        <w:adjustRightInd w:val="0"/>
        <w:snapToGrid w:val="0"/>
        <w:spacing w:before="0" w:after="0" w:line="360" w:lineRule="auto"/>
        <w:jc w:val="center"/>
        <w:rPr>
          <w:b w:val="0"/>
          <w:bCs w:val="0"/>
          <w:sz w:val="28"/>
          <w:szCs w:val="28"/>
        </w:rPr>
      </w:pPr>
      <w:r>
        <w:rPr>
          <w:rFonts w:ascii="宋体" w:hAnsi="宋体"/>
        </w:rPr>
        <w:br w:type="page"/>
      </w:r>
      <w:bookmarkEnd w:id="47"/>
      <w:bookmarkEnd w:id="48"/>
      <w:bookmarkEnd w:id="49"/>
      <w:bookmarkEnd w:id="50"/>
      <w:bookmarkEnd w:id="51"/>
      <w:bookmarkEnd w:id="52"/>
      <w:bookmarkEnd w:id="53"/>
      <w:bookmarkStart w:id="54" w:name="_Toc16121"/>
      <w:bookmarkStart w:id="55" w:name="_Toc436298552"/>
      <w:bookmarkStart w:id="56" w:name="_Toc43264513"/>
      <w:bookmarkStart w:id="57" w:name="_Toc256000002"/>
      <w:r>
        <w:rPr>
          <w:rFonts w:hint="eastAsia"/>
          <w:kern w:val="0"/>
          <w:sz w:val="30"/>
          <w:szCs w:val="30"/>
        </w:rPr>
        <w:t>第三章  评审标准</w:t>
      </w:r>
      <w:bookmarkEnd w:id="57"/>
      <w:bookmarkEnd w:id="54"/>
      <w:bookmarkEnd w:id="55"/>
    </w:p>
    <w:p>
      <w:pPr>
        <w:numPr>
          <w:ilvl w:val="0"/>
          <w:numId w:val="5"/>
        </w:numPr>
        <w:tabs>
          <w:tab w:val="left" w:pos="630"/>
        </w:tabs>
        <w:autoSpaceDE w:val="0"/>
        <w:autoSpaceDN w:val="0"/>
        <w:adjustRightInd w:val="0"/>
        <w:spacing w:line="360" w:lineRule="auto"/>
        <w:rPr>
          <w:rFonts w:ascii="宋体" w:cs="宋体"/>
        </w:rPr>
      </w:pPr>
      <w:r>
        <w:rPr>
          <w:rFonts w:ascii="宋体" w:hAnsi="宋体" w:hint="eastAsia"/>
        </w:rPr>
        <w:t>本项目评标方法：本项目由具有相关经验的专业人员（谈判小组成员）与供应商商定合理的成交价格并保证采购项目质量的前提下，推荐成交候选人</w:t>
      </w:r>
      <w:r>
        <w:rPr>
          <w:rFonts w:ascii="宋体" w:hAnsi="宋体" w:cs="宋体" w:hint="eastAsia"/>
        </w:rPr>
        <w:t>。</w:t>
      </w:r>
    </w:p>
    <w:p>
      <w:pPr>
        <w:numPr>
          <w:ilvl w:val="0"/>
          <w:numId w:val="5"/>
        </w:numPr>
        <w:tabs>
          <w:tab w:val="left" w:pos="630"/>
        </w:tabs>
        <w:autoSpaceDE w:val="0"/>
        <w:autoSpaceDN w:val="0"/>
        <w:adjustRightInd w:val="0"/>
        <w:spacing w:line="360" w:lineRule="auto"/>
      </w:pPr>
      <w:r>
        <w:rPr>
          <w:rFonts w:ascii="宋体" w:hAnsi="宋体" w:cs="宋体" w:hint="eastAsia"/>
          <w:lang w:eastAsia="zh-TW"/>
        </w:rPr>
        <w:t>谈判小组对</w:t>
      </w:r>
      <w:r>
        <w:rPr>
          <w:rFonts w:ascii="宋体" w:hAnsi="宋体" w:cs="宋体" w:hint="eastAsia"/>
        </w:rPr>
        <w:t>谈判应答文件</w:t>
      </w:r>
      <w:r>
        <w:rPr>
          <w:rFonts w:ascii="宋体" w:hAnsi="宋体" w:cs="宋体" w:hint="eastAsia"/>
          <w:lang w:eastAsia="zh-TW"/>
        </w:rPr>
        <w:t>进行资格性、符合性</w:t>
      </w:r>
      <w:r>
        <w:rPr>
          <w:rFonts w:ascii="宋体" w:hAnsi="宋体" w:cs="宋体" w:hint="eastAsia"/>
        </w:rPr>
        <w:t>审查</w:t>
      </w:r>
      <w:r>
        <w:rPr>
          <w:rFonts w:ascii="宋体" w:hAnsi="宋体" w:cs="宋体" w:hint="eastAsia"/>
          <w:lang w:eastAsia="zh-TW"/>
        </w:rPr>
        <w:t>，</w:t>
      </w:r>
      <w:r>
        <w:rPr>
          <w:rFonts w:ascii="宋体" w:hAnsi="宋体" w:cs="宋体" w:hint="eastAsia"/>
        </w:rPr>
        <w:t>具体条款见《</w:t>
      </w:r>
      <w:bookmarkStart w:id="58" w:name="_Hlk32507959"/>
      <w:r>
        <w:rPr>
          <w:rFonts w:ascii="宋体" w:hAnsi="宋体" w:cs="宋体" w:hint="eastAsia"/>
        </w:rPr>
        <w:t>资格、符合性评审表</w:t>
      </w:r>
      <w:bookmarkEnd w:id="58"/>
      <w:r>
        <w:rPr>
          <w:rFonts w:ascii="宋体" w:hAnsi="宋体" w:cs="宋体" w:hint="eastAsia"/>
        </w:rPr>
        <w:t>》。</w:t>
      </w:r>
    </w:p>
    <w:p>
      <w:pPr>
        <w:pStyle w:val="NormalWeb"/>
        <w:jc w:val="center"/>
        <w:outlineLvl w:val="1"/>
        <w:rPr>
          <w:rFonts w:ascii="黑体" w:eastAsia="黑体" w:cs="宋体"/>
          <w:color w:val="FF0000"/>
          <w:sz w:val="28"/>
          <w:szCs w:val="28"/>
        </w:rPr>
      </w:pPr>
      <w:r>
        <w:rPr>
          <w:rFonts w:ascii="黑体" w:eastAsia="黑体" w:cs="宋体" w:hint="eastAsia"/>
          <w:sz w:val="28"/>
          <w:szCs w:val="28"/>
        </w:rPr>
        <w:t>资格、符合性评审表</w:t>
      </w:r>
    </w:p>
    <w:tbl>
      <w:tblPr>
        <w:tblStyle w:val="TableNormal"/>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91"/>
        <w:gridCol w:w="9028"/>
      </w:tblGrid>
      <w:tr>
        <w:tblPrEx>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70"/>
          <w:jc w:val="center"/>
        </w:trPr>
        <w:tc>
          <w:tcPr>
            <w:tcW w:w="691" w:type="dxa"/>
            <w:tcBorders>
              <w:top w:val="single" w:sz="12" w:space="0" w:color="auto"/>
              <w:left w:val="single" w:sz="12" w:space="0" w:color="auto"/>
            </w:tcBorders>
            <w:vAlign w:val="center"/>
          </w:tcPr>
          <w:p>
            <w:pPr>
              <w:snapToGrid w:val="0"/>
              <w:jc w:val="center"/>
              <w:rPr>
                <w:b/>
                <w:sz w:val="21"/>
                <w:szCs w:val="21"/>
              </w:rPr>
            </w:pPr>
            <w:r>
              <w:rPr>
                <w:rFonts w:hint="eastAsia"/>
                <w:b/>
                <w:sz w:val="21"/>
                <w:szCs w:val="21"/>
              </w:rPr>
              <w:t>序号</w:t>
            </w:r>
          </w:p>
        </w:tc>
        <w:tc>
          <w:tcPr>
            <w:tcW w:w="9028" w:type="dxa"/>
            <w:tcBorders>
              <w:top w:val="single" w:sz="12" w:space="0" w:color="auto"/>
              <w:right w:val="single" w:sz="12" w:space="0" w:color="auto"/>
            </w:tcBorders>
            <w:vAlign w:val="center"/>
          </w:tcPr>
          <w:p>
            <w:pPr>
              <w:snapToGrid w:val="0"/>
              <w:jc w:val="center"/>
              <w:rPr>
                <w:b/>
                <w:sz w:val="21"/>
                <w:szCs w:val="21"/>
              </w:rPr>
            </w:pPr>
            <w:r>
              <w:rPr>
                <w:rFonts w:hint="eastAsia"/>
                <w:b/>
                <w:sz w:val="21"/>
                <w:szCs w:val="21"/>
              </w:rPr>
              <w:t>评审内容</w:t>
            </w:r>
          </w:p>
        </w:tc>
      </w:tr>
      <w:tr>
        <w:tblPrEx>
          <w:tblW w:w="9719" w:type="dxa"/>
          <w:jc w:val="center"/>
          <w:tblLayout w:type="fixed"/>
          <w:tblCellMar>
            <w:top w:w="0" w:type="dxa"/>
            <w:left w:w="108" w:type="dxa"/>
            <w:bottom w:w="0" w:type="dxa"/>
            <w:right w:w="108" w:type="dxa"/>
          </w:tblCellMar>
        </w:tblPrEx>
        <w:trPr>
          <w:trHeight w:val="670"/>
          <w:jc w:val="center"/>
        </w:trPr>
        <w:tc>
          <w:tcPr>
            <w:tcW w:w="691" w:type="dxa"/>
            <w:tcBorders>
              <w:top w:val="single" w:sz="12" w:space="0" w:color="auto"/>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top w:val="single" w:sz="12" w:space="0" w:color="auto"/>
              <w:right w:val="single" w:sz="12" w:space="0" w:color="auto"/>
            </w:tcBorders>
            <w:vAlign w:val="center"/>
          </w:tcPr>
          <w:p>
            <w:pPr>
              <w:rPr>
                <w:rFonts w:ascii="宋体" w:hAnsi="宋体" w:cs="宋体"/>
                <w:sz w:val="21"/>
                <w:szCs w:val="21"/>
              </w:rPr>
            </w:pPr>
            <w:r>
              <w:rPr>
                <w:rFonts w:ascii="宋体" w:hAnsi="宋体" w:cs="宋体" w:hint="eastAsia"/>
                <w:sz w:val="21"/>
                <w:szCs w:val="21"/>
              </w:rPr>
              <w:t>不具备谈判文件中规定资格要求的或资格证明文件不齐全的；</w:t>
            </w:r>
          </w:p>
        </w:tc>
      </w:tr>
      <w:tr>
        <w:tblPrEx>
          <w:tblW w:w="9719" w:type="dxa"/>
          <w:jc w:val="center"/>
          <w:tblLayout w:type="fixed"/>
          <w:tblCellMar>
            <w:top w:w="0" w:type="dxa"/>
            <w:left w:w="108" w:type="dxa"/>
            <w:bottom w:w="0" w:type="dxa"/>
            <w:right w:w="108" w:type="dxa"/>
          </w:tblCellMar>
        </w:tblPrEx>
        <w:trPr>
          <w:trHeight w:val="660"/>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hAnsi="宋体" w:cs="宋体"/>
                <w:sz w:val="21"/>
                <w:szCs w:val="21"/>
              </w:rPr>
            </w:pPr>
            <w:r>
              <w:rPr>
                <w:rFonts w:ascii="宋体" w:hAnsi="宋体" w:cs="宋体" w:hint="eastAsia"/>
                <w:sz w:val="21"/>
                <w:szCs w:val="21"/>
              </w:rPr>
              <w:t>报价函未提交或不符合谈判文件要求的；</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ind w:left="10" w:hanging="10" w:hangingChars="5"/>
              <w:rPr>
                <w:rFonts w:ascii="宋体" w:hAnsi="宋体" w:cs="宋体"/>
                <w:sz w:val="21"/>
                <w:szCs w:val="21"/>
              </w:rPr>
            </w:pPr>
            <w:r>
              <w:rPr>
                <w:sz w:val="21"/>
                <w:szCs w:val="21"/>
              </w:rPr>
              <w:t>供应商缺席谈判的；</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hAnsi="宋体" w:cs="宋体"/>
                <w:sz w:val="21"/>
                <w:szCs w:val="21"/>
              </w:rPr>
            </w:pPr>
            <w:r>
              <w:rPr>
                <w:sz w:val="21"/>
                <w:szCs w:val="21"/>
              </w:rPr>
              <w:t>将一个包或一个标段中的内容拆开投标；</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hAnsi="宋体" w:cs="宋体"/>
                <w:sz w:val="21"/>
                <w:szCs w:val="21"/>
              </w:rPr>
            </w:pPr>
            <w:r>
              <w:rPr>
                <w:sz w:val="21"/>
                <w:szCs w:val="21"/>
              </w:rPr>
              <w:t>供应商以他人的名义参与谈判、相互串通进行谈判、以行贿手段谋取成交或者以其他弄虚作假方式谈判；</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hAnsi="宋体" w:cs="宋体"/>
                <w:color w:val="auto"/>
                <w:sz w:val="21"/>
                <w:szCs w:val="21"/>
              </w:rPr>
            </w:pPr>
            <w:r>
              <w:rPr>
                <w:rFonts w:hint="eastAsia"/>
                <w:color w:val="auto"/>
                <w:sz w:val="21"/>
                <w:szCs w:val="21"/>
              </w:rPr>
              <w:t>采购</w:t>
            </w:r>
            <w:r>
              <w:rPr>
                <w:color w:val="auto"/>
                <w:sz w:val="21"/>
                <w:szCs w:val="21"/>
              </w:rPr>
              <w:t>文件未规定允许有替代方案时，对同一服务投标时，提供两套以上的投标方案；</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color w:val="auto"/>
                <w:sz w:val="21"/>
                <w:szCs w:val="21"/>
              </w:rPr>
            </w:pPr>
            <w:r>
              <w:rPr>
                <w:rFonts w:hint="eastAsia"/>
                <w:color w:val="auto"/>
                <w:sz w:val="21"/>
                <w:szCs w:val="21"/>
              </w:rPr>
              <w:t>谈判应答文件</w:t>
            </w:r>
            <w:r>
              <w:rPr>
                <w:color w:val="auto"/>
                <w:sz w:val="21"/>
                <w:szCs w:val="21"/>
              </w:rPr>
              <w:t>不满足</w:t>
            </w:r>
            <w:r>
              <w:rPr>
                <w:rFonts w:hint="eastAsia"/>
                <w:color w:val="auto"/>
                <w:sz w:val="21"/>
                <w:szCs w:val="21"/>
              </w:rPr>
              <w:t>采购文件</w:t>
            </w:r>
            <w:r>
              <w:rPr>
                <w:color w:val="auto"/>
                <w:sz w:val="21"/>
                <w:szCs w:val="21"/>
              </w:rPr>
              <w:t>中标注</w:t>
            </w:r>
            <w:r>
              <w:rPr>
                <w:rFonts w:ascii="宋体" w:hAnsi="宋体" w:cs="宋体" w:hint="eastAsia"/>
                <w:color w:val="auto"/>
                <w:sz w:val="21"/>
                <w:szCs w:val="21"/>
              </w:rPr>
              <w:t>★</w:t>
            </w:r>
            <w:r>
              <w:rPr>
                <w:color w:val="auto"/>
                <w:sz w:val="21"/>
                <w:szCs w:val="21"/>
              </w:rPr>
              <w:t>号条款有不响应或负偏离的；</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hAnsi="宋体" w:cs="宋体"/>
                <w:color w:val="auto"/>
                <w:sz w:val="21"/>
                <w:szCs w:val="21"/>
                <w:highlight w:val="none"/>
              </w:rPr>
            </w:pPr>
            <w:r>
              <w:rPr>
                <w:rFonts w:ascii="宋体" w:hAnsi="宋体" w:cs="宋体" w:hint="eastAsia"/>
                <w:bCs/>
                <w:color w:val="auto"/>
                <w:sz w:val="21"/>
                <w:szCs w:val="21"/>
                <w:highlight w:val="none"/>
              </w:rPr>
              <w:t>响应供应商未按</w:t>
            </w:r>
            <w:r>
              <w:rPr>
                <w:rFonts w:hint="eastAsia"/>
                <w:color w:val="auto"/>
                <w:sz w:val="21"/>
                <w:szCs w:val="21"/>
                <w:highlight w:val="none"/>
              </w:rPr>
              <w:t>采购</w:t>
            </w:r>
            <w:r>
              <w:rPr>
                <w:rFonts w:ascii="宋体" w:hAnsi="宋体" w:cs="宋体" w:hint="eastAsia"/>
                <w:bCs/>
                <w:color w:val="auto"/>
                <w:sz w:val="21"/>
                <w:szCs w:val="21"/>
                <w:highlight w:val="none"/>
              </w:rPr>
              <w:t>文件要求提供本国产品\服务</w:t>
            </w:r>
            <w:r>
              <w:rPr>
                <w:rStyle w:val="CommentReference"/>
                <w:rFonts w:ascii="宋体" w:hAnsi="宋体" w:cs="宋体" w:hint="eastAsia"/>
                <w:color w:val="auto"/>
                <w:sz w:val="21"/>
                <w:szCs w:val="21"/>
                <w:highlight w:val="none"/>
              </w:rPr>
              <w:t>；</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pStyle w:val="a0"/>
              <w:jc w:val="both"/>
              <w:rPr>
                <w:bCs w:val="0"/>
                <w:color w:val="auto"/>
                <w:spacing w:val="0"/>
                <w:sz w:val="21"/>
                <w:szCs w:val="21"/>
              </w:rPr>
            </w:pPr>
            <w:r>
              <w:rPr>
                <w:rFonts w:hint="eastAsia"/>
                <w:bCs w:val="0"/>
                <w:color w:val="auto"/>
                <w:spacing w:val="0"/>
                <w:sz w:val="21"/>
                <w:szCs w:val="21"/>
              </w:rPr>
              <w:t>最后报价超过本项目相应采购内容的最高限价的；</w:t>
            </w:r>
          </w:p>
          <w:p>
            <w:pPr>
              <w:rPr>
                <w:rFonts w:ascii="宋体" w:hAnsi="宋体" w:cs="宋体"/>
                <w:color w:val="auto"/>
                <w:sz w:val="21"/>
                <w:szCs w:val="21"/>
              </w:rPr>
            </w:pPr>
            <w:r>
              <w:rPr>
                <w:rFonts w:ascii="宋体" w:hAnsi="宋体" w:cs="宋体" w:hint="eastAsia"/>
                <w:color w:val="auto"/>
                <w:sz w:val="21"/>
                <w:szCs w:val="21"/>
              </w:rPr>
              <w:t>注：本项评审在最后报价后进行。</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hAnsi="宋体" w:cs="宋体"/>
                <w:sz w:val="21"/>
                <w:szCs w:val="21"/>
              </w:rPr>
            </w:pPr>
            <w:r>
              <w:rPr>
                <w:sz w:val="21"/>
                <w:szCs w:val="21"/>
              </w:rPr>
              <w:t>供应商附有采购</w:t>
            </w:r>
            <w:r>
              <w:rPr>
                <w:rFonts w:hint="eastAsia"/>
                <w:sz w:val="21"/>
                <w:szCs w:val="21"/>
              </w:rPr>
              <w:t>人</w:t>
            </w:r>
            <w:r>
              <w:rPr>
                <w:sz w:val="21"/>
                <w:szCs w:val="21"/>
              </w:rPr>
              <w:t>或谈判</w:t>
            </w:r>
            <w:r>
              <w:rPr>
                <w:rFonts w:hint="eastAsia"/>
                <w:sz w:val="21"/>
                <w:szCs w:val="21"/>
              </w:rPr>
              <w:t>小</w:t>
            </w:r>
            <w:r>
              <w:rPr>
                <w:sz w:val="21"/>
                <w:szCs w:val="21"/>
              </w:rPr>
              <w:t>组不能接受的条件的；</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hAnsi="宋体" w:cs="宋体"/>
                <w:color w:val="auto"/>
                <w:sz w:val="21"/>
                <w:szCs w:val="21"/>
              </w:rPr>
            </w:pPr>
            <w:r>
              <w:rPr>
                <w:rFonts w:hint="eastAsia"/>
                <w:color w:val="auto"/>
                <w:sz w:val="21"/>
                <w:szCs w:val="21"/>
              </w:rPr>
              <w:t>投标(应答)文件</w:t>
            </w:r>
            <w:r>
              <w:rPr>
                <w:color w:val="auto"/>
                <w:sz w:val="21"/>
                <w:szCs w:val="21"/>
              </w:rPr>
              <w:t>电子文档带病毒；</w:t>
            </w:r>
          </w:p>
        </w:tc>
      </w:tr>
      <w:tr>
        <w:tblPrEx>
          <w:tblW w:w="9719" w:type="dxa"/>
          <w:jc w:val="center"/>
          <w:tblLayout w:type="fixed"/>
          <w:tblCellMar>
            <w:top w:w="0" w:type="dxa"/>
            <w:left w:w="108" w:type="dxa"/>
            <w:bottom w:w="0" w:type="dxa"/>
            <w:right w:w="108" w:type="dxa"/>
          </w:tblCellMar>
        </w:tblPrEx>
        <w:trPr>
          <w:trHeight w:val="660"/>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hAnsi="宋体" w:cs="宋体"/>
                <w:color w:val="auto"/>
                <w:sz w:val="21"/>
                <w:szCs w:val="21"/>
              </w:rPr>
            </w:pPr>
            <w:r>
              <w:rPr>
                <w:rFonts w:hint="eastAsia"/>
                <w:color w:val="auto"/>
                <w:sz w:val="21"/>
                <w:szCs w:val="21"/>
              </w:rPr>
              <w:t>投标(应答)文件</w:t>
            </w:r>
            <w:r>
              <w:rPr>
                <w:color w:val="auto"/>
                <w:sz w:val="21"/>
                <w:szCs w:val="21"/>
              </w:rPr>
              <w:t>用不属于本公司的电子密钥进行加密的；</w:t>
            </w:r>
          </w:p>
        </w:tc>
      </w:tr>
      <w:tr>
        <w:tblPrEx>
          <w:tblW w:w="9719" w:type="dxa"/>
          <w:jc w:val="center"/>
          <w:tblLayout w:type="fixed"/>
          <w:tblCellMar>
            <w:top w:w="0" w:type="dxa"/>
            <w:left w:w="108" w:type="dxa"/>
            <w:bottom w:w="0" w:type="dxa"/>
            <w:right w:w="108" w:type="dxa"/>
          </w:tblCellMar>
        </w:tblPrEx>
        <w:trPr>
          <w:trHeight w:val="660"/>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snapToGrid w:val="0"/>
              <w:rPr>
                <w:rFonts w:ascii="宋体" w:hAnsi="宋体" w:cs="宋体"/>
                <w:color w:val="auto"/>
                <w:sz w:val="21"/>
                <w:szCs w:val="21"/>
              </w:rPr>
            </w:pPr>
            <w:r>
              <w:rPr>
                <w:rFonts w:hint="eastAsia"/>
                <w:color w:val="auto"/>
                <w:sz w:val="21"/>
                <w:szCs w:val="21"/>
              </w:rPr>
              <w:t>谈判应答文件</w:t>
            </w:r>
            <w:r>
              <w:rPr>
                <w:color w:val="auto"/>
                <w:sz w:val="21"/>
                <w:szCs w:val="21"/>
              </w:rPr>
              <w:t>有</w:t>
            </w:r>
            <w:r>
              <w:rPr>
                <w:rFonts w:hint="eastAsia"/>
                <w:color w:val="auto"/>
                <w:sz w:val="21"/>
                <w:szCs w:val="21"/>
              </w:rPr>
              <w:t>采购文件</w:t>
            </w:r>
            <w:r>
              <w:rPr>
                <w:color w:val="auto"/>
                <w:sz w:val="21"/>
                <w:szCs w:val="21"/>
              </w:rPr>
              <w:t>中规定的其它无效响应条款的；</w:t>
            </w:r>
          </w:p>
        </w:tc>
      </w:tr>
      <w:tr>
        <w:tblPrEx>
          <w:tblW w:w="9719" w:type="dxa"/>
          <w:jc w:val="center"/>
          <w:tblLayout w:type="fixed"/>
          <w:tblCellMar>
            <w:top w:w="0" w:type="dxa"/>
            <w:left w:w="108" w:type="dxa"/>
            <w:bottom w:w="0" w:type="dxa"/>
            <w:right w:w="108" w:type="dxa"/>
          </w:tblCellMar>
        </w:tblPrEx>
        <w:trPr>
          <w:trHeight w:val="660"/>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eastAsia="宋体" w:hAnsi="宋体" w:cs="宋体" w:hint="eastAsia"/>
                <w:color w:val="auto"/>
                <w:sz w:val="21"/>
                <w:szCs w:val="21"/>
                <w:highlight w:val="none"/>
              </w:rPr>
            </w:pPr>
            <w:r>
              <w:rPr>
                <w:rFonts w:ascii="宋体" w:eastAsia="宋体" w:hAnsi="宋体" w:cs="宋体" w:hint="eastAsia"/>
                <w:color w:val="auto"/>
                <w:sz w:val="21"/>
                <w:szCs w:val="21"/>
                <w:highlight w:val="none"/>
              </w:rPr>
              <w:t>供应商上传谈判(应答)文件的</w:t>
            </w:r>
            <w:r>
              <w:rPr>
                <w:rFonts w:ascii="宋体" w:eastAsia="宋体" w:hAnsi="宋体" w:cs="宋体" w:hint="eastAsia"/>
                <w:color w:val="auto"/>
                <w:kern w:val="2"/>
                <w:sz w:val="21"/>
                <w:szCs w:val="21"/>
                <w:highlight w:val="none"/>
                <w:lang w:val="en-US" w:eastAsia="zh-CN" w:bidi="ar-SA"/>
              </w:rPr>
              <w:t>文件制作机器码</w:t>
            </w:r>
            <w:r>
              <w:rPr>
                <w:rFonts w:ascii="宋体" w:eastAsia="宋体" w:hAnsi="宋体" w:cs="宋体" w:hint="eastAsia"/>
                <w:color w:val="auto"/>
                <w:sz w:val="21"/>
                <w:szCs w:val="21"/>
                <w:highlight w:val="none"/>
              </w:rPr>
              <w:t>或</w:t>
            </w:r>
            <w:r>
              <w:rPr>
                <w:rFonts w:ascii="宋体" w:eastAsia="宋体" w:hAnsi="宋体" w:cs="宋体" w:hint="eastAsia"/>
                <w:color w:val="auto"/>
                <w:kern w:val="2"/>
                <w:sz w:val="21"/>
                <w:szCs w:val="21"/>
                <w:highlight w:val="none"/>
                <w:lang w:val="en-US" w:eastAsia="zh-CN" w:bidi="ar-SA"/>
              </w:rPr>
              <w:t>文件创建标识码或</w:t>
            </w:r>
            <w:r>
              <w:rPr>
                <w:rFonts w:ascii="宋体" w:eastAsia="宋体" w:hAnsi="宋体" w:cs="宋体" w:hint="eastAsia"/>
                <w:color w:val="auto"/>
                <w:sz w:val="21"/>
                <w:szCs w:val="21"/>
                <w:highlight w:val="none"/>
              </w:rPr>
              <w:t>IP地址相同的。</w:t>
            </w:r>
          </w:p>
        </w:tc>
      </w:tr>
      <w:tr>
        <w:tblPrEx>
          <w:tblW w:w="9719" w:type="dxa"/>
          <w:jc w:val="center"/>
          <w:tblLayout w:type="fixed"/>
          <w:tblCellMar>
            <w:top w:w="0" w:type="dxa"/>
            <w:left w:w="108" w:type="dxa"/>
            <w:bottom w:w="0" w:type="dxa"/>
            <w:right w:w="108" w:type="dxa"/>
          </w:tblCellMar>
        </w:tblPrEx>
        <w:trPr>
          <w:trHeight w:val="660"/>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keepNext w:val="0"/>
              <w:keepLines w:val="0"/>
              <w:suppressLineNumbers w:val="0"/>
              <w:spacing w:before="0" w:beforeAutospacing="0" w:after="0" w:afterAutospacing="0"/>
              <w:ind w:left="0" w:right="0"/>
              <w:rPr>
                <w:rFonts w:ascii="宋体" w:eastAsia="宋体" w:hAnsi="宋体" w:cs="宋体" w:hint="eastAsia"/>
                <w:b/>
                <w:bCs/>
                <w:color w:val="auto"/>
                <w:sz w:val="21"/>
                <w:szCs w:val="21"/>
                <w:highlight w:val="none"/>
                <w:u w:val="double"/>
                <w:lang w:eastAsia="zh-CN"/>
              </w:rPr>
            </w:pPr>
            <w:r>
              <w:rPr>
                <w:rFonts w:ascii="宋体" w:eastAsia="宋体" w:hAnsi="宋体" w:cs="宋体" w:hint="eastAsia"/>
                <w:b/>
                <w:bCs/>
                <w:color w:val="auto"/>
                <w:sz w:val="21"/>
                <w:szCs w:val="21"/>
                <w:highlight w:val="none"/>
                <w:u w:val="double"/>
              </w:rPr>
              <w:t>提供法定代表人</w:t>
            </w:r>
            <w:r>
              <w:rPr>
                <w:rFonts w:ascii="宋体" w:hAnsi="宋体" w:cs="宋体" w:hint="eastAsia"/>
                <w:b/>
                <w:bCs/>
                <w:color w:val="auto"/>
                <w:sz w:val="21"/>
                <w:szCs w:val="21"/>
                <w:highlight w:val="none"/>
                <w:u w:val="double"/>
                <w:lang w:eastAsia="zh-CN"/>
              </w:rPr>
              <w:t>（如是联合体投标的，须提供各方的）</w:t>
            </w:r>
            <w:r>
              <w:rPr>
                <w:rFonts w:ascii="宋体" w:eastAsia="宋体" w:hAnsi="宋体" w:cs="宋体" w:hint="eastAsia"/>
                <w:b/>
                <w:bCs/>
                <w:color w:val="auto"/>
                <w:sz w:val="21"/>
                <w:szCs w:val="21"/>
                <w:highlight w:val="none"/>
                <w:u w:val="double"/>
              </w:rPr>
              <w:t>、主要经营负责人</w:t>
            </w:r>
            <w:r>
              <w:rPr>
                <w:rFonts w:ascii="宋体" w:eastAsia="宋体" w:hAnsi="宋体" w:cs="宋体" w:hint="eastAsia"/>
                <w:b/>
                <w:bCs/>
                <w:color w:val="auto"/>
                <w:sz w:val="21"/>
                <w:szCs w:val="21"/>
                <w:highlight w:val="none"/>
                <w:u w:val="double"/>
                <w:lang w:eastAsia="zh-CN"/>
              </w:rPr>
              <w:t>（如是联合体投标的，须提供各方的）</w:t>
            </w:r>
            <w:r>
              <w:rPr>
                <w:rFonts w:ascii="宋体" w:eastAsia="宋体" w:hAnsi="宋体" w:cs="宋体" w:hint="eastAsia"/>
                <w:b/>
                <w:bCs/>
                <w:color w:val="auto"/>
                <w:sz w:val="21"/>
                <w:szCs w:val="21"/>
                <w:highlight w:val="none"/>
                <w:u w:val="double"/>
              </w:rPr>
              <w:t>、项目投标授权代表人、项目负责人、主要技术人员</w:t>
            </w:r>
            <w:r>
              <w:rPr>
                <w:rFonts w:ascii="宋体" w:eastAsia="宋体" w:hAnsi="宋体" w:cs="宋体" w:hint="eastAsia"/>
                <w:b/>
                <w:bCs/>
                <w:color w:val="auto"/>
                <w:sz w:val="21"/>
                <w:szCs w:val="21"/>
                <w:highlight w:val="none"/>
                <w:u w:val="double"/>
                <w:lang w:eastAsia="zh-CN"/>
              </w:rPr>
              <w:t>最近一个月的</w:t>
            </w:r>
            <w:r>
              <w:rPr>
                <w:rFonts w:ascii="宋体" w:eastAsia="宋体" w:hAnsi="宋体" w:cs="宋体" w:hint="eastAsia"/>
                <w:b/>
                <w:bCs/>
                <w:color w:val="auto"/>
                <w:sz w:val="21"/>
                <w:szCs w:val="21"/>
                <w:highlight w:val="none"/>
                <w:u w:val="double"/>
              </w:rPr>
              <w:t>社会保险证明</w:t>
            </w:r>
            <w:r>
              <w:rPr>
                <w:rFonts w:ascii="宋体" w:eastAsia="宋体" w:hAnsi="宋体" w:cs="宋体" w:hint="eastAsia"/>
                <w:b/>
                <w:bCs/>
                <w:color w:val="auto"/>
                <w:sz w:val="21"/>
                <w:szCs w:val="21"/>
                <w:highlight w:val="none"/>
                <w:u w:val="double"/>
                <w:lang w:eastAsia="zh-CN"/>
              </w:rPr>
              <w:t>。</w:t>
            </w:r>
          </w:p>
          <w:p>
            <w:pPr>
              <w:rPr>
                <w:rFonts w:ascii="宋体" w:eastAsia="宋体" w:hAnsi="宋体" w:cs="宋体" w:hint="eastAsia"/>
                <w:color w:val="auto"/>
                <w:sz w:val="21"/>
                <w:szCs w:val="21"/>
                <w:highlight w:val="none"/>
              </w:rPr>
            </w:pPr>
            <w:r>
              <w:rPr>
                <w:rFonts w:ascii="宋体" w:eastAsia="宋体" w:hAnsi="宋体" w:cs="宋体" w:hint="eastAsia"/>
                <w:b w:val="0"/>
                <w:bCs w:val="0"/>
                <w:color w:val="auto"/>
                <w:sz w:val="21"/>
                <w:szCs w:val="21"/>
                <w:highlight w:val="none"/>
                <w:u w:val="none"/>
                <w:lang w:eastAsia="zh-CN"/>
              </w:rPr>
              <w:t>注：</w:t>
            </w:r>
            <w:r>
              <w:rPr>
                <w:rFonts w:ascii="宋体" w:eastAsia="宋体" w:hAnsi="宋体" w:cs="宋体" w:hint="eastAsia"/>
                <w:color w:val="auto"/>
                <w:sz w:val="21"/>
                <w:szCs w:val="21"/>
                <w:highlight w:val="none"/>
              </w:rPr>
              <w:t>由于社保部门或税务部门原因最近一个月的社保证明无法提供的可往前顺延一个月</w:t>
            </w:r>
            <w:r>
              <w:rPr>
                <w:rFonts w:ascii="宋体" w:eastAsia="宋体" w:hAnsi="宋体" w:cs="宋体" w:hint="eastAsia"/>
                <w:color w:val="auto"/>
                <w:sz w:val="21"/>
                <w:szCs w:val="21"/>
                <w:highlight w:val="none"/>
                <w:lang w:eastAsia="zh-CN"/>
              </w:rPr>
              <w:t>；如投标人为新成立企业且成立时间不足一个月可提供加盖投标人公章的情况说明或者证明材料亦视为符合；如依法不需要缴纳社会保险的，应提供相应文件证明</w:t>
            </w:r>
            <w:r>
              <w:rPr>
                <w:rFonts w:ascii="宋体" w:hAnsi="宋体" w:cs="宋体" w:hint="eastAsia"/>
                <w:color w:val="auto"/>
                <w:sz w:val="21"/>
                <w:szCs w:val="21"/>
                <w:highlight w:val="none"/>
                <w:lang w:eastAsia="zh-CN"/>
              </w:rPr>
              <w:t>；</w:t>
            </w:r>
            <w:r>
              <w:rPr>
                <w:rFonts w:hint="eastAsia"/>
                <w:color w:val="auto"/>
                <w:sz w:val="21"/>
                <w:szCs w:val="21"/>
                <w:highlight w:val="none"/>
              </w:rPr>
              <w:t>如为退休返聘人员提供退休证明和聘用合同。</w:t>
            </w:r>
            <w:r>
              <w:rPr>
                <w:rFonts w:ascii="宋体" w:eastAsia="宋体" w:hAnsi="宋体" w:cs="宋体" w:hint="eastAsia"/>
                <w:color w:val="auto"/>
                <w:sz w:val="21"/>
                <w:szCs w:val="21"/>
                <w:highlight w:val="none"/>
              </w:rPr>
              <w:t>如本项目未安排项目投标授权代表人、项目负责人、主要技术人员的，无需提供投标授权代表人、项目负责人、主要技术人员的社会保险证明</w:t>
            </w:r>
            <w:r>
              <w:rPr>
                <w:rFonts w:ascii="宋体" w:eastAsia="宋体" w:hAnsi="宋体" w:cs="宋体" w:hint="eastAsia"/>
                <w:color w:val="auto"/>
                <w:sz w:val="21"/>
                <w:szCs w:val="21"/>
                <w:highlight w:val="none"/>
                <w:lang w:eastAsia="zh-CN"/>
              </w:rPr>
              <w:t>。</w:t>
            </w:r>
          </w:p>
        </w:tc>
      </w:tr>
      <w:tr>
        <w:tblPrEx>
          <w:tblW w:w="9719" w:type="dxa"/>
          <w:jc w:val="center"/>
          <w:tblLayout w:type="fixed"/>
          <w:tblCellMar>
            <w:top w:w="0" w:type="dxa"/>
            <w:left w:w="108" w:type="dxa"/>
            <w:bottom w:w="0" w:type="dxa"/>
            <w:right w:w="108" w:type="dxa"/>
          </w:tblCellMar>
        </w:tblPrEx>
        <w:trPr>
          <w:trHeight w:val="660"/>
          <w:jc w:val="center"/>
        </w:trPr>
        <w:tc>
          <w:tcPr>
            <w:tcW w:w="9719" w:type="dxa"/>
            <w:gridSpan w:val="2"/>
            <w:tcBorders>
              <w:left w:val="single" w:sz="12" w:space="0" w:color="auto"/>
              <w:bottom w:val="single" w:sz="12" w:space="0" w:color="auto"/>
              <w:right w:val="single" w:sz="12" w:space="0" w:color="auto"/>
            </w:tcBorders>
            <w:vAlign w:val="center"/>
          </w:tcPr>
          <w:p>
            <w:pPr>
              <w:snapToGrid w:val="0"/>
              <w:rPr>
                <w:rFonts w:ascii="宋体" w:hAnsi="宋体"/>
                <w:color w:val="000000"/>
                <w:sz w:val="21"/>
                <w:szCs w:val="21"/>
              </w:rPr>
            </w:pPr>
            <w:r>
              <w:rPr>
                <w:rFonts w:ascii="宋体" w:hAnsi="宋体" w:hint="eastAsia"/>
                <w:bCs/>
                <w:color w:val="000000"/>
                <w:sz w:val="21"/>
                <w:szCs w:val="21"/>
              </w:rPr>
              <w:t>备注：</w:t>
            </w:r>
          </w:p>
          <w:p>
            <w:pPr>
              <w:snapToGrid w:val="0"/>
              <w:rPr>
                <w:rFonts w:ascii="宋体" w:hAnsi="宋体" w:cs="宋体"/>
                <w:sz w:val="21"/>
                <w:szCs w:val="21"/>
              </w:rPr>
            </w:pPr>
            <w:r>
              <w:rPr>
                <w:rFonts w:ascii="宋体" w:hAnsi="宋体" w:hint="eastAsia"/>
                <w:color w:val="000000"/>
                <w:sz w:val="21"/>
                <w:szCs w:val="21"/>
              </w:rPr>
              <w:t>响应供应</w:t>
            </w:r>
            <w:r>
              <w:rPr>
                <w:rFonts w:ascii="宋体" w:hAnsi="宋体" w:hint="eastAsia"/>
                <w:sz w:val="21"/>
                <w:szCs w:val="21"/>
              </w:rPr>
              <w:t>商必须严格按照资格、符合性评审条款的要求如实提供证明材料，对缺漏和不符合项将直接导致无效投标。</w:t>
            </w:r>
          </w:p>
        </w:tc>
      </w:tr>
    </w:tbl>
    <w:p>
      <w:pPr>
        <w:rPr>
          <w:rFonts w:hint="eastAsia"/>
          <w:b/>
          <w:bCs/>
          <w:sz w:val="28"/>
          <w:szCs w:val="28"/>
        </w:rPr>
      </w:pPr>
      <w:bookmarkStart w:id="59" w:name="_Toc502845064"/>
      <w:bookmarkStart w:id="60" w:name="_Toc10543"/>
      <w:bookmarkStart w:id="61" w:name="_Toc50736470"/>
      <w:bookmarkStart w:id="62" w:name="_Toc50737290"/>
      <w:bookmarkStart w:id="63" w:name="_Toc50691023"/>
      <w:bookmarkStart w:id="64" w:name="_Toc50737322"/>
      <w:bookmarkStart w:id="65" w:name="_Toc87417452"/>
      <w:r>
        <w:rPr>
          <w:rFonts w:hint="eastAsia"/>
          <w:b/>
          <w:bCs/>
          <w:sz w:val="28"/>
          <w:szCs w:val="28"/>
        </w:rPr>
        <w:br w:type="page"/>
      </w:r>
    </w:p>
    <w:p>
      <w:pPr>
        <w:adjustRightInd w:val="0"/>
        <w:snapToGrid w:val="0"/>
        <w:spacing w:before="156" w:beforeLines="50" w:after="156" w:afterLines="50" w:line="360" w:lineRule="auto"/>
        <w:jc w:val="center"/>
        <w:outlineLvl w:val="0"/>
        <w:rPr>
          <w:rFonts w:ascii="宋体" w:hAnsi="宋体"/>
          <w:color w:val="000000"/>
        </w:rPr>
      </w:pPr>
      <w:bookmarkStart w:id="66" w:name="_Toc256000003"/>
      <w:r>
        <w:rPr>
          <w:rFonts w:hint="eastAsia"/>
          <w:b/>
          <w:bCs/>
          <w:sz w:val="28"/>
          <w:szCs w:val="28"/>
        </w:rPr>
        <w:t>第四章  用户需求书</w:t>
      </w:r>
      <w:bookmarkEnd w:id="66"/>
      <w:bookmarkEnd w:id="59"/>
      <w:bookmarkEnd w:id="60"/>
    </w:p>
    <w:p>
      <w:pPr>
        <w:pStyle w:val="PlainText"/>
        <w:numPr>
          <w:ilvl w:val="0"/>
          <w:numId w:val="7"/>
        </w:numPr>
        <w:tabs>
          <w:tab w:val="left" w:pos="540"/>
        </w:tabs>
        <w:adjustRightInd w:val="0"/>
        <w:snapToGrid w:val="0"/>
        <w:spacing w:line="360" w:lineRule="auto"/>
        <w:rPr>
          <w:rFonts w:hAnsi="宋体"/>
          <w:b/>
          <w:bCs/>
          <w:szCs w:val="21"/>
        </w:rPr>
      </w:pPr>
      <w:r>
        <w:rPr>
          <w:rFonts w:hAnsi="宋体" w:hint="eastAsia"/>
          <w:b/>
        </w:rPr>
        <w:t>有</w:t>
      </w:r>
      <w:r>
        <w:rPr>
          <w:rFonts w:hAnsi="宋体" w:hint="eastAsia"/>
          <w:b/>
          <w:szCs w:val="21"/>
        </w:rPr>
        <w:t>关说明：</w:t>
      </w:r>
    </w:p>
    <w:p>
      <w:pPr>
        <w:numPr>
          <w:ilvl w:val="0"/>
          <w:numId w:val="8"/>
        </w:numPr>
        <w:tabs>
          <w:tab w:val="clear" w:pos="420"/>
          <w:tab w:val="left" w:pos="709"/>
        </w:tabs>
        <w:adjustRightInd w:val="0"/>
        <w:snapToGrid w:val="0"/>
        <w:spacing w:line="360" w:lineRule="auto"/>
        <w:ind w:left="709" w:hanging="709"/>
        <w:rPr>
          <w:rFonts w:ascii="宋体" w:eastAsia="宋体" w:hAnsi="宋体" w:cs="宋体" w:hint="eastAsia"/>
          <w:bCs/>
          <w:color w:val="auto"/>
          <w:sz w:val="21"/>
          <w:szCs w:val="21"/>
        </w:rPr>
      </w:pPr>
      <w:r>
        <w:rPr>
          <w:rFonts w:ascii="宋体" w:eastAsia="宋体" w:hAnsi="宋体" w:cs="宋体" w:hint="eastAsia"/>
          <w:color w:val="auto"/>
          <w:sz w:val="21"/>
          <w:szCs w:val="21"/>
        </w:rPr>
        <w:t>响应供应商须对本项目的采购标的进行整体响应，任何只对本项目采购标的其中一部分内容、数量进行的响应都被视为无效响应。</w:t>
      </w:r>
    </w:p>
    <w:p>
      <w:pPr>
        <w:numPr>
          <w:ilvl w:val="0"/>
          <w:numId w:val="8"/>
        </w:numPr>
        <w:tabs>
          <w:tab w:val="clear" w:pos="420"/>
          <w:tab w:val="left" w:pos="709"/>
        </w:tabs>
        <w:adjustRightInd w:val="0"/>
        <w:snapToGrid w:val="0"/>
        <w:spacing w:line="360" w:lineRule="auto"/>
        <w:ind w:left="709" w:hanging="709"/>
        <w:rPr>
          <w:rFonts w:ascii="宋体" w:hAnsi="宋体"/>
          <w:bCs/>
          <w:color w:val="auto"/>
        </w:rPr>
      </w:pPr>
      <w:r>
        <w:rPr>
          <w:rFonts w:ascii="宋体" w:hAnsi="宋体" w:hint="eastAsia"/>
          <w:color w:val="auto"/>
        </w:rPr>
        <w:t>采购需求中标注</w:t>
      </w:r>
      <w:r>
        <w:rPr>
          <w:rFonts w:ascii="宋体" w:hAnsi="宋体"/>
          <w:color w:val="auto"/>
        </w:rPr>
        <w:t>“</w:t>
      </w:r>
      <w:r>
        <w:rPr>
          <w:rFonts w:ascii="宋体" w:hAnsi="宋体" w:hint="eastAsia"/>
          <w:color w:val="auto"/>
        </w:rPr>
        <w:t>★</w:t>
      </w:r>
      <w:r>
        <w:rPr>
          <w:rFonts w:ascii="宋体" w:hAnsi="宋体"/>
          <w:color w:val="auto"/>
        </w:rPr>
        <w:t>”</w:t>
      </w:r>
      <w:r>
        <w:rPr>
          <w:rFonts w:ascii="宋体" w:hAnsi="宋体" w:hint="eastAsia"/>
          <w:color w:val="auto"/>
        </w:rPr>
        <w:t>号条款为实质性条款，必须逐条进行响应，有任何一条负偏离的，将导致</w:t>
      </w:r>
      <w:r>
        <w:rPr>
          <w:rFonts w:ascii="宋体" w:hAnsi="宋体" w:hint="eastAsia"/>
          <w:b/>
          <w:bCs/>
          <w:color w:val="auto"/>
        </w:rPr>
        <w:t>响应无效</w:t>
      </w:r>
      <w:r>
        <w:rPr>
          <w:rFonts w:ascii="宋体" w:hAnsi="宋体" w:hint="eastAsia"/>
          <w:color w:val="auto"/>
        </w:rPr>
        <w:t>。</w:t>
      </w:r>
    </w:p>
    <w:p>
      <w:pPr>
        <w:numPr>
          <w:ilvl w:val="0"/>
          <w:numId w:val="8"/>
        </w:numPr>
        <w:tabs>
          <w:tab w:val="clear" w:pos="420"/>
          <w:tab w:val="left" w:pos="709"/>
        </w:tabs>
        <w:adjustRightInd w:val="0"/>
        <w:snapToGrid w:val="0"/>
        <w:spacing w:line="360" w:lineRule="auto"/>
        <w:ind w:left="709" w:hanging="709"/>
        <w:rPr>
          <w:rFonts w:hAnsi="宋体"/>
          <w:b/>
          <w:bCs/>
          <w:color w:val="auto"/>
          <w:szCs w:val="21"/>
          <w:u w:val="single"/>
        </w:rPr>
      </w:pPr>
      <w:r>
        <w:rPr>
          <w:rFonts w:ascii="宋体" w:hAnsi="宋体" w:hint="eastAsia"/>
          <w:color w:val="auto"/>
        </w:rPr>
        <w:t>采购需求中标注</w:t>
      </w:r>
      <w:r>
        <w:rPr>
          <w:rFonts w:ascii="宋体" w:hAnsi="宋体"/>
          <w:color w:val="auto"/>
        </w:rPr>
        <w:t>“</w:t>
      </w:r>
      <w:r>
        <w:rPr>
          <w:rFonts w:ascii="宋体" w:hAnsi="宋体" w:hint="eastAsia"/>
          <w:color w:val="auto"/>
        </w:rPr>
        <w:t>▲</w:t>
      </w:r>
      <w:r>
        <w:rPr>
          <w:rFonts w:ascii="宋体" w:hAnsi="宋体"/>
          <w:color w:val="auto"/>
        </w:rPr>
        <w:t>”</w:t>
      </w:r>
      <w:r>
        <w:rPr>
          <w:rFonts w:ascii="宋体" w:hAnsi="宋体" w:hint="eastAsia"/>
          <w:color w:val="auto"/>
        </w:rPr>
        <w:t>号条款为重要技术参数，但不作为无效响应条款。</w:t>
      </w:r>
    </w:p>
    <w:p>
      <w:pPr>
        <w:pStyle w:val="PlainText"/>
        <w:numPr>
          <w:ilvl w:val="0"/>
          <w:numId w:val="7"/>
        </w:numPr>
        <w:tabs>
          <w:tab w:val="left" w:pos="540"/>
        </w:tabs>
        <w:adjustRightInd w:val="0"/>
        <w:snapToGrid w:val="0"/>
        <w:spacing w:line="360" w:lineRule="auto"/>
        <w:rPr>
          <w:rFonts w:hAnsi="宋体"/>
          <w:b/>
          <w:bCs/>
          <w:sz w:val="21"/>
          <w:szCs w:val="21"/>
        </w:rPr>
      </w:pPr>
      <w:r>
        <w:rPr>
          <w:rFonts w:hAnsi="宋体" w:hint="eastAsia"/>
          <w:b/>
          <w:sz w:val="21"/>
          <w:szCs w:val="21"/>
        </w:rPr>
        <w:t>采购项目一览表</w:t>
      </w:r>
    </w:p>
    <w:tbl>
      <w:tblPr>
        <w:tblStyle w:val="TableNormal"/>
        <w:tblW w:w="4795" w:type="pct"/>
        <w:tblInd w:w="39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tblGrid>
        <w:gridCol w:w="1682"/>
        <w:gridCol w:w="1135"/>
        <w:gridCol w:w="2254"/>
        <w:gridCol w:w="2563"/>
        <w:gridCol w:w="1920"/>
      </w:tblGrid>
      <w:tr>
        <w:tblPrEx>
          <w:tblW w:w="4795" w:type="pct"/>
          <w:tblInd w:w="39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Ex>
        <w:trPr>
          <w:cantSplit/>
          <w:trHeight w:val="575"/>
        </w:trPr>
        <w:tc>
          <w:tcPr>
            <w:tcW w:w="880" w:type="pct"/>
            <w:tcBorders>
              <w:top w:val="single" w:sz="4" w:space="0" w:color="auto"/>
              <w:left w:val="single" w:sz="4" w:space="0" w:color="auto"/>
              <w:bottom w:val="single" w:sz="4" w:space="0" w:color="auto"/>
              <w:right w:val="single" w:sz="4" w:space="0" w:color="auto"/>
            </w:tcBorders>
            <w:shd w:val="clear" w:color="auto" w:fill="EEECE1"/>
            <w:vAlign w:val="center"/>
          </w:tcPr>
          <w:p>
            <w:pPr>
              <w:adjustRightInd w:val="0"/>
              <w:snapToGrid w:val="0"/>
              <w:jc w:val="center"/>
              <w:rPr>
                <w:rFonts w:ascii="宋体" w:eastAsia="宋体" w:hAnsi="宋体" w:cs="宋体" w:hint="eastAsia"/>
                <w:b/>
                <w:sz w:val="21"/>
                <w:szCs w:val="21"/>
              </w:rPr>
            </w:pPr>
            <w:r>
              <w:rPr>
                <w:rFonts w:ascii="宋体" w:eastAsia="宋体" w:hAnsi="宋体" w:cs="宋体" w:hint="eastAsia"/>
                <w:b/>
                <w:sz w:val="21"/>
                <w:szCs w:val="21"/>
              </w:rPr>
              <w:t>采购内容</w:t>
            </w:r>
          </w:p>
        </w:tc>
        <w:tc>
          <w:tcPr>
            <w:tcW w:w="594" w:type="pct"/>
            <w:tcBorders>
              <w:top w:val="single" w:sz="4" w:space="0" w:color="auto"/>
              <w:left w:val="single" w:sz="4" w:space="0" w:color="auto"/>
              <w:bottom w:val="single" w:sz="4" w:space="0" w:color="auto"/>
              <w:right w:val="single" w:sz="4" w:space="0" w:color="auto"/>
            </w:tcBorders>
            <w:shd w:val="clear" w:color="auto" w:fill="EEECE1"/>
            <w:vAlign w:val="center"/>
          </w:tcPr>
          <w:p>
            <w:pPr>
              <w:adjustRightInd w:val="0"/>
              <w:snapToGrid w:val="0"/>
              <w:jc w:val="center"/>
              <w:rPr>
                <w:rFonts w:ascii="宋体" w:eastAsia="宋体" w:hAnsi="宋体" w:cs="宋体" w:hint="eastAsia"/>
                <w:b/>
                <w:sz w:val="21"/>
                <w:szCs w:val="21"/>
              </w:rPr>
            </w:pPr>
            <w:r>
              <w:rPr>
                <w:rFonts w:ascii="宋体" w:eastAsia="宋体" w:hAnsi="宋体" w:cs="宋体" w:hint="eastAsia"/>
                <w:b/>
                <w:sz w:val="21"/>
                <w:szCs w:val="21"/>
              </w:rPr>
              <w:t>数量</w:t>
            </w:r>
          </w:p>
        </w:tc>
        <w:tc>
          <w:tcPr>
            <w:tcW w:w="1179" w:type="pct"/>
            <w:tcBorders>
              <w:top w:val="single" w:sz="4" w:space="0" w:color="auto"/>
              <w:left w:val="single" w:sz="4" w:space="0" w:color="auto"/>
              <w:bottom w:val="single" w:sz="4" w:space="0" w:color="auto"/>
              <w:right w:val="single" w:sz="4" w:space="0" w:color="auto"/>
            </w:tcBorders>
            <w:shd w:val="clear" w:color="auto" w:fill="EEECE1"/>
            <w:vAlign w:val="center"/>
          </w:tcPr>
          <w:p>
            <w:pPr>
              <w:adjustRightInd w:val="0"/>
              <w:snapToGrid w:val="0"/>
              <w:jc w:val="center"/>
              <w:rPr>
                <w:rFonts w:ascii="宋体" w:eastAsia="宋体" w:hAnsi="宋体" w:cs="宋体" w:hint="eastAsia"/>
                <w:b/>
                <w:sz w:val="21"/>
                <w:szCs w:val="21"/>
              </w:rPr>
            </w:pPr>
            <w:r>
              <w:rPr>
                <w:rFonts w:ascii="宋体" w:eastAsia="宋体" w:hAnsi="宋体" w:cs="宋体" w:hint="eastAsia"/>
                <w:b/>
                <w:sz w:val="21"/>
                <w:szCs w:val="21"/>
              </w:rPr>
              <w:t>最高限价</w:t>
            </w:r>
          </w:p>
          <w:p>
            <w:pPr>
              <w:adjustRightInd w:val="0"/>
              <w:snapToGrid w:val="0"/>
              <w:rPr>
                <w:rFonts w:ascii="宋体" w:eastAsia="宋体" w:hAnsi="宋体" w:cs="宋体" w:hint="eastAsia"/>
                <w:b/>
                <w:sz w:val="21"/>
                <w:szCs w:val="21"/>
              </w:rPr>
            </w:pPr>
            <w:r>
              <w:rPr>
                <w:rFonts w:ascii="宋体" w:eastAsia="宋体" w:hAnsi="宋体" w:cs="宋体" w:hint="eastAsia"/>
                <w:b/>
                <w:sz w:val="21"/>
                <w:szCs w:val="21"/>
              </w:rPr>
              <w:t>（人民币  元）</w:t>
            </w:r>
          </w:p>
        </w:tc>
        <w:tc>
          <w:tcPr>
            <w:tcW w:w="1341" w:type="pct"/>
            <w:tcBorders>
              <w:top w:val="single" w:sz="4" w:space="0" w:color="auto"/>
              <w:left w:val="single" w:sz="4" w:space="0" w:color="auto"/>
              <w:bottom w:val="single" w:sz="4" w:space="0" w:color="auto"/>
              <w:right w:val="single" w:sz="4" w:space="0" w:color="auto"/>
            </w:tcBorders>
            <w:shd w:val="clear" w:color="auto" w:fill="EEECE1"/>
            <w:vAlign w:val="center"/>
          </w:tcPr>
          <w:p>
            <w:pPr>
              <w:adjustRightInd w:val="0"/>
              <w:snapToGrid w:val="0"/>
              <w:jc w:val="center"/>
              <w:rPr>
                <w:rFonts w:ascii="宋体" w:eastAsia="宋体" w:hAnsi="宋体" w:cs="宋体" w:hint="eastAsia"/>
                <w:b/>
                <w:sz w:val="21"/>
                <w:szCs w:val="21"/>
              </w:rPr>
            </w:pPr>
            <w:r>
              <w:rPr>
                <w:rFonts w:ascii="宋体" w:eastAsia="宋体" w:hAnsi="宋体" w:cs="宋体" w:hint="eastAsia"/>
                <w:b/>
                <w:sz w:val="21"/>
                <w:szCs w:val="21"/>
              </w:rPr>
              <w:t>主要标的</w:t>
            </w:r>
          </w:p>
        </w:tc>
        <w:tc>
          <w:tcPr>
            <w:tcW w:w="1004" w:type="pct"/>
            <w:tcBorders>
              <w:top w:val="single" w:sz="4" w:space="0" w:color="auto"/>
              <w:left w:val="single" w:sz="4" w:space="0" w:color="auto"/>
              <w:bottom w:val="single" w:sz="4" w:space="0" w:color="auto"/>
              <w:right w:val="single" w:sz="4" w:space="0" w:color="auto"/>
            </w:tcBorders>
            <w:shd w:val="clear" w:color="auto" w:fill="EEECE1"/>
            <w:vAlign w:val="center"/>
          </w:tcPr>
          <w:p>
            <w:pPr>
              <w:snapToGrid w:val="0"/>
              <w:jc w:val="center"/>
              <w:rPr>
                <w:rFonts w:ascii="宋体" w:eastAsia="宋体" w:hAnsi="宋体" w:cs="宋体" w:hint="eastAsia"/>
                <w:b/>
                <w:sz w:val="21"/>
                <w:szCs w:val="21"/>
              </w:rPr>
            </w:pPr>
            <w:r>
              <w:rPr>
                <w:rFonts w:ascii="宋体" w:eastAsia="宋体" w:hAnsi="宋体" w:cs="宋体" w:hint="eastAsia"/>
                <w:b/>
                <w:sz w:val="21"/>
                <w:szCs w:val="21"/>
              </w:rPr>
              <w:t>允许采购</w:t>
            </w:r>
          </w:p>
          <w:p>
            <w:pPr>
              <w:adjustRightInd w:val="0"/>
              <w:snapToGrid w:val="0"/>
              <w:jc w:val="center"/>
              <w:rPr>
                <w:rFonts w:ascii="宋体" w:eastAsia="宋体" w:hAnsi="宋体" w:cs="宋体" w:hint="eastAsia"/>
                <w:b/>
                <w:sz w:val="21"/>
                <w:szCs w:val="21"/>
              </w:rPr>
            </w:pPr>
            <w:r>
              <w:rPr>
                <w:rFonts w:ascii="宋体" w:eastAsia="宋体" w:hAnsi="宋体" w:cs="宋体" w:hint="eastAsia"/>
                <w:b/>
                <w:sz w:val="21"/>
                <w:szCs w:val="21"/>
              </w:rPr>
              <w:t>进口产品</w:t>
            </w:r>
          </w:p>
        </w:tc>
      </w:tr>
      <w:tr>
        <w:tblPrEx>
          <w:tblW w:w="4795" w:type="pct"/>
          <w:tblInd w:w="395" w:type="dxa"/>
          <w:tblCellMar>
            <w:top w:w="0" w:type="dxa"/>
            <w:left w:w="108" w:type="dxa"/>
            <w:bottom w:w="0" w:type="dxa"/>
            <w:right w:w="108" w:type="dxa"/>
          </w:tblCellMar>
        </w:tblPrEx>
        <w:trPr>
          <w:cantSplit/>
          <w:trHeight w:val="1008"/>
        </w:trPr>
        <w:tc>
          <w:tcPr>
            <w:tcW w:w="880"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bCs/>
                <w:color w:val="595959" w:themeColor="text1" w:themeTint="A6"/>
                <w:sz w:val="21"/>
                <w:szCs w:val="21"/>
                <w14:textFill>
                  <w14:solidFill>
                    <w14:schemeClr w14:val="tx1">
                      <w14:lumMod w14:val="65000"/>
                      <w14:lumOff w14:val="35000"/>
                    </w14:schemeClr>
                  </w14:solidFill>
                </w14:textFill>
              </w:rPr>
            </w:pPr>
            <w:r>
              <w:rPr>
                <w:rFonts w:ascii="宋体" w:eastAsia="宋体" w:hAnsi="宋体" w:cs="宋体" w:hint="eastAsia"/>
                <w:color w:val="auto"/>
                <w:sz w:val="21"/>
                <w:szCs w:val="21"/>
                <w:lang w:eastAsia="zh-CN"/>
              </w:rPr>
              <w:t>污泥原位高效资源化利用系统设计</w:t>
            </w:r>
          </w:p>
        </w:tc>
        <w:tc>
          <w:tcPr>
            <w:tcW w:w="594"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bCs/>
                <w:color w:val="595959" w:themeColor="text1" w:themeTint="A6"/>
                <w:sz w:val="21"/>
                <w:szCs w:val="21"/>
                <w14:textFill>
                  <w14:solidFill>
                    <w14:schemeClr w14:val="tx1">
                      <w14:lumMod w14:val="65000"/>
                      <w14:lumOff w14:val="35000"/>
                    </w14:schemeClr>
                  </w14:solidFill>
                </w14:textFill>
              </w:rPr>
            </w:pPr>
            <w:r>
              <w:rPr>
                <w:rFonts w:ascii="宋体" w:eastAsia="宋体" w:hAnsi="宋体" w:cs="宋体" w:hint="eastAsia"/>
                <w:color w:val="auto"/>
                <w:sz w:val="21"/>
                <w:szCs w:val="21"/>
                <w:lang w:eastAsia="zh-CN"/>
              </w:rPr>
              <w:t>1</w:t>
            </w:r>
            <w:r>
              <w:rPr>
                <w:rFonts w:ascii="宋体" w:eastAsia="宋体" w:hAnsi="宋体" w:cs="宋体" w:hint="eastAsia"/>
                <w:color w:val="auto"/>
                <w:sz w:val="21"/>
                <w:szCs w:val="21"/>
                <w:lang w:val="en-US" w:eastAsia="zh-CN"/>
              </w:rPr>
              <w:t>项</w:t>
            </w:r>
          </w:p>
        </w:tc>
        <w:tc>
          <w:tcPr>
            <w:tcW w:w="1179" w:type="pct"/>
            <w:vMerge w:val="restart"/>
            <w:tcBorders>
              <w:top w:val="single" w:sz="4" w:space="0" w:color="auto"/>
              <w:left w:val="single" w:sz="4" w:space="0" w:color="auto"/>
              <w:right w:val="single" w:sz="4" w:space="0" w:color="auto"/>
            </w:tcBorders>
            <w:vAlign w:val="center"/>
          </w:tcPr>
          <w:p>
            <w:pPr>
              <w:pStyle w:val="a5"/>
              <w:keepNext w:val="0"/>
              <w:snapToGrid w:val="0"/>
              <w:spacing w:before="0" w:after="0" w:line="240" w:lineRule="auto"/>
              <w:rPr>
                <w:rFonts w:ascii="宋体" w:eastAsia="宋体" w:hAnsi="宋体" w:cs="宋体" w:hint="eastAsia"/>
                <w:snapToGrid/>
                <w:color w:val="595959" w:themeColor="text1" w:themeTint="A6"/>
                <w:spacing w:val="0"/>
                <w:kern w:val="2"/>
                <w:sz w:val="21"/>
                <w:szCs w:val="21"/>
                <w14:textFill>
                  <w14:solidFill>
                    <w14:schemeClr w14:val="tx1">
                      <w14:lumMod w14:val="65000"/>
                      <w14:lumOff w14:val="35000"/>
                    </w14:schemeClr>
                  </w14:solidFill>
                </w14:textFill>
              </w:rPr>
            </w:pPr>
            <w:r>
              <w:rPr>
                <w:rFonts w:ascii="宋体" w:eastAsia="宋体" w:hAnsi="宋体" w:cs="宋体" w:hint="eastAsia"/>
                <w:color w:val="auto"/>
                <w:sz w:val="21"/>
                <w:szCs w:val="21"/>
                <w:lang w:eastAsia="zh-CN"/>
              </w:rPr>
              <w:t>2</w:t>
            </w:r>
            <w:r>
              <w:rPr>
                <w:rFonts w:ascii="宋体" w:eastAsia="宋体" w:hAnsi="宋体" w:cs="宋体" w:hint="eastAsia"/>
                <w:color w:val="auto"/>
                <w:sz w:val="21"/>
                <w:szCs w:val="21"/>
                <w:lang w:val="en-US" w:eastAsia="zh-CN"/>
              </w:rPr>
              <w:t>,</w:t>
            </w:r>
            <w:r>
              <w:rPr>
                <w:rFonts w:ascii="宋体" w:eastAsia="宋体" w:hAnsi="宋体" w:cs="宋体" w:hint="eastAsia"/>
                <w:color w:val="auto"/>
                <w:sz w:val="21"/>
                <w:szCs w:val="21"/>
                <w:lang w:eastAsia="zh-CN"/>
              </w:rPr>
              <w:t>300</w:t>
            </w:r>
            <w:r>
              <w:rPr>
                <w:rFonts w:ascii="宋体" w:eastAsia="宋体" w:hAnsi="宋体" w:cs="宋体" w:hint="eastAsia"/>
                <w:color w:val="auto"/>
                <w:sz w:val="21"/>
                <w:szCs w:val="21"/>
                <w:lang w:val="en-US" w:eastAsia="zh-CN"/>
              </w:rPr>
              <w:t>,</w:t>
            </w:r>
            <w:r>
              <w:rPr>
                <w:rFonts w:ascii="宋体" w:eastAsia="宋体" w:hAnsi="宋体" w:cs="宋体" w:hint="eastAsia"/>
                <w:color w:val="auto"/>
                <w:sz w:val="21"/>
                <w:szCs w:val="21"/>
                <w:lang w:eastAsia="zh-CN"/>
              </w:rPr>
              <w:t>000.00</w:t>
            </w:r>
          </w:p>
        </w:tc>
        <w:tc>
          <w:tcPr>
            <w:tcW w:w="1341" w:type="pct"/>
            <w:vMerge w:val="restart"/>
            <w:tcBorders>
              <w:top w:val="single" w:sz="4" w:space="0" w:color="auto"/>
              <w:left w:val="single" w:sz="4" w:space="0" w:color="auto"/>
              <w:right w:val="single" w:sz="4" w:space="0" w:color="auto"/>
            </w:tcBorders>
            <w:vAlign w:val="center"/>
          </w:tcPr>
          <w:p>
            <w:pPr>
              <w:pStyle w:val="a5"/>
              <w:keepNext w:val="0"/>
              <w:snapToGrid w:val="0"/>
              <w:spacing w:before="0" w:after="0" w:line="240" w:lineRule="auto"/>
              <w:rPr>
                <w:rFonts w:ascii="宋体" w:eastAsia="宋体" w:hAnsi="宋体" w:cs="宋体" w:hint="eastAsia"/>
                <w:bCs/>
                <w:snapToGrid/>
                <w:color w:val="595959" w:themeColor="text1" w:themeTint="A6"/>
                <w:spacing w:val="0"/>
                <w:kern w:val="2"/>
                <w:sz w:val="21"/>
                <w:szCs w:val="21"/>
                <w14:textFill>
                  <w14:solidFill>
                    <w14:schemeClr w14:val="tx1">
                      <w14:lumMod w14:val="65000"/>
                      <w14:lumOff w14:val="35000"/>
                    </w14:schemeClr>
                  </w14:solidFill>
                </w14:textFill>
              </w:rPr>
            </w:pPr>
            <w:r>
              <w:rPr>
                <w:rFonts w:ascii="宋体" w:eastAsia="宋体" w:hAnsi="宋体" w:cs="宋体" w:hint="eastAsia"/>
                <w:snapToGrid/>
                <w:color w:val="auto"/>
                <w:spacing w:val="0"/>
                <w:sz w:val="21"/>
                <w:szCs w:val="21"/>
                <w:lang w:val="en-US" w:eastAsia="zh-CN" w:bidi="ar-SA"/>
              </w:rPr>
              <w:t>污泥原位高效资源化利用系统设计、制造和安装调试</w:t>
            </w:r>
          </w:p>
        </w:tc>
        <w:tc>
          <w:tcPr>
            <w:tcW w:w="1004"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b/>
                <w:snapToGrid/>
                <w:color w:val="595959" w:themeColor="text1" w:themeTint="A6"/>
                <w:spacing w:val="0"/>
                <w:kern w:val="2"/>
                <w:sz w:val="21"/>
                <w:szCs w:val="21"/>
                <w:shd w:val="pct10" w:color="auto" w:fill="FFFFFF"/>
                <w14:textFill>
                  <w14:solidFill>
                    <w14:schemeClr w14:val="tx1">
                      <w14:lumMod w14:val="65000"/>
                      <w14:lumOff w14:val="35000"/>
                    </w14:schemeClr>
                  </w14:solidFill>
                </w14:textFill>
              </w:rPr>
            </w:pPr>
            <w:r>
              <w:rPr>
                <w:rFonts w:ascii="宋体" w:eastAsia="宋体" w:hAnsi="宋体" w:cs="宋体" w:hint="eastAsia"/>
                <w:color w:val="auto"/>
                <w:sz w:val="21"/>
                <w:szCs w:val="21"/>
                <w:lang w:val="en-US" w:eastAsia="zh-CN"/>
              </w:rPr>
              <w:t>否</w:t>
            </w:r>
          </w:p>
        </w:tc>
      </w:tr>
      <w:tr>
        <w:tblPrEx>
          <w:tblW w:w="4795" w:type="pct"/>
          <w:tblInd w:w="395" w:type="dxa"/>
          <w:tblCellMar>
            <w:top w:w="0" w:type="dxa"/>
            <w:left w:w="108" w:type="dxa"/>
            <w:bottom w:w="0" w:type="dxa"/>
            <w:right w:w="108" w:type="dxa"/>
          </w:tblCellMar>
        </w:tblPrEx>
        <w:trPr>
          <w:cantSplit/>
          <w:trHeight w:val="954"/>
        </w:trPr>
        <w:tc>
          <w:tcPr>
            <w:tcW w:w="880"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bCs/>
                <w:sz w:val="21"/>
                <w:szCs w:val="21"/>
              </w:rPr>
            </w:pPr>
            <w:r>
              <w:rPr>
                <w:rFonts w:ascii="宋体" w:eastAsia="宋体" w:hAnsi="宋体" w:cs="宋体" w:hint="eastAsia"/>
                <w:color w:val="auto"/>
                <w:sz w:val="21"/>
                <w:szCs w:val="21"/>
                <w:lang w:eastAsia="zh-CN"/>
              </w:rPr>
              <w:t>污泥原位高效资源化利用系统制造</w:t>
            </w:r>
          </w:p>
        </w:tc>
        <w:tc>
          <w:tcPr>
            <w:tcW w:w="594"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bCs/>
                <w:sz w:val="21"/>
                <w:szCs w:val="21"/>
              </w:rPr>
            </w:pPr>
            <w:r>
              <w:rPr>
                <w:rFonts w:ascii="宋体" w:eastAsia="宋体" w:hAnsi="宋体" w:cs="宋体" w:hint="eastAsia"/>
                <w:color w:val="auto"/>
                <w:sz w:val="21"/>
                <w:szCs w:val="21"/>
                <w:lang w:eastAsia="zh-CN"/>
              </w:rPr>
              <w:t>1</w:t>
            </w:r>
            <w:r>
              <w:rPr>
                <w:rFonts w:ascii="宋体" w:eastAsia="宋体" w:hAnsi="宋体" w:cs="宋体" w:hint="eastAsia"/>
                <w:color w:val="auto"/>
                <w:sz w:val="21"/>
                <w:szCs w:val="21"/>
                <w:lang w:val="en-US" w:eastAsia="zh-CN"/>
              </w:rPr>
              <w:t>批</w:t>
            </w:r>
          </w:p>
        </w:tc>
        <w:tc>
          <w:tcPr>
            <w:tcW w:w="1179" w:type="pct"/>
            <w:vMerge/>
            <w:tcBorders>
              <w:left w:val="single" w:sz="4" w:space="0" w:color="auto"/>
              <w:right w:val="single" w:sz="4" w:space="0" w:color="auto"/>
            </w:tcBorders>
            <w:vAlign w:val="center"/>
          </w:tcPr>
          <w:p>
            <w:pPr>
              <w:pStyle w:val="a5"/>
              <w:keepNext w:val="0"/>
              <w:snapToGrid w:val="0"/>
              <w:spacing w:before="0" w:after="0" w:line="240" w:lineRule="auto"/>
              <w:rPr>
                <w:rFonts w:ascii="宋体" w:eastAsia="宋体" w:hAnsi="宋体" w:cs="宋体" w:hint="eastAsia"/>
                <w:snapToGrid/>
                <w:spacing w:val="0"/>
                <w:kern w:val="2"/>
                <w:sz w:val="21"/>
                <w:szCs w:val="21"/>
              </w:rPr>
            </w:pPr>
          </w:p>
        </w:tc>
        <w:tc>
          <w:tcPr>
            <w:tcW w:w="1341" w:type="pct"/>
            <w:vMerge/>
            <w:tcBorders>
              <w:left w:val="single" w:sz="4" w:space="0" w:color="auto"/>
              <w:right w:val="single" w:sz="4" w:space="0" w:color="auto"/>
            </w:tcBorders>
            <w:vAlign w:val="center"/>
          </w:tcPr>
          <w:p>
            <w:pPr>
              <w:pStyle w:val="a5"/>
              <w:keepNext w:val="0"/>
              <w:snapToGrid w:val="0"/>
              <w:spacing w:before="0" w:after="0" w:line="240" w:lineRule="auto"/>
              <w:rPr>
                <w:rFonts w:ascii="宋体" w:eastAsia="宋体" w:hAnsi="宋体" w:cs="宋体" w:hint="eastAsia"/>
                <w:snapToGrid/>
                <w:spacing w:val="0"/>
                <w:kern w:val="2"/>
                <w:sz w:val="21"/>
                <w:szCs w:val="21"/>
              </w:rPr>
            </w:pPr>
          </w:p>
        </w:tc>
        <w:tc>
          <w:tcPr>
            <w:tcW w:w="1004"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snapToGrid/>
                <w:spacing w:val="0"/>
                <w:kern w:val="2"/>
                <w:sz w:val="21"/>
                <w:szCs w:val="21"/>
              </w:rPr>
            </w:pPr>
            <w:r>
              <w:rPr>
                <w:rFonts w:ascii="宋体" w:eastAsia="宋体" w:hAnsi="宋体" w:cs="宋体" w:hint="eastAsia"/>
                <w:color w:val="auto"/>
                <w:sz w:val="21"/>
                <w:szCs w:val="21"/>
                <w:lang w:val="en-US" w:eastAsia="zh-CN"/>
              </w:rPr>
              <w:t>否</w:t>
            </w:r>
          </w:p>
        </w:tc>
      </w:tr>
      <w:tr>
        <w:tblPrEx>
          <w:tblW w:w="4795" w:type="pct"/>
          <w:tblInd w:w="395" w:type="dxa"/>
          <w:tblCellMar>
            <w:top w:w="0" w:type="dxa"/>
            <w:left w:w="108" w:type="dxa"/>
            <w:bottom w:w="0" w:type="dxa"/>
            <w:right w:w="108" w:type="dxa"/>
          </w:tblCellMar>
        </w:tblPrEx>
        <w:trPr>
          <w:cantSplit/>
          <w:trHeight w:val="954"/>
        </w:trPr>
        <w:tc>
          <w:tcPr>
            <w:tcW w:w="880"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bCs/>
                <w:sz w:val="21"/>
                <w:szCs w:val="21"/>
              </w:rPr>
            </w:pPr>
            <w:r>
              <w:rPr>
                <w:rFonts w:ascii="宋体" w:eastAsia="宋体" w:hAnsi="宋体" w:cs="宋体" w:hint="eastAsia"/>
                <w:color w:val="auto"/>
                <w:sz w:val="21"/>
                <w:szCs w:val="21"/>
                <w:lang w:eastAsia="zh-CN"/>
              </w:rPr>
              <w:t>污泥原位高效资源化利用系统安装调试</w:t>
            </w:r>
          </w:p>
        </w:tc>
        <w:tc>
          <w:tcPr>
            <w:tcW w:w="594"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bCs/>
                <w:sz w:val="21"/>
                <w:szCs w:val="21"/>
              </w:rPr>
            </w:pPr>
            <w:r>
              <w:rPr>
                <w:rFonts w:ascii="宋体" w:eastAsia="宋体" w:hAnsi="宋体" w:cs="宋体" w:hint="eastAsia"/>
                <w:color w:val="auto"/>
                <w:sz w:val="21"/>
                <w:szCs w:val="21"/>
                <w:lang w:eastAsia="zh-CN"/>
              </w:rPr>
              <w:t>1</w:t>
            </w:r>
            <w:r>
              <w:rPr>
                <w:rFonts w:ascii="宋体" w:eastAsia="宋体" w:hAnsi="宋体" w:cs="宋体" w:hint="eastAsia"/>
                <w:color w:val="auto"/>
                <w:sz w:val="21"/>
                <w:szCs w:val="21"/>
                <w:lang w:val="en-US" w:eastAsia="zh-CN"/>
              </w:rPr>
              <w:t>项</w:t>
            </w:r>
          </w:p>
        </w:tc>
        <w:tc>
          <w:tcPr>
            <w:tcW w:w="1179" w:type="pct"/>
            <w:vMerge/>
            <w:tcBorders>
              <w:left w:val="single" w:sz="4" w:space="0" w:color="auto"/>
              <w:bottom w:val="single" w:sz="4" w:space="0" w:color="auto"/>
              <w:right w:val="single" w:sz="4" w:space="0" w:color="auto"/>
            </w:tcBorders>
            <w:vAlign w:val="center"/>
          </w:tcPr>
          <w:p>
            <w:pPr>
              <w:pStyle w:val="a5"/>
              <w:keepNext w:val="0"/>
              <w:snapToGrid w:val="0"/>
              <w:spacing w:before="0" w:after="0" w:line="240" w:lineRule="auto"/>
              <w:rPr>
                <w:rFonts w:ascii="宋体" w:eastAsia="宋体" w:hAnsi="宋体" w:cs="宋体" w:hint="eastAsia"/>
                <w:snapToGrid/>
                <w:spacing w:val="0"/>
                <w:kern w:val="2"/>
                <w:sz w:val="21"/>
                <w:szCs w:val="21"/>
              </w:rPr>
            </w:pPr>
          </w:p>
        </w:tc>
        <w:tc>
          <w:tcPr>
            <w:tcW w:w="1341" w:type="pct"/>
            <w:vMerge/>
            <w:tcBorders>
              <w:left w:val="single" w:sz="4" w:space="0" w:color="auto"/>
              <w:bottom w:val="single" w:sz="4" w:space="0" w:color="auto"/>
              <w:right w:val="single" w:sz="4" w:space="0" w:color="auto"/>
            </w:tcBorders>
            <w:vAlign w:val="center"/>
          </w:tcPr>
          <w:p>
            <w:pPr>
              <w:pStyle w:val="a5"/>
              <w:keepNext w:val="0"/>
              <w:snapToGrid w:val="0"/>
              <w:spacing w:before="0" w:after="0" w:line="240" w:lineRule="auto"/>
              <w:rPr>
                <w:rFonts w:ascii="宋体" w:eastAsia="宋体" w:hAnsi="宋体" w:cs="宋体" w:hint="eastAsia"/>
                <w:snapToGrid/>
                <w:spacing w:val="0"/>
                <w:kern w:val="2"/>
                <w:sz w:val="21"/>
                <w:szCs w:val="21"/>
              </w:rPr>
            </w:pPr>
          </w:p>
        </w:tc>
        <w:tc>
          <w:tcPr>
            <w:tcW w:w="1004"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snapToGrid/>
                <w:spacing w:val="0"/>
                <w:kern w:val="2"/>
                <w:sz w:val="21"/>
                <w:szCs w:val="21"/>
              </w:rPr>
            </w:pPr>
            <w:r>
              <w:rPr>
                <w:rFonts w:ascii="宋体" w:eastAsia="宋体" w:hAnsi="宋体" w:cs="宋体" w:hint="eastAsia"/>
                <w:color w:val="auto"/>
                <w:sz w:val="21"/>
                <w:szCs w:val="21"/>
                <w:lang w:val="en-US" w:eastAsia="zh-CN"/>
              </w:rPr>
              <w:t>否</w:t>
            </w:r>
          </w:p>
        </w:tc>
      </w:tr>
    </w:tbl>
    <w:p>
      <w:pPr>
        <w:pStyle w:val="PlainText"/>
        <w:keepNext w:val="0"/>
        <w:keepLines w:val="0"/>
        <w:pageBreakBefore w:val="0"/>
        <w:numPr>
          <w:ilvl w:val="0"/>
          <w:numId w:val="7"/>
        </w:numPr>
        <w:tabs>
          <w:tab w:val="left" w:pos="540"/>
        </w:tabs>
        <w:kinsoku/>
        <w:wordWrap/>
        <w:overflowPunct/>
        <w:topLinePunct w:val="0"/>
        <w:autoSpaceDE/>
        <w:autoSpaceDN/>
        <w:bidi w:val="0"/>
        <w:adjustRightInd w:val="0"/>
        <w:snapToGrid w:val="0"/>
        <w:spacing w:line="360" w:lineRule="auto"/>
        <w:textAlignment w:val="auto"/>
        <w:rPr>
          <w:rFonts w:ascii="宋体" w:eastAsia="宋体" w:hAnsi="宋体" w:cs="宋体" w:hint="eastAsia"/>
          <w:b/>
          <w:sz w:val="21"/>
          <w:szCs w:val="21"/>
        </w:rPr>
      </w:pPr>
      <w:r>
        <w:rPr>
          <w:rFonts w:ascii="宋体" w:eastAsia="宋体" w:hAnsi="宋体" w:cs="宋体" w:hint="eastAsia"/>
          <w:b/>
          <w:sz w:val="21"/>
          <w:szCs w:val="21"/>
        </w:rPr>
        <w:t>技术</w:t>
      </w:r>
      <w:r>
        <w:rPr>
          <w:rFonts w:ascii="宋体" w:eastAsia="宋体" w:hAnsi="宋体" w:cs="宋体" w:hint="eastAsia"/>
          <w:b/>
          <w:sz w:val="21"/>
          <w:szCs w:val="21"/>
          <w:lang w:val="en-US" w:eastAsia="zh-CN"/>
        </w:rPr>
        <w:t>规格</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宋体" w:eastAsia="宋体" w:hAnsi="宋体" w:cs="宋体" w:hint="eastAsia"/>
          <w:b/>
          <w:bCs/>
          <w:sz w:val="21"/>
          <w:szCs w:val="21"/>
        </w:rPr>
      </w:pPr>
      <w:bookmarkStart w:id="67" w:name="_Toc88839303"/>
      <w:bookmarkStart w:id="68" w:name="_Toc88839305"/>
      <w:r>
        <w:rPr>
          <w:rFonts w:ascii="宋体" w:eastAsia="宋体" w:hAnsi="宋体" w:cs="宋体" w:hint="eastAsia"/>
          <w:b/>
          <w:bCs/>
          <w:sz w:val="21"/>
          <w:szCs w:val="21"/>
        </w:rPr>
        <w:t>1．用途</w:t>
      </w:r>
      <w:bookmarkEnd w:id="67"/>
    </w:p>
    <w:p>
      <w:pPr>
        <w:keepNext w:val="0"/>
        <w:keepLines w:val="0"/>
        <w:pageBreakBefore w:val="0"/>
        <w:kinsoku/>
        <w:wordWrap/>
        <w:overflowPunct/>
        <w:topLinePunct w:val="0"/>
        <w:autoSpaceDE/>
        <w:autoSpaceDN/>
        <w:bidi w:val="0"/>
        <w:adjustRightInd w:val="0"/>
        <w:snapToGrid w:val="0"/>
        <w:spacing w:line="360" w:lineRule="auto"/>
        <w:ind w:left="0" w:firstLine="420" w:leftChars="0" w:firstLineChars="200"/>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主要用于</w:t>
      </w:r>
      <w:r>
        <w:rPr>
          <w:rFonts w:ascii="宋体" w:eastAsia="宋体" w:hAnsi="宋体" w:cs="宋体" w:hint="eastAsia"/>
          <w:color w:val="000000"/>
          <w:sz w:val="21"/>
          <w:szCs w:val="21"/>
          <w:lang w:val="en-US" w:eastAsia="zh-CN"/>
        </w:rPr>
        <w:t>将污泥进行连续式亚临界湿式氧化，实现自动进料、自动加气、自动加热，可以对反应</w:t>
      </w:r>
      <w:r>
        <w:rPr>
          <w:rFonts w:ascii="宋体" w:eastAsia="宋体" w:hAnsi="宋体" w:cs="宋体" w:hint="eastAsia"/>
          <w:color w:val="000000"/>
          <w:sz w:val="21"/>
          <w:szCs w:val="21"/>
          <w:highlight w:val="none"/>
          <w:lang w:val="en-US" w:eastAsia="zh-CN"/>
        </w:rPr>
        <w:t>釜内部温度和压力进行控制和调整，对所产生的液体进行降压、降温、换热操作，按照国家和行业标准，设计、制造并安装基于污泥亚临界湿式氧化的成套工艺与装备。包括加气装置、前处理装置、换热装置、剩余物质处理装置及全流程配套的管道和自动控制系统等。</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2.设计要求</w:t>
      </w:r>
    </w:p>
    <w:p>
      <w:pPr>
        <w:keepNext w:val="0"/>
        <w:keepLines w:val="0"/>
        <w:pageBreakBefore w:val="0"/>
        <w:kinsoku/>
        <w:wordWrap/>
        <w:overflowPunct/>
        <w:topLinePunct w:val="0"/>
        <w:autoSpaceDE/>
        <w:autoSpaceDN/>
        <w:bidi w:val="0"/>
        <w:adjustRightInd w:val="0"/>
        <w:snapToGrid w:val="0"/>
        <w:spacing w:line="360" w:lineRule="auto"/>
        <w:ind w:left="0" w:firstLine="420" w:leftChars="0" w:firstLineChars="200"/>
        <w:textAlignment w:val="auto"/>
        <w:rPr>
          <w:rFonts w:ascii="宋体" w:eastAsia="宋体" w:hAnsi="宋体" w:cs="宋体" w:hint="eastAsia"/>
          <w:color w:val="000000"/>
          <w:sz w:val="21"/>
          <w:szCs w:val="21"/>
          <w:lang w:val="en-US" w:eastAsia="zh-CN"/>
        </w:rPr>
      </w:pPr>
      <w:r>
        <w:rPr>
          <w:rFonts w:ascii="宋体" w:eastAsia="宋体" w:hAnsi="宋体" w:cs="宋体" w:hint="eastAsia"/>
          <w:b/>
          <w:bCs/>
          <w:color w:val="000000"/>
          <w:sz w:val="21"/>
          <w:szCs w:val="21"/>
          <w:lang w:val="en-US" w:eastAsia="zh-CN"/>
        </w:rPr>
        <w:t>2.1 具体要求</w:t>
      </w:r>
      <w:r>
        <w:rPr>
          <w:rFonts w:ascii="宋体" w:eastAsia="宋体" w:hAnsi="宋体" w:cs="宋体" w:hint="eastAsia"/>
          <w:color w:val="000000"/>
          <w:sz w:val="21"/>
          <w:szCs w:val="21"/>
          <w:lang w:val="en-US" w:eastAsia="zh-CN"/>
        </w:rPr>
        <w:t>：</w:t>
      </w:r>
    </w:p>
    <w:p>
      <w:pPr>
        <w:keepNext w:val="0"/>
        <w:keepLines w:val="0"/>
        <w:pageBreakBefore w:val="0"/>
        <w:kinsoku/>
        <w:wordWrap/>
        <w:overflowPunct/>
        <w:topLinePunct w:val="0"/>
        <w:autoSpaceDE/>
        <w:autoSpaceDN/>
        <w:bidi w:val="0"/>
        <w:adjustRightInd w:val="0"/>
        <w:snapToGrid w:val="0"/>
        <w:spacing w:line="360" w:lineRule="auto"/>
        <w:ind w:left="0" w:firstLine="420" w:leftChars="0" w:firstLineChars="200"/>
        <w:textAlignment w:val="auto"/>
        <w:rPr>
          <w:rFonts w:ascii="宋体" w:eastAsia="宋体" w:hAnsi="宋体" w:cs="宋体" w:hint="default"/>
          <w:b w:val="0"/>
          <w:bCs w:val="0"/>
          <w:kern w:val="2"/>
          <w:sz w:val="21"/>
          <w:szCs w:val="21"/>
          <w:lang w:val="en-US" w:eastAsia="zh-CN" w:bidi="ar-SA"/>
        </w:rPr>
      </w:pPr>
      <w:r>
        <w:rPr>
          <w:rFonts w:ascii="宋体" w:eastAsia="宋体" w:hAnsi="宋体" w:cs="宋体" w:hint="eastAsia"/>
          <w:b w:val="0"/>
          <w:bCs w:val="0"/>
          <w:kern w:val="2"/>
          <w:sz w:val="21"/>
          <w:szCs w:val="21"/>
          <w:lang w:val="en-US" w:eastAsia="zh-CN" w:bidi="ar-SA"/>
        </w:rPr>
        <w:t>工作温度和压力：工艺内主要设备单元工作温度和压力要求参见</w:t>
      </w:r>
      <w:r>
        <w:rPr>
          <w:rFonts w:ascii="宋体" w:eastAsia="宋体" w:hAnsi="宋体" w:cs="宋体" w:hint="eastAsia"/>
          <w:color w:val="000000"/>
          <w:sz w:val="21"/>
          <w:szCs w:val="21"/>
          <w:highlight w:val="none"/>
          <w:u w:val="none"/>
        </w:rPr>
        <w:t>4．</w:t>
      </w:r>
      <w:r>
        <w:rPr>
          <w:rFonts w:ascii="宋体" w:hAnsi="宋体" w:cs="宋体" w:hint="eastAsia"/>
          <w:color w:val="000000"/>
          <w:sz w:val="21"/>
          <w:szCs w:val="21"/>
          <w:highlight w:val="none"/>
          <w:u w:val="none"/>
          <w:lang w:val="en-US" w:eastAsia="zh-CN"/>
        </w:rPr>
        <w:t>技术参数。</w:t>
      </w:r>
    </w:p>
    <w:p>
      <w:pPr>
        <w:keepNext w:val="0"/>
        <w:keepLines w:val="0"/>
        <w:pageBreakBefore w:val="0"/>
        <w:kinsoku/>
        <w:wordWrap/>
        <w:overflowPunct/>
        <w:topLinePunct w:val="0"/>
        <w:autoSpaceDE/>
        <w:autoSpaceDN/>
        <w:bidi w:val="0"/>
        <w:adjustRightInd w:val="0"/>
        <w:snapToGrid w:val="0"/>
        <w:spacing w:line="360" w:lineRule="auto"/>
        <w:ind w:left="0" w:firstLine="420" w:leftChars="0" w:firstLineChars="200"/>
        <w:textAlignment w:val="auto"/>
        <w:rPr>
          <w:rFonts w:ascii="宋体" w:eastAsia="宋体" w:hAnsi="宋体" w:cs="宋体" w:hint="eastAsia"/>
          <w:b w:val="0"/>
          <w:bCs w:val="0"/>
          <w:kern w:val="2"/>
          <w:sz w:val="21"/>
          <w:szCs w:val="21"/>
          <w:lang w:val="en-US" w:eastAsia="zh-CN" w:bidi="ar-SA"/>
        </w:rPr>
      </w:pPr>
      <w:r>
        <w:rPr>
          <w:rFonts w:ascii="宋体" w:eastAsia="宋体" w:hAnsi="宋体" w:cs="宋体" w:hint="eastAsia"/>
          <w:b w:val="0"/>
          <w:bCs w:val="0"/>
          <w:kern w:val="2"/>
          <w:sz w:val="21"/>
          <w:szCs w:val="21"/>
          <w:lang w:val="en-US" w:eastAsia="zh-CN" w:bidi="ar-SA"/>
        </w:rPr>
        <w:t>功率要求：总功率400kw以内</w:t>
      </w:r>
      <w:r>
        <w:rPr>
          <w:rFonts w:ascii="宋体" w:hAnsi="宋体" w:cs="宋体" w:hint="eastAsia"/>
          <w:b w:val="0"/>
          <w:bCs w:val="0"/>
          <w:kern w:val="2"/>
          <w:sz w:val="21"/>
          <w:szCs w:val="21"/>
          <w:lang w:val="en-US" w:eastAsia="zh-CN" w:bidi="ar-SA"/>
        </w:rPr>
        <w:t>。</w:t>
      </w:r>
      <w:r>
        <w:rPr>
          <w:rFonts w:ascii="宋体" w:eastAsia="宋体" w:hAnsi="宋体" w:cs="宋体" w:hint="eastAsia"/>
          <w:b w:val="0"/>
          <w:bCs w:val="0"/>
          <w:kern w:val="2"/>
          <w:sz w:val="21"/>
          <w:szCs w:val="21"/>
          <w:lang w:val="en-US" w:eastAsia="zh-CN" w:bidi="ar-SA"/>
        </w:rPr>
        <w:t xml:space="preserve">        </w:t>
      </w:r>
    </w:p>
    <w:p>
      <w:pPr>
        <w:pStyle w:val="BodyText"/>
        <w:keepNext w:val="0"/>
        <w:keepLines w:val="0"/>
        <w:pageBreakBefore w:val="0"/>
        <w:kinsoku/>
        <w:wordWrap/>
        <w:overflowPunct/>
        <w:topLinePunct w:val="0"/>
        <w:autoSpaceDE/>
        <w:autoSpaceDN/>
        <w:bidi w:val="0"/>
        <w:adjustRightInd w:val="0"/>
        <w:snapToGrid w:val="0"/>
        <w:spacing w:after="0" w:line="360" w:lineRule="auto"/>
        <w:ind w:left="0" w:firstLine="420" w:leftChars="0" w:firstLineChars="200"/>
        <w:textAlignment w:val="auto"/>
        <w:rPr>
          <w:rFonts w:ascii="宋体" w:eastAsia="宋体" w:hAnsi="宋体" w:cs="宋体" w:hint="eastAsia"/>
          <w:b w:val="0"/>
          <w:bCs w:val="0"/>
          <w:color w:val="auto"/>
          <w:sz w:val="21"/>
          <w:szCs w:val="21"/>
          <w:highlight w:val="none"/>
          <w:lang w:val="en-US" w:eastAsia="zh-CN"/>
        </w:rPr>
      </w:pPr>
      <w:r>
        <w:rPr>
          <w:rFonts w:ascii="宋体" w:eastAsia="宋体" w:hAnsi="宋体" w:cs="宋体" w:hint="eastAsia"/>
          <w:b w:val="0"/>
          <w:bCs w:val="0"/>
          <w:color w:val="auto"/>
          <w:sz w:val="21"/>
          <w:szCs w:val="21"/>
          <w:highlight w:val="none"/>
          <w:lang w:val="en-US" w:eastAsia="zh-CN"/>
        </w:rPr>
        <w:t>场地要求：全部设备占地面积</w:t>
      </w:r>
      <w:r>
        <w:rPr>
          <w:rFonts w:ascii="宋体" w:hAnsi="宋体" w:cs="宋体" w:hint="eastAsia"/>
          <w:b w:val="0"/>
          <w:bCs w:val="0"/>
          <w:color w:val="auto"/>
          <w:sz w:val="21"/>
          <w:szCs w:val="21"/>
          <w:highlight w:val="none"/>
          <w:lang w:val="en-US" w:eastAsia="zh-CN"/>
        </w:rPr>
        <w:t>不超过</w:t>
      </w:r>
      <w:r>
        <w:rPr>
          <w:rFonts w:ascii="宋体" w:eastAsia="宋体" w:hAnsi="宋体" w:cs="宋体" w:hint="eastAsia"/>
          <w:b w:val="0"/>
          <w:bCs w:val="0"/>
          <w:color w:val="auto"/>
          <w:sz w:val="21"/>
          <w:szCs w:val="21"/>
          <w:highlight w:val="none"/>
          <w:lang w:val="en-US" w:eastAsia="zh-CN"/>
        </w:rPr>
        <w:t>120m</w:t>
      </w:r>
      <w:r>
        <w:rPr>
          <w:rFonts w:ascii="宋体" w:eastAsia="宋体" w:hAnsi="宋体" w:cs="宋体" w:hint="eastAsia"/>
          <w:b w:val="0"/>
          <w:bCs w:val="0"/>
          <w:color w:val="auto"/>
          <w:sz w:val="21"/>
          <w:szCs w:val="21"/>
          <w:highlight w:val="none"/>
          <w:vertAlign w:val="superscript"/>
          <w:lang w:val="en-US" w:eastAsia="zh-CN"/>
        </w:rPr>
        <w:t>2</w:t>
      </w:r>
      <w:r>
        <w:rPr>
          <w:rFonts w:ascii="宋体" w:eastAsia="宋体" w:hAnsi="宋体" w:cs="宋体" w:hint="eastAsia"/>
          <w:b w:val="0"/>
          <w:bCs w:val="0"/>
          <w:color w:val="auto"/>
          <w:sz w:val="21"/>
          <w:szCs w:val="21"/>
          <w:highlight w:val="none"/>
          <w:lang w:val="en-US" w:eastAsia="zh-CN"/>
        </w:rPr>
        <w:t>，长度不超过</w:t>
      </w:r>
      <w:r>
        <w:rPr>
          <w:rFonts w:ascii="宋体" w:hAnsi="宋体" w:cs="宋体" w:hint="eastAsia"/>
          <w:b w:val="0"/>
          <w:bCs w:val="0"/>
          <w:color w:val="auto"/>
          <w:sz w:val="21"/>
          <w:szCs w:val="21"/>
          <w:highlight w:val="none"/>
          <w:lang w:val="en-US" w:eastAsia="zh-CN"/>
        </w:rPr>
        <w:t>15</w:t>
      </w:r>
      <w:r>
        <w:rPr>
          <w:rFonts w:ascii="宋体" w:eastAsia="宋体" w:hAnsi="宋体" w:cs="宋体" w:hint="eastAsia"/>
          <w:b w:val="0"/>
          <w:bCs w:val="0"/>
          <w:color w:val="auto"/>
          <w:sz w:val="21"/>
          <w:szCs w:val="21"/>
          <w:highlight w:val="none"/>
          <w:lang w:val="en-US" w:eastAsia="zh-CN"/>
        </w:rPr>
        <w:t>米，宽度不超过</w:t>
      </w:r>
      <w:r>
        <w:rPr>
          <w:rFonts w:ascii="宋体" w:hAnsi="宋体" w:cs="宋体" w:hint="eastAsia"/>
          <w:b w:val="0"/>
          <w:bCs w:val="0"/>
          <w:color w:val="auto"/>
          <w:sz w:val="21"/>
          <w:szCs w:val="21"/>
          <w:highlight w:val="none"/>
          <w:lang w:val="en-US" w:eastAsia="zh-CN"/>
        </w:rPr>
        <w:t>8</w:t>
      </w:r>
      <w:r>
        <w:rPr>
          <w:rFonts w:ascii="宋体" w:eastAsia="宋体" w:hAnsi="宋体" w:cs="宋体" w:hint="eastAsia"/>
          <w:b w:val="0"/>
          <w:bCs w:val="0"/>
          <w:color w:val="auto"/>
          <w:sz w:val="21"/>
          <w:szCs w:val="21"/>
          <w:highlight w:val="none"/>
          <w:lang w:val="en-US" w:eastAsia="zh-CN"/>
        </w:rPr>
        <w:t>米，高度不超过5米（招标结束后根据现场情况具体沟通调整）。</w:t>
      </w:r>
    </w:p>
    <w:p>
      <w:pPr>
        <w:pStyle w:val="BodyText"/>
        <w:keepNext w:val="0"/>
        <w:keepLines w:val="0"/>
        <w:pageBreakBefore w:val="0"/>
        <w:kinsoku/>
        <w:wordWrap/>
        <w:overflowPunct/>
        <w:topLinePunct w:val="0"/>
        <w:autoSpaceDE/>
        <w:autoSpaceDN/>
        <w:bidi w:val="0"/>
        <w:adjustRightInd w:val="0"/>
        <w:snapToGrid w:val="0"/>
        <w:spacing w:after="0" w:line="360" w:lineRule="auto"/>
        <w:ind w:left="0" w:firstLine="420" w:leftChars="0" w:firstLineChars="200"/>
        <w:textAlignment w:val="auto"/>
        <w:rPr>
          <w:rFonts w:ascii="宋体" w:eastAsia="宋体" w:hAnsi="宋体" w:cs="宋体" w:hint="eastAsia"/>
          <w:b w:val="0"/>
          <w:bCs w:val="0"/>
          <w:color w:val="auto"/>
          <w:sz w:val="21"/>
          <w:szCs w:val="21"/>
          <w:highlight w:val="none"/>
          <w:lang w:val="en-US" w:eastAsia="zh-CN"/>
        </w:rPr>
      </w:pPr>
      <w:r>
        <w:rPr>
          <w:rFonts w:ascii="宋体" w:eastAsia="宋体" w:hAnsi="宋体" w:cs="宋体" w:hint="eastAsia"/>
          <w:b w:val="0"/>
          <w:bCs w:val="0"/>
          <w:color w:val="auto"/>
          <w:sz w:val="21"/>
          <w:szCs w:val="21"/>
          <w:highlight w:val="none"/>
          <w:lang w:val="en-US" w:eastAsia="zh-CN"/>
        </w:rPr>
        <w:t>工作介质：流动相污泥（内含有机质、水、砂等）</w:t>
      </w:r>
      <w:r>
        <w:rPr>
          <w:rFonts w:ascii="宋体" w:hAnsi="宋体" w:cs="宋体" w:hint="eastAsia"/>
          <w:b w:val="0"/>
          <w:bCs w:val="0"/>
          <w:color w:val="auto"/>
          <w:sz w:val="21"/>
          <w:szCs w:val="21"/>
          <w:highlight w:val="none"/>
          <w:lang w:val="en-US" w:eastAsia="zh-CN"/>
        </w:rPr>
        <w:t>。</w:t>
      </w:r>
    </w:p>
    <w:p>
      <w:pPr>
        <w:pStyle w:val="BodyText"/>
        <w:keepNext w:val="0"/>
        <w:keepLines w:val="0"/>
        <w:pageBreakBefore w:val="0"/>
        <w:kinsoku/>
        <w:wordWrap/>
        <w:overflowPunct/>
        <w:topLinePunct w:val="0"/>
        <w:autoSpaceDE/>
        <w:autoSpaceDN/>
        <w:bidi w:val="0"/>
        <w:adjustRightInd w:val="0"/>
        <w:snapToGrid w:val="0"/>
        <w:spacing w:after="0" w:line="360" w:lineRule="auto"/>
        <w:ind w:left="0" w:firstLine="420" w:leftChars="0" w:firstLineChars="200"/>
        <w:textAlignment w:val="auto"/>
        <w:rPr>
          <w:rFonts w:ascii="宋体" w:eastAsia="宋体" w:hAnsi="宋体" w:cs="宋体" w:hint="eastAsia"/>
          <w:b w:val="0"/>
          <w:bCs w:val="0"/>
          <w:color w:val="auto"/>
          <w:sz w:val="21"/>
          <w:szCs w:val="21"/>
          <w:highlight w:val="none"/>
          <w:lang w:val="en-US" w:eastAsia="zh-CN"/>
        </w:rPr>
      </w:pPr>
      <w:r>
        <w:rPr>
          <w:rFonts w:ascii="宋体" w:eastAsia="宋体" w:hAnsi="宋体" w:cs="宋体" w:hint="eastAsia"/>
          <w:b w:val="0"/>
          <w:bCs w:val="0"/>
          <w:color w:val="auto"/>
          <w:sz w:val="21"/>
          <w:szCs w:val="21"/>
          <w:highlight w:val="none"/>
          <w:lang w:val="en-US" w:eastAsia="zh-CN"/>
        </w:rPr>
        <w:t>设计流量：300L/h （连续进料）</w:t>
      </w:r>
      <w:r>
        <w:rPr>
          <w:rFonts w:ascii="宋体" w:hAnsi="宋体" w:cs="宋体" w:hint="eastAsia"/>
          <w:b w:val="0"/>
          <w:bCs w:val="0"/>
          <w:color w:val="auto"/>
          <w:sz w:val="21"/>
          <w:szCs w:val="21"/>
          <w:highlight w:val="none"/>
          <w:lang w:val="en-US" w:eastAsia="zh-CN"/>
        </w:rPr>
        <w:t>。</w:t>
      </w:r>
    </w:p>
    <w:p>
      <w:pPr>
        <w:keepNext w:val="0"/>
        <w:keepLines w:val="0"/>
        <w:pageBreakBefore w:val="0"/>
        <w:kinsoku/>
        <w:wordWrap/>
        <w:overflowPunct/>
        <w:topLinePunct w:val="0"/>
        <w:autoSpaceDE/>
        <w:autoSpaceDN/>
        <w:bidi w:val="0"/>
        <w:adjustRightInd w:val="0"/>
        <w:snapToGrid w:val="0"/>
        <w:spacing w:line="360" w:lineRule="auto"/>
        <w:ind w:left="0" w:firstLine="420" w:leftChars="0" w:firstLineChars="200"/>
        <w:textAlignment w:val="auto"/>
        <w:rPr>
          <w:rFonts w:ascii="宋体" w:eastAsia="宋体" w:hAnsi="宋体" w:cs="宋体" w:hint="eastAsia"/>
          <w:b/>
          <w:bCs/>
          <w:color w:val="auto"/>
          <w:sz w:val="21"/>
          <w:szCs w:val="21"/>
          <w:highlight w:val="none"/>
          <w:lang w:val="en-US" w:eastAsia="zh-CN"/>
        </w:rPr>
      </w:pPr>
      <w:r>
        <w:rPr>
          <w:rFonts w:ascii="宋体" w:hAnsi="宋体" w:hint="eastAsia"/>
          <w:color w:val="auto"/>
          <w:highlight w:val="none"/>
        </w:rPr>
        <w:t>★</w:t>
      </w:r>
      <w:r>
        <w:rPr>
          <w:rFonts w:ascii="宋体" w:eastAsia="宋体" w:hAnsi="宋体" w:cs="宋体" w:hint="eastAsia"/>
          <w:b/>
          <w:bCs/>
          <w:color w:val="auto"/>
          <w:sz w:val="21"/>
          <w:szCs w:val="21"/>
          <w:highlight w:val="none"/>
          <w:lang w:val="en-US" w:eastAsia="zh-CN"/>
        </w:rPr>
        <w:t>2.2内容要求：</w:t>
      </w:r>
    </w:p>
    <w:p>
      <w:pPr>
        <w:keepNext w:val="0"/>
        <w:keepLines w:val="0"/>
        <w:pageBreakBefore w:val="0"/>
        <w:numPr>
          <w:ilvl w:val="255"/>
          <w:numId w:val="0"/>
        </w:numPr>
        <w:kinsoku/>
        <w:wordWrap/>
        <w:overflowPunct/>
        <w:topLinePunct w:val="0"/>
        <w:autoSpaceDE/>
        <w:autoSpaceDN/>
        <w:bidi w:val="0"/>
        <w:adjustRightInd w:val="0"/>
        <w:snapToGrid w:val="0"/>
        <w:spacing w:line="360" w:lineRule="auto"/>
        <w:ind w:left="420" w:firstLine="0" w:leftChars="200" w:firstLineChars="0"/>
        <w:textAlignment w:val="auto"/>
        <w:rPr>
          <w:rFonts w:ascii="宋体" w:eastAsia="宋体" w:hAnsi="宋体" w:cs="宋体" w:hint="eastAsia"/>
          <w:b/>
          <w:bCs/>
          <w:color w:val="auto"/>
          <w:sz w:val="21"/>
          <w:szCs w:val="21"/>
          <w:highlight w:val="none"/>
          <w:u w:val="double"/>
          <w:lang w:val="en-US" w:eastAsia="zh-CN"/>
        </w:rPr>
      </w:pPr>
      <w:r>
        <w:rPr>
          <w:rFonts w:ascii="宋体" w:hAnsi="宋体" w:cs="宋体" w:hint="eastAsia"/>
          <w:b/>
          <w:bCs/>
          <w:color w:val="auto"/>
          <w:sz w:val="21"/>
          <w:szCs w:val="21"/>
          <w:highlight w:val="none"/>
          <w:u w:val="double"/>
          <w:lang w:val="en-US" w:eastAsia="zh-CN"/>
        </w:rPr>
        <w:t>1.要求投标人投标时提供</w:t>
      </w:r>
      <w:r>
        <w:rPr>
          <w:rFonts w:ascii="宋体" w:eastAsia="宋体" w:hAnsi="宋体" w:cs="宋体" w:hint="eastAsia"/>
          <w:b/>
          <w:bCs/>
          <w:color w:val="auto"/>
          <w:sz w:val="21"/>
          <w:szCs w:val="21"/>
          <w:highlight w:val="none"/>
          <w:u w:val="double"/>
          <w:lang w:val="en-US" w:eastAsia="zh-CN"/>
        </w:rPr>
        <w:t>设备结构图（包括管口与止逆阀口方位等）、非标设备图纸、换热系统设计、工艺流程图、平面布置图、管道平面布置图、设备和材料清单、施工设计说明和相关计算书等行业规定的设计与计算文件。</w:t>
      </w:r>
    </w:p>
    <w:p>
      <w:pPr>
        <w:keepNext w:val="0"/>
        <w:keepLines w:val="0"/>
        <w:pageBreakBefore w:val="0"/>
        <w:numPr>
          <w:ilvl w:val="255"/>
          <w:numId w:val="0"/>
        </w:numPr>
        <w:kinsoku/>
        <w:wordWrap/>
        <w:overflowPunct/>
        <w:topLinePunct w:val="0"/>
        <w:autoSpaceDE/>
        <w:autoSpaceDN/>
        <w:bidi w:val="0"/>
        <w:adjustRightInd w:val="0"/>
        <w:snapToGrid w:val="0"/>
        <w:spacing w:line="360" w:lineRule="auto"/>
        <w:ind w:left="420" w:firstLine="0" w:leftChars="200" w:firstLineChars="0"/>
        <w:textAlignment w:val="auto"/>
        <w:rPr>
          <w:rFonts w:ascii="宋体" w:eastAsia="宋体" w:hAnsi="宋体" w:cs="宋体" w:hint="default"/>
          <w:color w:val="auto"/>
          <w:sz w:val="21"/>
          <w:szCs w:val="21"/>
          <w:highlight w:val="none"/>
          <w:lang w:val="en-US" w:eastAsia="zh-CN"/>
        </w:rPr>
      </w:pPr>
      <w:r>
        <w:rPr>
          <w:rFonts w:ascii="宋体" w:hAnsi="宋体" w:cs="宋体" w:hint="eastAsia"/>
          <w:color w:val="auto"/>
          <w:sz w:val="21"/>
          <w:szCs w:val="21"/>
          <w:highlight w:val="none"/>
          <w:lang w:val="en-US" w:eastAsia="zh-CN"/>
        </w:rPr>
        <w:t>2.投标人中标后的设计</w:t>
      </w:r>
      <w:r>
        <w:rPr>
          <w:rFonts w:ascii="宋体" w:eastAsia="宋体" w:hAnsi="宋体" w:cs="宋体" w:hint="eastAsia"/>
          <w:color w:val="auto"/>
          <w:sz w:val="21"/>
          <w:szCs w:val="21"/>
          <w:highlight w:val="none"/>
          <w:lang w:val="en-US" w:eastAsia="zh-CN"/>
        </w:rPr>
        <w:t>图</w:t>
      </w:r>
      <w:r>
        <w:rPr>
          <w:rFonts w:ascii="宋体" w:hAnsi="宋体" w:cs="宋体" w:hint="eastAsia"/>
          <w:color w:val="auto"/>
          <w:sz w:val="21"/>
          <w:szCs w:val="21"/>
          <w:highlight w:val="none"/>
          <w:lang w:val="en-US" w:eastAsia="zh-CN"/>
        </w:rPr>
        <w:t>需经过采购人组织的专家进行评审，审核通过后，方可按照修改后的设计方案进行设备生产制造。</w:t>
      </w:r>
    </w:p>
    <w:p>
      <w:pPr>
        <w:keepNext w:val="0"/>
        <w:keepLines w:val="0"/>
        <w:pageBreakBefore w:val="0"/>
        <w:kinsoku/>
        <w:wordWrap/>
        <w:overflowPunct/>
        <w:topLinePunct w:val="0"/>
        <w:autoSpaceDE/>
        <w:autoSpaceDN/>
        <w:bidi w:val="0"/>
        <w:adjustRightInd w:val="0"/>
        <w:snapToGrid w:val="0"/>
        <w:spacing w:line="360" w:lineRule="auto"/>
        <w:ind w:left="0" w:firstLine="420" w:leftChars="0" w:firstLineChars="200"/>
        <w:textAlignment w:val="auto"/>
        <w:rPr>
          <w:rFonts w:ascii="宋体" w:eastAsia="宋体" w:hAnsi="宋体" w:cs="宋体" w:hint="eastAsia"/>
          <w:color w:val="000000"/>
          <w:sz w:val="21"/>
          <w:szCs w:val="21"/>
          <w:lang w:val="en-US" w:eastAsia="zh-CN"/>
        </w:rPr>
      </w:pPr>
      <w:r>
        <w:rPr>
          <w:rFonts w:ascii="宋体" w:eastAsia="宋体" w:hAnsi="宋体" w:cs="宋体" w:hint="eastAsia"/>
          <w:b/>
          <w:bCs/>
          <w:color w:val="auto"/>
          <w:sz w:val="21"/>
          <w:szCs w:val="21"/>
          <w:highlight w:val="none"/>
          <w:lang w:val="en-US" w:eastAsia="zh-CN"/>
        </w:rPr>
        <w:t>2.3规范要求</w:t>
      </w:r>
      <w:r>
        <w:rPr>
          <w:rFonts w:ascii="宋体" w:eastAsia="宋体" w:hAnsi="宋体" w:cs="宋体" w:hint="eastAsia"/>
          <w:color w:val="auto"/>
          <w:sz w:val="21"/>
          <w:szCs w:val="21"/>
          <w:highlight w:val="none"/>
          <w:lang w:val="en-US" w:eastAsia="zh-CN"/>
        </w:rPr>
        <w:t>：设计符合国</w:t>
      </w:r>
      <w:r>
        <w:rPr>
          <w:rFonts w:ascii="宋体" w:eastAsia="宋体" w:hAnsi="宋体" w:cs="宋体" w:hint="eastAsia"/>
          <w:color w:val="000000"/>
          <w:sz w:val="21"/>
          <w:szCs w:val="21"/>
          <w:lang w:val="en-US" w:eastAsia="zh-CN"/>
        </w:rPr>
        <w:t>家和行业规范要求，需满足工艺连续、稳定、安全要求，达到规定温度和压力下的防腐要求，充分考虑各设备和整体工艺的常规及应急条件控制需求。</w:t>
      </w:r>
    </w:p>
    <w:p>
      <w:pPr>
        <w:keepNext w:val="0"/>
        <w:keepLines w:val="0"/>
        <w:pageBreakBefore w:val="0"/>
        <w:kinsoku/>
        <w:wordWrap/>
        <w:overflowPunct/>
        <w:topLinePunct w:val="0"/>
        <w:autoSpaceDE/>
        <w:autoSpaceDN/>
        <w:bidi w:val="0"/>
        <w:adjustRightInd w:val="0"/>
        <w:snapToGrid w:val="0"/>
        <w:spacing w:line="360" w:lineRule="auto"/>
        <w:ind w:left="0" w:firstLine="420" w:leftChars="0" w:firstLineChars="200"/>
        <w:textAlignment w:val="auto"/>
        <w:rPr>
          <w:rFonts w:ascii="宋体" w:eastAsia="宋体" w:hAnsi="宋体" w:cs="宋体" w:hint="eastAsia"/>
          <w:color w:val="000000"/>
          <w:sz w:val="21"/>
          <w:szCs w:val="21"/>
          <w:lang w:val="en-US" w:eastAsia="zh-CN"/>
        </w:rPr>
      </w:pPr>
      <w:r>
        <w:rPr>
          <w:rFonts w:ascii="宋体" w:eastAsia="宋体" w:hAnsi="宋体" w:cs="宋体" w:hint="eastAsia"/>
          <w:b/>
          <w:bCs/>
          <w:color w:val="000000"/>
          <w:sz w:val="21"/>
          <w:szCs w:val="21"/>
          <w:lang w:val="en-US" w:eastAsia="zh-CN"/>
        </w:rPr>
        <w:t>2.4 现场要求：</w:t>
      </w:r>
      <w:r>
        <w:rPr>
          <w:rFonts w:ascii="宋体" w:eastAsia="宋体" w:hAnsi="宋体" w:cs="宋体" w:hint="eastAsia"/>
          <w:color w:val="000000"/>
          <w:sz w:val="21"/>
          <w:szCs w:val="21"/>
          <w:lang w:val="en-US" w:eastAsia="zh-CN"/>
        </w:rPr>
        <w:t>保证安全的前提下，结合物料特性合理利用场地高度，减少占地面积。</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宋体" w:eastAsia="宋体" w:hAnsi="宋体" w:cs="宋体" w:hint="eastAsia"/>
          <w:b/>
          <w:bCs/>
          <w:sz w:val="21"/>
          <w:szCs w:val="21"/>
        </w:rPr>
      </w:pPr>
      <w:r>
        <w:rPr>
          <w:rFonts w:ascii="宋体" w:eastAsia="宋体" w:hAnsi="宋体" w:cs="宋体" w:hint="eastAsia"/>
          <w:b/>
          <w:bCs/>
          <w:sz w:val="21"/>
          <w:szCs w:val="21"/>
        </w:rPr>
        <w:t>★3．</w:t>
      </w:r>
      <w:r>
        <w:rPr>
          <w:rFonts w:ascii="宋体" w:eastAsia="宋体" w:hAnsi="宋体" w:cs="宋体" w:hint="eastAsia"/>
          <w:b/>
          <w:bCs/>
          <w:sz w:val="21"/>
          <w:szCs w:val="21"/>
          <w:lang w:val="en-US" w:eastAsia="zh-CN"/>
        </w:rPr>
        <w:t>设备</w:t>
      </w:r>
      <w:r>
        <w:rPr>
          <w:rFonts w:ascii="宋体" w:eastAsia="宋体" w:hAnsi="宋体" w:cs="宋体" w:hint="eastAsia"/>
          <w:b/>
          <w:bCs/>
          <w:sz w:val="21"/>
          <w:szCs w:val="21"/>
        </w:rPr>
        <w:t>配置要求</w:t>
      </w:r>
      <w:bookmarkEnd w:id="68"/>
    </w:p>
    <w:p>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position w:val="-20"/>
          <w:sz w:val="21"/>
          <w:szCs w:val="21"/>
          <w:highlight w:val="none"/>
        </w:rPr>
      </w:pPr>
      <w:r>
        <w:rPr>
          <w:rFonts w:ascii="宋体" w:eastAsia="宋体" w:hAnsi="宋体" w:cs="宋体" w:hint="eastAsia"/>
          <w:color w:val="000000"/>
          <w:position w:val="-20"/>
          <w:sz w:val="21"/>
          <w:szCs w:val="21"/>
          <w:highlight w:val="none"/>
        </w:rPr>
        <w:t xml:space="preserve">3.1 </w:t>
      </w:r>
      <w:r>
        <w:rPr>
          <w:rFonts w:ascii="宋体" w:eastAsia="宋体" w:hAnsi="宋体" w:cs="宋体" w:hint="eastAsia"/>
          <w:color w:val="000000"/>
          <w:kern w:val="2"/>
          <w:position w:val="-20"/>
          <w:sz w:val="21"/>
          <w:szCs w:val="21"/>
          <w:lang w:val="en-US" w:eastAsia="zh-CN"/>
        </w:rPr>
        <w:t>污泥输送泵：1台</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position w:val="-20"/>
          <w:sz w:val="21"/>
          <w:szCs w:val="21"/>
          <w:highlight w:val="none"/>
          <w:lang w:val="en-US" w:eastAsia="zh-CN"/>
        </w:rPr>
      </w:pPr>
      <w:r>
        <w:rPr>
          <w:rFonts w:ascii="宋体" w:eastAsia="宋体" w:hAnsi="宋体" w:cs="宋体" w:hint="eastAsia"/>
          <w:color w:val="000000"/>
          <w:position w:val="-20"/>
          <w:sz w:val="21"/>
          <w:szCs w:val="21"/>
          <w:highlight w:val="none"/>
          <w:lang w:val="en-US" w:eastAsia="zh-CN"/>
        </w:rPr>
        <w:t>3.2配料罐</w:t>
      </w:r>
      <w:r>
        <w:rPr>
          <w:rFonts w:ascii="宋体" w:eastAsia="宋体" w:hAnsi="宋体" w:cs="宋体" w:hint="eastAsia"/>
          <w:color w:val="000000"/>
          <w:position w:val="-20"/>
          <w:sz w:val="21"/>
          <w:szCs w:val="21"/>
          <w:highlight w:val="none"/>
        </w:rPr>
        <w:t xml:space="preserve"> </w:t>
      </w:r>
      <w:r>
        <w:rPr>
          <w:rFonts w:ascii="宋体" w:eastAsia="宋体" w:hAnsi="宋体" w:cs="宋体" w:hint="eastAsia"/>
          <w:color w:val="000000"/>
          <w:position w:val="-20"/>
          <w:sz w:val="21"/>
          <w:szCs w:val="21"/>
          <w:highlight w:val="none"/>
          <w:lang w:eastAsia="zh-CN"/>
        </w:rPr>
        <w:t>：</w:t>
      </w:r>
      <w:r>
        <w:rPr>
          <w:rFonts w:ascii="宋体" w:eastAsia="宋体" w:hAnsi="宋体" w:cs="宋体" w:hint="eastAsia"/>
          <w:color w:val="000000"/>
          <w:position w:val="-20"/>
          <w:sz w:val="21"/>
          <w:szCs w:val="21"/>
          <w:highlight w:val="none"/>
          <w:lang w:val="en-US" w:eastAsia="zh-CN"/>
        </w:rPr>
        <w:t>1个</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position w:val="-20"/>
          <w:sz w:val="21"/>
          <w:szCs w:val="21"/>
          <w:highlight w:val="none"/>
          <w:lang w:val="en-US" w:eastAsia="zh-CN"/>
        </w:rPr>
      </w:pPr>
      <w:r>
        <w:rPr>
          <w:rFonts w:ascii="宋体" w:eastAsia="宋体" w:hAnsi="宋体" w:cs="宋体" w:hint="eastAsia"/>
          <w:color w:val="000000"/>
          <w:position w:val="-20"/>
          <w:sz w:val="21"/>
          <w:szCs w:val="21"/>
          <w:highlight w:val="none"/>
          <w:lang w:val="en-US" w:eastAsia="zh-CN"/>
        </w:rPr>
        <w:t xml:space="preserve">3.3 </w:t>
      </w:r>
      <w:r>
        <w:rPr>
          <w:rFonts w:ascii="宋体" w:eastAsia="宋体" w:hAnsi="宋体" w:cs="宋体" w:hint="eastAsia"/>
          <w:color w:val="000000"/>
          <w:kern w:val="2"/>
          <w:position w:val="-20"/>
          <w:sz w:val="21"/>
          <w:szCs w:val="21"/>
          <w:lang w:val="en-US" w:eastAsia="zh-CN"/>
        </w:rPr>
        <w:t>切割型污水泵:1台</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kern w:val="2"/>
          <w:position w:val="-20"/>
          <w:sz w:val="21"/>
          <w:szCs w:val="21"/>
          <w:lang w:val="en-US" w:eastAsia="zh-CN"/>
        </w:rPr>
      </w:pPr>
      <w:r>
        <w:rPr>
          <w:rFonts w:ascii="宋体" w:eastAsia="宋体" w:hAnsi="宋体" w:cs="宋体" w:hint="eastAsia"/>
          <w:color w:val="000000"/>
          <w:position w:val="-20"/>
          <w:sz w:val="21"/>
          <w:szCs w:val="21"/>
          <w:lang w:val="en-US" w:eastAsia="zh-CN"/>
        </w:rPr>
        <w:t>3.4换</w:t>
      </w:r>
      <w:r>
        <w:rPr>
          <w:rFonts w:ascii="宋体" w:eastAsia="宋体" w:hAnsi="宋体" w:cs="宋体" w:hint="eastAsia"/>
          <w:color w:val="000000"/>
          <w:kern w:val="2"/>
          <w:position w:val="-20"/>
          <w:sz w:val="21"/>
          <w:szCs w:val="21"/>
          <w:lang w:val="en-US" w:eastAsia="zh-CN"/>
        </w:rPr>
        <w:t>热器：</w:t>
      </w:r>
      <w:r>
        <w:rPr>
          <w:rFonts w:ascii="宋体" w:hAnsi="宋体" w:cs="宋体" w:hint="eastAsia"/>
          <w:color w:val="000000"/>
          <w:kern w:val="2"/>
          <w:position w:val="-20"/>
          <w:sz w:val="21"/>
          <w:szCs w:val="21"/>
          <w:highlight w:val="none"/>
          <w:lang w:val="en-US" w:eastAsia="zh-CN"/>
        </w:rPr>
        <w:t>2</w:t>
      </w:r>
      <w:r>
        <w:rPr>
          <w:rFonts w:ascii="宋体" w:eastAsia="宋体" w:hAnsi="宋体" w:cs="宋体" w:hint="eastAsia"/>
          <w:color w:val="000000"/>
          <w:kern w:val="2"/>
          <w:position w:val="-20"/>
          <w:sz w:val="21"/>
          <w:szCs w:val="21"/>
          <w:highlight w:val="none"/>
          <w:lang w:val="en-US" w:eastAsia="zh-CN"/>
        </w:rPr>
        <w:t>套</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kern w:val="2"/>
          <w:position w:val="-20"/>
          <w:sz w:val="21"/>
          <w:szCs w:val="21"/>
          <w:highlight w:val="none"/>
          <w:lang w:val="en-US" w:eastAsia="zh-CN"/>
        </w:rPr>
      </w:pPr>
      <w:r>
        <w:rPr>
          <w:rFonts w:ascii="宋体" w:eastAsia="宋体" w:hAnsi="宋体" w:cs="宋体" w:hint="eastAsia"/>
          <w:color w:val="000000"/>
          <w:position w:val="-20"/>
          <w:sz w:val="21"/>
          <w:szCs w:val="21"/>
          <w:lang w:val="en-US" w:eastAsia="zh-CN"/>
        </w:rPr>
        <w:t>3.5</w:t>
      </w:r>
      <w:r>
        <w:rPr>
          <w:rFonts w:ascii="宋体" w:eastAsia="宋体" w:hAnsi="宋体" w:cs="宋体" w:hint="eastAsia"/>
          <w:color w:val="000000"/>
          <w:kern w:val="2"/>
          <w:position w:val="-20"/>
          <w:sz w:val="21"/>
          <w:szCs w:val="21"/>
          <w:lang w:val="en-US" w:eastAsia="zh-CN"/>
        </w:rPr>
        <w:t>平衡池：</w:t>
      </w:r>
      <w:r>
        <w:rPr>
          <w:rFonts w:ascii="宋体" w:eastAsia="宋体" w:hAnsi="宋体" w:cs="宋体" w:hint="eastAsia"/>
          <w:color w:val="000000"/>
          <w:kern w:val="2"/>
          <w:position w:val="-20"/>
          <w:sz w:val="21"/>
          <w:szCs w:val="21"/>
          <w:highlight w:val="none"/>
          <w:lang w:val="en-US" w:eastAsia="zh-CN"/>
        </w:rPr>
        <w:t>2</w:t>
      </w:r>
      <w:r>
        <w:rPr>
          <w:rFonts w:ascii="宋体" w:eastAsia="宋体" w:hAnsi="宋体" w:cs="宋体" w:hint="eastAsia"/>
          <w:color w:val="000000"/>
          <w:kern w:val="2"/>
          <w:position w:val="-20"/>
          <w:sz w:val="21"/>
          <w:szCs w:val="21"/>
          <w:lang w:val="en-US" w:eastAsia="zh-CN"/>
        </w:rPr>
        <w:t>个</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kern w:val="2"/>
          <w:position w:val="-20"/>
          <w:sz w:val="21"/>
          <w:szCs w:val="21"/>
          <w:lang w:val="en-US" w:eastAsia="zh-CN"/>
        </w:rPr>
      </w:pPr>
      <w:r>
        <w:rPr>
          <w:rFonts w:ascii="宋体" w:eastAsia="宋体" w:hAnsi="宋体" w:cs="宋体" w:hint="eastAsia"/>
          <w:color w:val="000000"/>
          <w:kern w:val="2"/>
          <w:position w:val="-20"/>
          <w:sz w:val="21"/>
          <w:szCs w:val="21"/>
          <w:highlight w:val="none"/>
          <w:lang w:val="en-US" w:eastAsia="zh-CN"/>
        </w:rPr>
        <w:t>3.6</w:t>
      </w:r>
      <w:r>
        <w:rPr>
          <w:rFonts w:ascii="宋体" w:eastAsia="宋体" w:hAnsi="宋体" w:cs="宋体" w:hint="eastAsia"/>
          <w:color w:val="000000"/>
          <w:kern w:val="2"/>
          <w:position w:val="-20"/>
          <w:sz w:val="21"/>
          <w:szCs w:val="21"/>
          <w:lang w:val="en-US" w:eastAsia="zh-CN"/>
        </w:rPr>
        <w:t>高温泵：1台</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kern w:val="2"/>
          <w:position w:val="-20"/>
          <w:sz w:val="21"/>
          <w:szCs w:val="21"/>
          <w:lang w:val="en-US" w:eastAsia="zh-CN"/>
        </w:rPr>
      </w:pPr>
      <w:r>
        <w:rPr>
          <w:rFonts w:ascii="宋体" w:eastAsia="宋体" w:hAnsi="宋体" w:cs="宋体" w:hint="eastAsia"/>
          <w:color w:val="000000"/>
          <w:kern w:val="2"/>
          <w:position w:val="-20"/>
          <w:sz w:val="21"/>
          <w:szCs w:val="21"/>
          <w:lang w:val="en-US" w:eastAsia="zh-CN"/>
        </w:rPr>
        <w:t>3.7泥沙旋流器：1个</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position w:val="-20"/>
          <w:sz w:val="21"/>
          <w:szCs w:val="21"/>
          <w:lang w:val="en-US" w:eastAsia="zh-CN"/>
        </w:rPr>
      </w:pPr>
      <w:r>
        <w:rPr>
          <w:rFonts w:ascii="宋体" w:eastAsia="宋体" w:hAnsi="宋体" w:cs="宋体" w:hint="eastAsia"/>
          <w:color w:val="000000"/>
          <w:kern w:val="2"/>
          <w:position w:val="-20"/>
          <w:sz w:val="21"/>
          <w:szCs w:val="21"/>
          <w:lang w:val="en-US" w:eastAsia="zh-CN"/>
        </w:rPr>
        <w:t>3.8 加压泵:1台</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b w:val="0"/>
          <w:bCs w:val="0"/>
          <w:color w:val="000000"/>
          <w:kern w:val="2"/>
          <w:position w:val="-20"/>
          <w:sz w:val="21"/>
          <w:szCs w:val="21"/>
          <w:highlight w:val="none"/>
          <w:lang w:val="en-US" w:eastAsia="zh-CN"/>
        </w:rPr>
      </w:pPr>
      <w:r>
        <w:rPr>
          <w:rFonts w:ascii="宋体" w:eastAsia="宋体" w:hAnsi="宋体" w:cs="宋体" w:hint="eastAsia"/>
          <w:b w:val="0"/>
          <w:bCs w:val="0"/>
          <w:color w:val="000000"/>
          <w:kern w:val="2"/>
          <w:position w:val="-20"/>
          <w:sz w:val="21"/>
          <w:szCs w:val="21"/>
          <w:highlight w:val="none"/>
          <w:lang w:val="en-US" w:eastAsia="zh-CN"/>
        </w:rPr>
        <w:t>3.</w:t>
      </w:r>
      <w:r>
        <w:rPr>
          <w:rFonts w:ascii="宋体" w:hAnsi="宋体" w:cs="宋体" w:hint="eastAsia"/>
          <w:b w:val="0"/>
          <w:bCs w:val="0"/>
          <w:color w:val="000000"/>
          <w:kern w:val="2"/>
          <w:position w:val="-20"/>
          <w:sz w:val="21"/>
          <w:szCs w:val="21"/>
          <w:highlight w:val="none"/>
          <w:lang w:val="en-US" w:eastAsia="zh-CN"/>
        </w:rPr>
        <w:t>9</w:t>
      </w:r>
      <w:r>
        <w:rPr>
          <w:rFonts w:ascii="宋体" w:eastAsia="宋体" w:hAnsi="宋体" w:cs="宋体" w:hint="eastAsia"/>
          <w:b w:val="0"/>
          <w:bCs w:val="0"/>
          <w:color w:val="000000"/>
          <w:kern w:val="2"/>
          <w:position w:val="-20"/>
          <w:sz w:val="21"/>
          <w:szCs w:val="21"/>
          <w:highlight w:val="none"/>
          <w:lang w:val="en-US" w:eastAsia="zh-CN"/>
        </w:rPr>
        <w:t>加气阀（为亚临界湿式氧化反应釜提供反应气体）：1个</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b w:val="0"/>
          <w:bCs w:val="0"/>
          <w:color w:val="000000"/>
          <w:position w:val="-20"/>
          <w:sz w:val="21"/>
          <w:szCs w:val="21"/>
          <w:highlight w:val="none"/>
          <w:lang w:val="en-US" w:eastAsia="zh-CN"/>
        </w:rPr>
      </w:pPr>
      <w:r>
        <w:rPr>
          <w:rFonts w:ascii="宋体" w:eastAsia="宋体" w:hAnsi="宋体" w:cs="宋体" w:hint="eastAsia"/>
          <w:color w:val="000000"/>
          <w:kern w:val="2"/>
          <w:position w:val="-20"/>
          <w:sz w:val="21"/>
          <w:szCs w:val="21"/>
          <w:lang w:val="en-US" w:eastAsia="zh-CN"/>
        </w:rPr>
        <w:t>3.</w:t>
      </w:r>
      <w:r>
        <w:rPr>
          <w:rFonts w:ascii="宋体" w:hAnsi="宋体" w:cs="宋体" w:hint="eastAsia"/>
          <w:color w:val="000000"/>
          <w:kern w:val="2"/>
          <w:position w:val="-20"/>
          <w:sz w:val="21"/>
          <w:szCs w:val="21"/>
          <w:lang w:val="en-US" w:eastAsia="zh-CN"/>
        </w:rPr>
        <w:t>10</w:t>
      </w:r>
      <w:r>
        <w:rPr>
          <w:rFonts w:ascii="宋体" w:eastAsia="宋体" w:hAnsi="宋体" w:cs="宋体" w:hint="eastAsia"/>
          <w:color w:val="000000"/>
          <w:position w:val="-20"/>
          <w:sz w:val="21"/>
          <w:szCs w:val="21"/>
          <w:highlight w:val="none"/>
          <w:lang w:val="en-US" w:eastAsia="zh-CN"/>
        </w:rPr>
        <w:t>亚临界湿式氧化反应釜</w:t>
      </w:r>
      <w:r>
        <w:rPr>
          <w:rFonts w:ascii="宋体" w:eastAsia="宋体" w:hAnsi="宋体" w:cs="宋体" w:hint="eastAsia"/>
          <w:color w:val="000000"/>
          <w:position w:val="-20"/>
          <w:sz w:val="21"/>
          <w:szCs w:val="21"/>
          <w:highlight w:val="none"/>
          <w:lang w:val="en-US"/>
        </w:rPr>
        <w:t>:</w:t>
      </w:r>
      <w:r>
        <w:rPr>
          <w:rFonts w:ascii="宋体" w:eastAsia="宋体" w:hAnsi="宋体" w:cs="宋体" w:hint="eastAsia"/>
          <w:color w:val="000000"/>
          <w:position w:val="-20"/>
          <w:sz w:val="21"/>
          <w:szCs w:val="21"/>
          <w:highlight w:val="none"/>
        </w:rPr>
        <w:t xml:space="preserve"> </w:t>
      </w:r>
      <w:r>
        <w:rPr>
          <w:rFonts w:ascii="宋体" w:eastAsia="宋体" w:hAnsi="宋体" w:cs="宋体" w:hint="eastAsia"/>
          <w:color w:val="000000"/>
          <w:position w:val="-20"/>
          <w:sz w:val="21"/>
          <w:szCs w:val="21"/>
          <w:highlight w:val="none"/>
          <w:lang w:val="en-US" w:eastAsia="zh-CN"/>
        </w:rPr>
        <w:t>2台</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b w:val="0"/>
          <w:bCs w:val="0"/>
          <w:color w:val="000000"/>
          <w:position w:val="-20"/>
          <w:sz w:val="21"/>
          <w:szCs w:val="21"/>
          <w:highlight w:val="none"/>
          <w:lang w:val="en-US" w:eastAsia="zh-CN"/>
        </w:rPr>
      </w:pPr>
      <w:r>
        <w:rPr>
          <w:rFonts w:ascii="宋体" w:eastAsia="宋体" w:hAnsi="宋体" w:cs="宋体" w:hint="eastAsia"/>
          <w:b w:val="0"/>
          <w:bCs w:val="0"/>
          <w:color w:val="000000"/>
          <w:position w:val="-20"/>
          <w:sz w:val="21"/>
          <w:szCs w:val="21"/>
          <w:highlight w:val="none"/>
          <w:lang w:val="en-US" w:eastAsia="zh-CN"/>
        </w:rPr>
        <w:t>3.</w:t>
      </w:r>
      <w:r>
        <w:rPr>
          <w:rFonts w:ascii="宋体" w:hAnsi="宋体" w:cs="宋体" w:hint="eastAsia"/>
          <w:b w:val="0"/>
          <w:bCs w:val="0"/>
          <w:color w:val="000000"/>
          <w:position w:val="-20"/>
          <w:sz w:val="21"/>
          <w:szCs w:val="21"/>
          <w:highlight w:val="none"/>
          <w:lang w:val="en-US" w:eastAsia="zh-CN"/>
        </w:rPr>
        <w:t>11</w:t>
      </w:r>
      <w:r>
        <w:rPr>
          <w:rFonts w:ascii="宋体" w:eastAsia="宋体" w:hAnsi="宋体" w:cs="宋体" w:hint="eastAsia"/>
          <w:b w:val="0"/>
          <w:bCs w:val="0"/>
          <w:color w:val="000000"/>
          <w:position w:val="-20"/>
          <w:sz w:val="21"/>
          <w:szCs w:val="21"/>
          <w:highlight w:val="none"/>
          <w:lang w:val="en-US" w:eastAsia="zh-CN"/>
        </w:rPr>
        <w:t>减压阀：1个</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position w:val="-20"/>
          <w:sz w:val="21"/>
          <w:szCs w:val="21"/>
          <w:lang w:val="en-US"/>
        </w:rPr>
      </w:pPr>
      <w:r>
        <w:rPr>
          <w:rFonts w:ascii="宋体" w:eastAsia="宋体" w:hAnsi="宋体" w:cs="宋体" w:hint="eastAsia"/>
          <w:b w:val="0"/>
          <w:bCs w:val="0"/>
          <w:color w:val="000000"/>
          <w:position w:val="-20"/>
          <w:sz w:val="21"/>
          <w:szCs w:val="21"/>
          <w:highlight w:val="none"/>
          <w:lang w:val="en-US" w:eastAsia="zh-CN"/>
        </w:rPr>
        <w:t>3.1</w:t>
      </w:r>
      <w:r>
        <w:rPr>
          <w:rFonts w:ascii="宋体" w:hAnsi="宋体" w:cs="宋体" w:hint="eastAsia"/>
          <w:b w:val="0"/>
          <w:bCs w:val="0"/>
          <w:color w:val="000000"/>
          <w:position w:val="-20"/>
          <w:sz w:val="21"/>
          <w:szCs w:val="21"/>
          <w:highlight w:val="none"/>
          <w:lang w:val="en-US" w:eastAsia="zh-CN"/>
        </w:rPr>
        <w:t>2</w:t>
      </w:r>
      <w:r>
        <w:rPr>
          <w:rFonts w:ascii="宋体" w:eastAsia="宋体" w:hAnsi="宋体" w:cs="宋体" w:hint="eastAsia"/>
          <w:b w:val="0"/>
          <w:bCs w:val="0"/>
          <w:color w:val="000000"/>
          <w:position w:val="-20"/>
          <w:sz w:val="21"/>
          <w:szCs w:val="21"/>
          <w:highlight w:val="none"/>
          <w:lang w:val="en-US" w:eastAsia="zh-CN"/>
        </w:rPr>
        <w:t>分压阀：1个</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position w:val="-20"/>
          <w:sz w:val="21"/>
          <w:szCs w:val="21"/>
        </w:rPr>
      </w:pPr>
      <w:r>
        <w:rPr>
          <w:rFonts w:ascii="宋体" w:eastAsia="宋体" w:hAnsi="宋体" w:cs="宋体" w:hint="eastAsia"/>
          <w:color w:val="000000"/>
          <w:kern w:val="2"/>
          <w:position w:val="-20"/>
          <w:sz w:val="21"/>
          <w:szCs w:val="21"/>
          <w:lang w:val="en-US" w:eastAsia="zh-CN"/>
        </w:rPr>
        <w:t>3.1</w:t>
      </w:r>
      <w:r>
        <w:rPr>
          <w:rFonts w:ascii="宋体" w:hAnsi="宋体" w:cs="宋体" w:hint="eastAsia"/>
          <w:color w:val="000000"/>
          <w:kern w:val="2"/>
          <w:position w:val="-20"/>
          <w:sz w:val="21"/>
          <w:szCs w:val="21"/>
          <w:lang w:val="en-US" w:eastAsia="zh-CN"/>
        </w:rPr>
        <w:t>3</w:t>
      </w:r>
      <w:r>
        <w:rPr>
          <w:rFonts w:ascii="宋体" w:eastAsia="宋体" w:hAnsi="宋体" w:cs="宋体" w:hint="eastAsia"/>
          <w:color w:val="000000"/>
          <w:kern w:val="2"/>
          <w:position w:val="-20"/>
          <w:sz w:val="21"/>
          <w:szCs w:val="21"/>
          <w:lang w:val="en-US" w:eastAsia="zh-CN"/>
        </w:rPr>
        <w:t xml:space="preserve">洗气池：1个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kern w:val="2"/>
          <w:position w:val="-20"/>
          <w:sz w:val="21"/>
          <w:szCs w:val="21"/>
          <w:lang w:val="en-US" w:eastAsia="zh-CN"/>
        </w:rPr>
      </w:pPr>
      <w:r>
        <w:rPr>
          <w:rFonts w:ascii="宋体" w:eastAsia="宋体" w:hAnsi="宋体" w:cs="宋体" w:hint="eastAsia"/>
          <w:color w:val="000000"/>
          <w:kern w:val="2"/>
          <w:position w:val="-20"/>
          <w:sz w:val="21"/>
          <w:szCs w:val="21"/>
          <w:lang w:val="en-US" w:eastAsia="zh-CN"/>
        </w:rPr>
        <w:t>3.1</w:t>
      </w:r>
      <w:r>
        <w:rPr>
          <w:rFonts w:ascii="宋体" w:hAnsi="宋体" w:cs="宋体" w:hint="eastAsia"/>
          <w:color w:val="000000"/>
          <w:kern w:val="2"/>
          <w:position w:val="-20"/>
          <w:sz w:val="21"/>
          <w:szCs w:val="21"/>
          <w:lang w:val="en-US" w:eastAsia="zh-CN"/>
        </w:rPr>
        <w:t>4</w:t>
      </w:r>
      <w:r>
        <w:rPr>
          <w:rFonts w:ascii="宋体" w:eastAsia="宋体" w:hAnsi="宋体" w:cs="宋体" w:hint="eastAsia"/>
          <w:color w:val="000000"/>
          <w:kern w:val="2"/>
          <w:position w:val="-20"/>
          <w:sz w:val="21"/>
          <w:szCs w:val="21"/>
          <w:highlight w:val="none"/>
          <w:lang w:val="en-US" w:eastAsia="zh-CN"/>
        </w:rPr>
        <w:t>气体生物吸附罐(除臭</w:t>
      </w:r>
      <w:r>
        <w:rPr>
          <w:rFonts w:ascii="宋体" w:hAnsi="宋体" w:cs="宋体" w:hint="eastAsia"/>
          <w:color w:val="000000"/>
          <w:kern w:val="2"/>
          <w:position w:val="-20"/>
          <w:sz w:val="21"/>
          <w:szCs w:val="21"/>
          <w:highlight w:val="none"/>
          <w:lang w:val="en-US" w:eastAsia="zh-CN"/>
        </w:rPr>
        <w:t>，</w:t>
      </w:r>
      <w:r>
        <w:rPr>
          <w:rFonts w:ascii="宋体" w:eastAsia="宋体" w:hAnsi="宋体" w:cs="宋体" w:hint="eastAsia"/>
          <w:color w:val="000000"/>
          <w:kern w:val="2"/>
          <w:position w:val="-20"/>
          <w:sz w:val="21"/>
          <w:szCs w:val="21"/>
          <w:highlight w:val="none"/>
          <w:lang w:val="en-US" w:eastAsia="zh-CN"/>
        </w:rPr>
        <w:t>可根据现场条件选配)</w:t>
      </w:r>
      <w:r>
        <w:rPr>
          <w:rFonts w:ascii="宋体" w:eastAsia="宋体" w:hAnsi="宋体" w:cs="宋体" w:hint="eastAsia"/>
          <w:color w:val="000000"/>
          <w:kern w:val="2"/>
          <w:position w:val="-20"/>
          <w:sz w:val="21"/>
          <w:szCs w:val="21"/>
          <w:lang w:val="en-US" w:eastAsia="zh-CN"/>
        </w:rPr>
        <w:t>： 1个</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kern w:val="0"/>
          <w:sz w:val="21"/>
          <w:szCs w:val="21"/>
          <w:highlight w:val="none"/>
          <w:lang w:val="en-US" w:eastAsia="zh-CN"/>
        </w:rPr>
      </w:pPr>
      <w:r>
        <w:rPr>
          <w:rFonts w:ascii="宋体" w:eastAsia="宋体" w:hAnsi="宋体" w:cs="宋体" w:hint="eastAsia"/>
          <w:color w:val="000000"/>
          <w:kern w:val="2"/>
          <w:position w:val="-20"/>
          <w:sz w:val="21"/>
          <w:szCs w:val="21"/>
          <w:lang w:val="en-US" w:eastAsia="zh-CN"/>
        </w:rPr>
        <w:t>3.1</w:t>
      </w:r>
      <w:r>
        <w:rPr>
          <w:rFonts w:ascii="宋体" w:hAnsi="宋体" w:cs="宋体" w:hint="eastAsia"/>
          <w:color w:val="000000"/>
          <w:kern w:val="2"/>
          <w:position w:val="-20"/>
          <w:sz w:val="21"/>
          <w:szCs w:val="21"/>
          <w:lang w:val="en-US" w:eastAsia="zh-CN"/>
        </w:rPr>
        <w:t>5</w:t>
      </w:r>
      <w:r>
        <w:rPr>
          <w:rFonts w:ascii="宋体" w:eastAsia="宋体" w:hAnsi="宋体" w:cs="宋体" w:hint="eastAsia"/>
          <w:color w:val="000000"/>
          <w:kern w:val="2"/>
          <w:position w:val="-20"/>
          <w:sz w:val="21"/>
          <w:szCs w:val="21"/>
          <w:lang w:val="en-US" w:eastAsia="zh-CN"/>
        </w:rPr>
        <w:t>分离沉淀罐：1个</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4.技术参数</w:t>
      </w:r>
    </w:p>
    <w:tbl>
      <w:tblPr>
        <w:tblStyle w:val="TableNorm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47"/>
        <w:gridCol w:w="1084"/>
        <w:gridCol w:w="8131"/>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10"/>
          <w:jc w:val="center"/>
        </w:trPr>
        <w:tc>
          <w:tcPr>
            <w:tcW w:w="375"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sz w:val="21"/>
                <w:szCs w:val="21"/>
                <w:lang w:val="en-US" w:eastAsia="zh-CN"/>
              </w:rPr>
            </w:pPr>
            <w:r>
              <w:rPr>
                <w:rFonts w:ascii="宋体" w:hAnsi="宋体" w:cs="宋体" w:hint="eastAsia"/>
                <w:sz w:val="21"/>
                <w:szCs w:val="21"/>
                <w:lang w:val="en-US" w:eastAsia="zh-CN"/>
              </w:rPr>
              <w:t>序号</w:t>
            </w:r>
          </w:p>
        </w:tc>
        <w:tc>
          <w:tcPr>
            <w:tcW w:w="4624" w:type="pct"/>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default"/>
                <w:color w:val="000000"/>
                <w:sz w:val="21"/>
                <w:szCs w:val="21"/>
                <w:highlight w:val="none"/>
                <w:lang w:val="en-US" w:eastAsia="zh-CN"/>
              </w:rPr>
            </w:pPr>
            <w:r>
              <w:rPr>
                <w:rFonts w:ascii="宋体" w:hAnsi="宋体" w:cs="宋体" w:hint="eastAsia"/>
                <w:color w:val="000000"/>
                <w:sz w:val="21"/>
                <w:szCs w:val="21"/>
                <w:highlight w:val="none"/>
                <w:lang w:val="en-US" w:eastAsia="zh-CN"/>
              </w:rPr>
              <w:t>技术参数</w:t>
            </w:r>
          </w:p>
        </w:tc>
      </w:tr>
      <w:tr>
        <w:tblPrEx>
          <w:tblW w:w="5000" w:type="pct"/>
          <w:jc w:val="center"/>
          <w:tblCellMar>
            <w:top w:w="0" w:type="dxa"/>
            <w:left w:w="108" w:type="dxa"/>
            <w:bottom w:w="0" w:type="dxa"/>
            <w:right w:w="108" w:type="dxa"/>
          </w:tblCellMar>
        </w:tblPrEx>
        <w:trPr>
          <w:trHeight w:val="510"/>
          <w:jc w:val="center"/>
        </w:trPr>
        <w:tc>
          <w:tcPr>
            <w:tcW w:w="375" w:type="pct"/>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r>
              <w:rPr>
                <w:rFonts w:ascii="宋体" w:eastAsia="宋体" w:hAnsi="宋体" w:cs="宋体" w:hint="eastAsia"/>
                <w:sz w:val="21"/>
                <w:szCs w:val="21"/>
              </w:rPr>
              <w:t>1</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highlight w:val="none"/>
                <w:lang w:val="en-US" w:eastAsia="zh-CN"/>
              </w:rPr>
              <w:t>污泥原位高效资源化利用系统设计、制造和安装调试</w:t>
            </w:r>
          </w:p>
        </w:tc>
        <w:tc>
          <w:tcPr>
            <w:tcW w:w="4079"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highlight w:val="none"/>
                <w:lang w:val="en-US" w:eastAsia="zh-CN"/>
              </w:rPr>
              <w:t>▲1.1全套工艺运行规模为300L/h（连续进料）</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highlight w:val="none"/>
                <w:lang w:val="en-US" w:eastAsia="zh-CN"/>
              </w:rPr>
              <w:t>▲1.2功率要求：全套设备总功率在400kw以内</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highlight w:val="none"/>
                <w:lang w:val="en-US" w:eastAsia="zh-CN"/>
              </w:rPr>
              <w:t>▲1.3全部设备占地面积</w:t>
            </w:r>
            <w:r>
              <w:rPr>
                <w:rFonts w:ascii="宋体" w:hAnsi="宋体" w:cs="宋体" w:hint="eastAsia"/>
                <w:color w:val="000000"/>
                <w:sz w:val="21"/>
                <w:szCs w:val="21"/>
                <w:highlight w:val="none"/>
                <w:lang w:val="en-US" w:eastAsia="zh-CN"/>
              </w:rPr>
              <w:t>不超过</w:t>
            </w:r>
            <w:r>
              <w:rPr>
                <w:rFonts w:ascii="宋体" w:eastAsia="宋体" w:hAnsi="宋体" w:cs="宋体" w:hint="eastAsia"/>
                <w:color w:val="000000"/>
                <w:sz w:val="21"/>
                <w:szCs w:val="21"/>
                <w:highlight w:val="none"/>
                <w:lang w:val="en-US" w:eastAsia="zh-CN"/>
              </w:rPr>
              <w:t>120m</w:t>
            </w:r>
            <w:r>
              <w:rPr>
                <w:rFonts w:ascii="宋体" w:eastAsia="宋体" w:hAnsi="宋体" w:cs="宋体" w:hint="eastAsia"/>
                <w:color w:val="000000"/>
                <w:sz w:val="21"/>
                <w:szCs w:val="21"/>
                <w:highlight w:val="none"/>
                <w:vertAlign w:val="superscript"/>
                <w:lang w:val="en-US" w:eastAsia="zh-CN"/>
              </w:rPr>
              <w:t>2</w:t>
            </w:r>
            <w:r>
              <w:rPr>
                <w:rFonts w:ascii="宋体" w:eastAsia="宋体" w:hAnsi="宋体" w:cs="宋体" w:hint="eastAsia"/>
                <w:color w:val="000000"/>
                <w:sz w:val="21"/>
                <w:szCs w:val="21"/>
                <w:highlight w:val="none"/>
                <w:lang w:val="en-US" w:eastAsia="zh-CN"/>
              </w:rPr>
              <w:t>，长度不超过</w:t>
            </w:r>
            <w:r>
              <w:rPr>
                <w:rFonts w:ascii="宋体" w:hAnsi="宋体" w:cs="宋体" w:hint="eastAsia"/>
                <w:color w:val="000000"/>
                <w:sz w:val="21"/>
                <w:szCs w:val="21"/>
                <w:highlight w:val="none"/>
                <w:lang w:val="en-US" w:eastAsia="zh-CN"/>
              </w:rPr>
              <w:t>15</w:t>
            </w:r>
            <w:r>
              <w:rPr>
                <w:rFonts w:ascii="宋体" w:eastAsia="宋体" w:hAnsi="宋体" w:cs="宋体" w:hint="eastAsia"/>
                <w:color w:val="000000"/>
                <w:sz w:val="21"/>
                <w:szCs w:val="21"/>
                <w:highlight w:val="none"/>
                <w:lang w:val="en-US" w:eastAsia="zh-CN"/>
              </w:rPr>
              <w:t>米，宽度不超过</w:t>
            </w:r>
            <w:r>
              <w:rPr>
                <w:rFonts w:ascii="宋体" w:hAnsi="宋体" w:cs="宋体" w:hint="eastAsia"/>
                <w:color w:val="000000"/>
                <w:sz w:val="21"/>
                <w:szCs w:val="21"/>
                <w:highlight w:val="none"/>
                <w:lang w:val="en-US" w:eastAsia="zh-CN"/>
              </w:rPr>
              <w:t>8</w:t>
            </w:r>
            <w:r>
              <w:rPr>
                <w:rFonts w:ascii="宋体" w:eastAsia="宋体" w:hAnsi="宋体" w:cs="宋体" w:hint="eastAsia"/>
                <w:color w:val="000000"/>
                <w:sz w:val="21"/>
                <w:szCs w:val="21"/>
                <w:highlight w:val="none"/>
                <w:lang w:val="en-US" w:eastAsia="zh-CN"/>
              </w:rPr>
              <w:t>米，高度不超过5米（最终根据现场情况具体沟通调整）</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highlight w:val="none"/>
                <w:lang w:val="en-US" w:eastAsia="zh-CN"/>
              </w:rPr>
              <w:t>1.4工作介质：流动相污泥（内含有机质、水、砂等）</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highlight w:val="none"/>
                <w:lang w:val="en-US" w:eastAsia="zh-CN"/>
              </w:rPr>
              <w:t>▲1.5内容要求：完成设备结构图（包括管口与止逆阀口方位等）、非标设备图纸、换热系统设计、工艺流程图、平面布置图、管道平面布置图、设备和材料清单、施工设计说明和相关计算书等行业规定的设计与计算文件。</w:t>
            </w:r>
          </w:p>
        </w:tc>
      </w:tr>
      <w:tr>
        <w:tblPrEx>
          <w:tblW w:w="5000" w:type="pct"/>
          <w:jc w:val="center"/>
          <w:tblCellMar>
            <w:top w:w="0" w:type="dxa"/>
            <w:left w:w="108" w:type="dxa"/>
            <w:bottom w:w="0" w:type="dxa"/>
            <w:right w:w="108" w:type="dxa"/>
          </w:tblCellMar>
        </w:tblPrEx>
        <w:trPr>
          <w:trHeight w:val="836"/>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highlight w:val="none"/>
                <w:lang w:val="en-US" w:eastAsia="zh-CN"/>
              </w:rPr>
              <w:t>1.6规范要求：设计符合国家和行业规范要求，需满足工艺连续、稳定、安全要求，达到规定温度和压力下的防腐要求，充分考虑各设备和整体工艺的常规及应急条件控制需求。</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highlight w:val="none"/>
                <w:lang w:val="en-US" w:eastAsia="zh-CN"/>
              </w:rPr>
              <w:t>1.7现场要求：保证安全的前提下，结合物料特性合理利用场地高度，减少占地面积。</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1.8污泥输送泵</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流量：300L/h；工作温度：25℃</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1.9配料罐</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工作温度：25℃ ；搅拌转速：50-300rpm.Max，可调；限高1.8米，需密闭。</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1.10切割型污水泵</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流量：300L/h；用途：前端带刀片，切割污泥中长条状坚硬杂质；工作温度：25℃；耐磨耐腐蚀。</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default"/>
                <w:color w:val="000000"/>
                <w:kern w:val="2"/>
                <w:sz w:val="21"/>
                <w:szCs w:val="21"/>
                <w:highlight w:val="none"/>
                <w:u w:val="none"/>
                <w:lang w:val="en-US" w:eastAsia="zh-CN" w:bidi="ar-SA"/>
              </w:rPr>
            </w:pPr>
            <w:r>
              <w:rPr>
                <w:rFonts w:ascii="宋体" w:eastAsia="宋体" w:hAnsi="宋体" w:cs="宋体" w:hint="eastAsia"/>
                <w:color w:val="000000"/>
                <w:sz w:val="21"/>
                <w:szCs w:val="21"/>
              </w:rPr>
              <w:t>▲</w:t>
            </w:r>
            <w:r>
              <w:rPr>
                <w:rFonts w:ascii="宋体" w:eastAsia="宋体" w:hAnsi="宋体" w:cs="宋体" w:hint="eastAsia"/>
                <w:color w:val="000000"/>
                <w:kern w:val="2"/>
                <w:sz w:val="21"/>
                <w:szCs w:val="21"/>
                <w:highlight w:val="none"/>
                <w:u w:val="none"/>
                <w:lang w:val="en-US" w:eastAsia="zh-CN" w:bidi="ar-SA"/>
              </w:rPr>
              <w:t>1.11换热器</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换热器形式：列管式；管层材质：316L不锈钢；冷源：25℃到90℃左右，热源</w:t>
            </w:r>
            <w:r>
              <w:rPr>
                <w:rFonts w:ascii="宋体" w:eastAsia="宋体" w:hAnsi="宋体" w:cs="宋体" w:hint="eastAsia"/>
                <w:color w:val="auto"/>
                <w:kern w:val="2"/>
                <w:sz w:val="21"/>
                <w:szCs w:val="21"/>
                <w:highlight w:val="none"/>
                <w:u w:val="none"/>
                <w:lang w:val="en-US" w:eastAsia="zh-CN" w:bidi="ar-SA"/>
              </w:rPr>
              <w:t>：11</w:t>
            </w:r>
            <w:r>
              <w:rPr>
                <w:rFonts w:ascii="宋体" w:eastAsia="宋体" w:hAnsi="宋体" w:cs="宋体" w:hint="eastAsia"/>
                <w:color w:val="000000"/>
                <w:kern w:val="2"/>
                <w:sz w:val="21"/>
                <w:szCs w:val="21"/>
                <w:highlight w:val="none"/>
                <w:u w:val="none"/>
                <w:lang w:val="en-US" w:eastAsia="zh-CN" w:bidi="ar-SA"/>
              </w:rPr>
              <w:t>0℃到30℃左右，设计场地内要求热交换效率越高越好；耐磨耐腐蚀。</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1.12平衡池</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工作温度：90℃，材质需耐高温，需密闭；搅拌转速：50-300rpm.Max 可调 ；限高1.8米。</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1.13高温泵</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流量：300L/h；工作温度：90℃；耐磨耐腐蚀。</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default"/>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1.14泥沙旋流器</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循环流量：500L/h； 最高使用温度：100℃；分级粒度&lt;150微米，需可调：耐磨耐腐蚀。</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1.15加压泵</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流量：300L/h；压力：8MPa ，需可调；工作温度：90℃；耐磨耐腐蚀。</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sz w:val="21"/>
                <w:szCs w:val="21"/>
              </w:rPr>
              <w:t>▲</w:t>
            </w:r>
            <w:r>
              <w:rPr>
                <w:rFonts w:ascii="宋体" w:eastAsia="宋体" w:hAnsi="宋体" w:cs="宋体" w:hint="eastAsia"/>
                <w:color w:val="000000"/>
                <w:kern w:val="2"/>
                <w:sz w:val="21"/>
                <w:szCs w:val="21"/>
                <w:highlight w:val="none"/>
                <w:u w:val="none"/>
                <w:lang w:val="en-US" w:eastAsia="zh-CN" w:bidi="ar-SA"/>
              </w:rPr>
              <w:t>1.16换热器</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换热器形式：列管；管层材质：316L ；冷源：90℃到220℃左右，热源：270℃到100℃左右，设计场地内要求热交换效率越高越好；需耐高温高压（300摄氏度，8Mpa），耐磨耐腐蚀。</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1.17加气阀（为亚临界湿式氧化反应釜提供反应气体）</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流量：0- 200L/h，可调；前端提供阵列式压缩氧气/空气瓶（需包括此部分设计与安装）。</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sz w:val="21"/>
                <w:szCs w:val="21"/>
              </w:rPr>
              <w:t>▲</w:t>
            </w:r>
            <w:r>
              <w:rPr>
                <w:rFonts w:ascii="宋体" w:eastAsia="宋体" w:hAnsi="宋体" w:cs="宋体" w:hint="eastAsia"/>
                <w:color w:val="000000"/>
                <w:kern w:val="2"/>
                <w:sz w:val="21"/>
                <w:szCs w:val="21"/>
                <w:highlight w:val="none"/>
                <w:u w:val="none"/>
                <w:lang w:val="en-US" w:eastAsia="zh-CN" w:bidi="ar-SA"/>
              </w:rPr>
              <w:t>1.18亚临界湿式氧化反应釜</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包括搅拌式反应釜和阵列式反应釜各1套，要求在系统中可切换使用；日常使用压力：6.0MPa-8.0MPa；日常使用温度：280℃；容积：600L左右，需符合流量设计要求；反应釜材质：316L及以上（满足耐高温，耐盐，耐砂，耐氨氮与氯离子防腐要求）； 要求设置有远传功能的温度和压力传感器；符合给定条件下的国家安全生产要求，提供1年以上的质检保障与出厂要求。除上述要求外，搅拌式反应釜要求搅拌速率在50-200rmp之间，整体限高1.8米（包括搅拌装置）。阵列式反应釜要求6个以上200mm*1500mm腔体组成的等距旋叶式被动搅拌单元组成，需外加钢套和保温装置，各腔体间可通过阀门控制实现串联或并联。</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1.19减压阀</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流量：300L/h；工作温度：280℃；压力：6MPa；开度可自控。</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1.20分压阀</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流量：300L/h；工作温度：150℃；压力：3MPa。</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1.21洗气池</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最高使用温度：50℃，需密闭；限高1.8米</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1.22气体生物吸附罐(除臭，可根据现场条件选配)</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0"/>
                <w:sz w:val="21"/>
                <w:szCs w:val="21"/>
                <w:highlight w:val="none"/>
                <w:lang w:val="en-US" w:eastAsia="zh-CN"/>
              </w:rPr>
            </w:pPr>
            <w:r>
              <w:rPr>
                <w:rFonts w:ascii="宋体" w:eastAsia="宋体" w:hAnsi="宋体" w:cs="宋体" w:hint="eastAsia"/>
                <w:color w:val="000000"/>
                <w:kern w:val="2"/>
                <w:sz w:val="21"/>
                <w:szCs w:val="21"/>
                <w:highlight w:val="none"/>
                <w:u w:val="none"/>
                <w:lang w:val="en-US" w:eastAsia="zh-CN" w:bidi="ar-SA"/>
              </w:rPr>
              <w:t>设计工作温度和压力：常温，0.1MPa ；内置吸附材质：活性炭与砂；限高：1.8米</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BodyText"/>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color="000000"/>
                <w:lang w:val="en-US" w:eastAsia="zh-CN" w:bidi="ar-SA"/>
              </w:rPr>
            </w:pPr>
            <w:r>
              <w:rPr>
                <w:rFonts w:ascii="宋体" w:eastAsia="宋体" w:hAnsi="宋体" w:cs="宋体" w:hint="eastAsia"/>
                <w:color w:val="000000"/>
                <w:kern w:val="2"/>
                <w:sz w:val="21"/>
                <w:szCs w:val="21"/>
                <w:highlight w:val="none"/>
                <w:u w:val="none" w:color="000000"/>
                <w:lang w:val="en-US" w:eastAsia="zh-CN" w:bidi="ar-SA"/>
              </w:rPr>
              <w:t>1.23分离沉淀罐</w:t>
            </w:r>
          </w:p>
          <w:p>
            <w:pPr>
              <w:pStyle w:val="BodyText"/>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0"/>
                <w:sz w:val="21"/>
                <w:szCs w:val="21"/>
                <w:highlight w:val="none"/>
                <w:lang w:val="en-US" w:eastAsia="zh-CN"/>
              </w:rPr>
            </w:pPr>
            <w:r>
              <w:rPr>
                <w:rFonts w:ascii="宋体" w:eastAsia="宋体" w:hAnsi="宋体" w:cs="宋体" w:hint="eastAsia"/>
                <w:color w:val="000000"/>
                <w:kern w:val="2"/>
                <w:sz w:val="21"/>
                <w:szCs w:val="21"/>
                <w:highlight w:val="none"/>
                <w:u w:val="none" w:color="000000"/>
                <w:lang w:val="en-US" w:eastAsia="zh-CN" w:bidi="ar-SA"/>
              </w:rPr>
              <w:t>设计工作温度和压力：常温；容积：600L，限高：1.8米；材质：塑料。</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BodyText"/>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color="000000"/>
                <w:lang w:val="en-US" w:eastAsia="zh-CN" w:bidi="ar-SA"/>
              </w:rPr>
            </w:pPr>
            <w:r>
              <w:rPr>
                <w:rFonts w:ascii="宋体" w:eastAsia="宋体" w:hAnsi="宋体" w:cs="宋体" w:hint="eastAsia"/>
                <w:color w:val="000000"/>
                <w:kern w:val="2"/>
                <w:sz w:val="21"/>
                <w:szCs w:val="21"/>
                <w:highlight w:val="none"/>
                <w:u w:val="none" w:color="000000"/>
                <w:lang w:val="en-US" w:eastAsia="zh-CN" w:bidi="ar-SA"/>
              </w:rPr>
              <w:t>1.24安装与调试要求</w:t>
            </w:r>
          </w:p>
          <w:p>
            <w:pPr>
              <w:pStyle w:val="BodyText"/>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color="000000"/>
                <w:lang w:val="en-US" w:eastAsia="zh-CN" w:bidi="ar-SA"/>
              </w:rPr>
            </w:pPr>
            <w:r>
              <w:rPr>
                <w:rFonts w:ascii="宋体" w:eastAsia="宋体" w:hAnsi="宋体" w:cs="宋体" w:hint="eastAsia"/>
                <w:color w:val="000000"/>
                <w:kern w:val="2"/>
                <w:sz w:val="21"/>
                <w:szCs w:val="21"/>
                <w:highlight w:val="none"/>
                <w:u w:val="none" w:color="000000"/>
                <w:lang w:val="en-US" w:eastAsia="zh-CN" w:bidi="ar-SA"/>
              </w:rPr>
              <w:t>安装：按照国家和行业要求对高压设备和压力管道进行安装，同时，由于本套设备需安装在污水处理厂内，安装应符合厂内施工安全要求。</w:t>
            </w:r>
          </w:p>
          <w:p>
            <w:pPr>
              <w:pStyle w:val="BodyText"/>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0"/>
                <w:sz w:val="21"/>
                <w:szCs w:val="21"/>
                <w:highlight w:val="none"/>
                <w:lang w:val="en-US" w:eastAsia="zh-CN"/>
              </w:rPr>
            </w:pPr>
            <w:r>
              <w:rPr>
                <w:rFonts w:ascii="宋体" w:eastAsia="宋体" w:hAnsi="宋体" w:cs="宋体" w:hint="eastAsia"/>
                <w:color w:val="000000"/>
                <w:kern w:val="2"/>
                <w:sz w:val="21"/>
                <w:szCs w:val="21"/>
                <w:highlight w:val="none"/>
                <w:u w:val="none" w:color="000000"/>
                <w:lang w:val="en-US" w:eastAsia="zh-CN" w:bidi="ar-SA"/>
              </w:rPr>
              <w:t>调试：安装调试完毕后，正常运行15天以上，即达到验收要求。</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eastAsia="宋体" w:hAnsi="宋体" w:cs="宋体" w:hint="eastAsia"/>
          <w:b/>
          <w:bCs/>
          <w:sz w:val="21"/>
          <w:szCs w:val="21"/>
          <w:lang w:val="en-US" w:eastAsia="zh-CN"/>
        </w:rPr>
      </w:pPr>
      <w:bookmarkStart w:id="69" w:name="_Toc88839307"/>
      <w:r>
        <w:rPr>
          <w:rFonts w:ascii="宋体" w:eastAsia="宋体" w:hAnsi="宋体" w:cs="宋体" w:hint="eastAsia"/>
          <w:b/>
          <w:bCs/>
          <w:sz w:val="21"/>
          <w:szCs w:val="21"/>
          <w:lang w:val="en-US" w:eastAsia="zh-CN"/>
        </w:rPr>
        <w:t>5.执行的相关标准</w:t>
      </w:r>
      <w:bookmarkEnd w:id="69"/>
    </w:p>
    <w:p>
      <w:pPr>
        <w:keepNext w:val="0"/>
        <w:keepLines w:val="0"/>
        <w:pageBreakBefore w:val="0"/>
        <w:widowControl w:val="0"/>
        <w:kinsoku/>
        <w:wordWrap/>
        <w:overflowPunct/>
        <w:topLinePunct w:val="0"/>
        <w:autoSpaceDE/>
        <w:autoSpaceDN/>
        <w:bidi w:val="0"/>
        <w:adjustRightInd w:val="0"/>
        <w:snapToGrid w:val="0"/>
        <w:spacing w:line="360" w:lineRule="auto"/>
        <w:ind w:left="359" w:firstLine="420" w:leftChars="171" w:firstLineChars="200"/>
        <w:textAlignment w:val="auto"/>
        <w:rPr>
          <w:rFonts w:ascii="宋体" w:eastAsia="宋体" w:hAnsi="宋体" w:cs="宋体" w:hint="eastAsia"/>
          <w:sz w:val="21"/>
          <w:szCs w:val="21"/>
          <w:lang w:val="en-US" w:eastAsia="zh-CN"/>
        </w:rPr>
      </w:pPr>
      <w:r>
        <w:rPr>
          <w:rFonts w:ascii="宋体" w:eastAsia="宋体" w:hAnsi="宋体" w:cs="宋体" w:hint="eastAsia"/>
          <w:color w:val="000000"/>
          <w:kern w:val="0"/>
          <w:sz w:val="21"/>
          <w:szCs w:val="21"/>
          <w:lang w:val="en-US" w:eastAsia="zh-CN"/>
        </w:rPr>
        <w:t>因涉及压力容器，在设备设计、生产和管道安装过程中均要求按国家</w:t>
      </w:r>
      <w:r>
        <w:rPr>
          <w:rFonts w:ascii="宋体" w:eastAsia="宋体" w:hAnsi="宋体" w:cs="宋体" w:hint="eastAsia"/>
          <w:sz w:val="21"/>
          <w:szCs w:val="21"/>
          <w:lang w:val="en-US" w:eastAsia="zh-CN"/>
        </w:rPr>
        <w:t>压力设备生</w:t>
      </w:r>
      <w:r>
        <w:rPr>
          <w:rFonts w:ascii="宋体" w:eastAsia="宋体" w:hAnsi="宋体" w:cs="宋体" w:hint="eastAsia"/>
          <w:color w:val="000000"/>
          <w:kern w:val="0"/>
          <w:sz w:val="21"/>
          <w:szCs w:val="21"/>
          <w:lang w:val="en-US" w:eastAsia="zh-CN"/>
        </w:rPr>
        <w:t>产和压力管道安装标准执行，包括并不限于《压力容器设计标准》（GB150.1-2011)、《固定式压力容器安全技术监察规程》（TSG21-2016）、《钢制化工容器设计基础规定》（HG/T20580-2020）等。注：上述标准如有更新，按照最新标准执行。</w:t>
      </w:r>
    </w:p>
    <w:p>
      <w:pPr>
        <w:pStyle w:val="PlainText"/>
        <w:keepNext w:val="0"/>
        <w:keepLines w:val="0"/>
        <w:pageBreakBefore w:val="0"/>
        <w:widowControl w:val="0"/>
        <w:numPr>
          <w:ilvl w:val="0"/>
          <w:numId w:val="7"/>
        </w:numPr>
        <w:tabs>
          <w:tab w:val="left" w:pos="540"/>
        </w:tabs>
        <w:kinsoku/>
        <w:wordWrap/>
        <w:overflowPunct/>
        <w:topLinePunct w:val="0"/>
        <w:autoSpaceDE/>
        <w:autoSpaceDN/>
        <w:bidi w:val="0"/>
        <w:adjustRightInd w:val="0"/>
        <w:snapToGrid w:val="0"/>
        <w:spacing w:line="360" w:lineRule="auto"/>
        <w:textAlignment w:val="auto"/>
        <w:rPr>
          <w:rFonts w:ascii="宋体" w:eastAsia="宋体" w:hAnsi="宋体" w:cs="宋体" w:hint="eastAsia"/>
          <w:b/>
          <w:sz w:val="21"/>
          <w:szCs w:val="21"/>
          <w:lang w:val="en-US" w:eastAsia="zh-CN"/>
        </w:rPr>
      </w:pPr>
      <w:r>
        <w:rPr>
          <w:rFonts w:ascii="宋体" w:eastAsia="宋体" w:hAnsi="宋体" w:cs="宋体" w:hint="eastAsia"/>
          <w:b/>
          <w:sz w:val="21"/>
          <w:szCs w:val="21"/>
          <w:lang w:val="en-US" w:eastAsia="zh-CN"/>
        </w:rPr>
        <w:t>人员要求</w:t>
      </w:r>
    </w:p>
    <w:p>
      <w:pPr>
        <w:keepNext w:val="0"/>
        <w:keepLines w:val="0"/>
        <w:pageBreakBefore w:val="0"/>
        <w:widowControl w:val="0"/>
        <w:kinsoku/>
        <w:wordWrap/>
        <w:overflowPunct/>
        <w:topLinePunct w:val="0"/>
        <w:autoSpaceDE/>
        <w:autoSpaceDN/>
        <w:bidi w:val="0"/>
        <w:adjustRightInd w:val="0"/>
        <w:snapToGrid w:val="0"/>
        <w:spacing w:line="360" w:lineRule="auto"/>
        <w:ind w:left="359" w:firstLine="420" w:leftChars="171"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为确保工作的顺利开展，中标人需组建一支团队成员，人员高质量专业人员组成的服务队伍，应按质按量完成采购人交办的各项任务。配备专业的设计、安装人员及制造人员。</w:t>
      </w:r>
    </w:p>
    <w:p>
      <w:pPr>
        <w:pStyle w:val="PlainText"/>
        <w:keepNext w:val="0"/>
        <w:keepLines w:val="0"/>
        <w:pageBreakBefore w:val="0"/>
        <w:widowControl w:val="0"/>
        <w:numPr>
          <w:ilvl w:val="0"/>
          <w:numId w:val="7"/>
        </w:numPr>
        <w:tabs>
          <w:tab w:val="left" w:pos="540"/>
        </w:tabs>
        <w:kinsoku/>
        <w:wordWrap/>
        <w:overflowPunct/>
        <w:topLinePunct w:val="0"/>
        <w:autoSpaceDE/>
        <w:autoSpaceDN/>
        <w:bidi w:val="0"/>
        <w:adjustRightInd w:val="0"/>
        <w:snapToGrid w:val="0"/>
        <w:spacing w:line="360" w:lineRule="auto"/>
        <w:textAlignment w:val="auto"/>
        <w:rPr>
          <w:rFonts w:ascii="宋体" w:eastAsia="宋体" w:hAnsi="宋体" w:cs="宋体" w:hint="eastAsia"/>
          <w:b/>
          <w:sz w:val="21"/>
          <w:szCs w:val="21"/>
          <w:lang w:val="en-US" w:eastAsia="zh-CN"/>
        </w:rPr>
      </w:pPr>
      <w:r>
        <w:rPr>
          <w:rFonts w:ascii="宋体" w:eastAsia="宋体" w:hAnsi="宋体" w:cs="宋体" w:hint="eastAsia"/>
          <w:b/>
          <w:sz w:val="21"/>
          <w:szCs w:val="21"/>
          <w:lang w:val="en-US" w:eastAsia="zh-CN"/>
        </w:rPr>
        <w:t>其他要求</w:t>
      </w:r>
    </w:p>
    <w:p>
      <w:pPr>
        <w:keepNext w:val="0"/>
        <w:keepLines w:val="0"/>
        <w:pageBreakBefore w:val="0"/>
        <w:widowControl w:val="0"/>
        <w:kinsoku/>
        <w:wordWrap/>
        <w:overflowPunct/>
        <w:topLinePunct w:val="0"/>
        <w:autoSpaceDE/>
        <w:autoSpaceDN/>
        <w:bidi w:val="0"/>
        <w:adjustRightInd w:val="0"/>
        <w:snapToGrid w:val="0"/>
        <w:spacing w:line="360" w:lineRule="auto"/>
        <w:ind w:left="359" w:firstLine="420" w:leftChars="171" w:firstLineChars="200"/>
        <w:textAlignment w:val="auto"/>
        <w:rPr>
          <w:rFonts w:ascii="宋体" w:eastAsia="宋体" w:hAnsi="宋体" w:cs="宋体" w:hint="eastAsia"/>
          <w:sz w:val="21"/>
          <w:szCs w:val="21"/>
          <w:lang w:val="en-US" w:eastAsia="zh-CN"/>
        </w:rPr>
      </w:pPr>
      <w:r>
        <w:rPr>
          <w:rFonts w:ascii="宋体" w:hAnsi="宋体" w:cs="宋体" w:hint="eastAsia"/>
          <w:sz w:val="21"/>
          <w:szCs w:val="21"/>
          <w:lang w:val="en-US" w:eastAsia="zh-CN"/>
        </w:rPr>
        <w:t>1、</w:t>
      </w:r>
      <w:r>
        <w:rPr>
          <w:rFonts w:ascii="宋体" w:eastAsia="宋体" w:hAnsi="宋体" w:cs="宋体" w:hint="eastAsia"/>
          <w:sz w:val="21"/>
          <w:szCs w:val="21"/>
          <w:lang w:val="en-US" w:eastAsia="zh-CN"/>
        </w:rPr>
        <w:t>投标人针对本项目需求提供设计技术方案；提供制造、安装实施方案。</w:t>
      </w:r>
    </w:p>
    <w:p>
      <w:pPr>
        <w:keepNext w:val="0"/>
        <w:keepLines w:val="0"/>
        <w:pageBreakBefore w:val="0"/>
        <w:widowControl w:val="0"/>
        <w:kinsoku/>
        <w:wordWrap/>
        <w:overflowPunct/>
        <w:topLinePunct w:val="0"/>
        <w:autoSpaceDE/>
        <w:autoSpaceDN/>
        <w:bidi w:val="0"/>
        <w:adjustRightInd w:val="0"/>
        <w:snapToGrid w:val="0"/>
        <w:spacing w:line="360" w:lineRule="auto"/>
        <w:ind w:left="359" w:firstLine="420" w:leftChars="171" w:firstLineChars="200"/>
        <w:textAlignment w:val="auto"/>
        <w:rPr>
          <w:rFonts w:ascii="宋体" w:eastAsia="宋体" w:hAnsi="宋体" w:cs="宋体" w:hint="eastAsia"/>
          <w:sz w:val="21"/>
          <w:szCs w:val="21"/>
          <w:lang w:val="en-US" w:eastAsia="zh-CN"/>
        </w:rPr>
      </w:pPr>
      <w:r>
        <w:rPr>
          <w:rFonts w:ascii="宋体" w:hAnsi="宋体" w:cs="宋体" w:hint="eastAsia"/>
          <w:sz w:val="21"/>
          <w:szCs w:val="21"/>
          <w:lang w:val="en-US" w:eastAsia="zh-CN"/>
        </w:rPr>
        <w:t>2、</w:t>
      </w:r>
      <w:r>
        <w:rPr>
          <w:rFonts w:ascii="宋体" w:eastAsia="宋体" w:hAnsi="宋体" w:cs="宋体" w:hint="eastAsia"/>
          <w:sz w:val="21"/>
          <w:szCs w:val="21"/>
          <w:lang w:val="en-US" w:eastAsia="zh-CN"/>
        </w:rPr>
        <w:t>投标人具备与反应釜、热置换相关专利证书。</w:t>
      </w:r>
    </w:p>
    <w:p>
      <w:pPr>
        <w:keepNext w:val="0"/>
        <w:keepLines w:val="0"/>
        <w:pageBreakBefore w:val="0"/>
        <w:widowControl w:val="0"/>
        <w:kinsoku/>
        <w:wordWrap/>
        <w:overflowPunct/>
        <w:topLinePunct w:val="0"/>
        <w:autoSpaceDE/>
        <w:autoSpaceDN/>
        <w:bidi w:val="0"/>
        <w:adjustRightInd w:val="0"/>
        <w:snapToGrid w:val="0"/>
        <w:spacing w:line="360" w:lineRule="auto"/>
        <w:ind w:left="359" w:firstLine="420" w:leftChars="171" w:firstLineChars="200"/>
        <w:textAlignment w:val="auto"/>
        <w:rPr>
          <w:rFonts w:ascii="宋体" w:eastAsia="宋体" w:hAnsi="宋体" w:cs="宋体" w:hint="eastAsia"/>
          <w:sz w:val="21"/>
          <w:szCs w:val="21"/>
          <w:lang w:val="en-US" w:eastAsia="zh-CN"/>
        </w:rPr>
      </w:pPr>
      <w:r>
        <w:rPr>
          <w:rFonts w:ascii="宋体" w:hAnsi="宋体" w:cs="宋体" w:hint="eastAsia"/>
          <w:sz w:val="21"/>
          <w:szCs w:val="21"/>
          <w:lang w:val="en-US" w:eastAsia="zh-CN"/>
        </w:rPr>
        <w:t>3、</w:t>
      </w:r>
      <w:r>
        <w:rPr>
          <w:rFonts w:ascii="宋体" w:eastAsia="宋体" w:hAnsi="宋体" w:cs="宋体" w:hint="eastAsia"/>
          <w:sz w:val="21"/>
          <w:szCs w:val="21"/>
          <w:lang w:val="en-US" w:eastAsia="zh-CN"/>
        </w:rPr>
        <w:t>投标人具备污水处理相关容积不低于600L以上压力设备的安装同类业绩。</w:t>
      </w:r>
    </w:p>
    <w:p>
      <w:pPr>
        <w:pStyle w:val="PlainText"/>
        <w:numPr>
          <w:ilvl w:val="0"/>
          <w:numId w:val="7"/>
        </w:numPr>
        <w:tabs>
          <w:tab w:val="left" w:pos="540"/>
        </w:tabs>
        <w:adjustRightInd w:val="0"/>
        <w:snapToGrid w:val="0"/>
        <w:spacing w:line="360" w:lineRule="auto"/>
        <w:rPr>
          <w:rFonts w:ascii="宋体" w:hAnsi="宋体" w:hint="eastAsia"/>
          <w:b/>
          <w:sz w:val="21"/>
          <w:szCs w:val="21"/>
        </w:rPr>
      </w:pPr>
      <w:r>
        <w:rPr>
          <w:rFonts w:ascii="宋体" w:hAnsi="宋体" w:hint="eastAsia"/>
          <w:b/>
          <w:sz w:val="21"/>
          <w:szCs w:val="21"/>
        </w:rPr>
        <w:t>商务要求</w:t>
      </w:r>
    </w:p>
    <w:tbl>
      <w:tblPr>
        <w:tblStyle w:val="TableNorm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81"/>
        <w:gridCol w:w="2136"/>
        <w:gridCol w:w="6645"/>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7"/>
          <w:jc w:val="center"/>
        </w:trPr>
        <w:tc>
          <w:tcPr>
            <w:tcW w:w="59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序号</w:t>
            </w:r>
          </w:p>
        </w:tc>
        <w:tc>
          <w:tcPr>
            <w:tcW w:w="1072"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目录</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招标商务需求</w:t>
            </w:r>
          </w:p>
        </w:tc>
      </w:tr>
      <w:tr>
        <w:tblPrEx>
          <w:tblW w:w="5000" w:type="pct"/>
          <w:jc w:val="center"/>
          <w:tblCellMar>
            <w:top w:w="0" w:type="dxa"/>
            <w:left w:w="108" w:type="dxa"/>
            <w:bottom w:w="0" w:type="dxa"/>
            <w:right w:w="108" w:type="dxa"/>
          </w:tblCellMar>
        </w:tblPrEx>
        <w:trPr>
          <w:trHeight w:val="280"/>
          <w:jc w:val="center"/>
        </w:trPr>
        <w:tc>
          <w:tcPr>
            <w:tcW w:w="5000" w:type="pct"/>
            <w:gridSpan w:val="3"/>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rPr>
            </w:pPr>
            <w:r>
              <w:rPr>
                <w:rFonts w:ascii="宋体" w:eastAsia="宋体" w:hAnsi="宋体" w:cs="宋体" w:hint="eastAsia"/>
                <w:b/>
                <w:sz w:val="21"/>
                <w:szCs w:val="21"/>
              </w:rPr>
              <w:t>（一）保修期内售后服务要求</w:t>
            </w:r>
            <w:r>
              <w:rPr>
                <w:rFonts w:ascii="宋体" w:eastAsia="宋体" w:hAnsi="宋体" w:cs="宋体" w:hint="default"/>
                <w:b/>
                <w:sz w:val="21"/>
                <w:szCs w:val="21"/>
                <w:lang w:eastAsia="zh-CN"/>
              </w:rPr>
              <w:t>（期间产生的费用均已包含在投标报价中）</w:t>
            </w:r>
          </w:p>
        </w:tc>
      </w:tr>
      <w:tr>
        <w:tblPrEx>
          <w:tblW w:w="5000" w:type="pct"/>
          <w:jc w:val="center"/>
          <w:tblCellMar>
            <w:top w:w="0" w:type="dxa"/>
            <w:left w:w="108" w:type="dxa"/>
            <w:bottom w:w="0" w:type="dxa"/>
            <w:right w:w="108" w:type="dxa"/>
          </w:tblCellMar>
        </w:tblPrEx>
        <w:trPr>
          <w:trHeight w:val="150"/>
          <w:jc w:val="center"/>
        </w:trPr>
        <w:tc>
          <w:tcPr>
            <w:tcW w:w="59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1</w:t>
            </w:r>
          </w:p>
        </w:tc>
        <w:tc>
          <w:tcPr>
            <w:tcW w:w="1072"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r>
              <w:rPr>
                <w:rFonts w:ascii="宋体" w:eastAsia="宋体" w:hAnsi="宋体" w:cs="宋体" w:hint="eastAsia"/>
                <w:sz w:val="21"/>
                <w:szCs w:val="21"/>
              </w:rPr>
              <w:t>保修期</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sz w:val="21"/>
                <w:szCs w:val="21"/>
              </w:rPr>
              <w:t>合同货物整体质量保证期为验收合格之日起</w:t>
            </w:r>
            <w:r>
              <w:rPr>
                <w:rFonts w:ascii="宋体" w:eastAsia="宋体" w:hAnsi="宋体" w:cs="宋体" w:hint="eastAsia"/>
                <w:sz w:val="21"/>
                <w:szCs w:val="21"/>
                <w:u w:val="single"/>
              </w:rPr>
              <w:softHyphen/>
            </w:r>
            <w:r>
              <w:rPr>
                <w:rFonts w:ascii="宋体" w:eastAsia="宋体" w:hAnsi="宋体" w:cs="宋体" w:hint="eastAsia"/>
                <w:sz w:val="21"/>
                <w:szCs w:val="21"/>
                <w:u w:val="single"/>
              </w:rPr>
              <w:softHyphen/>
            </w:r>
            <w:r>
              <w:rPr>
                <w:rFonts w:ascii="宋体" w:eastAsia="宋体" w:hAnsi="宋体" w:cs="宋体" w:hint="eastAsia"/>
                <w:sz w:val="21"/>
                <w:szCs w:val="21"/>
                <w:u w:val="single"/>
              </w:rPr>
              <w:softHyphen/>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12</w:t>
            </w:r>
            <w:r>
              <w:rPr>
                <w:rFonts w:ascii="宋体" w:eastAsia="宋体" w:hAnsi="宋体" w:cs="宋体" w:hint="eastAsia"/>
                <w:sz w:val="21"/>
                <w:szCs w:val="21"/>
                <w:u w:val="single"/>
              </w:rPr>
              <w:t xml:space="preserve">  </w:t>
            </w:r>
            <w:r>
              <w:rPr>
                <w:rFonts w:ascii="宋体" w:eastAsia="宋体" w:hAnsi="宋体" w:cs="宋体" w:hint="eastAsia"/>
                <w:sz w:val="21"/>
                <w:szCs w:val="21"/>
              </w:rPr>
              <w:t>个月。如果对合同货物中关键部件的质量保证期有特殊要求的，双方可以在补充条款中约定。</w:t>
            </w:r>
          </w:p>
        </w:tc>
      </w:tr>
      <w:tr>
        <w:tblPrEx>
          <w:tblW w:w="5000" w:type="pct"/>
          <w:jc w:val="center"/>
          <w:tblCellMar>
            <w:top w:w="0" w:type="dxa"/>
            <w:left w:w="108" w:type="dxa"/>
            <w:bottom w:w="0" w:type="dxa"/>
            <w:right w:w="108" w:type="dxa"/>
          </w:tblCellMar>
        </w:tblPrEx>
        <w:trPr>
          <w:trHeight w:val="320"/>
          <w:jc w:val="center"/>
        </w:trPr>
        <w:tc>
          <w:tcPr>
            <w:tcW w:w="59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2</w:t>
            </w:r>
          </w:p>
        </w:tc>
        <w:tc>
          <w:tcPr>
            <w:tcW w:w="1072"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r>
              <w:rPr>
                <w:rFonts w:ascii="宋体" w:eastAsia="宋体" w:hAnsi="宋体" w:cs="宋体" w:hint="eastAsia"/>
                <w:sz w:val="21"/>
                <w:szCs w:val="21"/>
              </w:rPr>
              <w:t>维修响应及故障解决时间</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sz w:val="21"/>
                <w:szCs w:val="21"/>
                <w:lang w:eastAsia="zh-CN"/>
              </w:rPr>
              <w:t>投标人</w:t>
            </w:r>
            <w:r>
              <w:rPr>
                <w:rFonts w:ascii="宋体" w:eastAsia="宋体" w:hAnsi="宋体" w:cs="宋体" w:hint="eastAsia"/>
                <w:sz w:val="21"/>
                <w:szCs w:val="21"/>
              </w:rPr>
              <w:t>应为质量保证期服务配备充足的技术人员、工具和备件并保证提供的联系方式畅通。</w:t>
            </w:r>
            <w:r>
              <w:rPr>
                <w:rFonts w:ascii="宋体" w:eastAsia="宋体" w:hAnsi="宋体" w:cs="宋体" w:hint="eastAsia"/>
                <w:sz w:val="21"/>
                <w:szCs w:val="21"/>
                <w:lang w:eastAsia="zh-CN"/>
              </w:rPr>
              <w:t>投标人</w:t>
            </w:r>
            <w:r>
              <w:rPr>
                <w:rFonts w:ascii="宋体" w:eastAsia="宋体" w:hAnsi="宋体" w:cs="宋体" w:hint="eastAsia"/>
                <w:sz w:val="21"/>
                <w:szCs w:val="21"/>
              </w:rPr>
              <w:t>应在收到采购人通知后</w:t>
            </w:r>
            <w:r>
              <w:rPr>
                <w:rFonts w:ascii="宋体" w:eastAsia="宋体" w:hAnsi="宋体" w:cs="宋体" w:hint="eastAsia"/>
                <w:sz w:val="21"/>
                <w:szCs w:val="21"/>
                <w:u w:val="single"/>
              </w:rPr>
              <w:t>24</w:t>
            </w:r>
            <w:r>
              <w:rPr>
                <w:rFonts w:ascii="宋体" w:eastAsia="宋体" w:hAnsi="宋体" w:cs="宋体" w:hint="eastAsia"/>
                <w:sz w:val="21"/>
                <w:szCs w:val="21"/>
              </w:rPr>
              <w:t>小时内作出响应，如需</w:t>
            </w:r>
            <w:r>
              <w:rPr>
                <w:rFonts w:ascii="宋体" w:eastAsia="宋体" w:hAnsi="宋体" w:cs="宋体" w:hint="eastAsia"/>
                <w:sz w:val="21"/>
                <w:szCs w:val="21"/>
                <w:lang w:eastAsia="zh-CN"/>
              </w:rPr>
              <w:t>投标人</w:t>
            </w:r>
            <w:r>
              <w:rPr>
                <w:rFonts w:ascii="宋体" w:eastAsia="宋体" w:hAnsi="宋体" w:cs="宋体" w:hint="eastAsia"/>
                <w:sz w:val="21"/>
                <w:szCs w:val="21"/>
              </w:rPr>
              <w:t>到合同货物现场，</w:t>
            </w:r>
            <w:r>
              <w:rPr>
                <w:rFonts w:ascii="宋体" w:eastAsia="宋体" w:hAnsi="宋体" w:cs="宋体" w:hint="eastAsia"/>
                <w:sz w:val="21"/>
                <w:szCs w:val="21"/>
                <w:lang w:eastAsia="zh-CN"/>
              </w:rPr>
              <w:t>投标人</w:t>
            </w:r>
            <w:r>
              <w:rPr>
                <w:rFonts w:ascii="宋体" w:eastAsia="宋体" w:hAnsi="宋体" w:cs="宋体" w:hint="eastAsia"/>
                <w:sz w:val="21"/>
                <w:szCs w:val="21"/>
              </w:rPr>
              <w:t>应在收到采购人通知后</w:t>
            </w:r>
            <w:r>
              <w:rPr>
                <w:rFonts w:ascii="宋体" w:eastAsia="宋体" w:hAnsi="宋体" w:cs="宋体" w:hint="eastAsia"/>
                <w:sz w:val="21"/>
                <w:szCs w:val="21"/>
                <w:u w:val="single"/>
              </w:rPr>
              <w:t>48</w:t>
            </w:r>
            <w:r>
              <w:rPr>
                <w:rFonts w:ascii="宋体" w:eastAsia="宋体" w:hAnsi="宋体" w:cs="宋体" w:hint="eastAsia"/>
                <w:sz w:val="21"/>
                <w:szCs w:val="21"/>
              </w:rPr>
              <w:t>小时内到达，并在到达后</w:t>
            </w:r>
            <w:r>
              <w:rPr>
                <w:rFonts w:ascii="宋体" w:eastAsia="宋体" w:hAnsi="宋体" w:cs="宋体" w:hint="eastAsia"/>
                <w:sz w:val="21"/>
                <w:szCs w:val="21"/>
                <w:u w:val="single"/>
              </w:rPr>
              <w:t>7</w:t>
            </w:r>
            <w:r>
              <w:rPr>
                <w:rFonts w:ascii="宋体" w:eastAsia="宋体" w:hAnsi="宋体" w:cs="宋体" w:hint="eastAsia"/>
                <w:sz w:val="21"/>
                <w:szCs w:val="21"/>
              </w:rPr>
              <w:t>日内解决合同货物的故障（重大故障除外）。如果</w:t>
            </w:r>
            <w:r>
              <w:rPr>
                <w:rFonts w:ascii="宋体" w:eastAsia="宋体" w:hAnsi="宋体" w:cs="宋体" w:hint="eastAsia"/>
                <w:sz w:val="21"/>
                <w:szCs w:val="21"/>
                <w:lang w:eastAsia="zh-CN"/>
              </w:rPr>
              <w:t>投标人</w:t>
            </w:r>
            <w:r>
              <w:rPr>
                <w:rFonts w:ascii="宋体" w:eastAsia="宋体" w:hAnsi="宋体" w:cs="宋体" w:hint="eastAsia"/>
                <w:sz w:val="21"/>
                <w:szCs w:val="21"/>
              </w:rPr>
              <w:t>未在上述时间内作出响应，则采购人有权自行或委托他人解决相关问题或查找和解决合同货物的故障，</w:t>
            </w:r>
            <w:r>
              <w:rPr>
                <w:rFonts w:ascii="宋体" w:eastAsia="宋体" w:hAnsi="宋体" w:cs="宋体" w:hint="eastAsia"/>
                <w:sz w:val="21"/>
                <w:szCs w:val="21"/>
                <w:lang w:eastAsia="zh-CN"/>
              </w:rPr>
              <w:t>投标人</w:t>
            </w:r>
            <w:r>
              <w:rPr>
                <w:rFonts w:ascii="宋体" w:eastAsia="宋体" w:hAnsi="宋体" w:cs="宋体" w:hint="eastAsia"/>
                <w:sz w:val="21"/>
                <w:szCs w:val="21"/>
              </w:rPr>
              <w:t>应承担由此发生的全部费用。</w:t>
            </w:r>
          </w:p>
        </w:tc>
      </w:tr>
      <w:tr>
        <w:tblPrEx>
          <w:tblW w:w="5000" w:type="pct"/>
          <w:jc w:val="center"/>
          <w:tblCellMar>
            <w:top w:w="0" w:type="dxa"/>
            <w:left w:w="108" w:type="dxa"/>
            <w:bottom w:w="0" w:type="dxa"/>
            <w:right w:w="108" w:type="dxa"/>
          </w:tblCellMar>
        </w:tblPrEx>
        <w:trPr>
          <w:trHeight w:val="523"/>
          <w:jc w:val="center"/>
        </w:trPr>
        <w:tc>
          <w:tcPr>
            <w:tcW w:w="593" w:type="pct"/>
            <w:vMerge w:val="restar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3</w:t>
            </w:r>
          </w:p>
        </w:tc>
        <w:tc>
          <w:tcPr>
            <w:tcW w:w="1072" w:type="pct"/>
            <w:vMerge w:val="restar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sz w:val="21"/>
                <w:szCs w:val="21"/>
              </w:rPr>
              <w:t>其他</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sz w:val="21"/>
                <w:szCs w:val="21"/>
              </w:rPr>
              <w:t>提供原厂技术人员对采购人的操作技术培训和相关技术资料。培训时间不少于</w:t>
            </w:r>
            <w:r>
              <w:rPr>
                <w:rFonts w:ascii="宋体" w:eastAsia="宋体" w:hAnsi="宋体" w:cs="宋体" w:hint="eastAsia"/>
                <w:sz w:val="21"/>
                <w:szCs w:val="21"/>
                <w:u w:val="single"/>
              </w:rPr>
              <w:t xml:space="preserve"> 5 </w:t>
            </w:r>
            <w:r>
              <w:rPr>
                <w:rFonts w:ascii="宋体" w:eastAsia="宋体" w:hAnsi="宋体" w:cs="宋体" w:hint="eastAsia"/>
                <w:sz w:val="21"/>
                <w:szCs w:val="21"/>
              </w:rPr>
              <w:t>天。</w:t>
            </w:r>
          </w:p>
        </w:tc>
      </w:tr>
      <w:tr>
        <w:tblPrEx>
          <w:tblW w:w="5000" w:type="pct"/>
          <w:jc w:val="center"/>
          <w:tblCellMar>
            <w:top w:w="0" w:type="dxa"/>
            <w:left w:w="108" w:type="dxa"/>
            <w:bottom w:w="0" w:type="dxa"/>
            <w:right w:w="108" w:type="dxa"/>
          </w:tblCellMar>
        </w:tblPrEx>
        <w:trPr>
          <w:trHeight w:val="523"/>
          <w:jc w:val="center"/>
        </w:trPr>
        <w:tc>
          <w:tcPr>
            <w:tcW w:w="593"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rPr>
            </w:pPr>
          </w:p>
        </w:tc>
        <w:tc>
          <w:tcPr>
            <w:tcW w:w="1072"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投标人</w:t>
            </w:r>
            <w:r>
              <w:rPr>
                <w:rFonts w:ascii="宋体" w:eastAsia="宋体" w:hAnsi="宋体" w:cs="宋体" w:hint="eastAsia"/>
                <w:sz w:val="21"/>
                <w:szCs w:val="21"/>
              </w:rPr>
              <w:t>在质量保证期内应对设备进行定期巡检</w:t>
            </w:r>
            <w:r>
              <w:rPr>
                <w:rFonts w:ascii="宋体" w:eastAsia="宋体" w:hAnsi="宋体" w:cs="宋体" w:hint="eastAsia"/>
                <w:sz w:val="21"/>
                <w:szCs w:val="21"/>
                <w:lang w:eastAsia="zh-CN"/>
              </w:rPr>
              <w:t>。</w:t>
            </w:r>
          </w:p>
        </w:tc>
      </w:tr>
      <w:tr>
        <w:tblPrEx>
          <w:tblW w:w="5000" w:type="pct"/>
          <w:jc w:val="center"/>
          <w:tblCellMar>
            <w:top w:w="0" w:type="dxa"/>
            <w:left w:w="108" w:type="dxa"/>
            <w:bottom w:w="0" w:type="dxa"/>
            <w:right w:w="108" w:type="dxa"/>
          </w:tblCellMar>
        </w:tblPrEx>
        <w:trPr>
          <w:trHeight w:val="280"/>
          <w:jc w:val="center"/>
        </w:trPr>
        <w:tc>
          <w:tcPr>
            <w:tcW w:w="5000" w:type="pct"/>
            <w:gridSpan w:val="3"/>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rPr>
            </w:pPr>
            <w:r>
              <w:rPr>
                <w:rFonts w:ascii="宋体" w:eastAsia="宋体" w:hAnsi="宋体" w:cs="宋体" w:hint="eastAsia"/>
                <w:b/>
                <w:sz w:val="21"/>
                <w:szCs w:val="21"/>
              </w:rPr>
              <w:t>（二）保修期外售后服务要求</w:t>
            </w:r>
          </w:p>
        </w:tc>
      </w:tr>
      <w:tr>
        <w:tblPrEx>
          <w:tblW w:w="5000" w:type="pct"/>
          <w:jc w:val="center"/>
          <w:tblCellMar>
            <w:top w:w="0" w:type="dxa"/>
            <w:left w:w="108" w:type="dxa"/>
            <w:bottom w:w="0" w:type="dxa"/>
            <w:right w:w="108" w:type="dxa"/>
          </w:tblCellMar>
        </w:tblPrEx>
        <w:trPr>
          <w:trHeight w:val="350"/>
          <w:jc w:val="center"/>
        </w:trPr>
        <w:tc>
          <w:tcPr>
            <w:tcW w:w="59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1</w:t>
            </w:r>
          </w:p>
        </w:tc>
        <w:tc>
          <w:tcPr>
            <w:tcW w:w="1072"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保修期</w:t>
            </w:r>
            <w:r>
              <w:rPr>
                <w:rFonts w:ascii="宋体" w:hAnsi="宋体" w:cs="宋体" w:hint="eastAsia"/>
                <w:sz w:val="21"/>
                <w:szCs w:val="21"/>
                <w:lang w:val="en-US" w:eastAsia="zh-CN"/>
              </w:rPr>
              <w:t>外</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1、</w:t>
            </w:r>
            <w:r>
              <w:rPr>
                <w:rFonts w:ascii="宋体" w:eastAsia="宋体" w:hAnsi="宋体" w:cs="宋体" w:hint="eastAsia"/>
                <w:sz w:val="21"/>
                <w:szCs w:val="21"/>
              </w:rPr>
              <w:t>质保期内免收一切费用，质保期外</w:t>
            </w:r>
            <w:r>
              <w:rPr>
                <w:rFonts w:ascii="宋体" w:eastAsia="宋体" w:hAnsi="宋体" w:cs="宋体" w:hint="eastAsia"/>
                <w:sz w:val="21"/>
                <w:szCs w:val="21"/>
                <w:lang w:val="en-US" w:eastAsia="zh-CN"/>
              </w:rPr>
              <w:t>在</w:t>
            </w:r>
            <w:r>
              <w:rPr>
                <w:rFonts w:ascii="宋体" w:eastAsia="宋体" w:hAnsi="宋体" w:cs="宋体" w:hint="eastAsia"/>
                <w:sz w:val="21"/>
                <w:szCs w:val="21"/>
              </w:rPr>
              <w:t>设备主体不升级情况下，确保所提供的软件可随设备终身有效使用；</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rPr>
            </w:pPr>
            <w:r>
              <w:rPr>
                <w:rFonts w:ascii="宋体" w:eastAsia="宋体" w:hAnsi="宋体" w:cs="宋体" w:hint="eastAsia"/>
                <w:sz w:val="21"/>
                <w:szCs w:val="21"/>
              </w:rPr>
              <w:t>2.需对所提供的设备终身承保，延保费用不高于同期同类型设备维修或维护的市场价格。</w:t>
            </w:r>
          </w:p>
        </w:tc>
      </w:tr>
      <w:tr>
        <w:tblPrEx>
          <w:tblW w:w="5000" w:type="pct"/>
          <w:jc w:val="center"/>
          <w:tblCellMar>
            <w:top w:w="0" w:type="dxa"/>
            <w:left w:w="108" w:type="dxa"/>
            <w:bottom w:w="0" w:type="dxa"/>
            <w:right w:w="108" w:type="dxa"/>
          </w:tblCellMar>
        </w:tblPrEx>
        <w:trPr>
          <w:trHeight w:val="350"/>
          <w:jc w:val="center"/>
        </w:trPr>
        <w:tc>
          <w:tcPr>
            <w:tcW w:w="59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2</w:t>
            </w:r>
          </w:p>
        </w:tc>
        <w:tc>
          <w:tcPr>
            <w:tcW w:w="1072"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r>
              <w:rPr>
                <w:rFonts w:ascii="宋体" w:eastAsia="宋体" w:hAnsi="宋体" w:cs="宋体" w:hint="eastAsia"/>
                <w:sz w:val="21"/>
                <w:szCs w:val="21"/>
              </w:rPr>
              <w:t>软件管理</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rPr>
            </w:pPr>
            <w:r>
              <w:rPr>
                <w:rFonts w:ascii="宋体" w:hAnsi="宋体" w:cs="宋体" w:hint="eastAsia"/>
                <w:sz w:val="21"/>
                <w:szCs w:val="21"/>
                <w:lang w:val="en-US" w:eastAsia="zh-CN"/>
              </w:rPr>
              <w:t>需</w:t>
            </w:r>
            <w:r>
              <w:rPr>
                <w:rFonts w:ascii="宋体" w:eastAsia="宋体" w:hAnsi="宋体" w:cs="宋体" w:hint="eastAsia"/>
                <w:sz w:val="21"/>
                <w:szCs w:val="21"/>
              </w:rPr>
              <w:t>提供终身免费软件升级管理服务。</w:t>
            </w:r>
          </w:p>
        </w:tc>
      </w:tr>
      <w:tr>
        <w:tblPrEx>
          <w:tblW w:w="5000" w:type="pct"/>
          <w:jc w:val="center"/>
          <w:tblCellMar>
            <w:top w:w="0" w:type="dxa"/>
            <w:left w:w="108" w:type="dxa"/>
            <w:bottom w:w="0" w:type="dxa"/>
            <w:right w:w="108" w:type="dxa"/>
          </w:tblCellMar>
        </w:tblPrEx>
        <w:trPr>
          <w:trHeight w:val="350"/>
          <w:jc w:val="center"/>
        </w:trPr>
        <w:tc>
          <w:tcPr>
            <w:tcW w:w="59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3</w:t>
            </w:r>
          </w:p>
        </w:tc>
        <w:tc>
          <w:tcPr>
            <w:tcW w:w="1072"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b/>
                <w:sz w:val="21"/>
                <w:szCs w:val="21"/>
              </w:rPr>
            </w:pPr>
            <w:r>
              <w:rPr>
                <w:rFonts w:ascii="宋体" w:eastAsia="宋体" w:hAnsi="宋体" w:cs="宋体" w:hint="eastAsia"/>
                <w:sz w:val="21"/>
                <w:szCs w:val="21"/>
              </w:rPr>
              <w:t>维修响应及故障解决时间</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rPr>
            </w:pPr>
            <w:r>
              <w:rPr>
                <w:rFonts w:ascii="宋体" w:eastAsia="宋体" w:hAnsi="宋体" w:cs="宋体" w:hint="eastAsia"/>
                <w:sz w:val="21"/>
                <w:szCs w:val="21"/>
              </w:rPr>
              <w:t>在保修期外，一旦发生质量问题，投标人保证在接到通知24小时做出应答，3个工作日内赶到现场进行修理或更换。</w:t>
            </w:r>
          </w:p>
        </w:tc>
      </w:tr>
      <w:tr>
        <w:tblPrEx>
          <w:tblW w:w="5000" w:type="pct"/>
          <w:jc w:val="center"/>
          <w:tblCellMar>
            <w:top w:w="0" w:type="dxa"/>
            <w:left w:w="108" w:type="dxa"/>
            <w:bottom w:w="0" w:type="dxa"/>
            <w:right w:w="108" w:type="dxa"/>
          </w:tblCellMar>
        </w:tblPrEx>
        <w:trPr>
          <w:trHeight w:val="350"/>
          <w:jc w:val="center"/>
        </w:trPr>
        <w:tc>
          <w:tcPr>
            <w:tcW w:w="5000" w:type="pct"/>
            <w:gridSpan w:val="3"/>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rPr>
            </w:pPr>
            <w:r>
              <w:rPr>
                <w:rFonts w:ascii="宋体" w:eastAsia="宋体" w:hAnsi="宋体" w:cs="宋体" w:hint="eastAsia"/>
                <w:b/>
                <w:sz w:val="21"/>
                <w:szCs w:val="21"/>
              </w:rPr>
              <w:t>（三）其他商务要求</w:t>
            </w:r>
          </w:p>
        </w:tc>
      </w:tr>
      <w:tr>
        <w:tblPrEx>
          <w:tblW w:w="5000" w:type="pct"/>
          <w:jc w:val="center"/>
          <w:tblCellMar>
            <w:top w:w="0" w:type="dxa"/>
            <w:left w:w="108" w:type="dxa"/>
            <w:bottom w:w="0" w:type="dxa"/>
            <w:right w:w="108" w:type="dxa"/>
          </w:tblCellMar>
        </w:tblPrEx>
        <w:trPr>
          <w:trHeight w:val="350"/>
          <w:jc w:val="center"/>
        </w:trPr>
        <w:tc>
          <w:tcPr>
            <w:tcW w:w="593" w:type="pct"/>
            <w:vMerge w:val="restar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1</w:t>
            </w:r>
          </w:p>
        </w:tc>
        <w:tc>
          <w:tcPr>
            <w:tcW w:w="1072" w:type="pct"/>
            <w:vMerge w:val="restar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r>
              <w:rPr>
                <w:rFonts w:ascii="宋体" w:eastAsia="宋体" w:hAnsi="宋体" w:cs="宋体" w:hint="eastAsia"/>
                <w:sz w:val="21"/>
                <w:szCs w:val="21"/>
              </w:rPr>
              <w:t>关于交货</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rPr>
            </w:pPr>
            <w:r>
              <w:rPr>
                <w:rFonts w:ascii="宋体" w:eastAsia="宋体" w:hAnsi="宋体" w:cs="宋体" w:hint="eastAsia"/>
                <w:bCs/>
                <w:sz w:val="21"/>
                <w:szCs w:val="21"/>
                <w:lang w:val="en-US" w:eastAsia="zh-CN"/>
              </w:rPr>
              <w:t>1.1</w:t>
            </w:r>
            <w:r>
              <w:rPr>
                <w:rFonts w:ascii="宋体" w:eastAsia="宋体" w:hAnsi="宋体" w:cs="宋体" w:hint="eastAsia"/>
                <w:bCs/>
                <w:sz w:val="21"/>
                <w:szCs w:val="21"/>
              </w:rPr>
              <w:t>★</w:t>
            </w:r>
            <w:r>
              <w:rPr>
                <w:rFonts w:ascii="宋体" w:eastAsia="宋体" w:hAnsi="宋体" w:cs="宋体" w:hint="eastAsia"/>
                <w:bCs/>
                <w:sz w:val="21"/>
                <w:szCs w:val="21"/>
                <w:lang w:val="en-US" w:eastAsia="zh-CN"/>
              </w:rPr>
              <w:t>设备到货时间：</w:t>
            </w:r>
            <w:r>
              <w:rPr>
                <w:rFonts w:ascii="宋体" w:hAnsi="宋体" w:cs="宋体" w:hint="eastAsia"/>
                <w:bCs/>
                <w:sz w:val="21"/>
                <w:szCs w:val="21"/>
                <w:lang w:val="en-US" w:eastAsia="zh-CN"/>
              </w:rPr>
              <w:t>合同签订后50日内</w:t>
            </w:r>
            <w:r>
              <w:rPr>
                <w:rFonts w:ascii="宋体" w:eastAsia="宋体" w:hAnsi="宋体" w:cs="宋体" w:hint="eastAsia"/>
                <w:bCs/>
                <w:sz w:val="21"/>
                <w:szCs w:val="21"/>
                <w:lang w:val="en-US" w:eastAsia="zh-CN"/>
              </w:rPr>
              <w:t>；设备安装调试交付使用时间：设备到货后30天内</w:t>
            </w:r>
            <w:bookmarkStart w:id="70" w:name="_Toc35941933"/>
            <w:bookmarkEnd w:id="70"/>
            <w:bookmarkStart w:id="71" w:name="_Toc34754057"/>
            <w:bookmarkEnd w:id="71"/>
            <w:r>
              <w:rPr>
                <w:rFonts w:ascii="宋体" w:eastAsia="宋体" w:hAnsi="宋体" w:cs="宋体" w:hint="eastAsia"/>
                <w:bCs/>
                <w:sz w:val="21"/>
                <w:szCs w:val="21"/>
                <w:lang w:val="en-US" w:eastAsia="zh-CN"/>
              </w:rPr>
              <w:t>。</w:t>
            </w:r>
          </w:p>
        </w:tc>
      </w:tr>
      <w:tr>
        <w:tblPrEx>
          <w:tblW w:w="5000" w:type="pct"/>
          <w:jc w:val="center"/>
          <w:tblCellMar>
            <w:top w:w="0" w:type="dxa"/>
            <w:left w:w="108" w:type="dxa"/>
            <w:bottom w:w="0" w:type="dxa"/>
            <w:right w:w="108" w:type="dxa"/>
          </w:tblCellMar>
        </w:tblPrEx>
        <w:trPr>
          <w:trHeight w:val="451"/>
          <w:jc w:val="center"/>
        </w:trPr>
        <w:tc>
          <w:tcPr>
            <w:tcW w:w="593"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p>
        </w:tc>
        <w:tc>
          <w:tcPr>
            <w:tcW w:w="1072"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Cs/>
                <w:sz w:val="21"/>
                <w:szCs w:val="21"/>
              </w:rPr>
            </w:pPr>
            <w:r>
              <w:rPr>
                <w:rFonts w:ascii="宋体" w:eastAsia="宋体" w:hAnsi="宋体" w:cs="宋体" w:hint="eastAsia"/>
                <w:bCs/>
                <w:sz w:val="21"/>
                <w:szCs w:val="21"/>
              </w:rPr>
              <w:t>1.2投标人必须承担的设备运输、安装调试、验收检测和提供设备操作说明书、图纸等其他类似的义务。</w:t>
            </w:r>
          </w:p>
        </w:tc>
      </w:tr>
      <w:tr>
        <w:tblPrEx>
          <w:tblW w:w="5000" w:type="pct"/>
          <w:jc w:val="center"/>
          <w:tblCellMar>
            <w:top w:w="0" w:type="dxa"/>
            <w:left w:w="108" w:type="dxa"/>
            <w:bottom w:w="0" w:type="dxa"/>
            <w:right w:w="108" w:type="dxa"/>
          </w:tblCellMar>
        </w:tblPrEx>
        <w:trPr>
          <w:trHeight w:val="451"/>
          <w:jc w:val="center"/>
        </w:trPr>
        <w:tc>
          <w:tcPr>
            <w:tcW w:w="593"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p>
        </w:tc>
        <w:tc>
          <w:tcPr>
            <w:tcW w:w="1072"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Cs/>
                <w:sz w:val="21"/>
                <w:szCs w:val="21"/>
              </w:rPr>
            </w:pPr>
            <w:r>
              <w:rPr>
                <w:rFonts w:ascii="宋体" w:eastAsia="宋体" w:hAnsi="宋体" w:cs="宋体" w:hint="eastAsia"/>
                <w:bCs/>
                <w:sz w:val="21"/>
                <w:szCs w:val="21"/>
              </w:rPr>
              <w:t>1.3</w:t>
            </w:r>
            <w:r>
              <w:rPr>
                <w:rFonts w:ascii="宋体" w:eastAsia="宋体" w:hAnsi="宋体" w:cs="宋体" w:hint="eastAsia"/>
                <w:sz w:val="21"/>
                <w:szCs w:val="21"/>
              </w:rPr>
              <w:t>交货地点：</w:t>
            </w:r>
            <w:r>
              <w:rPr>
                <w:rFonts w:ascii="宋体" w:eastAsia="宋体" w:hAnsi="宋体" w:cs="宋体" w:hint="eastAsia"/>
                <w:sz w:val="21"/>
                <w:szCs w:val="21"/>
                <w:lang w:val="en-US" w:eastAsia="zh-CN"/>
              </w:rPr>
              <w:t>采购人</w:t>
            </w:r>
            <w:r>
              <w:rPr>
                <w:rFonts w:ascii="宋体" w:eastAsia="宋体" w:hAnsi="宋体" w:cs="宋体" w:hint="eastAsia"/>
                <w:sz w:val="21"/>
                <w:szCs w:val="21"/>
              </w:rPr>
              <w:t>指定地点</w:t>
            </w:r>
          </w:p>
        </w:tc>
      </w:tr>
      <w:tr>
        <w:tblPrEx>
          <w:tblW w:w="5000" w:type="pct"/>
          <w:jc w:val="center"/>
          <w:tblCellMar>
            <w:top w:w="0" w:type="dxa"/>
            <w:left w:w="108" w:type="dxa"/>
            <w:bottom w:w="0" w:type="dxa"/>
            <w:right w:w="108" w:type="dxa"/>
          </w:tblCellMar>
        </w:tblPrEx>
        <w:trPr>
          <w:trHeight w:val="350"/>
          <w:jc w:val="center"/>
        </w:trPr>
        <w:tc>
          <w:tcPr>
            <w:tcW w:w="593" w:type="pct"/>
            <w:vMerge w:val="restar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2</w:t>
            </w:r>
          </w:p>
        </w:tc>
        <w:tc>
          <w:tcPr>
            <w:tcW w:w="1072" w:type="pct"/>
            <w:vMerge w:val="restar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r>
              <w:rPr>
                <w:rFonts w:ascii="宋体" w:eastAsia="宋体" w:hAnsi="宋体" w:cs="宋体" w:hint="eastAsia"/>
                <w:b/>
                <w:bCs/>
                <w:sz w:val="21"/>
                <w:szCs w:val="21"/>
              </w:rPr>
              <w:t>★</w:t>
            </w:r>
            <w:r>
              <w:rPr>
                <w:rFonts w:ascii="宋体" w:eastAsia="宋体" w:hAnsi="宋体" w:cs="宋体" w:hint="eastAsia"/>
                <w:sz w:val="21"/>
                <w:szCs w:val="21"/>
              </w:rPr>
              <w:t>关于验收</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Cs/>
                <w:sz w:val="21"/>
                <w:szCs w:val="21"/>
              </w:rPr>
            </w:pPr>
            <w:r>
              <w:rPr>
                <w:rFonts w:ascii="宋体" w:eastAsia="宋体" w:hAnsi="宋体" w:cs="宋体" w:hint="eastAsia"/>
                <w:bCs/>
                <w:sz w:val="21"/>
                <w:szCs w:val="21"/>
                <w:lang w:val="en-US" w:eastAsia="zh-CN"/>
              </w:rPr>
              <w:t>2</w:t>
            </w:r>
            <w:r>
              <w:rPr>
                <w:rFonts w:ascii="宋体" w:eastAsia="宋体" w:hAnsi="宋体" w:cs="宋体" w:hint="eastAsia"/>
                <w:bCs/>
                <w:sz w:val="21"/>
                <w:szCs w:val="21"/>
              </w:rPr>
              <w:t>.1投标人货物经过双方检验认可后，签署验收报告，产品保修期自验收合格之日起算，由投标人提供产品保修文件。</w:t>
            </w:r>
          </w:p>
        </w:tc>
      </w:tr>
      <w:tr>
        <w:tblPrEx>
          <w:tblW w:w="5000" w:type="pct"/>
          <w:jc w:val="center"/>
          <w:tblCellMar>
            <w:top w:w="0" w:type="dxa"/>
            <w:left w:w="108" w:type="dxa"/>
            <w:bottom w:w="0" w:type="dxa"/>
            <w:right w:w="108" w:type="dxa"/>
          </w:tblCellMar>
        </w:tblPrEx>
        <w:trPr>
          <w:trHeight w:val="350"/>
          <w:jc w:val="center"/>
        </w:trPr>
        <w:tc>
          <w:tcPr>
            <w:tcW w:w="593"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p>
        </w:tc>
        <w:tc>
          <w:tcPr>
            <w:tcW w:w="1072"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b/>
                <w:sz w:val="21"/>
                <w:szCs w:val="21"/>
              </w:rPr>
            </w:pP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Cs/>
                <w:sz w:val="21"/>
                <w:szCs w:val="21"/>
              </w:rPr>
            </w:pPr>
            <w:r>
              <w:rPr>
                <w:rFonts w:ascii="宋体" w:eastAsia="宋体" w:hAnsi="宋体" w:cs="宋体" w:hint="eastAsia"/>
                <w:bCs/>
                <w:sz w:val="21"/>
                <w:szCs w:val="21"/>
                <w:lang w:val="en-US" w:eastAsia="zh-CN"/>
              </w:rPr>
              <w:t>2</w:t>
            </w:r>
            <w:r>
              <w:rPr>
                <w:rFonts w:ascii="宋体" w:eastAsia="宋体" w:hAnsi="宋体" w:cs="宋体" w:hint="eastAsia"/>
                <w:bCs/>
                <w:sz w:val="21"/>
                <w:szCs w:val="21"/>
              </w:rPr>
              <w:t>.2当满足以下条件时，采购人才向中标人签发货物验收报告：</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Cs/>
                <w:sz w:val="21"/>
                <w:szCs w:val="21"/>
              </w:rPr>
            </w:pPr>
            <w:r>
              <w:rPr>
                <w:rFonts w:ascii="宋体" w:eastAsia="宋体" w:hAnsi="宋体" w:cs="宋体" w:hint="eastAsia"/>
                <w:bCs/>
                <w:sz w:val="21"/>
                <w:szCs w:val="21"/>
              </w:rPr>
              <w:t>a、中标人已按照合同规定提供了全部产品及完整的技术资料。</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Cs/>
                <w:sz w:val="21"/>
                <w:szCs w:val="21"/>
              </w:rPr>
            </w:pPr>
            <w:r>
              <w:rPr>
                <w:rFonts w:ascii="宋体" w:eastAsia="宋体" w:hAnsi="宋体" w:cs="宋体" w:hint="eastAsia"/>
                <w:bCs/>
                <w:sz w:val="21"/>
                <w:szCs w:val="21"/>
              </w:rPr>
              <w:t>b、货物符合招标文件、投标文件技术要求，性能满足要求。</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Cs/>
                <w:sz w:val="21"/>
                <w:szCs w:val="21"/>
                <w:lang w:val="en-US" w:eastAsia="zh-CN"/>
              </w:rPr>
            </w:pPr>
            <w:r>
              <w:rPr>
                <w:rFonts w:ascii="宋体" w:eastAsia="宋体" w:hAnsi="宋体" w:cs="宋体" w:hint="eastAsia"/>
                <w:bCs/>
                <w:sz w:val="21"/>
                <w:szCs w:val="21"/>
              </w:rPr>
              <w:t>c、货物具备产品合格证。</w:t>
            </w:r>
          </w:p>
        </w:tc>
      </w:tr>
      <w:tr>
        <w:tblPrEx>
          <w:tblW w:w="5000" w:type="pct"/>
          <w:jc w:val="center"/>
          <w:tblCellMar>
            <w:top w:w="0" w:type="dxa"/>
            <w:left w:w="108" w:type="dxa"/>
            <w:bottom w:w="0" w:type="dxa"/>
            <w:right w:w="108" w:type="dxa"/>
          </w:tblCellMar>
        </w:tblPrEx>
        <w:trPr>
          <w:trHeight w:val="350"/>
          <w:jc w:val="center"/>
        </w:trPr>
        <w:tc>
          <w:tcPr>
            <w:tcW w:w="593"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p>
        </w:tc>
        <w:tc>
          <w:tcPr>
            <w:tcW w:w="1072"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b/>
                <w:sz w:val="21"/>
                <w:szCs w:val="21"/>
              </w:rPr>
            </w:pP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Cs/>
                <w:sz w:val="21"/>
                <w:szCs w:val="21"/>
                <w:lang w:val="en-US" w:eastAsia="zh-CN"/>
              </w:rPr>
            </w:pPr>
            <w:r>
              <w:rPr>
                <w:rFonts w:ascii="宋体" w:eastAsia="宋体" w:hAnsi="宋体" w:cs="宋体" w:hint="eastAsia"/>
                <w:bCs/>
                <w:sz w:val="21"/>
                <w:szCs w:val="21"/>
                <w:lang w:val="en-US" w:eastAsia="zh-CN"/>
              </w:rPr>
              <w:t>2.3组织专家参与验收</w:t>
            </w:r>
          </w:p>
        </w:tc>
      </w:tr>
      <w:tr>
        <w:tblPrEx>
          <w:tblW w:w="5000" w:type="pct"/>
          <w:jc w:val="center"/>
          <w:tblCellMar>
            <w:top w:w="0" w:type="dxa"/>
            <w:left w:w="108" w:type="dxa"/>
            <w:bottom w:w="0" w:type="dxa"/>
            <w:right w:w="108" w:type="dxa"/>
          </w:tblCellMar>
        </w:tblPrEx>
        <w:trPr>
          <w:trHeight w:val="350"/>
          <w:jc w:val="center"/>
        </w:trPr>
        <w:tc>
          <w:tcPr>
            <w:tcW w:w="59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3</w:t>
            </w:r>
          </w:p>
        </w:tc>
        <w:tc>
          <w:tcPr>
            <w:tcW w:w="1072"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b/>
                <w:sz w:val="21"/>
                <w:szCs w:val="21"/>
              </w:rPr>
            </w:pPr>
            <w:r>
              <w:rPr>
                <w:rFonts w:ascii="宋体" w:eastAsia="宋体" w:hAnsi="宋体" w:cs="宋体" w:hint="eastAsia"/>
                <w:sz w:val="21"/>
                <w:szCs w:val="21"/>
              </w:rPr>
              <w:t>关于质量</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highlight w:val="none"/>
              </w:rPr>
            </w:pPr>
            <w:r>
              <w:rPr>
                <w:rFonts w:ascii="宋体" w:eastAsia="宋体" w:hAnsi="宋体" w:cs="宋体" w:hint="eastAsia"/>
                <w:sz w:val="21"/>
                <w:szCs w:val="21"/>
                <w:highlight w:val="none"/>
              </w:rPr>
              <w:t>1.3投标人保证所供货物系最好材料、最好的工艺制造，货物应是新的和未用过的，并且其品质和规格完全符合本合同规定。品质保证期为自货物验收合格日起3年。</w:t>
            </w:r>
          </w:p>
        </w:tc>
      </w:tr>
      <w:tr>
        <w:tblPrEx>
          <w:tblW w:w="5000" w:type="pct"/>
          <w:jc w:val="center"/>
          <w:tblCellMar>
            <w:top w:w="0" w:type="dxa"/>
            <w:left w:w="108" w:type="dxa"/>
            <w:bottom w:w="0" w:type="dxa"/>
            <w:right w:w="108" w:type="dxa"/>
          </w:tblCellMar>
        </w:tblPrEx>
        <w:trPr>
          <w:trHeight w:val="1065"/>
          <w:jc w:val="center"/>
        </w:trPr>
        <w:tc>
          <w:tcPr>
            <w:tcW w:w="59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sz w:val="21"/>
                <w:szCs w:val="21"/>
              </w:rPr>
            </w:pPr>
            <w:r>
              <w:rPr>
                <w:rFonts w:ascii="宋体" w:eastAsia="宋体" w:hAnsi="宋体" w:cs="宋体" w:hint="eastAsia"/>
                <w:b/>
                <w:sz w:val="21"/>
                <w:szCs w:val="21"/>
              </w:rPr>
              <w:t>4</w:t>
            </w:r>
          </w:p>
        </w:tc>
        <w:tc>
          <w:tcPr>
            <w:tcW w:w="1072"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b/>
                <w:sz w:val="21"/>
                <w:szCs w:val="21"/>
              </w:rPr>
            </w:pPr>
            <w:r>
              <w:rPr>
                <w:rFonts w:ascii="宋体" w:eastAsia="宋体" w:hAnsi="宋体" w:cs="宋体" w:hint="eastAsia"/>
                <w:b/>
                <w:bCs/>
                <w:sz w:val="21"/>
                <w:szCs w:val="21"/>
              </w:rPr>
              <w:t>★</w:t>
            </w:r>
            <w:r>
              <w:rPr>
                <w:rFonts w:ascii="宋体" w:eastAsia="宋体" w:hAnsi="宋体" w:cs="宋体" w:hint="eastAsia"/>
                <w:sz w:val="21"/>
                <w:szCs w:val="21"/>
              </w:rPr>
              <w:t>付款方式</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sz w:val="21"/>
                <w:szCs w:val="21"/>
              </w:rPr>
              <w:t>（1）合同生效后，</w:t>
            </w:r>
            <w:r>
              <w:rPr>
                <w:rFonts w:ascii="宋体" w:eastAsia="宋体" w:hAnsi="宋体" w:cs="宋体" w:hint="eastAsia"/>
                <w:sz w:val="21"/>
                <w:szCs w:val="21"/>
                <w:lang w:val="en-US" w:eastAsia="zh-CN"/>
              </w:rPr>
              <w:t>采购人</w:t>
            </w:r>
            <w:r>
              <w:rPr>
                <w:rFonts w:ascii="宋体" w:eastAsia="宋体" w:hAnsi="宋体" w:cs="宋体" w:hint="eastAsia"/>
                <w:sz w:val="21"/>
                <w:szCs w:val="21"/>
              </w:rPr>
              <w:t>在</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7</w:t>
            </w:r>
            <w:r>
              <w:rPr>
                <w:rFonts w:ascii="宋体" w:eastAsia="宋体" w:hAnsi="宋体" w:cs="宋体" w:hint="eastAsia"/>
                <w:sz w:val="21"/>
                <w:szCs w:val="21"/>
                <w:u w:val="single"/>
              </w:rPr>
              <w:t xml:space="preserve">  </w:t>
            </w:r>
            <w:r>
              <w:rPr>
                <w:rFonts w:ascii="宋体" w:eastAsia="宋体" w:hAnsi="宋体" w:cs="宋体" w:hint="eastAsia"/>
                <w:sz w:val="21"/>
                <w:szCs w:val="21"/>
              </w:rPr>
              <w:t>日内，向</w:t>
            </w:r>
            <w:r>
              <w:rPr>
                <w:rFonts w:ascii="宋体" w:eastAsia="宋体" w:hAnsi="宋体" w:cs="宋体" w:hint="eastAsia"/>
                <w:sz w:val="21"/>
                <w:szCs w:val="21"/>
                <w:lang w:val="en-US" w:eastAsia="zh-CN"/>
              </w:rPr>
              <w:t>中标人</w:t>
            </w:r>
            <w:r>
              <w:rPr>
                <w:rFonts w:ascii="宋体" w:eastAsia="宋体" w:hAnsi="宋体" w:cs="宋体" w:hint="eastAsia"/>
                <w:sz w:val="21"/>
                <w:szCs w:val="21"/>
              </w:rPr>
              <w:t>支付合同价款的</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40</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%，作为预付款；</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sz w:val="21"/>
                <w:szCs w:val="21"/>
              </w:rPr>
              <w:t>（2）</w:t>
            </w:r>
            <w:r>
              <w:rPr>
                <w:rFonts w:ascii="宋体" w:eastAsia="宋体" w:hAnsi="宋体" w:cs="宋体" w:hint="eastAsia"/>
                <w:sz w:val="21"/>
                <w:szCs w:val="21"/>
                <w:lang w:val="en-US" w:eastAsia="zh-CN"/>
              </w:rPr>
              <w:t>中标人</w:t>
            </w:r>
            <w:r>
              <w:rPr>
                <w:rFonts w:ascii="宋体" w:eastAsia="宋体" w:hAnsi="宋体" w:cs="宋体" w:hint="eastAsia"/>
                <w:sz w:val="21"/>
                <w:szCs w:val="21"/>
              </w:rPr>
              <w:t>按照合同约定交付全部合同货物，完成安装、调试并经</w:t>
            </w:r>
            <w:r>
              <w:rPr>
                <w:rFonts w:ascii="宋体" w:eastAsia="宋体" w:hAnsi="宋体" w:cs="宋体" w:hint="eastAsia"/>
                <w:sz w:val="21"/>
                <w:szCs w:val="21"/>
                <w:lang w:val="en-US" w:eastAsia="zh-CN"/>
              </w:rPr>
              <w:t>采购人</w:t>
            </w:r>
            <w:r>
              <w:rPr>
                <w:rFonts w:ascii="宋体" w:eastAsia="宋体" w:hAnsi="宋体" w:cs="宋体" w:hint="eastAsia"/>
                <w:sz w:val="21"/>
                <w:szCs w:val="21"/>
              </w:rPr>
              <w:t>验收合格后，</w:t>
            </w:r>
            <w:r>
              <w:rPr>
                <w:rFonts w:ascii="宋体" w:eastAsia="宋体" w:hAnsi="宋体" w:cs="宋体" w:hint="eastAsia"/>
                <w:sz w:val="21"/>
                <w:szCs w:val="21"/>
                <w:lang w:val="en-US" w:eastAsia="zh-CN"/>
              </w:rPr>
              <w:t>采购人</w:t>
            </w:r>
            <w:r>
              <w:rPr>
                <w:rFonts w:ascii="宋体" w:eastAsia="宋体" w:hAnsi="宋体" w:cs="宋体" w:hint="eastAsia"/>
                <w:sz w:val="21"/>
                <w:szCs w:val="21"/>
              </w:rPr>
              <w:t>在收到</w:t>
            </w:r>
            <w:r>
              <w:rPr>
                <w:rFonts w:ascii="宋体" w:eastAsia="宋体" w:hAnsi="宋体" w:cs="宋体" w:hint="eastAsia"/>
                <w:sz w:val="21"/>
                <w:szCs w:val="21"/>
                <w:lang w:val="en-US" w:eastAsia="zh-CN"/>
              </w:rPr>
              <w:t>中标人</w:t>
            </w:r>
            <w:r>
              <w:rPr>
                <w:rFonts w:ascii="宋体" w:eastAsia="宋体" w:hAnsi="宋体" w:cs="宋体" w:hint="eastAsia"/>
                <w:sz w:val="21"/>
                <w:szCs w:val="21"/>
              </w:rPr>
              <w:t>提交的下列全部单据并经审核无误后</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10</w:t>
            </w:r>
            <w:r>
              <w:rPr>
                <w:rFonts w:ascii="宋体" w:eastAsia="宋体" w:hAnsi="宋体" w:cs="宋体" w:hint="eastAsia"/>
                <w:sz w:val="21"/>
                <w:szCs w:val="21"/>
              </w:rPr>
              <w:t>日内，向</w:t>
            </w:r>
            <w:r>
              <w:rPr>
                <w:rFonts w:ascii="宋体" w:eastAsia="宋体" w:hAnsi="宋体" w:cs="宋体" w:hint="eastAsia"/>
                <w:sz w:val="21"/>
                <w:szCs w:val="21"/>
                <w:lang w:val="en-US" w:eastAsia="zh-CN"/>
              </w:rPr>
              <w:t>中标人</w:t>
            </w:r>
            <w:r>
              <w:rPr>
                <w:rFonts w:ascii="宋体" w:eastAsia="宋体" w:hAnsi="宋体" w:cs="宋体" w:hint="eastAsia"/>
                <w:sz w:val="21"/>
                <w:szCs w:val="21"/>
              </w:rPr>
              <w:t>支付合同价款的</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55</w:t>
            </w:r>
            <w:r>
              <w:rPr>
                <w:rFonts w:ascii="宋体" w:eastAsia="宋体" w:hAnsi="宋体" w:cs="宋体" w:hint="eastAsia"/>
                <w:sz w:val="21"/>
                <w:szCs w:val="21"/>
                <w:u w:val="single"/>
              </w:rPr>
              <w:t xml:space="preserve"> %</w:t>
            </w:r>
            <w:r>
              <w:rPr>
                <w:rFonts w:ascii="宋体" w:eastAsia="宋体" w:hAnsi="宋体" w:cs="宋体" w:hint="eastAsia"/>
                <w:sz w:val="21"/>
                <w:szCs w:val="21"/>
              </w:rPr>
              <w:t>。</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kern w:val="0"/>
                <w:sz w:val="21"/>
                <w:szCs w:val="21"/>
              </w:rPr>
            </w:pPr>
            <w:r>
              <w:rPr>
                <w:rFonts w:ascii="宋体" w:eastAsia="宋体" w:hAnsi="宋体" w:cs="宋体" w:hint="eastAsia"/>
                <w:sz w:val="21"/>
                <w:szCs w:val="21"/>
              </w:rPr>
              <w:t>（3）在货物验收合格</w:t>
            </w:r>
            <w:r>
              <w:rPr>
                <w:rFonts w:ascii="宋体" w:hAnsi="宋体" w:cs="宋体" w:hint="eastAsia"/>
                <w:sz w:val="21"/>
                <w:szCs w:val="21"/>
                <w:lang w:val="en-US" w:eastAsia="zh-CN"/>
              </w:rPr>
              <w:t>满</w:t>
            </w:r>
            <w:r>
              <w:rPr>
                <w:rFonts w:ascii="宋体" w:eastAsia="宋体" w:hAnsi="宋体" w:cs="宋体" w:hint="eastAsia"/>
                <w:sz w:val="21"/>
                <w:szCs w:val="21"/>
                <w:lang w:val="en-US" w:eastAsia="zh-CN"/>
              </w:rPr>
              <w:t>12</w:t>
            </w:r>
            <w:r>
              <w:rPr>
                <w:rFonts w:ascii="宋体" w:eastAsia="宋体" w:hAnsi="宋体" w:cs="宋体" w:hint="eastAsia"/>
                <w:sz w:val="21"/>
                <w:szCs w:val="21"/>
              </w:rPr>
              <w:t>个月后，在收到</w:t>
            </w:r>
            <w:r>
              <w:rPr>
                <w:rFonts w:ascii="宋体" w:eastAsia="宋体" w:hAnsi="宋体" w:cs="宋体" w:hint="eastAsia"/>
                <w:sz w:val="21"/>
                <w:szCs w:val="21"/>
                <w:lang w:val="en-US" w:eastAsia="zh-CN"/>
              </w:rPr>
              <w:t>中标人</w:t>
            </w:r>
            <w:r>
              <w:rPr>
                <w:rFonts w:ascii="宋体" w:eastAsia="宋体" w:hAnsi="宋体" w:cs="宋体" w:hint="eastAsia"/>
                <w:sz w:val="21"/>
                <w:szCs w:val="21"/>
              </w:rPr>
              <w:t xml:space="preserve">增值税（专用/普通）发票原件一份并经审核无误后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7</w:t>
            </w:r>
            <w:r>
              <w:rPr>
                <w:rFonts w:ascii="宋体" w:eastAsia="宋体" w:hAnsi="宋体" w:cs="宋体" w:hint="eastAsia"/>
                <w:sz w:val="21"/>
                <w:szCs w:val="21"/>
                <w:u w:val="single"/>
              </w:rPr>
              <w:t xml:space="preserve"> </w:t>
            </w:r>
            <w:r>
              <w:rPr>
                <w:rFonts w:ascii="宋体" w:eastAsia="宋体" w:hAnsi="宋体" w:cs="宋体" w:hint="eastAsia"/>
                <w:sz w:val="21"/>
                <w:szCs w:val="21"/>
              </w:rPr>
              <w:t>日内，</w:t>
            </w:r>
            <w:r>
              <w:rPr>
                <w:rFonts w:ascii="宋体" w:eastAsia="宋体" w:hAnsi="宋体" w:cs="宋体" w:hint="eastAsia"/>
                <w:sz w:val="21"/>
                <w:szCs w:val="21"/>
                <w:lang w:val="en-US" w:eastAsia="zh-CN"/>
              </w:rPr>
              <w:t>采购人</w:t>
            </w:r>
            <w:r>
              <w:rPr>
                <w:rFonts w:ascii="宋体" w:eastAsia="宋体" w:hAnsi="宋体" w:cs="宋体" w:hint="eastAsia"/>
                <w:sz w:val="21"/>
                <w:szCs w:val="21"/>
              </w:rPr>
              <w:t>向</w:t>
            </w:r>
            <w:r>
              <w:rPr>
                <w:rFonts w:ascii="宋体" w:eastAsia="宋体" w:hAnsi="宋体" w:cs="宋体" w:hint="eastAsia"/>
                <w:sz w:val="21"/>
                <w:szCs w:val="21"/>
                <w:lang w:val="en-US" w:eastAsia="zh-CN"/>
              </w:rPr>
              <w:t>中标人</w:t>
            </w:r>
            <w:r>
              <w:rPr>
                <w:rFonts w:ascii="宋体" w:eastAsia="宋体" w:hAnsi="宋体" w:cs="宋体" w:hint="eastAsia"/>
                <w:sz w:val="21"/>
                <w:szCs w:val="21"/>
              </w:rPr>
              <w:t xml:space="preserve">支付合同价格的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5</w:t>
            </w:r>
            <w:r>
              <w:rPr>
                <w:rFonts w:ascii="宋体" w:eastAsia="宋体" w:hAnsi="宋体" w:cs="宋体" w:hint="eastAsia"/>
                <w:sz w:val="21"/>
                <w:szCs w:val="21"/>
                <w:u w:val="single"/>
              </w:rPr>
              <w:t xml:space="preserve">  </w:t>
            </w:r>
            <w:r>
              <w:rPr>
                <w:rFonts w:ascii="宋体" w:eastAsia="宋体" w:hAnsi="宋体" w:cs="宋体" w:hint="eastAsia"/>
                <w:sz w:val="21"/>
                <w:szCs w:val="21"/>
              </w:rPr>
              <w:t>%。</w:t>
            </w:r>
          </w:p>
        </w:tc>
      </w:tr>
    </w:tbl>
    <w:p>
      <w:pPr>
        <w:pStyle w:val="PlainText"/>
        <w:adjustRightInd w:val="0"/>
        <w:snapToGrid w:val="0"/>
        <w:spacing w:line="360" w:lineRule="auto"/>
        <w:rPr>
          <w:rFonts w:hAnsi="宋体" w:cs="宋体"/>
          <w:kern w:val="0"/>
          <w:szCs w:val="21"/>
        </w:rPr>
      </w:pPr>
    </w:p>
    <w:p>
      <w:pPr>
        <w:rPr>
          <w:rFonts w:hint="eastAsia"/>
          <w:b/>
          <w:bCs/>
          <w:sz w:val="28"/>
          <w:szCs w:val="28"/>
        </w:rPr>
      </w:pPr>
      <w:bookmarkEnd w:id="56"/>
      <w:bookmarkEnd w:id="61"/>
      <w:bookmarkEnd w:id="62"/>
      <w:bookmarkEnd w:id="63"/>
      <w:bookmarkEnd w:id="64"/>
      <w:bookmarkEnd w:id="65"/>
      <w:bookmarkStart w:id="72" w:name="_Toc17554"/>
      <w:bookmarkStart w:id="73" w:name="_Toc43264514"/>
      <w:bookmarkStart w:id="74" w:name="_Toc50736472"/>
      <w:bookmarkStart w:id="75" w:name="_Toc50737324"/>
      <w:bookmarkStart w:id="76" w:name="_Toc50737292"/>
      <w:bookmarkStart w:id="77" w:name="_Toc355768050"/>
      <w:bookmarkStart w:id="78" w:name="_Toc87417454"/>
      <w:bookmarkStart w:id="79" w:name="_Toc50691026"/>
      <w:r>
        <w:rPr>
          <w:rFonts w:hint="eastAsia"/>
          <w:b/>
          <w:bCs/>
          <w:sz w:val="28"/>
          <w:szCs w:val="28"/>
        </w:rPr>
        <w:br w:type="page"/>
      </w:r>
    </w:p>
    <w:p>
      <w:pPr>
        <w:snapToGrid w:val="0"/>
        <w:spacing w:line="360" w:lineRule="auto"/>
        <w:jc w:val="center"/>
        <w:outlineLvl w:val="0"/>
        <w:rPr>
          <w:b/>
          <w:bCs/>
          <w:sz w:val="28"/>
          <w:szCs w:val="28"/>
        </w:rPr>
      </w:pPr>
      <w:bookmarkStart w:id="80" w:name="_Toc256000004"/>
      <w:r>
        <w:rPr>
          <w:rFonts w:hint="eastAsia"/>
          <w:b/>
          <w:bCs/>
          <w:sz w:val="28"/>
          <w:szCs w:val="28"/>
        </w:rPr>
        <w:t>第五章</w:t>
      </w:r>
      <w:bookmarkStart w:id="81" w:name="_Toc434343687"/>
      <w:r>
        <w:rPr>
          <w:rFonts w:hint="eastAsia"/>
          <w:b/>
          <w:bCs/>
          <w:sz w:val="28"/>
          <w:szCs w:val="28"/>
        </w:rPr>
        <w:t xml:space="preserve">  </w:t>
      </w:r>
      <w:bookmarkEnd w:id="81"/>
      <w:r>
        <w:rPr>
          <w:rFonts w:hint="eastAsia"/>
          <w:b/>
          <w:bCs/>
          <w:sz w:val="28"/>
          <w:szCs w:val="28"/>
        </w:rPr>
        <w:t>合同文本（仅供参考）</w:t>
      </w:r>
      <w:bookmarkEnd w:id="80"/>
      <w:bookmarkEnd w:id="72"/>
    </w:p>
    <w:p>
      <w:pPr>
        <w:snapToGrid w:val="0"/>
        <w:spacing w:line="360" w:lineRule="auto"/>
        <w:jc w:val="center"/>
        <w:rPr>
          <w:rFonts w:ascii="宋体" w:hAnsi="宋体"/>
          <w:b/>
          <w:bCs/>
          <w:sz w:val="28"/>
          <w:szCs w:val="28"/>
        </w:rPr>
      </w:pPr>
      <w:r>
        <w:rPr>
          <w:rFonts w:ascii="宋体" w:hAnsi="宋体" w:hint="eastAsia"/>
          <w:b/>
        </w:rPr>
        <w:t>合同通用条款</w:t>
      </w:r>
    </w:p>
    <w:p>
      <w:pPr>
        <w:tabs>
          <w:tab w:val="left" w:pos="720"/>
        </w:tabs>
        <w:spacing w:line="360" w:lineRule="auto"/>
        <w:rPr>
          <w:rFonts w:ascii="宋体" w:hAnsi="宋体"/>
        </w:rPr>
      </w:pPr>
      <w:r>
        <w:rPr>
          <w:rFonts w:ascii="宋体" w:hAnsi="宋体" w:hint="eastAsia"/>
        </w:rPr>
        <w:t xml:space="preserve">甲    方（采购人）： </w:t>
      </w:r>
    </w:p>
    <w:p>
      <w:pPr>
        <w:spacing w:line="360" w:lineRule="auto"/>
        <w:rPr>
          <w:rFonts w:ascii="宋体" w:hAnsi="宋体"/>
        </w:rPr>
      </w:pPr>
      <w:r>
        <w:rPr>
          <w:rFonts w:ascii="宋体" w:hAnsi="宋体" w:hint="eastAsia"/>
        </w:rPr>
        <w:t xml:space="preserve">电    话： </w:t>
      </w:r>
    </w:p>
    <w:p>
      <w:pPr>
        <w:spacing w:line="360" w:lineRule="auto"/>
        <w:rPr>
          <w:rFonts w:ascii="宋体" w:hAnsi="宋体"/>
        </w:rPr>
      </w:pPr>
      <w:r>
        <w:rPr>
          <w:rFonts w:ascii="宋体" w:hAnsi="宋体" w:hint="eastAsia"/>
        </w:rPr>
        <w:t xml:space="preserve">传 </w:t>
      </w:r>
      <w:r>
        <w:rPr>
          <w:rFonts w:ascii="宋体" w:hAnsi="宋体"/>
        </w:rPr>
        <w:t xml:space="preserve"> </w:t>
      </w:r>
      <w:r>
        <w:rPr>
          <w:rFonts w:ascii="宋体" w:hAnsi="宋体" w:hint="eastAsia"/>
        </w:rPr>
        <w:t xml:space="preserve">  真：</w:t>
      </w:r>
    </w:p>
    <w:p>
      <w:pPr>
        <w:spacing w:line="360" w:lineRule="auto"/>
        <w:rPr>
          <w:rFonts w:ascii="宋体" w:hAnsi="宋体"/>
        </w:rPr>
      </w:pPr>
      <w:r>
        <w:rPr>
          <w:rFonts w:ascii="宋体" w:hAnsi="宋体" w:hint="eastAsia"/>
        </w:rPr>
        <w:t xml:space="preserve">地 </w:t>
      </w:r>
      <w:r>
        <w:rPr>
          <w:rFonts w:ascii="宋体" w:hAnsi="宋体"/>
        </w:rPr>
        <w:t xml:space="preserve">  </w:t>
      </w:r>
      <w:r>
        <w:rPr>
          <w:rFonts w:ascii="宋体" w:hAnsi="宋体" w:hint="eastAsia"/>
        </w:rPr>
        <w:t xml:space="preserve"> 址：</w:t>
      </w:r>
    </w:p>
    <w:p>
      <w:pPr>
        <w:spacing w:line="360" w:lineRule="auto"/>
        <w:rPr>
          <w:rFonts w:ascii="宋体" w:hAnsi="宋体"/>
        </w:rPr>
      </w:pPr>
    </w:p>
    <w:p>
      <w:pPr>
        <w:spacing w:line="360" w:lineRule="auto"/>
        <w:rPr>
          <w:rFonts w:ascii="宋体" w:hAnsi="宋体"/>
        </w:rPr>
      </w:pPr>
      <w:r>
        <w:rPr>
          <w:rFonts w:ascii="宋体" w:hAnsi="宋体" w:hint="eastAsia"/>
        </w:rPr>
        <w:t>乙    方（成交供应商）：</w:t>
      </w:r>
    </w:p>
    <w:p>
      <w:pPr>
        <w:spacing w:line="360" w:lineRule="auto"/>
        <w:rPr>
          <w:rFonts w:ascii="宋体" w:hAnsi="宋体"/>
        </w:rPr>
      </w:pPr>
      <w:r>
        <w:rPr>
          <w:rFonts w:ascii="宋体" w:hAnsi="宋体" w:hint="eastAsia"/>
        </w:rPr>
        <w:t>电    话：</w:t>
      </w:r>
    </w:p>
    <w:p>
      <w:pPr>
        <w:spacing w:line="360" w:lineRule="auto"/>
        <w:rPr>
          <w:rFonts w:ascii="宋体" w:hAnsi="宋体"/>
        </w:rPr>
      </w:pPr>
      <w:r>
        <w:rPr>
          <w:rFonts w:ascii="宋体" w:hAnsi="宋体" w:hint="eastAsia"/>
        </w:rPr>
        <w:t xml:space="preserve">传  </w:t>
      </w:r>
      <w:r>
        <w:rPr>
          <w:rFonts w:ascii="宋体" w:hAnsi="宋体"/>
        </w:rPr>
        <w:t xml:space="preserve">  </w:t>
      </w:r>
      <w:r>
        <w:rPr>
          <w:rFonts w:ascii="宋体" w:hAnsi="宋体" w:hint="eastAsia"/>
        </w:rPr>
        <w:t>真：</w:t>
      </w:r>
    </w:p>
    <w:p>
      <w:pPr>
        <w:spacing w:line="360" w:lineRule="auto"/>
        <w:rPr>
          <w:rFonts w:ascii="宋体" w:hAnsi="宋体"/>
        </w:rPr>
      </w:pPr>
      <w:r>
        <w:rPr>
          <w:rFonts w:ascii="宋体" w:hAnsi="宋体" w:hint="eastAsia"/>
        </w:rPr>
        <w:t xml:space="preserve">地 </w:t>
      </w:r>
      <w:r>
        <w:rPr>
          <w:rFonts w:ascii="宋体" w:hAnsi="宋体"/>
        </w:rPr>
        <w:t xml:space="preserve">  </w:t>
      </w:r>
      <w:r>
        <w:rPr>
          <w:rFonts w:ascii="宋体" w:hAnsi="宋体" w:hint="eastAsia"/>
        </w:rPr>
        <w:t xml:space="preserve"> 址：</w:t>
      </w:r>
    </w:p>
    <w:p>
      <w:pPr>
        <w:spacing w:line="360" w:lineRule="auto"/>
        <w:rPr>
          <w:rFonts w:ascii="宋体" w:hAnsi="宋体"/>
        </w:rPr>
      </w:pPr>
    </w:p>
    <w:p>
      <w:pPr>
        <w:spacing w:line="420" w:lineRule="auto"/>
        <w:rPr>
          <w:rFonts w:ascii="宋体" w:hAnsi="宋体"/>
        </w:rPr>
      </w:pPr>
      <w:r>
        <w:rPr>
          <w:rFonts w:ascii="宋体" w:hAnsi="宋体" w:hint="eastAsia"/>
        </w:rPr>
        <w:t xml:space="preserve">    根据</w:t>
      </w:r>
      <w:r>
        <w:rPr>
          <w:rFonts w:ascii="宋体" w:hAnsi="宋体" w:hint="eastAsia"/>
          <w:u w:val="single"/>
        </w:rPr>
        <w:t xml:space="preserve">  </w:t>
      </w:r>
      <w:r>
        <w:rPr>
          <w:rFonts w:ascii="宋体" w:hAnsi="宋体" w:hint="eastAsia"/>
          <w:u w:val="single"/>
          <w:lang w:eastAsia="zh-CN"/>
        </w:rPr>
        <w:t>污泥原位高效资源化利用系统设计、制造和安装调试</w:t>
      </w:r>
      <w:r>
        <w:rPr>
          <w:rFonts w:ascii="宋体" w:hAnsi="宋体" w:hint="eastAsia"/>
          <w:u w:val="single"/>
        </w:rPr>
        <w:t xml:space="preserve">  </w:t>
      </w:r>
      <w:r>
        <w:rPr>
          <w:rFonts w:ascii="宋体" w:hAnsi="宋体" w:hint="eastAsia"/>
        </w:rPr>
        <w:t>（项目编号：</w:t>
      </w:r>
      <w:r>
        <w:rPr>
          <w:rFonts w:ascii="宋体" w:hAnsi="宋体" w:hint="eastAsia"/>
          <w:lang w:eastAsia="zh-CN"/>
        </w:rPr>
        <w:t>SZDL2024001286（CLF0123SZ22ZC60C）</w:t>
      </w:r>
      <w:r>
        <w:rPr>
          <w:rFonts w:ascii="宋体" w:hAnsi="宋体" w:hint="eastAsia"/>
        </w:rPr>
        <w:t>）的采购结果，按照《中华人民共和国政府采购法》及其实施条例、《中华人民共和国民法典》的规定，经双方协商，本着平等互利和诚实信用的原则，一致同意签订本合同如下。</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货物标的</w:t>
      </w:r>
    </w:p>
    <w:tbl>
      <w:tblPr>
        <w:tblStyle w:val="TableNormal"/>
        <w:tblW w:w="10056"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0" w:type="dxa"/>
          <w:left w:w="108" w:type="dxa"/>
          <w:bottom w:w="0" w:type="dxa"/>
          <w:right w:w="108" w:type="dxa"/>
        </w:tblCellMar>
      </w:tblPr>
      <w:tblGrid>
        <w:gridCol w:w="820"/>
        <w:gridCol w:w="1163"/>
        <w:gridCol w:w="4045"/>
        <w:gridCol w:w="920"/>
        <w:gridCol w:w="843"/>
        <w:gridCol w:w="1156"/>
        <w:gridCol w:w="1109"/>
      </w:tblGrid>
      <w:tr>
        <w:tblPrEx>
          <w:tblW w:w="10056"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460"/>
        </w:trPr>
        <w:tc>
          <w:tcPr>
            <w:tcW w:w="820" w:type="dxa"/>
            <w:vAlign w:val="center"/>
          </w:tcPr>
          <w:p>
            <w:pPr>
              <w:jc w:val="center"/>
              <w:rPr>
                <w:rFonts w:ascii="宋体" w:hAnsi="宋体"/>
              </w:rPr>
            </w:pPr>
            <w:r>
              <w:rPr>
                <w:rFonts w:ascii="宋体" w:hAnsi="宋体" w:hint="eastAsia"/>
              </w:rPr>
              <w:t>序号</w:t>
            </w:r>
          </w:p>
        </w:tc>
        <w:tc>
          <w:tcPr>
            <w:tcW w:w="1163" w:type="dxa"/>
            <w:vAlign w:val="center"/>
          </w:tcPr>
          <w:p>
            <w:pPr>
              <w:ind w:left="-90" w:right="-84" w:leftChars="-43" w:rightChars="-40"/>
              <w:jc w:val="center"/>
              <w:rPr>
                <w:rFonts w:ascii="宋体" w:hAnsi="宋体"/>
              </w:rPr>
            </w:pPr>
            <w:r>
              <w:rPr>
                <w:rFonts w:ascii="宋体" w:hAnsi="宋体" w:hint="eastAsia"/>
              </w:rPr>
              <w:t>商品名称</w:t>
            </w:r>
          </w:p>
        </w:tc>
        <w:tc>
          <w:tcPr>
            <w:tcW w:w="4045" w:type="dxa"/>
            <w:vAlign w:val="center"/>
          </w:tcPr>
          <w:p>
            <w:pPr>
              <w:ind w:left="-84" w:right="-69" w:leftChars="-40" w:rightChars="-33"/>
              <w:jc w:val="center"/>
              <w:rPr>
                <w:rFonts w:ascii="宋体" w:hAnsi="宋体"/>
              </w:rPr>
            </w:pPr>
            <w:r>
              <w:rPr>
                <w:rFonts w:ascii="宋体" w:hAnsi="宋体" w:hint="eastAsia"/>
              </w:rPr>
              <w:t>品牌、规格型号、配置（性能参数）</w:t>
            </w:r>
          </w:p>
        </w:tc>
        <w:tc>
          <w:tcPr>
            <w:tcW w:w="920" w:type="dxa"/>
            <w:vAlign w:val="center"/>
          </w:tcPr>
          <w:p>
            <w:pPr>
              <w:jc w:val="center"/>
              <w:rPr>
                <w:rFonts w:ascii="宋体" w:hAnsi="宋体"/>
              </w:rPr>
            </w:pPr>
            <w:r>
              <w:rPr>
                <w:rFonts w:ascii="宋体" w:hAnsi="宋体" w:hint="eastAsia"/>
              </w:rPr>
              <w:t>产地</w:t>
            </w:r>
          </w:p>
        </w:tc>
        <w:tc>
          <w:tcPr>
            <w:tcW w:w="843" w:type="dxa"/>
            <w:vAlign w:val="center"/>
          </w:tcPr>
          <w:p>
            <w:pPr>
              <w:jc w:val="center"/>
              <w:rPr>
                <w:rFonts w:ascii="宋体" w:hAnsi="宋体"/>
              </w:rPr>
            </w:pPr>
            <w:r>
              <w:rPr>
                <w:rFonts w:ascii="宋体" w:hAnsi="宋体" w:hint="eastAsia"/>
              </w:rPr>
              <w:t>数量</w:t>
            </w:r>
          </w:p>
        </w:tc>
        <w:tc>
          <w:tcPr>
            <w:tcW w:w="1156" w:type="dxa"/>
            <w:vAlign w:val="center"/>
          </w:tcPr>
          <w:p>
            <w:pPr>
              <w:ind w:left="-113" w:right="-99" w:leftChars="-54" w:rightChars="-47"/>
              <w:jc w:val="center"/>
              <w:rPr>
                <w:rFonts w:ascii="宋体" w:hAnsi="宋体"/>
              </w:rPr>
            </w:pPr>
            <w:r>
              <w:rPr>
                <w:rFonts w:ascii="宋体" w:hAnsi="宋体" w:hint="eastAsia"/>
              </w:rPr>
              <w:t>单价(元)</w:t>
            </w:r>
          </w:p>
        </w:tc>
        <w:tc>
          <w:tcPr>
            <w:tcW w:w="1109" w:type="dxa"/>
            <w:vAlign w:val="center"/>
          </w:tcPr>
          <w:p>
            <w:pPr>
              <w:ind w:left="-109" w:right="-101" w:leftChars="-52" w:rightChars="-48"/>
              <w:jc w:val="center"/>
              <w:rPr>
                <w:rFonts w:ascii="宋体" w:hAnsi="宋体"/>
              </w:rPr>
            </w:pPr>
            <w:r>
              <w:rPr>
                <w:rFonts w:ascii="宋体" w:hAnsi="宋体" w:hint="eastAsia"/>
              </w:rPr>
              <w:t>金额(元)</w:t>
            </w:r>
          </w:p>
        </w:tc>
      </w:tr>
      <w:tr>
        <w:tblPrEx>
          <w:tblW w:w="10056" w:type="dxa"/>
          <w:tblInd w:w="108" w:type="dxa"/>
          <w:tblLayout w:type="fixed"/>
          <w:tblCellMar>
            <w:top w:w="0" w:type="dxa"/>
            <w:left w:w="108" w:type="dxa"/>
            <w:bottom w:w="0" w:type="dxa"/>
            <w:right w:w="108" w:type="dxa"/>
          </w:tblCellMar>
        </w:tblPrEx>
        <w:trPr>
          <w:cantSplit/>
          <w:trHeight w:val="349"/>
        </w:trPr>
        <w:tc>
          <w:tcPr>
            <w:tcW w:w="820" w:type="dxa"/>
            <w:vAlign w:val="center"/>
          </w:tcPr>
          <w:p>
            <w:pPr>
              <w:jc w:val="center"/>
              <w:rPr>
                <w:rFonts w:ascii="宋体" w:hAnsi="宋体"/>
              </w:rPr>
            </w:pPr>
            <w:r>
              <w:rPr>
                <w:rFonts w:ascii="宋体" w:hAnsi="宋体" w:hint="eastAsia"/>
              </w:rPr>
              <w:t>1</w:t>
            </w:r>
          </w:p>
        </w:tc>
        <w:tc>
          <w:tcPr>
            <w:tcW w:w="1163" w:type="dxa"/>
            <w:vAlign w:val="center"/>
          </w:tcPr>
          <w:p>
            <w:pPr>
              <w:jc w:val="center"/>
              <w:rPr>
                <w:rFonts w:ascii="宋体" w:hAnsi="宋体"/>
              </w:rPr>
            </w:pPr>
          </w:p>
        </w:tc>
        <w:tc>
          <w:tcPr>
            <w:tcW w:w="4045" w:type="dxa"/>
            <w:vAlign w:val="center"/>
          </w:tcPr>
          <w:p>
            <w:pPr>
              <w:jc w:val="center"/>
              <w:rPr>
                <w:rFonts w:ascii="宋体" w:hAnsi="宋体"/>
              </w:rPr>
            </w:pPr>
          </w:p>
        </w:tc>
        <w:tc>
          <w:tcPr>
            <w:tcW w:w="920" w:type="dxa"/>
            <w:vAlign w:val="center"/>
          </w:tcPr>
          <w:p>
            <w:pPr>
              <w:jc w:val="center"/>
              <w:rPr>
                <w:rFonts w:ascii="宋体" w:hAnsi="宋体"/>
              </w:rPr>
            </w:pPr>
          </w:p>
        </w:tc>
        <w:tc>
          <w:tcPr>
            <w:tcW w:w="843" w:type="dxa"/>
            <w:vAlign w:val="center"/>
          </w:tcPr>
          <w:p>
            <w:pPr>
              <w:jc w:val="center"/>
              <w:rPr>
                <w:rFonts w:ascii="宋体" w:hAnsi="宋体"/>
              </w:rPr>
            </w:pPr>
          </w:p>
        </w:tc>
        <w:tc>
          <w:tcPr>
            <w:tcW w:w="1156" w:type="dxa"/>
            <w:vAlign w:val="center"/>
          </w:tcPr>
          <w:p>
            <w:pPr>
              <w:jc w:val="center"/>
              <w:rPr>
                <w:rFonts w:ascii="宋体" w:hAnsi="宋体"/>
              </w:rPr>
            </w:pPr>
          </w:p>
        </w:tc>
        <w:tc>
          <w:tcPr>
            <w:tcW w:w="1109" w:type="dxa"/>
            <w:vAlign w:val="center"/>
          </w:tcPr>
          <w:p>
            <w:pPr>
              <w:jc w:val="center"/>
              <w:rPr>
                <w:rFonts w:ascii="宋体" w:hAnsi="宋体"/>
              </w:rPr>
            </w:pPr>
          </w:p>
        </w:tc>
      </w:tr>
      <w:tr>
        <w:tblPrEx>
          <w:tblW w:w="10056" w:type="dxa"/>
          <w:tblInd w:w="108" w:type="dxa"/>
          <w:tblLayout w:type="fixed"/>
          <w:tblCellMar>
            <w:top w:w="0" w:type="dxa"/>
            <w:left w:w="108" w:type="dxa"/>
            <w:bottom w:w="0" w:type="dxa"/>
            <w:right w:w="108" w:type="dxa"/>
          </w:tblCellMar>
        </w:tblPrEx>
        <w:trPr>
          <w:cantSplit/>
          <w:trHeight w:val="349"/>
        </w:trPr>
        <w:tc>
          <w:tcPr>
            <w:tcW w:w="820" w:type="dxa"/>
            <w:vAlign w:val="center"/>
          </w:tcPr>
          <w:p>
            <w:pPr>
              <w:jc w:val="center"/>
              <w:rPr>
                <w:rFonts w:ascii="宋体" w:hAnsi="宋体"/>
              </w:rPr>
            </w:pPr>
            <w:r>
              <w:rPr>
                <w:rFonts w:ascii="宋体" w:hAnsi="宋体" w:hint="eastAsia"/>
              </w:rPr>
              <w:t>2</w:t>
            </w:r>
          </w:p>
        </w:tc>
        <w:tc>
          <w:tcPr>
            <w:tcW w:w="1163" w:type="dxa"/>
            <w:vAlign w:val="center"/>
          </w:tcPr>
          <w:p>
            <w:pPr>
              <w:jc w:val="center"/>
              <w:rPr>
                <w:rFonts w:ascii="宋体" w:hAnsi="宋体"/>
              </w:rPr>
            </w:pPr>
          </w:p>
        </w:tc>
        <w:tc>
          <w:tcPr>
            <w:tcW w:w="4045" w:type="dxa"/>
            <w:vAlign w:val="center"/>
          </w:tcPr>
          <w:p>
            <w:pPr>
              <w:jc w:val="center"/>
              <w:rPr>
                <w:rFonts w:ascii="宋体" w:hAnsi="宋体"/>
              </w:rPr>
            </w:pPr>
          </w:p>
        </w:tc>
        <w:tc>
          <w:tcPr>
            <w:tcW w:w="920" w:type="dxa"/>
            <w:vAlign w:val="center"/>
          </w:tcPr>
          <w:p>
            <w:pPr>
              <w:jc w:val="center"/>
              <w:rPr>
                <w:rFonts w:ascii="宋体" w:hAnsi="宋体"/>
              </w:rPr>
            </w:pPr>
          </w:p>
        </w:tc>
        <w:tc>
          <w:tcPr>
            <w:tcW w:w="843" w:type="dxa"/>
            <w:vAlign w:val="center"/>
          </w:tcPr>
          <w:p>
            <w:pPr>
              <w:jc w:val="center"/>
              <w:rPr>
                <w:rFonts w:ascii="宋体" w:hAnsi="宋体"/>
              </w:rPr>
            </w:pPr>
          </w:p>
        </w:tc>
        <w:tc>
          <w:tcPr>
            <w:tcW w:w="1156" w:type="dxa"/>
            <w:vAlign w:val="center"/>
          </w:tcPr>
          <w:p>
            <w:pPr>
              <w:jc w:val="center"/>
              <w:rPr>
                <w:rFonts w:ascii="宋体" w:hAnsi="宋体"/>
              </w:rPr>
            </w:pPr>
          </w:p>
        </w:tc>
        <w:tc>
          <w:tcPr>
            <w:tcW w:w="1109" w:type="dxa"/>
            <w:vAlign w:val="center"/>
          </w:tcPr>
          <w:p>
            <w:pPr>
              <w:jc w:val="center"/>
              <w:rPr>
                <w:rFonts w:ascii="宋体" w:hAnsi="宋体"/>
              </w:rPr>
            </w:pPr>
          </w:p>
        </w:tc>
      </w:tr>
      <w:tr>
        <w:tblPrEx>
          <w:tblW w:w="10056" w:type="dxa"/>
          <w:tblInd w:w="108" w:type="dxa"/>
          <w:tblLayout w:type="fixed"/>
          <w:tblCellMar>
            <w:top w:w="0" w:type="dxa"/>
            <w:left w:w="108" w:type="dxa"/>
            <w:bottom w:w="0" w:type="dxa"/>
            <w:right w:w="108" w:type="dxa"/>
          </w:tblCellMar>
        </w:tblPrEx>
        <w:trPr>
          <w:cantSplit/>
          <w:trHeight w:val="350"/>
        </w:trPr>
        <w:tc>
          <w:tcPr>
            <w:tcW w:w="820" w:type="dxa"/>
            <w:vAlign w:val="center"/>
          </w:tcPr>
          <w:p>
            <w:pPr>
              <w:jc w:val="center"/>
              <w:rPr>
                <w:rFonts w:ascii="宋体" w:hAnsi="宋体"/>
              </w:rPr>
            </w:pPr>
            <w:r>
              <w:rPr>
                <w:rFonts w:ascii="宋体" w:hAnsi="宋体" w:hint="eastAsia"/>
              </w:rPr>
              <w:t>3</w:t>
            </w:r>
          </w:p>
        </w:tc>
        <w:tc>
          <w:tcPr>
            <w:tcW w:w="1163" w:type="dxa"/>
            <w:vAlign w:val="center"/>
          </w:tcPr>
          <w:p>
            <w:pPr>
              <w:jc w:val="center"/>
              <w:rPr>
                <w:rFonts w:ascii="宋体" w:hAnsi="宋体"/>
              </w:rPr>
            </w:pPr>
          </w:p>
        </w:tc>
        <w:tc>
          <w:tcPr>
            <w:tcW w:w="4045" w:type="dxa"/>
            <w:vAlign w:val="center"/>
          </w:tcPr>
          <w:p>
            <w:pPr>
              <w:jc w:val="center"/>
              <w:rPr>
                <w:rFonts w:ascii="宋体" w:hAnsi="宋体"/>
              </w:rPr>
            </w:pPr>
          </w:p>
        </w:tc>
        <w:tc>
          <w:tcPr>
            <w:tcW w:w="920" w:type="dxa"/>
            <w:vAlign w:val="center"/>
          </w:tcPr>
          <w:p>
            <w:pPr>
              <w:jc w:val="center"/>
              <w:rPr>
                <w:rFonts w:ascii="宋体" w:hAnsi="宋体"/>
              </w:rPr>
            </w:pPr>
          </w:p>
        </w:tc>
        <w:tc>
          <w:tcPr>
            <w:tcW w:w="843" w:type="dxa"/>
            <w:vAlign w:val="center"/>
          </w:tcPr>
          <w:p>
            <w:pPr>
              <w:jc w:val="center"/>
              <w:rPr>
                <w:rFonts w:ascii="宋体" w:hAnsi="宋体"/>
              </w:rPr>
            </w:pPr>
          </w:p>
        </w:tc>
        <w:tc>
          <w:tcPr>
            <w:tcW w:w="1156" w:type="dxa"/>
            <w:vAlign w:val="center"/>
          </w:tcPr>
          <w:p>
            <w:pPr>
              <w:jc w:val="center"/>
              <w:rPr>
                <w:rFonts w:ascii="宋体" w:hAnsi="宋体"/>
              </w:rPr>
            </w:pPr>
          </w:p>
        </w:tc>
        <w:tc>
          <w:tcPr>
            <w:tcW w:w="1109" w:type="dxa"/>
            <w:vAlign w:val="center"/>
          </w:tcPr>
          <w:p>
            <w:pPr>
              <w:jc w:val="center"/>
              <w:rPr>
                <w:rFonts w:ascii="宋体" w:hAnsi="宋体"/>
              </w:rPr>
            </w:pPr>
          </w:p>
        </w:tc>
      </w:tr>
      <w:tr>
        <w:tblPrEx>
          <w:tblW w:w="10056" w:type="dxa"/>
          <w:tblInd w:w="108" w:type="dxa"/>
          <w:tblLayout w:type="fixed"/>
          <w:tblCellMar>
            <w:top w:w="0" w:type="dxa"/>
            <w:left w:w="108" w:type="dxa"/>
            <w:bottom w:w="0" w:type="dxa"/>
            <w:right w:w="108" w:type="dxa"/>
          </w:tblCellMar>
        </w:tblPrEx>
        <w:trPr>
          <w:cantSplit/>
          <w:trHeight w:val="461"/>
        </w:trPr>
        <w:tc>
          <w:tcPr>
            <w:tcW w:w="10056" w:type="dxa"/>
            <w:gridSpan w:val="7"/>
            <w:vAlign w:val="center"/>
          </w:tcPr>
          <w:p>
            <w:pPr>
              <w:jc w:val="center"/>
              <w:rPr>
                <w:rFonts w:ascii="宋体" w:hAnsi="宋体"/>
                <w:u w:val="single"/>
              </w:rPr>
            </w:pPr>
            <w:r>
              <w:rPr>
                <w:rFonts w:ascii="宋体" w:hAnsi="宋体" w:hint="eastAsia"/>
              </w:rPr>
              <w:t>合计总额：￥</w:t>
            </w:r>
            <w:r>
              <w:rPr>
                <w:rFonts w:ascii="宋体" w:hAnsi="宋体" w:hint="eastAsia"/>
                <w:u w:val="single"/>
              </w:rPr>
              <w:t xml:space="preserve">       </w:t>
            </w:r>
            <w:r>
              <w:rPr>
                <w:rFonts w:ascii="宋体" w:hAnsi="宋体" w:hint="eastAsia"/>
              </w:rPr>
              <w:t>元；    大写：</w:t>
            </w:r>
            <w:r>
              <w:rPr>
                <w:rFonts w:ascii="宋体" w:hAnsi="宋体" w:hint="eastAsia"/>
                <w:u w:val="single"/>
              </w:rPr>
              <w:t xml:space="preserve">              </w:t>
            </w:r>
          </w:p>
        </w:tc>
      </w:tr>
    </w:tbl>
    <w:p>
      <w:pPr>
        <w:autoSpaceDE w:val="0"/>
        <w:autoSpaceDN w:val="0"/>
        <w:adjustRightInd w:val="0"/>
        <w:snapToGrid w:val="0"/>
        <w:spacing w:line="360" w:lineRule="auto"/>
        <w:ind w:left="142" w:firstLine="372" w:firstLineChars="177"/>
        <w:jc w:val="left"/>
        <w:rPr>
          <w:rFonts w:ascii="宋体" w:hAnsi="宋体"/>
        </w:rPr>
      </w:pPr>
      <w:r>
        <w:rPr>
          <w:rFonts w:ascii="宋体" w:hAnsi="宋体" w:hint="eastAsia"/>
        </w:rPr>
        <w:t>合同总额包括乙方设计、安装、随机零配件、标配工具、运输保险、调试、培训、质保期服务、各项税费及合同实施过程中不可预见费用等项目相关的一切费用。</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合同金额</w:t>
      </w:r>
    </w:p>
    <w:p>
      <w:pPr>
        <w:autoSpaceDE w:val="0"/>
        <w:autoSpaceDN w:val="0"/>
        <w:adjustRightInd w:val="0"/>
        <w:snapToGrid w:val="0"/>
        <w:spacing w:line="360" w:lineRule="auto"/>
        <w:ind w:left="420"/>
        <w:jc w:val="left"/>
        <w:rPr>
          <w:rFonts w:ascii="宋体" w:hAnsi="宋体"/>
        </w:rPr>
      </w:pPr>
      <w:r>
        <w:rPr>
          <w:rFonts w:ascii="宋体" w:hAnsi="宋体" w:hint="eastAsia"/>
        </w:rPr>
        <w:t>合同金额为（大写）：_________________元（￥_______________元）人民币。</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设备要求</w:t>
      </w:r>
    </w:p>
    <w:p>
      <w:pPr>
        <w:numPr>
          <w:ilvl w:val="0"/>
          <w:numId w:val="10"/>
        </w:numPr>
        <w:tabs>
          <w:tab w:val="clear" w:pos="425"/>
          <w:tab w:val="left" w:pos="567"/>
          <w:tab w:val="left" w:pos="851"/>
        </w:tabs>
        <w:autoSpaceDE w:val="0"/>
        <w:autoSpaceDN w:val="0"/>
        <w:adjustRightInd w:val="0"/>
        <w:snapToGrid w:val="0"/>
        <w:spacing w:line="360" w:lineRule="auto"/>
        <w:ind w:left="567" w:hanging="567"/>
        <w:rPr>
          <w:rFonts w:ascii="宋体" w:hAnsi="宋体"/>
        </w:rPr>
      </w:pPr>
      <w:r>
        <w:rPr>
          <w:rFonts w:ascii="宋体" w:hAnsi="宋体" w:hint="eastAsia"/>
        </w:rPr>
        <w:t>货物为原制造商制造的全新产品，整机无污染，无侵权行为、表面无划损、无任何缺陷隐患，在中国境内可依常规安全合法使用。</w:t>
      </w:r>
    </w:p>
    <w:p>
      <w:pPr>
        <w:numPr>
          <w:ilvl w:val="0"/>
          <w:numId w:val="10"/>
        </w:numPr>
        <w:tabs>
          <w:tab w:val="clear" w:pos="425"/>
          <w:tab w:val="left" w:pos="567"/>
          <w:tab w:val="left" w:pos="851"/>
        </w:tabs>
        <w:autoSpaceDE w:val="0"/>
        <w:autoSpaceDN w:val="0"/>
        <w:adjustRightInd w:val="0"/>
        <w:snapToGrid w:val="0"/>
        <w:spacing w:line="360" w:lineRule="auto"/>
        <w:ind w:left="567" w:hanging="567"/>
        <w:rPr>
          <w:rFonts w:ascii="宋体" w:hAnsi="宋体"/>
        </w:rPr>
      </w:pPr>
      <w:r>
        <w:rPr>
          <w:rFonts w:ascii="宋体" w:hAnsi="宋体" w:hint="eastAsia"/>
        </w:rPr>
        <w:t>交付验收标准依次序对照适用标准为：①符合中华人民共和国国家安全质量标准、环保标准或行业标准；②符合谈判文件和响应文件承诺中甲方认可的合理最佳配置、参数及各项要求；③货物来源国官方标准。</w:t>
      </w:r>
    </w:p>
    <w:p>
      <w:pPr>
        <w:numPr>
          <w:ilvl w:val="0"/>
          <w:numId w:val="10"/>
        </w:numPr>
        <w:tabs>
          <w:tab w:val="clear" w:pos="425"/>
          <w:tab w:val="left" w:pos="567"/>
          <w:tab w:val="left" w:pos="851"/>
        </w:tabs>
        <w:autoSpaceDE w:val="0"/>
        <w:autoSpaceDN w:val="0"/>
        <w:adjustRightInd w:val="0"/>
        <w:snapToGrid w:val="0"/>
        <w:spacing w:line="360" w:lineRule="auto"/>
        <w:ind w:left="567" w:hanging="567"/>
        <w:rPr>
          <w:rFonts w:ascii="宋体" w:hAnsi="宋体"/>
        </w:rPr>
      </w:pPr>
      <w:r>
        <w:rPr>
          <w:rFonts w:ascii="宋体" w:hAnsi="宋体" w:hint="eastAsia"/>
        </w:rPr>
        <w:t>进口产品必须具备原产地证明和商检局的检验证明及合法进货渠道证明（如有适用）。</w:t>
      </w:r>
    </w:p>
    <w:p>
      <w:pPr>
        <w:numPr>
          <w:ilvl w:val="0"/>
          <w:numId w:val="10"/>
        </w:numPr>
        <w:tabs>
          <w:tab w:val="clear" w:pos="425"/>
          <w:tab w:val="left" w:pos="567"/>
          <w:tab w:val="left" w:pos="851"/>
        </w:tabs>
        <w:autoSpaceDE w:val="0"/>
        <w:autoSpaceDN w:val="0"/>
        <w:adjustRightInd w:val="0"/>
        <w:snapToGrid w:val="0"/>
        <w:spacing w:line="360" w:lineRule="auto"/>
        <w:ind w:left="567" w:hanging="567"/>
        <w:rPr>
          <w:rFonts w:ascii="宋体" w:hAnsi="宋体"/>
        </w:rPr>
      </w:pPr>
      <w:r>
        <w:rPr>
          <w:rFonts w:ascii="宋体" w:hAnsi="宋体" w:hint="eastAsia"/>
        </w:rPr>
        <w:t>货物为原厂商未启封全新包装，具出厂合格证，序列号、包装箱号与出厂批号一致，并可追索查阅。</w:t>
      </w:r>
    </w:p>
    <w:p>
      <w:pPr>
        <w:numPr>
          <w:ilvl w:val="0"/>
          <w:numId w:val="10"/>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乙方应将关键主机设备的用户手册、保修手册、有关单证资料及配备件、随机工具等交付给甲方，使用操作及安全须知等重要资料应附有中文说明。</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质量要求</w:t>
      </w:r>
    </w:p>
    <w:p>
      <w:pPr>
        <w:numPr>
          <w:ilvl w:val="0"/>
          <w:numId w:val="11"/>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乙方须提供全新的货物（含零部件、配件等）表面无划伤、无碰撞痕迹，且权属清楚，不得侵害他人的知识产权。</w:t>
      </w:r>
    </w:p>
    <w:p>
      <w:pPr>
        <w:numPr>
          <w:ilvl w:val="0"/>
          <w:numId w:val="11"/>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货物必须符合或优于国家（行业）标准，以及本项目谈判文件的质量要求和技术指标与出厂标准。</w:t>
      </w:r>
    </w:p>
    <w:p>
      <w:pPr>
        <w:numPr>
          <w:ilvl w:val="0"/>
          <w:numId w:val="11"/>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乙方须在本合同签订之日起</w:t>
      </w:r>
      <w:r>
        <w:rPr>
          <w:rFonts w:ascii="宋体" w:hAnsi="宋体" w:hint="eastAsia"/>
          <w:u w:val="single"/>
        </w:rPr>
        <w:t xml:space="preserve"> </w:t>
      </w:r>
      <w:r>
        <w:rPr>
          <w:rFonts w:ascii="宋体" w:hAnsi="宋体"/>
          <w:u w:val="single"/>
        </w:rPr>
        <w:t xml:space="preserve">   </w:t>
      </w:r>
      <w:r>
        <w:rPr>
          <w:rFonts w:ascii="宋体" w:hAnsi="宋体" w:hint="eastAsia"/>
        </w:rPr>
        <w:t>日内送交货物成品样品给甲方确认，在甲方出具样品确认书并封存成品样品外观尺寸后，乙方才能按样生产，并以此样品作为验收样品；每台货物上均应有产品质量检验合格标志。</w:t>
      </w:r>
    </w:p>
    <w:p>
      <w:pPr>
        <w:numPr>
          <w:ilvl w:val="0"/>
          <w:numId w:val="11"/>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货物制造质量出现问题，乙方应负责三包（包修、包换、包退），费用由乙方负担，甲方有权到乙方生产场地检查货物质量和生产进度。</w:t>
      </w:r>
    </w:p>
    <w:p>
      <w:pPr>
        <w:numPr>
          <w:ilvl w:val="0"/>
          <w:numId w:val="11"/>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货到现场后由于甲方保管不当造成的质量问题，乙方亦应负责修理，但费用由甲方负担。</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交货期、交货方式及交货地点：</w:t>
      </w:r>
    </w:p>
    <w:p>
      <w:pPr>
        <w:numPr>
          <w:ilvl w:val="0"/>
          <w:numId w:val="12"/>
        </w:numPr>
        <w:tabs>
          <w:tab w:val="clear" w:pos="425"/>
          <w:tab w:val="left" w:pos="567"/>
        </w:tabs>
        <w:autoSpaceDE w:val="0"/>
        <w:autoSpaceDN w:val="0"/>
        <w:adjustRightInd w:val="0"/>
        <w:snapToGrid w:val="0"/>
        <w:spacing w:line="360" w:lineRule="auto"/>
        <w:rPr>
          <w:rFonts w:ascii="宋体" w:hAnsi="宋体"/>
        </w:rPr>
      </w:pPr>
      <w:r>
        <w:rPr>
          <w:rFonts w:ascii="宋体" w:hAnsi="宋体" w:hint="eastAsia"/>
        </w:rPr>
        <w:t>交货期：详见本谈判文件采购需求</w:t>
      </w:r>
    </w:p>
    <w:p>
      <w:pPr>
        <w:numPr>
          <w:ilvl w:val="0"/>
          <w:numId w:val="12"/>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交货方式：详见本谈判文件采购需求</w:t>
      </w:r>
    </w:p>
    <w:p>
      <w:pPr>
        <w:numPr>
          <w:ilvl w:val="0"/>
          <w:numId w:val="12"/>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交货地点：详见本谈判文件采购需求</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付款方式：</w:t>
      </w:r>
      <w:r>
        <w:rPr>
          <w:rFonts w:ascii="宋体" w:hAnsi="宋体" w:hint="eastAsia"/>
        </w:rPr>
        <w:t>详见本次谈判文件采购需求</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质保期及售后服务要求</w:t>
      </w:r>
    </w:p>
    <w:p>
      <w:pPr>
        <w:numPr>
          <w:ilvl w:val="0"/>
          <w:numId w:val="13"/>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本合同的质量保证期（简称“质保期”）为</w:t>
      </w:r>
      <w:r>
        <w:rPr>
          <w:rFonts w:ascii="宋体" w:hAnsi="宋体" w:hint="eastAsia"/>
          <w:u w:val="single"/>
        </w:rPr>
        <w:t xml:space="preserve">     </w:t>
      </w:r>
      <w:r>
        <w:rPr>
          <w:rFonts w:ascii="宋体" w:hAnsi="宋体" w:hint="eastAsia"/>
        </w:rPr>
        <w:t>年，质保期自货物最终验收合格之日起算，质保期内乙方对所供货物实行包修、包换、包退、包维护保养，期满后可同时提供终身 (免费/有偿) 维修保养服务。</w:t>
      </w:r>
    </w:p>
    <w:p>
      <w:pPr>
        <w:numPr>
          <w:ilvl w:val="0"/>
          <w:numId w:val="13"/>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质保期内，如设备或零部件因非人为因素出现故障而造成短期停用时，则质保期和免费维修期相应顺延。如停用时间累计超过60天则质保期重新计算。</w:t>
      </w:r>
    </w:p>
    <w:p>
      <w:pPr>
        <w:numPr>
          <w:ilvl w:val="0"/>
          <w:numId w:val="13"/>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对甲方的服务通知，乙方在接报后</w:t>
      </w:r>
      <w:r>
        <w:rPr>
          <w:rFonts w:ascii="宋体" w:hAnsi="宋体"/>
          <w:u w:val="single"/>
        </w:rPr>
        <w:t xml:space="preserve">  </w:t>
      </w:r>
      <w:r>
        <w:rPr>
          <w:rFonts w:ascii="宋体" w:hAnsi="宋体" w:hint="eastAsia"/>
        </w:rPr>
        <w:t>小时内响应，</w:t>
      </w:r>
      <w:r>
        <w:rPr>
          <w:rFonts w:ascii="宋体" w:hAnsi="宋体"/>
          <w:u w:val="single"/>
        </w:rPr>
        <w:t xml:space="preserve">  </w:t>
      </w:r>
      <w:r>
        <w:rPr>
          <w:rFonts w:ascii="宋体" w:hAnsi="宋体" w:hint="eastAsia"/>
        </w:rPr>
        <w:t>小时内到达现场，</w:t>
      </w:r>
      <w:r>
        <w:rPr>
          <w:rFonts w:ascii="宋体" w:hAnsi="宋体"/>
          <w:u w:val="single"/>
        </w:rPr>
        <w:t xml:space="preserve">   </w:t>
      </w:r>
      <w:r>
        <w:rPr>
          <w:rFonts w:ascii="宋体" w:hAnsi="宋体" w:hint="eastAsia"/>
        </w:rPr>
        <w:t>小时内处理完毕。若在</w:t>
      </w:r>
      <w:r>
        <w:rPr>
          <w:rFonts w:ascii="宋体" w:hAnsi="宋体"/>
          <w:u w:val="single"/>
        </w:rPr>
        <w:t xml:space="preserve">   </w:t>
      </w:r>
      <w:r>
        <w:rPr>
          <w:rFonts w:ascii="宋体" w:hAnsi="宋体" w:hint="eastAsia"/>
        </w:rPr>
        <w:t>小时内仍未能有效解决，乙方须免费提供同档次的设备予甲方临时使用。如货物经乙方</w:t>
      </w:r>
      <w:r>
        <w:rPr>
          <w:rFonts w:ascii="宋体" w:hAnsi="宋体"/>
          <w:u w:val="single"/>
        </w:rPr>
        <w:t xml:space="preserve">   </w:t>
      </w:r>
      <w:r>
        <w:rPr>
          <w:rFonts w:ascii="宋体" w:hAnsi="宋体"/>
        </w:rPr>
        <w:t>次维修</w:t>
      </w:r>
      <w:r>
        <w:rPr>
          <w:rFonts w:ascii="宋体" w:hAnsi="宋体" w:hint="eastAsia"/>
        </w:rPr>
        <w:t>仍不能达到本合同约定的质量标准，视作乙方未能按时交货，甲方有权退货并追究乙方的违约责任。货到现场后由于甲方保管不当造成的问题，乙方亦应负责修复，但费用由甲方负担。</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安装与调试</w:t>
      </w:r>
    </w:p>
    <w:p>
      <w:pPr>
        <w:numPr>
          <w:ilvl w:val="0"/>
          <w:numId w:val="14"/>
        </w:numPr>
        <w:tabs>
          <w:tab w:val="clear" w:pos="425"/>
          <w:tab w:val="left" w:pos="709"/>
        </w:tabs>
        <w:adjustRightInd w:val="0"/>
        <w:snapToGrid w:val="0"/>
        <w:spacing w:line="360" w:lineRule="auto"/>
        <w:ind w:left="567" w:hanging="567"/>
        <w:rPr>
          <w:rFonts w:ascii="宋体" w:hAnsi="宋体"/>
        </w:rPr>
      </w:pPr>
      <w:r>
        <w:rPr>
          <w:rFonts w:ascii="宋体" w:hAnsi="宋体" w:hint="eastAsia"/>
        </w:rPr>
        <w:t>乙方必须依照谈判文件的要求和响应文件的承诺，将设备、系统安装并调试至正常运行的最佳状态。</w:t>
      </w:r>
    </w:p>
    <w:p>
      <w:pPr>
        <w:numPr>
          <w:ilvl w:val="0"/>
          <w:numId w:val="14"/>
        </w:numPr>
        <w:tabs>
          <w:tab w:val="clear" w:pos="425"/>
          <w:tab w:val="left" w:pos="709"/>
        </w:tabs>
        <w:adjustRightInd w:val="0"/>
        <w:snapToGrid w:val="0"/>
        <w:spacing w:line="360" w:lineRule="auto"/>
        <w:ind w:left="567" w:hanging="567"/>
        <w:rPr>
          <w:rFonts w:ascii="宋体" w:hAnsi="宋体"/>
          <w:color w:val="auto"/>
        </w:rPr>
      </w:pPr>
      <w:r>
        <w:rPr>
          <w:rFonts w:ascii="宋体" w:hAnsi="宋体"/>
          <w:color w:val="auto"/>
        </w:rPr>
        <w:t>合同设备安装</w:t>
      </w:r>
    </w:p>
    <w:p>
      <w:pPr>
        <w:numPr>
          <w:ilvl w:val="0"/>
          <w:numId w:val="15"/>
        </w:numPr>
        <w:snapToGrid w:val="0"/>
        <w:spacing w:line="360" w:lineRule="auto"/>
        <w:rPr>
          <w:rFonts w:ascii="宋体" w:hAnsi="宋体"/>
          <w:color w:val="auto"/>
        </w:rPr>
      </w:pPr>
      <w:r>
        <w:rPr>
          <w:rFonts w:ascii="宋体" w:hAnsi="宋体" w:hint="eastAsia"/>
          <w:color w:val="auto"/>
        </w:rPr>
        <w:t>乙方</w:t>
      </w:r>
      <w:r>
        <w:rPr>
          <w:rFonts w:ascii="宋体" w:hAnsi="宋体"/>
          <w:color w:val="auto"/>
        </w:rPr>
        <w:t>负责合同设备的安装，一切费用由</w:t>
      </w:r>
      <w:r>
        <w:rPr>
          <w:rFonts w:ascii="宋体" w:hAnsi="宋体" w:hint="eastAsia"/>
          <w:color w:val="auto"/>
        </w:rPr>
        <w:t>乙方</w:t>
      </w:r>
      <w:r>
        <w:rPr>
          <w:rFonts w:ascii="宋体" w:hAnsi="宋体"/>
          <w:color w:val="auto"/>
        </w:rPr>
        <w:t>负责。</w:t>
      </w:r>
    </w:p>
    <w:p>
      <w:pPr>
        <w:numPr>
          <w:ilvl w:val="0"/>
          <w:numId w:val="15"/>
        </w:numPr>
        <w:snapToGrid w:val="0"/>
        <w:spacing w:line="360" w:lineRule="auto"/>
        <w:rPr>
          <w:rFonts w:ascii="宋体" w:hAnsi="宋体"/>
          <w:b/>
          <w:color w:val="auto"/>
        </w:rPr>
      </w:pPr>
      <w:r>
        <w:rPr>
          <w:rFonts w:ascii="宋体" w:hAnsi="宋体" w:hint="eastAsia"/>
          <w:color w:val="auto"/>
        </w:rPr>
        <w:t>乙方</w:t>
      </w:r>
      <w:r>
        <w:rPr>
          <w:rFonts w:ascii="宋体" w:hAnsi="宋体"/>
          <w:color w:val="auto"/>
        </w:rPr>
        <w:t>安装时须对各安装场地内的其他设备、设施有良好保护措施。</w:t>
      </w:r>
    </w:p>
    <w:p>
      <w:pPr>
        <w:numPr>
          <w:ilvl w:val="0"/>
          <w:numId w:val="9"/>
        </w:numPr>
        <w:tabs>
          <w:tab w:val="left" w:pos="567"/>
          <w:tab w:val="clear" w:pos="960"/>
        </w:tabs>
        <w:spacing w:line="420" w:lineRule="auto"/>
        <w:ind w:left="0" w:firstLine="0"/>
        <w:rPr>
          <w:rFonts w:ascii="宋体" w:hAnsi="宋体"/>
          <w:b/>
          <w:color w:val="auto"/>
        </w:rPr>
      </w:pPr>
      <w:r>
        <w:rPr>
          <w:rFonts w:ascii="宋体" w:hAnsi="宋体" w:hint="eastAsia"/>
          <w:b/>
          <w:color w:val="auto"/>
        </w:rPr>
        <w:t>验收标准</w:t>
      </w:r>
    </w:p>
    <w:p>
      <w:pPr>
        <w:numPr>
          <w:ilvl w:val="0"/>
          <w:numId w:val="16"/>
        </w:numPr>
        <w:tabs>
          <w:tab w:val="clear" w:pos="425"/>
          <w:tab w:val="left" w:pos="567"/>
        </w:tabs>
        <w:autoSpaceDE w:val="0"/>
        <w:autoSpaceDN w:val="0"/>
        <w:adjustRightInd w:val="0"/>
        <w:snapToGrid w:val="0"/>
        <w:spacing w:line="360" w:lineRule="auto"/>
        <w:ind w:left="567" w:hanging="567"/>
        <w:rPr>
          <w:rFonts w:ascii="宋体" w:hAnsi="宋体"/>
          <w:color w:val="auto"/>
        </w:rPr>
      </w:pPr>
      <w:r>
        <w:rPr>
          <w:rFonts w:ascii="宋体" w:hAnsi="宋体" w:hint="eastAsia"/>
          <w:bCs/>
          <w:color w:val="auto"/>
        </w:rPr>
        <w:t>全部合同货物到达交货地点</w:t>
      </w:r>
      <w:r>
        <w:rPr>
          <w:rFonts w:ascii="宋体" w:hAnsi="宋体" w:cstheme="minorBidi" w:hint="eastAsia"/>
          <w:bCs/>
          <w:color w:val="auto"/>
        </w:rPr>
        <w:t>且甲方收到验收申请</w:t>
      </w:r>
      <w:r>
        <w:rPr>
          <w:rFonts w:ascii="宋体" w:hAnsi="宋体" w:hint="eastAsia"/>
          <w:bCs/>
          <w:color w:val="auto"/>
        </w:rPr>
        <w:t>后7个日历日内进行验收。</w:t>
      </w:r>
    </w:p>
    <w:p>
      <w:pPr>
        <w:numPr>
          <w:ilvl w:val="0"/>
          <w:numId w:val="16"/>
        </w:numPr>
        <w:tabs>
          <w:tab w:val="clear" w:pos="425"/>
          <w:tab w:val="left" w:pos="567"/>
        </w:tabs>
        <w:autoSpaceDE w:val="0"/>
        <w:autoSpaceDN w:val="0"/>
        <w:adjustRightInd w:val="0"/>
        <w:snapToGrid w:val="0"/>
        <w:spacing w:line="360" w:lineRule="auto"/>
        <w:ind w:left="567" w:hanging="567"/>
        <w:rPr>
          <w:rFonts w:ascii="宋体" w:hAnsi="宋体"/>
          <w:color w:val="auto"/>
        </w:rPr>
      </w:pPr>
      <w:r>
        <w:rPr>
          <w:rFonts w:ascii="宋体" w:hAnsi="宋体"/>
          <w:color w:val="auto"/>
        </w:rPr>
        <w:t>符合中华人民共和国国家安全质量标准、环保标准或行业标准；</w:t>
      </w:r>
    </w:p>
    <w:p>
      <w:pPr>
        <w:numPr>
          <w:ilvl w:val="0"/>
          <w:numId w:val="16"/>
        </w:numPr>
        <w:tabs>
          <w:tab w:val="clear" w:pos="425"/>
          <w:tab w:val="left" w:pos="567"/>
        </w:tabs>
        <w:autoSpaceDE w:val="0"/>
        <w:autoSpaceDN w:val="0"/>
        <w:adjustRightInd w:val="0"/>
        <w:snapToGrid w:val="0"/>
        <w:spacing w:line="360" w:lineRule="auto"/>
        <w:ind w:left="567" w:hanging="567"/>
        <w:rPr>
          <w:rFonts w:ascii="宋体" w:hAnsi="宋体"/>
          <w:color w:val="auto"/>
        </w:rPr>
      </w:pPr>
      <w:r>
        <w:rPr>
          <w:rFonts w:ascii="宋体" w:hAnsi="宋体"/>
          <w:color w:val="auto"/>
        </w:rPr>
        <w:t>符合谈判文件和响应承诺中</w:t>
      </w:r>
      <w:r>
        <w:rPr>
          <w:rFonts w:ascii="宋体" w:hAnsi="宋体" w:hint="eastAsia"/>
          <w:color w:val="auto"/>
        </w:rPr>
        <w:t>甲方</w:t>
      </w:r>
      <w:r>
        <w:rPr>
          <w:rFonts w:ascii="宋体" w:hAnsi="宋体"/>
          <w:color w:val="auto"/>
        </w:rPr>
        <w:t>认可的合理最佳配置、参数及各项要求；</w:t>
      </w:r>
    </w:p>
    <w:p>
      <w:pPr>
        <w:numPr>
          <w:ilvl w:val="0"/>
          <w:numId w:val="16"/>
        </w:numPr>
        <w:tabs>
          <w:tab w:val="clear" w:pos="425"/>
          <w:tab w:val="left" w:pos="567"/>
        </w:tabs>
        <w:autoSpaceDE w:val="0"/>
        <w:autoSpaceDN w:val="0"/>
        <w:adjustRightInd w:val="0"/>
        <w:snapToGrid w:val="0"/>
        <w:spacing w:line="360" w:lineRule="auto"/>
        <w:ind w:left="567" w:hanging="567"/>
        <w:rPr>
          <w:rFonts w:ascii="宋体" w:hAnsi="宋体"/>
          <w:color w:val="auto"/>
        </w:rPr>
      </w:pPr>
      <w:r>
        <w:rPr>
          <w:rFonts w:ascii="宋体" w:hAnsi="宋体"/>
          <w:color w:val="auto"/>
        </w:rPr>
        <w:t>货物来源国官方标准。</w:t>
      </w:r>
    </w:p>
    <w:p>
      <w:pPr>
        <w:numPr>
          <w:ilvl w:val="0"/>
          <w:numId w:val="16"/>
        </w:numPr>
        <w:tabs>
          <w:tab w:val="clear" w:pos="425"/>
          <w:tab w:val="left" w:pos="567"/>
        </w:tabs>
        <w:autoSpaceDE w:val="0"/>
        <w:autoSpaceDN w:val="0"/>
        <w:adjustRightInd w:val="0"/>
        <w:snapToGrid w:val="0"/>
        <w:spacing w:line="360" w:lineRule="auto"/>
        <w:ind w:left="567" w:hanging="567"/>
        <w:rPr>
          <w:rFonts w:ascii="宋体" w:hAnsi="宋体"/>
          <w:color w:val="auto"/>
        </w:rPr>
      </w:pPr>
      <w:r>
        <w:rPr>
          <w:rFonts w:ascii="宋体" w:hAnsi="宋体" w:hint="eastAsia"/>
          <w:color w:val="auto"/>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numPr>
          <w:ilvl w:val="0"/>
          <w:numId w:val="9"/>
        </w:numPr>
        <w:tabs>
          <w:tab w:val="left" w:pos="567"/>
          <w:tab w:val="clear" w:pos="960"/>
        </w:tabs>
        <w:spacing w:line="420" w:lineRule="auto"/>
        <w:ind w:left="0" w:firstLine="0"/>
        <w:rPr>
          <w:rFonts w:ascii="宋体" w:hAnsi="宋体"/>
          <w:b/>
          <w:color w:val="auto"/>
        </w:rPr>
      </w:pPr>
      <w:r>
        <w:rPr>
          <w:rFonts w:ascii="宋体" w:hAnsi="宋体" w:hint="eastAsia"/>
          <w:b/>
          <w:color w:val="auto"/>
        </w:rPr>
        <w:t>违约责任与赔偿损失</w:t>
      </w:r>
    </w:p>
    <w:p>
      <w:pPr>
        <w:numPr>
          <w:ilvl w:val="0"/>
          <w:numId w:val="17"/>
        </w:numPr>
        <w:tabs>
          <w:tab w:val="clear" w:pos="425"/>
          <w:tab w:val="left" w:pos="567"/>
        </w:tabs>
        <w:autoSpaceDE w:val="0"/>
        <w:autoSpaceDN w:val="0"/>
        <w:adjustRightInd w:val="0"/>
        <w:snapToGrid w:val="0"/>
        <w:spacing w:line="360" w:lineRule="auto"/>
        <w:ind w:left="567" w:hanging="567"/>
        <w:rPr>
          <w:rFonts w:ascii="宋体" w:hAnsi="宋体"/>
          <w:color w:val="auto"/>
        </w:rPr>
      </w:pPr>
      <w:r>
        <w:rPr>
          <w:rFonts w:ascii="宋体" w:hAnsi="宋体" w:hint="eastAsia"/>
          <w:color w:val="auto"/>
        </w:rPr>
        <w:t>乙方交付的货物、服务不符合谈判文件、响应文件或本合同规定的，甲方有权拒收，并且乙方须向甲方支付本合同总价5%的违约金。</w:t>
      </w:r>
    </w:p>
    <w:p>
      <w:pPr>
        <w:numPr>
          <w:ilvl w:val="0"/>
          <w:numId w:val="17"/>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color w:val="auto"/>
        </w:rPr>
        <w:t>乙方未能按本合同规定的交货时</w:t>
      </w:r>
      <w:r>
        <w:rPr>
          <w:rFonts w:ascii="宋体" w:hAnsi="宋体" w:hint="eastAsia"/>
        </w:rPr>
        <w:t>间交付货物、服务，从逾期之日起每日按本合同总价3‰的数额向甲方支付违约金；逾期15天以上（含15天）的，甲方有权终止合同，要求乙方支付违约金，并且给甲方造成的经济损失由乙方承担赔偿责任。</w:t>
      </w:r>
    </w:p>
    <w:p>
      <w:pPr>
        <w:numPr>
          <w:ilvl w:val="0"/>
          <w:numId w:val="17"/>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甲方无正当理由拒收货物，到期拒付货物款项的，甲方向乙方偿付本合同总价的5%的违约金。甲方逾期付款，则每日按本合同总价的3‰向乙方偿付违约金。</w:t>
      </w:r>
    </w:p>
    <w:p>
      <w:pPr>
        <w:numPr>
          <w:ilvl w:val="0"/>
          <w:numId w:val="17"/>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其它违约责任按《中华人民共和国民法典》处理。</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争议的解决</w:t>
      </w:r>
    </w:p>
    <w:p>
      <w:pPr>
        <w:snapToGrid w:val="0"/>
        <w:spacing w:line="360" w:lineRule="auto"/>
        <w:ind w:firstLine="420" w:firstLineChars="200"/>
        <w:rPr>
          <w:rFonts w:ascii="宋体" w:hAnsi="宋体"/>
        </w:rPr>
      </w:pPr>
      <w:r>
        <w:rPr>
          <w:rFonts w:ascii="宋体" w:hAnsi="宋体" w:hint="eastAsia"/>
        </w:rPr>
        <w:t>合同执行过程中发生的任何争议，如双方不能通过友好协商解决，甲、乙双方一致同意向甲方所在地人民法院提起诉讼。</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不可抗力</w:t>
      </w:r>
    </w:p>
    <w:p>
      <w:pPr>
        <w:autoSpaceDE w:val="0"/>
        <w:autoSpaceDN w:val="0"/>
        <w:adjustRightInd w:val="0"/>
        <w:snapToGrid w:val="0"/>
        <w:spacing w:line="360" w:lineRule="auto"/>
        <w:ind w:left="420"/>
        <w:jc w:val="left"/>
        <w:rPr>
          <w:rFonts w:ascii="宋体" w:hAnsi="宋体"/>
        </w:rPr>
      </w:pPr>
      <w:r>
        <w:rPr>
          <w:rFonts w:ascii="宋体" w:hAnsi="宋体" w:hint="eastAsia"/>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税费</w:t>
      </w:r>
    </w:p>
    <w:p>
      <w:pPr>
        <w:snapToGrid w:val="0"/>
        <w:spacing w:line="360" w:lineRule="auto"/>
        <w:ind w:firstLine="525" w:firstLineChars="250"/>
        <w:rPr>
          <w:rFonts w:ascii="宋体" w:hAnsi="宋体"/>
        </w:rPr>
      </w:pPr>
      <w:r>
        <w:rPr>
          <w:rFonts w:ascii="宋体" w:hAnsi="宋体" w:hint="eastAsia"/>
        </w:rPr>
        <w:t>在中国境内、外发生的与本合同执行有关的一切税费均由乙方负担。</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其它</w:t>
      </w:r>
    </w:p>
    <w:p>
      <w:pPr>
        <w:numPr>
          <w:ilvl w:val="0"/>
          <w:numId w:val="18"/>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本合同所有附件、谈判文件、响应文件、成交通知书均为合同的有效组成部分，与本合同具有同等法律效力。</w:t>
      </w:r>
    </w:p>
    <w:p>
      <w:pPr>
        <w:numPr>
          <w:ilvl w:val="0"/>
          <w:numId w:val="18"/>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在执行本合同的过程中，所有经双方签署确认的文件（包括会议纪要、补充协议、往来信函）即成为本合同的有效组成部分。</w:t>
      </w:r>
    </w:p>
    <w:p>
      <w:pPr>
        <w:numPr>
          <w:ilvl w:val="0"/>
          <w:numId w:val="18"/>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 xml:space="preserve">如一方地址、电话、传真号码有变更，应在变更当日内书面通知对方，否则，应承担相应责任。 </w:t>
      </w:r>
    </w:p>
    <w:p>
      <w:pPr>
        <w:numPr>
          <w:ilvl w:val="0"/>
          <w:numId w:val="18"/>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除甲方事先书面同意外，乙方不得部分或全部转让其应履行的合同项下的义务。</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合同生效</w:t>
      </w:r>
    </w:p>
    <w:p>
      <w:pPr>
        <w:pStyle w:val="ListParagraph"/>
        <w:numPr>
          <w:ilvl w:val="0"/>
          <w:numId w:val="19"/>
        </w:numPr>
        <w:autoSpaceDE w:val="0"/>
        <w:autoSpaceDN w:val="0"/>
        <w:adjustRightInd w:val="0"/>
        <w:snapToGrid w:val="0"/>
        <w:spacing w:line="360" w:lineRule="auto"/>
        <w:ind w:left="851" w:hanging="845" w:firstLineChars="0"/>
        <w:jc w:val="left"/>
        <w:rPr>
          <w:rFonts w:ascii="宋体" w:hAnsi="宋体"/>
        </w:rPr>
      </w:pPr>
      <w:r>
        <w:rPr>
          <w:rFonts w:ascii="宋体" w:hAnsi="宋体" w:hint="eastAsia"/>
        </w:rPr>
        <w:t>合同自甲乙双方法人代表或其授权代表签字盖章之日起生效。</w:t>
      </w:r>
    </w:p>
    <w:p>
      <w:pPr>
        <w:pStyle w:val="ListParagraph"/>
        <w:numPr>
          <w:ilvl w:val="0"/>
          <w:numId w:val="19"/>
        </w:numPr>
        <w:wordWrap w:val="0"/>
        <w:autoSpaceDE w:val="0"/>
        <w:autoSpaceDN w:val="0"/>
        <w:adjustRightInd w:val="0"/>
        <w:snapToGrid w:val="0"/>
        <w:spacing w:line="360" w:lineRule="auto"/>
        <w:ind w:left="851" w:hanging="845" w:firstLineChars="0"/>
        <w:jc w:val="left"/>
        <w:rPr>
          <w:rFonts w:ascii="宋体" w:hAnsi="宋体"/>
        </w:rPr>
      </w:pPr>
      <w:r>
        <w:rPr>
          <w:rFonts w:ascii="宋体" w:hAnsi="宋体" w:hint="eastAsia"/>
        </w:rPr>
        <w:t>合同壹式</w:t>
      </w:r>
      <w:r>
        <w:rPr>
          <w:rFonts w:ascii="宋体" w:hAnsi="宋体" w:hint="eastAsia"/>
          <w:u w:val="single"/>
        </w:rPr>
        <w:t xml:space="preserve">    </w:t>
      </w:r>
      <w:r>
        <w:rPr>
          <w:rFonts w:ascii="宋体" w:hAnsi="宋体" w:hint="eastAsia"/>
        </w:rPr>
        <w:t>份，其中甲乙双方各执</w:t>
      </w:r>
      <w:r>
        <w:rPr>
          <w:rFonts w:ascii="宋体" w:hAnsi="宋体" w:hint="eastAsia"/>
          <w:u w:val="single"/>
        </w:rPr>
        <w:t xml:space="preserve">     </w:t>
      </w:r>
      <w:r>
        <w:rPr>
          <w:rFonts w:ascii="宋体" w:hAnsi="宋体" w:hint="eastAsia"/>
        </w:rPr>
        <w:t>份，采购代理机构执壹份，监督管理部门</w:t>
      </w:r>
      <w:r>
        <w:rPr>
          <w:rFonts w:ascii="宋体" w:hAnsi="宋体" w:hint="eastAsia"/>
          <w:u w:val="single"/>
        </w:rPr>
        <w:t xml:space="preserve">     </w:t>
      </w:r>
      <w:r>
        <w:rPr>
          <w:rFonts w:ascii="宋体" w:hAnsi="宋体" w:hint="eastAsia"/>
        </w:rPr>
        <w:t>份。</w:t>
      </w:r>
    </w:p>
    <w:p>
      <w:pPr>
        <w:spacing w:line="420" w:lineRule="auto"/>
        <w:rPr>
          <w:rFonts w:ascii="宋体" w:hAnsi="宋体"/>
        </w:rPr>
      </w:pPr>
    </w:p>
    <w:p>
      <w:pPr>
        <w:spacing w:line="420" w:lineRule="auto"/>
        <w:rPr>
          <w:rFonts w:ascii="宋体" w:hAnsi="宋体"/>
        </w:rPr>
      </w:pPr>
      <w:r>
        <w:rPr>
          <w:rFonts w:ascii="宋体" w:hAnsi="宋体" w:hint="eastAsia"/>
        </w:rPr>
        <w:t xml:space="preserve">甲方（盖章）：                          </w:t>
      </w:r>
      <w:r>
        <w:rPr>
          <w:rFonts w:ascii="宋体" w:hAnsi="宋体"/>
        </w:rPr>
        <w:t xml:space="preserve"> </w:t>
      </w:r>
      <w:r>
        <w:rPr>
          <w:rFonts w:ascii="宋体" w:hAnsi="宋体" w:hint="eastAsia"/>
        </w:rPr>
        <w:t>乙方（盖章）：</w:t>
      </w:r>
    </w:p>
    <w:p>
      <w:pPr>
        <w:spacing w:line="420" w:lineRule="auto"/>
        <w:rPr>
          <w:rFonts w:ascii="宋体" w:hAnsi="宋体"/>
        </w:rPr>
      </w:pPr>
      <w:r>
        <w:rPr>
          <w:rFonts w:ascii="宋体" w:hAnsi="宋体" w:hint="eastAsia"/>
        </w:rPr>
        <w:t xml:space="preserve">代表：                                  代表： </w:t>
      </w:r>
    </w:p>
    <w:p>
      <w:pPr>
        <w:spacing w:line="420" w:lineRule="auto"/>
        <w:rPr>
          <w:rFonts w:ascii="宋体" w:hAnsi="宋体"/>
        </w:rPr>
      </w:pPr>
      <w:r>
        <w:rPr>
          <w:rFonts w:ascii="宋体" w:hAnsi="宋体" w:hint="eastAsia"/>
        </w:rPr>
        <w:t>签订地点：</w:t>
      </w:r>
    </w:p>
    <w:p>
      <w:pPr>
        <w:spacing w:line="420" w:lineRule="auto"/>
        <w:rPr>
          <w:rFonts w:ascii="宋体" w:hAnsi="宋体"/>
        </w:rPr>
      </w:pPr>
      <w:r>
        <w:rPr>
          <w:rFonts w:ascii="宋体" w:hAnsi="宋体" w:hint="eastAsia"/>
        </w:rPr>
        <w:t xml:space="preserve">签订日期：        年     月    日       签订日期：        年     月     日    </w:t>
      </w:r>
    </w:p>
    <w:p>
      <w:pPr>
        <w:spacing w:line="420" w:lineRule="auto"/>
        <w:ind w:firstLine="4200" w:firstLineChars="2000"/>
        <w:rPr>
          <w:rFonts w:ascii="宋体" w:hAnsi="宋体"/>
        </w:rPr>
      </w:pPr>
      <w:r>
        <w:rPr>
          <w:rFonts w:ascii="宋体" w:hAnsi="宋体" w:hint="eastAsia"/>
        </w:rPr>
        <w:t>开户名称：</w:t>
      </w:r>
    </w:p>
    <w:p>
      <w:pPr>
        <w:spacing w:line="420" w:lineRule="auto"/>
        <w:ind w:firstLine="4200" w:firstLineChars="2000"/>
        <w:rPr>
          <w:rFonts w:ascii="宋体" w:hAnsi="宋体"/>
        </w:rPr>
      </w:pPr>
      <w:r>
        <w:rPr>
          <w:rFonts w:ascii="宋体" w:hAnsi="宋体" w:hint="eastAsia"/>
        </w:rPr>
        <w:t>银行账号：</w:t>
      </w:r>
    </w:p>
    <w:p>
      <w:pPr>
        <w:spacing w:line="420" w:lineRule="auto"/>
        <w:ind w:firstLine="4200" w:firstLineChars="2000"/>
        <w:rPr>
          <w:rFonts w:ascii="宋体" w:hAnsi="宋体"/>
        </w:rPr>
      </w:pPr>
      <w:r>
        <w:rPr>
          <w:rFonts w:ascii="宋体" w:hAnsi="宋体" w:hint="eastAsia"/>
        </w:rPr>
        <w:t>开 户 行：</w:t>
      </w:r>
    </w:p>
    <w:p>
      <w:pPr>
        <w:spacing w:line="360" w:lineRule="auto"/>
        <w:jc w:val="center"/>
        <w:rPr>
          <w:rFonts w:ascii="宋体" w:hAnsi="宋体"/>
          <w:b/>
          <w:bCs/>
          <w:sz w:val="28"/>
        </w:rPr>
      </w:pPr>
    </w:p>
    <w:p>
      <w:pPr>
        <w:pStyle w:val="Heading1"/>
        <w:numPr>
          <w:ilvl w:val="0"/>
          <w:numId w:val="20"/>
        </w:numPr>
        <w:adjustRightInd w:val="0"/>
        <w:snapToGrid w:val="0"/>
        <w:spacing w:before="0" w:after="0" w:line="360" w:lineRule="auto"/>
        <w:jc w:val="center"/>
        <w:rPr>
          <w:rFonts w:hint="eastAsia"/>
          <w:kern w:val="0"/>
          <w:sz w:val="30"/>
          <w:szCs w:val="30"/>
        </w:rPr>
      </w:pPr>
      <w:r>
        <w:rPr>
          <w:rFonts w:ascii="宋体" w:hAnsi="宋体"/>
          <w:b/>
          <w:bCs/>
          <w:sz w:val="28"/>
        </w:rPr>
        <w:br w:type="page"/>
      </w:r>
      <w:bookmarkStart w:id="82" w:name="_Toc8324"/>
      <w:r>
        <w:rPr>
          <w:rFonts w:hint="eastAsia"/>
          <w:kern w:val="0"/>
          <w:sz w:val="30"/>
          <w:szCs w:val="30"/>
        </w:rPr>
        <w:t xml:space="preserve"> </w:t>
      </w:r>
      <w:bookmarkEnd w:id="73"/>
      <w:bookmarkStart w:id="83" w:name="_Toc256000005"/>
      <w:r>
        <w:rPr>
          <w:rFonts w:hint="eastAsia"/>
          <w:kern w:val="0"/>
          <w:sz w:val="30"/>
          <w:szCs w:val="30"/>
        </w:rPr>
        <w:t>谈判应答文件格式</w:t>
      </w:r>
      <w:bookmarkEnd w:id="83"/>
      <w:bookmarkEnd w:id="74"/>
      <w:bookmarkEnd w:id="75"/>
      <w:bookmarkEnd w:id="76"/>
      <w:bookmarkEnd w:id="77"/>
      <w:bookmarkEnd w:id="78"/>
      <w:bookmarkEnd w:id="79"/>
      <w:bookmarkEnd w:id="82"/>
      <w:bookmarkStart w:id="84" w:name="_Toc52165095"/>
      <w:bookmarkStart w:id="85" w:name="_Toc148865826"/>
      <w:bookmarkStart w:id="86" w:name="_Toc170699956"/>
      <w:bookmarkStart w:id="87" w:name="_Toc144470445"/>
      <w:bookmarkStart w:id="88" w:name="_Toc50691027"/>
      <w:bookmarkStart w:id="89" w:name="_Toc50703720"/>
      <w:bookmarkStart w:id="90" w:name="_Toc43264515"/>
    </w:p>
    <w:p>
      <w:pPr>
        <w:tabs>
          <w:tab w:val="left" w:pos="426"/>
        </w:tabs>
        <w:autoSpaceDE w:val="0"/>
        <w:autoSpaceDN w:val="0"/>
        <w:adjustRightInd w:val="0"/>
        <w:spacing w:line="360" w:lineRule="auto"/>
        <w:ind w:left="505"/>
        <w:jc w:val="center"/>
        <w:outlineLvl w:val="3"/>
      </w:pPr>
      <w:r>
        <w:rPr>
          <w:rFonts w:hint="eastAsia"/>
          <w:b/>
          <w:color w:val="auto"/>
          <w:sz w:val="32"/>
          <w:szCs w:val="32"/>
        </w:rPr>
        <w:t>谈判应答文件正文（信息公开部分）</w:t>
      </w:r>
    </w:p>
    <w:p>
      <w:pPr>
        <w:pStyle w:val="Heading2"/>
        <w:numPr>
          <w:ilvl w:val="0"/>
          <w:numId w:val="21"/>
        </w:numPr>
        <w:spacing w:line="240" w:lineRule="auto"/>
        <w:jc w:val="center"/>
        <w:rPr>
          <w:b w:val="0"/>
        </w:rPr>
      </w:pPr>
      <w:bookmarkEnd w:id="84"/>
      <w:bookmarkEnd w:id="85"/>
      <w:bookmarkEnd w:id="86"/>
      <w:bookmarkEnd w:id="87"/>
      <w:bookmarkStart w:id="91" w:name="_Toc355768051"/>
      <w:r>
        <w:rPr>
          <w:rFonts w:hint="eastAsia"/>
          <w:b w:val="0"/>
        </w:rPr>
        <w:t>谈判应答文件包装封面参考</w:t>
      </w:r>
      <w:bookmarkEnd w:id="91"/>
    </w:p>
    <w:tbl>
      <w:tblPr>
        <w:tblStyle w:val="TableNormal"/>
        <w:tblW w:w="9125" w:type="dxa"/>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0" w:type="dxa"/>
          <w:left w:w="108" w:type="dxa"/>
          <w:bottom w:w="0" w:type="dxa"/>
          <w:right w:w="108" w:type="dxa"/>
        </w:tblCellMar>
      </w:tblPr>
      <w:tblGrid>
        <w:gridCol w:w="9125"/>
      </w:tblGrid>
      <w:tr>
        <w:tblPrEx>
          <w:tblW w:w="9125" w:type="dxa"/>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0" w:type="dxa"/>
            <w:left w:w="108" w:type="dxa"/>
            <w:bottom w:w="0" w:type="dxa"/>
            <w:right w:w="108" w:type="dxa"/>
          </w:tblCellMar>
        </w:tblPrEx>
        <w:trPr>
          <w:trHeight w:val="10959"/>
        </w:trPr>
        <w:tc>
          <w:tcPr>
            <w:tcW w:w="9125" w:type="dxa"/>
          </w:tcPr>
          <w:p>
            <w:pPr>
              <w:pStyle w:val="BodyText"/>
              <w:autoSpaceDE w:val="0"/>
              <w:autoSpaceDN w:val="0"/>
              <w:adjustRightInd w:val="0"/>
              <w:spacing w:line="360" w:lineRule="auto"/>
              <w:ind w:firstLine="315" w:firstLineChars="150"/>
              <w:rPr>
                <w:rFonts w:ascii="仿宋_GB2312" w:eastAsia="仿宋_GB2312"/>
                <w:b/>
                <w:sz w:val="32"/>
              </w:rPr>
            </w:pPr>
          </w:p>
          <w:p>
            <w:pPr>
              <w:pStyle w:val="BodyText"/>
              <w:autoSpaceDE w:val="0"/>
              <w:autoSpaceDN w:val="0"/>
              <w:adjustRightInd w:val="0"/>
              <w:spacing w:line="360" w:lineRule="auto"/>
              <w:ind w:firstLine="315" w:firstLineChars="150"/>
              <w:rPr>
                <w:rFonts w:ascii="仿宋_GB2312" w:eastAsia="仿宋_GB2312"/>
                <w:b/>
                <w:sz w:val="32"/>
              </w:rPr>
            </w:pPr>
          </w:p>
          <w:p>
            <w:pPr>
              <w:pStyle w:val="BodyText"/>
              <w:autoSpaceDE w:val="0"/>
              <w:autoSpaceDN w:val="0"/>
              <w:adjustRightInd w:val="0"/>
              <w:spacing w:line="360" w:lineRule="auto"/>
              <w:ind w:firstLine="315" w:firstLineChars="150"/>
              <w:rPr>
                <w:rFonts w:ascii="仿宋_GB2312" w:eastAsia="仿宋_GB2312"/>
                <w:b/>
                <w:sz w:val="32"/>
              </w:rPr>
            </w:pPr>
          </w:p>
          <w:p>
            <w:pPr>
              <w:pStyle w:val="BodyText"/>
              <w:autoSpaceDE w:val="0"/>
              <w:autoSpaceDN w:val="0"/>
              <w:adjustRightInd w:val="0"/>
              <w:spacing w:line="360" w:lineRule="auto"/>
              <w:jc w:val="center"/>
              <w:rPr>
                <w:rFonts w:ascii="黑体" w:eastAsia="黑体"/>
                <w:b/>
                <w:sz w:val="72"/>
                <w:szCs w:val="72"/>
              </w:rPr>
            </w:pPr>
            <w:r>
              <w:rPr>
                <w:rFonts w:ascii="黑体" w:eastAsia="黑体" w:hint="eastAsia"/>
                <w:b/>
                <w:bCs/>
                <w:sz w:val="72"/>
                <w:szCs w:val="72"/>
              </w:rPr>
              <w:t>谈判应答</w:t>
            </w:r>
            <w:r>
              <w:rPr>
                <w:rFonts w:ascii="黑体" w:eastAsia="黑体" w:hint="eastAsia"/>
                <w:b/>
                <w:sz w:val="72"/>
                <w:szCs w:val="72"/>
              </w:rPr>
              <w:t>文件</w:t>
            </w:r>
          </w:p>
          <w:p>
            <w:pPr>
              <w:pStyle w:val="BodyText"/>
              <w:autoSpaceDE w:val="0"/>
              <w:autoSpaceDN w:val="0"/>
              <w:adjustRightInd w:val="0"/>
              <w:spacing w:line="360" w:lineRule="auto"/>
              <w:ind w:firstLine="1470" w:firstLineChars="700"/>
              <w:rPr>
                <w:rFonts w:ascii="黑体" w:eastAsia="黑体"/>
                <w:b/>
                <w:sz w:val="52"/>
                <w:szCs w:val="52"/>
              </w:rPr>
            </w:pPr>
          </w:p>
          <w:p>
            <w:pPr>
              <w:pStyle w:val="BodyText"/>
              <w:autoSpaceDE w:val="0"/>
              <w:autoSpaceDN w:val="0"/>
              <w:adjustRightInd w:val="0"/>
              <w:spacing w:line="360" w:lineRule="auto"/>
              <w:ind w:firstLine="1470" w:firstLineChars="700"/>
              <w:rPr>
                <w:rFonts w:ascii="黑体" w:eastAsia="黑体"/>
                <w:b/>
                <w:sz w:val="32"/>
              </w:rPr>
            </w:pPr>
            <w:r>
              <w:rPr>
                <w:rFonts w:ascii="黑体" w:eastAsia="黑体" w:hint="eastAsia"/>
                <w:b/>
                <w:sz w:val="52"/>
                <w:szCs w:val="52"/>
              </w:rPr>
              <w:t xml:space="preserve">口 </w:t>
            </w:r>
            <w:r>
              <w:rPr>
                <w:rFonts w:ascii="黑体" w:eastAsia="黑体" w:hint="eastAsia"/>
                <w:b/>
                <w:sz w:val="32"/>
              </w:rPr>
              <w:t>正本</w:t>
            </w:r>
          </w:p>
          <w:p>
            <w:pPr>
              <w:pStyle w:val="BodyText"/>
              <w:autoSpaceDE w:val="0"/>
              <w:autoSpaceDN w:val="0"/>
              <w:adjustRightInd w:val="0"/>
              <w:spacing w:line="360" w:lineRule="auto"/>
              <w:rPr>
                <w:rFonts w:ascii="仿宋_GB2312" w:eastAsia="仿宋_GB2312"/>
                <w:b/>
                <w:sz w:val="32"/>
              </w:rPr>
            </w:pPr>
          </w:p>
          <w:p>
            <w:pPr>
              <w:pStyle w:val="BodyText"/>
              <w:autoSpaceDE w:val="0"/>
              <w:autoSpaceDN w:val="0"/>
              <w:adjustRightInd w:val="0"/>
              <w:spacing w:line="360" w:lineRule="auto"/>
              <w:rPr>
                <w:rFonts w:ascii="仿宋_GB2312" w:eastAsia="仿宋_GB2312"/>
                <w:b/>
                <w:sz w:val="32"/>
              </w:rPr>
            </w:pPr>
          </w:p>
          <w:p>
            <w:pPr>
              <w:pStyle w:val="BodyText"/>
              <w:autoSpaceDE w:val="0"/>
              <w:autoSpaceDN w:val="0"/>
              <w:adjustRightInd w:val="0"/>
              <w:spacing w:line="360" w:lineRule="auto"/>
              <w:rPr>
                <w:rFonts w:ascii="宋体" w:eastAsia="宋体" w:hAnsi="宋体" w:cs="宋体" w:hint="eastAsia"/>
                <w:b/>
                <w:color w:val="auto"/>
                <w:sz w:val="32"/>
              </w:rPr>
            </w:pPr>
          </w:p>
          <w:p>
            <w:pPr>
              <w:pStyle w:val="BodyText"/>
              <w:autoSpaceDE w:val="0"/>
              <w:autoSpaceDN w:val="0"/>
              <w:adjustRightInd w:val="0"/>
              <w:snapToGrid w:val="0"/>
              <w:spacing w:line="360" w:lineRule="auto"/>
              <w:ind w:firstLine="672" w:firstLineChars="320"/>
              <w:rPr>
                <w:rFonts w:ascii="宋体" w:eastAsia="宋体" w:hAnsi="宋体" w:cs="宋体" w:hint="eastAsia"/>
                <w:b/>
                <w:color w:val="auto"/>
                <w:sz w:val="28"/>
                <w:szCs w:val="28"/>
                <w:lang w:eastAsia="zh-CN"/>
              </w:rPr>
            </w:pPr>
            <w:r>
              <w:rPr>
                <w:rFonts w:ascii="宋体" w:eastAsia="宋体" w:hAnsi="宋体" w:cs="宋体" w:hint="eastAsia"/>
                <w:b/>
                <w:color w:val="auto"/>
                <w:sz w:val="28"/>
                <w:szCs w:val="28"/>
              </w:rPr>
              <w:t>项目编号：</w:t>
            </w:r>
            <w:r>
              <w:rPr>
                <w:rFonts w:ascii="宋体" w:hAnsi="宋体" w:cs="宋体" w:hint="eastAsia"/>
                <w:b/>
                <w:color w:val="auto"/>
                <w:sz w:val="28"/>
                <w:szCs w:val="28"/>
                <w:lang w:eastAsia="zh-CN"/>
              </w:rPr>
              <w:t>SZDL2024001286（CLF0123SZ22ZC60C）</w:t>
            </w:r>
          </w:p>
          <w:p>
            <w:pPr>
              <w:pStyle w:val="BodyText"/>
              <w:autoSpaceDE w:val="0"/>
              <w:autoSpaceDN w:val="0"/>
              <w:adjustRightInd w:val="0"/>
              <w:snapToGrid w:val="0"/>
              <w:spacing w:line="360" w:lineRule="auto"/>
              <w:ind w:firstLine="672" w:firstLineChars="320"/>
              <w:rPr>
                <w:rFonts w:ascii="宋体" w:eastAsia="宋体" w:hAnsi="宋体" w:cs="宋体" w:hint="eastAsia"/>
                <w:b/>
                <w:color w:val="auto"/>
                <w:sz w:val="28"/>
                <w:szCs w:val="28"/>
                <w:lang w:eastAsia="zh-CN"/>
              </w:rPr>
            </w:pPr>
            <w:r>
              <w:rPr>
                <w:rFonts w:ascii="宋体" w:eastAsia="宋体" w:hAnsi="宋体" w:cs="宋体" w:hint="eastAsia"/>
                <w:b/>
                <w:color w:val="auto"/>
                <w:sz w:val="28"/>
                <w:szCs w:val="28"/>
              </w:rPr>
              <w:t>项目名称：</w:t>
            </w:r>
            <w:r>
              <w:rPr>
                <w:rFonts w:ascii="宋体" w:eastAsia="宋体" w:hAnsi="宋体" w:cs="宋体" w:hint="eastAsia"/>
                <w:b/>
                <w:color w:val="auto"/>
                <w:sz w:val="28"/>
                <w:szCs w:val="28"/>
                <w:lang w:eastAsia="zh-CN"/>
              </w:rPr>
              <w:t>污泥原位高效资源化利用系统设计、制造和安装调试</w:t>
            </w:r>
          </w:p>
          <w:p>
            <w:pPr>
              <w:pStyle w:val="BodyText"/>
              <w:autoSpaceDE w:val="0"/>
              <w:autoSpaceDN w:val="0"/>
              <w:adjustRightInd w:val="0"/>
              <w:snapToGrid w:val="0"/>
              <w:spacing w:line="360" w:lineRule="auto"/>
              <w:ind w:firstLine="672" w:firstLineChars="320"/>
              <w:rPr>
                <w:rFonts w:ascii="宋体" w:eastAsia="宋体" w:hAnsi="宋体" w:cs="宋体" w:hint="eastAsia"/>
                <w:b/>
                <w:color w:val="auto"/>
                <w:sz w:val="28"/>
                <w:szCs w:val="28"/>
              </w:rPr>
            </w:pPr>
            <w:r>
              <w:rPr>
                <w:rFonts w:ascii="宋体" w:eastAsia="宋体" w:hAnsi="宋体" w:cs="宋体" w:hint="eastAsia"/>
                <w:b/>
                <w:color w:val="auto"/>
                <w:sz w:val="28"/>
                <w:szCs w:val="28"/>
              </w:rPr>
              <w:t>响应供应商名称：</w:t>
            </w:r>
          </w:p>
          <w:p>
            <w:pPr>
              <w:pStyle w:val="BodyText"/>
              <w:autoSpaceDE w:val="0"/>
              <w:autoSpaceDN w:val="0"/>
              <w:adjustRightInd w:val="0"/>
              <w:snapToGrid w:val="0"/>
              <w:spacing w:line="360" w:lineRule="auto"/>
              <w:ind w:firstLine="672" w:firstLineChars="320"/>
              <w:rPr>
                <w:rFonts w:ascii="宋体" w:eastAsia="宋体" w:hAnsi="宋体" w:cs="宋体" w:hint="eastAsia"/>
                <w:b/>
                <w:color w:val="auto"/>
                <w:sz w:val="28"/>
                <w:szCs w:val="28"/>
              </w:rPr>
            </w:pPr>
            <w:r>
              <w:rPr>
                <w:rFonts w:ascii="宋体" w:eastAsia="宋体" w:hAnsi="宋体" w:cs="宋体" w:hint="eastAsia"/>
                <w:b/>
                <w:color w:val="auto"/>
                <w:sz w:val="28"/>
                <w:szCs w:val="28"/>
              </w:rPr>
              <w:t>响应供应商地址：</w:t>
            </w:r>
          </w:p>
          <w:p>
            <w:pPr>
              <w:pStyle w:val="BodyText"/>
              <w:autoSpaceDE w:val="0"/>
              <w:autoSpaceDN w:val="0"/>
              <w:adjustRightInd w:val="0"/>
              <w:snapToGrid w:val="0"/>
              <w:spacing w:line="360" w:lineRule="auto"/>
              <w:ind w:firstLine="672" w:firstLineChars="320"/>
              <w:rPr>
                <w:rFonts w:ascii="仿宋_GB2312" w:eastAsia="仿宋_GB2312"/>
                <w:b/>
                <w:color w:val="auto"/>
                <w:sz w:val="28"/>
                <w:szCs w:val="28"/>
              </w:rPr>
            </w:pPr>
            <w:r>
              <w:rPr>
                <w:rFonts w:ascii="仿宋_GB2312" w:eastAsia="仿宋_GB2312" w:hint="eastAsia"/>
                <w:b/>
                <w:color w:val="auto"/>
                <w:sz w:val="28"/>
                <w:szCs w:val="28"/>
              </w:rPr>
              <w:t xml:space="preserve">          </w:t>
            </w:r>
          </w:p>
          <w:p>
            <w:pPr>
              <w:tabs>
                <w:tab w:val="left" w:pos="851"/>
              </w:tabs>
              <w:autoSpaceDE w:val="0"/>
              <w:autoSpaceDN w:val="0"/>
              <w:adjustRightInd w:val="0"/>
              <w:snapToGrid w:val="0"/>
              <w:spacing w:line="360" w:lineRule="auto"/>
              <w:rPr>
                <w:rFonts w:ascii="仿宋_GB2312" w:eastAsia="仿宋_GB2312"/>
                <w:b/>
                <w:sz w:val="32"/>
              </w:rPr>
            </w:pPr>
            <w:r>
              <w:rPr>
                <w:rFonts w:ascii="仿宋_GB2312" w:eastAsia="仿宋_GB2312"/>
                <w:b/>
                <w:sz w:val="28"/>
                <w:szCs w:val="28"/>
              </w:rPr>
              <w:t xml:space="preserve"> </w:t>
            </w:r>
            <w:r>
              <w:rPr>
                <w:rFonts w:ascii="仿宋_GB2312" w:eastAsia="仿宋_GB2312" w:hint="eastAsia"/>
                <w:b/>
                <w:sz w:val="28"/>
                <w:szCs w:val="28"/>
              </w:rPr>
              <w:t xml:space="preserve">   </w:t>
            </w:r>
          </w:p>
        </w:tc>
      </w:tr>
    </w:tbl>
    <w:p>
      <w:pPr>
        <w:rPr>
          <w:rFonts w:ascii="宋体" w:hAnsi="宋体"/>
          <w:color w:val="FF0000"/>
        </w:rPr>
      </w:pPr>
      <w:bookmarkStart w:id="92" w:name="_Toc355768052"/>
      <w:r>
        <w:rPr>
          <w:b/>
        </w:rPr>
        <w:br w:type="page"/>
      </w:r>
      <w:bookmarkEnd w:id="92"/>
    </w:p>
    <w:p>
      <w:pPr>
        <w:pStyle w:val="Heading2"/>
        <w:numPr>
          <w:ilvl w:val="0"/>
          <w:numId w:val="21"/>
        </w:numPr>
        <w:spacing w:line="240" w:lineRule="auto"/>
        <w:jc w:val="center"/>
        <w:rPr>
          <w:b w:val="0"/>
        </w:rPr>
      </w:pPr>
      <w:bookmarkStart w:id="93" w:name="_Toc30664869"/>
      <w:r>
        <w:rPr>
          <w:rFonts w:hint="eastAsia"/>
          <w:b w:val="0"/>
        </w:rPr>
        <w:t>营业执照等资质证明文件</w:t>
      </w:r>
      <w:bookmarkEnd w:id="93"/>
    </w:p>
    <w:p>
      <w:pPr>
        <w:jc w:val="center"/>
        <w:rPr>
          <w:color w:val="auto"/>
          <w:sz w:val="24"/>
          <w:szCs w:val="24"/>
          <w:highlight w:val="none"/>
        </w:rPr>
      </w:pPr>
      <w:bookmarkEnd w:id="88"/>
      <w:bookmarkEnd w:id="89"/>
      <w:r>
        <w:rPr>
          <w:rFonts w:asciiTheme="majorEastAsia" w:eastAsiaTheme="majorEastAsia" w:hAnsiTheme="majorEastAsia" w:hint="eastAsia"/>
          <w:color w:val="auto"/>
          <w:sz w:val="24"/>
          <w:szCs w:val="24"/>
          <w:highlight w:val="none"/>
        </w:rPr>
        <w:t>（如是联合体投标的，须提供各方的）</w:t>
      </w:r>
    </w:p>
    <w:p/>
    <w:p>
      <w:bookmarkEnd w:id="90"/>
      <w:bookmarkStart w:id="94" w:name="_Toc355768053"/>
      <w:bookmarkStart w:id="95" w:name="_Toc50736473"/>
      <w:bookmarkStart w:id="96" w:name="_Toc50737293"/>
      <w:bookmarkStart w:id="97" w:name="_Toc170699942"/>
      <w:bookmarkStart w:id="98" w:name="_Toc52165077"/>
      <w:bookmarkStart w:id="99" w:name="_Toc50737325"/>
      <w:bookmarkStart w:id="100" w:name="_Toc168212179"/>
      <w:bookmarkStart w:id="101" w:name="_Toc50691028"/>
      <w:r>
        <w:rPr>
          <w:rFonts w:hint="eastAsia"/>
        </w:rPr>
        <w:br w:type="page"/>
      </w:r>
    </w:p>
    <w:p>
      <w:pPr>
        <w:pStyle w:val="Heading2"/>
        <w:numPr>
          <w:ilvl w:val="0"/>
          <w:numId w:val="21"/>
        </w:numPr>
        <w:spacing w:line="240" w:lineRule="auto"/>
        <w:jc w:val="center"/>
        <w:rPr>
          <w:b w:val="0"/>
        </w:rPr>
      </w:pPr>
      <w:r>
        <w:rPr>
          <w:rFonts w:hint="eastAsia"/>
          <w:b w:val="0"/>
        </w:rPr>
        <w:t>报  价  函</w:t>
      </w:r>
      <w:bookmarkEnd w:id="94"/>
      <w:bookmarkEnd w:id="95"/>
      <w:bookmarkEnd w:id="96"/>
      <w:bookmarkEnd w:id="97"/>
      <w:bookmarkEnd w:id="98"/>
      <w:bookmarkEnd w:id="99"/>
      <w:bookmarkEnd w:id="100"/>
      <w:bookmarkEnd w:id="101"/>
    </w:p>
    <w:p>
      <w:pPr>
        <w:spacing w:line="360" w:lineRule="auto"/>
        <w:ind w:left="105" w:firstLine="2" w:leftChars="50"/>
        <w:rPr>
          <w:rFonts w:ascii="宋体" w:hAnsi="宋体"/>
          <w:b/>
        </w:rPr>
      </w:pPr>
      <w:r>
        <w:rPr>
          <w:rFonts w:ascii="宋体" w:hAnsi="宋体" w:hint="eastAsia"/>
          <w:b/>
        </w:rPr>
        <w:t>致：采联国际招标采购集团有限公司</w:t>
      </w:r>
    </w:p>
    <w:p>
      <w:pPr>
        <w:spacing w:line="360" w:lineRule="auto"/>
        <w:ind w:left="105" w:firstLine="420" w:leftChars="50" w:firstLineChars="200"/>
        <w:rPr>
          <w:rFonts w:ascii="宋体" w:hAnsi="宋体"/>
          <w:color w:val="auto"/>
          <w:highlight w:val="none"/>
        </w:rPr>
      </w:pPr>
      <w:r>
        <w:rPr>
          <w:rFonts w:hint="eastAsia"/>
        </w:rPr>
        <w:t>我方确认收到贵方</w:t>
      </w:r>
      <w:r>
        <w:rPr>
          <w:rFonts w:hAnsi="宋体" w:hint="eastAsia"/>
          <w:kern w:val="28"/>
          <w:u w:val="single"/>
        </w:rPr>
        <w:t xml:space="preserve">          </w:t>
      </w:r>
      <w:r>
        <w:rPr>
          <w:rFonts w:hAnsi="宋体" w:hint="eastAsia"/>
          <w:kern w:val="28"/>
          <w:u w:val="single"/>
          <w:lang w:eastAsia="zh-CN"/>
        </w:rPr>
        <w:t>污泥原位高效资源化利用系统设计、制造和安装调试</w:t>
      </w:r>
      <w:r>
        <w:rPr>
          <w:rFonts w:hAnsi="宋体" w:hint="eastAsia"/>
          <w:kern w:val="28"/>
          <w:u w:val="single"/>
        </w:rPr>
        <w:t xml:space="preserve">         </w:t>
      </w:r>
      <w:r>
        <w:rPr>
          <w:rFonts w:hAnsi="宋体" w:hint="eastAsia"/>
          <w:kern w:val="28"/>
        </w:rPr>
        <w:t>采购</w:t>
      </w:r>
      <w:r>
        <w:rPr>
          <w:rFonts w:hint="eastAsia"/>
        </w:rPr>
        <w:t>货物及相关服务</w:t>
      </w:r>
      <w:r>
        <w:rPr>
          <w:rFonts w:hint="eastAsia"/>
          <w:color w:val="auto"/>
          <w:highlight w:val="none"/>
        </w:rPr>
        <w:t>的采购文件（项目编号：</w:t>
      </w:r>
      <w:r>
        <w:rPr>
          <w:rFonts w:ascii="宋体" w:hAnsi="宋体" w:hint="eastAsia"/>
          <w:color w:val="auto"/>
          <w:highlight w:val="none"/>
          <w:lang w:eastAsia="zh-CN"/>
        </w:rPr>
        <w:t>SZDL2024001286（CLF0123SZ22ZC60C）</w:t>
      </w:r>
      <w:r>
        <w:rPr>
          <w:rFonts w:hint="eastAsia"/>
          <w:color w:val="auto"/>
          <w:highlight w:val="none"/>
        </w:rPr>
        <w:t>），</w:t>
      </w:r>
      <w:r>
        <w:rPr>
          <w:rFonts w:hAnsi="宋体" w:hint="eastAsia"/>
          <w:color w:val="auto"/>
          <w:kern w:val="28"/>
          <w:highlight w:val="none"/>
          <w:u w:val="single"/>
        </w:rPr>
        <w:t xml:space="preserve">       </w:t>
      </w:r>
      <w:r>
        <w:rPr>
          <w:rFonts w:hint="eastAsia"/>
          <w:color w:val="auto"/>
          <w:highlight w:val="none"/>
          <w:u w:val="single"/>
        </w:rPr>
        <w:t xml:space="preserve"> (响应供应商名称、地址)</w:t>
      </w:r>
      <w:r>
        <w:rPr>
          <w:rFonts w:hAnsi="宋体" w:hint="eastAsia"/>
          <w:color w:val="auto"/>
          <w:kern w:val="28"/>
          <w:highlight w:val="none"/>
          <w:u w:val="single"/>
        </w:rPr>
        <w:t xml:space="preserve">       </w:t>
      </w:r>
      <w:r>
        <w:rPr>
          <w:rFonts w:hint="eastAsia"/>
          <w:color w:val="auto"/>
          <w:highlight w:val="none"/>
        </w:rPr>
        <w:t>作为响应供应商已正式授权</w:t>
      </w:r>
      <w:r>
        <w:rPr>
          <w:rFonts w:ascii="宋体" w:hAnsi="宋体" w:hint="eastAsia"/>
          <w:color w:val="auto"/>
          <w:highlight w:val="none"/>
        </w:rPr>
        <w:t>《法定代表人授权委托书》中的授权代表</w:t>
      </w:r>
      <w:r>
        <w:rPr>
          <w:rFonts w:hint="eastAsia"/>
          <w:color w:val="auto"/>
          <w:highlight w:val="none"/>
        </w:rPr>
        <w:t>为我方签名代表，</w:t>
      </w:r>
      <w:r>
        <w:rPr>
          <w:rFonts w:ascii="宋体" w:hAnsi="宋体" w:hint="eastAsia"/>
          <w:color w:val="auto"/>
          <w:highlight w:val="none"/>
        </w:rPr>
        <w:t>代表我方提交</w:t>
      </w:r>
      <w:r>
        <w:rPr>
          <w:rFonts w:ascii="宋体" w:hAnsi="宋体" w:cs="宋体" w:hint="eastAsia"/>
          <w:color w:val="auto"/>
          <w:highlight w:val="none"/>
        </w:rPr>
        <w:t>谈判应答文件</w:t>
      </w:r>
      <w:r>
        <w:rPr>
          <w:rFonts w:ascii="宋体" w:hAnsi="宋体" w:hint="eastAsia"/>
          <w:color w:val="auto"/>
          <w:highlight w:val="none"/>
        </w:rPr>
        <w:t>进行谈判。</w:t>
      </w:r>
    </w:p>
    <w:p>
      <w:pPr>
        <w:spacing w:line="360" w:lineRule="auto"/>
        <w:ind w:firstLine="480"/>
        <w:rPr>
          <w:rFonts w:ascii="宋体" w:hAnsi="宋体"/>
          <w:color w:val="auto"/>
          <w:highlight w:val="none"/>
        </w:rPr>
      </w:pPr>
      <w:r>
        <w:rPr>
          <w:rFonts w:ascii="宋体" w:hAnsi="宋体" w:hint="eastAsia"/>
          <w:color w:val="auto"/>
          <w:highlight w:val="none"/>
        </w:rPr>
        <w:t>签名代表在此声明并同意：</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我们愿意遵守采购代理机构采购文件的各项规定，自愿参加投标报价</w:t>
      </w:r>
      <w:r>
        <w:rPr>
          <w:rFonts w:ascii="宋体" w:hAnsi="宋体"/>
          <w:b/>
          <w:color w:val="auto"/>
          <w:highlight w:val="none"/>
        </w:rPr>
        <w:t>,</w:t>
      </w:r>
      <w:r>
        <w:rPr>
          <w:rFonts w:ascii="宋体" w:hAnsi="宋体" w:hint="eastAsia"/>
          <w:b/>
          <w:color w:val="auto"/>
          <w:highlight w:val="none"/>
        </w:rPr>
        <w:t xml:space="preserve"> 并已清楚采购文件的要求及有关文件规定，并严格按照采购文件的规定履行全部责任和义务。</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我们同意本投标报价自报价截止日起90天内有效。如果我们的投标报价被接受，则直至合同生效时止，本投标报价始终有效并不撤回已递交的</w:t>
      </w:r>
      <w:r>
        <w:rPr>
          <w:rFonts w:ascii="宋体" w:hAnsi="宋体" w:cs="宋体" w:hint="eastAsia"/>
          <w:b/>
          <w:color w:val="auto"/>
          <w:highlight w:val="none"/>
        </w:rPr>
        <w:t>谈判应答文件</w:t>
      </w:r>
      <w:r>
        <w:rPr>
          <w:rFonts w:ascii="宋体" w:hAnsi="宋体" w:hint="eastAsia"/>
          <w:b/>
          <w:color w:val="auto"/>
          <w:highlight w:val="none"/>
        </w:rPr>
        <w:t>。</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我们已经详细地阅读并完全明白了全部采购文件及附件，包括澄清（如有）及参考文件，我们完全理解本采购文件的要求，</w:t>
      </w:r>
      <w:r>
        <w:rPr>
          <w:rFonts w:ascii="宋体" w:hint="eastAsia"/>
          <w:b/>
          <w:color w:val="auto"/>
          <w:highlight w:val="none"/>
        </w:rPr>
        <w:t>我们同意放弃对采购文件提出不明或误解的一切权利</w:t>
      </w:r>
      <w:r>
        <w:rPr>
          <w:rFonts w:ascii="宋体" w:hAnsi="宋体" w:hint="eastAsia"/>
          <w:b/>
          <w:color w:val="auto"/>
          <w:highlight w:val="none"/>
        </w:rPr>
        <w:t>。</w:t>
      </w:r>
    </w:p>
    <w:p>
      <w:pPr>
        <w:numPr>
          <w:ilvl w:val="0"/>
          <w:numId w:val="22"/>
        </w:numPr>
        <w:tabs>
          <w:tab w:val="left" w:pos="798"/>
        </w:tabs>
        <w:spacing w:line="400" w:lineRule="exact"/>
        <w:ind w:left="799" w:hanging="476"/>
        <w:rPr>
          <w:rFonts w:ascii="宋体" w:hAnsi="宋体"/>
          <w:b/>
          <w:color w:val="auto"/>
          <w:highlight w:val="none"/>
        </w:rPr>
      </w:pPr>
      <w:r>
        <w:rPr>
          <w:rFonts w:ascii="宋体" w:hAnsi="宋体" w:hint="eastAsia"/>
          <w:b/>
          <w:color w:val="auto"/>
          <w:highlight w:val="none"/>
        </w:rPr>
        <w:t>我们同意提供采购人及采购代理机构与谈判小组要求的有关投标报价的一切数据或资料。</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 xml:space="preserve">我们理解采购人及采购代理机构与谈判小组并无义务必须接受最低报价的投标或其它任何投标，完全理解采购代理机构拒绝迟到的任何投标报价和最低投标报价不是被授予成交的唯一条件。   </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 xml:space="preserve">如果我们未对采购文件全部要求作出实质性响应，则完全同意并接受按无效响应处理。  </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 xml:space="preserve">我们承诺技术规格偏离情况与客观事实相一致，并知悉若响应不实且情节严重的，将被主管部门依法列为失信信息等法律后果。 </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我们证明提交的一切文件，无论是原件还是复印件均为准确、真实、有效的，绝无任何虚假、伪造或者夸大。我们在此郑重承诺：在本次招标采购活动中，如有违法、违规、弄虚作假行为，所造成的损失、不良后果及法律责任，一律由我公司（企业）承担。</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如果我们提供的声明或承诺不真实，则完全同意认定为我司提供虚假材料，并同意作相应处理。</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我们是依法注册的法人，在法律、财务及运作上完全独立于本项目采购人、用户单位（如有）和采购代理机构。</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所有有关本次投标的函电请寄：</w:t>
      </w:r>
      <w:r>
        <w:rPr>
          <w:rFonts w:ascii="宋体" w:hAnsi="宋体" w:hint="eastAsia"/>
          <w:b/>
          <w:color w:val="auto"/>
          <w:highlight w:val="none"/>
          <w:u w:val="single"/>
        </w:rPr>
        <w:t xml:space="preserve">  （响应供应商地址） </w:t>
      </w:r>
      <w:r>
        <w:rPr>
          <w:rFonts w:ascii="宋体" w:hAnsi="宋体" w:hint="eastAsia"/>
          <w:b/>
          <w:color w:val="auto"/>
          <w:highlight w:val="none"/>
        </w:rPr>
        <w:t xml:space="preserve"> 。 </w:t>
      </w:r>
    </w:p>
    <w:p>
      <w:pPr>
        <w:spacing w:line="500" w:lineRule="exact"/>
        <w:ind w:left="480"/>
        <w:rPr>
          <w:rFonts w:ascii="宋体" w:hAnsi="宋体"/>
          <w:color w:val="auto"/>
          <w:highlight w:val="none"/>
        </w:rPr>
      </w:pPr>
      <w:r>
        <w:rPr>
          <w:rFonts w:ascii="宋体" w:hAnsi="宋体" w:hint="eastAsia"/>
          <w:color w:val="auto"/>
          <w:highlight w:val="none"/>
        </w:rPr>
        <w:t xml:space="preserve">                     </w:t>
      </w:r>
    </w:p>
    <w:p>
      <w:pPr>
        <w:spacing w:line="500" w:lineRule="exact"/>
        <w:ind w:firstLine="462" w:firstLineChars="220"/>
        <w:rPr>
          <w:rFonts w:ascii="宋体" w:hAnsi="宋体"/>
          <w:color w:val="auto"/>
          <w:highlight w:val="none"/>
        </w:rPr>
      </w:pPr>
      <w:r>
        <w:rPr>
          <w:rFonts w:ascii="宋体" w:hAnsi="宋体" w:hint="eastAsia"/>
          <w:color w:val="auto"/>
          <w:highlight w:val="none"/>
        </w:rPr>
        <w:t>响应供应商名称：</w:t>
      </w:r>
    </w:p>
    <w:p>
      <w:pPr>
        <w:spacing w:line="500" w:lineRule="exact"/>
        <w:ind w:firstLine="462" w:firstLineChars="220"/>
        <w:rPr>
          <w:rFonts w:ascii="宋体" w:hAnsi="宋体"/>
          <w:color w:val="auto"/>
          <w:highlight w:val="none"/>
        </w:rPr>
      </w:pPr>
      <w:r>
        <w:rPr>
          <w:rFonts w:ascii="宋体" w:hAnsi="宋体" w:hint="eastAsia"/>
          <w:color w:val="auto"/>
          <w:highlight w:val="none"/>
        </w:rPr>
        <w:t>地址：</w:t>
      </w:r>
    </w:p>
    <w:p>
      <w:pPr>
        <w:spacing w:line="500" w:lineRule="exact"/>
        <w:ind w:firstLine="462" w:firstLineChars="220"/>
        <w:rPr>
          <w:rFonts w:ascii="宋体" w:hAnsi="宋体"/>
          <w:color w:val="auto"/>
          <w:highlight w:val="none"/>
        </w:rPr>
      </w:pPr>
      <w:r>
        <w:rPr>
          <w:rFonts w:ascii="宋体" w:hAnsi="宋体" w:hint="eastAsia"/>
          <w:color w:val="auto"/>
          <w:highlight w:val="none"/>
        </w:rPr>
        <w:t>联系人：</w:t>
      </w:r>
    </w:p>
    <w:p>
      <w:pPr>
        <w:spacing w:line="500" w:lineRule="exact"/>
        <w:ind w:firstLine="462" w:firstLineChars="220"/>
        <w:rPr>
          <w:rFonts w:ascii="宋体" w:hAnsi="宋体"/>
          <w:color w:val="auto"/>
          <w:highlight w:val="none"/>
        </w:rPr>
      </w:pPr>
      <w:r>
        <w:rPr>
          <w:rFonts w:ascii="宋体" w:hAnsi="宋体" w:hint="eastAsia"/>
          <w:color w:val="auto"/>
          <w:highlight w:val="none"/>
        </w:rPr>
        <w:t>电话：</w:t>
      </w:r>
      <w:r>
        <w:rPr>
          <w:rFonts w:ascii="宋体" w:hAnsi="宋体"/>
          <w:color w:val="auto"/>
          <w:highlight w:val="none"/>
        </w:rPr>
        <w:t xml:space="preserve">              </w:t>
      </w:r>
      <w:r>
        <w:rPr>
          <w:rFonts w:ascii="宋体" w:hAnsi="宋体" w:hint="eastAsia"/>
          <w:color w:val="auto"/>
          <w:highlight w:val="none"/>
        </w:rPr>
        <w:t xml:space="preserve">  </w:t>
      </w:r>
    </w:p>
    <w:p>
      <w:pPr>
        <w:spacing w:line="500" w:lineRule="exact"/>
        <w:ind w:firstLine="462" w:firstLineChars="220"/>
        <w:rPr>
          <w:rFonts w:ascii="宋体" w:hAnsi="宋体"/>
          <w:color w:val="auto"/>
          <w:highlight w:val="none"/>
        </w:rPr>
      </w:pPr>
      <w:r>
        <w:rPr>
          <w:rFonts w:ascii="宋体" w:hAnsi="宋体" w:hint="eastAsia"/>
          <w:color w:val="auto"/>
          <w:highlight w:val="none"/>
        </w:rPr>
        <w:t xml:space="preserve">邮箱： </w:t>
      </w:r>
    </w:p>
    <w:p>
      <w:pPr>
        <w:spacing w:line="500" w:lineRule="exact"/>
        <w:ind w:firstLine="462" w:firstLineChars="220"/>
        <w:rPr>
          <w:rFonts w:ascii="宋体" w:hAnsi="宋体"/>
          <w:color w:val="auto"/>
          <w:highlight w:val="none"/>
        </w:rPr>
      </w:pPr>
      <w:r>
        <w:rPr>
          <w:rFonts w:ascii="宋体" w:hAnsi="宋体" w:hint="eastAsia"/>
          <w:color w:val="auto"/>
          <w:highlight w:val="none"/>
        </w:rPr>
        <w:t xml:space="preserve">     </w:t>
      </w:r>
    </w:p>
    <w:p>
      <w:pPr>
        <w:autoSpaceDE w:val="0"/>
        <w:autoSpaceDN w:val="0"/>
        <w:adjustRightInd w:val="0"/>
        <w:spacing w:line="360" w:lineRule="auto"/>
        <w:ind w:left="420" w:firstLine="6"/>
        <w:rPr>
          <w:rFonts w:ascii="宋体" w:hAnsi="宋体"/>
          <w:b/>
          <w:color w:val="auto"/>
          <w:highlight w:val="none"/>
        </w:rPr>
      </w:pPr>
      <w:r>
        <w:rPr>
          <w:rFonts w:ascii="宋体" w:hAnsi="宋体" w:hint="eastAsia"/>
          <w:b/>
          <w:color w:val="auto"/>
          <w:highlight w:val="none"/>
        </w:rPr>
        <w:t>备注：</w:t>
      </w:r>
    </w:p>
    <w:p>
      <w:pPr>
        <w:numPr>
          <w:ilvl w:val="0"/>
          <w:numId w:val="23"/>
        </w:numPr>
        <w:autoSpaceDE w:val="0"/>
        <w:autoSpaceDN w:val="0"/>
        <w:adjustRightInd w:val="0"/>
        <w:spacing w:line="360" w:lineRule="auto"/>
        <w:ind w:left="420" w:firstLine="6"/>
        <w:rPr>
          <w:rFonts w:ascii="宋体" w:hAnsi="宋体"/>
          <w:b/>
          <w:color w:val="auto"/>
          <w:highlight w:val="none"/>
        </w:rPr>
      </w:pPr>
      <w:r>
        <w:rPr>
          <w:rFonts w:ascii="宋体" w:hAnsi="宋体" w:hint="eastAsia"/>
          <w:b/>
          <w:color w:val="auto"/>
          <w:highlight w:val="none"/>
        </w:rPr>
        <w:t>报价函中承诺的报价有效期应当不少于采购文件中载明的报价有效期，否则视为无效响应。</w:t>
      </w:r>
    </w:p>
    <w:p>
      <w:pPr>
        <w:numPr>
          <w:ilvl w:val="0"/>
          <w:numId w:val="23"/>
        </w:numPr>
        <w:autoSpaceDE w:val="0"/>
        <w:autoSpaceDN w:val="0"/>
        <w:adjustRightInd w:val="0"/>
        <w:spacing w:line="360" w:lineRule="auto"/>
        <w:ind w:left="420" w:firstLine="6"/>
        <w:rPr>
          <w:rFonts w:ascii="宋体" w:hAnsi="宋体"/>
          <w:b/>
          <w:color w:val="auto"/>
          <w:highlight w:val="none"/>
        </w:rPr>
      </w:pPr>
      <w:r>
        <w:rPr>
          <w:rFonts w:ascii="宋体" w:hAnsi="宋体" w:hint="eastAsia"/>
          <w:b/>
          <w:color w:val="auto"/>
          <w:highlight w:val="none"/>
        </w:rPr>
        <w:t>除报价有效期承诺的时间外，本报价函内容不得擅自删改，否则视为无效响应。</w:t>
      </w:r>
      <w:bookmarkStart w:id="102" w:name="_Toc43264516"/>
      <w:bookmarkStart w:id="103" w:name="_Toc50703722"/>
      <w:bookmarkStart w:id="104" w:name="_Toc50691029"/>
    </w:p>
    <w:p>
      <w:pPr>
        <w:numPr>
          <w:ilvl w:val="0"/>
          <w:numId w:val="23"/>
        </w:numPr>
        <w:autoSpaceDE w:val="0"/>
        <w:autoSpaceDN w:val="0"/>
        <w:adjustRightInd w:val="0"/>
        <w:spacing w:line="360" w:lineRule="auto"/>
        <w:ind w:left="420" w:firstLine="6"/>
        <w:rPr>
          <w:rFonts w:ascii="宋体" w:eastAsia="宋体" w:hAnsi="宋体" w:cs="Times New Roman" w:hint="eastAsia"/>
          <w:b/>
          <w:color w:val="auto"/>
          <w:highlight w:val="none"/>
          <w:u w:val="double"/>
        </w:rPr>
      </w:pPr>
      <w:r>
        <w:rPr>
          <w:rFonts w:ascii="宋体" w:eastAsia="宋体" w:hAnsi="宋体" w:cs="Times New Roman" w:hint="eastAsia"/>
          <w:b/>
          <w:color w:val="auto"/>
          <w:highlight w:val="none"/>
          <w:u w:val="double"/>
        </w:rPr>
        <w:t>如联合体投标，响应</w:t>
      </w:r>
      <w:r>
        <w:rPr>
          <w:rFonts w:ascii="宋体" w:eastAsia="宋体" w:hAnsi="宋体" w:cs="Times New Roman" w:hint="eastAsia"/>
          <w:b/>
          <w:color w:val="auto"/>
          <w:highlight w:val="none"/>
          <w:u w:val="double"/>
          <w:lang w:val="en-US" w:eastAsia="zh-CN"/>
        </w:rPr>
        <w:t>供应商</w:t>
      </w:r>
      <w:r>
        <w:rPr>
          <w:rFonts w:ascii="宋体" w:eastAsia="宋体" w:hAnsi="宋体" w:cs="Times New Roman" w:hint="eastAsia"/>
          <w:b/>
          <w:color w:val="auto"/>
          <w:highlight w:val="none"/>
          <w:u w:val="double"/>
        </w:rPr>
        <w:t>名称一栏需填写联合体</w:t>
      </w:r>
      <w:r>
        <w:rPr>
          <w:rFonts w:ascii="宋体" w:eastAsia="宋体" w:hAnsi="宋体" w:cs="Times New Roman" w:hint="eastAsia"/>
          <w:b/>
          <w:color w:val="auto"/>
          <w:highlight w:val="none"/>
          <w:u w:val="double"/>
          <w:lang w:val="en-US" w:eastAsia="zh-CN"/>
        </w:rPr>
        <w:t>各</w:t>
      </w:r>
      <w:r>
        <w:rPr>
          <w:rFonts w:ascii="宋体" w:eastAsia="宋体" w:hAnsi="宋体" w:cs="Times New Roman" w:hint="eastAsia"/>
          <w:b/>
          <w:color w:val="auto"/>
          <w:highlight w:val="none"/>
          <w:u w:val="double"/>
        </w:rPr>
        <w:t>方的名称</w:t>
      </w:r>
      <w:r>
        <w:rPr>
          <w:rFonts w:ascii="宋体" w:eastAsia="宋体" w:hAnsi="宋体" w:cs="Times New Roman" w:hint="eastAsia"/>
          <w:b/>
          <w:color w:val="auto"/>
          <w:highlight w:val="none"/>
          <w:u w:val="double"/>
          <w:lang w:val="en-US" w:eastAsia="zh-CN"/>
        </w:rPr>
        <w:t>.</w:t>
      </w:r>
    </w:p>
    <w:p>
      <w:pPr>
        <w:pStyle w:val="a0"/>
        <w:rPr>
          <w:rFonts w:ascii="黑体" w:eastAsia="黑体"/>
          <w:sz w:val="28"/>
        </w:rPr>
      </w:pPr>
      <w:r>
        <w:br w:type="page"/>
      </w:r>
    </w:p>
    <w:p>
      <w:pPr>
        <w:pStyle w:val="Heading2"/>
        <w:pageBreakBefore w:val="0"/>
        <w:numPr>
          <w:ilvl w:val="0"/>
          <w:numId w:val="21"/>
        </w:numPr>
        <w:kinsoku/>
        <w:wordWrap/>
        <w:overflowPunct/>
        <w:topLinePunct w:val="0"/>
        <w:bidi w:val="0"/>
        <w:spacing w:line="288" w:lineRule="auto"/>
        <w:jc w:val="center"/>
        <w:textAlignment w:val="auto"/>
        <w:rPr>
          <w:b w:val="0"/>
          <w:color w:val="auto"/>
          <w:highlight w:val="none"/>
        </w:rPr>
      </w:pPr>
      <w:bookmarkStart w:id="105" w:name="_Toc277624591"/>
      <w:bookmarkStart w:id="106" w:name="_Toc355768054"/>
      <w:r>
        <w:rPr>
          <w:rFonts w:hint="eastAsia"/>
          <w:b w:val="0"/>
          <w:color w:val="auto"/>
          <w:highlight w:val="none"/>
        </w:rPr>
        <w:t>供应商资格声明函</w:t>
      </w:r>
      <w:bookmarkEnd w:id="105"/>
      <w:bookmarkEnd w:id="106"/>
    </w:p>
    <w:p>
      <w:pPr>
        <w:keepNext w:val="0"/>
        <w:keepLines w:val="0"/>
        <w:pageBreakBefore w:val="0"/>
        <w:kinsoku/>
        <w:wordWrap/>
        <w:overflowPunct/>
        <w:topLinePunct w:val="0"/>
        <w:bidi w:val="0"/>
        <w:snapToGrid w:val="0"/>
        <w:spacing w:line="336" w:lineRule="auto"/>
        <w:textAlignment w:val="auto"/>
        <w:rPr>
          <w:rFonts w:ascii="宋体" w:hAnsi="宋体"/>
          <w:b/>
          <w:color w:val="auto"/>
          <w:highlight w:val="none"/>
        </w:rPr>
      </w:pPr>
      <w:bookmarkEnd w:id="102"/>
      <w:bookmarkEnd w:id="103"/>
      <w:bookmarkEnd w:id="104"/>
      <w:r>
        <w:rPr>
          <w:rFonts w:ascii="宋体" w:hAnsi="宋体" w:hint="eastAsia"/>
          <w:b/>
          <w:color w:val="auto"/>
          <w:highlight w:val="none"/>
        </w:rPr>
        <w:t>采联国际招标采购集团有限公司：</w:t>
      </w:r>
    </w:p>
    <w:p>
      <w:pPr>
        <w:keepNext w:val="0"/>
        <w:keepLines w:val="0"/>
        <w:pageBreakBefore w:val="0"/>
        <w:kinsoku/>
        <w:wordWrap/>
        <w:overflowPunct/>
        <w:topLinePunct w:val="0"/>
        <w:bidi w:val="0"/>
        <w:snapToGrid w:val="0"/>
        <w:spacing w:line="336" w:lineRule="auto"/>
        <w:ind w:firstLine="420" w:firstLineChars="200"/>
        <w:textAlignment w:val="auto"/>
        <w:rPr>
          <w:rFonts w:ascii="宋体" w:hAnsi="宋体"/>
          <w:color w:val="auto"/>
          <w:highlight w:val="none"/>
        </w:rPr>
      </w:pPr>
      <w:r>
        <w:rPr>
          <w:rFonts w:ascii="宋体" w:hAnsi="宋体" w:hint="eastAsia"/>
          <w:color w:val="auto"/>
          <w:highlight w:val="none"/>
        </w:rPr>
        <w:t>关于贵公司发布</w:t>
      </w:r>
      <w:r>
        <w:rPr>
          <w:rFonts w:ascii="宋体" w:hAnsi="宋体" w:hint="eastAsia"/>
          <w:color w:val="auto"/>
          <w:highlight w:val="none"/>
          <w:u w:val="single"/>
        </w:rPr>
        <w:t xml:space="preserve">  </w:t>
      </w:r>
      <w:r>
        <w:rPr>
          <w:rFonts w:ascii="宋体" w:hAnsi="宋体" w:hint="eastAsia"/>
          <w:color w:val="auto"/>
          <w:highlight w:val="none"/>
          <w:u w:val="single"/>
          <w:lang w:eastAsia="zh-CN"/>
        </w:rPr>
        <w:t>污泥原位高效资源化利用系统设计、制造和安装调试</w:t>
      </w:r>
      <w:r>
        <w:rPr>
          <w:rFonts w:ascii="宋体" w:hAnsi="宋体" w:hint="eastAsia"/>
          <w:color w:val="auto"/>
          <w:kern w:val="28"/>
          <w:highlight w:val="none"/>
          <w:u w:val="single"/>
        </w:rPr>
        <w:t xml:space="preserve">  </w:t>
      </w:r>
      <w:r>
        <w:rPr>
          <w:rFonts w:ascii="宋体" w:hAnsi="宋体" w:hint="eastAsia"/>
          <w:color w:val="auto"/>
          <w:highlight w:val="none"/>
        </w:rPr>
        <w:t>（项目编号：</w:t>
      </w:r>
      <w:r>
        <w:rPr>
          <w:rFonts w:ascii="宋体" w:hAnsi="宋体" w:hint="eastAsia"/>
          <w:color w:val="auto"/>
          <w:highlight w:val="none"/>
          <w:lang w:eastAsia="zh-CN"/>
        </w:rPr>
        <w:t>SZDL2024001286（CLF0123SZ22ZC60C）</w:t>
      </w:r>
      <w:r>
        <w:rPr>
          <w:rFonts w:ascii="宋体" w:hAnsi="宋体" w:hint="eastAsia"/>
          <w:color w:val="auto"/>
          <w:highlight w:val="none"/>
        </w:rPr>
        <w:t>）的谈判公告，本公司愿意参加谈判，并声明：</w:t>
      </w:r>
    </w:p>
    <w:p>
      <w:pPr>
        <w:keepNext w:val="0"/>
        <w:keepLines w:val="0"/>
        <w:pageBreakBefore w:val="0"/>
        <w:numPr>
          <w:ilvl w:val="0"/>
          <w:numId w:val="24"/>
        </w:numPr>
        <w:tabs>
          <w:tab w:val="left" w:pos="993"/>
        </w:tabs>
        <w:kinsoku/>
        <w:wordWrap/>
        <w:overflowPunct/>
        <w:topLinePunct w:val="0"/>
        <w:bidi w:val="0"/>
        <w:snapToGrid w:val="0"/>
        <w:spacing w:line="336" w:lineRule="auto"/>
        <w:textAlignment w:val="auto"/>
        <w:rPr>
          <w:rFonts w:ascii="宋体" w:hAnsi="宋体"/>
          <w:bCs/>
          <w:color w:val="auto"/>
          <w:highlight w:val="none"/>
        </w:rPr>
      </w:pPr>
      <w:r>
        <w:rPr>
          <w:rFonts w:ascii="宋体" w:hAnsi="宋体" w:hint="eastAsia"/>
          <w:color w:val="auto"/>
          <w:highlight w:val="none"/>
        </w:rPr>
        <w:t>本公司具备以下条件：</w:t>
      </w:r>
    </w:p>
    <w:p>
      <w:pPr>
        <w:keepNext w:val="0"/>
        <w:keepLines w:val="0"/>
        <w:pageBreakBefore w:val="0"/>
        <w:widowControl/>
        <w:numPr>
          <w:ilvl w:val="0"/>
          <w:numId w:val="25"/>
        </w:numPr>
        <w:kinsoku/>
        <w:wordWrap/>
        <w:overflowPunct/>
        <w:topLinePunct w:val="0"/>
        <w:autoSpaceDE w:val="0"/>
        <w:autoSpaceDN w:val="0"/>
        <w:bidi w:val="0"/>
        <w:adjustRightInd w:val="0"/>
        <w:snapToGrid w:val="0"/>
        <w:spacing w:line="336" w:lineRule="auto"/>
        <w:ind w:left="777"/>
        <w:jc w:val="left"/>
        <w:textAlignment w:val="auto"/>
        <w:rPr>
          <w:rFonts w:ascii="宋体" w:hAnsi="宋体"/>
          <w:color w:val="auto"/>
          <w:highlight w:val="none"/>
        </w:rPr>
      </w:pPr>
      <w:r>
        <w:rPr>
          <w:rFonts w:ascii="宋体" w:hAnsi="宋体" w:hint="eastAsia"/>
          <w:color w:val="auto"/>
          <w:szCs w:val="21"/>
          <w:highlight w:val="none"/>
        </w:rPr>
        <w:t>具有独立承担民事责任的能力；</w:t>
      </w:r>
    </w:p>
    <w:p>
      <w:pPr>
        <w:keepNext w:val="0"/>
        <w:keepLines w:val="0"/>
        <w:pageBreakBefore w:val="0"/>
        <w:widowControl/>
        <w:numPr>
          <w:ilvl w:val="0"/>
          <w:numId w:val="25"/>
        </w:numPr>
        <w:kinsoku/>
        <w:wordWrap/>
        <w:overflowPunct/>
        <w:topLinePunct w:val="0"/>
        <w:autoSpaceDE w:val="0"/>
        <w:autoSpaceDN w:val="0"/>
        <w:bidi w:val="0"/>
        <w:adjustRightInd w:val="0"/>
        <w:snapToGrid w:val="0"/>
        <w:spacing w:line="336" w:lineRule="auto"/>
        <w:ind w:left="777"/>
        <w:jc w:val="left"/>
        <w:textAlignment w:val="auto"/>
        <w:rPr>
          <w:rFonts w:ascii="宋体" w:hAnsi="宋体"/>
          <w:color w:val="auto"/>
          <w:highlight w:val="none"/>
        </w:rPr>
      </w:pPr>
      <w:r>
        <w:rPr>
          <w:rFonts w:ascii="宋体" w:hAnsi="宋体" w:hint="eastAsia"/>
          <w:color w:val="auto"/>
          <w:szCs w:val="21"/>
          <w:highlight w:val="none"/>
        </w:rPr>
        <w:t>具有良好的商业信誉和健全的财务会计制度；</w:t>
      </w:r>
    </w:p>
    <w:p>
      <w:pPr>
        <w:keepNext w:val="0"/>
        <w:keepLines w:val="0"/>
        <w:pageBreakBefore w:val="0"/>
        <w:widowControl/>
        <w:numPr>
          <w:ilvl w:val="0"/>
          <w:numId w:val="25"/>
        </w:numPr>
        <w:tabs>
          <w:tab w:val="left" w:pos="1276"/>
        </w:tabs>
        <w:kinsoku/>
        <w:wordWrap/>
        <w:overflowPunct/>
        <w:topLinePunct w:val="0"/>
        <w:autoSpaceDE w:val="0"/>
        <w:autoSpaceDN w:val="0"/>
        <w:bidi w:val="0"/>
        <w:adjustRightInd w:val="0"/>
        <w:snapToGrid w:val="0"/>
        <w:spacing w:line="336" w:lineRule="auto"/>
        <w:jc w:val="left"/>
        <w:textAlignment w:val="auto"/>
        <w:rPr>
          <w:rFonts w:ascii="宋体" w:hAnsi="宋体"/>
          <w:color w:val="auto"/>
          <w:highlight w:val="none"/>
        </w:rPr>
      </w:pPr>
      <w:r>
        <w:rPr>
          <w:rFonts w:ascii="宋体" w:hAnsi="宋体" w:hint="eastAsia"/>
          <w:color w:val="auto"/>
          <w:highlight w:val="none"/>
        </w:rPr>
        <w:t>具有履行合同所必需的设备和专业技术能力；</w:t>
      </w:r>
    </w:p>
    <w:p>
      <w:pPr>
        <w:keepNext w:val="0"/>
        <w:keepLines w:val="0"/>
        <w:pageBreakBefore w:val="0"/>
        <w:widowControl/>
        <w:numPr>
          <w:ilvl w:val="0"/>
          <w:numId w:val="25"/>
        </w:numPr>
        <w:kinsoku/>
        <w:wordWrap/>
        <w:overflowPunct/>
        <w:topLinePunct w:val="0"/>
        <w:autoSpaceDE w:val="0"/>
        <w:autoSpaceDN w:val="0"/>
        <w:bidi w:val="0"/>
        <w:adjustRightInd w:val="0"/>
        <w:snapToGrid w:val="0"/>
        <w:spacing w:line="336" w:lineRule="auto"/>
        <w:ind w:left="777"/>
        <w:jc w:val="left"/>
        <w:textAlignment w:val="auto"/>
        <w:rPr>
          <w:rFonts w:ascii="宋体" w:hAnsi="宋体"/>
          <w:color w:val="auto"/>
          <w:highlight w:val="none"/>
        </w:rPr>
      </w:pPr>
      <w:bookmarkStart w:id="107" w:name="_Hlk25680577"/>
      <w:r>
        <w:rPr>
          <w:rFonts w:ascii="宋体" w:hAnsi="宋体" w:hint="eastAsia"/>
          <w:color w:val="auto"/>
          <w:szCs w:val="21"/>
          <w:highlight w:val="none"/>
        </w:rPr>
        <w:t>有依法缴纳税收和社会保障资金的良好记录；</w:t>
      </w:r>
    </w:p>
    <w:p>
      <w:pPr>
        <w:keepNext w:val="0"/>
        <w:keepLines w:val="0"/>
        <w:pageBreakBefore w:val="0"/>
        <w:widowControl/>
        <w:numPr>
          <w:ilvl w:val="0"/>
          <w:numId w:val="25"/>
        </w:numPr>
        <w:tabs>
          <w:tab w:val="left" w:pos="1276"/>
        </w:tabs>
        <w:kinsoku/>
        <w:wordWrap/>
        <w:overflowPunct/>
        <w:topLinePunct w:val="0"/>
        <w:autoSpaceDE w:val="0"/>
        <w:autoSpaceDN w:val="0"/>
        <w:bidi w:val="0"/>
        <w:adjustRightInd w:val="0"/>
        <w:snapToGrid w:val="0"/>
        <w:spacing w:line="336" w:lineRule="auto"/>
        <w:ind w:left="1276" w:hanging="916"/>
        <w:jc w:val="left"/>
        <w:textAlignment w:val="auto"/>
        <w:rPr>
          <w:rFonts w:ascii="宋体" w:hAnsi="宋体"/>
          <w:color w:val="auto"/>
          <w:highlight w:val="none"/>
        </w:rPr>
      </w:pPr>
      <w:r>
        <w:rPr>
          <w:rFonts w:ascii="宋体" w:hAnsi="宋体" w:hint="eastAsia"/>
          <w:color w:val="auto"/>
          <w:highlight w:val="none"/>
        </w:rPr>
        <w:t>本公司（如前三年内有名称变更的，含变更前名称）参加政府采购活动前三年内，在经营活动中没有重大违法记录（重大违法记录是指没有因违法经营受到刑事处罚或责令停产停业、吊销许可证或者执照、较大数额罚款等行政处罚）和参与本项目采购活动时不存在被政府主管部门禁止参与政府采购活动情形；</w:t>
      </w:r>
      <w:bookmarkEnd w:id="107"/>
    </w:p>
    <w:p>
      <w:pPr>
        <w:keepNext w:val="0"/>
        <w:keepLines w:val="0"/>
        <w:pageBreakBefore w:val="0"/>
        <w:widowControl/>
        <w:numPr>
          <w:ilvl w:val="0"/>
          <w:numId w:val="25"/>
        </w:numPr>
        <w:tabs>
          <w:tab w:val="left" w:pos="1276"/>
        </w:tabs>
        <w:kinsoku/>
        <w:wordWrap/>
        <w:overflowPunct/>
        <w:topLinePunct w:val="0"/>
        <w:autoSpaceDE w:val="0"/>
        <w:autoSpaceDN w:val="0"/>
        <w:bidi w:val="0"/>
        <w:adjustRightInd w:val="0"/>
        <w:snapToGrid w:val="0"/>
        <w:spacing w:line="336" w:lineRule="auto"/>
        <w:jc w:val="left"/>
        <w:textAlignment w:val="auto"/>
        <w:rPr>
          <w:rFonts w:ascii="宋体" w:hAnsi="宋体"/>
          <w:color w:val="auto"/>
          <w:highlight w:val="none"/>
        </w:rPr>
      </w:pPr>
      <w:r>
        <w:rPr>
          <w:rFonts w:ascii="宋体" w:hAnsi="宋体" w:hint="eastAsia"/>
          <w:color w:val="auto"/>
          <w:highlight w:val="none"/>
        </w:rPr>
        <w:t>法律、行政法规规定的其他条件。</w:t>
      </w:r>
    </w:p>
    <w:p>
      <w:pPr>
        <w:keepNext w:val="0"/>
        <w:keepLines w:val="0"/>
        <w:pageBreakBefore w:val="0"/>
        <w:numPr>
          <w:ilvl w:val="0"/>
          <w:numId w:val="24"/>
        </w:numPr>
        <w:tabs>
          <w:tab w:val="left" w:pos="993"/>
        </w:tabs>
        <w:kinsoku/>
        <w:wordWrap/>
        <w:overflowPunct/>
        <w:topLinePunct w:val="0"/>
        <w:bidi w:val="0"/>
        <w:snapToGrid w:val="0"/>
        <w:spacing w:line="336" w:lineRule="auto"/>
        <w:textAlignment w:val="auto"/>
        <w:rPr>
          <w:rFonts w:ascii="宋体" w:hAnsi="宋体"/>
          <w:color w:val="auto"/>
          <w:highlight w:val="none"/>
        </w:rPr>
      </w:pPr>
      <w:r>
        <w:rPr>
          <w:rFonts w:ascii="宋体" w:hAnsi="宋体" w:hint="eastAsia"/>
          <w:color w:val="auto"/>
          <w:highlight w:val="none"/>
        </w:rPr>
        <w:t>在参与本</w:t>
      </w:r>
      <w:r>
        <w:rPr>
          <w:rFonts w:ascii="宋体" w:hAnsi="宋体" w:hint="eastAsia"/>
          <w:color w:val="auto"/>
          <w:highlight w:val="none"/>
          <w:lang w:val="en-US" w:eastAsia="zh-CN"/>
        </w:rPr>
        <w:t>项目政府</w:t>
      </w:r>
      <w:r>
        <w:rPr>
          <w:rFonts w:ascii="宋体" w:hAnsi="宋体" w:hint="eastAsia"/>
          <w:color w:val="auto"/>
          <w:highlight w:val="none"/>
        </w:rPr>
        <w:t>采购活动中，本</w:t>
      </w:r>
      <w:r>
        <w:rPr>
          <w:rFonts w:ascii="宋体" w:hAnsi="宋体" w:hint="eastAsia"/>
          <w:color w:val="auto"/>
          <w:highlight w:val="none"/>
          <w:lang w:val="en-US" w:eastAsia="zh-CN"/>
        </w:rPr>
        <w:t>公司</w:t>
      </w:r>
      <w:r>
        <w:rPr>
          <w:rFonts w:ascii="宋体" w:hAnsi="宋体" w:hint="eastAsia"/>
          <w:color w:val="auto"/>
          <w:highlight w:val="none"/>
        </w:rPr>
        <w:t>不存在被</w:t>
      </w:r>
      <w:r>
        <w:rPr>
          <w:rFonts w:ascii="宋体" w:hAnsi="宋体" w:hint="eastAsia"/>
          <w:color w:val="auto"/>
          <w:highlight w:val="none"/>
          <w:lang w:val="en-US" w:eastAsia="zh-CN"/>
        </w:rPr>
        <w:t>有关</w:t>
      </w:r>
      <w:r>
        <w:rPr>
          <w:rFonts w:ascii="宋体" w:hAnsi="宋体" w:hint="eastAsia"/>
          <w:color w:val="auto"/>
          <w:highlight w:val="none"/>
        </w:rPr>
        <w:t>部门禁止参与政府采购活动的情形，即我公司不存在还处于被禁止参与政府采购活动的期限内情形。</w:t>
      </w:r>
    </w:p>
    <w:p>
      <w:pPr>
        <w:keepNext w:val="0"/>
        <w:keepLines w:val="0"/>
        <w:pageBreakBefore w:val="0"/>
        <w:numPr>
          <w:ilvl w:val="0"/>
          <w:numId w:val="24"/>
        </w:numPr>
        <w:tabs>
          <w:tab w:val="left" w:pos="993"/>
        </w:tabs>
        <w:kinsoku/>
        <w:wordWrap/>
        <w:overflowPunct/>
        <w:topLinePunct w:val="0"/>
        <w:bidi w:val="0"/>
        <w:snapToGrid w:val="0"/>
        <w:spacing w:line="336" w:lineRule="auto"/>
        <w:ind w:left="993" w:hanging="567"/>
        <w:textAlignment w:val="auto"/>
        <w:rPr>
          <w:rFonts w:ascii="宋体" w:hAnsi="宋体"/>
          <w:color w:val="auto"/>
          <w:highlight w:val="none"/>
        </w:rPr>
      </w:pPr>
      <w:r>
        <w:rPr>
          <w:rFonts w:ascii="宋体" w:hAnsi="宋体" w:hint="eastAsia"/>
          <w:color w:val="auto"/>
          <w:highlight w:val="none"/>
        </w:rPr>
        <w:t>本</w:t>
      </w:r>
      <w:r>
        <w:rPr>
          <w:rFonts w:ascii="宋体" w:hAnsi="宋体" w:hint="eastAsia"/>
          <w:color w:val="auto"/>
          <w:highlight w:val="none"/>
          <w:lang w:val="en-US" w:eastAsia="zh-CN"/>
        </w:rPr>
        <w:t>公司</w:t>
      </w:r>
      <w:r>
        <w:rPr>
          <w:rFonts w:ascii="宋体" w:hAnsi="宋体" w:hint="eastAsia"/>
          <w:color w:val="auto"/>
          <w:highlight w:val="none"/>
        </w:rPr>
        <w:t>参与政府采购项目投标的供应商未被列入失信被执行人、</w:t>
      </w:r>
      <w:r>
        <w:rPr>
          <w:rFonts w:ascii="宋体" w:hAnsi="宋体" w:hint="eastAsia"/>
          <w:color w:val="auto"/>
          <w:highlight w:val="none"/>
          <w:lang w:eastAsia="zh-CN"/>
        </w:rPr>
        <w:t>重大税收违法失信主体</w:t>
      </w:r>
      <w:r>
        <w:rPr>
          <w:rFonts w:ascii="宋体" w:hAnsi="宋体" w:hint="eastAsia"/>
          <w:color w:val="auto"/>
          <w:highlight w:val="none"/>
        </w:rPr>
        <w:t>、政府采购严重违法失信行为记录名单情形；</w:t>
      </w:r>
    </w:p>
    <w:p>
      <w:pPr>
        <w:keepNext w:val="0"/>
        <w:keepLines w:val="0"/>
        <w:pageBreakBefore w:val="0"/>
        <w:numPr>
          <w:ilvl w:val="0"/>
          <w:numId w:val="24"/>
        </w:numPr>
        <w:tabs>
          <w:tab w:val="left" w:pos="993"/>
        </w:tabs>
        <w:kinsoku/>
        <w:wordWrap/>
        <w:overflowPunct/>
        <w:topLinePunct w:val="0"/>
        <w:bidi w:val="0"/>
        <w:snapToGrid w:val="0"/>
        <w:spacing w:line="336" w:lineRule="auto"/>
        <w:ind w:left="993" w:hanging="567"/>
        <w:textAlignment w:val="auto"/>
        <w:rPr>
          <w:rFonts w:ascii="宋体" w:hAnsi="宋体"/>
          <w:color w:val="auto"/>
          <w:highlight w:val="none"/>
        </w:rPr>
      </w:pPr>
      <w:r>
        <w:rPr>
          <w:rFonts w:ascii="宋体" w:hAnsi="宋体" w:hint="eastAsia"/>
          <w:color w:val="auto"/>
          <w:highlight w:val="none"/>
        </w:rPr>
        <w:t>本公司承诺不存在《深圳市财政局政府采购供应商信用信息管理办法》（深财规〔2023〕3号）列明的严重违法失信行为。</w:t>
      </w:r>
    </w:p>
    <w:p>
      <w:pPr>
        <w:keepNext w:val="0"/>
        <w:keepLines w:val="0"/>
        <w:pageBreakBefore w:val="0"/>
        <w:numPr>
          <w:ilvl w:val="0"/>
          <w:numId w:val="24"/>
        </w:numPr>
        <w:tabs>
          <w:tab w:val="left" w:pos="993"/>
        </w:tabs>
        <w:kinsoku/>
        <w:wordWrap/>
        <w:overflowPunct/>
        <w:topLinePunct w:val="0"/>
        <w:bidi w:val="0"/>
        <w:snapToGrid w:val="0"/>
        <w:spacing w:line="336" w:lineRule="auto"/>
        <w:ind w:left="993" w:hanging="567"/>
        <w:textAlignment w:val="auto"/>
        <w:rPr>
          <w:rFonts w:ascii="宋体" w:hAnsi="宋体"/>
          <w:color w:val="auto"/>
          <w:highlight w:val="none"/>
        </w:rPr>
      </w:pPr>
      <w:r>
        <w:rPr>
          <w:rFonts w:ascii="宋体" w:hAnsi="宋体" w:hint="eastAsia"/>
          <w:color w:val="auto"/>
          <w:highlight w:val="none"/>
        </w:rPr>
        <w:t>本公司及附属机构，并非受托为本项目同一合同项下或者其中分项目的前期工作提供设计、编制规范、进行管理等服务的供应商。</w:t>
      </w:r>
    </w:p>
    <w:p>
      <w:pPr>
        <w:keepNext w:val="0"/>
        <w:keepLines w:val="0"/>
        <w:pageBreakBefore w:val="0"/>
        <w:numPr>
          <w:ilvl w:val="0"/>
          <w:numId w:val="24"/>
        </w:numPr>
        <w:tabs>
          <w:tab w:val="left" w:pos="993"/>
        </w:tabs>
        <w:kinsoku/>
        <w:wordWrap/>
        <w:overflowPunct/>
        <w:topLinePunct w:val="0"/>
        <w:bidi w:val="0"/>
        <w:snapToGrid w:val="0"/>
        <w:spacing w:line="336" w:lineRule="auto"/>
        <w:ind w:left="993" w:hanging="567"/>
        <w:textAlignment w:val="auto"/>
        <w:rPr>
          <w:rFonts w:ascii="宋体" w:hAnsi="宋体"/>
          <w:bCs/>
          <w:color w:val="auto"/>
          <w:highlight w:val="none"/>
        </w:rPr>
      </w:pPr>
      <w:r>
        <w:rPr>
          <w:rFonts w:ascii="宋体" w:hAnsi="宋体" w:hint="eastAsia"/>
          <w:color w:val="auto"/>
          <w:highlight w:val="none"/>
        </w:rPr>
        <w:t>本公司没有为采购项目同一合同项下提供整体设计、规范编制或者项目管理、监理、检测等服务。</w:t>
      </w:r>
    </w:p>
    <w:p>
      <w:pPr>
        <w:keepNext w:val="0"/>
        <w:keepLines w:val="0"/>
        <w:pageBreakBefore w:val="0"/>
        <w:numPr>
          <w:ilvl w:val="0"/>
          <w:numId w:val="24"/>
        </w:numPr>
        <w:tabs>
          <w:tab w:val="left" w:pos="993"/>
        </w:tabs>
        <w:kinsoku/>
        <w:wordWrap/>
        <w:overflowPunct/>
        <w:topLinePunct w:val="0"/>
        <w:bidi w:val="0"/>
        <w:snapToGrid w:val="0"/>
        <w:spacing w:line="336" w:lineRule="auto"/>
        <w:ind w:left="993" w:hanging="567"/>
        <w:textAlignment w:val="auto"/>
        <w:rPr>
          <w:rFonts w:ascii="宋体" w:hAnsi="宋体"/>
          <w:color w:val="auto"/>
          <w:highlight w:val="none"/>
        </w:rPr>
      </w:pPr>
      <w:r>
        <w:rPr>
          <w:rFonts w:ascii="宋体" w:hAnsi="宋体" w:hint="eastAsia"/>
          <w:color w:val="auto"/>
          <w:highlight w:val="none"/>
        </w:rPr>
        <w:t>我方承诺如与本项目同一合同项下其他响应供应商的单位负责人为同一人或者存在直接控股、管理关系的情形，同意按响应无效处理。</w:t>
      </w:r>
    </w:p>
    <w:p>
      <w:pPr>
        <w:keepNext w:val="0"/>
        <w:keepLines w:val="0"/>
        <w:pageBreakBefore w:val="0"/>
        <w:kinsoku/>
        <w:wordWrap/>
        <w:overflowPunct/>
        <w:topLinePunct w:val="0"/>
        <w:bidi w:val="0"/>
        <w:snapToGrid w:val="0"/>
        <w:spacing w:line="336" w:lineRule="auto"/>
        <w:ind w:firstLine="424" w:firstLineChars="202"/>
        <w:textAlignment w:val="auto"/>
        <w:rPr>
          <w:rFonts w:ascii="宋体" w:hAnsi="宋体"/>
          <w:color w:val="auto"/>
          <w:highlight w:val="none"/>
        </w:rPr>
      </w:pPr>
      <w:r>
        <w:rPr>
          <w:rFonts w:ascii="宋体" w:hAnsi="宋体" w:hint="eastAsia"/>
          <w:color w:val="auto"/>
          <w:highlight w:val="none"/>
        </w:rPr>
        <w:t>本</w:t>
      </w:r>
      <w:r>
        <w:rPr>
          <w:rFonts w:ascii="宋体" w:hAnsi="宋体" w:hint="eastAsia"/>
          <w:color w:val="auto"/>
          <w:highlight w:val="none"/>
          <w:lang w:val="en-US" w:eastAsia="zh-CN"/>
        </w:rPr>
        <w:t>公司</w:t>
      </w:r>
      <w:r>
        <w:rPr>
          <w:rFonts w:ascii="宋体" w:hAnsi="宋体" w:hint="eastAsia"/>
          <w:color w:val="auto"/>
          <w:highlight w:val="none"/>
        </w:rPr>
        <w:t>承诺在本次单一来源谈判采购活动中，如有违法、违规、弄虚作假行为，所造成的损失、不良后果及法律责任，一律由我公司（企业）承担。</w:t>
      </w:r>
    </w:p>
    <w:p>
      <w:pPr>
        <w:keepNext w:val="0"/>
        <w:keepLines w:val="0"/>
        <w:pageBreakBefore w:val="0"/>
        <w:kinsoku/>
        <w:wordWrap/>
        <w:overflowPunct/>
        <w:topLinePunct w:val="0"/>
        <w:bidi w:val="0"/>
        <w:snapToGrid w:val="0"/>
        <w:spacing w:line="336" w:lineRule="auto"/>
        <w:ind w:firstLine="420"/>
        <w:textAlignment w:val="auto"/>
        <w:rPr>
          <w:rFonts w:ascii="宋体" w:hAnsi="宋体"/>
          <w:color w:val="auto"/>
          <w:highlight w:val="none"/>
        </w:rPr>
      </w:pPr>
      <w:r>
        <w:rPr>
          <w:rFonts w:ascii="宋体" w:hAnsi="宋体" w:hint="eastAsia"/>
          <w:color w:val="auto"/>
          <w:highlight w:val="none"/>
        </w:rPr>
        <w:t>特此声明！</w:t>
      </w:r>
    </w:p>
    <w:p>
      <w:pPr>
        <w:keepNext w:val="0"/>
        <w:keepLines w:val="0"/>
        <w:pageBreakBefore w:val="0"/>
        <w:kinsoku/>
        <w:wordWrap/>
        <w:overflowPunct/>
        <w:topLinePunct w:val="0"/>
        <w:bidi w:val="0"/>
        <w:snapToGrid w:val="0"/>
        <w:spacing w:line="336" w:lineRule="auto"/>
        <w:textAlignment w:val="auto"/>
        <w:rPr>
          <w:rFonts w:ascii="宋体" w:hAnsi="宋体"/>
          <w:b/>
          <w:color w:val="auto"/>
          <w:highlight w:val="none"/>
        </w:rPr>
      </w:pPr>
      <w:r>
        <w:rPr>
          <w:rFonts w:ascii="宋体" w:hAnsi="宋体" w:hint="eastAsia"/>
          <w:b/>
          <w:color w:val="auto"/>
          <w:highlight w:val="none"/>
        </w:rPr>
        <w:t>说明：</w:t>
      </w:r>
    </w:p>
    <w:p>
      <w:pPr>
        <w:keepNext w:val="0"/>
        <w:keepLines w:val="0"/>
        <w:pageBreakBefore w:val="0"/>
        <w:numPr>
          <w:ilvl w:val="0"/>
          <w:numId w:val="26"/>
        </w:numPr>
        <w:kinsoku/>
        <w:wordWrap/>
        <w:overflowPunct/>
        <w:topLinePunct w:val="0"/>
        <w:autoSpaceDE w:val="0"/>
        <w:autoSpaceDN w:val="0"/>
        <w:bidi w:val="0"/>
        <w:adjustRightInd w:val="0"/>
        <w:snapToGrid w:val="0"/>
        <w:spacing w:line="336" w:lineRule="auto"/>
        <w:jc w:val="left"/>
        <w:textAlignment w:val="auto"/>
        <w:rPr>
          <w:rFonts w:ascii="宋体" w:hAnsi="宋体"/>
          <w:color w:val="auto"/>
          <w:highlight w:val="none"/>
        </w:rPr>
      </w:pPr>
      <w:r>
        <w:rPr>
          <w:rFonts w:ascii="宋体" w:hAnsi="宋体" w:hint="eastAsia"/>
          <w:color w:val="auto"/>
          <w:highlight w:val="none"/>
        </w:rPr>
        <w:t>本声明函必须提供且内容不得擅自删改，否则视为无效响应。</w:t>
      </w:r>
    </w:p>
    <w:p>
      <w:pPr>
        <w:keepNext w:val="0"/>
        <w:keepLines w:val="0"/>
        <w:pageBreakBefore w:val="0"/>
        <w:numPr>
          <w:ilvl w:val="0"/>
          <w:numId w:val="26"/>
        </w:numPr>
        <w:kinsoku/>
        <w:wordWrap/>
        <w:overflowPunct/>
        <w:topLinePunct w:val="0"/>
        <w:autoSpaceDE w:val="0"/>
        <w:autoSpaceDN w:val="0"/>
        <w:bidi w:val="0"/>
        <w:adjustRightInd w:val="0"/>
        <w:snapToGrid w:val="0"/>
        <w:spacing w:line="336" w:lineRule="auto"/>
        <w:jc w:val="left"/>
        <w:textAlignment w:val="auto"/>
        <w:rPr>
          <w:rFonts w:ascii="宋体" w:hAnsi="宋体"/>
          <w:color w:val="auto"/>
          <w:highlight w:val="none"/>
        </w:rPr>
      </w:pPr>
      <w:r>
        <w:rPr>
          <w:rFonts w:ascii="宋体" w:hAnsi="宋体" w:hint="eastAsia"/>
          <w:color w:val="auto"/>
          <w:highlight w:val="none"/>
        </w:rPr>
        <w:t>本声明函如有虚假或与事实不符的，作</w:t>
      </w:r>
      <w:r>
        <w:rPr>
          <w:rFonts w:ascii="宋体" w:hAnsi="宋体" w:hint="eastAsia"/>
          <w:b/>
          <w:color w:val="auto"/>
          <w:highlight w:val="none"/>
        </w:rPr>
        <w:t>无效响应</w:t>
      </w:r>
      <w:r>
        <w:rPr>
          <w:rFonts w:ascii="宋体" w:hAnsi="宋体" w:hint="eastAsia"/>
          <w:color w:val="auto"/>
          <w:highlight w:val="none"/>
        </w:rPr>
        <w:t>处理。</w:t>
      </w:r>
    </w:p>
    <w:p>
      <w:pPr>
        <w:keepNext w:val="0"/>
        <w:keepLines w:val="0"/>
        <w:pageBreakBefore w:val="0"/>
        <w:kinsoku/>
        <w:wordWrap/>
        <w:overflowPunct/>
        <w:topLinePunct w:val="0"/>
        <w:bidi w:val="0"/>
        <w:adjustRightInd w:val="0"/>
        <w:snapToGrid w:val="0"/>
        <w:spacing w:line="336" w:lineRule="auto"/>
        <w:jc w:val="center"/>
        <w:textAlignment w:val="auto"/>
        <w:rPr>
          <w:color w:val="auto"/>
          <w:sz w:val="21"/>
          <w:szCs w:val="21"/>
          <w:highlight w:val="none"/>
        </w:rPr>
      </w:pPr>
      <w:r>
        <w:rPr>
          <w:rFonts w:hint="eastAsia"/>
          <w:color w:val="auto"/>
          <w:sz w:val="21"/>
          <w:szCs w:val="21"/>
          <w:highlight w:val="none"/>
        </w:rPr>
        <w:t xml:space="preserve">    </w:t>
      </w:r>
      <w:r>
        <w:rPr>
          <w:rFonts w:ascii="宋体" w:hAnsi="宋体" w:hint="eastAsia"/>
          <w:color w:val="auto"/>
          <w:highlight w:val="none"/>
        </w:rPr>
        <w:t>响应</w:t>
      </w:r>
      <w:r>
        <w:rPr>
          <w:rFonts w:hint="eastAsia"/>
          <w:color w:val="auto"/>
          <w:sz w:val="21"/>
          <w:szCs w:val="21"/>
          <w:highlight w:val="none"/>
          <w:lang w:val="en-US" w:eastAsia="zh-CN"/>
        </w:rPr>
        <w:t>供应商</w:t>
      </w:r>
      <w:r>
        <w:rPr>
          <w:rFonts w:hint="eastAsia"/>
          <w:color w:val="auto"/>
          <w:sz w:val="21"/>
          <w:szCs w:val="21"/>
          <w:highlight w:val="none"/>
        </w:rPr>
        <w:t>名称：</w:t>
      </w:r>
      <w:r>
        <w:rPr>
          <w:color w:val="auto"/>
          <w:sz w:val="21"/>
          <w:szCs w:val="21"/>
          <w:highlight w:val="none"/>
        </w:rPr>
        <w:t xml:space="preserve"> </w:t>
      </w:r>
    </w:p>
    <w:p>
      <w:pPr>
        <w:keepNext w:val="0"/>
        <w:keepLines w:val="0"/>
        <w:pageBreakBefore w:val="0"/>
        <w:kinsoku/>
        <w:wordWrap/>
        <w:overflowPunct/>
        <w:topLinePunct w:val="0"/>
        <w:bidi w:val="0"/>
        <w:adjustRightInd w:val="0"/>
        <w:snapToGrid w:val="0"/>
        <w:spacing w:line="336" w:lineRule="auto"/>
        <w:jc w:val="center"/>
        <w:textAlignment w:val="auto"/>
        <w:rPr>
          <w:rFonts w:hint="eastAsia"/>
          <w:color w:val="auto"/>
          <w:sz w:val="21"/>
          <w:szCs w:val="21"/>
          <w:highlight w:val="none"/>
        </w:rPr>
      </w:pPr>
      <w:r>
        <w:rPr>
          <w:rFonts w:hint="eastAsia"/>
          <w:color w:val="auto"/>
          <w:sz w:val="21"/>
          <w:szCs w:val="21"/>
          <w:highlight w:val="none"/>
        </w:rPr>
        <w:t xml:space="preserve">  日期：</w:t>
      </w:r>
    </w:p>
    <w:p>
      <w:pPr>
        <w:pageBreakBefore w:val="0"/>
        <w:kinsoku/>
        <w:wordWrap/>
        <w:overflowPunct/>
        <w:topLinePunct w:val="0"/>
        <w:bidi w:val="0"/>
        <w:adjustRightInd w:val="0"/>
        <w:snapToGrid w:val="0"/>
        <w:spacing w:line="288" w:lineRule="auto"/>
        <w:jc w:val="center"/>
        <w:textAlignment w:val="auto"/>
        <w:rPr>
          <w:rFonts w:hint="eastAsia"/>
          <w:color w:val="auto"/>
          <w:sz w:val="21"/>
          <w:szCs w:val="21"/>
          <w:highlight w:val="none"/>
          <w:u w:val="single"/>
        </w:rPr>
      </w:pPr>
    </w:p>
    <w:p>
      <w:pPr>
        <w:numPr>
          <w:ilvl w:val="0"/>
          <w:numId w:val="0"/>
        </w:numPr>
        <w:autoSpaceDE w:val="0"/>
        <w:autoSpaceDN w:val="0"/>
        <w:adjustRightInd w:val="0"/>
        <w:spacing w:line="360" w:lineRule="auto"/>
        <w:rPr>
          <w:rFonts w:ascii="宋体" w:eastAsia="宋体" w:hAnsi="宋体" w:cs="Times New Roman" w:hint="eastAsia"/>
          <w:b/>
          <w:color w:val="auto"/>
          <w:highlight w:val="none"/>
          <w:u w:val="double"/>
        </w:rPr>
      </w:pPr>
      <w:r>
        <w:rPr>
          <w:rFonts w:ascii="宋体" w:eastAsia="宋体" w:hAnsi="宋体" w:cs="Times New Roman" w:hint="eastAsia"/>
          <w:b/>
          <w:color w:val="auto"/>
          <w:highlight w:val="none"/>
          <w:u w:val="double"/>
        </w:rPr>
        <w:t>（备注：如联合体投标，响应</w:t>
      </w:r>
      <w:r>
        <w:rPr>
          <w:rFonts w:ascii="宋体" w:eastAsia="宋体" w:hAnsi="宋体" w:cs="Times New Roman" w:hint="eastAsia"/>
          <w:b/>
          <w:color w:val="auto"/>
          <w:highlight w:val="none"/>
          <w:u w:val="double"/>
          <w:lang w:val="en-US" w:eastAsia="zh-CN"/>
        </w:rPr>
        <w:t>供应商</w:t>
      </w:r>
      <w:r>
        <w:rPr>
          <w:rFonts w:ascii="宋体" w:eastAsia="宋体" w:hAnsi="宋体" w:cs="Times New Roman" w:hint="eastAsia"/>
          <w:b/>
          <w:color w:val="auto"/>
          <w:highlight w:val="none"/>
          <w:u w:val="double"/>
        </w:rPr>
        <w:t>名称一栏需填写联合体</w:t>
      </w:r>
      <w:r>
        <w:rPr>
          <w:rFonts w:ascii="宋体" w:eastAsia="宋体" w:hAnsi="宋体" w:cs="Times New Roman" w:hint="eastAsia"/>
          <w:b/>
          <w:color w:val="auto"/>
          <w:highlight w:val="none"/>
          <w:u w:val="double"/>
          <w:lang w:val="en-US" w:eastAsia="zh-CN"/>
        </w:rPr>
        <w:t>各</w:t>
      </w:r>
      <w:r>
        <w:rPr>
          <w:rFonts w:ascii="宋体" w:eastAsia="宋体" w:hAnsi="宋体" w:cs="Times New Roman" w:hint="eastAsia"/>
          <w:b/>
          <w:color w:val="auto"/>
          <w:highlight w:val="none"/>
          <w:u w:val="double"/>
        </w:rPr>
        <w:t>方的名称）</w:t>
      </w:r>
    </w:p>
    <w:p>
      <w:pPr>
        <w:pStyle w:val="Heading2"/>
        <w:numPr>
          <w:ilvl w:val="0"/>
          <w:numId w:val="21"/>
        </w:numPr>
        <w:spacing w:line="240" w:lineRule="auto"/>
        <w:jc w:val="center"/>
        <w:rPr>
          <w:b w:val="0"/>
          <w:color w:val="auto"/>
        </w:rPr>
      </w:pPr>
      <w:bookmarkStart w:id="108" w:name="_Toc52165081"/>
      <w:bookmarkStart w:id="109" w:name="_Toc170645734"/>
      <w:bookmarkStart w:id="110" w:name="_Toc50736477"/>
      <w:bookmarkStart w:id="111" w:name="_Toc50737329"/>
      <w:bookmarkStart w:id="112" w:name="_Toc170699946"/>
      <w:bookmarkStart w:id="113" w:name="_Toc355768056"/>
      <w:bookmarkStart w:id="114" w:name="_Toc50737297"/>
      <w:r>
        <w:rPr>
          <w:rFonts w:hint="eastAsia"/>
          <w:b w:val="0"/>
          <w:color w:val="auto"/>
          <w:lang w:val="en-US"/>
        </w:rPr>
        <w:t>声明函</w:t>
      </w:r>
    </w:p>
    <w:p>
      <w:pPr>
        <w:ind w:left="2"/>
        <w:rPr>
          <w:rFonts w:ascii="宋体" w:hAnsi="宋体"/>
          <w:b/>
          <w:color w:val="auto"/>
          <w:sz w:val="28"/>
          <w:szCs w:val="28"/>
        </w:rPr>
      </w:pPr>
      <w:r>
        <w:rPr>
          <w:rFonts w:ascii="宋体" w:hAnsi="宋体" w:hint="eastAsia"/>
          <w:b/>
          <w:color w:val="auto"/>
          <w:sz w:val="28"/>
          <w:szCs w:val="28"/>
        </w:rPr>
        <w:t>响应供应商按谈判文件要求提供本国产品/服务书面声明函</w:t>
      </w:r>
    </w:p>
    <w:p>
      <w:pPr>
        <w:spacing w:line="360" w:lineRule="auto"/>
        <w:ind w:firstLine="420" w:firstLineChars="200"/>
        <w:rPr>
          <w:rFonts w:ascii="宋体" w:hAnsi="宋体" w:cs="宋体"/>
          <w:color w:val="auto"/>
        </w:rPr>
      </w:pPr>
      <w:r>
        <w:rPr>
          <w:rFonts w:ascii="宋体" w:hAnsi="宋体" w:cs="宋体" w:hint="eastAsia"/>
          <w:color w:val="auto"/>
        </w:rPr>
        <w:t>致：采联国际招标采购集团有限公司</w:t>
      </w:r>
    </w:p>
    <w:p>
      <w:pPr>
        <w:spacing w:line="360" w:lineRule="auto"/>
        <w:ind w:firstLine="420" w:firstLineChars="200"/>
        <w:rPr>
          <w:rFonts w:ascii="宋体" w:hAnsi="宋体" w:cs="宋体"/>
          <w:color w:val="auto"/>
        </w:rPr>
      </w:pPr>
      <w:r>
        <w:rPr>
          <w:rFonts w:ascii="宋体" w:hAnsi="宋体" w:cs="宋体" w:hint="eastAsia"/>
          <w:color w:val="auto"/>
        </w:rPr>
        <w:t>在参与</w:t>
      </w:r>
      <w:r>
        <w:rPr>
          <w:rFonts w:ascii="宋体" w:hAnsi="宋体" w:cs="宋体" w:hint="eastAsia"/>
          <w:color w:val="auto"/>
          <w:lang w:eastAsia="zh-CN"/>
        </w:rPr>
        <w:t>污泥原位高效资源化利用系统设计、制造和安装调试</w:t>
      </w:r>
      <w:r>
        <w:rPr>
          <w:rFonts w:ascii="宋体" w:hAnsi="宋体" w:cs="宋体" w:hint="eastAsia"/>
          <w:color w:val="auto"/>
        </w:rPr>
        <w:t>（项目编号：</w:t>
      </w:r>
      <w:r>
        <w:rPr>
          <w:rFonts w:ascii="宋体" w:hAnsi="宋体" w:cs="宋体" w:hint="eastAsia"/>
          <w:color w:val="auto"/>
          <w:lang w:eastAsia="zh-CN"/>
        </w:rPr>
        <w:t>SZDL2024001286（CLF0123SZ22ZC60C）</w:t>
      </w:r>
      <w:r>
        <w:rPr>
          <w:rFonts w:ascii="宋体" w:hAnsi="宋体" w:cs="宋体" w:hint="eastAsia"/>
          <w:color w:val="auto"/>
        </w:rPr>
        <w:t>）政府采购活动时，我公司承诺按谈判文件要求提供本国产品/服务。</w:t>
      </w: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r>
        <w:rPr>
          <w:rFonts w:ascii="宋体" w:hAnsi="宋体" w:cs="宋体" w:hint="eastAsia"/>
        </w:rPr>
        <w:t>特此声明。</w:t>
      </w:r>
    </w:p>
    <w:p>
      <w:pPr>
        <w:spacing w:line="360" w:lineRule="auto"/>
        <w:ind w:firstLine="3570" w:firstLineChars="1700"/>
        <w:rPr>
          <w:rFonts w:ascii="宋体" w:hAnsi="宋体" w:cs="宋体"/>
        </w:rPr>
      </w:pPr>
      <w:r>
        <w:rPr>
          <w:rFonts w:ascii="宋体" w:hAnsi="宋体" w:cs="宋体" w:hint="eastAsia"/>
        </w:rPr>
        <w:t xml:space="preserve">                              </w:t>
      </w:r>
    </w:p>
    <w:p>
      <w:pPr>
        <w:spacing w:line="360" w:lineRule="auto"/>
        <w:ind w:firstLine="4620" w:firstLineChars="2200"/>
        <w:jc w:val="left"/>
        <w:rPr>
          <w:rFonts w:ascii="宋体" w:hAnsi="宋体" w:cs="宋体"/>
        </w:rPr>
      </w:pPr>
      <w:r>
        <w:rPr>
          <w:rFonts w:ascii="宋体" w:hAnsi="宋体" w:cs="宋体" w:hint="eastAsia"/>
        </w:rPr>
        <w:t xml:space="preserve"> </w:t>
      </w: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p>
    <w:p>
      <w:pPr>
        <w:rPr>
          <w:rFonts w:ascii="宋体" w:hAnsi="宋体" w:cs="宋体" w:hint="eastAsia"/>
        </w:rPr>
        <w:sectPr>
          <w:headerReference w:type="default" r:id="rId7"/>
          <w:footerReference w:type="default" r:id="rId8"/>
          <w:footerReference w:type="first" r:id="rId9"/>
          <w:pgSz w:w="11906" w:h="16838"/>
          <w:pgMar w:top="1440" w:right="1080" w:bottom="1440" w:left="1080" w:header="699" w:footer="567" w:gutter="0"/>
          <w:cols w:num="1" w:space="425"/>
          <w:titlePg/>
          <w:docGrid w:type="lines" w:linePitch="312" w:charSpace="0"/>
        </w:sectPr>
      </w:pPr>
      <w:r>
        <w:rPr>
          <w:rFonts w:ascii="宋体" w:hAnsi="宋体" w:cs="宋体" w:hint="eastAsia"/>
        </w:rPr>
        <w:t>备注：响应供应商必须</w:t>
      </w:r>
      <w:r>
        <w:rPr>
          <w:rFonts w:ascii="宋体" w:hAnsi="宋体" w:cs="宋体" w:hint="eastAsia"/>
          <w:lang w:val="en-US" w:eastAsia="zh-CN"/>
        </w:rPr>
        <w:t>提供且内容不得擅自修改</w:t>
      </w:r>
      <w:r>
        <w:rPr>
          <w:rFonts w:ascii="宋体" w:hAnsi="宋体" w:cs="宋体" w:hint="eastAsia"/>
        </w:rPr>
        <w:t>，否则作投标无效处理。</w:t>
      </w:r>
    </w:p>
    <w:p>
      <w:pPr>
        <w:pStyle w:val="Heading2"/>
        <w:numPr>
          <w:ilvl w:val="0"/>
          <w:numId w:val="21"/>
        </w:numPr>
        <w:spacing w:line="240" w:lineRule="auto"/>
        <w:jc w:val="center"/>
        <w:rPr>
          <w:b w:val="0"/>
          <w:color w:val="000000" w:themeColor="text1"/>
          <w14:textFill>
            <w14:solidFill>
              <w14:schemeClr w14:val="tx1"/>
            </w14:solidFill>
          </w14:textFill>
        </w:rPr>
      </w:pPr>
      <w:r>
        <w:rPr>
          <w:rFonts w:hint="eastAsia"/>
          <w:b w:val="0"/>
          <w:color w:val="000000" w:themeColor="text1"/>
          <w14:textFill>
            <w14:solidFill>
              <w14:schemeClr w14:val="tx1"/>
            </w14:solidFill>
          </w14:textFill>
        </w:rPr>
        <w:t>报 价 表</w:t>
      </w:r>
    </w:p>
    <w:p>
      <w:pPr>
        <w:adjustRightInd w:val="0"/>
        <w:snapToGrid w:val="0"/>
        <w:jc w:val="center"/>
        <w:rPr>
          <w:rFonts w:ascii="黑体" w:eastAsia="黑体" w:hAnsi="宋体"/>
          <w:color w:val="auto"/>
          <w:sz w:val="32"/>
          <w:szCs w:val="32"/>
          <w:highlight w:val="none"/>
        </w:rPr>
      </w:pPr>
      <w:r>
        <w:rPr>
          <w:rFonts w:ascii="黑体" w:eastAsia="黑体" w:hAnsi="宋体" w:hint="eastAsia"/>
          <w:sz w:val="32"/>
          <w:szCs w:val="32"/>
        </w:rPr>
        <w:t>（首</w:t>
      </w:r>
      <w:r>
        <w:rPr>
          <w:rFonts w:ascii="黑体" w:eastAsia="黑体" w:hAnsi="宋体" w:hint="eastAsia"/>
          <w:color w:val="auto"/>
          <w:sz w:val="32"/>
          <w:szCs w:val="32"/>
          <w:highlight w:val="none"/>
        </w:rPr>
        <w:t>次报价）</w:t>
      </w:r>
    </w:p>
    <w:p>
      <w:pPr>
        <w:spacing w:line="500" w:lineRule="exact"/>
        <w:ind w:firstLine="210" w:firstLineChars="100"/>
        <w:rPr>
          <w:rFonts w:ascii="宋体" w:hAnsi="宋体"/>
          <w:color w:val="auto"/>
          <w:highlight w:val="none"/>
        </w:rPr>
      </w:pPr>
      <w:r>
        <w:rPr>
          <w:rFonts w:ascii="宋体" w:hAnsi="宋体" w:hint="eastAsia"/>
          <w:color w:val="auto"/>
          <w:highlight w:val="none"/>
        </w:rPr>
        <w:t xml:space="preserve">响应供应商名称：            </w:t>
      </w:r>
      <w:r>
        <w:rPr>
          <w:rFonts w:hint="eastAsia"/>
          <w:color w:val="auto"/>
          <w:spacing w:val="4"/>
          <w:highlight w:val="none"/>
        </w:rPr>
        <w:t xml:space="preserve">            </w:t>
      </w:r>
      <w:r>
        <w:rPr>
          <w:rFonts w:ascii="宋体" w:hAnsi="宋体" w:hint="eastAsia"/>
          <w:color w:val="auto"/>
          <w:highlight w:val="none"/>
        </w:rPr>
        <w:t>项目编号：</w:t>
      </w:r>
      <w:r>
        <w:rPr>
          <w:rFonts w:ascii="宋体" w:hAnsi="宋体" w:hint="eastAsia"/>
          <w:color w:val="auto"/>
          <w:highlight w:val="none"/>
          <w:lang w:eastAsia="zh-CN"/>
        </w:rPr>
        <w:t>SZDL2024001286（CLF0123SZ22ZC60C）</w:t>
      </w:r>
      <w:r>
        <w:rPr>
          <w:rFonts w:ascii="宋体" w:hAnsi="宋体"/>
          <w:color w:val="auto"/>
          <w:highlight w:val="none"/>
        </w:rPr>
        <w:t xml:space="preserve"> </w:t>
      </w:r>
    </w:p>
    <w:tbl>
      <w:tblPr>
        <w:tblStyle w:val="TableNormal"/>
        <w:tblW w:w="940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0" w:type="dxa"/>
          <w:left w:w="108" w:type="dxa"/>
          <w:bottom w:w="0" w:type="dxa"/>
          <w:right w:w="108" w:type="dxa"/>
        </w:tblCellMar>
      </w:tblPr>
      <w:tblGrid>
        <w:gridCol w:w="687"/>
        <w:gridCol w:w="1923"/>
        <w:gridCol w:w="1042"/>
        <w:gridCol w:w="1048"/>
        <w:gridCol w:w="1227"/>
        <w:gridCol w:w="660"/>
        <w:gridCol w:w="616"/>
        <w:gridCol w:w="905"/>
        <w:gridCol w:w="1299"/>
      </w:tblGrid>
      <w:tr>
        <w:tblPrEx>
          <w:tblW w:w="940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0" w:type="dxa"/>
            <w:left w:w="108" w:type="dxa"/>
            <w:bottom w:w="0" w:type="dxa"/>
            <w:right w:w="108" w:type="dxa"/>
          </w:tblCellMar>
        </w:tblPrEx>
        <w:trPr>
          <w:trHeight w:val="313"/>
          <w:jc w:val="center"/>
        </w:trPr>
        <w:tc>
          <w:tcPr>
            <w:tcW w:w="687"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ascii="宋体" w:hAnsi="宋体" w:hint="eastAsia"/>
                <w:color w:val="auto"/>
                <w:sz w:val="21"/>
                <w:szCs w:val="21"/>
                <w:highlight w:val="none"/>
              </w:rPr>
              <w:t>序号</w:t>
            </w:r>
          </w:p>
        </w:tc>
        <w:tc>
          <w:tcPr>
            <w:tcW w:w="1923"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ascii="宋体" w:hAnsi="宋体" w:hint="eastAsia"/>
                <w:color w:val="auto"/>
                <w:sz w:val="21"/>
                <w:szCs w:val="21"/>
                <w:highlight w:val="none"/>
              </w:rPr>
              <w:t>产品名称</w:t>
            </w:r>
          </w:p>
        </w:tc>
        <w:tc>
          <w:tcPr>
            <w:tcW w:w="1042"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ascii="宋体" w:hAnsi="宋体" w:hint="eastAsia"/>
                <w:color w:val="auto"/>
                <w:sz w:val="21"/>
                <w:szCs w:val="21"/>
                <w:highlight w:val="none"/>
              </w:rPr>
              <w:t>规格型号</w:t>
            </w:r>
          </w:p>
        </w:tc>
        <w:tc>
          <w:tcPr>
            <w:tcW w:w="1048"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ascii="宋体" w:hAnsi="宋体" w:hint="eastAsia"/>
                <w:color w:val="auto"/>
                <w:sz w:val="21"/>
                <w:szCs w:val="21"/>
                <w:highlight w:val="none"/>
              </w:rPr>
              <w:t>品牌</w:t>
            </w:r>
          </w:p>
        </w:tc>
        <w:tc>
          <w:tcPr>
            <w:tcW w:w="1227"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hint="eastAsia"/>
                <w:b w:val="0"/>
                <w:bCs/>
                <w:color w:val="auto"/>
                <w:sz w:val="21"/>
                <w:szCs w:val="21"/>
                <w:highlight w:val="none"/>
                <w:u w:val="none"/>
              </w:rPr>
              <w:t>制造商</w:t>
            </w:r>
            <w:r>
              <w:rPr>
                <w:rFonts w:ascii="宋体" w:hAnsi="宋体" w:hint="eastAsia"/>
                <w:color w:val="auto"/>
                <w:sz w:val="21"/>
                <w:szCs w:val="21"/>
                <w:highlight w:val="none"/>
              </w:rPr>
              <w:t>及原产地</w:t>
            </w:r>
          </w:p>
        </w:tc>
        <w:tc>
          <w:tcPr>
            <w:tcW w:w="660"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ascii="宋体" w:hAnsi="宋体" w:hint="eastAsia"/>
                <w:color w:val="auto"/>
                <w:sz w:val="21"/>
                <w:szCs w:val="21"/>
                <w:highlight w:val="none"/>
              </w:rPr>
              <w:t>数量</w:t>
            </w:r>
          </w:p>
        </w:tc>
        <w:tc>
          <w:tcPr>
            <w:tcW w:w="616"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ascii="宋体" w:hAnsi="宋体" w:hint="eastAsia"/>
                <w:color w:val="auto"/>
                <w:sz w:val="21"/>
                <w:szCs w:val="21"/>
                <w:highlight w:val="none"/>
              </w:rPr>
              <w:t>单位</w:t>
            </w:r>
          </w:p>
        </w:tc>
        <w:tc>
          <w:tcPr>
            <w:tcW w:w="905"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ascii="宋体" w:hAnsi="宋体" w:hint="eastAsia"/>
                <w:color w:val="auto"/>
                <w:sz w:val="21"/>
                <w:szCs w:val="21"/>
                <w:highlight w:val="none"/>
              </w:rPr>
              <w:t>单价（元）</w:t>
            </w:r>
          </w:p>
        </w:tc>
        <w:tc>
          <w:tcPr>
            <w:tcW w:w="1299"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ascii="宋体" w:hAnsi="宋体" w:hint="eastAsia"/>
                <w:color w:val="auto"/>
                <w:sz w:val="21"/>
                <w:szCs w:val="21"/>
                <w:highlight w:val="none"/>
              </w:rPr>
              <w:t>小计（元）</w:t>
            </w: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sz w:val="21"/>
                <w:szCs w:val="21"/>
              </w:rPr>
            </w:pPr>
            <w:r>
              <w:rPr>
                <w:rFonts w:ascii="宋体" w:hAnsi="宋体" w:hint="eastAsia"/>
                <w:sz w:val="21"/>
                <w:szCs w:val="21"/>
              </w:rPr>
              <w:t>1</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position w:val="-20"/>
                <w:sz w:val="21"/>
                <w:szCs w:val="21"/>
                <w:highlight w:val="none"/>
              </w:rPr>
              <w:t>污泥输送泵</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台</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sz w:val="21"/>
                <w:szCs w:val="21"/>
              </w:rPr>
            </w:pPr>
            <w:r>
              <w:rPr>
                <w:rFonts w:ascii="宋体" w:hAnsi="宋体" w:hint="eastAsia"/>
                <w:sz w:val="21"/>
                <w:szCs w:val="21"/>
              </w:rPr>
              <w:t>2</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position w:val="-20"/>
                <w:sz w:val="21"/>
                <w:szCs w:val="21"/>
                <w:highlight w:val="none"/>
                <w:lang w:val="en-US" w:eastAsia="zh-CN"/>
              </w:rPr>
              <w:t>配料罐</w:t>
            </w:r>
            <w:r>
              <w:rPr>
                <w:rFonts w:ascii="宋体" w:eastAsia="宋体" w:hAnsi="宋体" w:cs="宋体" w:hint="eastAsia"/>
                <w:color w:val="000000"/>
                <w:position w:val="-20"/>
                <w:sz w:val="21"/>
                <w:szCs w:val="21"/>
                <w:highlight w:val="none"/>
              </w:rPr>
              <w:t xml:space="preserve"> </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position w:val="-20"/>
                <w:sz w:val="21"/>
                <w:szCs w:val="21"/>
                <w:highlight w:val="none"/>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position w:val="-20"/>
                <w:sz w:val="21"/>
                <w:szCs w:val="21"/>
                <w:highlight w:val="none"/>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hint="eastAsia"/>
                <w:sz w:val="21"/>
                <w:szCs w:val="21"/>
                <w:lang w:val="en-US" w:eastAsia="zh-CN"/>
              </w:rPr>
            </w:pPr>
            <w:r>
              <w:rPr>
                <w:rFonts w:ascii="宋体" w:hAnsi="宋体" w:hint="eastAsia"/>
                <w:sz w:val="21"/>
                <w:szCs w:val="21"/>
                <w:lang w:val="en-US" w:eastAsia="zh-CN"/>
              </w:rPr>
              <w:t>3</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kern w:val="2"/>
                <w:position w:val="-20"/>
                <w:sz w:val="21"/>
                <w:szCs w:val="21"/>
                <w:lang w:val="en-US" w:eastAsia="zh-CN"/>
              </w:rPr>
              <w:t>切割型污水泵</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台</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hint="eastAsia"/>
                <w:sz w:val="21"/>
                <w:szCs w:val="21"/>
                <w:lang w:val="en-US" w:eastAsia="zh-CN"/>
              </w:rPr>
            </w:pPr>
            <w:r>
              <w:rPr>
                <w:rFonts w:ascii="宋体" w:hAnsi="宋体" w:hint="eastAsia"/>
                <w:sz w:val="21"/>
                <w:szCs w:val="21"/>
                <w:lang w:val="en-US" w:eastAsia="zh-CN"/>
              </w:rPr>
              <w:t>4</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position w:val="-20"/>
                <w:sz w:val="21"/>
                <w:szCs w:val="21"/>
                <w:lang w:val="en-US" w:eastAsia="zh-CN"/>
              </w:rPr>
              <w:t>换</w:t>
            </w:r>
            <w:r>
              <w:rPr>
                <w:rFonts w:ascii="宋体" w:eastAsia="宋体" w:hAnsi="宋体" w:cs="宋体" w:hint="eastAsia"/>
                <w:color w:val="000000"/>
                <w:kern w:val="2"/>
                <w:position w:val="-20"/>
                <w:sz w:val="21"/>
                <w:szCs w:val="21"/>
                <w:lang w:val="en-US" w:eastAsia="zh-CN"/>
              </w:rPr>
              <w:t>热器</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hAnsi="宋体" w:cs="宋体" w:hint="eastAsia"/>
                <w:color w:val="000000"/>
                <w:kern w:val="2"/>
                <w:position w:val="-20"/>
                <w:sz w:val="21"/>
                <w:szCs w:val="21"/>
                <w:highlight w:val="none"/>
                <w:lang w:val="en-US" w:eastAsia="zh-CN"/>
              </w:rPr>
              <w:t>2</w:t>
            </w:r>
            <w:r>
              <w:rPr>
                <w:rFonts w:ascii="宋体" w:eastAsia="宋体" w:hAnsi="宋体" w:cs="宋体" w:hint="eastAsia"/>
                <w:color w:val="000000"/>
                <w:kern w:val="2"/>
                <w:position w:val="-20"/>
                <w:sz w:val="21"/>
                <w:szCs w:val="21"/>
                <w:highlight w:val="none"/>
                <w:lang w:val="en-US" w:eastAsia="zh-CN"/>
              </w:rPr>
              <w:t xml:space="preserve"> </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highlight w:val="none"/>
                <w:lang w:val="en-US" w:eastAsia="zh-CN"/>
              </w:rPr>
              <w:t>套</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hint="eastAsia"/>
                <w:sz w:val="21"/>
                <w:szCs w:val="21"/>
                <w:lang w:val="en-US" w:eastAsia="zh-CN"/>
              </w:rPr>
            </w:pPr>
            <w:r>
              <w:rPr>
                <w:rFonts w:ascii="宋体" w:hAnsi="宋体" w:hint="eastAsia"/>
                <w:sz w:val="21"/>
                <w:szCs w:val="21"/>
                <w:lang w:val="en-US" w:eastAsia="zh-CN"/>
              </w:rPr>
              <w:t>5</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kern w:val="2"/>
                <w:position w:val="-20"/>
                <w:sz w:val="21"/>
                <w:szCs w:val="21"/>
                <w:lang w:val="en-US" w:eastAsia="zh-CN"/>
              </w:rPr>
              <w:t>平衡池</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highlight w:val="none"/>
                <w:lang w:val="en-US" w:eastAsia="zh-CN"/>
              </w:rPr>
              <w:t>2</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713"/>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hint="eastAsia"/>
                <w:sz w:val="21"/>
                <w:szCs w:val="21"/>
                <w:lang w:val="en-US" w:eastAsia="zh-CN"/>
              </w:rPr>
            </w:pPr>
            <w:r>
              <w:rPr>
                <w:rFonts w:ascii="宋体" w:hAnsi="宋体" w:hint="eastAsia"/>
                <w:sz w:val="21"/>
                <w:szCs w:val="21"/>
                <w:lang w:val="en-US" w:eastAsia="zh-CN"/>
              </w:rPr>
              <w:t>6</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kern w:val="2"/>
                <w:position w:val="-20"/>
                <w:sz w:val="21"/>
                <w:szCs w:val="21"/>
                <w:lang w:val="en-US" w:eastAsia="zh-CN"/>
              </w:rPr>
              <w:t>高温泵</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台</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7</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kern w:val="2"/>
                <w:position w:val="-20"/>
                <w:sz w:val="21"/>
                <w:szCs w:val="21"/>
                <w:lang w:val="en-US" w:eastAsia="zh-CN"/>
              </w:rPr>
              <w:t>泥沙旋流器</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8</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kern w:val="2"/>
                <w:position w:val="-20"/>
                <w:sz w:val="21"/>
                <w:szCs w:val="21"/>
                <w:lang w:val="en-US" w:eastAsia="zh-CN"/>
              </w:rPr>
              <w:t>加压泵</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台</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9</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b w:val="0"/>
                <w:bCs w:val="0"/>
                <w:color w:val="000000"/>
                <w:kern w:val="2"/>
                <w:position w:val="-20"/>
                <w:sz w:val="21"/>
                <w:szCs w:val="21"/>
                <w:highlight w:val="none"/>
                <w:lang w:val="en-US" w:eastAsia="zh-CN"/>
              </w:rPr>
              <w:t>加气阀（为亚临界湿式氧化反应釜提供反应气体）</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b w:val="0"/>
                <w:bCs w:val="0"/>
                <w:color w:val="000000"/>
                <w:kern w:val="2"/>
                <w:position w:val="-20"/>
                <w:sz w:val="21"/>
                <w:szCs w:val="21"/>
                <w:highlight w:val="none"/>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b w:val="0"/>
                <w:bCs w:val="0"/>
                <w:color w:val="000000"/>
                <w:kern w:val="2"/>
                <w:position w:val="-20"/>
                <w:sz w:val="21"/>
                <w:szCs w:val="21"/>
                <w:highlight w:val="none"/>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10</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position w:val="-20"/>
                <w:sz w:val="21"/>
                <w:szCs w:val="21"/>
                <w:highlight w:val="none"/>
                <w:lang w:val="en-US" w:eastAsia="zh-CN"/>
              </w:rPr>
              <w:t>亚临界湿式氧化反应釜</w:t>
            </w:r>
            <w:r>
              <w:rPr>
                <w:rFonts w:ascii="宋体" w:eastAsia="宋体" w:hAnsi="宋体" w:cs="宋体" w:hint="eastAsia"/>
                <w:color w:val="000000"/>
                <w:position w:val="-20"/>
                <w:sz w:val="21"/>
                <w:szCs w:val="21"/>
                <w:highlight w:val="none"/>
              </w:rPr>
              <w:t xml:space="preserve"> </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position w:val="-20"/>
                <w:sz w:val="21"/>
                <w:szCs w:val="21"/>
                <w:highlight w:val="none"/>
                <w:lang w:val="en-US" w:eastAsia="zh-CN"/>
              </w:rPr>
              <w:t>2</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position w:val="-20"/>
                <w:sz w:val="21"/>
                <w:szCs w:val="21"/>
                <w:highlight w:val="none"/>
                <w:lang w:val="en-US" w:eastAsia="zh-CN"/>
              </w:rPr>
              <w:t>台</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11</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b w:val="0"/>
                <w:bCs w:val="0"/>
                <w:color w:val="000000"/>
                <w:position w:val="-20"/>
                <w:sz w:val="21"/>
                <w:szCs w:val="21"/>
                <w:highlight w:val="none"/>
                <w:lang w:val="en-US" w:eastAsia="zh-CN"/>
              </w:rPr>
              <w:t>减压阀</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b w:val="0"/>
                <w:bCs w:val="0"/>
                <w:color w:val="000000"/>
                <w:position w:val="-20"/>
                <w:sz w:val="21"/>
                <w:szCs w:val="21"/>
                <w:highlight w:val="none"/>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b w:val="0"/>
                <w:bCs w:val="0"/>
                <w:color w:val="000000"/>
                <w:position w:val="-20"/>
                <w:sz w:val="21"/>
                <w:szCs w:val="21"/>
                <w:highlight w:val="none"/>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12</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b w:val="0"/>
                <w:bCs w:val="0"/>
                <w:color w:val="000000"/>
                <w:position w:val="-20"/>
                <w:sz w:val="21"/>
                <w:szCs w:val="21"/>
                <w:highlight w:val="none"/>
                <w:lang w:val="en-US" w:eastAsia="zh-CN"/>
              </w:rPr>
              <w:t>分压阀</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b w:val="0"/>
                <w:bCs w:val="0"/>
                <w:color w:val="000000"/>
                <w:position w:val="-20"/>
                <w:sz w:val="21"/>
                <w:szCs w:val="21"/>
                <w:highlight w:val="none"/>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b w:val="0"/>
                <w:bCs w:val="0"/>
                <w:color w:val="000000"/>
                <w:position w:val="-20"/>
                <w:sz w:val="21"/>
                <w:szCs w:val="21"/>
                <w:highlight w:val="none"/>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13</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kern w:val="2"/>
                <w:position w:val="-20"/>
                <w:sz w:val="21"/>
                <w:szCs w:val="21"/>
                <w:lang w:val="en-US" w:eastAsia="zh-CN"/>
              </w:rPr>
              <w:t xml:space="preserve">洗气池 </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14</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kern w:val="2"/>
                <w:position w:val="-20"/>
                <w:sz w:val="21"/>
                <w:szCs w:val="21"/>
                <w:highlight w:val="none"/>
                <w:lang w:val="en-US" w:eastAsia="zh-CN"/>
              </w:rPr>
              <w:t>气体生物吸附罐(除臭，可根据现场条件选配)</w:t>
            </w:r>
            <w:r>
              <w:rPr>
                <w:rFonts w:ascii="宋体" w:eastAsia="宋体" w:hAnsi="宋体" w:cs="宋体" w:hint="eastAsia"/>
                <w:color w:val="000000"/>
                <w:kern w:val="2"/>
                <w:position w:val="-20"/>
                <w:sz w:val="21"/>
                <w:szCs w:val="21"/>
                <w:lang w:val="en-US" w:eastAsia="zh-CN"/>
              </w:rPr>
              <w:t xml:space="preserve"> </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15</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kern w:val="2"/>
                <w:position w:val="-20"/>
                <w:sz w:val="21"/>
                <w:szCs w:val="21"/>
                <w:lang w:val="en-US" w:eastAsia="zh-CN"/>
              </w:rPr>
              <w:t>分离沉淀罐</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eastAsia"/>
                <w:sz w:val="21"/>
                <w:szCs w:val="21"/>
                <w:lang w:val="en-US" w:eastAsia="zh-CN"/>
              </w:rPr>
            </w:pPr>
            <w:r>
              <w:rPr>
                <w:rFonts w:hint="eastAsia"/>
                <w:sz w:val="21"/>
                <w:szCs w:val="21"/>
                <w:lang w:val="en-US" w:eastAsia="zh-CN"/>
              </w:rPr>
              <w:t>.....</w:t>
            </w:r>
          </w:p>
        </w:tc>
        <w:tc>
          <w:tcPr>
            <w:tcW w:w="1923" w:type="dxa"/>
            <w:tcBorders>
              <w:top w:val="single" w:sz="4" w:space="0" w:color="auto"/>
              <w:left w:val="single" w:sz="4" w:space="0" w:color="auto"/>
              <w:bottom w:val="single" w:sz="4" w:space="0" w:color="auto"/>
              <w:right w:val="single" w:sz="4" w:space="0" w:color="auto"/>
            </w:tcBorders>
            <w:vAlign w:val="center"/>
          </w:tcPr>
          <w:p>
            <w:pPr>
              <w:ind w:left="-94" w:right="-69" w:leftChars="-45" w:rightChars="-33"/>
              <w:jc w:val="center"/>
              <w:rPr>
                <w:color w:val="0000FF"/>
                <w:sz w:val="21"/>
                <w:szCs w:val="21"/>
              </w:rPr>
            </w:pP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16"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648"/>
          <w:jc w:val="center"/>
        </w:trPr>
        <w:tc>
          <w:tcPr>
            <w:tcW w:w="2610" w:type="dxa"/>
            <w:gridSpan w:val="2"/>
            <w:tcBorders>
              <w:top w:val="single" w:sz="4" w:space="0" w:color="auto"/>
              <w:left w:val="single" w:sz="4" w:space="0" w:color="auto"/>
              <w:bottom w:val="single" w:sz="4" w:space="0" w:color="auto"/>
              <w:right w:val="single" w:sz="4" w:space="0" w:color="auto"/>
            </w:tcBorders>
            <w:vAlign w:val="center"/>
          </w:tcPr>
          <w:p>
            <w:pPr>
              <w:ind w:left="-94" w:right="-69" w:leftChars="-45" w:rightChars="-33"/>
              <w:jc w:val="center"/>
              <w:rPr>
                <w:color w:val="auto"/>
                <w:sz w:val="21"/>
                <w:szCs w:val="21"/>
              </w:rPr>
            </w:pPr>
            <w:r>
              <w:rPr>
                <w:rFonts w:ascii="宋体" w:hAnsi="宋体" w:hint="eastAsia"/>
                <w:color w:val="auto"/>
                <w:sz w:val="21"/>
                <w:szCs w:val="21"/>
              </w:rPr>
              <w:t>交货期</w:t>
            </w:r>
          </w:p>
        </w:tc>
        <w:tc>
          <w:tcPr>
            <w:tcW w:w="6797" w:type="dxa"/>
            <w:gridSpan w:val="7"/>
            <w:tcBorders>
              <w:top w:val="single" w:sz="4" w:space="0" w:color="auto"/>
              <w:left w:val="single" w:sz="4" w:space="0" w:color="auto"/>
              <w:bottom w:val="single" w:sz="4" w:space="0" w:color="auto"/>
              <w:right w:val="single" w:sz="4" w:space="0" w:color="auto"/>
            </w:tcBorders>
            <w:vAlign w:val="center"/>
          </w:tcPr>
          <w:p>
            <w:pPr>
              <w:jc w:val="center"/>
              <w:rPr>
                <w:color w:val="auto"/>
                <w:sz w:val="21"/>
                <w:szCs w:val="21"/>
              </w:rPr>
            </w:pPr>
            <w:r>
              <w:rPr>
                <w:rFonts w:ascii="宋体" w:hAnsi="宋体" w:hint="eastAsia"/>
                <w:sz w:val="21"/>
                <w:szCs w:val="21"/>
                <w:lang w:val="en-US" w:eastAsia="zh-CN"/>
              </w:rPr>
              <w:t>设备到货时间：合同签订后50日内，设备安装调试交付使用时间：设备到货后30天内。</w:t>
            </w:r>
          </w:p>
        </w:tc>
      </w:tr>
      <w:tr>
        <w:tblPrEx>
          <w:tblW w:w="9407" w:type="dxa"/>
          <w:jc w:val="center"/>
          <w:tblLayout w:type="fixed"/>
          <w:tblCellMar>
            <w:top w:w="0" w:type="dxa"/>
            <w:left w:w="108" w:type="dxa"/>
            <w:bottom w:w="0" w:type="dxa"/>
            <w:right w:w="108" w:type="dxa"/>
          </w:tblCellMar>
        </w:tblPrEx>
        <w:trPr>
          <w:trHeight w:val="648"/>
          <w:jc w:val="center"/>
        </w:trPr>
        <w:tc>
          <w:tcPr>
            <w:tcW w:w="2610" w:type="dxa"/>
            <w:gridSpan w:val="2"/>
            <w:tcBorders>
              <w:top w:val="single" w:sz="4" w:space="0" w:color="auto"/>
              <w:left w:val="single" w:sz="4" w:space="0" w:color="auto"/>
              <w:bottom w:val="single" w:sz="4" w:space="0" w:color="auto"/>
              <w:right w:val="single" w:sz="4" w:space="0" w:color="auto"/>
            </w:tcBorders>
            <w:vAlign w:val="center"/>
          </w:tcPr>
          <w:p>
            <w:pPr>
              <w:jc w:val="center"/>
              <w:rPr>
                <w:rFonts w:ascii="宋体" w:hAnsi="宋体"/>
                <w:color w:val="auto"/>
                <w:sz w:val="21"/>
                <w:szCs w:val="21"/>
              </w:rPr>
            </w:pPr>
            <w:r>
              <w:rPr>
                <w:rFonts w:ascii="宋体" w:hint="eastAsia"/>
                <w:b/>
                <w:color w:val="auto"/>
                <w:sz w:val="21"/>
                <w:szCs w:val="21"/>
              </w:rPr>
              <w:t>总报价（人民币 元）：</w:t>
            </w:r>
          </w:p>
        </w:tc>
        <w:tc>
          <w:tcPr>
            <w:tcW w:w="6797" w:type="dxa"/>
            <w:gridSpan w:val="7"/>
            <w:tcBorders>
              <w:top w:val="single" w:sz="4" w:space="0" w:color="auto"/>
              <w:left w:val="single" w:sz="4" w:space="0" w:color="auto"/>
              <w:bottom w:val="single" w:sz="4" w:space="0" w:color="auto"/>
              <w:right w:val="single" w:sz="4" w:space="0" w:color="auto"/>
            </w:tcBorders>
            <w:vAlign w:val="center"/>
          </w:tcPr>
          <w:p>
            <w:pPr>
              <w:rPr>
                <w:rFonts w:ascii="宋体"/>
                <w:bCs/>
                <w:color w:val="auto"/>
                <w:sz w:val="21"/>
                <w:szCs w:val="21"/>
                <w:u w:val="single"/>
              </w:rPr>
            </w:pPr>
            <w:r>
              <w:rPr>
                <w:rFonts w:ascii="宋体" w:hint="eastAsia"/>
                <w:bCs/>
                <w:color w:val="auto"/>
                <w:sz w:val="21"/>
                <w:szCs w:val="21"/>
              </w:rPr>
              <w:t>小写：RMB</w:t>
            </w:r>
          </w:p>
          <w:p>
            <w:pPr>
              <w:rPr>
                <w:color w:val="auto"/>
                <w:sz w:val="21"/>
                <w:szCs w:val="21"/>
              </w:rPr>
            </w:pPr>
            <w:r>
              <w:rPr>
                <w:rFonts w:ascii="宋体" w:hint="eastAsia"/>
                <w:bCs/>
                <w:color w:val="auto"/>
                <w:sz w:val="21"/>
                <w:szCs w:val="21"/>
              </w:rPr>
              <w:t>大写：</w:t>
            </w:r>
          </w:p>
        </w:tc>
      </w:tr>
    </w:tbl>
    <w:p>
      <w:pPr>
        <w:spacing w:line="500" w:lineRule="exact"/>
        <w:rPr>
          <w:spacing w:val="4"/>
        </w:rPr>
      </w:pPr>
    </w:p>
    <w:p>
      <w:pPr>
        <w:spacing w:line="400" w:lineRule="exact"/>
        <w:ind w:left="283" w:hanging="281" w:leftChars="1" w:hangingChars="134"/>
        <w:rPr>
          <w:rFonts w:ascii="宋体" w:hAnsi="宋体"/>
          <w:bCs/>
          <w:color w:val="auto"/>
          <w:highlight w:val="none"/>
        </w:rPr>
      </w:pPr>
      <w:r>
        <w:rPr>
          <w:rFonts w:ascii="宋体" w:hAnsi="宋体" w:hint="eastAsia"/>
          <w:bCs/>
          <w:color w:val="auto"/>
          <w:highlight w:val="none"/>
        </w:rPr>
        <w:t>备注：</w:t>
      </w:r>
    </w:p>
    <w:p>
      <w:pPr>
        <w:numPr>
          <w:ilvl w:val="1"/>
          <w:numId w:val="27"/>
        </w:numPr>
        <w:tabs>
          <w:tab w:val="clear" w:pos="1118"/>
        </w:tabs>
        <w:snapToGrid w:val="0"/>
        <w:spacing w:line="360" w:lineRule="auto"/>
        <w:ind w:left="142" w:hanging="142"/>
        <w:rPr>
          <w:color w:val="auto"/>
          <w:spacing w:val="4"/>
          <w:highlight w:val="none"/>
        </w:rPr>
      </w:pPr>
      <w:r>
        <w:rPr>
          <w:rFonts w:hint="eastAsia"/>
          <w:color w:val="auto"/>
          <w:spacing w:val="4"/>
          <w:highlight w:val="none"/>
        </w:rPr>
        <w:t>中文大写金额用汉字，如壹、贰、叁、肆、伍、陆、柒、捌、玖、拾、佰、仟、万、亿、元、角、分、零、整（正）等。</w:t>
      </w:r>
    </w:p>
    <w:p>
      <w:pPr>
        <w:numPr>
          <w:ilvl w:val="1"/>
          <w:numId w:val="27"/>
        </w:numPr>
        <w:tabs>
          <w:tab w:val="clear" w:pos="1118"/>
        </w:tabs>
        <w:snapToGrid w:val="0"/>
        <w:spacing w:line="360" w:lineRule="auto"/>
        <w:ind w:left="142" w:hanging="142"/>
        <w:rPr>
          <w:color w:val="auto"/>
          <w:highlight w:val="none"/>
        </w:rPr>
      </w:pPr>
      <w:r>
        <w:rPr>
          <w:rFonts w:hint="eastAsia"/>
          <w:color w:val="auto"/>
          <w:highlight w:val="none"/>
        </w:rPr>
        <w:t>谈判总报价为各小计之和，投标报价的小数点后保留两位有效数。</w:t>
      </w:r>
    </w:p>
    <w:p>
      <w:pPr>
        <w:numPr>
          <w:ilvl w:val="1"/>
          <w:numId w:val="27"/>
        </w:numPr>
        <w:tabs>
          <w:tab w:val="left" w:pos="147"/>
        </w:tabs>
        <w:snapToGrid w:val="0"/>
        <w:spacing w:line="360" w:lineRule="auto"/>
        <w:ind w:left="283" w:hanging="281" w:leftChars="1" w:hangingChars="134"/>
        <w:rPr>
          <w:color w:val="auto"/>
          <w:highlight w:val="none"/>
        </w:rPr>
      </w:pPr>
      <w:r>
        <w:rPr>
          <w:rFonts w:hint="eastAsia"/>
          <w:color w:val="auto"/>
          <w:highlight w:val="none"/>
        </w:rPr>
        <w:t>谈判报价要求具体见“报价组成”要求。</w:t>
      </w:r>
    </w:p>
    <w:p>
      <w:pPr>
        <w:numPr>
          <w:ilvl w:val="1"/>
          <w:numId w:val="27"/>
        </w:numPr>
        <w:tabs>
          <w:tab w:val="left" w:pos="147"/>
        </w:tabs>
        <w:snapToGrid w:val="0"/>
        <w:spacing w:line="360" w:lineRule="auto"/>
        <w:ind w:left="283" w:hanging="281" w:leftChars="1" w:hangingChars="134"/>
        <w:rPr>
          <w:b/>
          <w:color w:val="auto"/>
          <w:highlight w:val="none"/>
          <w:u w:val="double"/>
        </w:rPr>
      </w:pPr>
      <w:r>
        <w:rPr>
          <w:rFonts w:hint="eastAsia"/>
          <w:color w:val="auto"/>
          <w:highlight w:val="none"/>
        </w:rPr>
        <w:t>所有价格均以人民币作为货币单位填写及计算。</w:t>
      </w:r>
    </w:p>
    <w:p>
      <w:pPr>
        <w:numPr>
          <w:ilvl w:val="1"/>
          <w:numId w:val="27"/>
        </w:numPr>
        <w:tabs>
          <w:tab w:val="left" w:pos="147"/>
        </w:tabs>
        <w:snapToGrid w:val="0"/>
        <w:spacing w:line="360" w:lineRule="auto"/>
        <w:ind w:left="283" w:hanging="281" w:leftChars="1" w:hangingChars="134"/>
        <w:rPr>
          <w:b w:val="0"/>
          <w:bCs/>
          <w:color w:val="auto"/>
          <w:highlight w:val="none"/>
          <w:u w:val="none"/>
        </w:rPr>
      </w:pPr>
      <w:r>
        <w:rPr>
          <w:rFonts w:hint="eastAsia"/>
          <w:b w:val="0"/>
          <w:bCs/>
          <w:color w:val="auto"/>
          <w:highlight w:val="none"/>
          <w:u w:val="none"/>
        </w:rPr>
        <w:t>“原产地”是指货物的实际生产加工地，非品牌所在地；“制造商”是指产品品牌厂商，同一品牌国内外均有制造商的，应填写国内制造商；产品代工制造的，应填写接受委托生产制造的制造商。</w:t>
      </w:r>
    </w:p>
    <w:p>
      <w:pPr>
        <w:numPr>
          <w:ilvl w:val="1"/>
          <w:numId w:val="27"/>
        </w:numPr>
        <w:tabs>
          <w:tab w:val="left" w:pos="147"/>
        </w:tabs>
        <w:snapToGrid w:val="0"/>
        <w:spacing w:line="360" w:lineRule="auto"/>
        <w:ind w:left="283" w:hanging="281" w:leftChars="1" w:hangingChars="134"/>
        <w:rPr>
          <w:b/>
          <w:color w:val="auto"/>
          <w:highlight w:val="none"/>
          <w:u w:val="double"/>
        </w:rPr>
      </w:pPr>
      <w:r>
        <w:rPr>
          <w:rFonts w:hint="eastAsia"/>
          <w:b/>
          <w:color w:val="auto"/>
          <w:highlight w:val="none"/>
          <w:u w:val="double"/>
        </w:rPr>
        <w:t>各响应供应商可自行保留一份《首次报价》，以便谈判报价时参考用。</w:t>
      </w:r>
    </w:p>
    <w:p>
      <w:pPr>
        <w:rPr>
          <w:rFonts w:ascii="宋体" w:hAnsi="宋体" w:cs="宋体" w:hint="eastAsia"/>
        </w:rPr>
        <w:sectPr>
          <w:pgSz w:w="11906" w:h="16838"/>
          <w:pgMar w:top="1134" w:right="1134" w:bottom="1134" w:left="1134" w:header="699" w:footer="567" w:gutter="0"/>
          <w:cols w:num="1" w:space="425"/>
          <w:titlePg/>
          <w:docGrid w:type="lines" w:linePitch="312" w:charSpace="0"/>
        </w:sectPr>
      </w:pPr>
    </w:p>
    <w:p>
      <w:pPr>
        <w:pStyle w:val="Heading2"/>
        <w:numPr>
          <w:ilvl w:val="0"/>
          <w:numId w:val="21"/>
        </w:numPr>
        <w:spacing w:line="240" w:lineRule="auto"/>
        <w:jc w:val="center"/>
        <w:rPr>
          <w:b w:val="0"/>
          <w:color w:val="auto"/>
        </w:rPr>
      </w:pPr>
      <w:bookmarkEnd w:id="108"/>
      <w:bookmarkEnd w:id="109"/>
      <w:bookmarkEnd w:id="110"/>
      <w:bookmarkEnd w:id="111"/>
      <w:bookmarkEnd w:id="112"/>
      <w:bookmarkEnd w:id="113"/>
      <w:bookmarkEnd w:id="114"/>
      <w:bookmarkStart w:id="115" w:name="_Toc170810925"/>
      <w:bookmarkStart w:id="116" w:name="_Toc148242300"/>
      <w:bookmarkStart w:id="117" w:name="_Toc151121375"/>
      <w:bookmarkStart w:id="118" w:name="_Toc170816585"/>
      <w:bookmarkStart w:id="119" w:name="_Toc355768060"/>
      <w:bookmarkStart w:id="120" w:name="_Toc173647298"/>
      <w:bookmarkStart w:id="121" w:name="_Toc355768071"/>
      <w:bookmarkStart w:id="122" w:name="_Toc43264518"/>
      <w:r>
        <w:rPr>
          <w:rFonts w:hint="eastAsia"/>
          <w:b w:val="0"/>
          <w:color w:val="auto"/>
        </w:rPr>
        <w:t>联合投标协议书</w:t>
      </w:r>
    </w:p>
    <w:p>
      <w:pPr>
        <w:tabs>
          <w:tab w:val="left" w:pos="7740"/>
        </w:tabs>
        <w:spacing w:line="360" w:lineRule="auto"/>
        <w:rPr>
          <w:rFonts w:ascii="宋体" w:hAnsi="宋体"/>
          <w:color w:val="auto"/>
          <w:u w:val="single"/>
        </w:rPr>
      </w:pPr>
      <w:r>
        <w:rPr>
          <w:rFonts w:ascii="宋体" w:hAnsi="宋体" w:hint="eastAsia"/>
          <w:color w:val="auto"/>
          <w:kern w:val="10"/>
        </w:rPr>
        <w:t>立约方：</w:t>
      </w:r>
      <w:r>
        <w:rPr>
          <w:rFonts w:ascii="宋体" w:hAnsi="宋体" w:hint="eastAsia"/>
          <w:color w:val="auto"/>
          <w:u w:val="single"/>
        </w:rPr>
        <w:t>（甲公司全称）</w:t>
      </w:r>
    </w:p>
    <w:p>
      <w:pPr>
        <w:tabs>
          <w:tab w:val="left" w:pos="7740"/>
        </w:tabs>
        <w:spacing w:line="360" w:lineRule="auto"/>
        <w:ind w:firstLine="945" w:firstLineChars="450"/>
        <w:rPr>
          <w:rFonts w:ascii="宋体" w:hAnsi="宋体"/>
          <w:color w:val="auto"/>
          <w:u w:val="single"/>
        </w:rPr>
      </w:pPr>
      <w:r>
        <w:rPr>
          <w:rFonts w:ascii="宋体" w:hAnsi="宋体" w:hint="eastAsia"/>
          <w:color w:val="auto"/>
          <w:u w:val="single"/>
        </w:rPr>
        <w:t>（乙公司全称）</w:t>
      </w:r>
    </w:p>
    <w:p>
      <w:pPr>
        <w:tabs>
          <w:tab w:val="left" w:pos="7740"/>
        </w:tabs>
        <w:spacing w:line="360" w:lineRule="auto"/>
        <w:ind w:firstLine="840" w:firstLineChars="400"/>
        <w:rPr>
          <w:rFonts w:ascii="宋体" w:hAnsi="宋体"/>
          <w:color w:val="auto"/>
          <w:u w:val="single"/>
        </w:rPr>
      </w:pPr>
      <w:r>
        <w:rPr>
          <w:rFonts w:ascii="宋体" w:hAnsi="宋体" w:hint="eastAsia"/>
          <w:color w:val="auto"/>
          <w:u w:val="single"/>
        </w:rPr>
        <w:t>（……公司全称）</w:t>
      </w:r>
    </w:p>
    <w:p>
      <w:pPr>
        <w:tabs>
          <w:tab w:val="left" w:pos="7740"/>
        </w:tabs>
        <w:spacing w:line="360" w:lineRule="auto"/>
        <w:rPr>
          <w:rFonts w:ascii="宋体" w:hAnsi="宋体"/>
          <w:color w:val="auto"/>
        </w:rPr>
      </w:pPr>
    </w:p>
    <w:p>
      <w:pPr>
        <w:tabs>
          <w:tab w:val="left" w:pos="7740"/>
        </w:tabs>
        <w:spacing w:line="360" w:lineRule="auto"/>
        <w:ind w:firstLine="420" w:firstLineChars="200"/>
        <w:rPr>
          <w:rFonts w:ascii="宋体" w:hAnsi="宋体"/>
          <w:color w:val="auto"/>
        </w:rPr>
      </w:pPr>
      <w:r>
        <w:rPr>
          <w:rFonts w:ascii="宋体" w:hAnsi="宋体" w:hint="eastAsia"/>
          <w:color w:val="auto"/>
          <w:u w:val="single"/>
        </w:rPr>
        <w:t>（甲公司全称）</w:t>
      </w:r>
      <w:r>
        <w:rPr>
          <w:rFonts w:ascii="宋体" w:hAnsi="宋体" w:hint="eastAsia"/>
          <w:color w:val="auto"/>
        </w:rPr>
        <w:t xml:space="preserve"> 、 </w:t>
      </w:r>
      <w:r>
        <w:rPr>
          <w:rFonts w:ascii="宋体" w:hAnsi="宋体" w:hint="eastAsia"/>
          <w:color w:val="auto"/>
          <w:u w:val="single"/>
        </w:rPr>
        <w:t>（乙公司全称）</w:t>
      </w:r>
      <w:r>
        <w:rPr>
          <w:rFonts w:ascii="宋体" w:hAnsi="宋体" w:hint="eastAsia"/>
          <w:color w:val="auto"/>
        </w:rPr>
        <w:t>，</w:t>
      </w:r>
      <w:r>
        <w:rPr>
          <w:rFonts w:ascii="宋体" w:hAnsi="宋体" w:hint="eastAsia"/>
          <w:color w:val="auto"/>
          <w:u w:val="single"/>
        </w:rPr>
        <w:t>（……公司全称）</w:t>
      </w:r>
      <w:r>
        <w:rPr>
          <w:rFonts w:ascii="宋体" w:hAnsi="宋体" w:hint="eastAsia"/>
          <w:color w:val="auto"/>
        </w:rPr>
        <w:t>自愿组成联合体，</w:t>
      </w:r>
      <w:r>
        <w:rPr>
          <w:rFonts w:ascii="宋体" w:hAnsi="宋体" w:hint="eastAsia"/>
          <w:color w:val="auto"/>
          <w:kern w:val="10"/>
        </w:rPr>
        <w:t>以一个供应商的身份共同</w:t>
      </w:r>
      <w:r>
        <w:rPr>
          <w:rFonts w:ascii="宋体" w:hAnsi="宋体" w:hint="eastAsia"/>
          <w:color w:val="auto"/>
        </w:rPr>
        <w:t>参加</w:t>
      </w:r>
      <w:r>
        <w:rPr>
          <w:rFonts w:ascii="宋体" w:hAnsi="宋体" w:hint="eastAsia"/>
          <w:color w:val="auto"/>
          <w:u w:val="single"/>
          <w:lang w:eastAsia="zh-CN"/>
        </w:rPr>
        <w:t>污泥原位高效资源化利用系统设计、制造和安装调试</w:t>
      </w:r>
      <w:r>
        <w:rPr>
          <w:rFonts w:ascii="宋体" w:hAnsi="宋体" w:hint="eastAsia"/>
          <w:color w:val="auto"/>
        </w:rPr>
        <w:t xml:space="preserve"> </w:t>
      </w:r>
      <w:r>
        <w:rPr>
          <w:rFonts w:ascii="宋体" w:hAnsi="宋体" w:hint="eastAsia"/>
          <w:color w:val="auto"/>
          <w:u w:val="single"/>
          <w:lang w:eastAsia="zh-CN"/>
        </w:rPr>
        <w:t>SZDL2024001286（CLF0123SZ22ZC60C）</w:t>
      </w:r>
      <w:r>
        <w:rPr>
          <w:rFonts w:ascii="宋体" w:hAnsi="宋体" w:hint="eastAsia"/>
          <w:color w:val="auto"/>
        </w:rPr>
        <w:t>的谈判。经各方充分协商一致，</w:t>
      </w:r>
      <w:r>
        <w:rPr>
          <w:rFonts w:ascii="宋体" w:hAnsi="宋体" w:hint="eastAsia"/>
          <w:color w:val="auto"/>
          <w:kern w:val="10"/>
        </w:rPr>
        <w:t>就项目的投标响应和合同实施阶段的有关事务协商一致</w:t>
      </w:r>
      <w:r>
        <w:rPr>
          <w:rFonts w:ascii="宋体" w:hAnsi="宋体" w:hint="eastAsia"/>
          <w:color w:val="auto"/>
        </w:rPr>
        <w:t>订立协议如下：</w:t>
      </w:r>
    </w:p>
    <w:p>
      <w:pPr>
        <w:tabs>
          <w:tab w:val="left" w:pos="7740"/>
        </w:tabs>
        <w:spacing w:line="360" w:lineRule="auto"/>
        <w:rPr>
          <w:rFonts w:ascii="宋体" w:hAnsi="宋体"/>
          <w:color w:val="auto"/>
        </w:rPr>
      </w:pPr>
      <w:r>
        <w:rPr>
          <w:rFonts w:ascii="宋体" w:hAnsi="宋体" w:hint="eastAsia"/>
          <w:color w:val="auto"/>
        </w:rPr>
        <w:t>一、联合体各方方关系</w:t>
      </w:r>
    </w:p>
    <w:p>
      <w:pPr>
        <w:tabs>
          <w:tab w:val="left" w:pos="7740"/>
        </w:tabs>
        <w:spacing w:line="360" w:lineRule="auto"/>
        <w:rPr>
          <w:rFonts w:ascii="宋体" w:hAnsi="宋体"/>
          <w:color w:val="auto"/>
        </w:rPr>
      </w:pPr>
      <w:r>
        <w:rPr>
          <w:rFonts w:ascii="宋体" w:hAnsi="宋体" w:hint="eastAsia"/>
          <w:color w:val="auto"/>
          <w:u w:val="single"/>
        </w:rPr>
        <w:t>（甲公司全称）</w:t>
      </w:r>
      <w:r>
        <w:rPr>
          <w:rFonts w:ascii="宋体" w:hAnsi="宋体" w:hint="eastAsia"/>
          <w:color w:val="auto"/>
        </w:rPr>
        <w:t xml:space="preserve"> 、 </w:t>
      </w:r>
      <w:r>
        <w:rPr>
          <w:rFonts w:ascii="宋体" w:hAnsi="宋体" w:hint="eastAsia"/>
          <w:color w:val="auto"/>
          <w:u w:val="single"/>
        </w:rPr>
        <w:t>（乙公司全称）</w:t>
      </w:r>
      <w:r>
        <w:rPr>
          <w:rFonts w:ascii="宋体" w:hAnsi="宋体" w:hint="eastAsia"/>
          <w:color w:val="auto"/>
        </w:rPr>
        <w:t>，</w:t>
      </w:r>
      <w:r>
        <w:rPr>
          <w:rFonts w:ascii="宋体" w:hAnsi="宋体" w:hint="eastAsia"/>
          <w:color w:val="auto"/>
          <w:u w:val="single"/>
        </w:rPr>
        <w:t>（……公司全称）</w:t>
      </w:r>
      <w:r>
        <w:rPr>
          <w:rFonts w:ascii="宋体" w:hAnsi="宋体" w:hint="eastAsia"/>
          <w:color w:val="auto"/>
        </w:rPr>
        <w:t>共同组成一个联合体，以一个供应商的身份共同参加本项目的谈判。</w:t>
      </w:r>
      <w:r>
        <w:rPr>
          <w:rFonts w:ascii="宋体" w:hAnsi="宋体" w:hint="eastAsia"/>
          <w:color w:val="auto"/>
          <w:u w:val="single"/>
        </w:rPr>
        <w:t>（甲公司全称）</w:t>
      </w:r>
      <w:r>
        <w:rPr>
          <w:rFonts w:ascii="宋体" w:hAnsi="宋体" w:hint="eastAsia"/>
          <w:color w:val="auto"/>
        </w:rPr>
        <w:t>、</w:t>
      </w:r>
      <w:r>
        <w:rPr>
          <w:rFonts w:ascii="宋体" w:hAnsi="宋体" w:hint="eastAsia"/>
          <w:color w:val="auto"/>
          <w:u w:val="single"/>
        </w:rPr>
        <w:t>（乙公司全称）</w:t>
      </w:r>
      <w:r>
        <w:rPr>
          <w:rFonts w:ascii="宋体" w:hAnsi="宋体" w:hint="eastAsia"/>
          <w:color w:val="auto"/>
        </w:rPr>
        <w:t>，</w:t>
      </w:r>
      <w:r>
        <w:rPr>
          <w:rFonts w:ascii="宋体" w:hAnsi="宋体" w:hint="eastAsia"/>
          <w:color w:val="auto"/>
          <w:u w:val="single"/>
        </w:rPr>
        <w:t>（……公司全称）</w:t>
      </w:r>
      <w:r>
        <w:rPr>
          <w:rFonts w:ascii="宋体" w:hAnsi="宋体" w:hint="eastAsia"/>
          <w:color w:val="auto"/>
        </w:rPr>
        <w:t>作为联合体成员,若成交，联合体各方共同与</w:t>
      </w:r>
      <w:r>
        <w:rPr>
          <w:rFonts w:ascii="宋体" w:hAnsi="宋体" w:hint="eastAsia"/>
          <w:color w:val="auto"/>
          <w:u w:val="single"/>
        </w:rPr>
        <w:t>（采购人全称）</w:t>
      </w:r>
      <w:r>
        <w:rPr>
          <w:rFonts w:ascii="宋体" w:hAnsi="宋体" w:hint="eastAsia"/>
          <w:color w:val="auto"/>
        </w:rPr>
        <w:t>签订政府采购合同。</w:t>
      </w:r>
    </w:p>
    <w:p>
      <w:pPr>
        <w:tabs>
          <w:tab w:val="left" w:pos="7740"/>
        </w:tabs>
        <w:spacing w:line="360" w:lineRule="auto"/>
        <w:rPr>
          <w:rFonts w:ascii="宋体" w:hAnsi="宋体"/>
          <w:color w:val="auto"/>
        </w:rPr>
      </w:pPr>
      <w:r>
        <w:rPr>
          <w:rFonts w:ascii="宋体" w:hAnsi="宋体" w:hint="eastAsia"/>
          <w:color w:val="auto"/>
        </w:rPr>
        <w:t>二、联合体内部有关事项约定如下：</w:t>
      </w:r>
    </w:p>
    <w:p>
      <w:pPr>
        <w:tabs>
          <w:tab w:val="left" w:pos="7740"/>
        </w:tabs>
        <w:spacing w:line="360" w:lineRule="auto"/>
        <w:rPr>
          <w:rFonts w:ascii="宋体" w:hAnsi="宋体"/>
          <w:color w:val="auto"/>
        </w:rPr>
      </w:pPr>
      <w:r>
        <w:rPr>
          <w:rFonts w:ascii="宋体" w:hAnsi="宋体" w:hint="eastAsia"/>
          <w:color w:val="auto"/>
        </w:rPr>
        <w:t>1.联合体由联合体共同授权人员负责与采购人联系。</w:t>
      </w:r>
    </w:p>
    <w:p>
      <w:pPr>
        <w:tabs>
          <w:tab w:val="left" w:pos="7740"/>
        </w:tabs>
        <w:spacing w:line="360" w:lineRule="auto"/>
        <w:rPr>
          <w:rFonts w:ascii="宋体" w:hAnsi="宋体"/>
          <w:color w:val="auto"/>
        </w:rPr>
      </w:pPr>
      <w:r>
        <w:rPr>
          <w:rFonts w:ascii="宋体" w:hAnsi="宋体" w:hint="eastAsia"/>
          <w:color w:val="auto"/>
        </w:rPr>
        <w:t>2.联合体投标工作由联合体共同负责，由联合体各方组成的响应小组具体实施。</w:t>
      </w:r>
    </w:p>
    <w:p>
      <w:pPr>
        <w:spacing w:line="360" w:lineRule="auto"/>
        <w:rPr>
          <w:color w:val="auto"/>
        </w:rPr>
      </w:pPr>
      <w:r>
        <w:rPr>
          <w:rFonts w:ascii="宋体" w:hAnsi="宋体" w:hint="eastAsia"/>
          <w:color w:val="auto"/>
        </w:rPr>
        <w:t>3.</w:t>
      </w:r>
      <w:r>
        <w:rPr>
          <w:rFonts w:hint="eastAsia"/>
          <w:color w:val="auto"/>
          <w:u w:val="single"/>
        </w:rPr>
        <w:t xml:space="preserve"> </w:t>
      </w:r>
      <w:r>
        <w:rPr>
          <w:rFonts w:ascii="宋体" w:hAnsi="宋体" w:hint="eastAsia"/>
          <w:color w:val="auto"/>
          <w:u w:val="single"/>
        </w:rPr>
        <w:t>（公司全称）</w:t>
      </w:r>
      <w:r>
        <w:rPr>
          <w:rFonts w:hint="eastAsia"/>
          <w:color w:val="auto"/>
        </w:rPr>
        <w:t xml:space="preserve">由为本次投标联合体主体方，拟承担的工作和责任：  </w:t>
      </w:r>
      <w:r>
        <w:rPr>
          <w:rFonts w:hint="eastAsia"/>
          <w:color w:val="auto"/>
          <w:u w:val="single"/>
        </w:rPr>
        <w:t xml:space="preserve">              </w:t>
      </w:r>
      <w:r>
        <w:rPr>
          <w:rFonts w:hint="eastAsia"/>
          <w:color w:val="auto"/>
        </w:rPr>
        <w:t>。</w:t>
      </w:r>
      <w:r>
        <w:rPr>
          <w:rFonts w:ascii="宋体" w:hAnsi="宋体" w:hint="eastAsia"/>
          <w:color w:val="auto"/>
          <w:u w:val="single"/>
        </w:rPr>
        <w:t>（公司全称）、（……公司全称）</w:t>
      </w:r>
      <w:r>
        <w:rPr>
          <w:rFonts w:hint="eastAsia"/>
          <w:color w:val="auto"/>
        </w:rPr>
        <w:t xml:space="preserve">为协办方，拟承担的工作和责任：  </w:t>
      </w:r>
      <w:r>
        <w:rPr>
          <w:rFonts w:hint="eastAsia"/>
          <w:color w:val="auto"/>
          <w:u w:val="single"/>
        </w:rPr>
        <w:t xml:space="preserve">              </w:t>
      </w:r>
      <w:r>
        <w:rPr>
          <w:rFonts w:hint="eastAsia"/>
          <w:color w:val="auto"/>
        </w:rPr>
        <w:t>。</w:t>
      </w:r>
    </w:p>
    <w:p>
      <w:pPr>
        <w:tabs>
          <w:tab w:val="left" w:pos="7740"/>
        </w:tabs>
        <w:spacing w:line="360" w:lineRule="auto"/>
        <w:rPr>
          <w:rFonts w:ascii="宋体" w:hAnsi="宋体"/>
          <w:color w:val="auto"/>
        </w:rPr>
      </w:pPr>
      <w:r>
        <w:rPr>
          <w:rFonts w:ascii="宋体" w:hAnsi="宋体" w:hint="eastAsia"/>
          <w:color w:val="auto"/>
        </w:rPr>
        <w:t>4.联合体成员</w:t>
      </w:r>
      <w:r>
        <w:rPr>
          <w:rFonts w:ascii="宋体" w:hAnsi="宋体" w:hint="eastAsia"/>
          <w:color w:val="auto"/>
          <w:u w:val="single"/>
        </w:rPr>
        <w:t>（公司全称）</w:t>
      </w:r>
      <w:r>
        <w:rPr>
          <w:rFonts w:ascii="宋体" w:hAnsi="宋体" w:hint="eastAsia"/>
          <w:color w:val="auto"/>
        </w:rPr>
        <w:t>为</w:t>
      </w:r>
      <w:r>
        <w:rPr>
          <w:rFonts w:ascii="宋体" w:hAnsi="宋体" w:hint="eastAsia"/>
          <w:color w:val="auto"/>
          <w:u w:val="single"/>
        </w:rPr>
        <w:t xml:space="preserve">   </w:t>
      </w:r>
      <w:r>
        <w:rPr>
          <w:rFonts w:ascii="宋体" w:hAnsi="宋体" w:hint="eastAsia"/>
          <w:color w:val="auto"/>
        </w:rPr>
        <w:t>（请填写：中型、小型、微型、监狱、残疾人福利性单位）企业，将承担的合同金额占到联合体协议合同总金额</w:t>
      </w:r>
      <w:r>
        <w:rPr>
          <w:rFonts w:ascii="宋体" w:hAnsi="宋体" w:hint="eastAsia"/>
          <w:color w:val="auto"/>
          <w:u w:val="single"/>
        </w:rPr>
        <w:t xml:space="preserve">  </w:t>
      </w:r>
      <w:r>
        <w:rPr>
          <w:rFonts w:ascii="宋体" w:hAnsi="宋体" w:hint="eastAsia"/>
          <w:color w:val="auto"/>
        </w:rPr>
        <w:t xml:space="preserve"> %（联合体其中一方成员中有小型、微型企业时适用）。</w:t>
      </w:r>
    </w:p>
    <w:p>
      <w:pPr>
        <w:tabs>
          <w:tab w:val="left" w:pos="7740"/>
        </w:tabs>
        <w:spacing w:line="360" w:lineRule="auto"/>
        <w:rPr>
          <w:rFonts w:ascii="宋体" w:hAnsi="宋体"/>
          <w:color w:val="auto"/>
        </w:rPr>
      </w:pPr>
      <w:r>
        <w:rPr>
          <w:rFonts w:ascii="宋体" w:hAnsi="宋体" w:hint="eastAsia"/>
          <w:color w:val="auto"/>
        </w:rPr>
        <w:t>5.联合体将严格按照采购文件的各项要求，递交谈判应答文件，切实执行一切合同文件，共同承担合同规定的一切义务和责任，同时按照内部职责的划分，承担自身所负的责任和风险，在法律规定的范围内承担连带责任。</w:t>
      </w:r>
    </w:p>
    <w:p>
      <w:pPr>
        <w:tabs>
          <w:tab w:val="left" w:pos="7740"/>
        </w:tabs>
        <w:spacing w:line="360" w:lineRule="auto"/>
        <w:rPr>
          <w:rFonts w:ascii="宋体" w:hAnsi="宋体"/>
          <w:color w:val="auto"/>
        </w:rPr>
      </w:pPr>
      <w:r>
        <w:rPr>
          <w:rFonts w:ascii="宋体" w:hAnsi="宋体" w:hint="eastAsia"/>
          <w:color w:val="auto"/>
        </w:rPr>
        <w:t>5.如成交，联合体各方共同与</w:t>
      </w:r>
      <w:r>
        <w:rPr>
          <w:rFonts w:ascii="宋体" w:hAnsi="宋体" w:hint="eastAsia"/>
          <w:color w:val="auto"/>
          <w:u w:val="single"/>
        </w:rPr>
        <w:t>（采购人全称）</w:t>
      </w:r>
      <w:r>
        <w:rPr>
          <w:rFonts w:ascii="宋体" w:hAnsi="宋体" w:hint="eastAsia"/>
          <w:color w:val="auto"/>
        </w:rPr>
        <w:t>签订合同书，并就成交项目向采购人负责有连带的和各自的法律责任；</w:t>
      </w:r>
    </w:p>
    <w:p>
      <w:pPr>
        <w:tabs>
          <w:tab w:val="left" w:pos="7740"/>
        </w:tabs>
        <w:spacing w:line="360" w:lineRule="auto"/>
        <w:rPr>
          <w:rFonts w:ascii="宋体" w:hAnsi="宋体"/>
          <w:color w:val="auto"/>
        </w:rPr>
      </w:pPr>
      <w:r>
        <w:rPr>
          <w:rFonts w:ascii="宋体" w:hAnsi="宋体" w:hint="eastAsia"/>
          <w:color w:val="auto"/>
        </w:rPr>
        <w:t>三、联合体各方不得再以自己名义参与本项目谈判，联合体各方不能作为其它联合体或单独投标单位的项目组成员参加本项目谈判。因发生上述问题导致联合体投标成为废标，联合体的其他成员可追究其违约责任和经济损失。</w:t>
      </w:r>
    </w:p>
    <w:p>
      <w:pPr>
        <w:tabs>
          <w:tab w:val="left" w:pos="7740"/>
        </w:tabs>
        <w:spacing w:line="360" w:lineRule="auto"/>
        <w:rPr>
          <w:rFonts w:ascii="宋体" w:eastAsia="宋体" w:hAnsi="宋体" w:cs="Times New Roman" w:hint="eastAsia"/>
          <w:color w:val="auto"/>
        </w:rPr>
      </w:pPr>
      <w:r>
        <w:rPr>
          <w:rFonts w:ascii="宋体" w:eastAsia="宋体" w:hAnsi="宋体" w:cs="Times New Roman" w:hint="eastAsia"/>
          <w:color w:val="auto"/>
        </w:rPr>
        <w:t>四、联合体如因违约过失责任而导致采购人经济损失或被索赔时，本联合体任何一方均同意由联合体中的责任单位承担无条件优先清偿采购人的一切债务和经济赔偿。</w:t>
      </w:r>
    </w:p>
    <w:p>
      <w:pPr>
        <w:tabs>
          <w:tab w:val="left" w:pos="7740"/>
        </w:tabs>
        <w:spacing w:line="360" w:lineRule="auto"/>
        <w:ind w:left="23" w:leftChars="11"/>
        <w:rPr>
          <w:rFonts w:ascii="宋体" w:hAnsi="宋体"/>
          <w:color w:val="auto"/>
        </w:rPr>
      </w:pPr>
      <w:r>
        <w:rPr>
          <w:rFonts w:ascii="宋体" w:hAnsi="宋体" w:hint="eastAsia"/>
          <w:color w:val="auto"/>
        </w:rPr>
        <w:t>五、本协议在自签署之日起生效，谈判有效期内有效，如获成交资格，合同有效期延续至合同履行完毕之日。</w:t>
      </w:r>
    </w:p>
    <w:p>
      <w:pPr>
        <w:widowControl/>
        <w:tabs>
          <w:tab w:val="left" w:pos="7740"/>
        </w:tabs>
        <w:spacing w:line="360" w:lineRule="auto"/>
        <w:ind w:left="34" w:leftChars="16"/>
        <w:rPr>
          <w:rFonts w:ascii="宋体" w:hAnsi="宋体"/>
          <w:color w:val="auto"/>
        </w:rPr>
      </w:pPr>
      <w:r>
        <w:rPr>
          <w:rFonts w:ascii="宋体" w:hAnsi="宋体" w:hint="eastAsia"/>
          <w:color w:val="auto"/>
        </w:rPr>
        <w:t>六、本协议书正本一式</w:t>
      </w:r>
      <w:r>
        <w:rPr>
          <w:rFonts w:ascii="宋体" w:hAnsi="宋体" w:hint="eastAsia"/>
          <w:color w:val="auto"/>
          <w:u w:val="single"/>
        </w:rPr>
        <w:t xml:space="preserve">   </w:t>
      </w:r>
      <w:r>
        <w:rPr>
          <w:rFonts w:ascii="宋体" w:hAnsi="宋体" w:hint="eastAsia"/>
          <w:color w:val="auto"/>
        </w:rPr>
        <w:t>份，随投标(应答)文件装订</w:t>
      </w:r>
      <w:r>
        <w:rPr>
          <w:rFonts w:ascii="宋体" w:hAnsi="宋体" w:hint="eastAsia"/>
          <w:color w:val="auto"/>
          <w:u w:val="single"/>
        </w:rPr>
        <w:t xml:space="preserve">   </w:t>
      </w:r>
      <w:r>
        <w:rPr>
          <w:rFonts w:ascii="宋体" w:hAnsi="宋体" w:hint="eastAsia"/>
          <w:color w:val="auto"/>
        </w:rPr>
        <w:t>份，送采购人</w:t>
      </w:r>
      <w:r>
        <w:rPr>
          <w:rFonts w:ascii="宋体" w:hAnsi="宋体" w:hint="eastAsia"/>
          <w:color w:val="auto"/>
          <w:u w:val="single"/>
        </w:rPr>
        <w:t xml:space="preserve">   </w:t>
      </w:r>
      <w:r>
        <w:rPr>
          <w:rFonts w:ascii="宋体" w:hAnsi="宋体" w:hint="eastAsia"/>
          <w:color w:val="auto"/>
        </w:rPr>
        <w:t>份，联合体成员各一份；副本一式</w:t>
      </w:r>
      <w:r>
        <w:rPr>
          <w:rFonts w:ascii="宋体" w:hAnsi="宋体" w:hint="eastAsia"/>
          <w:color w:val="auto"/>
          <w:u w:val="single"/>
        </w:rPr>
        <w:t xml:space="preserve">   </w:t>
      </w:r>
      <w:r>
        <w:rPr>
          <w:rFonts w:ascii="宋体" w:hAnsi="宋体" w:hint="eastAsia"/>
          <w:color w:val="auto"/>
        </w:rPr>
        <w:t>份，联合体成员各执</w:t>
      </w:r>
      <w:r>
        <w:rPr>
          <w:rFonts w:ascii="宋体" w:hAnsi="宋体" w:hint="eastAsia"/>
          <w:color w:val="auto"/>
          <w:u w:val="single"/>
        </w:rPr>
        <w:t xml:space="preserve">   </w:t>
      </w:r>
      <w:r>
        <w:rPr>
          <w:rFonts w:ascii="宋体" w:hAnsi="宋体" w:hint="eastAsia"/>
          <w:color w:val="auto"/>
        </w:rPr>
        <w:t xml:space="preserve"> 份。</w:t>
      </w:r>
    </w:p>
    <w:p>
      <w:pPr>
        <w:pStyle w:val="PlainText"/>
        <w:rPr>
          <w:color w:val="auto"/>
        </w:rPr>
      </w:pPr>
    </w:p>
    <w:p>
      <w:pPr>
        <w:widowControl/>
        <w:tabs>
          <w:tab w:val="left" w:pos="7740"/>
        </w:tabs>
        <w:spacing w:line="360" w:lineRule="auto"/>
        <w:rPr>
          <w:rFonts w:ascii="宋体" w:hAnsi="宋体"/>
          <w:color w:val="auto"/>
        </w:rPr>
      </w:pPr>
    </w:p>
    <w:p>
      <w:pPr>
        <w:widowControl/>
        <w:tabs>
          <w:tab w:val="left" w:pos="7740"/>
        </w:tabs>
        <w:spacing w:line="360" w:lineRule="auto"/>
        <w:rPr>
          <w:rFonts w:ascii="宋体" w:hAnsi="宋体"/>
          <w:color w:val="auto"/>
        </w:rPr>
      </w:pPr>
      <w:r>
        <w:rPr>
          <w:rFonts w:ascii="宋体" w:hAnsi="宋体" w:hint="eastAsia"/>
          <w:color w:val="auto"/>
        </w:rPr>
        <w:t>甲公司全称：</w:t>
      </w:r>
    </w:p>
    <w:p>
      <w:pPr>
        <w:widowControl/>
        <w:tabs>
          <w:tab w:val="left" w:pos="7740"/>
        </w:tabs>
        <w:spacing w:line="360" w:lineRule="auto"/>
        <w:rPr>
          <w:rFonts w:ascii="宋体" w:hAnsi="宋体"/>
          <w:color w:val="auto"/>
        </w:rPr>
      </w:pPr>
      <w:r>
        <w:rPr>
          <w:rFonts w:ascii="宋体" w:hAnsi="宋体" w:hint="eastAsia"/>
          <w:color w:val="auto"/>
        </w:rPr>
        <w:t>法定代表人：</w:t>
      </w:r>
    </w:p>
    <w:p>
      <w:pPr>
        <w:widowControl/>
        <w:tabs>
          <w:tab w:val="left" w:pos="7740"/>
        </w:tabs>
        <w:spacing w:line="360" w:lineRule="auto"/>
        <w:rPr>
          <w:rFonts w:ascii="宋体" w:hAnsi="宋体"/>
          <w:color w:val="auto"/>
        </w:rPr>
      </w:pPr>
      <w:r>
        <w:rPr>
          <w:rFonts w:ascii="宋体" w:hAnsi="宋体" w:hint="eastAsia"/>
          <w:color w:val="auto"/>
        </w:rPr>
        <w:t>  年   月   日</w:t>
      </w:r>
    </w:p>
    <w:p>
      <w:pPr>
        <w:widowControl/>
        <w:tabs>
          <w:tab w:val="left" w:pos="7740"/>
        </w:tabs>
        <w:spacing w:line="360" w:lineRule="auto"/>
        <w:rPr>
          <w:rFonts w:ascii="宋体" w:hAnsi="宋体"/>
          <w:color w:val="auto"/>
        </w:rPr>
      </w:pPr>
    </w:p>
    <w:p>
      <w:pPr>
        <w:widowControl/>
        <w:tabs>
          <w:tab w:val="left" w:pos="7740"/>
        </w:tabs>
        <w:spacing w:line="360" w:lineRule="auto"/>
        <w:rPr>
          <w:rFonts w:ascii="宋体" w:hAnsi="宋体"/>
          <w:color w:val="auto"/>
        </w:rPr>
      </w:pPr>
      <w:r>
        <w:rPr>
          <w:rFonts w:ascii="宋体" w:hAnsi="宋体" w:hint="eastAsia"/>
          <w:color w:val="auto"/>
        </w:rPr>
        <w:t>乙公司全称：</w:t>
      </w:r>
    </w:p>
    <w:p>
      <w:pPr>
        <w:widowControl/>
        <w:tabs>
          <w:tab w:val="left" w:pos="7740"/>
        </w:tabs>
        <w:spacing w:line="360" w:lineRule="auto"/>
        <w:rPr>
          <w:rFonts w:ascii="宋体" w:hAnsi="宋体"/>
          <w:color w:val="auto"/>
        </w:rPr>
      </w:pPr>
      <w:r>
        <w:rPr>
          <w:rFonts w:ascii="宋体" w:hAnsi="宋体" w:hint="eastAsia"/>
          <w:color w:val="auto"/>
        </w:rPr>
        <w:t>法定代表人：</w:t>
      </w:r>
    </w:p>
    <w:p>
      <w:pPr>
        <w:widowControl/>
        <w:tabs>
          <w:tab w:val="left" w:pos="7740"/>
        </w:tabs>
        <w:spacing w:line="360" w:lineRule="auto"/>
        <w:rPr>
          <w:rFonts w:ascii="宋体" w:hAnsi="宋体"/>
          <w:color w:val="auto"/>
        </w:rPr>
      </w:pPr>
      <w:r>
        <w:rPr>
          <w:rFonts w:ascii="宋体" w:hAnsi="宋体" w:hint="eastAsia"/>
          <w:color w:val="auto"/>
        </w:rPr>
        <w:t>  年   月   日</w:t>
      </w:r>
    </w:p>
    <w:p>
      <w:pPr>
        <w:widowControl/>
        <w:tabs>
          <w:tab w:val="left" w:pos="7740"/>
        </w:tabs>
        <w:spacing w:line="360" w:lineRule="auto"/>
        <w:rPr>
          <w:rFonts w:ascii="宋体" w:hAnsi="宋体"/>
          <w:color w:val="auto"/>
        </w:rPr>
      </w:pPr>
    </w:p>
    <w:p>
      <w:pPr>
        <w:widowControl/>
        <w:tabs>
          <w:tab w:val="left" w:pos="7740"/>
        </w:tabs>
        <w:spacing w:line="360" w:lineRule="auto"/>
        <w:rPr>
          <w:rFonts w:ascii="宋体" w:hAnsi="宋体"/>
          <w:color w:val="auto"/>
        </w:rPr>
      </w:pPr>
      <w:r>
        <w:rPr>
          <w:rFonts w:ascii="宋体" w:hAnsi="宋体" w:hint="eastAsia"/>
          <w:color w:val="auto"/>
        </w:rPr>
        <w:t>……公司全称：</w:t>
      </w:r>
    </w:p>
    <w:p>
      <w:pPr>
        <w:widowControl/>
        <w:tabs>
          <w:tab w:val="left" w:pos="7740"/>
        </w:tabs>
        <w:spacing w:line="360" w:lineRule="auto"/>
        <w:rPr>
          <w:rFonts w:ascii="宋体" w:hAnsi="宋体"/>
          <w:color w:val="auto"/>
        </w:rPr>
      </w:pPr>
      <w:r>
        <w:rPr>
          <w:rFonts w:ascii="宋体" w:hAnsi="宋体" w:hint="eastAsia"/>
          <w:color w:val="auto"/>
        </w:rPr>
        <w:t>法定代表人：</w:t>
      </w:r>
    </w:p>
    <w:p>
      <w:pPr>
        <w:widowControl/>
        <w:tabs>
          <w:tab w:val="left" w:pos="7740"/>
        </w:tabs>
        <w:spacing w:line="360" w:lineRule="auto"/>
        <w:rPr>
          <w:rFonts w:ascii="宋体" w:hAnsi="宋体"/>
          <w:color w:val="auto"/>
        </w:rPr>
      </w:pPr>
      <w:r>
        <w:rPr>
          <w:rFonts w:ascii="宋体" w:hAnsi="宋体" w:hint="eastAsia"/>
          <w:color w:val="auto"/>
        </w:rPr>
        <w:t>  年   月   日</w:t>
      </w:r>
    </w:p>
    <w:p>
      <w:pPr>
        <w:widowControl/>
        <w:tabs>
          <w:tab w:val="left" w:pos="7740"/>
        </w:tabs>
        <w:spacing w:line="360" w:lineRule="auto"/>
        <w:rPr>
          <w:rFonts w:ascii="宋体" w:hAnsi="宋体"/>
          <w:color w:val="auto"/>
        </w:rPr>
      </w:pPr>
    </w:p>
    <w:p>
      <w:pPr>
        <w:widowControl/>
        <w:tabs>
          <w:tab w:val="left" w:pos="7740"/>
        </w:tabs>
        <w:spacing w:line="360" w:lineRule="auto"/>
        <w:rPr>
          <w:rFonts w:ascii="宋体" w:hAnsi="宋体"/>
          <w:color w:val="auto"/>
        </w:rPr>
      </w:pPr>
    </w:p>
    <w:p>
      <w:pPr>
        <w:tabs>
          <w:tab w:val="left" w:pos="7740"/>
        </w:tabs>
        <w:spacing w:line="360" w:lineRule="auto"/>
        <w:ind w:left="617" w:hanging="617" w:hangingChars="294"/>
        <w:rPr>
          <w:rFonts w:ascii="宋体" w:hAnsi="宋体"/>
          <w:color w:val="auto"/>
        </w:rPr>
      </w:pPr>
      <w:r>
        <w:rPr>
          <w:rFonts w:ascii="宋体" w:hAnsi="宋体" w:hint="eastAsia"/>
          <w:color w:val="auto"/>
        </w:rPr>
        <w:t>注：</w:t>
      </w:r>
    </w:p>
    <w:p>
      <w:pPr>
        <w:tabs>
          <w:tab w:val="left" w:pos="7740"/>
        </w:tabs>
        <w:spacing w:line="360" w:lineRule="auto"/>
        <w:ind w:left="617" w:hanging="617" w:hangingChars="294"/>
        <w:rPr>
          <w:rFonts w:ascii="宋体" w:hAnsi="宋体"/>
          <w:color w:val="auto"/>
        </w:rPr>
      </w:pPr>
      <w:r>
        <w:rPr>
          <w:rFonts w:ascii="宋体" w:hAnsi="宋体" w:hint="eastAsia"/>
          <w:color w:val="auto"/>
        </w:rPr>
        <w:t>1．联合投标时应签订本协议。</w:t>
      </w:r>
    </w:p>
    <w:p>
      <w:pPr>
        <w:spacing w:line="400" w:lineRule="exact"/>
        <w:rPr>
          <w:color w:val="auto"/>
        </w:rPr>
      </w:pPr>
      <w:r>
        <w:rPr>
          <w:rFonts w:ascii="宋体" w:hAnsi="宋体" w:hint="eastAsia"/>
          <w:color w:val="auto"/>
        </w:rPr>
        <w:t>2．本协议内容不得擅自修改。此协议将作为签订合同的附件之一</w:t>
      </w:r>
      <w:r>
        <w:rPr>
          <w:rFonts w:hint="eastAsia"/>
          <w:color w:val="auto"/>
        </w:rPr>
        <w:t>。</w:t>
      </w:r>
    </w:p>
    <w:p>
      <w:pPr>
        <w:spacing w:line="400" w:lineRule="exact"/>
        <w:rPr>
          <w:rFonts w:ascii="宋体" w:hAnsi="宋体"/>
          <w:color w:val="auto"/>
        </w:rPr>
      </w:pPr>
      <w:r>
        <w:rPr>
          <w:rFonts w:ascii="宋体" w:hAnsi="宋体" w:hint="eastAsia"/>
          <w:color w:val="auto"/>
        </w:rPr>
        <w:t>3</w:t>
      </w:r>
      <w:r>
        <w:rPr>
          <w:rFonts w:ascii="宋体" w:hAnsi="宋体"/>
          <w:color w:val="auto"/>
        </w:rPr>
        <w:t>.</w:t>
      </w:r>
      <w:r>
        <w:rPr>
          <w:rFonts w:ascii="宋体" w:hAnsi="宋体" w:hint="eastAsia"/>
          <w:color w:val="auto"/>
        </w:rPr>
        <w:t xml:space="preserve"> </w:t>
      </w:r>
      <w:bookmarkStart w:id="123" w:name="_Hlk54873745"/>
      <w:r>
        <w:rPr>
          <w:rFonts w:ascii="宋体" w:hAnsi="宋体" w:hint="eastAsia"/>
          <w:color w:val="auto"/>
        </w:rPr>
        <w:t>除本联合协议书各方均需按要求签字、盖章外，响应文件的其它内容由联合体牵头方作为代表按要求进行签字、盖章。</w:t>
      </w:r>
      <w:bookmarkEnd w:id="123"/>
    </w:p>
    <w:p>
      <w:pPr>
        <w:spacing w:line="360" w:lineRule="auto"/>
        <w:rPr>
          <w:color w:val="auto"/>
        </w:rPr>
        <w:sectPr>
          <w:pgSz w:w="11906" w:h="16838"/>
          <w:pgMar w:top="1134" w:right="1134" w:bottom="1134" w:left="1134" w:header="699" w:footer="567" w:gutter="0"/>
          <w:cols w:num="1" w:space="425"/>
          <w:titlePg/>
          <w:docGrid w:type="lines" w:linePitch="312" w:charSpace="0"/>
        </w:sectPr>
      </w:pPr>
    </w:p>
    <w:p>
      <w:pPr>
        <w:pStyle w:val="Heading2"/>
        <w:numPr>
          <w:ilvl w:val="0"/>
          <w:numId w:val="21"/>
        </w:numPr>
        <w:spacing w:line="240" w:lineRule="auto"/>
        <w:jc w:val="center"/>
        <w:rPr>
          <w:color w:val="auto"/>
        </w:rPr>
      </w:pPr>
      <w:r>
        <w:rPr>
          <w:rFonts w:hint="eastAsia"/>
          <w:b w:val="0"/>
          <w:color w:val="auto"/>
        </w:rPr>
        <w:t>供应商认为需要加以说明的其它内容</w:t>
      </w:r>
    </w:p>
    <w:p>
      <w:pPr>
        <w:rPr>
          <w:rFonts w:hint="eastAsia"/>
          <w:b w:val="0"/>
          <w:color w:val="auto"/>
        </w:rPr>
      </w:pPr>
    </w:p>
    <w:p>
      <w:pPr>
        <w:tabs>
          <w:tab w:val="left" w:pos="426"/>
        </w:tabs>
        <w:autoSpaceDE w:val="0"/>
        <w:autoSpaceDN w:val="0"/>
        <w:adjustRightInd w:val="0"/>
        <w:spacing w:line="360" w:lineRule="auto"/>
        <w:jc w:val="center"/>
        <w:outlineLvl w:val="3"/>
      </w:pPr>
      <w:r>
        <w:rPr>
          <w:rFonts w:hint="eastAsia"/>
          <w:b/>
          <w:sz w:val="24"/>
        </w:rPr>
        <w:t>（信息公开部分的内容到此为止！往下为信息不公开部分。）</w:t>
      </w:r>
    </w:p>
    <w:p>
      <w:pPr>
        <w:rPr>
          <w:rFonts w:hint="eastAsia"/>
          <w:b w:val="0"/>
          <w:color w:val="auto"/>
        </w:rPr>
        <w:sectPr>
          <w:pgSz w:w="11906" w:h="16838"/>
          <w:pgMar w:top="1134" w:right="1134" w:bottom="1134" w:left="1134" w:header="699" w:footer="567" w:gutter="0"/>
          <w:cols w:num="1" w:space="425"/>
          <w:titlePg/>
          <w:docGrid w:type="lines" w:linePitch="312" w:charSpace="0"/>
        </w:sectPr>
      </w:pPr>
    </w:p>
    <w:p>
      <w:pPr>
        <w:pStyle w:val="Heading2"/>
        <w:numPr>
          <w:ilvl w:val="0"/>
          <w:numId w:val="21"/>
        </w:numPr>
        <w:spacing w:line="240" w:lineRule="auto"/>
        <w:jc w:val="center"/>
        <w:rPr>
          <w:b w:val="0"/>
        </w:rPr>
      </w:pPr>
      <w:r>
        <w:rPr>
          <w:rFonts w:hint="eastAsia"/>
          <w:b w:val="0"/>
        </w:rPr>
        <w:t>法定代表人授权委托书</w:t>
      </w:r>
    </w:p>
    <w:p>
      <w:pPr>
        <w:jc w:val="center"/>
        <w:rPr>
          <w:rFonts w:ascii="Arial" w:eastAsia="黑体" w:hAnsi="Arial"/>
          <w:bCs/>
          <w:kern w:val="2"/>
          <w:sz w:val="32"/>
          <w:szCs w:val="32"/>
          <w:lang w:val="zh-CN"/>
        </w:rPr>
      </w:pPr>
      <w:r>
        <w:rPr>
          <w:rFonts w:ascii="Arial" w:eastAsia="黑体" w:hAnsi="Arial" w:hint="eastAsia"/>
          <w:bCs/>
          <w:kern w:val="2"/>
          <w:sz w:val="32"/>
          <w:szCs w:val="32"/>
          <w:lang w:val="zh-CN"/>
        </w:rPr>
        <w:t>（非信息公开部分）</w:t>
      </w:r>
    </w:p>
    <w:p>
      <w:pPr>
        <w:pStyle w:val="PlainText"/>
        <w:spacing w:line="360" w:lineRule="auto"/>
        <w:ind w:firstLine="420" w:firstLineChars="200"/>
      </w:pPr>
      <w:r>
        <w:rPr>
          <w:rFonts w:hint="eastAsia"/>
        </w:rPr>
        <w:t>本授权委托书声明：注册于</w:t>
      </w:r>
      <w:r>
        <w:rPr>
          <w:rFonts w:hint="eastAsia"/>
          <w:u w:val="single"/>
        </w:rPr>
        <w:t xml:space="preserve"> （响应供应商地址）  </w:t>
      </w:r>
      <w:r>
        <w:rPr>
          <w:rFonts w:hint="eastAsia"/>
        </w:rPr>
        <w:t>的</w:t>
      </w:r>
      <w:r>
        <w:rPr>
          <w:rFonts w:hint="eastAsia"/>
          <w:u w:val="single"/>
        </w:rPr>
        <w:t xml:space="preserve">  （响应供应商名称）    </w:t>
      </w:r>
      <w:r>
        <w:rPr>
          <w:rFonts w:hint="eastAsia"/>
        </w:rPr>
        <w:t>的</w:t>
      </w:r>
      <w:r>
        <w:rPr>
          <w:rFonts w:hint="eastAsia"/>
          <w:u w:val="single"/>
        </w:rPr>
        <w:t>（法定代表人姓名、职务</w:t>
      </w:r>
      <w:r>
        <w:rPr>
          <w:rFonts w:hAnsi="宋体" w:hint="eastAsia"/>
          <w:u w:val="single"/>
        </w:rPr>
        <w:t>、手机号码</w:t>
      </w:r>
      <w:r>
        <w:rPr>
          <w:rFonts w:hint="eastAsia"/>
          <w:u w:val="single"/>
        </w:rPr>
        <w:t>）</w:t>
      </w:r>
      <w:r>
        <w:rPr>
          <w:rFonts w:hint="eastAsia"/>
        </w:rPr>
        <w:t>在此授权</w:t>
      </w:r>
      <w:r>
        <w:rPr>
          <w:rFonts w:hint="eastAsia"/>
          <w:u w:val="single"/>
        </w:rPr>
        <w:t>（被授权人姓名、职务</w:t>
      </w:r>
      <w:r>
        <w:rPr>
          <w:rFonts w:hAnsi="宋体" w:hint="eastAsia"/>
          <w:u w:val="single"/>
        </w:rPr>
        <w:t>、手机号码</w:t>
      </w:r>
      <w:r>
        <w:rPr>
          <w:rFonts w:hint="eastAsia"/>
          <w:u w:val="single"/>
        </w:rPr>
        <w:t>）</w:t>
      </w:r>
      <w:r>
        <w:rPr>
          <w:rFonts w:hint="eastAsia"/>
        </w:rPr>
        <w:t>作为我公司的合法代理人，就</w:t>
      </w:r>
      <w:r>
        <w:rPr>
          <w:rFonts w:hint="eastAsia"/>
          <w:u w:val="single"/>
        </w:rPr>
        <w:t>（项目名称、项目编号</w:t>
      </w:r>
      <w:r>
        <w:rPr>
          <w:rFonts w:hint="eastAsia"/>
        </w:rPr>
        <w:t>）的招投标活动，提交谈判应答文件及采购合同的签订、执行、完成和售后服务，作为响应供应商代表以我方的名义处理一切与之有关的事务。</w:t>
      </w:r>
    </w:p>
    <w:p>
      <w:pPr>
        <w:pStyle w:val="PlainText"/>
        <w:spacing w:line="360" w:lineRule="auto"/>
        <w:ind w:firstLine="420" w:firstLineChars="200"/>
        <w:rPr>
          <w:rFonts w:hAnsi="宋体"/>
        </w:rPr>
      </w:pPr>
      <w:r>
        <w:rPr>
          <w:rFonts w:hint="eastAsia"/>
        </w:rPr>
        <w:t>被授权人（响应供应商授权代表）无转委托权限。</w:t>
      </w:r>
    </w:p>
    <w:p>
      <w:pPr>
        <w:spacing w:line="360" w:lineRule="auto"/>
        <w:rPr>
          <w:rFonts w:ascii="宋体"/>
          <w:b/>
        </w:rPr>
      </w:pPr>
      <w:r>
        <w:rPr>
          <w:rFonts w:ascii="宋体" w:hint="eastAsia"/>
          <w:b/>
        </w:rPr>
        <w:t>随附《法定代表人证明》</w:t>
      </w:r>
    </w:p>
    <w:p>
      <w:pPr>
        <w:spacing w:line="360" w:lineRule="auto"/>
        <w:rPr>
          <w:rFonts w:ascii="宋体"/>
        </w:rPr>
      </w:pPr>
    </w:p>
    <w:p>
      <w:pPr>
        <w:spacing w:line="360" w:lineRule="auto"/>
        <w:rPr>
          <w:rFonts w:ascii="宋体"/>
          <w:b/>
          <w:bCs/>
        </w:rPr>
      </w:pPr>
    </w:p>
    <w:p>
      <w:pPr>
        <w:spacing w:line="360" w:lineRule="auto"/>
        <w:rPr>
          <w:rFonts w:ascii="宋体"/>
          <w:b/>
          <w:sz w:val="24"/>
          <w:szCs w:val="24"/>
        </w:rPr>
      </w:pPr>
      <w:r>
        <w:rPr>
          <w:rFonts w:ascii="宋体" w:hint="eastAsia"/>
          <w:b/>
          <w:sz w:val="24"/>
          <w:szCs w:val="24"/>
        </w:rPr>
        <w:t>提供被授权人（授权代表）居民身份证</w:t>
      </w:r>
      <w:r>
        <w:rPr>
          <w:rFonts w:ascii="宋体" w:hint="eastAsia"/>
          <w:b/>
          <w:bCs/>
          <w:sz w:val="24"/>
        </w:rPr>
        <w:t>（正反面）原件扫描件</w:t>
      </w:r>
      <w:r>
        <w:rPr>
          <w:rFonts w:ascii="宋体" w:hint="eastAsia"/>
          <w:b/>
          <w:sz w:val="24"/>
          <w:szCs w:val="24"/>
        </w:rPr>
        <w:t>：</w:t>
      </w:r>
    </w:p>
    <w:p>
      <w:pPr>
        <w:spacing w:line="360" w:lineRule="auto"/>
        <w:ind w:left="1159" w:firstLine="2261" w:leftChars="552"/>
        <w:rPr>
          <w:rFonts w:ascii="宋体"/>
          <w:sz w:val="24"/>
        </w:rPr>
      </w:pPr>
    </w:p>
    <w:p>
      <w:bookmarkStart w:id="124" w:name="_Toc355768057"/>
      <w:bookmarkStart w:id="125" w:name="_Toc170645736"/>
      <w:bookmarkStart w:id="126" w:name="_Toc170699947"/>
      <w:r>
        <w:rPr>
          <w:rFonts w:hint="eastAsia"/>
        </w:rPr>
        <w:br w:type="page"/>
      </w:r>
    </w:p>
    <w:p>
      <w:pPr>
        <w:pStyle w:val="Heading2"/>
        <w:numPr>
          <w:ilvl w:val="0"/>
          <w:numId w:val="21"/>
        </w:numPr>
        <w:spacing w:line="240" w:lineRule="auto"/>
        <w:jc w:val="center"/>
        <w:rPr>
          <w:b w:val="0"/>
        </w:rPr>
      </w:pPr>
      <w:r>
        <w:rPr>
          <w:rFonts w:hint="eastAsia"/>
          <w:b w:val="0"/>
        </w:rPr>
        <w:t>法定代表人证明书</w:t>
      </w:r>
      <w:bookmarkEnd w:id="124"/>
      <w:bookmarkEnd w:id="125"/>
      <w:bookmarkEnd w:id="126"/>
    </w:p>
    <w:p>
      <w:pPr>
        <w:jc w:val="center"/>
        <w:rPr>
          <w:rFonts w:ascii="Arial" w:eastAsia="黑体" w:hAnsi="Arial"/>
          <w:bCs/>
          <w:kern w:val="2"/>
          <w:sz w:val="32"/>
          <w:szCs w:val="32"/>
          <w:lang w:val="zh-CN"/>
        </w:rPr>
      </w:pPr>
      <w:r>
        <w:rPr>
          <w:rFonts w:ascii="Arial" w:eastAsia="黑体" w:hAnsi="Arial" w:hint="eastAsia"/>
          <w:bCs/>
          <w:kern w:val="2"/>
          <w:sz w:val="32"/>
          <w:szCs w:val="32"/>
          <w:lang w:val="zh-CN"/>
        </w:rPr>
        <w:t>（非信息公开部分）</w:t>
      </w:r>
    </w:p>
    <w:p>
      <w:pPr>
        <w:spacing w:line="400" w:lineRule="exact"/>
        <w:rPr>
          <w:rFonts w:ascii="宋体" w:hAnsi="宋体"/>
          <w:b/>
          <w:bCs/>
          <w:sz w:val="28"/>
        </w:rPr>
      </w:pPr>
    </w:p>
    <w:p>
      <w:pPr>
        <w:tabs>
          <w:tab w:val="left" w:pos="900"/>
        </w:tabs>
        <w:spacing w:line="480" w:lineRule="auto"/>
        <w:ind w:firstLine="420" w:firstLineChars="200"/>
        <w:rPr>
          <w:rFonts w:ascii="宋体" w:hAnsi="宋体"/>
        </w:rPr>
      </w:pPr>
      <w:r>
        <w:rPr>
          <w:rFonts w:ascii="宋体" w:hAnsi="宋体"/>
          <w:u w:val="single"/>
        </w:rPr>
        <w:t xml:space="preserve">       </w:t>
      </w:r>
      <w:r>
        <w:rPr>
          <w:rFonts w:ascii="宋体" w:hAnsi="宋体" w:hint="eastAsia"/>
          <w:u w:val="single"/>
        </w:rPr>
        <w:t xml:space="preserve">       </w:t>
      </w:r>
      <w:r>
        <w:rPr>
          <w:rFonts w:ascii="宋体" w:hAnsi="宋体"/>
          <w:u w:val="single"/>
        </w:rPr>
        <w:t xml:space="preserve">  </w:t>
      </w:r>
      <w:r>
        <w:rPr>
          <w:rFonts w:ascii="宋体" w:hAnsi="宋体" w:hint="eastAsia"/>
        </w:rPr>
        <w:t>同志，现任我单位</w:t>
      </w:r>
      <w:r>
        <w:rPr>
          <w:rFonts w:ascii="宋体" w:hAnsi="宋体"/>
          <w:u w:val="single"/>
        </w:rPr>
        <w:t xml:space="preserve">         </w:t>
      </w:r>
      <w:r>
        <w:rPr>
          <w:rFonts w:ascii="宋体" w:hAnsi="宋体" w:hint="eastAsia"/>
        </w:rPr>
        <w:t>职务，为法定代表人，特此证明。</w:t>
      </w:r>
    </w:p>
    <w:p>
      <w:pPr>
        <w:spacing w:line="360" w:lineRule="auto"/>
        <w:ind w:firstLine="420" w:firstLineChars="200"/>
        <w:rPr>
          <w:rFonts w:ascii="宋体" w:hAnsi="宋体"/>
        </w:rPr>
      </w:pPr>
      <w:r>
        <w:rPr>
          <w:rFonts w:ascii="宋体" w:hint="eastAsia"/>
        </w:rPr>
        <w:t>本证明书自签发之日起生效，</w:t>
      </w:r>
      <w:r>
        <w:rPr>
          <w:rFonts w:ascii="宋体" w:hAnsi="宋体" w:hint="eastAsia"/>
        </w:rPr>
        <w:t>有效期与本公司谈判应答文件中标注的响应有效期相同。</w:t>
      </w:r>
    </w:p>
    <w:p>
      <w:pPr>
        <w:spacing w:line="480" w:lineRule="auto"/>
        <w:ind w:firstLine="420" w:firstLineChars="200"/>
        <w:rPr>
          <w:rFonts w:ascii="宋体" w:hAnsi="宋体"/>
        </w:rPr>
      </w:pPr>
      <w:r>
        <w:rPr>
          <w:rFonts w:ascii="宋体" w:hAnsi="宋体" w:hint="eastAsia"/>
        </w:rPr>
        <w:t xml:space="preserve">附：                 </w:t>
      </w:r>
    </w:p>
    <w:p>
      <w:pPr>
        <w:spacing w:line="480" w:lineRule="auto"/>
        <w:ind w:firstLine="840" w:firstLineChars="400"/>
        <w:rPr>
          <w:rFonts w:ascii="宋体" w:hAnsi="宋体"/>
        </w:rPr>
      </w:pPr>
      <w:r>
        <w:rPr>
          <w:rFonts w:ascii="宋体" w:hAnsi="宋体" w:hint="eastAsia"/>
        </w:rPr>
        <w:t>经济性质：</w:t>
      </w:r>
    </w:p>
    <w:p>
      <w:pPr>
        <w:spacing w:line="480" w:lineRule="auto"/>
        <w:ind w:firstLine="840" w:firstLineChars="400"/>
        <w:rPr>
          <w:rFonts w:ascii="宋体" w:hAnsi="宋体"/>
        </w:rPr>
      </w:pPr>
      <w:r>
        <w:rPr>
          <w:rFonts w:ascii="宋体" w:hAnsi="宋体" w:hint="eastAsia"/>
        </w:rPr>
        <w:t>主营（产）：</w:t>
      </w:r>
    </w:p>
    <w:p>
      <w:pPr>
        <w:spacing w:line="480" w:lineRule="auto"/>
        <w:ind w:firstLine="840" w:firstLineChars="400"/>
        <w:rPr>
          <w:rFonts w:ascii="宋体" w:hAnsi="宋体"/>
          <w:color w:val="auto"/>
        </w:rPr>
      </w:pPr>
      <w:r>
        <w:rPr>
          <w:rFonts w:ascii="宋体" w:hAnsi="宋体" w:hint="eastAsia"/>
        </w:rPr>
        <w:t>兼营（</w:t>
      </w:r>
      <w:r>
        <w:rPr>
          <w:rFonts w:ascii="宋体" w:hAnsi="宋体" w:hint="eastAsia"/>
          <w:color w:val="auto"/>
        </w:rPr>
        <w:t>产）：</w:t>
      </w:r>
    </w:p>
    <w:p>
      <w:pPr>
        <w:spacing w:line="360" w:lineRule="auto"/>
        <w:rPr>
          <w:rFonts w:ascii="宋体"/>
          <w:color w:val="auto"/>
          <w:sz w:val="24"/>
        </w:rPr>
      </w:pPr>
    </w:p>
    <w:p>
      <w:pPr>
        <w:spacing w:line="360" w:lineRule="auto"/>
        <w:ind w:firstLine="525" w:firstLineChars="250"/>
        <w:rPr>
          <w:rFonts w:ascii="宋体"/>
          <w:b/>
          <w:bCs/>
          <w:color w:val="auto"/>
          <w:sz w:val="24"/>
        </w:rPr>
      </w:pPr>
      <w:r>
        <w:rPr>
          <w:rFonts w:ascii="宋体" w:hint="eastAsia"/>
          <w:b/>
          <w:bCs/>
          <w:color w:val="auto"/>
          <w:sz w:val="24"/>
        </w:rPr>
        <w:t>提供法定代表人居民身份证（正反面）原件扫描件：</w:t>
      </w:r>
    </w:p>
    <w:p>
      <w:pPr>
        <w:spacing w:line="360" w:lineRule="auto"/>
        <w:rPr>
          <w:color w:val="auto"/>
        </w:rPr>
        <w:sectPr>
          <w:pgSz w:w="11906" w:h="16838"/>
          <w:pgMar w:top="1134" w:right="1134" w:bottom="1134" w:left="1134" w:header="699" w:footer="567" w:gutter="0"/>
          <w:cols w:num="1" w:space="425"/>
          <w:titlePg/>
          <w:docGrid w:type="lines" w:linePitch="312" w:charSpace="0"/>
        </w:sectPr>
      </w:pPr>
    </w:p>
    <w:p>
      <w:pPr>
        <w:pStyle w:val="Heading2"/>
        <w:numPr>
          <w:ilvl w:val="0"/>
          <w:numId w:val="21"/>
        </w:numPr>
        <w:spacing w:line="240" w:lineRule="auto"/>
        <w:jc w:val="center"/>
        <w:rPr>
          <w:b w:val="0"/>
          <w:color w:val="auto"/>
        </w:rPr>
      </w:pPr>
      <w:r>
        <w:rPr>
          <w:rFonts w:hint="eastAsia"/>
          <w:b w:val="0"/>
          <w:color w:val="auto"/>
        </w:rPr>
        <w:t>实质性条款响应一览表</w:t>
      </w:r>
    </w:p>
    <w:p>
      <w:pPr>
        <w:jc w:val="center"/>
        <w:rPr>
          <w:rFonts w:ascii="Arial" w:eastAsia="黑体" w:hAnsi="Arial"/>
          <w:bCs/>
          <w:color w:val="auto"/>
          <w:kern w:val="2"/>
          <w:sz w:val="32"/>
          <w:szCs w:val="32"/>
          <w:lang w:val="zh-CN"/>
        </w:rPr>
      </w:pPr>
      <w:r>
        <w:rPr>
          <w:rFonts w:ascii="Arial" w:eastAsia="黑体" w:hAnsi="Arial" w:hint="eastAsia"/>
          <w:bCs/>
          <w:color w:val="auto"/>
          <w:kern w:val="2"/>
          <w:sz w:val="32"/>
          <w:szCs w:val="32"/>
          <w:lang w:val="zh-CN"/>
        </w:rPr>
        <w:t>（非信息公开部分）</w:t>
      </w:r>
    </w:p>
    <w:p>
      <w:pPr>
        <w:spacing w:line="400" w:lineRule="exact"/>
        <w:ind w:left="945" w:hanging="945" w:hangingChars="450"/>
        <w:rPr>
          <w:rFonts w:ascii="宋体" w:hAnsi="宋体"/>
          <w:color w:val="auto"/>
        </w:rPr>
      </w:pPr>
      <w:r>
        <w:rPr>
          <w:rFonts w:ascii="宋体" w:hAnsi="宋体" w:hint="eastAsia"/>
          <w:color w:val="auto"/>
        </w:rPr>
        <w:t>说明：响应供应商必须对应采购文件</w:t>
      </w:r>
      <w:r>
        <w:rPr>
          <w:rFonts w:hint="eastAsia"/>
          <w:color w:val="auto"/>
        </w:rPr>
        <w:t>带“</w:t>
      </w:r>
      <w:r>
        <w:rPr>
          <w:rFonts w:ascii="宋体" w:hint="eastAsia"/>
          <w:b/>
          <w:bCs/>
          <w:color w:val="auto"/>
          <w:szCs w:val="20"/>
        </w:rPr>
        <w:t>★</w:t>
      </w:r>
      <w:r>
        <w:rPr>
          <w:rFonts w:hint="eastAsia"/>
          <w:color w:val="auto"/>
        </w:rPr>
        <w:t>”的</w:t>
      </w:r>
      <w:r>
        <w:rPr>
          <w:rFonts w:ascii="宋体" w:hAnsi="宋体" w:hint="eastAsia"/>
          <w:color w:val="auto"/>
        </w:rPr>
        <w:t>无效投标条款逐条应答并按要求填写下表。</w:t>
      </w:r>
    </w:p>
    <w:p>
      <w:pPr>
        <w:spacing w:line="400" w:lineRule="exact"/>
        <w:ind w:firstLine="105" w:firstLineChars="50"/>
        <w:rPr>
          <w:rFonts w:ascii="宋体" w:eastAsia="宋体" w:hAnsi="宋体" w:hint="eastAsia"/>
          <w:color w:val="auto"/>
          <w:lang w:eastAsia="zh-CN"/>
        </w:rPr>
      </w:pPr>
      <w:r>
        <w:rPr>
          <w:rFonts w:ascii="宋体" w:hAnsi="宋体" w:hint="eastAsia"/>
          <w:color w:val="auto"/>
        </w:rPr>
        <w:t>响应供应商名称：                           项目编号：</w:t>
      </w:r>
      <w:r>
        <w:rPr>
          <w:rFonts w:ascii="宋体" w:hAnsi="宋体" w:hint="eastAsia"/>
          <w:color w:val="auto"/>
          <w:lang w:eastAsia="zh-CN"/>
        </w:rPr>
        <w:t>SZDL2024001286（CLF0123SZ22ZC60C）</w:t>
      </w:r>
    </w:p>
    <w:tbl>
      <w:tblPr>
        <w:tblStyle w:val="TableNormal"/>
        <w:tblW w:w="948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0" w:type="dxa"/>
          <w:left w:w="108" w:type="dxa"/>
          <w:bottom w:w="0" w:type="dxa"/>
          <w:right w:w="108" w:type="dxa"/>
        </w:tblCellMar>
      </w:tblPr>
      <w:tblGrid>
        <w:gridCol w:w="702"/>
        <w:gridCol w:w="2530"/>
        <w:gridCol w:w="2531"/>
        <w:gridCol w:w="2003"/>
        <w:gridCol w:w="1722"/>
      </w:tblGrid>
      <w:tr>
        <w:tblPrEx>
          <w:tblW w:w="948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0" w:type="dxa"/>
            <w:left w:w="108" w:type="dxa"/>
            <w:bottom w:w="0" w:type="dxa"/>
            <w:right w:w="108" w:type="dxa"/>
          </w:tblCellMar>
        </w:tblPrEx>
        <w:trPr>
          <w:trHeight w:val="921"/>
          <w:jc w:val="center"/>
        </w:trPr>
        <w:tc>
          <w:tcPr>
            <w:tcW w:w="702" w:type="dxa"/>
            <w:tcBorders>
              <w:top w:val="single" w:sz="12" w:space="0" w:color="auto"/>
              <w:bottom w:val="double" w:sz="4" w:space="0" w:color="auto"/>
            </w:tcBorders>
            <w:shd w:val="clear" w:color="auto" w:fill="EEECE1"/>
            <w:vAlign w:val="center"/>
          </w:tcPr>
          <w:p>
            <w:pPr>
              <w:ind w:left="-120" w:right="-88" w:leftChars="-57" w:rightChars="-42"/>
              <w:jc w:val="center"/>
              <w:rPr>
                <w:rFonts w:ascii="宋体" w:eastAsia="宋体" w:hAnsi="宋体" w:cs="宋体" w:hint="eastAsia"/>
                <w:sz w:val="21"/>
                <w:szCs w:val="21"/>
              </w:rPr>
            </w:pPr>
            <w:r>
              <w:rPr>
                <w:rFonts w:ascii="宋体" w:eastAsia="宋体" w:hAnsi="宋体" w:cs="宋体" w:hint="eastAsia"/>
                <w:sz w:val="21"/>
                <w:szCs w:val="21"/>
              </w:rPr>
              <w:t>序号</w:t>
            </w:r>
          </w:p>
        </w:tc>
        <w:tc>
          <w:tcPr>
            <w:tcW w:w="2530" w:type="dxa"/>
            <w:tcBorders>
              <w:top w:val="single" w:sz="12" w:space="0" w:color="auto"/>
              <w:bottom w:val="double" w:sz="4" w:space="0" w:color="auto"/>
            </w:tcBorders>
            <w:shd w:val="clear" w:color="auto" w:fill="EEECE1"/>
            <w:vAlign w:val="center"/>
          </w:tcPr>
          <w:p>
            <w:pPr>
              <w:jc w:val="center"/>
              <w:rPr>
                <w:rFonts w:ascii="宋体" w:eastAsia="宋体" w:hAnsi="宋体" w:cs="宋体" w:hint="eastAsia"/>
                <w:sz w:val="21"/>
                <w:szCs w:val="21"/>
              </w:rPr>
            </w:pPr>
            <w:r>
              <w:rPr>
                <w:rFonts w:ascii="宋体" w:eastAsia="宋体" w:hAnsi="宋体" w:cs="宋体" w:hint="eastAsia"/>
                <w:sz w:val="21"/>
                <w:szCs w:val="21"/>
              </w:rPr>
              <w:t>采购文件★号条款描述</w:t>
            </w:r>
          </w:p>
        </w:tc>
        <w:tc>
          <w:tcPr>
            <w:tcW w:w="2531" w:type="dxa"/>
            <w:tcBorders>
              <w:top w:val="single" w:sz="12" w:space="0" w:color="auto"/>
              <w:bottom w:val="double" w:sz="4" w:space="0" w:color="auto"/>
            </w:tcBorders>
            <w:shd w:val="clear" w:color="auto" w:fill="EEECE1"/>
            <w:vAlign w:val="center"/>
          </w:tcPr>
          <w:p>
            <w:pPr>
              <w:jc w:val="center"/>
              <w:rPr>
                <w:rFonts w:ascii="宋体" w:eastAsia="宋体" w:hAnsi="宋体" w:cs="宋体" w:hint="eastAsia"/>
                <w:sz w:val="21"/>
                <w:szCs w:val="21"/>
              </w:rPr>
            </w:pPr>
            <w:r>
              <w:rPr>
                <w:rFonts w:ascii="宋体" w:eastAsia="宋体" w:hAnsi="宋体" w:cs="宋体" w:hint="eastAsia"/>
                <w:sz w:val="21"/>
                <w:szCs w:val="21"/>
              </w:rPr>
              <w:t>响应供应商响应描述</w:t>
            </w:r>
          </w:p>
        </w:tc>
        <w:tc>
          <w:tcPr>
            <w:tcW w:w="2003" w:type="dxa"/>
            <w:tcBorders>
              <w:top w:val="single" w:sz="12" w:space="0" w:color="auto"/>
              <w:bottom w:val="double" w:sz="4" w:space="0" w:color="auto"/>
              <w:right w:val="single" w:sz="2" w:space="0" w:color="auto"/>
            </w:tcBorders>
            <w:shd w:val="clear" w:color="auto" w:fill="EEECE1"/>
            <w:vAlign w:val="center"/>
          </w:tcPr>
          <w:p>
            <w:pPr>
              <w:jc w:val="center"/>
              <w:rPr>
                <w:rFonts w:ascii="宋体" w:eastAsia="宋体" w:hAnsi="宋体" w:cs="宋体" w:hint="eastAsia"/>
                <w:sz w:val="21"/>
                <w:szCs w:val="21"/>
              </w:rPr>
            </w:pPr>
            <w:r>
              <w:rPr>
                <w:rFonts w:ascii="宋体" w:eastAsia="宋体" w:hAnsi="宋体" w:cs="宋体" w:hint="eastAsia"/>
                <w:sz w:val="21"/>
                <w:szCs w:val="21"/>
              </w:rPr>
              <w:t>偏离情况说明</w:t>
            </w:r>
          </w:p>
          <w:p>
            <w:pPr>
              <w:jc w:val="center"/>
              <w:rPr>
                <w:rFonts w:ascii="宋体" w:eastAsia="宋体" w:hAnsi="宋体" w:cs="宋体" w:hint="eastAsia"/>
                <w:sz w:val="21"/>
                <w:szCs w:val="21"/>
              </w:rPr>
            </w:pPr>
            <w:r>
              <w:rPr>
                <w:rFonts w:ascii="宋体" w:eastAsia="宋体" w:hAnsi="宋体" w:cs="宋体" w:hint="eastAsia"/>
                <w:sz w:val="21"/>
                <w:szCs w:val="21"/>
              </w:rPr>
              <w:t>（正偏离/完全响应/负偏离）</w:t>
            </w:r>
          </w:p>
        </w:tc>
        <w:tc>
          <w:tcPr>
            <w:tcW w:w="1722" w:type="dxa"/>
            <w:tcBorders>
              <w:top w:val="single" w:sz="12" w:space="0" w:color="auto"/>
              <w:left w:val="single" w:sz="2" w:space="0" w:color="auto"/>
              <w:bottom w:val="double" w:sz="4" w:space="0" w:color="auto"/>
            </w:tcBorders>
            <w:shd w:val="clear" w:color="auto" w:fill="EEECE1"/>
            <w:vAlign w:val="center"/>
          </w:tcPr>
          <w:p>
            <w:pPr>
              <w:jc w:val="center"/>
              <w:rPr>
                <w:rFonts w:ascii="宋体" w:eastAsia="宋体" w:hAnsi="宋体" w:cs="宋体" w:hint="eastAsia"/>
                <w:sz w:val="21"/>
                <w:szCs w:val="21"/>
              </w:rPr>
            </w:pPr>
            <w:r>
              <w:rPr>
                <w:rFonts w:ascii="宋体" w:eastAsia="宋体" w:hAnsi="宋体" w:cs="宋体" w:hint="eastAsia"/>
                <w:sz w:val="21"/>
                <w:szCs w:val="21"/>
              </w:rPr>
              <w:t>说明</w:t>
            </w:r>
          </w:p>
        </w:tc>
      </w:tr>
      <w:tr>
        <w:tblPrEx>
          <w:tblW w:w="9488" w:type="dxa"/>
          <w:jc w:val="center"/>
          <w:tblLayout w:type="fixed"/>
          <w:tblCellMar>
            <w:top w:w="0" w:type="dxa"/>
            <w:left w:w="108" w:type="dxa"/>
            <w:bottom w:w="0" w:type="dxa"/>
            <w:right w:w="108" w:type="dxa"/>
          </w:tblCellMar>
        </w:tblPrEx>
        <w:trPr>
          <w:trHeight w:val="6315"/>
          <w:jc w:val="center"/>
        </w:trPr>
        <w:tc>
          <w:tcPr>
            <w:tcW w:w="702" w:type="dxa"/>
            <w:tcBorders>
              <w:top w:val="double" w:sz="4" w:space="0" w:color="auto"/>
            </w:tcBorders>
            <w:vAlign w:val="center"/>
          </w:tcPr>
          <w:p>
            <w:pPr>
              <w:numPr>
                <w:ilvl w:val="0"/>
                <w:numId w:val="28"/>
              </w:numPr>
              <w:ind w:left="167" w:hanging="167"/>
              <w:jc w:val="center"/>
              <w:rPr>
                <w:rFonts w:ascii="宋体" w:eastAsia="宋体" w:hAnsi="宋体" w:cs="宋体" w:hint="eastAsia"/>
                <w:sz w:val="21"/>
                <w:szCs w:val="21"/>
              </w:rPr>
            </w:pPr>
          </w:p>
        </w:tc>
        <w:tc>
          <w:tcPr>
            <w:tcW w:w="2530" w:type="dxa"/>
            <w:tcBorders>
              <w:top w:val="double" w:sz="4" w:space="0" w:color="auto"/>
            </w:tcBorders>
            <w:vAlign w:val="center"/>
          </w:tcPr>
          <w:p>
            <w:pPr>
              <w:keepNext w:val="0"/>
              <w:keepLines w:val="0"/>
              <w:pageBreakBefore w:val="0"/>
              <w:kinsoku/>
              <w:wordWrap/>
              <w:overflowPunct/>
              <w:topLinePunct w:val="0"/>
              <w:autoSpaceDE/>
              <w:autoSpaceDN/>
              <w:bidi w:val="0"/>
              <w:adjustRightInd w:val="0"/>
              <w:snapToGrid w:val="0"/>
              <w:spacing w:line="360" w:lineRule="auto"/>
              <w:ind w:left="0" w:firstLine="0" w:leftChars="0" w:firstLineChars="0"/>
              <w:textAlignment w:val="auto"/>
              <w:rPr>
                <w:rFonts w:ascii="宋体" w:eastAsia="宋体" w:hAnsi="宋体" w:cs="宋体" w:hint="eastAsia"/>
                <w:b/>
                <w:bCs/>
                <w:color w:val="000000"/>
                <w:sz w:val="21"/>
                <w:szCs w:val="21"/>
                <w:highlight w:val="none"/>
                <w:lang w:val="en-US" w:eastAsia="zh-CN"/>
              </w:rPr>
            </w:pPr>
            <w:r>
              <w:rPr>
                <w:rFonts w:ascii="宋体" w:hAnsi="宋体" w:hint="eastAsia"/>
                <w:color w:val="auto"/>
              </w:rPr>
              <w:t>★</w:t>
            </w:r>
            <w:r>
              <w:rPr>
                <w:rFonts w:ascii="宋体" w:eastAsia="宋体" w:hAnsi="宋体" w:cs="宋体" w:hint="eastAsia"/>
                <w:b/>
                <w:bCs/>
                <w:color w:val="000000"/>
                <w:sz w:val="21"/>
                <w:szCs w:val="21"/>
                <w:highlight w:val="none"/>
                <w:lang w:val="en-US" w:eastAsia="zh-CN"/>
              </w:rPr>
              <w:t>2.2内容要求：</w:t>
            </w:r>
          </w:p>
          <w:p>
            <w:pPr>
              <w:keepNext w:val="0"/>
              <w:keepLines w:val="0"/>
              <w:pageBreakBefore w:val="0"/>
              <w:numPr>
                <w:ilvl w:val="255"/>
                <w:numId w:val="0"/>
              </w:numPr>
              <w:kinsoku/>
              <w:wordWrap/>
              <w:overflowPunct/>
              <w:topLinePunct w:val="0"/>
              <w:autoSpaceDE/>
              <w:autoSpaceDN/>
              <w:bidi w:val="0"/>
              <w:adjustRightInd w:val="0"/>
              <w:snapToGrid w:val="0"/>
              <w:spacing w:line="360" w:lineRule="auto"/>
              <w:ind w:left="0" w:firstLine="0" w:leftChars="0" w:firstLineChars="0"/>
              <w:textAlignment w:val="auto"/>
              <w:rPr>
                <w:rFonts w:ascii="宋体" w:eastAsia="宋体" w:hAnsi="宋体" w:cs="宋体" w:hint="eastAsia"/>
                <w:b/>
                <w:bCs/>
                <w:color w:val="000000"/>
                <w:sz w:val="21"/>
                <w:szCs w:val="21"/>
                <w:highlight w:val="none"/>
                <w:u w:val="double"/>
                <w:lang w:val="en-US" w:eastAsia="zh-CN"/>
              </w:rPr>
            </w:pPr>
            <w:r>
              <w:rPr>
                <w:rFonts w:ascii="宋体" w:hAnsi="宋体" w:cs="宋体" w:hint="eastAsia"/>
                <w:b/>
                <w:bCs/>
                <w:color w:val="000000"/>
                <w:sz w:val="21"/>
                <w:szCs w:val="21"/>
                <w:highlight w:val="none"/>
                <w:u w:val="double"/>
                <w:lang w:val="en-US" w:eastAsia="zh-CN"/>
              </w:rPr>
              <w:t>1.要求投标人投标时提供</w:t>
            </w:r>
            <w:r>
              <w:rPr>
                <w:rFonts w:ascii="宋体" w:eastAsia="宋体" w:hAnsi="宋体" w:cs="宋体" w:hint="eastAsia"/>
                <w:b/>
                <w:bCs/>
                <w:color w:val="000000"/>
                <w:sz w:val="21"/>
                <w:szCs w:val="21"/>
                <w:highlight w:val="none"/>
                <w:u w:val="double"/>
                <w:lang w:val="en-US" w:eastAsia="zh-CN"/>
              </w:rPr>
              <w:t>设备结构图（包括管口与止逆阀口方位等）、非标设备图纸、换热系统设计、工艺流程图、平面布置图、管道平面布置图、设备和材料清单、施工设计说明和相关计算书等行业规定的设计与计算文件。</w:t>
            </w:r>
          </w:p>
          <w:p>
            <w:pPr>
              <w:keepNext w:val="0"/>
              <w:keepLines w:val="0"/>
              <w:pageBreakBefore w:val="0"/>
              <w:numPr>
                <w:ilvl w:val="255"/>
                <w:numId w:val="0"/>
              </w:numPr>
              <w:kinsoku/>
              <w:wordWrap/>
              <w:overflowPunct/>
              <w:topLinePunct w:val="0"/>
              <w:autoSpaceDE/>
              <w:autoSpaceDN/>
              <w:bidi w:val="0"/>
              <w:adjustRightInd w:val="0"/>
              <w:snapToGrid w:val="0"/>
              <w:spacing w:line="360" w:lineRule="auto"/>
              <w:ind w:left="0" w:firstLine="0" w:leftChars="0" w:firstLineChars="0"/>
              <w:textAlignment w:val="auto"/>
              <w:rPr>
                <w:rFonts w:ascii="宋体" w:eastAsia="宋体" w:hAnsi="宋体" w:cs="宋体" w:hint="default"/>
                <w:color w:val="000000"/>
                <w:sz w:val="21"/>
                <w:szCs w:val="21"/>
                <w:highlight w:val="none"/>
                <w:lang w:val="en-US" w:eastAsia="zh-CN"/>
              </w:rPr>
            </w:pPr>
            <w:r>
              <w:rPr>
                <w:rFonts w:ascii="宋体" w:hAnsi="宋体" w:cs="宋体" w:hint="eastAsia"/>
                <w:color w:val="000000"/>
                <w:sz w:val="21"/>
                <w:szCs w:val="21"/>
                <w:highlight w:val="none"/>
                <w:lang w:val="en-US" w:eastAsia="zh-CN"/>
              </w:rPr>
              <w:t>2.投标人中标后的设计</w:t>
            </w:r>
            <w:r>
              <w:rPr>
                <w:rFonts w:ascii="宋体" w:eastAsia="宋体" w:hAnsi="宋体" w:cs="宋体" w:hint="eastAsia"/>
                <w:color w:val="000000"/>
                <w:sz w:val="21"/>
                <w:szCs w:val="21"/>
                <w:highlight w:val="none"/>
                <w:lang w:val="en-US" w:eastAsia="zh-CN"/>
              </w:rPr>
              <w:t>图</w:t>
            </w:r>
            <w:r>
              <w:rPr>
                <w:rFonts w:ascii="宋体" w:hAnsi="宋体" w:cs="宋体" w:hint="eastAsia"/>
                <w:color w:val="000000"/>
                <w:sz w:val="21"/>
                <w:szCs w:val="21"/>
                <w:highlight w:val="none"/>
                <w:lang w:val="en-US" w:eastAsia="zh-CN"/>
              </w:rPr>
              <w:t>需经过采购人组织的专家进行评审，审核通过后，方可按照修改后的设计方案进行设备生产制造。</w:t>
            </w:r>
          </w:p>
          <w:p>
            <w:pPr>
              <w:keepNext w:val="0"/>
              <w:keepLines w:val="0"/>
              <w:suppressLineNumbers w:val="0"/>
              <w:spacing w:before="0" w:beforeAutospacing="0" w:after="0" w:afterAutospacing="0"/>
              <w:ind w:left="-78" w:right="-80" w:leftChars="-37" w:rightChars="-38"/>
              <w:jc w:val="both"/>
              <w:rPr>
                <w:rFonts w:ascii="宋体" w:eastAsia="宋体" w:hAnsi="宋体" w:cs="宋体" w:hint="eastAsia"/>
                <w:sz w:val="21"/>
                <w:szCs w:val="21"/>
              </w:rPr>
            </w:pPr>
          </w:p>
        </w:tc>
        <w:tc>
          <w:tcPr>
            <w:tcW w:w="2531" w:type="dxa"/>
            <w:tcBorders>
              <w:top w:val="double" w:sz="4" w:space="0" w:color="auto"/>
            </w:tcBorders>
            <w:vAlign w:val="center"/>
          </w:tcPr>
          <w:p>
            <w:pPr>
              <w:jc w:val="center"/>
              <w:rPr>
                <w:rFonts w:ascii="宋体" w:eastAsia="宋体" w:hAnsi="宋体" w:cs="宋体" w:hint="eastAsia"/>
                <w:sz w:val="21"/>
                <w:szCs w:val="21"/>
              </w:rPr>
            </w:pPr>
          </w:p>
        </w:tc>
        <w:tc>
          <w:tcPr>
            <w:tcW w:w="2003" w:type="dxa"/>
            <w:tcBorders>
              <w:top w:val="double" w:sz="4" w:space="0" w:color="auto"/>
              <w:right w:val="single" w:sz="2" w:space="0" w:color="auto"/>
            </w:tcBorders>
            <w:vAlign w:val="center"/>
          </w:tcPr>
          <w:p>
            <w:pPr>
              <w:jc w:val="center"/>
              <w:rPr>
                <w:rFonts w:ascii="宋体" w:eastAsia="宋体" w:hAnsi="宋体" w:cs="宋体" w:hint="eastAsia"/>
                <w:sz w:val="21"/>
                <w:szCs w:val="21"/>
              </w:rPr>
            </w:pPr>
          </w:p>
        </w:tc>
        <w:tc>
          <w:tcPr>
            <w:tcW w:w="1722" w:type="dxa"/>
            <w:tcBorders>
              <w:top w:val="double" w:sz="4" w:space="0" w:color="auto"/>
              <w:left w:val="single" w:sz="2" w:space="0" w:color="auto"/>
            </w:tcBorders>
            <w:vAlign w:val="center"/>
          </w:tcPr>
          <w:p>
            <w:pPr>
              <w:adjustRightInd w:val="0"/>
              <w:snapToGrid w:val="0"/>
              <w:rPr>
                <w:rFonts w:ascii="宋体" w:eastAsia="宋体" w:hAnsi="宋体" w:cs="宋体" w:hint="eastAsia"/>
                <w:sz w:val="21"/>
                <w:szCs w:val="21"/>
              </w:rPr>
            </w:pPr>
          </w:p>
        </w:tc>
      </w:tr>
      <w:tr>
        <w:tblPrEx>
          <w:tblW w:w="9488" w:type="dxa"/>
          <w:jc w:val="center"/>
          <w:tblLayout w:type="fixed"/>
          <w:tblCellMar>
            <w:top w:w="0" w:type="dxa"/>
            <w:left w:w="108" w:type="dxa"/>
            <w:bottom w:w="0" w:type="dxa"/>
            <w:right w:w="108" w:type="dxa"/>
          </w:tblCellMar>
        </w:tblPrEx>
        <w:trPr>
          <w:trHeight w:val="4411"/>
          <w:jc w:val="center"/>
        </w:trPr>
        <w:tc>
          <w:tcPr>
            <w:tcW w:w="702" w:type="dxa"/>
            <w:tcBorders>
              <w:top w:val="double" w:sz="4" w:space="0" w:color="auto"/>
            </w:tcBorders>
            <w:vAlign w:val="center"/>
          </w:tcPr>
          <w:p>
            <w:pPr>
              <w:numPr>
                <w:ilvl w:val="0"/>
                <w:numId w:val="28"/>
              </w:numPr>
              <w:ind w:left="167" w:hanging="167"/>
              <w:jc w:val="center"/>
              <w:rPr>
                <w:rFonts w:ascii="宋体" w:eastAsia="宋体" w:hAnsi="宋体" w:cs="宋体" w:hint="eastAsia"/>
                <w:sz w:val="21"/>
                <w:szCs w:val="21"/>
              </w:rPr>
            </w:pPr>
          </w:p>
        </w:tc>
        <w:tc>
          <w:tcPr>
            <w:tcW w:w="2530" w:type="dxa"/>
            <w:tcBorders>
              <w:top w:val="double" w:sz="4" w:space="0" w:color="auto"/>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right="0"/>
              <w:textAlignment w:val="auto"/>
              <w:rPr>
                <w:rFonts w:ascii="宋体" w:eastAsia="宋体" w:hAnsi="宋体" w:cs="宋体" w:hint="eastAsia"/>
                <w:b/>
                <w:bCs/>
                <w:sz w:val="21"/>
                <w:szCs w:val="21"/>
              </w:rPr>
            </w:pPr>
            <w:r>
              <w:rPr>
                <w:rFonts w:ascii="宋体" w:eastAsia="宋体" w:hAnsi="宋体" w:cs="宋体" w:hint="eastAsia"/>
                <w:b/>
                <w:bCs/>
                <w:sz w:val="21"/>
                <w:szCs w:val="21"/>
              </w:rPr>
              <w:t>★3．</w:t>
            </w:r>
            <w:r>
              <w:rPr>
                <w:rFonts w:ascii="宋体" w:eastAsia="宋体" w:hAnsi="宋体" w:cs="宋体" w:hint="eastAsia"/>
                <w:b/>
                <w:bCs/>
                <w:sz w:val="21"/>
                <w:szCs w:val="21"/>
                <w:lang w:val="en-US" w:eastAsia="zh-CN"/>
              </w:rPr>
              <w:t>设备</w:t>
            </w:r>
            <w:r>
              <w:rPr>
                <w:rFonts w:ascii="宋体" w:eastAsia="宋体" w:hAnsi="宋体" w:cs="宋体" w:hint="eastAsia"/>
                <w:b/>
                <w:bCs/>
                <w:sz w:val="21"/>
                <w:szCs w:val="21"/>
              </w:rPr>
              <w:t>配置要求</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position w:val="-20"/>
                <w:sz w:val="21"/>
                <w:szCs w:val="21"/>
                <w:highlight w:val="none"/>
              </w:rPr>
            </w:pPr>
            <w:r>
              <w:rPr>
                <w:rFonts w:ascii="宋体" w:eastAsia="宋体" w:hAnsi="宋体" w:cs="宋体" w:hint="eastAsia"/>
                <w:color w:val="000000"/>
                <w:position w:val="-20"/>
                <w:sz w:val="21"/>
                <w:szCs w:val="21"/>
                <w:highlight w:val="none"/>
              </w:rPr>
              <w:t xml:space="preserve">3.1 </w:t>
            </w:r>
            <w:r>
              <w:rPr>
                <w:rFonts w:ascii="宋体" w:eastAsia="宋体" w:hAnsi="宋体" w:cs="宋体" w:hint="eastAsia"/>
                <w:color w:val="000000"/>
                <w:kern w:val="2"/>
                <w:position w:val="-20"/>
                <w:sz w:val="21"/>
                <w:szCs w:val="21"/>
                <w:lang w:val="en-US" w:eastAsia="zh-CN"/>
              </w:rPr>
              <w:t>污泥输送泵：1台</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position w:val="-20"/>
                <w:sz w:val="21"/>
                <w:szCs w:val="21"/>
                <w:highlight w:val="none"/>
                <w:lang w:val="en-US" w:eastAsia="zh-CN"/>
              </w:rPr>
            </w:pPr>
            <w:r>
              <w:rPr>
                <w:rFonts w:ascii="宋体" w:eastAsia="宋体" w:hAnsi="宋体" w:cs="宋体" w:hint="eastAsia"/>
                <w:color w:val="000000"/>
                <w:position w:val="-20"/>
                <w:sz w:val="21"/>
                <w:szCs w:val="21"/>
                <w:highlight w:val="none"/>
                <w:lang w:val="en-US" w:eastAsia="zh-CN"/>
              </w:rPr>
              <w:t>3.2配料罐</w:t>
            </w:r>
            <w:r>
              <w:rPr>
                <w:rFonts w:ascii="宋体" w:eastAsia="宋体" w:hAnsi="宋体" w:cs="宋体" w:hint="eastAsia"/>
                <w:color w:val="000000"/>
                <w:position w:val="-20"/>
                <w:sz w:val="21"/>
                <w:szCs w:val="21"/>
                <w:highlight w:val="none"/>
              </w:rPr>
              <w:t xml:space="preserve"> </w:t>
            </w:r>
            <w:r>
              <w:rPr>
                <w:rFonts w:ascii="宋体" w:eastAsia="宋体" w:hAnsi="宋体" w:cs="宋体" w:hint="eastAsia"/>
                <w:color w:val="000000"/>
                <w:position w:val="-20"/>
                <w:sz w:val="21"/>
                <w:szCs w:val="21"/>
                <w:highlight w:val="none"/>
                <w:lang w:eastAsia="zh-CN"/>
              </w:rPr>
              <w:t>：</w:t>
            </w:r>
            <w:r>
              <w:rPr>
                <w:rFonts w:ascii="宋体" w:eastAsia="宋体" w:hAnsi="宋体" w:cs="宋体" w:hint="eastAsia"/>
                <w:color w:val="000000"/>
                <w:position w:val="-20"/>
                <w:sz w:val="21"/>
                <w:szCs w:val="21"/>
                <w:highlight w:val="none"/>
                <w:lang w:val="en-US" w:eastAsia="zh-CN"/>
              </w:rPr>
              <w:t>1个</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position w:val="-20"/>
                <w:sz w:val="21"/>
                <w:szCs w:val="21"/>
                <w:highlight w:val="none"/>
                <w:lang w:val="en-US" w:eastAsia="zh-CN"/>
              </w:rPr>
            </w:pPr>
            <w:r>
              <w:rPr>
                <w:rFonts w:ascii="宋体" w:eastAsia="宋体" w:hAnsi="宋体" w:cs="宋体" w:hint="eastAsia"/>
                <w:color w:val="000000"/>
                <w:position w:val="-20"/>
                <w:sz w:val="21"/>
                <w:szCs w:val="21"/>
                <w:highlight w:val="none"/>
                <w:lang w:val="en-US" w:eastAsia="zh-CN"/>
              </w:rPr>
              <w:t xml:space="preserve">3.3 </w:t>
            </w:r>
            <w:r>
              <w:rPr>
                <w:rFonts w:ascii="宋体" w:eastAsia="宋体" w:hAnsi="宋体" w:cs="宋体" w:hint="eastAsia"/>
                <w:color w:val="000000"/>
                <w:kern w:val="2"/>
                <w:position w:val="-20"/>
                <w:sz w:val="21"/>
                <w:szCs w:val="21"/>
                <w:lang w:val="en-US" w:eastAsia="zh-CN"/>
              </w:rPr>
              <w:t>切割型污水泵:1台</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kern w:val="2"/>
                <w:position w:val="-20"/>
                <w:sz w:val="21"/>
                <w:szCs w:val="21"/>
                <w:lang w:val="en-US" w:eastAsia="zh-CN"/>
              </w:rPr>
            </w:pPr>
            <w:r>
              <w:rPr>
                <w:rFonts w:ascii="宋体" w:eastAsia="宋体" w:hAnsi="宋体" w:cs="宋体" w:hint="eastAsia"/>
                <w:color w:val="000000"/>
                <w:position w:val="-20"/>
                <w:sz w:val="21"/>
                <w:szCs w:val="21"/>
                <w:lang w:val="en-US" w:eastAsia="zh-CN"/>
              </w:rPr>
              <w:t>3.4换</w:t>
            </w:r>
            <w:r>
              <w:rPr>
                <w:rFonts w:ascii="宋体" w:eastAsia="宋体" w:hAnsi="宋体" w:cs="宋体" w:hint="eastAsia"/>
                <w:color w:val="000000"/>
                <w:kern w:val="2"/>
                <w:position w:val="-20"/>
                <w:sz w:val="21"/>
                <w:szCs w:val="21"/>
                <w:lang w:val="en-US" w:eastAsia="zh-CN"/>
              </w:rPr>
              <w:t>热器：</w:t>
            </w:r>
            <w:r>
              <w:rPr>
                <w:rFonts w:ascii="宋体" w:eastAsia="宋体" w:hAnsi="宋体" w:cs="宋体" w:hint="eastAsia"/>
                <w:color w:val="000000"/>
                <w:kern w:val="2"/>
                <w:position w:val="-20"/>
                <w:sz w:val="21"/>
                <w:szCs w:val="21"/>
                <w:highlight w:val="none"/>
                <w:lang w:val="en-US" w:eastAsia="zh-CN"/>
              </w:rPr>
              <w:t>2套</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kern w:val="2"/>
                <w:position w:val="-20"/>
                <w:sz w:val="21"/>
                <w:szCs w:val="21"/>
                <w:highlight w:val="none"/>
                <w:lang w:val="en-US" w:eastAsia="zh-CN"/>
              </w:rPr>
            </w:pPr>
            <w:r>
              <w:rPr>
                <w:rFonts w:ascii="宋体" w:eastAsia="宋体" w:hAnsi="宋体" w:cs="宋体" w:hint="eastAsia"/>
                <w:color w:val="000000"/>
                <w:position w:val="-20"/>
                <w:sz w:val="21"/>
                <w:szCs w:val="21"/>
                <w:lang w:val="en-US" w:eastAsia="zh-CN"/>
              </w:rPr>
              <w:t>3.5</w:t>
            </w:r>
            <w:r>
              <w:rPr>
                <w:rFonts w:ascii="宋体" w:eastAsia="宋体" w:hAnsi="宋体" w:cs="宋体" w:hint="eastAsia"/>
                <w:color w:val="000000"/>
                <w:kern w:val="2"/>
                <w:position w:val="-20"/>
                <w:sz w:val="21"/>
                <w:szCs w:val="21"/>
                <w:lang w:val="en-US" w:eastAsia="zh-CN"/>
              </w:rPr>
              <w:t>平衡池：</w:t>
            </w:r>
            <w:r>
              <w:rPr>
                <w:rFonts w:ascii="宋体" w:eastAsia="宋体" w:hAnsi="宋体" w:cs="宋体" w:hint="eastAsia"/>
                <w:color w:val="000000"/>
                <w:kern w:val="2"/>
                <w:position w:val="-20"/>
                <w:sz w:val="21"/>
                <w:szCs w:val="21"/>
                <w:highlight w:val="none"/>
                <w:lang w:val="en-US" w:eastAsia="zh-CN"/>
              </w:rPr>
              <w:t>2</w:t>
            </w:r>
            <w:r>
              <w:rPr>
                <w:rFonts w:ascii="宋体" w:eastAsia="宋体" w:hAnsi="宋体" w:cs="宋体" w:hint="eastAsia"/>
                <w:color w:val="000000"/>
                <w:kern w:val="2"/>
                <w:position w:val="-20"/>
                <w:sz w:val="21"/>
                <w:szCs w:val="21"/>
                <w:lang w:val="en-US" w:eastAsia="zh-CN"/>
              </w:rPr>
              <w:t>个</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kern w:val="2"/>
                <w:position w:val="-20"/>
                <w:sz w:val="21"/>
                <w:szCs w:val="21"/>
                <w:lang w:val="en-US" w:eastAsia="zh-CN"/>
              </w:rPr>
            </w:pPr>
            <w:r>
              <w:rPr>
                <w:rFonts w:ascii="宋体" w:eastAsia="宋体" w:hAnsi="宋体" w:cs="宋体" w:hint="eastAsia"/>
                <w:color w:val="000000"/>
                <w:kern w:val="2"/>
                <w:position w:val="-20"/>
                <w:sz w:val="21"/>
                <w:szCs w:val="21"/>
                <w:highlight w:val="none"/>
                <w:lang w:val="en-US" w:eastAsia="zh-CN"/>
              </w:rPr>
              <w:t>3.6</w:t>
            </w:r>
            <w:r>
              <w:rPr>
                <w:rFonts w:ascii="宋体" w:eastAsia="宋体" w:hAnsi="宋体" w:cs="宋体" w:hint="eastAsia"/>
                <w:color w:val="000000"/>
                <w:kern w:val="2"/>
                <w:position w:val="-20"/>
                <w:sz w:val="21"/>
                <w:szCs w:val="21"/>
                <w:lang w:val="en-US" w:eastAsia="zh-CN"/>
              </w:rPr>
              <w:t>高温泵：1台</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kern w:val="2"/>
                <w:position w:val="-20"/>
                <w:sz w:val="21"/>
                <w:szCs w:val="21"/>
                <w:lang w:val="en-US" w:eastAsia="zh-CN"/>
              </w:rPr>
            </w:pPr>
            <w:r>
              <w:rPr>
                <w:rFonts w:ascii="宋体" w:eastAsia="宋体" w:hAnsi="宋体" w:cs="宋体" w:hint="eastAsia"/>
                <w:color w:val="000000"/>
                <w:kern w:val="2"/>
                <w:position w:val="-20"/>
                <w:sz w:val="21"/>
                <w:szCs w:val="21"/>
                <w:lang w:val="en-US" w:eastAsia="zh-CN"/>
              </w:rPr>
              <w:t>3.7泥沙旋流器：1个</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position w:val="-20"/>
                <w:sz w:val="21"/>
                <w:szCs w:val="21"/>
                <w:lang w:val="en-US" w:eastAsia="zh-CN"/>
              </w:rPr>
            </w:pPr>
            <w:r>
              <w:rPr>
                <w:rFonts w:ascii="宋体" w:eastAsia="宋体" w:hAnsi="宋体" w:cs="宋体" w:hint="eastAsia"/>
                <w:color w:val="000000"/>
                <w:kern w:val="2"/>
                <w:position w:val="-20"/>
                <w:sz w:val="21"/>
                <w:szCs w:val="21"/>
                <w:lang w:val="en-US" w:eastAsia="zh-CN"/>
              </w:rPr>
              <w:t>3.8 加压泵:1台</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b w:val="0"/>
                <w:bCs w:val="0"/>
                <w:color w:val="000000"/>
                <w:kern w:val="2"/>
                <w:position w:val="-20"/>
                <w:sz w:val="21"/>
                <w:szCs w:val="21"/>
                <w:highlight w:val="none"/>
                <w:lang w:val="en-US" w:eastAsia="zh-CN"/>
              </w:rPr>
            </w:pPr>
            <w:r>
              <w:rPr>
                <w:rFonts w:ascii="宋体" w:eastAsia="宋体" w:hAnsi="宋体" w:cs="宋体" w:hint="eastAsia"/>
                <w:b w:val="0"/>
                <w:bCs w:val="0"/>
                <w:color w:val="000000"/>
                <w:kern w:val="2"/>
                <w:position w:val="-20"/>
                <w:sz w:val="21"/>
                <w:szCs w:val="21"/>
                <w:highlight w:val="none"/>
                <w:lang w:val="en-US" w:eastAsia="zh-CN"/>
              </w:rPr>
              <w:t>3.9加气阀（为亚临界湿式氧化反应釜提供反应气体）：1个</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b w:val="0"/>
                <w:bCs w:val="0"/>
                <w:color w:val="000000"/>
                <w:position w:val="-20"/>
                <w:sz w:val="21"/>
                <w:szCs w:val="21"/>
                <w:highlight w:val="none"/>
                <w:lang w:val="en-US" w:eastAsia="zh-CN"/>
              </w:rPr>
            </w:pPr>
            <w:r>
              <w:rPr>
                <w:rFonts w:ascii="宋体" w:eastAsia="宋体" w:hAnsi="宋体" w:cs="宋体" w:hint="eastAsia"/>
                <w:color w:val="000000"/>
                <w:kern w:val="2"/>
                <w:position w:val="-20"/>
                <w:sz w:val="21"/>
                <w:szCs w:val="21"/>
                <w:lang w:val="en-US" w:eastAsia="zh-CN"/>
              </w:rPr>
              <w:t>3.10</w:t>
            </w:r>
            <w:r>
              <w:rPr>
                <w:rFonts w:ascii="宋体" w:eastAsia="宋体" w:hAnsi="宋体" w:cs="宋体" w:hint="eastAsia"/>
                <w:color w:val="000000"/>
                <w:position w:val="-20"/>
                <w:sz w:val="21"/>
                <w:szCs w:val="21"/>
                <w:highlight w:val="none"/>
                <w:lang w:val="en-US" w:eastAsia="zh-CN"/>
              </w:rPr>
              <w:t>亚临界湿式氧化反应釜</w:t>
            </w:r>
            <w:r>
              <w:rPr>
                <w:rFonts w:ascii="宋体" w:eastAsia="宋体" w:hAnsi="宋体" w:cs="宋体" w:hint="eastAsia"/>
                <w:color w:val="000000"/>
                <w:position w:val="-20"/>
                <w:sz w:val="21"/>
                <w:szCs w:val="21"/>
                <w:highlight w:val="none"/>
                <w:lang w:val="en-US"/>
              </w:rPr>
              <w:t>:</w:t>
            </w:r>
            <w:r>
              <w:rPr>
                <w:rFonts w:ascii="宋体" w:eastAsia="宋体" w:hAnsi="宋体" w:cs="宋体" w:hint="eastAsia"/>
                <w:color w:val="000000"/>
                <w:position w:val="-20"/>
                <w:sz w:val="21"/>
                <w:szCs w:val="21"/>
                <w:highlight w:val="none"/>
              </w:rPr>
              <w:t xml:space="preserve"> </w:t>
            </w:r>
            <w:r>
              <w:rPr>
                <w:rFonts w:ascii="宋体" w:eastAsia="宋体" w:hAnsi="宋体" w:cs="宋体" w:hint="eastAsia"/>
                <w:color w:val="000000"/>
                <w:position w:val="-20"/>
                <w:sz w:val="21"/>
                <w:szCs w:val="21"/>
                <w:highlight w:val="none"/>
                <w:lang w:val="en-US" w:eastAsia="zh-CN"/>
              </w:rPr>
              <w:t>2台</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b w:val="0"/>
                <w:bCs w:val="0"/>
                <w:color w:val="000000"/>
                <w:position w:val="-20"/>
                <w:sz w:val="21"/>
                <w:szCs w:val="21"/>
                <w:highlight w:val="none"/>
                <w:lang w:val="en-US" w:eastAsia="zh-CN"/>
              </w:rPr>
            </w:pPr>
            <w:r>
              <w:rPr>
                <w:rFonts w:ascii="宋体" w:eastAsia="宋体" w:hAnsi="宋体" w:cs="宋体" w:hint="eastAsia"/>
                <w:b w:val="0"/>
                <w:bCs w:val="0"/>
                <w:color w:val="000000"/>
                <w:position w:val="-20"/>
                <w:sz w:val="21"/>
                <w:szCs w:val="21"/>
                <w:highlight w:val="none"/>
                <w:lang w:val="en-US" w:eastAsia="zh-CN"/>
              </w:rPr>
              <w:t>3.11减压阀：1个</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position w:val="-20"/>
                <w:sz w:val="21"/>
                <w:szCs w:val="21"/>
                <w:lang w:val="en-US"/>
              </w:rPr>
            </w:pPr>
            <w:r>
              <w:rPr>
                <w:rFonts w:ascii="宋体" w:eastAsia="宋体" w:hAnsi="宋体" w:cs="宋体" w:hint="eastAsia"/>
                <w:b w:val="0"/>
                <w:bCs w:val="0"/>
                <w:color w:val="000000"/>
                <w:position w:val="-20"/>
                <w:sz w:val="21"/>
                <w:szCs w:val="21"/>
                <w:highlight w:val="none"/>
                <w:lang w:val="en-US" w:eastAsia="zh-CN"/>
              </w:rPr>
              <w:t>3.12分压阀：1个</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position w:val="-20"/>
                <w:sz w:val="21"/>
                <w:szCs w:val="21"/>
              </w:rPr>
            </w:pPr>
            <w:r>
              <w:rPr>
                <w:rFonts w:ascii="宋体" w:eastAsia="宋体" w:hAnsi="宋体" w:cs="宋体" w:hint="eastAsia"/>
                <w:color w:val="000000"/>
                <w:kern w:val="2"/>
                <w:position w:val="-20"/>
                <w:sz w:val="21"/>
                <w:szCs w:val="21"/>
                <w:lang w:val="en-US" w:eastAsia="zh-CN"/>
              </w:rPr>
              <w:t xml:space="preserve">3.13洗气池：1个 </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kern w:val="2"/>
                <w:position w:val="-20"/>
                <w:sz w:val="21"/>
                <w:szCs w:val="21"/>
                <w:lang w:val="en-US" w:eastAsia="zh-CN"/>
              </w:rPr>
            </w:pPr>
            <w:r>
              <w:rPr>
                <w:rFonts w:ascii="宋体" w:eastAsia="宋体" w:hAnsi="宋体" w:cs="宋体" w:hint="eastAsia"/>
                <w:color w:val="000000"/>
                <w:kern w:val="2"/>
                <w:position w:val="-20"/>
                <w:sz w:val="21"/>
                <w:szCs w:val="21"/>
                <w:lang w:val="en-US" w:eastAsia="zh-CN"/>
              </w:rPr>
              <w:t>3.14</w:t>
            </w:r>
            <w:r>
              <w:rPr>
                <w:rFonts w:ascii="宋体" w:eastAsia="宋体" w:hAnsi="宋体" w:cs="宋体" w:hint="eastAsia"/>
                <w:color w:val="000000"/>
                <w:kern w:val="2"/>
                <w:position w:val="-20"/>
                <w:sz w:val="21"/>
                <w:szCs w:val="21"/>
                <w:highlight w:val="none"/>
                <w:lang w:val="en-US" w:eastAsia="zh-CN"/>
              </w:rPr>
              <w:t>气体生物吸附罐(除臭</w:t>
            </w:r>
            <w:r>
              <w:rPr>
                <w:rFonts w:ascii="宋体" w:hAnsi="宋体" w:cs="宋体" w:hint="eastAsia"/>
                <w:color w:val="000000"/>
                <w:kern w:val="2"/>
                <w:position w:val="-20"/>
                <w:sz w:val="21"/>
                <w:szCs w:val="21"/>
                <w:highlight w:val="none"/>
                <w:lang w:val="en-US" w:eastAsia="zh-CN"/>
              </w:rPr>
              <w:t>，</w:t>
            </w:r>
            <w:r>
              <w:rPr>
                <w:rFonts w:ascii="宋体" w:eastAsia="宋体" w:hAnsi="宋体" w:cs="宋体" w:hint="eastAsia"/>
                <w:color w:val="000000"/>
                <w:kern w:val="2"/>
                <w:position w:val="-20"/>
                <w:sz w:val="21"/>
                <w:szCs w:val="21"/>
                <w:highlight w:val="none"/>
                <w:lang w:val="en-US" w:eastAsia="zh-CN"/>
              </w:rPr>
              <w:t>可根据现场条件选配)</w:t>
            </w:r>
            <w:r>
              <w:rPr>
                <w:rFonts w:ascii="宋体" w:eastAsia="宋体" w:hAnsi="宋体" w:cs="宋体" w:hint="eastAsia"/>
                <w:color w:val="000000"/>
                <w:kern w:val="2"/>
                <w:position w:val="-20"/>
                <w:sz w:val="21"/>
                <w:szCs w:val="21"/>
                <w:lang w:val="en-US" w:eastAsia="zh-CN"/>
              </w:rPr>
              <w:t>： 1个</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kern w:val="0"/>
                <w:sz w:val="21"/>
                <w:szCs w:val="21"/>
                <w:highlight w:val="none"/>
                <w:lang w:val="en-US" w:eastAsia="zh-CN"/>
              </w:rPr>
            </w:pPr>
            <w:r>
              <w:rPr>
                <w:rFonts w:ascii="宋体" w:eastAsia="宋体" w:hAnsi="宋体" w:cs="宋体" w:hint="eastAsia"/>
                <w:color w:val="000000"/>
                <w:kern w:val="2"/>
                <w:position w:val="-20"/>
                <w:sz w:val="21"/>
                <w:szCs w:val="21"/>
                <w:lang w:val="en-US" w:eastAsia="zh-CN"/>
              </w:rPr>
              <w:t>3.15分离沉淀罐：1个</w:t>
            </w:r>
          </w:p>
          <w:p>
            <w:pPr>
              <w:keepNext w:val="0"/>
              <w:keepLines w:val="0"/>
              <w:suppressLineNumbers w:val="0"/>
              <w:spacing w:before="0" w:beforeAutospacing="0" w:after="0" w:afterAutospacing="0"/>
              <w:ind w:left="-78" w:right="-80" w:leftChars="-37" w:rightChars="-38"/>
              <w:jc w:val="both"/>
              <w:rPr>
                <w:rFonts w:ascii="宋体" w:eastAsia="宋体" w:hAnsi="宋体" w:cs="宋体" w:hint="eastAsia"/>
                <w:sz w:val="21"/>
                <w:szCs w:val="21"/>
              </w:rPr>
            </w:pPr>
          </w:p>
        </w:tc>
        <w:tc>
          <w:tcPr>
            <w:tcW w:w="2531" w:type="dxa"/>
            <w:tcBorders>
              <w:top w:val="double" w:sz="4" w:space="0" w:color="auto"/>
            </w:tcBorders>
            <w:vAlign w:val="center"/>
          </w:tcPr>
          <w:p>
            <w:pPr>
              <w:jc w:val="center"/>
              <w:rPr>
                <w:rFonts w:ascii="宋体" w:eastAsia="宋体" w:hAnsi="宋体" w:cs="宋体" w:hint="eastAsia"/>
                <w:sz w:val="21"/>
                <w:szCs w:val="21"/>
              </w:rPr>
            </w:pPr>
          </w:p>
        </w:tc>
        <w:tc>
          <w:tcPr>
            <w:tcW w:w="2003" w:type="dxa"/>
            <w:tcBorders>
              <w:top w:val="double" w:sz="4" w:space="0" w:color="auto"/>
              <w:right w:val="single" w:sz="2" w:space="0" w:color="auto"/>
            </w:tcBorders>
            <w:vAlign w:val="center"/>
          </w:tcPr>
          <w:p>
            <w:pPr>
              <w:jc w:val="center"/>
              <w:rPr>
                <w:rFonts w:ascii="宋体" w:eastAsia="宋体" w:hAnsi="宋体" w:cs="宋体" w:hint="eastAsia"/>
                <w:sz w:val="21"/>
                <w:szCs w:val="21"/>
              </w:rPr>
            </w:pPr>
          </w:p>
        </w:tc>
        <w:tc>
          <w:tcPr>
            <w:tcW w:w="1722" w:type="dxa"/>
            <w:tcBorders>
              <w:top w:val="double" w:sz="4" w:space="0" w:color="auto"/>
              <w:left w:val="single" w:sz="2" w:space="0" w:color="auto"/>
            </w:tcBorders>
            <w:vAlign w:val="center"/>
          </w:tcPr>
          <w:p>
            <w:pPr>
              <w:adjustRightInd w:val="0"/>
              <w:snapToGrid w:val="0"/>
              <w:rPr>
                <w:rFonts w:ascii="宋体" w:eastAsia="宋体" w:hAnsi="宋体" w:cs="宋体" w:hint="eastAsia"/>
                <w:sz w:val="21"/>
                <w:szCs w:val="21"/>
              </w:rPr>
            </w:pPr>
          </w:p>
        </w:tc>
      </w:tr>
      <w:tr>
        <w:tblPrEx>
          <w:tblW w:w="9488" w:type="dxa"/>
          <w:jc w:val="center"/>
          <w:tblLayout w:type="fixed"/>
          <w:tblCellMar>
            <w:top w:w="0" w:type="dxa"/>
            <w:left w:w="108" w:type="dxa"/>
            <w:bottom w:w="0" w:type="dxa"/>
            <w:right w:w="108" w:type="dxa"/>
          </w:tblCellMar>
        </w:tblPrEx>
        <w:trPr>
          <w:jc w:val="center"/>
        </w:trPr>
        <w:tc>
          <w:tcPr>
            <w:tcW w:w="702" w:type="dxa"/>
            <w:vAlign w:val="center"/>
          </w:tcPr>
          <w:p>
            <w:pPr>
              <w:numPr>
                <w:ilvl w:val="0"/>
                <w:numId w:val="28"/>
              </w:numPr>
              <w:ind w:left="167" w:hanging="167"/>
              <w:jc w:val="center"/>
              <w:rPr>
                <w:rFonts w:ascii="宋体" w:eastAsia="宋体" w:hAnsi="宋体" w:cs="宋体" w:hint="eastAsia"/>
                <w:sz w:val="21"/>
                <w:szCs w:val="21"/>
              </w:rPr>
            </w:pPr>
          </w:p>
        </w:tc>
        <w:tc>
          <w:tcPr>
            <w:tcW w:w="2530" w:type="dxa"/>
            <w:vAlign w:val="center"/>
          </w:tcPr>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bCs/>
                <w:sz w:val="21"/>
                <w:szCs w:val="21"/>
                <w:lang w:val="en-US" w:eastAsia="zh-CN"/>
              </w:rPr>
              <w:t>1.1</w:t>
            </w:r>
            <w:r>
              <w:rPr>
                <w:rFonts w:ascii="宋体" w:eastAsia="宋体" w:hAnsi="宋体" w:cs="宋体" w:hint="eastAsia"/>
                <w:bCs/>
                <w:sz w:val="21"/>
                <w:szCs w:val="21"/>
              </w:rPr>
              <w:t>★</w:t>
            </w:r>
            <w:r>
              <w:rPr>
                <w:rFonts w:ascii="宋体" w:eastAsia="宋体" w:hAnsi="宋体" w:cs="宋体" w:hint="eastAsia"/>
                <w:bCs/>
                <w:sz w:val="21"/>
                <w:szCs w:val="21"/>
                <w:lang w:val="en-US" w:eastAsia="zh-CN"/>
              </w:rPr>
              <w:t>设备到货时间：</w:t>
            </w:r>
            <w:r>
              <w:rPr>
                <w:rFonts w:ascii="宋体" w:hAnsi="宋体" w:cs="宋体" w:hint="eastAsia"/>
                <w:bCs/>
                <w:sz w:val="21"/>
                <w:szCs w:val="21"/>
                <w:lang w:val="en-US" w:eastAsia="zh-CN"/>
              </w:rPr>
              <w:t>合同签订后50日内</w:t>
            </w:r>
            <w:r>
              <w:rPr>
                <w:rFonts w:ascii="宋体" w:eastAsia="宋体" w:hAnsi="宋体" w:cs="宋体" w:hint="eastAsia"/>
                <w:bCs/>
                <w:sz w:val="21"/>
                <w:szCs w:val="21"/>
                <w:lang w:val="en-US" w:eastAsia="zh-CN"/>
              </w:rPr>
              <w:t>；设备安装调试交付使用时间：设备到货后30天内。</w:t>
            </w:r>
          </w:p>
        </w:tc>
        <w:tc>
          <w:tcPr>
            <w:tcW w:w="2531" w:type="dxa"/>
            <w:vAlign w:val="center"/>
          </w:tcPr>
          <w:p>
            <w:pPr>
              <w:jc w:val="center"/>
              <w:rPr>
                <w:rFonts w:ascii="宋体" w:eastAsia="宋体" w:hAnsi="宋体" w:cs="宋体" w:hint="eastAsia"/>
                <w:sz w:val="21"/>
                <w:szCs w:val="21"/>
              </w:rPr>
            </w:pPr>
          </w:p>
        </w:tc>
        <w:tc>
          <w:tcPr>
            <w:tcW w:w="2003" w:type="dxa"/>
            <w:tcBorders>
              <w:right w:val="single" w:sz="2" w:space="0" w:color="auto"/>
            </w:tcBorders>
            <w:vAlign w:val="center"/>
          </w:tcPr>
          <w:p>
            <w:pPr>
              <w:jc w:val="center"/>
              <w:rPr>
                <w:rFonts w:ascii="宋体" w:eastAsia="宋体" w:hAnsi="宋体" w:cs="宋体" w:hint="eastAsia"/>
                <w:sz w:val="21"/>
                <w:szCs w:val="21"/>
              </w:rPr>
            </w:pPr>
          </w:p>
        </w:tc>
        <w:tc>
          <w:tcPr>
            <w:tcW w:w="1722" w:type="dxa"/>
            <w:tcBorders>
              <w:left w:val="single" w:sz="2" w:space="0" w:color="auto"/>
            </w:tcBorders>
            <w:vAlign w:val="center"/>
          </w:tcPr>
          <w:p>
            <w:pPr>
              <w:adjustRightInd w:val="0"/>
              <w:snapToGrid w:val="0"/>
              <w:rPr>
                <w:rFonts w:ascii="宋体" w:eastAsia="宋体" w:hAnsi="宋体" w:cs="宋体" w:hint="eastAsia"/>
                <w:sz w:val="21"/>
                <w:szCs w:val="21"/>
              </w:rPr>
            </w:pPr>
          </w:p>
        </w:tc>
      </w:tr>
      <w:tr>
        <w:tblPrEx>
          <w:tblW w:w="9488" w:type="dxa"/>
          <w:jc w:val="center"/>
          <w:tblLayout w:type="fixed"/>
          <w:tblCellMar>
            <w:top w:w="0" w:type="dxa"/>
            <w:left w:w="108" w:type="dxa"/>
            <w:bottom w:w="0" w:type="dxa"/>
            <w:right w:w="108" w:type="dxa"/>
          </w:tblCellMar>
        </w:tblPrEx>
        <w:trPr>
          <w:jc w:val="center"/>
        </w:trPr>
        <w:tc>
          <w:tcPr>
            <w:tcW w:w="702" w:type="dxa"/>
            <w:vAlign w:val="center"/>
          </w:tcPr>
          <w:p>
            <w:pPr>
              <w:numPr>
                <w:ilvl w:val="0"/>
                <w:numId w:val="28"/>
              </w:numPr>
              <w:ind w:left="167" w:hanging="167"/>
              <w:jc w:val="center"/>
              <w:rPr>
                <w:rFonts w:ascii="宋体" w:eastAsia="宋体" w:hAnsi="宋体" w:cs="宋体" w:hint="eastAsia"/>
                <w:sz w:val="21"/>
                <w:szCs w:val="21"/>
              </w:rPr>
            </w:pPr>
          </w:p>
        </w:tc>
        <w:tc>
          <w:tcPr>
            <w:tcW w:w="2530" w:type="dxa"/>
            <w:vAlign w:val="center"/>
          </w:tcPr>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b/>
                <w:bCs/>
                <w:sz w:val="21"/>
                <w:szCs w:val="21"/>
              </w:rPr>
              <w:t>★</w:t>
            </w:r>
            <w:r>
              <w:rPr>
                <w:rFonts w:ascii="宋体" w:eastAsia="宋体" w:hAnsi="宋体" w:cs="宋体" w:hint="eastAsia"/>
                <w:sz w:val="21"/>
                <w:szCs w:val="21"/>
              </w:rPr>
              <w:t>关于验收</w:t>
            </w:r>
          </w:p>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sz w:val="21"/>
                <w:szCs w:val="21"/>
              </w:rPr>
              <w:t>2.1投标人货物经过双方检验认可后，签署验收报告，产品保修期自验收合格之日起算，由投标人提供产品保修文件。</w:t>
            </w:r>
          </w:p>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sz w:val="21"/>
                <w:szCs w:val="21"/>
              </w:rPr>
              <w:t>2.2当满足以下条件时，采购人才向中标人签发货物验收报告：</w:t>
            </w:r>
          </w:p>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sz w:val="21"/>
                <w:szCs w:val="21"/>
              </w:rPr>
              <w:t>a、中标人已按照合同规定提供了全部产品及完整的技术资料。</w:t>
            </w:r>
          </w:p>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sz w:val="21"/>
                <w:szCs w:val="21"/>
              </w:rPr>
              <w:t>b、货物符合招标文件、投标文件技术要求，性能满足要求。</w:t>
            </w:r>
          </w:p>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sz w:val="21"/>
                <w:szCs w:val="21"/>
              </w:rPr>
              <w:t>c、货物具备产品合格证。</w:t>
            </w:r>
          </w:p>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sz w:val="21"/>
                <w:szCs w:val="21"/>
              </w:rPr>
              <w:t>2.3组织专家参与验收</w:t>
            </w:r>
          </w:p>
        </w:tc>
        <w:tc>
          <w:tcPr>
            <w:tcW w:w="2531" w:type="dxa"/>
            <w:vAlign w:val="center"/>
          </w:tcPr>
          <w:p>
            <w:pPr>
              <w:spacing w:line="400" w:lineRule="exact"/>
              <w:jc w:val="center"/>
              <w:rPr>
                <w:rFonts w:ascii="宋体" w:eastAsia="宋体" w:hAnsi="宋体" w:cs="宋体" w:hint="eastAsia"/>
                <w:sz w:val="21"/>
                <w:szCs w:val="21"/>
              </w:rPr>
            </w:pPr>
          </w:p>
        </w:tc>
        <w:tc>
          <w:tcPr>
            <w:tcW w:w="2003" w:type="dxa"/>
            <w:tcBorders>
              <w:right w:val="single" w:sz="2" w:space="0" w:color="auto"/>
            </w:tcBorders>
            <w:vAlign w:val="center"/>
          </w:tcPr>
          <w:p>
            <w:pPr>
              <w:spacing w:line="400" w:lineRule="exact"/>
              <w:jc w:val="center"/>
              <w:rPr>
                <w:rFonts w:ascii="宋体" w:eastAsia="宋体" w:hAnsi="宋体" w:cs="宋体" w:hint="eastAsia"/>
                <w:sz w:val="21"/>
                <w:szCs w:val="21"/>
              </w:rPr>
            </w:pPr>
          </w:p>
        </w:tc>
        <w:tc>
          <w:tcPr>
            <w:tcW w:w="1722" w:type="dxa"/>
            <w:tcBorders>
              <w:left w:val="single" w:sz="2" w:space="0" w:color="auto"/>
            </w:tcBorders>
            <w:vAlign w:val="center"/>
          </w:tcPr>
          <w:p>
            <w:pPr>
              <w:adjustRightInd w:val="0"/>
              <w:snapToGrid w:val="0"/>
              <w:rPr>
                <w:rFonts w:ascii="宋体" w:eastAsia="宋体" w:hAnsi="宋体" w:cs="宋体" w:hint="eastAsia"/>
                <w:sz w:val="21"/>
                <w:szCs w:val="21"/>
              </w:rPr>
            </w:pPr>
          </w:p>
        </w:tc>
      </w:tr>
      <w:tr>
        <w:tblPrEx>
          <w:tblW w:w="9488" w:type="dxa"/>
          <w:jc w:val="center"/>
          <w:tblLayout w:type="fixed"/>
          <w:tblCellMar>
            <w:top w:w="0" w:type="dxa"/>
            <w:left w:w="108" w:type="dxa"/>
            <w:bottom w:w="0" w:type="dxa"/>
            <w:right w:w="108" w:type="dxa"/>
          </w:tblCellMar>
        </w:tblPrEx>
        <w:trPr>
          <w:jc w:val="center"/>
        </w:trPr>
        <w:tc>
          <w:tcPr>
            <w:tcW w:w="702" w:type="dxa"/>
            <w:vAlign w:val="center"/>
          </w:tcPr>
          <w:p>
            <w:pPr>
              <w:numPr>
                <w:ilvl w:val="0"/>
                <w:numId w:val="28"/>
              </w:numPr>
              <w:ind w:left="167" w:hanging="167"/>
              <w:jc w:val="center"/>
              <w:rPr>
                <w:rFonts w:ascii="宋体" w:eastAsia="宋体" w:hAnsi="宋体" w:cs="宋体" w:hint="eastAsia"/>
                <w:sz w:val="21"/>
                <w:szCs w:val="21"/>
              </w:rPr>
            </w:pPr>
          </w:p>
        </w:tc>
        <w:tc>
          <w:tcPr>
            <w:tcW w:w="253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b/>
                <w:bCs/>
                <w:sz w:val="21"/>
                <w:szCs w:val="21"/>
              </w:rPr>
              <w:t>★</w:t>
            </w:r>
            <w:r>
              <w:rPr>
                <w:rFonts w:ascii="宋体" w:eastAsia="宋体" w:hAnsi="宋体" w:cs="宋体" w:hint="eastAsia"/>
                <w:sz w:val="21"/>
                <w:szCs w:val="21"/>
              </w:rPr>
              <w:t>付款方式（1）合同生效后，</w:t>
            </w:r>
            <w:r>
              <w:rPr>
                <w:rFonts w:ascii="宋体" w:eastAsia="宋体" w:hAnsi="宋体" w:cs="宋体" w:hint="eastAsia"/>
                <w:sz w:val="21"/>
                <w:szCs w:val="21"/>
                <w:lang w:val="en-US" w:eastAsia="zh-CN"/>
              </w:rPr>
              <w:t>采购人</w:t>
            </w:r>
            <w:r>
              <w:rPr>
                <w:rFonts w:ascii="宋体" w:eastAsia="宋体" w:hAnsi="宋体" w:cs="宋体" w:hint="eastAsia"/>
                <w:sz w:val="21"/>
                <w:szCs w:val="21"/>
              </w:rPr>
              <w:t>在</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7</w:t>
            </w:r>
            <w:r>
              <w:rPr>
                <w:rFonts w:ascii="宋体" w:eastAsia="宋体" w:hAnsi="宋体" w:cs="宋体" w:hint="eastAsia"/>
                <w:sz w:val="21"/>
                <w:szCs w:val="21"/>
                <w:u w:val="single"/>
              </w:rPr>
              <w:t xml:space="preserve">  </w:t>
            </w:r>
            <w:r>
              <w:rPr>
                <w:rFonts w:ascii="宋体" w:eastAsia="宋体" w:hAnsi="宋体" w:cs="宋体" w:hint="eastAsia"/>
                <w:sz w:val="21"/>
                <w:szCs w:val="21"/>
              </w:rPr>
              <w:t>日内，向</w:t>
            </w:r>
            <w:r>
              <w:rPr>
                <w:rFonts w:ascii="宋体" w:eastAsia="宋体" w:hAnsi="宋体" w:cs="宋体" w:hint="eastAsia"/>
                <w:sz w:val="21"/>
                <w:szCs w:val="21"/>
                <w:lang w:val="en-US" w:eastAsia="zh-CN"/>
              </w:rPr>
              <w:t>中标人</w:t>
            </w:r>
            <w:r>
              <w:rPr>
                <w:rFonts w:ascii="宋体" w:eastAsia="宋体" w:hAnsi="宋体" w:cs="宋体" w:hint="eastAsia"/>
                <w:sz w:val="21"/>
                <w:szCs w:val="21"/>
              </w:rPr>
              <w:t>支付合同价款的</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40</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%，作为预付款；</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sz w:val="21"/>
                <w:szCs w:val="21"/>
              </w:rPr>
              <w:t>（2）</w:t>
            </w:r>
            <w:r>
              <w:rPr>
                <w:rFonts w:ascii="宋体" w:eastAsia="宋体" w:hAnsi="宋体" w:cs="宋体" w:hint="eastAsia"/>
                <w:sz w:val="21"/>
                <w:szCs w:val="21"/>
                <w:lang w:val="en-US" w:eastAsia="zh-CN"/>
              </w:rPr>
              <w:t>中标人</w:t>
            </w:r>
            <w:r>
              <w:rPr>
                <w:rFonts w:ascii="宋体" w:eastAsia="宋体" w:hAnsi="宋体" w:cs="宋体" w:hint="eastAsia"/>
                <w:sz w:val="21"/>
                <w:szCs w:val="21"/>
              </w:rPr>
              <w:t>按照合同约定交付全部合同货物，完成安装、调试并经</w:t>
            </w:r>
            <w:r>
              <w:rPr>
                <w:rFonts w:ascii="宋体" w:eastAsia="宋体" w:hAnsi="宋体" w:cs="宋体" w:hint="eastAsia"/>
                <w:sz w:val="21"/>
                <w:szCs w:val="21"/>
                <w:lang w:val="en-US" w:eastAsia="zh-CN"/>
              </w:rPr>
              <w:t>采购人</w:t>
            </w:r>
            <w:r>
              <w:rPr>
                <w:rFonts w:ascii="宋体" w:eastAsia="宋体" w:hAnsi="宋体" w:cs="宋体" w:hint="eastAsia"/>
                <w:sz w:val="21"/>
                <w:szCs w:val="21"/>
              </w:rPr>
              <w:t>验收合格后，</w:t>
            </w:r>
            <w:r>
              <w:rPr>
                <w:rFonts w:ascii="宋体" w:eastAsia="宋体" w:hAnsi="宋体" w:cs="宋体" w:hint="eastAsia"/>
                <w:sz w:val="21"/>
                <w:szCs w:val="21"/>
                <w:lang w:val="en-US" w:eastAsia="zh-CN"/>
              </w:rPr>
              <w:t>采购人</w:t>
            </w:r>
            <w:r>
              <w:rPr>
                <w:rFonts w:ascii="宋体" w:eastAsia="宋体" w:hAnsi="宋体" w:cs="宋体" w:hint="eastAsia"/>
                <w:sz w:val="21"/>
                <w:szCs w:val="21"/>
              </w:rPr>
              <w:t>在收到</w:t>
            </w:r>
            <w:r>
              <w:rPr>
                <w:rFonts w:ascii="宋体" w:eastAsia="宋体" w:hAnsi="宋体" w:cs="宋体" w:hint="eastAsia"/>
                <w:sz w:val="21"/>
                <w:szCs w:val="21"/>
                <w:lang w:val="en-US" w:eastAsia="zh-CN"/>
              </w:rPr>
              <w:t>中标人</w:t>
            </w:r>
            <w:r>
              <w:rPr>
                <w:rFonts w:ascii="宋体" w:eastAsia="宋体" w:hAnsi="宋体" w:cs="宋体" w:hint="eastAsia"/>
                <w:sz w:val="21"/>
                <w:szCs w:val="21"/>
              </w:rPr>
              <w:t>提交的下列全部单据并经审核无误后</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10</w:t>
            </w:r>
            <w:r>
              <w:rPr>
                <w:rFonts w:ascii="宋体" w:eastAsia="宋体" w:hAnsi="宋体" w:cs="宋体" w:hint="eastAsia"/>
                <w:sz w:val="21"/>
                <w:szCs w:val="21"/>
              </w:rPr>
              <w:t>日内，向</w:t>
            </w:r>
            <w:r>
              <w:rPr>
                <w:rFonts w:ascii="宋体" w:eastAsia="宋体" w:hAnsi="宋体" w:cs="宋体" w:hint="eastAsia"/>
                <w:sz w:val="21"/>
                <w:szCs w:val="21"/>
                <w:lang w:val="en-US" w:eastAsia="zh-CN"/>
              </w:rPr>
              <w:t>中标人</w:t>
            </w:r>
            <w:r>
              <w:rPr>
                <w:rFonts w:ascii="宋体" w:eastAsia="宋体" w:hAnsi="宋体" w:cs="宋体" w:hint="eastAsia"/>
                <w:sz w:val="21"/>
                <w:szCs w:val="21"/>
              </w:rPr>
              <w:t>支付合同价款的</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55</w:t>
            </w:r>
            <w:r>
              <w:rPr>
                <w:rFonts w:ascii="宋体" w:eastAsia="宋体" w:hAnsi="宋体" w:cs="宋体" w:hint="eastAsia"/>
                <w:sz w:val="21"/>
                <w:szCs w:val="21"/>
                <w:u w:val="single"/>
              </w:rPr>
              <w:t xml:space="preserve"> %</w:t>
            </w:r>
            <w:r>
              <w:rPr>
                <w:rFonts w:ascii="宋体" w:eastAsia="宋体" w:hAnsi="宋体" w:cs="宋体" w:hint="eastAsia"/>
                <w:sz w:val="21"/>
                <w:szCs w:val="21"/>
              </w:rPr>
              <w:t>。</w:t>
            </w:r>
          </w:p>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sz w:val="21"/>
                <w:szCs w:val="21"/>
              </w:rPr>
              <w:t>（3）在货物验收合格</w:t>
            </w:r>
            <w:r>
              <w:rPr>
                <w:rFonts w:ascii="宋体" w:eastAsia="宋体" w:hAnsi="宋体" w:cs="宋体" w:hint="eastAsia"/>
                <w:sz w:val="21"/>
                <w:szCs w:val="21"/>
                <w:lang w:val="en-US" w:eastAsia="zh-CN"/>
              </w:rPr>
              <w:t>满12</w:t>
            </w:r>
            <w:r>
              <w:rPr>
                <w:rFonts w:ascii="宋体" w:eastAsia="宋体" w:hAnsi="宋体" w:cs="宋体" w:hint="eastAsia"/>
                <w:sz w:val="21"/>
                <w:szCs w:val="21"/>
              </w:rPr>
              <w:t>个月后，在收到</w:t>
            </w:r>
            <w:r>
              <w:rPr>
                <w:rFonts w:ascii="宋体" w:eastAsia="宋体" w:hAnsi="宋体" w:cs="宋体" w:hint="eastAsia"/>
                <w:sz w:val="21"/>
                <w:szCs w:val="21"/>
                <w:lang w:val="en-US" w:eastAsia="zh-CN"/>
              </w:rPr>
              <w:t>中标人</w:t>
            </w:r>
            <w:r>
              <w:rPr>
                <w:rFonts w:ascii="宋体" w:eastAsia="宋体" w:hAnsi="宋体" w:cs="宋体" w:hint="eastAsia"/>
                <w:sz w:val="21"/>
                <w:szCs w:val="21"/>
              </w:rPr>
              <w:t xml:space="preserve">增值税（专用/普通）发票原件一份并经审核无误后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7</w:t>
            </w:r>
            <w:r>
              <w:rPr>
                <w:rFonts w:ascii="宋体" w:eastAsia="宋体" w:hAnsi="宋体" w:cs="宋体" w:hint="eastAsia"/>
                <w:sz w:val="21"/>
                <w:szCs w:val="21"/>
                <w:u w:val="single"/>
              </w:rPr>
              <w:t xml:space="preserve"> </w:t>
            </w:r>
            <w:r>
              <w:rPr>
                <w:rFonts w:ascii="宋体" w:eastAsia="宋体" w:hAnsi="宋体" w:cs="宋体" w:hint="eastAsia"/>
                <w:sz w:val="21"/>
                <w:szCs w:val="21"/>
              </w:rPr>
              <w:t>日内，</w:t>
            </w:r>
            <w:r>
              <w:rPr>
                <w:rFonts w:ascii="宋体" w:eastAsia="宋体" w:hAnsi="宋体" w:cs="宋体" w:hint="eastAsia"/>
                <w:sz w:val="21"/>
                <w:szCs w:val="21"/>
                <w:lang w:val="en-US" w:eastAsia="zh-CN"/>
              </w:rPr>
              <w:t>采购人</w:t>
            </w:r>
            <w:r>
              <w:rPr>
                <w:rFonts w:ascii="宋体" w:eastAsia="宋体" w:hAnsi="宋体" w:cs="宋体" w:hint="eastAsia"/>
                <w:sz w:val="21"/>
                <w:szCs w:val="21"/>
              </w:rPr>
              <w:t>向</w:t>
            </w:r>
            <w:r>
              <w:rPr>
                <w:rFonts w:ascii="宋体" w:eastAsia="宋体" w:hAnsi="宋体" w:cs="宋体" w:hint="eastAsia"/>
                <w:sz w:val="21"/>
                <w:szCs w:val="21"/>
                <w:lang w:val="en-US" w:eastAsia="zh-CN"/>
              </w:rPr>
              <w:t>中标人</w:t>
            </w:r>
            <w:r>
              <w:rPr>
                <w:rFonts w:ascii="宋体" w:eastAsia="宋体" w:hAnsi="宋体" w:cs="宋体" w:hint="eastAsia"/>
                <w:sz w:val="21"/>
                <w:szCs w:val="21"/>
              </w:rPr>
              <w:t xml:space="preserve">支付合同价格的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5</w:t>
            </w:r>
            <w:r>
              <w:rPr>
                <w:rFonts w:ascii="宋体" w:eastAsia="宋体" w:hAnsi="宋体" w:cs="宋体" w:hint="eastAsia"/>
                <w:sz w:val="21"/>
                <w:szCs w:val="21"/>
                <w:u w:val="single"/>
              </w:rPr>
              <w:t xml:space="preserve">  </w:t>
            </w:r>
            <w:r>
              <w:rPr>
                <w:rFonts w:ascii="宋体" w:eastAsia="宋体" w:hAnsi="宋体" w:cs="宋体" w:hint="eastAsia"/>
                <w:sz w:val="21"/>
                <w:szCs w:val="21"/>
              </w:rPr>
              <w:t>%。</w:t>
            </w:r>
          </w:p>
        </w:tc>
        <w:tc>
          <w:tcPr>
            <w:tcW w:w="2531" w:type="dxa"/>
            <w:vAlign w:val="center"/>
          </w:tcPr>
          <w:p>
            <w:pPr>
              <w:spacing w:line="400" w:lineRule="exact"/>
              <w:jc w:val="center"/>
              <w:rPr>
                <w:rFonts w:ascii="宋体" w:eastAsia="宋体" w:hAnsi="宋体" w:cs="宋体" w:hint="eastAsia"/>
                <w:sz w:val="21"/>
                <w:szCs w:val="21"/>
              </w:rPr>
            </w:pPr>
          </w:p>
        </w:tc>
        <w:tc>
          <w:tcPr>
            <w:tcW w:w="2003" w:type="dxa"/>
            <w:tcBorders>
              <w:right w:val="single" w:sz="2" w:space="0" w:color="auto"/>
            </w:tcBorders>
            <w:vAlign w:val="center"/>
          </w:tcPr>
          <w:p>
            <w:pPr>
              <w:spacing w:line="400" w:lineRule="exact"/>
              <w:jc w:val="center"/>
              <w:rPr>
                <w:rFonts w:ascii="宋体" w:eastAsia="宋体" w:hAnsi="宋体" w:cs="宋体" w:hint="eastAsia"/>
                <w:sz w:val="21"/>
                <w:szCs w:val="21"/>
              </w:rPr>
            </w:pPr>
          </w:p>
        </w:tc>
        <w:tc>
          <w:tcPr>
            <w:tcW w:w="1722" w:type="dxa"/>
            <w:tcBorders>
              <w:left w:val="single" w:sz="2" w:space="0" w:color="auto"/>
            </w:tcBorders>
            <w:vAlign w:val="center"/>
          </w:tcPr>
          <w:p>
            <w:pPr>
              <w:adjustRightInd w:val="0"/>
              <w:snapToGrid w:val="0"/>
              <w:rPr>
                <w:rFonts w:ascii="宋体" w:eastAsia="宋体" w:hAnsi="宋体" w:cs="宋体" w:hint="eastAsia"/>
                <w:sz w:val="21"/>
                <w:szCs w:val="21"/>
              </w:rPr>
            </w:pPr>
          </w:p>
        </w:tc>
      </w:tr>
    </w:tbl>
    <w:p>
      <w:pPr>
        <w:adjustRightInd w:val="0"/>
        <w:snapToGrid w:val="0"/>
        <w:spacing w:line="460" w:lineRule="exact"/>
        <w:ind w:left="826" w:hanging="601" w:leftChars="107" w:hangingChars="286"/>
        <w:rPr>
          <w:rFonts w:ascii="宋体" w:hAnsi="宋体"/>
          <w:color w:val="auto"/>
          <w:highlight w:val="none"/>
        </w:rPr>
      </w:pPr>
      <w:r>
        <w:rPr>
          <w:rFonts w:ascii="宋体" w:hAnsi="宋体" w:hint="eastAsia"/>
          <w:color w:val="auto"/>
          <w:highlight w:val="none"/>
        </w:rPr>
        <w:t>备注：</w:t>
      </w:r>
    </w:p>
    <w:p>
      <w:pPr>
        <w:numPr>
          <w:ilvl w:val="0"/>
          <w:numId w:val="29"/>
        </w:numPr>
        <w:adjustRightInd w:val="0"/>
        <w:snapToGrid w:val="0"/>
        <w:spacing w:line="460" w:lineRule="exact"/>
        <w:rPr>
          <w:rFonts w:ascii="宋体" w:hAnsi="宋体"/>
          <w:color w:val="auto"/>
          <w:highlight w:val="none"/>
        </w:rPr>
      </w:pPr>
      <w:r>
        <w:rPr>
          <w:rFonts w:ascii="宋体" w:hAnsi="宋体" w:hint="eastAsia"/>
          <w:color w:val="auto"/>
          <w:highlight w:val="none"/>
        </w:rPr>
        <w:t>本表中“采购文件条款描述”的条款与用户需求中的条款描述不一致的以用户需求中规定的为准。</w:t>
      </w:r>
    </w:p>
    <w:p>
      <w:pPr>
        <w:numPr>
          <w:ilvl w:val="0"/>
          <w:numId w:val="29"/>
        </w:numPr>
        <w:adjustRightInd w:val="0"/>
        <w:snapToGrid w:val="0"/>
        <w:spacing w:line="460" w:lineRule="exact"/>
        <w:rPr>
          <w:rFonts w:ascii="宋体" w:hAnsi="宋体"/>
          <w:color w:val="auto"/>
          <w:highlight w:val="none"/>
          <w:lang w:val="zh-CN"/>
        </w:rPr>
      </w:pPr>
      <w:r>
        <w:rPr>
          <w:rFonts w:ascii="宋体" w:hAnsi="宋体" w:hint="eastAsia"/>
          <w:color w:val="auto"/>
          <w:highlight w:val="none"/>
        </w:rPr>
        <w:t>响应供应商必须按采购文件要求提供相关文件，</w:t>
      </w:r>
      <w:r>
        <w:rPr>
          <w:rFonts w:ascii="宋体" w:hAnsi="宋体" w:hint="eastAsia"/>
          <w:bCs/>
          <w:color w:val="auto"/>
          <w:highlight w:val="none"/>
        </w:rPr>
        <w:t>如有任何一条未响应或不满足，按无效响应处理。</w:t>
      </w:r>
    </w:p>
    <w:p>
      <w:pPr>
        <w:numPr>
          <w:ilvl w:val="0"/>
          <w:numId w:val="29"/>
        </w:numPr>
        <w:spacing w:line="500" w:lineRule="exact"/>
        <w:ind w:left="585" w:hanging="360" w:leftChars="0" w:firstLineChars="0"/>
        <w:rPr>
          <w:color w:val="auto"/>
          <w:highlight w:val="none"/>
          <w:lang w:val="zh-CN"/>
        </w:rPr>
      </w:pPr>
      <w:r>
        <w:rPr>
          <w:rFonts w:ascii="宋体" w:hAnsi="宋体"/>
          <w:color w:val="auto"/>
          <w:highlight w:val="none"/>
        </w:rPr>
        <w:t>响应供应商应在“说明”一栏中列出技术参数的证明资料（如有）名称，并指明该证明资料在</w:t>
      </w:r>
      <w:r>
        <w:rPr>
          <w:rFonts w:ascii="宋体" w:hAnsi="宋体" w:hint="eastAsia"/>
          <w:color w:val="auto"/>
          <w:highlight w:val="none"/>
        </w:rPr>
        <w:t>投标(应答)文件</w:t>
      </w:r>
      <w:r>
        <w:rPr>
          <w:rFonts w:ascii="宋体" w:hAnsi="宋体"/>
          <w:color w:val="auto"/>
          <w:highlight w:val="none"/>
        </w:rPr>
        <w:t>中</w:t>
      </w:r>
      <w:r>
        <w:rPr>
          <w:color w:val="auto"/>
          <w:highlight w:val="none"/>
        </w:rPr>
        <w:t>的具体位置。</w:t>
      </w:r>
    </w:p>
    <w:p>
      <w:pPr>
        <w:numPr>
          <w:ilvl w:val="0"/>
          <w:numId w:val="29"/>
        </w:numPr>
        <w:spacing w:line="500" w:lineRule="exact"/>
        <w:ind w:left="585" w:hanging="360" w:leftChars="0" w:firstLineChars="0"/>
        <w:rPr>
          <w:color w:val="auto"/>
          <w:highlight w:val="none"/>
          <w:lang w:val="zh-CN"/>
        </w:rPr>
      </w:pPr>
      <w:r>
        <w:rPr>
          <w:rFonts w:hint="eastAsia"/>
          <w:color w:val="auto"/>
          <w:highlight w:val="none"/>
          <w:lang w:val="zh-CN"/>
        </w:rPr>
        <w:t>响应供应商所填写的“响应供应商响应描述”及“偏离情况说明”必须与客观事实相一致，响应供应商响应不实且情节严重的，将被主管部门依法列为失信信息等法律后果。</w:t>
      </w:r>
    </w:p>
    <w:p>
      <w:pPr>
        <w:spacing w:line="500" w:lineRule="exact"/>
        <w:rPr>
          <w:rFonts w:ascii="宋体" w:hAnsi="宋体"/>
        </w:rPr>
      </w:pPr>
    </w:p>
    <w:p>
      <w:pPr>
        <w:pStyle w:val="a0"/>
        <w:rPr>
          <w:rFonts w:ascii="黑体" w:eastAsia="黑体"/>
          <w:b/>
          <w:sz w:val="28"/>
        </w:rPr>
      </w:pPr>
      <w:r>
        <w:br w:type="page"/>
      </w:r>
    </w:p>
    <w:p>
      <w:pPr>
        <w:pStyle w:val="Heading2"/>
        <w:numPr>
          <w:ilvl w:val="0"/>
          <w:numId w:val="21"/>
        </w:numPr>
        <w:spacing w:line="240" w:lineRule="auto"/>
        <w:jc w:val="center"/>
        <w:rPr>
          <w:b w:val="0"/>
          <w:color w:val="000000" w:themeColor="text1"/>
          <w14:textFill>
            <w14:solidFill>
              <w14:schemeClr w14:val="tx1"/>
            </w14:solidFill>
          </w14:textFill>
        </w:rPr>
      </w:pPr>
      <w:bookmarkEnd w:id="115"/>
      <w:bookmarkEnd w:id="116"/>
      <w:bookmarkEnd w:id="117"/>
      <w:bookmarkEnd w:id="118"/>
      <w:bookmarkEnd w:id="119"/>
      <w:bookmarkEnd w:id="120"/>
      <w:bookmarkEnd w:id="121"/>
      <w:bookmarkStart w:id="127" w:name="_Toc355768062"/>
      <w:bookmarkStart w:id="128" w:name="_Toc50737301"/>
      <w:bookmarkStart w:id="129" w:name="_Toc50737333"/>
      <w:bookmarkStart w:id="130" w:name="_Toc87417463"/>
      <w:bookmarkStart w:id="131" w:name="_Toc50691044"/>
      <w:bookmarkStart w:id="132" w:name="_Toc52165085"/>
      <w:bookmarkStart w:id="133" w:name="_Toc50736481"/>
      <w:bookmarkStart w:id="134" w:name="_Toc173647299"/>
      <w:r>
        <w:rPr>
          <w:rFonts w:hint="eastAsia"/>
          <w:b w:val="0"/>
          <w:color w:val="000000" w:themeColor="text1"/>
          <w14:textFill>
            <w14:solidFill>
              <w14:schemeClr w14:val="tx1"/>
            </w14:solidFill>
          </w14:textFill>
        </w:rPr>
        <w:t>用户需求响应一览表</w:t>
      </w:r>
    </w:p>
    <w:p>
      <w:pPr>
        <w:jc w:val="center"/>
        <w:rPr>
          <w:rFonts w:ascii="Arial" w:eastAsia="黑体" w:hAnsi="Arial"/>
          <w:bCs/>
          <w:kern w:val="2"/>
          <w:sz w:val="32"/>
          <w:szCs w:val="32"/>
          <w:lang w:val="zh-CN"/>
        </w:rPr>
      </w:pPr>
      <w:r>
        <w:rPr>
          <w:rFonts w:ascii="Arial" w:eastAsia="黑体" w:hAnsi="Arial" w:hint="eastAsia"/>
          <w:bCs/>
          <w:kern w:val="2"/>
          <w:sz w:val="32"/>
          <w:szCs w:val="32"/>
          <w:lang w:val="zh-CN"/>
        </w:rPr>
        <w:t>（非信息公开部分）</w:t>
      </w:r>
    </w:p>
    <w:p>
      <w:pPr>
        <w:spacing w:line="400" w:lineRule="exact"/>
        <w:rPr>
          <w:rFonts w:ascii="宋体" w:hAnsi="宋体"/>
        </w:rPr>
      </w:pPr>
      <w:r>
        <w:rPr>
          <w:rFonts w:ascii="宋体" w:hAnsi="宋体" w:hint="eastAsia"/>
        </w:rPr>
        <w:t>说明：响应供应商必须对应采购文件中</w:t>
      </w:r>
      <w:r>
        <w:rPr>
          <w:rFonts w:ascii="宋体" w:hAnsi="宋体" w:hint="eastAsia"/>
          <w:b/>
          <w:bCs/>
        </w:rPr>
        <w:t>第四章用户需求书的条款逐条应答并按要求填写下表</w:t>
      </w:r>
      <w:r>
        <w:rPr>
          <w:rFonts w:ascii="宋体" w:hAnsi="宋体" w:hint="eastAsia"/>
        </w:rPr>
        <w:t>。</w:t>
      </w:r>
    </w:p>
    <w:p>
      <w:pPr>
        <w:widowControl/>
        <w:wordWrap w:val="0"/>
        <w:spacing w:line="360" w:lineRule="auto"/>
        <w:jc w:val="left"/>
        <w:rPr>
          <w:rFonts w:ascii="宋体" w:eastAsia="宋体" w:hAnsi="宋体" w:hint="eastAsia"/>
          <w:color w:val="auto"/>
          <w:highlight w:val="none"/>
          <w:lang w:eastAsia="zh-CN"/>
        </w:rPr>
      </w:pPr>
      <w:r>
        <w:rPr>
          <w:rFonts w:ascii="宋体" w:hAnsi="宋体" w:hint="eastAsia"/>
        </w:rPr>
        <w:t xml:space="preserve">响应供应商名称： </w:t>
      </w:r>
      <w:r>
        <w:rPr>
          <w:rFonts w:ascii="宋体" w:hAnsi="宋体" w:hint="eastAsia"/>
          <w:color w:val="0000FF"/>
        </w:rPr>
        <w:t xml:space="preserve">                   </w:t>
      </w:r>
      <w:r>
        <w:rPr>
          <w:rFonts w:ascii="宋体" w:hAnsi="宋体" w:hint="eastAsia"/>
          <w:color w:val="auto"/>
          <w:highlight w:val="none"/>
        </w:rPr>
        <w:t xml:space="preserve">    项目编号：</w:t>
      </w:r>
      <w:r>
        <w:rPr>
          <w:rFonts w:ascii="宋体" w:hAnsi="宋体" w:hint="eastAsia"/>
          <w:color w:val="auto"/>
          <w:highlight w:val="none"/>
          <w:lang w:eastAsia="zh-CN"/>
        </w:rPr>
        <w:t>SZDL2024001286（CLF0123SZ22ZC60C）</w:t>
      </w:r>
    </w:p>
    <w:tbl>
      <w:tblPr>
        <w:tblStyle w:val="TableNormal"/>
        <w:tblW w:w="924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0" w:type="dxa"/>
          <w:left w:w="108" w:type="dxa"/>
          <w:bottom w:w="0" w:type="dxa"/>
          <w:right w:w="108" w:type="dxa"/>
        </w:tblCellMar>
      </w:tblPr>
      <w:tblGrid>
        <w:gridCol w:w="655"/>
        <w:gridCol w:w="2228"/>
        <w:gridCol w:w="2360"/>
        <w:gridCol w:w="2000"/>
        <w:gridCol w:w="2002"/>
      </w:tblGrid>
      <w:tr>
        <w:tblPrEx>
          <w:tblW w:w="924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0" w:type="dxa"/>
            <w:left w:w="108" w:type="dxa"/>
            <w:bottom w:w="0" w:type="dxa"/>
            <w:right w:w="108" w:type="dxa"/>
          </w:tblCellMar>
        </w:tblPrEx>
        <w:trPr>
          <w:trHeight w:val="821"/>
          <w:jc w:val="center"/>
        </w:trPr>
        <w:tc>
          <w:tcPr>
            <w:tcW w:w="655" w:type="dxa"/>
            <w:tcBorders>
              <w:top w:val="single" w:sz="12" w:space="0" w:color="auto"/>
              <w:bottom w:val="double" w:sz="4" w:space="0" w:color="auto"/>
            </w:tcBorders>
            <w:shd w:val="clear" w:color="auto" w:fill="EEECE1"/>
            <w:vAlign w:val="center"/>
          </w:tcPr>
          <w:p>
            <w:pPr>
              <w:adjustRightInd w:val="0"/>
              <w:snapToGrid w:val="0"/>
              <w:ind w:left="-71" w:right="-74" w:leftChars="-34" w:rightChars="-35"/>
              <w:jc w:val="center"/>
              <w:rPr>
                <w:rFonts w:ascii="宋体" w:hAnsi="宋体"/>
                <w:color w:val="auto"/>
                <w:highlight w:val="none"/>
              </w:rPr>
            </w:pPr>
            <w:r>
              <w:rPr>
                <w:rFonts w:ascii="宋体" w:hAnsi="宋体" w:hint="eastAsia"/>
                <w:color w:val="auto"/>
                <w:highlight w:val="none"/>
              </w:rPr>
              <w:t>序号</w:t>
            </w:r>
          </w:p>
        </w:tc>
        <w:tc>
          <w:tcPr>
            <w:tcW w:w="2228" w:type="dxa"/>
            <w:tcBorders>
              <w:top w:val="single" w:sz="12" w:space="0" w:color="auto"/>
              <w:bottom w:val="double" w:sz="4" w:space="0" w:color="auto"/>
            </w:tcBorders>
            <w:shd w:val="clear" w:color="auto" w:fill="EEECE1"/>
            <w:vAlign w:val="center"/>
          </w:tcPr>
          <w:p>
            <w:pPr>
              <w:adjustRightInd w:val="0"/>
              <w:snapToGrid w:val="0"/>
              <w:ind w:left="-71" w:right="-74" w:leftChars="-34" w:rightChars="-35"/>
              <w:jc w:val="center"/>
              <w:rPr>
                <w:rFonts w:ascii="宋体" w:hAnsi="宋体"/>
                <w:color w:val="auto"/>
                <w:highlight w:val="none"/>
              </w:rPr>
            </w:pPr>
            <w:r>
              <w:rPr>
                <w:rFonts w:ascii="宋体" w:hAnsi="宋体" w:hint="eastAsia"/>
                <w:color w:val="auto"/>
                <w:highlight w:val="none"/>
              </w:rPr>
              <w:t>采购文件条款描述</w:t>
            </w:r>
          </w:p>
        </w:tc>
        <w:tc>
          <w:tcPr>
            <w:tcW w:w="2360" w:type="dxa"/>
            <w:tcBorders>
              <w:top w:val="single" w:sz="12" w:space="0" w:color="auto"/>
              <w:bottom w:val="double" w:sz="4" w:space="0" w:color="auto"/>
            </w:tcBorders>
            <w:shd w:val="clear" w:color="auto" w:fill="EEECE1"/>
            <w:vAlign w:val="center"/>
          </w:tcPr>
          <w:p>
            <w:pPr>
              <w:adjustRightInd w:val="0"/>
              <w:snapToGrid w:val="0"/>
              <w:ind w:left="-71" w:right="-74" w:leftChars="-34" w:rightChars="-35"/>
              <w:jc w:val="center"/>
              <w:rPr>
                <w:rFonts w:ascii="宋体" w:hAnsi="宋体"/>
                <w:color w:val="auto"/>
                <w:highlight w:val="none"/>
              </w:rPr>
            </w:pPr>
            <w:r>
              <w:rPr>
                <w:rFonts w:ascii="宋体" w:hAnsi="宋体" w:hint="eastAsia"/>
                <w:color w:val="auto"/>
                <w:highlight w:val="none"/>
              </w:rPr>
              <w:t>响应供应商响应描述</w:t>
            </w:r>
          </w:p>
          <w:p>
            <w:pPr>
              <w:adjustRightInd w:val="0"/>
              <w:snapToGrid w:val="0"/>
              <w:ind w:left="-71" w:right="-74" w:leftChars="-34" w:rightChars="-35"/>
              <w:jc w:val="center"/>
              <w:rPr>
                <w:rFonts w:ascii="宋体" w:hAnsi="宋体"/>
                <w:color w:val="auto"/>
                <w:highlight w:val="none"/>
              </w:rPr>
            </w:pPr>
            <w:r>
              <w:rPr>
                <w:rFonts w:ascii="宋体" w:hAnsi="宋体" w:hint="eastAsia"/>
                <w:b/>
                <w:bCs/>
                <w:color w:val="auto"/>
                <w:highlight w:val="none"/>
              </w:rPr>
              <w:t>(响应供应商应按响应货物/服务实际数据填写)</w:t>
            </w:r>
          </w:p>
        </w:tc>
        <w:tc>
          <w:tcPr>
            <w:tcW w:w="2000" w:type="dxa"/>
            <w:tcBorders>
              <w:top w:val="single" w:sz="12" w:space="0" w:color="auto"/>
              <w:bottom w:val="double" w:sz="4" w:space="0" w:color="auto"/>
            </w:tcBorders>
            <w:shd w:val="clear" w:color="auto" w:fill="EEECE1"/>
            <w:vAlign w:val="center"/>
          </w:tcPr>
          <w:p>
            <w:pPr>
              <w:adjustRightInd w:val="0"/>
              <w:snapToGrid w:val="0"/>
              <w:ind w:left="-71" w:right="-74" w:leftChars="-34" w:rightChars="-35"/>
              <w:jc w:val="center"/>
              <w:rPr>
                <w:rFonts w:ascii="宋体" w:hAnsi="宋体"/>
                <w:color w:val="auto"/>
                <w:highlight w:val="none"/>
              </w:rPr>
            </w:pPr>
            <w:r>
              <w:rPr>
                <w:rFonts w:ascii="宋体" w:hAnsi="宋体" w:hint="eastAsia"/>
                <w:color w:val="auto"/>
                <w:highlight w:val="none"/>
              </w:rPr>
              <w:t>偏离情况说明</w:t>
            </w:r>
          </w:p>
          <w:p>
            <w:pPr>
              <w:adjustRightInd w:val="0"/>
              <w:snapToGrid w:val="0"/>
              <w:jc w:val="center"/>
              <w:rPr>
                <w:rFonts w:ascii="宋体" w:hAnsi="宋体"/>
                <w:b/>
                <w:color w:val="auto"/>
                <w:highlight w:val="none"/>
              </w:rPr>
            </w:pPr>
            <w:r>
              <w:rPr>
                <w:rFonts w:ascii="宋体" w:hAnsi="宋体" w:hint="eastAsia"/>
                <w:b/>
                <w:color w:val="auto"/>
                <w:highlight w:val="none"/>
              </w:rPr>
              <w:t>（</w:t>
            </w:r>
            <w:r>
              <w:rPr>
                <w:rFonts w:hint="eastAsia"/>
                <w:b/>
                <w:color w:val="auto"/>
                <w:highlight w:val="none"/>
              </w:rPr>
              <w:t>正偏离/完全响应/负偏离</w:t>
            </w:r>
            <w:r>
              <w:rPr>
                <w:rFonts w:ascii="宋体" w:hAnsi="宋体" w:hint="eastAsia"/>
                <w:b/>
                <w:color w:val="auto"/>
                <w:highlight w:val="none"/>
              </w:rPr>
              <w:t>）</w:t>
            </w:r>
          </w:p>
        </w:tc>
        <w:tc>
          <w:tcPr>
            <w:tcW w:w="2002" w:type="dxa"/>
            <w:tcBorders>
              <w:top w:val="single" w:sz="12" w:space="0" w:color="auto"/>
              <w:bottom w:val="double" w:sz="4" w:space="0" w:color="auto"/>
            </w:tcBorders>
            <w:shd w:val="clear" w:color="auto" w:fill="EEECE1"/>
            <w:vAlign w:val="center"/>
          </w:tcPr>
          <w:p>
            <w:pPr>
              <w:adjustRightInd w:val="0"/>
              <w:snapToGrid w:val="0"/>
              <w:ind w:left="-71" w:right="-74" w:leftChars="-34" w:rightChars="-35"/>
              <w:jc w:val="center"/>
              <w:rPr>
                <w:rFonts w:ascii="宋体" w:hAnsi="宋体"/>
                <w:color w:val="auto"/>
                <w:highlight w:val="none"/>
              </w:rPr>
            </w:pPr>
            <w:r>
              <w:rPr>
                <w:rFonts w:ascii="宋体" w:hAnsi="宋体" w:hint="eastAsia"/>
                <w:color w:val="auto"/>
                <w:highlight w:val="none"/>
              </w:rPr>
              <w:t>说明</w:t>
            </w:r>
          </w:p>
        </w:tc>
      </w:tr>
      <w:tr>
        <w:tblPrEx>
          <w:tblW w:w="9245" w:type="dxa"/>
          <w:jc w:val="center"/>
          <w:tblLayout w:type="fixed"/>
          <w:tblCellMar>
            <w:top w:w="0" w:type="dxa"/>
            <w:left w:w="108" w:type="dxa"/>
            <w:bottom w:w="0" w:type="dxa"/>
            <w:right w:w="108" w:type="dxa"/>
          </w:tblCellMar>
        </w:tblPrEx>
        <w:trPr>
          <w:cantSplit/>
          <w:trHeight w:val="534"/>
          <w:jc w:val="center"/>
        </w:trPr>
        <w:tc>
          <w:tcPr>
            <w:tcW w:w="9245" w:type="dxa"/>
            <w:gridSpan w:val="5"/>
            <w:vAlign w:val="center"/>
          </w:tcPr>
          <w:p>
            <w:pPr>
              <w:spacing w:line="400" w:lineRule="exact"/>
              <w:jc w:val="center"/>
              <w:rPr>
                <w:rFonts w:ascii="宋体" w:hAnsi="宋体"/>
                <w:color w:val="auto"/>
                <w:highlight w:val="none"/>
              </w:rPr>
            </w:pPr>
            <w:r>
              <w:rPr>
                <w:rFonts w:hint="eastAsia"/>
                <w:b/>
                <w:color w:val="auto"/>
                <w:highlight w:val="none"/>
              </w:rPr>
              <w:t>带“▲”的重要</w:t>
            </w:r>
            <w:r>
              <w:rPr>
                <w:rFonts w:ascii="宋体" w:hAnsi="宋体" w:hint="eastAsia"/>
                <w:b/>
                <w:color w:val="auto"/>
                <w:highlight w:val="none"/>
              </w:rPr>
              <w:t>条款</w:t>
            </w:r>
          </w:p>
        </w:tc>
      </w:tr>
      <w:tr>
        <w:tblPrEx>
          <w:tblW w:w="9245" w:type="dxa"/>
          <w:jc w:val="center"/>
          <w:tblLayout w:type="fixed"/>
          <w:tblCellMar>
            <w:top w:w="0" w:type="dxa"/>
            <w:left w:w="108" w:type="dxa"/>
            <w:bottom w:w="0" w:type="dxa"/>
            <w:right w:w="108" w:type="dxa"/>
          </w:tblCellMar>
        </w:tblPrEx>
        <w:trPr>
          <w:cantSplit/>
          <w:trHeight w:val="534"/>
          <w:jc w:val="center"/>
        </w:trPr>
        <w:tc>
          <w:tcPr>
            <w:tcW w:w="655" w:type="dxa"/>
            <w:vAlign w:val="center"/>
          </w:tcPr>
          <w:p>
            <w:pPr>
              <w:numPr>
                <w:ilvl w:val="0"/>
                <w:numId w:val="30"/>
              </w:numPr>
              <w:jc w:val="center"/>
              <w:rPr>
                <w:rFonts w:ascii="宋体" w:hAnsi="宋体"/>
                <w:color w:val="auto"/>
                <w:highlight w:val="none"/>
              </w:rPr>
            </w:pPr>
          </w:p>
        </w:tc>
        <w:tc>
          <w:tcPr>
            <w:tcW w:w="2228" w:type="dxa"/>
            <w:vAlign w:val="center"/>
          </w:tcPr>
          <w:p>
            <w:pPr>
              <w:spacing w:line="400" w:lineRule="exact"/>
              <w:jc w:val="center"/>
              <w:rPr>
                <w:rFonts w:ascii="宋体" w:hAnsi="宋体"/>
                <w:color w:val="auto"/>
                <w:highlight w:val="none"/>
              </w:rPr>
            </w:pPr>
          </w:p>
        </w:tc>
        <w:tc>
          <w:tcPr>
            <w:tcW w:w="2360" w:type="dxa"/>
            <w:vAlign w:val="center"/>
          </w:tcPr>
          <w:p>
            <w:pPr>
              <w:spacing w:line="400" w:lineRule="exact"/>
              <w:jc w:val="center"/>
              <w:rPr>
                <w:rFonts w:ascii="宋体" w:hAnsi="宋体"/>
                <w:color w:val="auto"/>
                <w:highlight w:val="none"/>
              </w:rPr>
            </w:pPr>
          </w:p>
        </w:tc>
        <w:tc>
          <w:tcPr>
            <w:tcW w:w="2000" w:type="dxa"/>
            <w:vAlign w:val="center"/>
          </w:tcPr>
          <w:p>
            <w:pPr>
              <w:spacing w:line="400" w:lineRule="exact"/>
              <w:jc w:val="center"/>
              <w:rPr>
                <w:rFonts w:ascii="宋体" w:hAnsi="宋体"/>
                <w:color w:val="auto"/>
                <w:highlight w:val="none"/>
              </w:rPr>
            </w:pPr>
          </w:p>
        </w:tc>
        <w:tc>
          <w:tcPr>
            <w:tcW w:w="2002" w:type="dxa"/>
            <w:vAlign w:val="center"/>
          </w:tcPr>
          <w:p>
            <w:pPr>
              <w:spacing w:line="400" w:lineRule="exact"/>
              <w:jc w:val="center"/>
              <w:rPr>
                <w:rFonts w:ascii="宋体" w:hAnsi="宋体"/>
                <w:color w:val="auto"/>
                <w:highlight w:val="none"/>
              </w:rPr>
            </w:pPr>
          </w:p>
        </w:tc>
      </w:tr>
      <w:tr>
        <w:tblPrEx>
          <w:tblW w:w="9245" w:type="dxa"/>
          <w:jc w:val="center"/>
          <w:tblLayout w:type="fixed"/>
          <w:tblCellMar>
            <w:top w:w="0" w:type="dxa"/>
            <w:left w:w="108" w:type="dxa"/>
            <w:bottom w:w="0" w:type="dxa"/>
            <w:right w:w="108" w:type="dxa"/>
          </w:tblCellMar>
        </w:tblPrEx>
        <w:trPr>
          <w:cantSplit/>
          <w:trHeight w:val="534"/>
          <w:jc w:val="center"/>
        </w:trPr>
        <w:tc>
          <w:tcPr>
            <w:tcW w:w="655" w:type="dxa"/>
            <w:vAlign w:val="center"/>
          </w:tcPr>
          <w:p>
            <w:pPr>
              <w:numPr>
                <w:ilvl w:val="0"/>
                <w:numId w:val="30"/>
              </w:numPr>
              <w:jc w:val="center"/>
              <w:rPr>
                <w:rFonts w:ascii="宋体" w:hAnsi="宋体"/>
                <w:color w:val="auto"/>
                <w:highlight w:val="none"/>
              </w:rPr>
            </w:pPr>
          </w:p>
        </w:tc>
        <w:tc>
          <w:tcPr>
            <w:tcW w:w="2228" w:type="dxa"/>
            <w:vAlign w:val="center"/>
          </w:tcPr>
          <w:p>
            <w:pPr>
              <w:spacing w:line="400" w:lineRule="exact"/>
              <w:jc w:val="center"/>
              <w:rPr>
                <w:rFonts w:ascii="宋体" w:hAnsi="宋体"/>
                <w:color w:val="auto"/>
                <w:highlight w:val="none"/>
              </w:rPr>
            </w:pPr>
          </w:p>
        </w:tc>
        <w:tc>
          <w:tcPr>
            <w:tcW w:w="2360" w:type="dxa"/>
            <w:vAlign w:val="center"/>
          </w:tcPr>
          <w:p>
            <w:pPr>
              <w:spacing w:line="400" w:lineRule="exact"/>
              <w:jc w:val="center"/>
              <w:rPr>
                <w:rFonts w:ascii="宋体" w:hAnsi="宋体"/>
                <w:color w:val="auto"/>
                <w:highlight w:val="none"/>
              </w:rPr>
            </w:pPr>
          </w:p>
        </w:tc>
        <w:tc>
          <w:tcPr>
            <w:tcW w:w="2000" w:type="dxa"/>
            <w:vAlign w:val="center"/>
          </w:tcPr>
          <w:p>
            <w:pPr>
              <w:spacing w:line="400" w:lineRule="exact"/>
              <w:jc w:val="center"/>
              <w:rPr>
                <w:rFonts w:ascii="宋体" w:hAnsi="宋体"/>
                <w:color w:val="auto"/>
                <w:highlight w:val="none"/>
              </w:rPr>
            </w:pPr>
          </w:p>
        </w:tc>
        <w:tc>
          <w:tcPr>
            <w:tcW w:w="2002" w:type="dxa"/>
            <w:vAlign w:val="center"/>
          </w:tcPr>
          <w:p>
            <w:pPr>
              <w:spacing w:line="400" w:lineRule="exact"/>
              <w:jc w:val="center"/>
              <w:rPr>
                <w:rFonts w:ascii="宋体" w:hAnsi="宋体"/>
                <w:color w:val="auto"/>
                <w:highlight w:val="none"/>
              </w:rPr>
            </w:pPr>
          </w:p>
        </w:tc>
      </w:tr>
      <w:tr>
        <w:tblPrEx>
          <w:tblW w:w="9245" w:type="dxa"/>
          <w:jc w:val="center"/>
          <w:tblLayout w:type="fixed"/>
          <w:tblCellMar>
            <w:top w:w="0" w:type="dxa"/>
            <w:left w:w="108" w:type="dxa"/>
            <w:bottom w:w="0" w:type="dxa"/>
            <w:right w:w="108" w:type="dxa"/>
          </w:tblCellMar>
        </w:tblPrEx>
        <w:trPr>
          <w:cantSplit/>
          <w:trHeight w:val="534"/>
          <w:jc w:val="center"/>
        </w:trPr>
        <w:tc>
          <w:tcPr>
            <w:tcW w:w="655" w:type="dxa"/>
            <w:vAlign w:val="center"/>
          </w:tcPr>
          <w:p>
            <w:pPr>
              <w:numPr>
                <w:ilvl w:val="0"/>
                <w:numId w:val="30"/>
              </w:numPr>
              <w:jc w:val="center"/>
              <w:rPr>
                <w:rFonts w:ascii="宋体" w:hAnsi="宋体"/>
                <w:color w:val="auto"/>
                <w:highlight w:val="none"/>
              </w:rPr>
            </w:pPr>
          </w:p>
        </w:tc>
        <w:tc>
          <w:tcPr>
            <w:tcW w:w="2228" w:type="dxa"/>
            <w:vAlign w:val="center"/>
          </w:tcPr>
          <w:p>
            <w:pPr>
              <w:spacing w:line="400" w:lineRule="exact"/>
              <w:jc w:val="center"/>
              <w:rPr>
                <w:rFonts w:ascii="宋体" w:hAnsi="宋体"/>
                <w:color w:val="auto"/>
                <w:highlight w:val="none"/>
              </w:rPr>
            </w:pPr>
          </w:p>
        </w:tc>
        <w:tc>
          <w:tcPr>
            <w:tcW w:w="2360" w:type="dxa"/>
            <w:vAlign w:val="center"/>
          </w:tcPr>
          <w:p>
            <w:pPr>
              <w:spacing w:line="400" w:lineRule="exact"/>
              <w:jc w:val="center"/>
              <w:rPr>
                <w:rFonts w:ascii="宋体" w:hAnsi="宋体"/>
                <w:color w:val="auto"/>
                <w:highlight w:val="none"/>
              </w:rPr>
            </w:pPr>
          </w:p>
        </w:tc>
        <w:tc>
          <w:tcPr>
            <w:tcW w:w="2000" w:type="dxa"/>
            <w:vAlign w:val="center"/>
          </w:tcPr>
          <w:p>
            <w:pPr>
              <w:spacing w:line="400" w:lineRule="exact"/>
              <w:jc w:val="center"/>
              <w:rPr>
                <w:rFonts w:ascii="宋体" w:hAnsi="宋体"/>
                <w:color w:val="auto"/>
                <w:highlight w:val="none"/>
              </w:rPr>
            </w:pPr>
          </w:p>
        </w:tc>
        <w:tc>
          <w:tcPr>
            <w:tcW w:w="2002" w:type="dxa"/>
            <w:vAlign w:val="center"/>
          </w:tcPr>
          <w:p>
            <w:pPr>
              <w:spacing w:line="400" w:lineRule="exact"/>
              <w:jc w:val="center"/>
              <w:rPr>
                <w:rFonts w:ascii="宋体" w:hAnsi="宋体" w:cs="宋体"/>
                <w:color w:val="auto"/>
                <w:highlight w:val="none"/>
              </w:rPr>
            </w:pPr>
          </w:p>
        </w:tc>
      </w:tr>
      <w:tr>
        <w:tblPrEx>
          <w:tblW w:w="9245" w:type="dxa"/>
          <w:jc w:val="center"/>
          <w:tblLayout w:type="fixed"/>
          <w:tblCellMar>
            <w:top w:w="0" w:type="dxa"/>
            <w:left w:w="108" w:type="dxa"/>
            <w:bottom w:w="0" w:type="dxa"/>
            <w:right w:w="108" w:type="dxa"/>
          </w:tblCellMar>
        </w:tblPrEx>
        <w:trPr>
          <w:cantSplit/>
          <w:trHeight w:val="534"/>
          <w:jc w:val="center"/>
        </w:trPr>
        <w:tc>
          <w:tcPr>
            <w:tcW w:w="9245" w:type="dxa"/>
            <w:gridSpan w:val="5"/>
            <w:vAlign w:val="center"/>
          </w:tcPr>
          <w:p>
            <w:pPr>
              <w:spacing w:line="400" w:lineRule="exact"/>
              <w:jc w:val="center"/>
              <w:rPr>
                <w:rFonts w:ascii="宋体" w:hAnsi="宋体"/>
                <w:color w:val="auto"/>
                <w:highlight w:val="none"/>
              </w:rPr>
            </w:pPr>
            <w:r>
              <w:rPr>
                <w:rFonts w:ascii="宋体" w:hAnsi="宋体" w:hint="eastAsia"/>
                <w:b/>
                <w:color w:val="auto"/>
                <w:highlight w:val="none"/>
              </w:rPr>
              <w:t>一般条款（除带</w:t>
            </w:r>
            <w:r>
              <w:rPr>
                <w:rFonts w:hint="eastAsia"/>
                <w:b/>
                <w:color w:val="auto"/>
                <w:highlight w:val="none"/>
              </w:rPr>
              <w:t>“</w:t>
            </w:r>
            <w:r>
              <w:rPr>
                <w:rFonts w:ascii="宋体" w:hint="eastAsia"/>
                <w:b/>
                <w:bCs/>
                <w:color w:val="auto"/>
                <w:szCs w:val="20"/>
                <w:highlight w:val="none"/>
              </w:rPr>
              <w:t>★</w:t>
            </w:r>
            <w:r>
              <w:rPr>
                <w:rFonts w:hint="eastAsia"/>
                <w:b/>
                <w:color w:val="auto"/>
                <w:highlight w:val="none"/>
              </w:rPr>
              <w:t>”和“▲”之外的条款</w:t>
            </w:r>
            <w:r>
              <w:rPr>
                <w:rFonts w:ascii="宋体" w:hAnsi="宋体" w:hint="eastAsia"/>
                <w:b/>
                <w:color w:val="auto"/>
                <w:highlight w:val="none"/>
              </w:rPr>
              <w:t>）</w:t>
            </w:r>
          </w:p>
        </w:tc>
      </w:tr>
      <w:tr>
        <w:tblPrEx>
          <w:tblW w:w="9245" w:type="dxa"/>
          <w:jc w:val="center"/>
          <w:tblLayout w:type="fixed"/>
          <w:tblCellMar>
            <w:top w:w="0" w:type="dxa"/>
            <w:left w:w="108" w:type="dxa"/>
            <w:bottom w:w="0" w:type="dxa"/>
            <w:right w:w="108" w:type="dxa"/>
          </w:tblCellMar>
        </w:tblPrEx>
        <w:trPr>
          <w:cantSplit/>
          <w:trHeight w:val="534"/>
          <w:jc w:val="center"/>
        </w:trPr>
        <w:tc>
          <w:tcPr>
            <w:tcW w:w="655" w:type="dxa"/>
            <w:vAlign w:val="center"/>
          </w:tcPr>
          <w:p>
            <w:pPr>
              <w:numPr>
                <w:ilvl w:val="0"/>
                <w:numId w:val="31"/>
              </w:numPr>
              <w:jc w:val="center"/>
              <w:rPr>
                <w:rFonts w:ascii="宋体" w:hAnsi="宋体"/>
                <w:color w:val="auto"/>
                <w:highlight w:val="none"/>
              </w:rPr>
            </w:pPr>
          </w:p>
        </w:tc>
        <w:tc>
          <w:tcPr>
            <w:tcW w:w="2228" w:type="dxa"/>
            <w:vAlign w:val="center"/>
          </w:tcPr>
          <w:p>
            <w:pPr>
              <w:spacing w:line="400" w:lineRule="exact"/>
              <w:jc w:val="center"/>
              <w:rPr>
                <w:rFonts w:ascii="宋体" w:hAnsi="宋体"/>
                <w:color w:val="auto"/>
                <w:highlight w:val="none"/>
              </w:rPr>
            </w:pPr>
          </w:p>
        </w:tc>
        <w:tc>
          <w:tcPr>
            <w:tcW w:w="2360" w:type="dxa"/>
            <w:vAlign w:val="center"/>
          </w:tcPr>
          <w:p>
            <w:pPr>
              <w:spacing w:line="400" w:lineRule="exact"/>
              <w:jc w:val="center"/>
              <w:rPr>
                <w:rFonts w:ascii="宋体" w:hAnsi="宋体"/>
                <w:color w:val="auto"/>
                <w:highlight w:val="none"/>
              </w:rPr>
            </w:pPr>
          </w:p>
        </w:tc>
        <w:tc>
          <w:tcPr>
            <w:tcW w:w="2000" w:type="dxa"/>
            <w:vAlign w:val="center"/>
          </w:tcPr>
          <w:p>
            <w:pPr>
              <w:spacing w:line="400" w:lineRule="exact"/>
              <w:jc w:val="center"/>
              <w:rPr>
                <w:rFonts w:ascii="宋体" w:hAnsi="宋体"/>
                <w:color w:val="auto"/>
                <w:highlight w:val="none"/>
              </w:rPr>
            </w:pPr>
          </w:p>
        </w:tc>
        <w:tc>
          <w:tcPr>
            <w:tcW w:w="2002" w:type="dxa"/>
            <w:vAlign w:val="center"/>
          </w:tcPr>
          <w:p>
            <w:pPr>
              <w:spacing w:line="400" w:lineRule="exact"/>
              <w:jc w:val="center"/>
              <w:rPr>
                <w:rFonts w:ascii="宋体" w:hAnsi="宋体"/>
                <w:color w:val="auto"/>
                <w:highlight w:val="none"/>
              </w:rPr>
            </w:pPr>
          </w:p>
        </w:tc>
      </w:tr>
      <w:tr>
        <w:tblPrEx>
          <w:tblW w:w="9245" w:type="dxa"/>
          <w:jc w:val="center"/>
          <w:tblLayout w:type="fixed"/>
          <w:tblCellMar>
            <w:top w:w="0" w:type="dxa"/>
            <w:left w:w="108" w:type="dxa"/>
            <w:bottom w:w="0" w:type="dxa"/>
            <w:right w:w="108" w:type="dxa"/>
          </w:tblCellMar>
        </w:tblPrEx>
        <w:trPr>
          <w:cantSplit/>
          <w:trHeight w:val="534"/>
          <w:jc w:val="center"/>
        </w:trPr>
        <w:tc>
          <w:tcPr>
            <w:tcW w:w="655" w:type="dxa"/>
            <w:vAlign w:val="center"/>
          </w:tcPr>
          <w:p>
            <w:pPr>
              <w:numPr>
                <w:ilvl w:val="0"/>
                <w:numId w:val="31"/>
              </w:numPr>
              <w:jc w:val="center"/>
              <w:rPr>
                <w:rFonts w:ascii="宋体" w:hAnsi="宋体"/>
                <w:color w:val="auto"/>
                <w:highlight w:val="none"/>
              </w:rPr>
            </w:pPr>
          </w:p>
        </w:tc>
        <w:tc>
          <w:tcPr>
            <w:tcW w:w="2228" w:type="dxa"/>
            <w:vAlign w:val="center"/>
          </w:tcPr>
          <w:p>
            <w:pPr>
              <w:spacing w:line="400" w:lineRule="exact"/>
              <w:jc w:val="center"/>
              <w:rPr>
                <w:rFonts w:ascii="宋体" w:hAnsi="宋体"/>
                <w:color w:val="auto"/>
                <w:highlight w:val="none"/>
              </w:rPr>
            </w:pPr>
          </w:p>
        </w:tc>
        <w:tc>
          <w:tcPr>
            <w:tcW w:w="2360" w:type="dxa"/>
            <w:vAlign w:val="center"/>
          </w:tcPr>
          <w:p>
            <w:pPr>
              <w:spacing w:line="400" w:lineRule="exact"/>
              <w:jc w:val="center"/>
              <w:rPr>
                <w:rFonts w:ascii="宋体" w:hAnsi="宋体"/>
                <w:color w:val="auto"/>
                <w:highlight w:val="none"/>
              </w:rPr>
            </w:pPr>
          </w:p>
        </w:tc>
        <w:tc>
          <w:tcPr>
            <w:tcW w:w="2000" w:type="dxa"/>
            <w:vAlign w:val="center"/>
          </w:tcPr>
          <w:p>
            <w:pPr>
              <w:spacing w:line="400" w:lineRule="exact"/>
              <w:jc w:val="center"/>
              <w:rPr>
                <w:rFonts w:ascii="宋体" w:hAnsi="宋体"/>
                <w:color w:val="auto"/>
                <w:highlight w:val="none"/>
              </w:rPr>
            </w:pPr>
          </w:p>
        </w:tc>
        <w:tc>
          <w:tcPr>
            <w:tcW w:w="2002" w:type="dxa"/>
            <w:vAlign w:val="center"/>
          </w:tcPr>
          <w:p>
            <w:pPr>
              <w:spacing w:line="400" w:lineRule="exact"/>
              <w:jc w:val="center"/>
              <w:rPr>
                <w:rFonts w:ascii="宋体" w:hAnsi="宋体"/>
                <w:color w:val="auto"/>
                <w:highlight w:val="none"/>
              </w:rPr>
            </w:pPr>
          </w:p>
        </w:tc>
      </w:tr>
      <w:tr>
        <w:tblPrEx>
          <w:tblW w:w="9245" w:type="dxa"/>
          <w:jc w:val="center"/>
          <w:tblLayout w:type="fixed"/>
          <w:tblCellMar>
            <w:top w:w="0" w:type="dxa"/>
            <w:left w:w="108" w:type="dxa"/>
            <w:bottom w:w="0" w:type="dxa"/>
            <w:right w:w="108" w:type="dxa"/>
          </w:tblCellMar>
        </w:tblPrEx>
        <w:trPr>
          <w:cantSplit/>
          <w:trHeight w:val="534"/>
          <w:jc w:val="center"/>
        </w:trPr>
        <w:tc>
          <w:tcPr>
            <w:tcW w:w="655" w:type="dxa"/>
            <w:vAlign w:val="center"/>
          </w:tcPr>
          <w:p>
            <w:pPr>
              <w:numPr>
                <w:ilvl w:val="0"/>
                <w:numId w:val="31"/>
              </w:numPr>
              <w:jc w:val="center"/>
              <w:rPr>
                <w:rFonts w:ascii="宋体" w:hAnsi="宋体"/>
                <w:color w:val="auto"/>
                <w:highlight w:val="none"/>
              </w:rPr>
            </w:pPr>
          </w:p>
        </w:tc>
        <w:tc>
          <w:tcPr>
            <w:tcW w:w="2228" w:type="dxa"/>
            <w:vAlign w:val="center"/>
          </w:tcPr>
          <w:p>
            <w:pPr>
              <w:spacing w:line="400" w:lineRule="exact"/>
              <w:jc w:val="center"/>
              <w:rPr>
                <w:rFonts w:ascii="宋体" w:hAnsi="宋体"/>
                <w:color w:val="auto"/>
                <w:highlight w:val="none"/>
              </w:rPr>
            </w:pPr>
          </w:p>
        </w:tc>
        <w:tc>
          <w:tcPr>
            <w:tcW w:w="2360" w:type="dxa"/>
            <w:vAlign w:val="center"/>
          </w:tcPr>
          <w:p>
            <w:pPr>
              <w:spacing w:line="400" w:lineRule="exact"/>
              <w:jc w:val="center"/>
              <w:rPr>
                <w:rFonts w:ascii="宋体" w:hAnsi="宋体"/>
                <w:color w:val="auto"/>
                <w:highlight w:val="none"/>
              </w:rPr>
            </w:pPr>
          </w:p>
        </w:tc>
        <w:tc>
          <w:tcPr>
            <w:tcW w:w="2000" w:type="dxa"/>
            <w:vAlign w:val="center"/>
          </w:tcPr>
          <w:p>
            <w:pPr>
              <w:spacing w:line="400" w:lineRule="exact"/>
              <w:jc w:val="center"/>
              <w:rPr>
                <w:rFonts w:ascii="宋体" w:hAnsi="宋体"/>
                <w:color w:val="auto"/>
                <w:highlight w:val="none"/>
              </w:rPr>
            </w:pPr>
          </w:p>
        </w:tc>
        <w:tc>
          <w:tcPr>
            <w:tcW w:w="2002" w:type="dxa"/>
            <w:vAlign w:val="center"/>
          </w:tcPr>
          <w:p>
            <w:pPr>
              <w:spacing w:line="400" w:lineRule="exact"/>
              <w:jc w:val="center"/>
              <w:rPr>
                <w:rFonts w:ascii="宋体" w:hAnsi="宋体" w:cs="宋体"/>
                <w:color w:val="auto"/>
                <w:highlight w:val="none"/>
              </w:rPr>
            </w:pPr>
          </w:p>
        </w:tc>
      </w:tr>
    </w:tbl>
    <w:p>
      <w:pPr>
        <w:spacing w:line="360" w:lineRule="auto"/>
        <w:ind w:right="84" w:rightChars="40"/>
        <w:rPr>
          <w:rFonts w:ascii="宋体" w:hAnsi="宋体"/>
          <w:color w:val="auto"/>
          <w:highlight w:val="none"/>
        </w:rPr>
      </w:pPr>
      <w:r>
        <w:rPr>
          <w:rFonts w:ascii="宋体" w:hAnsi="宋体" w:hint="eastAsia"/>
          <w:color w:val="auto"/>
          <w:highlight w:val="none"/>
        </w:rPr>
        <w:t>备注：</w:t>
      </w:r>
    </w:p>
    <w:p>
      <w:pPr>
        <w:numPr>
          <w:ilvl w:val="0"/>
          <w:numId w:val="32"/>
        </w:numPr>
        <w:adjustRightInd w:val="0"/>
        <w:snapToGrid w:val="0"/>
        <w:spacing w:line="460" w:lineRule="exact"/>
        <w:ind w:right="84" w:rightChars="40"/>
        <w:rPr>
          <w:rFonts w:ascii="宋体" w:hAnsi="宋体"/>
          <w:color w:val="auto"/>
          <w:highlight w:val="none"/>
        </w:rPr>
      </w:pPr>
      <w:r>
        <w:rPr>
          <w:rFonts w:ascii="宋体" w:hAnsi="宋体" w:hint="eastAsia"/>
          <w:color w:val="auto"/>
          <w:highlight w:val="none"/>
        </w:rPr>
        <w:t>本表的货物名称及规格型号须与《报价表》一致，“采购文件条款描述”的条款与用户需求中的条款描述不一致的，以用户需求中规定的为准。</w:t>
      </w:r>
    </w:p>
    <w:p>
      <w:pPr>
        <w:numPr>
          <w:ilvl w:val="0"/>
          <w:numId w:val="32"/>
        </w:numPr>
        <w:spacing w:line="360" w:lineRule="auto"/>
        <w:ind w:right="84" w:rightChars="40"/>
        <w:rPr>
          <w:rFonts w:ascii="宋体" w:hAnsi="宋体"/>
          <w:color w:val="auto"/>
          <w:highlight w:val="none"/>
        </w:rPr>
      </w:pPr>
      <w:r>
        <w:rPr>
          <w:rFonts w:ascii="宋体" w:hAnsi="宋体" w:hint="eastAsia"/>
          <w:color w:val="auto"/>
          <w:highlight w:val="none"/>
        </w:rPr>
        <w:t>响应供应商必须按采购文件要求提交相关文件，如有任何一条未响应或不满足的视为负偏离。</w:t>
      </w:r>
    </w:p>
    <w:p>
      <w:pPr>
        <w:pStyle w:val="ListParagraph"/>
        <w:numPr>
          <w:ilvl w:val="0"/>
          <w:numId w:val="32"/>
        </w:numPr>
        <w:spacing w:line="500" w:lineRule="exact"/>
        <w:ind w:firstLineChars="0"/>
        <w:rPr>
          <w:color w:val="auto"/>
          <w:spacing w:val="4"/>
          <w:highlight w:val="none"/>
          <w:lang w:val="zh-CN"/>
        </w:rPr>
      </w:pPr>
      <w:r>
        <w:rPr>
          <w:rFonts w:ascii="宋体" w:hAnsi="宋体"/>
          <w:color w:val="auto"/>
          <w:highlight w:val="none"/>
        </w:rPr>
        <w:t>响应供应商应在“说明”一栏中列出技术参数的证明资料（如有）名称，并指明该证明资料在</w:t>
      </w:r>
      <w:r>
        <w:rPr>
          <w:rFonts w:ascii="宋体" w:hAnsi="宋体" w:hint="eastAsia"/>
          <w:color w:val="auto"/>
          <w:highlight w:val="none"/>
        </w:rPr>
        <w:t>投标(应答)文件</w:t>
      </w:r>
      <w:r>
        <w:rPr>
          <w:rFonts w:ascii="宋体" w:hAnsi="宋体"/>
          <w:color w:val="auto"/>
          <w:highlight w:val="none"/>
        </w:rPr>
        <w:t>中</w:t>
      </w:r>
      <w:r>
        <w:rPr>
          <w:color w:val="auto"/>
          <w:highlight w:val="none"/>
        </w:rPr>
        <w:t>的具体位置。</w:t>
      </w:r>
    </w:p>
    <w:p>
      <w:pPr>
        <w:pStyle w:val="ListParagraph"/>
        <w:numPr>
          <w:ilvl w:val="0"/>
          <w:numId w:val="32"/>
        </w:numPr>
        <w:spacing w:line="500" w:lineRule="exact"/>
        <w:ind w:firstLineChars="0"/>
        <w:rPr>
          <w:color w:val="auto"/>
          <w:spacing w:val="4"/>
          <w:highlight w:val="none"/>
          <w:lang w:val="zh-CN"/>
        </w:rPr>
        <w:sectPr>
          <w:pgSz w:w="11906" w:h="16838"/>
          <w:pgMar w:top="1134" w:right="1134" w:bottom="1134" w:left="1134" w:header="699" w:footer="567" w:gutter="0"/>
          <w:cols w:num="1" w:space="425"/>
          <w:titlePg/>
          <w:docGrid w:type="lines" w:linePitch="312" w:charSpace="0"/>
        </w:sectPr>
      </w:pPr>
      <w:r>
        <w:rPr>
          <w:rFonts w:hint="eastAsia"/>
          <w:color w:val="auto"/>
          <w:spacing w:val="4"/>
          <w:highlight w:val="none"/>
          <w:lang w:val="zh-CN"/>
        </w:rPr>
        <w:t>响应供应商所填写的“响应供应商响应描述”及“偏离情况说明”必须与客观事实相一致，响应供应商响应不实且情节严重的，将被主管部门依法列为失信信息等法律后果。</w:t>
      </w:r>
    </w:p>
    <w:p>
      <w:pPr>
        <w:numPr>
          <w:ilvl w:val="0"/>
          <w:numId w:val="27"/>
        </w:numPr>
        <w:spacing w:line="440" w:lineRule="exact"/>
      </w:pPr>
      <w:r>
        <w:rPr>
          <w:rFonts w:ascii="宋体" w:hAnsi="宋体"/>
        </w:rPr>
        <w:br w:type="page"/>
      </w:r>
    </w:p>
    <w:p>
      <w:pPr>
        <w:pStyle w:val="Heading2"/>
        <w:numPr>
          <w:ilvl w:val="0"/>
          <w:numId w:val="21"/>
        </w:numPr>
        <w:spacing w:line="240" w:lineRule="auto"/>
        <w:jc w:val="center"/>
        <w:rPr>
          <w:b w:val="0"/>
          <w:color w:val="auto"/>
          <w:highlight w:val="none"/>
        </w:rPr>
      </w:pPr>
      <w:r>
        <w:rPr>
          <w:rFonts w:hint="eastAsia"/>
          <w:b w:val="0"/>
          <w:color w:val="auto"/>
          <w:highlight w:val="none"/>
        </w:rPr>
        <w:t>政府采购违法行为风险知悉确认书</w:t>
      </w:r>
    </w:p>
    <w:p>
      <w:pPr>
        <w:pStyle w:val="ListParagraph"/>
        <w:ind w:firstLine="0" w:firstLineChars="0"/>
        <w:jc w:val="center"/>
        <w:rPr>
          <w:sz w:val="36"/>
          <w:szCs w:val="36"/>
          <w:highlight w:val="none"/>
        </w:rPr>
      </w:pPr>
      <w:r>
        <w:rPr>
          <w:rFonts w:ascii="宋体" w:hAnsi="宋体" w:hint="eastAsia"/>
          <w:b/>
          <w:sz w:val="36"/>
          <w:szCs w:val="36"/>
          <w:highlight w:val="none"/>
        </w:rPr>
        <w:t>（非信息公开部分）</w:t>
      </w:r>
    </w:p>
    <w:p>
      <w:pPr>
        <w:spacing w:line="360" w:lineRule="auto"/>
        <w:ind w:firstLine="420" w:firstLineChars="200"/>
        <w:rPr>
          <w:rFonts w:ascii="宋体" w:hAnsi="宋体" w:cs="宋体"/>
        </w:rPr>
      </w:pPr>
      <w:r>
        <w:rPr>
          <w:rFonts w:ascii="宋体" w:hAnsi="宋体" w:cs="宋体" w:hint="eastAsia"/>
        </w:rPr>
        <w:t>本公司在投标前已充分知悉以下情形为参与政府采购活动时的重大风险事项，并承诺已对下述风险提示事项重点排查，做到严谨、诚信、依法依规参与政府采购活动。</w:t>
      </w:r>
    </w:p>
    <w:p>
      <w:pPr>
        <w:spacing w:line="360" w:lineRule="auto"/>
        <w:ind w:firstLine="420" w:firstLineChars="200"/>
        <w:rPr>
          <w:rFonts w:ascii="宋体" w:hAnsi="宋体" w:cs="宋体"/>
        </w:rPr>
      </w:pPr>
      <w:r>
        <w:rPr>
          <w:rFonts w:ascii="宋体" w:hAnsi="宋体" w:cs="宋体" w:hint="eastAsia"/>
          <w:b/>
          <w:bCs/>
        </w:rPr>
        <w:t>一、本公司已充分知悉“隐瞒真实情况，提供虚假资料”的法定情形，相关情形包括但不限于</w:t>
      </w:r>
      <w:r>
        <w:rPr>
          <w:rFonts w:ascii="宋体" w:hAnsi="宋体" w:cs="宋体" w:hint="eastAsia"/>
        </w:rPr>
        <w:t>：</w:t>
      </w:r>
    </w:p>
    <w:p>
      <w:pPr>
        <w:spacing w:line="360" w:lineRule="auto"/>
        <w:ind w:firstLine="420" w:firstLineChars="200"/>
        <w:rPr>
          <w:rFonts w:ascii="宋体" w:hAnsi="宋体" w:cs="宋体"/>
        </w:rPr>
      </w:pPr>
      <w:r>
        <w:rPr>
          <w:rFonts w:ascii="宋体" w:hAnsi="宋体" w:cs="宋体" w:hint="eastAsia"/>
        </w:rPr>
        <w:t>（一）通过转让或者租借等方式从其他单位获取资格或者资质证书投标的。</w:t>
      </w:r>
    </w:p>
    <w:p>
      <w:pPr>
        <w:spacing w:line="360" w:lineRule="auto"/>
        <w:ind w:firstLine="420" w:firstLineChars="200"/>
        <w:rPr>
          <w:rFonts w:ascii="宋体" w:hAnsi="宋体" w:cs="宋体"/>
        </w:rPr>
      </w:pPr>
      <w:r>
        <w:rPr>
          <w:rFonts w:ascii="宋体" w:hAnsi="宋体" w:cs="宋体" w:hint="eastAsia"/>
        </w:rPr>
        <w:t>（二）由其他单位或者其他单位负责人在投标供应商编制的投标(应答)文件上加盖印章或者签字的。</w:t>
      </w:r>
    </w:p>
    <w:p>
      <w:pPr>
        <w:spacing w:line="360" w:lineRule="auto"/>
        <w:ind w:firstLine="420" w:firstLineChars="200"/>
        <w:rPr>
          <w:rFonts w:ascii="宋体" w:hAnsi="宋体" w:cs="宋体"/>
        </w:rPr>
      </w:pPr>
      <w:r>
        <w:rPr>
          <w:rFonts w:ascii="宋体" w:hAnsi="宋体" w:cs="宋体" w:hint="eastAsia"/>
        </w:rPr>
        <w:t>（三）项目负责人或者主要技术人员不是本单位人员的。</w:t>
      </w:r>
    </w:p>
    <w:p>
      <w:pPr>
        <w:spacing w:line="360" w:lineRule="auto"/>
        <w:ind w:firstLine="420" w:firstLineChars="200"/>
        <w:rPr>
          <w:rFonts w:ascii="宋体" w:hAnsi="宋体" w:cs="宋体"/>
        </w:rPr>
      </w:pPr>
      <w:r>
        <w:rPr>
          <w:rFonts w:ascii="宋体" w:hAnsi="宋体" w:cs="宋体" w:hint="eastAsia"/>
        </w:rPr>
        <w:t>（四）投标保证金不是从投标供应商基本账户转出的。</w:t>
      </w:r>
    </w:p>
    <w:p>
      <w:pPr>
        <w:spacing w:line="360" w:lineRule="auto"/>
        <w:ind w:firstLine="420" w:firstLineChars="200"/>
        <w:rPr>
          <w:rFonts w:ascii="宋体" w:hAnsi="宋体" w:cs="宋体"/>
        </w:rPr>
      </w:pPr>
      <w:r>
        <w:rPr>
          <w:rFonts w:ascii="宋体" w:hAnsi="宋体" w:cs="宋体" w:hint="eastAsia"/>
        </w:rPr>
        <w:t>（五）其他隐瞒真实情况、提供虚假资料的行为。</w:t>
      </w:r>
    </w:p>
    <w:p>
      <w:pPr>
        <w:spacing w:line="360" w:lineRule="auto"/>
        <w:ind w:firstLine="420" w:firstLineChars="200"/>
        <w:rPr>
          <w:rFonts w:ascii="宋体" w:hAnsi="宋体" w:cs="宋体"/>
        </w:rPr>
      </w:pPr>
      <w:r>
        <w:rPr>
          <w:rFonts w:ascii="宋体" w:hAnsi="宋体" w:cs="宋体" w:hint="eastAsia"/>
          <w:b/>
          <w:bCs/>
        </w:rPr>
        <w:t>二、本公司已充分知悉“与其他采购参加人串通投标”的法定情形，相关情形包括但不限于：</w:t>
      </w:r>
    </w:p>
    <w:p>
      <w:pPr>
        <w:spacing w:line="360" w:lineRule="auto"/>
        <w:ind w:firstLine="420" w:firstLineChars="200"/>
        <w:rPr>
          <w:rFonts w:ascii="宋体" w:hAnsi="宋体" w:cs="宋体"/>
        </w:rPr>
      </w:pPr>
      <w:r>
        <w:rPr>
          <w:rFonts w:ascii="宋体" w:hAnsi="宋体" w:cs="宋体" w:hint="eastAsia"/>
        </w:rPr>
        <w:t xml:space="preserve">（一）投标供应商之间相互约定给予未中标的供应商利益补偿。 </w:t>
      </w:r>
    </w:p>
    <w:p>
      <w:pPr>
        <w:spacing w:line="360" w:lineRule="auto"/>
        <w:ind w:firstLine="420" w:firstLineChars="200"/>
        <w:rPr>
          <w:rFonts w:ascii="宋体" w:hAnsi="宋体" w:cs="宋体"/>
        </w:rPr>
      </w:pPr>
      <w:r>
        <w:rPr>
          <w:rFonts w:ascii="宋体" w:hAnsi="宋体" w:cs="宋体" w:hint="eastAsia"/>
        </w:rPr>
        <w:t>（二）不同投标供应商的法定代表人、主要经营负责人、项目投标授权代表人、项目负责人、主要技术人员为同一人、属同一单位或者在同一单位缴纳社会保险。</w:t>
      </w:r>
    </w:p>
    <w:p>
      <w:pPr>
        <w:spacing w:line="360" w:lineRule="auto"/>
        <w:ind w:firstLine="420" w:firstLineChars="200"/>
        <w:rPr>
          <w:rFonts w:ascii="宋体" w:hAnsi="宋体" w:cs="宋体"/>
        </w:rPr>
      </w:pPr>
      <w:r>
        <w:rPr>
          <w:rFonts w:ascii="宋体" w:hAnsi="宋体" w:cs="宋体" w:hint="eastAsia"/>
        </w:rPr>
        <w:t>（三）不同投标供应商的投标(应答)文件由同一单位或者同一人编制，或者由同一人分阶段参与编制的。</w:t>
      </w:r>
    </w:p>
    <w:p>
      <w:pPr>
        <w:spacing w:line="360" w:lineRule="auto"/>
        <w:ind w:firstLine="420" w:firstLineChars="200"/>
        <w:rPr>
          <w:rFonts w:ascii="宋体" w:hAnsi="宋体" w:cs="宋体"/>
        </w:rPr>
      </w:pPr>
      <w:r>
        <w:rPr>
          <w:rFonts w:ascii="宋体" w:hAnsi="宋体" w:cs="宋体" w:hint="eastAsia"/>
        </w:rPr>
        <w:t>（四）不同投标供应商的投标(应答)文件或部分投标(应答)文件相互混装。</w:t>
      </w:r>
    </w:p>
    <w:p>
      <w:pPr>
        <w:spacing w:line="360" w:lineRule="auto"/>
        <w:ind w:firstLine="420" w:firstLineChars="200"/>
        <w:rPr>
          <w:rFonts w:ascii="宋体" w:hAnsi="宋体" w:cs="宋体"/>
        </w:rPr>
      </w:pPr>
      <w:r>
        <w:rPr>
          <w:rFonts w:ascii="宋体" w:hAnsi="宋体" w:cs="宋体" w:hint="eastAsia"/>
        </w:rPr>
        <w:t>（五）不同投标供应商的投标(应答)文件内容存在非正常一致。</w:t>
      </w:r>
    </w:p>
    <w:p>
      <w:pPr>
        <w:spacing w:line="360" w:lineRule="auto"/>
        <w:ind w:firstLine="420" w:firstLineChars="200"/>
        <w:rPr>
          <w:rFonts w:ascii="宋体" w:hAnsi="宋体" w:cs="宋体"/>
        </w:rPr>
      </w:pPr>
      <w:r>
        <w:rPr>
          <w:rFonts w:ascii="宋体" w:hAnsi="宋体" w:cs="宋体" w:hint="eastAsia"/>
        </w:rPr>
        <w:t>（六）由同一单位工作人员为两家以上（含两家）供应商进行同一项投标活动的。</w:t>
      </w:r>
    </w:p>
    <w:p>
      <w:pPr>
        <w:spacing w:line="360" w:lineRule="auto"/>
        <w:ind w:firstLine="420" w:firstLineChars="200"/>
        <w:rPr>
          <w:rFonts w:ascii="宋体" w:hAnsi="宋体" w:cs="宋体"/>
        </w:rPr>
      </w:pPr>
      <w:r>
        <w:rPr>
          <w:rFonts w:ascii="宋体" w:hAnsi="宋体" w:cs="宋体" w:hint="eastAsia"/>
        </w:rPr>
        <w:t>（七）不同投标人的投标报价呈规律性差异。</w:t>
      </w:r>
    </w:p>
    <w:p>
      <w:pPr>
        <w:spacing w:line="360" w:lineRule="auto"/>
        <w:ind w:firstLine="420" w:firstLineChars="200"/>
        <w:rPr>
          <w:rFonts w:ascii="宋体" w:hAnsi="宋体" w:cs="宋体"/>
        </w:rPr>
      </w:pPr>
      <w:r>
        <w:rPr>
          <w:rFonts w:ascii="宋体" w:hAnsi="宋体" w:cs="宋体" w:hint="eastAsia"/>
        </w:rPr>
        <w:t>（八）不同投标人的投标保证金从同一单位或者个人的账户转出。</w:t>
      </w:r>
    </w:p>
    <w:p>
      <w:pPr>
        <w:spacing w:line="360" w:lineRule="auto"/>
        <w:ind w:firstLine="420" w:firstLineChars="200"/>
        <w:rPr>
          <w:rFonts w:ascii="宋体" w:hAnsi="宋体" w:cs="宋体"/>
        </w:rPr>
      </w:pPr>
      <w:r>
        <w:rPr>
          <w:rFonts w:ascii="宋体" w:hAnsi="宋体" w:cs="宋体" w:hint="eastAsia"/>
        </w:rPr>
        <w:t>（九）主管部门依照法律、法规认定的其他情形。</w:t>
      </w:r>
    </w:p>
    <w:p>
      <w:pPr>
        <w:spacing w:line="360" w:lineRule="auto"/>
        <w:ind w:firstLine="420" w:firstLineChars="200"/>
        <w:rPr>
          <w:rFonts w:ascii="宋体" w:hAnsi="宋体" w:cs="宋体"/>
          <w:b/>
          <w:bCs/>
        </w:rPr>
      </w:pPr>
      <w:r>
        <w:rPr>
          <w:rFonts w:ascii="宋体" w:hAnsi="宋体" w:cs="宋体" w:hint="eastAsia"/>
          <w:b/>
          <w:bCs/>
        </w:rPr>
        <w:t>三、本公司已充分知悉下列情形所对应的法律风险，并在投标前已对相关风险事项进行排查。</w:t>
      </w:r>
    </w:p>
    <w:p>
      <w:pPr>
        <w:spacing w:line="360" w:lineRule="auto"/>
        <w:ind w:firstLine="420" w:firstLineChars="200"/>
        <w:rPr>
          <w:rFonts w:ascii="宋体" w:hAnsi="宋体" w:cs="宋体"/>
          <w:b/>
          <w:bCs/>
        </w:rPr>
      </w:pPr>
      <w:r>
        <w:rPr>
          <w:rFonts w:ascii="宋体" w:hAnsi="宋体" w:cs="宋体" w:hint="eastAsia"/>
        </w:rPr>
        <w:t>（一）对于从其他主体获取的投标资料，供应商应审慎核查，确保投标资料的真实性。</w:t>
      </w:r>
      <w:r>
        <w:rPr>
          <w:rFonts w:ascii="宋体" w:hAnsi="宋体" w:cs="宋体" w:hint="eastAsia"/>
          <w:b/>
          <w:bCs/>
        </w:rPr>
        <w:t>如主管部门查实投标(应答)文件中存在虚假资料的，无论相关资料是否由第三方或本公司员工提供，均不影响主管部门对供应商存在“隐瞒真实情况，提供虚假资料”违法行为的认定。</w:t>
      </w:r>
    </w:p>
    <w:p>
      <w:pPr>
        <w:spacing w:line="360" w:lineRule="auto"/>
        <w:ind w:firstLine="420" w:firstLineChars="200"/>
        <w:rPr>
          <w:rFonts w:ascii="宋体" w:hAnsi="宋体" w:cs="宋体"/>
        </w:rPr>
      </w:pPr>
      <w:r>
        <w:rPr>
          <w:rFonts w:ascii="宋体" w:hAnsi="宋体" w:cs="宋体" w:hint="eastAsia"/>
        </w:rPr>
        <w:t>（二）对于涉及国家机关出具的公文、证件、证明材料等文件，一旦涉嫌虚假，经查实，主管部门将依法从严处理，并移送有关部门追究法律责任；涉嫌犯罪的，主管部门将一并移送司法机关追究法律责任。</w:t>
      </w:r>
    </w:p>
    <w:p>
      <w:pPr>
        <w:spacing w:line="360" w:lineRule="auto"/>
        <w:ind w:firstLine="420" w:firstLineChars="200"/>
        <w:rPr>
          <w:rFonts w:ascii="宋体" w:hAnsi="宋体" w:cs="宋体"/>
        </w:rPr>
      </w:pPr>
      <w:r>
        <w:rPr>
          <w:rFonts w:ascii="宋体" w:hAnsi="宋体" w:cs="宋体" w:hint="eastAsia"/>
        </w:rPr>
        <w:t xml:space="preserve">（三）对于涉及安全生产、特种作业、抢险救灾、防疫等政府采购项目，供应商实施提供虚假资料、串通投标等违法行为的，主管部门将依法从严处理。 </w:t>
      </w:r>
    </w:p>
    <w:p>
      <w:pPr>
        <w:spacing w:line="360" w:lineRule="auto"/>
        <w:ind w:firstLine="420" w:firstLineChars="200"/>
        <w:rPr>
          <w:rFonts w:ascii="宋体" w:hAnsi="宋体" w:cs="宋体"/>
        </w:rPr>
      </w:pPr>
      <w:r>
        <w:rPr>
          <w:rFonts w:ascii="宋体" w:hAnsi="宋体" w:cs="宋体" w:hint="eastAsia"/>
        </w:rPr>
        <w:t>（四）供应商应严格规范项目授权代表、员工参与招标投标的行为，加强对投标(应答)文件的审核。项目授权代表、员工编制、上传投标(应答)文件等行为违反政府采购法律法规或</w:t>
      </w:r>
      <w:r>
        <w:rPr>
          <w:rFonts w:ascii="宋体" w:hAnsi="宋体" w:cs="宋体" w:hint="eastAsia"/>
          <w:lang w:eastAsia="zh-CN"/>
        </w:rPr>
        <w:t>谈判文件</w:t>
      </w:r>
      <w:r>
        <w:rPr>
          <w:rFonts w:ascii="宋体" w:hAnsi="宋体" w:cs="宋体" w:hint="eastAsia"/>
        </w:rPr>
        <w:t>要求的，投标供应商应当依法承担相应法律责任。</w:t>
      </w:r>
    </w:p>
    <w:p>
      <w:pPr>
        <w:spacing w:line="360" w:lineRule="auto"/>
        <w:ind w:firstLine="420" w:firstLineChars="200"/>
        <w:jc w:val="left"/>
        <w:rPr>
          <w:rFonts w:ascii="宋体" w:hAnsi="宋体" w:cs="宋体"/>
        </w:rPr>
      </w:pPr>
      <w:r>
        <w:rPr>
          <w:rFonts w:ascii="宋体" w:hAnsi="宋体" w:cs="宋体" w:hint="eastAsia"/>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spacing w:line="360" w:lineRule="auto"/>
        <w:ind w:firstLine="420" w:firstLineChars="200"/>
        <w:rPr>
          <w:rFonts w:ascii="宋体" w:hAnsi="宋体" w:cs="宋体"/>
        </w:rPr>
      </w:pPr>
      <w:r>
        <w:rPr>
          <w:rFonts w:ascii="宋体" w:hAnsi="宋体" w:cs="宋体" w:hint="eastAsia"/>
        </w:rPr>
        <w:t>（六）单位负责人为同一人或者存在直接控股、管理关系的不同供应商，不得参加同一合同项下的政府采购活动。相关情形如查实，依法作投标无效处理；涉嫌串通投标等违法行为的，主管部门将依法调查处理。</w:t>
      </w:r>
    </w:p>
    <w:p>
      <w:pPr>
        <w:spacing w:line="360" w:lineRule="auto"/>
        <w:ind w:firstLine="420" w:firstLineChars="200"/>
        <w:rPr>
          <w:rFonts w:ascii="宋体" w:hAnsi="宋体" w:cs="宋体"/>
          <w:b/>
          <w:bCs/>
        </w:rPr>
      </w:pPr>
      <w:r>
        <w:rPr>
          <w:rFonts w:ascii="宋体" w:hAnsi="宋体" w:cs="宋体" w:hint="eastAsia"/>
          <w:b/>
          <w:bCs/>
        </w:rPr>
        <w:t>四、本公司已充分知悉政府采购违法、违规行为的法律后果。</w:t>
      </w:r>
      <w:r>
        <w:rPr>
          <w:rFonts w:ascii="宋体" w:hAnsi="宋体" w:cs="宋体" w:hint="eastAsia"/>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pPr>
        <w:spacing w:line="360" w:lineRule="auto"/>
        <w:ind w:firstLine="420" w:firstLineChars="200"/>
        <w:rPr>
          <w:rFonts w:ascii="宋体" w:hAnsi="宋体" w:cs="宋体"/>
          <w:b/>
          <w:bCs/>
        </w:rPr>
      </w:pPr>
      <w:r>
        <w:rPr>
          <w:rFonts w:ascii="宋体" w:hAnsi="宋体" w:cs="宋体" w:hint="eastAsia"/>
          <w:b/>
          <w:bCs/>
        </w:rPr>
        <w:t>以下文字请投标供应商抄写并确认：“本公司已仔细阅读《政府采购违法行为风险知悉确认书》，充分知悉违法行为的法律后果，并承诺将严谨、诚信、依法依规参与政府采购活动”。</w:t>
      </w:r>
    </w:p>
    <w:p>
      <w:pPr>
        <w:spacing w:line="360" w:lineRule="auto"/>
        <w:rPr>
          <w:rFonts w:ascii="宋体" w:hAnsi="宋体" w:cs="宋体"/>
        </w:rPr>
      </w:pPr>
      <w:r>
        <w:rPr>
          <w:rFonts w:ascii="宋体" w:hAnsi="宋体" w:cs="宋体" w:hint="eastAsia"/>
          <w:u w:val="single"/>
        </w:rPr>
        <w:t xml:space="preserve">                                                                                             </w:t>
      </w:r>
    </w:p>
    <w:p>
      <w:pPr>
        <w:spacing w:line="360" w:lineRule="auto"/>
        <w:rPr>
          <w:rFonts w:ascii="宋体" w:hAnsi="宋体" w:cs="宋体"/>
          <w:u w:val="single"/>
        </w:rPr>
      </w:pPr>
      <w:r>
        <w:rPr>
          <w:rFonts w:ascii="宋体" w:hAnsi="宋体" w:cs="宋体" w:hint="eastAsia"/>
          <w:u w:val="single"/>
        </w:rPr>
        <w:t xml:space="preserve">                                                                                               </w:t>
      </w:r>
    </w:p>
    <w:p>
      <w:pPr>
        <w:spacing w:line="360" w:lineRule="auto"/>
        <w:rPr>
          <w:rFonts w:ascii="宋体" w:hAnsi="宋体" w:cs="宋体"/>
        </w:rPr>
      </w:pPr>
      <w:r>
        <w:rPr>
          <w:rFonts w:ascii="宋体" w:hAnsi="宋体" w:cs="宋体" w:hint="eastAsia"/>
          <w:u w:val="single"/>
        </w:rPr>
        <w:t xml:space="preserve">                                                                                                  </w:t>
      </w:r>
    </w:p>
    <w:p>
      <w:pPr>
        <w:spacing w:line="360" w:lineRule="auto"/>
        <w:rPr>
          <w:rFonts w:ascii="宋体" w:hAnsi="宋体" w:cs="宋体"/>
        </w:rPr>
      </w:pPr>
      <w:r>
        <w:rPr>
          <w:rFonts w:ascii="宋体" w:hAnsi="宋体" w:cs="宋体" w:hint="eastAsia"/>
          <w:u w:val="single"/>
        </w:rPr>
        <w:t xml:space="preserve">                                                                                               </w:t>
      </w:r>
    </w:p>
    <w:p>
      <w:pPr>
        <w:spacing w:line="360" w:lineRule="auto"/>
        <w:rPr>
          <w:rFonts w:ascii="宋体" w:hAnsi="宋体" w:cs="宋体"/>
          <w:highlight w:val="yellow"/>
        </w:rPr>
      </w:pPr>
    </w:p>
    <w:p>
      <w:pPr>
        <w:spacing w:line="360" w:lineRule="auto"/>
        <w:rPr>
          <w:rFonts w:ascii="宋体" w:hAnsi="宋体" w:cs="宋体"/>
        </w:rPr>
      </w:pPr>
      <w:r>
        <w:rPr>
          <w:rFonts w:ascii="宋体" w:hAnsi="宋体" w:cs="宋体" w:hint="eastAsia"/>
        </w:rPr>
        <w:t xml:space="preserve">                                                      负责人/投标授权代表签名：</w:t>
      </w:r>
    </w:p>
    <w:p>
      <w:pPr>
        <w:spacing w:line="360" w:lineRule="auto"/>
        <w:ind w:firstLine="5670" w:firstLineChars="2700"/>
        <w:rPr>
          <w:rFonts w:ascii="宋体" w:hAnsi="宋体" w:cs="宋体"/>
        </w:rPr>
      </w:pPr>
      <w:r>
        <w:rPr>
          <w:rFonts w:ascii="宋体" w:hAnsi="宋体" w:cs="宋体" w:hint="eastAsia"/>
        </w:rPr>
        <w:t>知悉人（公章）：</w:t>
      </w:r>
    </w:p>
    <w:p>
      <w:pPr>
        <w:spacing w:line="360" w:lineRule="auto"/>
        <w:rPr>
          <w:rFonts w:ascii="宋体" w:hAnsi="宋体" w:cs="宋体"/>
        </w:rPr>
      </w:pPr>
      <w:r>
        <w:rPr>
          <w:rFonts w:ascii="宋体" w:hAnsi="宋体" w:cs="宋体" w:hint="eastAsia"/>
        </w:rPr>
        <w:t xml:space="preserve">                                                      日期：</w:t>
      </w:r>
    </w:p>
    <w:p>
      <w:pPr>
        <w:spacing w:line="600" w:lineRule="exact"/>
        <w:rPr>
          <w:sz w:val="30"/>
          <w:szCs w:val="30"/>
        </w:rPr>
        <w:sectPr>
          <w:pgSz w:w="11906" w:h="16838"/>
          <w:pgMar w:top="1134" w:right="1134" w:bottom="1134" w:left="1134" w:header="699" w:footer="567" w:gutter="0"/>
          <w:cols w:num="1" w:space="425"/>
          <w:titlePg/>
          <w:docGrid w:type="lines" w:linePitch="312" w:charSpace="0"/>
        </w:sectPr>
      </w:pPr>
    </w:p>
    <w:p>
      <w:pPr>
        <w:pStyle w:val="Heading2"/>
        <w:numPr>
          <w:ilvl w:val="0"/>
          <w:numId w:val="21"/>
        </w:numPr>
        <w:spacing w:line="240" w:lineRule="auto"/>
        <w:ind w:left="2100" w:leftChars="0" w:firstLineChars="0"/>
        <w:jc w:val="left"/>
        <w:rPr>
          <w:b w:val="0"/>
          <w:color w:val="auto"/>
          <w:highlight w:val="none"/>
        </w:rPr>
      </w:pPr>
      <w:r>
        <w:rPr>
          <w:rFonts w:hint="eastAsia"/>
          <w:b w:val="0"/>
          <w:color w:val="auto"/>
          <w:highlight w:val="none"/>
        </w:rPr>
        <w:t>提供社会保险证明</w:t>
      </w:r>
    </w:p>
    <w:p>
      <w:pPr>
        <w:pStyle w:val="ListParagraph"/>
        <w:ind w:firstLine="0" w:firstLineChars="0"/>
        <w:jc w:val="center"/>
        <w:rPr>
          <w:color w:val="auto"/>
          <w:sz w:val="36"/>
          <w:szCs w:val="36"/>
          <w:highlight w:val="none"/>
        </w:rPr>
      </w:pPr>
      <w:r>
        <w:rPr>
          <w:rFonts w:ascii="宋体" w:hAnsi="宋体" w:hint="eastAsia"/>
          <w:b/>
          <w:color w:val="auto"/>
          <w:sz w:val="36"/>
          <w:szCs w:val="36"/>
          <w:highlight w:val="none"/>
        </w:rPr>
        <w:t>（非信息公开部分）</w:t>
      </w:r>
    </w:p>
    <w:p>
      <w:pPr>
        <w:spacing w:line="360" w:lineRule="auto"/>
        <w:rPr>
          <w:rFonts w:ascii="宋体" w:eastAsia="宋体" w:hAnsi="宋体" w:cs="宋体" w:hint="eastAsia"/>
          <w:b/>
          <w:bCs/>
          <w:color w:val="auto"/>
          <w:sz w:val="21"/>
          <w:szCs w:val="21"/>
          <w:highlight w:val="none"/>
          <w:u w:val="double"/>
          <w:lang w:eastAsia="zh-CN"/>
        </w:rPr>
      </w:pPr>
      <w:r>
        <w:rPr>
          <w:rFonts w:ascii="宋体" w:eastAsia="宋体" w:hAnsi="宋体" w:cs="宋体" w:hint="eastAsia"/>
          <w:b/>
          <w:bCs/>
          <w:color w:val="auto"/>
          <w:sz w:val="21"/>
          <w:szCs w:val="21"/>
          <w:highlight w:val="none"/>
          <w:u w:val="double"/>
          <w:lang w:eastAsia="zh-CN"/>
        </w:rPr>
        <w:t>提供法定代表人</w:t>
      </w:r>
      <w:r>
        <w:rPr>
          <w:rFonts w:ascii="宋体" w:hAnsi="宋体" w:cs="宋体" w:hint="eastAsia"/>
          <w:b/>
          <w:bCs/>
          <w:color w:val="auto"/>
          <w:sz w:val="21"/>
          <w:szCs w:val="21"/>
          <w:highlight w:val="none"/>
          <w:u w:val="double"/>
          <w:lang w:eastAsia="zh-CN"/>
        </w:rPr>
        <w:t>（如是联合体投标的，须提供各方的）</w:t>
      </w:r>
      <w:r>
        <w:rPr>
          <w:rFonts w:ascii="宋体" w:eastAsia="宋体" w:hAnsi="宋体" w:cs="宋体" w:hint="eastAsia"/>
          <w:b/>
          <w:bCs/>
          <w:color w:val="auto"/>
          <w:sz w:val="21"/>
          <w:szCs w:val="21"/>
          <w:highlight w:val="none"/>
          <w:u w:val="double"/>
          <w:lang w:eastAsia="zh-CN"/>
        </w:rPr>
        <w:t>、主要经营负责人（如是联合体投标的，须提供各方的）、项目投标授权代表人、项目负责人、主要技术人员最近一个月的社会保险证明。</w:t>
      </w:r>
    </w:p>
    <w:p>
      <w:pPr>
        <w:spacing w:line="360" w:lineRule="auto"/>
        <w:rPr>
          <w:rFonts w:ascii="宋体" w:eastAsia="宋体" w:hAnsi="宋体" w:cs="宋体" w:hint="eastAsia"/>
          <w:color w:val="auto"/>
          <w:sz w:val="21"/>
          <w:szCs w:val="21"/>
          <w:highlight w:val="none"/>
          <w:lang w:eastAsia="zh-CN"/>
        </w:rPr>
        <w:sectPr>
          <w:pgSz w:w="11906" w:h="16838"/>
          <w:pgMar w:top="1134" w:right="1134" w:bottom="1134" w:left="1134" w:header="699" w:footer="567" w:gutter="0"/>
          <w:cols w:num="1" w:space="425"/>
          <w:titlePg/>
          <w:docGrid w:type="lines" w:linePitch="312" w:charSpace="0"/>
        </w:sectPr>
      </w:pPr>
      <w:r>
        <w:rPr>
          <w:rFonts w:ascii="宋体" w:eastAsia="宋体" w:hAnsi="宋体" w:cs="宋体" w:hint="eastAsia"/>
          <w:b w:val="0"/>
          <w:bCs w:val="0"/>
          <w:color w:val="auto"/>
          <w:sz w:val="21"/>
          <w:szCs w:val="21"/>
          <w:highlight w:val="none"/>
          <w:u w:val="none"/>
          <w:lang w:eastAsia="zh-CN"/>
        </w:rPr>
        <w:t>注：</w:t>
      </w:r>
      <w:r>
        <w:rPr>
          <w:rFonts w:ascii="宋体" w:eastAsia="宋体" w:hAnsi="宋体" w:cs="宋体" w:hint="eastAsia"/>
          <w:color w:val="auto"/>
          <w:sz w:val="21"/>
          <w:szCs w:val="21"/>
          <w:highlight w:val="none"/>
        </w:rPr>
        <w:t>由于社保部门或税务部门原因最近一个月的社保证明无法提供的可往前顺延一个月</w:t>
      </w:r>
      <w:r>
        <w:rPr>
          <w:rFonts w:ascii="宋体" w:eastAsia="宋体" w:hAnsi="宋体" w:cs="宋体" w:hint="eastAsia"/>
          <w:color w:val="auto"/>
          <w:sz w:val="21"/>
          <w:szCs w:val="21"/>
          <w:highlight w:val="none"/>
          <w:lang w:eastAsia="zh-CN"/>
        </w:rPr>
        <w:t>；如投标人为新成立企业且成立时间不足一个月可提供加盖投标人公章的情况说明或者证明材料亦视为符合；</w:t>
      </w:r>
      <w:r>
        <w:rPr>
          <w:rFonts w:ascii="宋体" w:eastAsia="宋体" w:hAnsi="宋体" w:cs="宋体" w:hint="eastAsia"/>
          <w:color w:val="auto"/>
          <w:kern w:val="2"/>
          <w:sz w:val="21"/>
          <w:szCs w:val="21"/>
          <w:highlight w:val="none"/>
          <w:lang w:val="en-US" w:eastAsia="zh-CN" w:bidi="ar-SA"/>
        </w:rPr>
        <w:t>如依法不需要缴纳社会保险的，应提供相应文件证明；如为退休返聘人员提供退休证明和聘用合同</w:t>
      </w:r>
      <w:r>
        <w:rPr>
          <w:rFonts w:ascii="宋体" w:eastAsia="宋体" w:hAnsi="宋体" w:cs="宋体" w:hint="eastAsia"/>
          <w:color w:val="auto"/>
          <w:sz w:val="21"/>
          <w:szCs w:val="21"/>
          <w:highlight w:val="none"/>
          <w:lang w:eastAsia="zh-CN"/>
        </w:rPr>
        <w:t>。</w:t>
      </w:r>
      <w:r>
        <w:rPr>
          <w:rFonts w:ascii="宋体" w:eastAsia="宋体" w:hAnsi="宋体" w:cs="宋体" w:hint="eastAsia"/>
          <w:color w:val="auto"/>
          <w:sz w:val="21"/>
          <w:szCs w:val="21"/>
          <w:highlight w:val="none"/>
        </w:rPr>
        <w:t>如本项目未安排项目投标授权代表人、项目负责人、主要技术人员的，无需提供投标授权代表人、项目负责人、主要技术人员的社会保险证明</w:t>
      </w:r>
      <w:r>
        <w:rPr>
          <w:rFonts w:ascii="宋体" w:eastAsia="宋体" w:hAnsi="宋体" w:cs="宋体" w:hint="eastAsia"/>
          <w:color w:val="auto"/>
          <w:sz w:val="21"/>
          <w:szCs w:val="21"/>
          <w:highlight w:val="none"/>
          <w:lang w:eastAsia="zh-CN"/>
        </w:rPr>
        <w:t>。</w:t>
      </w:r>
    </w:p>
    <w:p>
      <w:pPr>
        <w:pStyle w:val="Heading2"/>
        <w:numPr>
          <w:ilvl w:val="0"/>
          <w:numId w:val="21"/>
        </w:numPr>
        <w:spacing w:line="240" w:lineRule="auto"/>
        <w:jc w:val="center"/>
        <w:rPr>
          <w:b w:val="0"/>
          <w:color w:val="auto"/>
        </w:rPr>
      </w:pPr>
      <w:r>
        <w:rPr>
          <w:rFonts w:hint="eastAsia"/>
          <w:b w:val="0"/>
          <w:color w:val="auto"/>
        </w:rPr>
        <w:t>采购代理服务费承诺书</w:t>
      </w:r>
    </w:p>
    <w:p>
      <w:pPr>
        <w:adjustRightInd w:val="0"/>
        <w:snapToGrid w:val="0"/>
        <w:spacing w:line="360" w:lineRule="auto"/>
        <w:jc w:val="center"/>
        <w:rPr>
          <w:rFonts w:ascii="Arial" w:eastAsia="黑体" w:hAnsi="Arial"/>
          <w:bCs/>
          <w:kern w:val="2"/>
          <w:sz w:val="32"/>
          <w:szCs w:val="32"/>
          <w:lang w:val="zh-CN"/>
        </w:rPr>
      </w:pPr>
      <w:r>
        <w:rPr>
          <w:rFonts w:ascii="Arial" w:eastAsia="黑体" w:hAnsi="Arial" w:hint="eastAsia"/>
          <w:bCs/>
          <w:kern w:val="2"/>
          <w:sz w:val="32"/>
          <w:szCs w:val="32"/>
          <w:lang w:val="zh-CN"/>
        </w:rPr>
        <w:t>（非信息公开部分）</w:t>
      </w:r>
    </w:p>
    <w:p/>
    <w:p>
      <w:pPr>
        <w:spacing w:line="360" w:lineRule="auto"/>
        <w:rPr>
          <w:rFonts w:ascii="宋体" w:hAnsi="宋体"/>
          <w:b/>
        </w:rPr>
      </w:pPr>
      <w:r>
        <w:rPr>
          <w:rFonts w:ascii="宋体" w:hAnsi="宋体" w:hint="eastAsia"/>
          <w:b/>
        </w:rPr>
        <w:t>采联国际招标采购集团有限公司：</w:t>
      </w:r>
    </w:p>
    <w:p>
      <w:pPr>
        <w:snapToGrid w:val="0"/>
        <w:spacing w:line="360" w:lineRule="auto"/>
        <w:ind w:firstLine="420" w:firstLineChars="200"/>
        <w:rPr>
          <w:rFonts w:ascii="宋体" w:cs="宋体"/>
          <w:color w:val="auto"/>
          <w:sz w:val="21"/>
          <w:szCs w:val="21"/>
          <w:highlight w:val="none"/>
        </w:rPr>
      </w:pPr>
      <w:r>
        <w:rPr>
          <w:rFonts w:ascii="宋体" w:hAnsi="宋体" w:hint="eastAsia"/>
          <w:color w:val="auto"/>
          <w:sz w:val="21"/>
          <w:szCs w:val="21"/>
          <w:highlight w:val="none"/>
        </w:rPr>
        <w:t>本公司</w:t>
      </w:r>
      <w:r>
        <w:rPr>
          <w:rFonts w:ascii="宋体" w:hAnsi="宋体" w:hint="eastAsia"/>
          <w:color w:val="auto"/>
          <w:sz w:val="21"/>
          <w:szCs w:val="21"/>
          <w:highlight w:val="none"/>
          <w:u w:val="single"/>
        </w:rPr>
        <w:t xml:space="preserve">       (</w:t>
      </w:r>
      <w:r>
        <w:rPr>
          <w:rFonts w:ascii="宋体" w:hAnsi="宋体" w:hint="eastAsia"/>
          <w:color w:val="auto"/>
          <w:sz w:val="21"/>
          <w:szCs w:val="21"/>
          <w:highlight w:val="none"/>
          <w:u w:val="single"/>
          <w:lang w:val="en-US" w:eastAsia="zh-CN"/>
        </w:rPr>
        <w:t>响应供应商</w:t>
      </w:r>
      <w:r>
        <w:rPr>
          <w:rFonts w:ascii="宋体" w:hAnsi="宋体" w:hint="eastAsia"/>
          <w:color w:val="auto"/>
          <w:sz w:val="21"/>
          <w:szCs w:val="21"/>
          <w:highlight w:val="none"/>
          <w:u w:val="single"/>
        </w:rPr>
        <w:t xml:space="preserve">)      </w:t>
      </w:r>
      <w:r>
        <w:rPr>
          <w:rFonts w:ascii="宋体" w:hAnsi="宋体" w:hint="eastAsia"/>
          <w:color w:val="auto"/>
          <w:sz w:val="21"/>
          <w:szCs w:val="21"/>
          <w:highlight w:val="none"/>
        </w:rPr>
        <w:t>在参加</w:t>
      </w:r>
      <w:r>
        <w:rPr>
          <w:rFonts w:ascii="宋体" w:hAnsi="宋体" w:hint="eastAsia"/>
          <w:color w:val="auto"/>
          <w:sz w:val="21"/>
          <w:szCs w:val="21"/>
          <w:highlight w:val="none"/>
          <w:u w:val="single"/>
        </w:rPr>
        <w:t xml:space="preserve">       </w:t>
      </w:r>
      <w:r>
        <w:rPr>
          <w:rFonts w:ascii="宋体" w:hAnsi="宋体" w:hint="eastAsia"/>
          <w:color w:val="auto"/>
          <w:sz w:val="21"/>
          <w:szCs w:val="21"/>
          <w:highlight w:val="none"/>
          <w:u w:val="single"/>
          <w:lang w:eastAsia="zh-CN"/>
        </w:rPr>
        <w:t>污泥原位高效资源化利用系统设计、制造和安装调试</w:t>
      </w:r>
      <w:r>
        <w:rPr>
          <w:rFonts w:ascii="宋体" w:hAnsi="宋体" w:hint="eastAsia"/>
          <w:color w:val="auto"/>
          <w:sz w:val="21"/>
          <w:szCs w:val="21"/>
          <w:highlight w:val="none"/>
          <w:u w:val="single"/>
        </w:rPr>
        <w:t xml:space="preserve">      </w:t>
      </w:r>
      <w:r>
        <w:rPr>
          <w:rFonts w:ascii="宋体" w:hAnsi="宋体" w:hint="eastAsia"/>
          <w:color w:val="auto"/>
          <w:sz w:val="21"/>
          <w:szCs w:val="21"/>
          <w:highlight w:val="none"/>
        </w:rPr>
        <w:t>(</w:t>
      </w:r>
      <w:r>
        <w:rPr>
          <w:rFonts w:hint="eastAsia"/>
          <w:color w:val="auto"/>
          <w:sz w:val="21"/>
          <w:szCs w:val="21"/>
          <w:highlight w:val="none"/>
        </w:rPr>
        <w:t>项目编号：</w:t>
      </w:r>
      <w:r>
        <w:rPr>
          <w:rFonts w:ascii="宋体" w:hAnsi="宋体" w:hint="eastAsia"/>
          <w:color w:val="auto"/>
          <w:sz w:val="21"/>
          <w:szCs w:val="21"/>
          <w:highlight w:val="none"/>
          <w:lang w:eastAsia="zh-CN"/>
        </w:rPr>
        <w:t>SZDL2024001286（CLF0123SZ22ZC60C）</w:t>
      </w:r>
      <w:r>
        <w:rPr>
          <w:rFonts w:ascii="宋体" w:hAnsi="宋体" w:hint="eastAsia"/>
          <w:color w:val="auto"/>
          <w:sz w:val="21"/>
          <w:szCs w:val="21"/>
          <w:highlight w:val="none"/>
        </w:rPr>
        <w:t>)的招标中如获中标</w:t>
      </w:r>
      <w:r>
        <w:rPr>
          <w:rFonts w:ascii="宋体" w:cs="宋体" w:hint="eastAsia"/>
          <w:color w:val="auto"/>
          <w:sz w:val="21"/>
          <w:szCs w:val="21"/>
          <w:highlight w:val="none"/>
        </w:rPr>
        <w:t>，我公司保证</w:t>
      </w:r>
      <w:bookmarkStart w:id="135" w:name="_Hlk153549784"/>
      <w:r>
        <w:rPr>
          <w:rFonts w:ascii="宋体" w:cs="宋体" w:hint="eastAsia"/>
          <w:color w:val="auto"/>
          <w:sz w:val="21"/>
          <w:szCs w:val="21"/>
          <w:highlight w:val="none"/>
        </w:rPr>
        <w:t>在收到中标通知之日起</w:t>
      </w:r>
      <w:r>
        <w:rPr>
          <w:rFonts w:ascii="宋体" w:cs="宋体"/>
          <w:color w:val="auto"/>
          <w:sz w:val="21"/>
          <w:szCs w:val="21"/>
          <w:highlight w:val="none"/>
        </w:rPr>
        <w:t>7</w:t>
      </w:r>
      <w:r>
        <w:rPr>
          <w:rFonts w:ascii="宋体" w:cs="宋体" w:hint="eastAsia"/>
          <w:color w:val="auto"/>
          <w:sz w:val="21"/>
          <w:szCs w:val="21"/>
          <w:highlight w:val="none"/>
        </w:rPr>
        <w:t>个工作日内</w:t>
      </w:r>
      <w:bookmarkEnd w:id="135"/>
      <w:r>
        <w:rPr>
          <w:rFonts w:ascii="宋体" w:cs="宋体" w:hint="eastAsia"/>
          <w:color w:val="auto"/>
          <w:sz w:val="21"/>
          <w:szCs w:val="21"/>
          <w:highlight w:val="none"/>
        </w:rPr>
        <w:t>按照</w:t>
      </w:r>
      <w:r>
        <w:rPr>
          <w:rFonts w:ascii="宋体" w:cs="宋体" w:hint="eastAsia"/>
          <w:color w:val="auto"/>
          <w:sz w:val="21"/>
          <w:szCs w:val="21"/>
          <w:highlight w:val="none"/>
          <w:lang w:eastAsia="zh-CN"/>
        </w:rPr>
        <w:t>采购文件</w:t>
      </w:r>
      <w:r>
        <w:rPr>
          <w:rFonts w:ascii="宋体" w:hAnsi="宋体" w:hint="eastAsia"/>
          <w:color w:val="auto"/>
          <w:sz w:val="21"/>
          <w:szCs w:val="21"/>
          <w:highlight w:val="none"/>
        </w:rPr>
        <w:t>的</w:t>
      </w:r>
      <w:r>
        <w:rPr>
          <w:rFonts w:ascii="宋体" w:cs="宋体" w:hint="eastAsia"/>
          <w:color w:val="auto"/>
          <w:sz w:val="21"/>
          <w:szCs w:val="21"/>
          <w:highlight w:val="none"/>
        </w:rPr>
        <w:t>规定缴纳“采购代理服务费”。如采用电汇或银行转账，我公司将同时递交采购代理服务费缴费凭证复印件。</w:t>
      </w:r>
    </w:p>
    <w:p>
      <w:pPr>
        <w:snapToGrid w:val="0"/>
        <w:spacing w:line="360" w:lineRule="auto"/>
        <w:ind w:firstLine="420" w:firstLineChars="200"/>
        <w:rPr>
          <w:rFonts w:ascii="宋体" w:hAnsi="宋体"/>
          <w:color w:val="auto"/>
          <w:sz w:val="21"/>
          <w:szCs w:val="21"/>
          <w:highlight w:val="none"/>
        </w:rPr>
      </w:pPr>
      <w:r>
        <w:rPr>
          <w:rFonts w:ascii="宋体" w:hAnsi="宋体" w:hint="eastAsia"/>
          <w:color w:val="auto"/>
          <w:sz w:val="21"/>
          <w:szCs w:val="21"/>
          <w:highlight w:val="none"/>
        </w:rPr>
        <w:t>如我公司</w:t>
      </w:r>
      <w:bookmarkStart w:id="136" w:name="_Hlk153550294"/>
      <w:r>
        <w:rPr>
          <w:rFonts w:ascii="宋体" w:hAnsi="宋体" w:hint="eastAsia"/>
          <w:color w:val="auto"/>
          <w:sz w:val="21"/>
          <w:szCs w:val="21"/>
          <w:highlight w:val="none"/>
        </w:rPr>
        <w:t>逾期向贵司缴纳采购代理服务费的，我公司同意除应当缴纳采购代理服务费外，每日按逾期的采购代理服务费的</w:t>
      </w:r>
      <w:bookmarkStart w:id="137" w:name="_Hlk153549109"/>
      <w:r>
        <w:rPr>
          <w:rFonts w:ascii="宋体" w:hAnsi="宋体"/>
          <w:color w:val="auto"/>
          <w:sz w:val="21"/>
          <w:szCs w:val="21"/>
          <w:highlight w:val="none"/>
        </w:rPr>
        <w:t>0.4</w:t>
      </w:r>
      <w:r>
        <w:rPr>
          <w:rFonts w:ascii="宋体" w:hAnsi="宋体" w:hint="eastAsia"/>
          <w:color w:val="auto"/>
          <w:sz w:val="21"/>
          <w:szCs w:val="21"/>
          <w:highlight w:val="none"/>
        </w:rPr>
        <w:t>‰</w:t>
      </w:r>
      <w:bookmarkEnd w:id="137"/>
      <w:r>
        <w:rPr>
          <w:rFonts w:ascii="宋体" w:hAnsi="宋体" w:hint="eastAsia"/>
          <w:color w:val="auto"/>
          <w:sz w:val="21"/>
          <w:szCs w:val="21"/>
          <w:highlight w:val="none"/>
        </w:rPr>
        <w:t>向贵司支付违约金。</w:t>
      </w:r>
      <w:bookmarkEnd w:id="136"/>
    </w:p>
    <w:p>
      <w:pPr>
        <w:tabs>
          <w:tab w:val="center" w:pos="5010"/>
        </w:tabs>
        <w:spacing w:line="360" w:lineRule="auto"/>
        <w:ind w:firstLine="840" w:firstLineChars="400"/>
        <w:rPr>
          <w:rFonts w:ascii="宋体" w:hAnsi="宋体"/>
        </w:rPr>
      </w:pPr>
      <w:r>
        <w:rPr>
          <w:rFonts w:ascii="宋体" w:hAnsi="宋体" w:hint="eastAsia"/>
        </w:rPr>
        <w:t>特此承诺!</w:t>
      </w:r>
      <w:r>
        <w:rPr>
          <w:rFonts w:ascii="宋体" w:hAnsi="宋体"/>
        </w:rPr>
        <w:tab/>
      </w:r>
    </w:p>
    <w:p>
      <w:pPr>
        <w:spacing w:line="360" w:lineRule="auto"/>
        <w:ind w:firstLine="840" w:firstLineChars="400"/>
        <w:rPr>
          <w:rFonts w:ascii="宋体" w:hAnsi="宋体"/>
        </w:rPr>
      </w:pPr>
    </w:p>
    <w:p>
      <w:pPr>
        <w:spacing w:line="360" w:lineRule="auto"/>
        <w:ind w:left="315"/>
        <w:jc w:val="left"/>
        <w:rPr>
          <w:rFonts w:ascii="宋体" w:hAnsi="宋体"/>
        </w:rPr>
      </w:pPr>
      <w:r>
        <w:rPr>
          <w:rFonts w:ascii="宋体" w:hAnsi="宋体" w:hint="eastAsia"/>
        </w:rPr>
        <w:t>响应供应商名称</w:t>
      </w:r>
      <w:r>
        <w:rPr>
          <w:rFonts w:ascii="宋体" w:hAnsi="宋体" w:hint="eastAsia"/>
          <w:szCs w:val="21"/>
        </w:rPr>
        <w:t>(盖公章)</w:t>
      </w:r>
      <w:r>
        <w:rPr>
          <w:rFonts w:ascii="宋体" w:hAnsi="宋体" w:hint="eastAsia"/>
        </w:rPr>
        <w:t>：</w:t>
      </w:r>
    </w:p>
    <w:p>
      <w:pPr>
        <w:spacing w:line="360" w:lineRule="auto"/>
        <w:ind w:left="315"/>
        <w:jc w:val="left"/>
        <w:rPr>
          <w:rFonts w:ascii="宋体" w:hAnsi="宋体"/>
        </w:rPr>
      </w:pPr>
      <w:r>
        <w:rPr>
          <w:rFonts w:ascii="宋体" w:hAnsi="宋体" w:hint="eastAsia"/>
        </w:rPr>
        <w:t>响应供应商地址：</w:t>
      </w:r>
    </w:p>
    <w:p>
      <w:pPr>
        <w:spacing w:line="360" w:lineRule="auto"/>
        <w:ind w:left="315"/>
        <w:jc w:val="left"/>
        <w:rPr>
          <w:rFonts w:ascii="宋体" w:hAnsi="宋体"/>
        </w:rPr>
      </w:pPr>
      <w:r>
        <w:rPr>
          <w:rFonts w:ascii="宋体" w:hint="eastAsia"/>
        </w:rPr>
        <w:t>法定代表人或</w:t>
      </w:r>
      <w:r>
        <w:rPr>
          <w:rFonts w:ascii="宋体" w:hAnsi="宋体" w:hint="eastAsia"/>
        </w:rPr>
        <w:t>响应供应商授权代表：</w:t>
      </w:r>
    </w:p>
    <w:p>
      <w:pPr>
        <w:spacing w:line="360" w:lineRule="auto"/>
        <w:ind w:left="315"/>
        <w:jc w:val="left"/>
        <w:rPr>
          <w:rFonts w:ascii="宋体" w:hAnsi="宋体"/>
        </w:rPr>
      </w:pPr>
      <w:r>
        <w:rPr>
          <w:rFonts w:ascii="宋体" w:hAnsi="宋体" w:hint="eastAsia"/>
        </w:rPr>
        <w:t>签署日期：</w:t>
      </w:r>
    </w:p>
    <w:p>
      <w:pPr>
        <w:jc w:val="center"/>
        <w:rPr>
          <w:rFonts w:ascii="宋体" w:hAnsi="宋体"/>
          <w:b/>
        </w:rPr>
      </w:pPr>
      <w:r>
        <w:rPr>
          <w:rFonts w:ascii="宋体" w:hAnsi="宋体" w:hint="eastAsia"/>
          <w:b/>
        </w:rPr>
        <w:t>采购代理服务费发票开具须知</w:t>
      </w:r>
    </w:p>
    <w:tbl>
      <w:tblPr>
        <w:tblStyle w:val="TableNormal"/>
        <w:tblW w:w="90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4877"/>
        <w:gridCol w:w="2033"/>
        <w:gridCol w:w="2132"/>
      </w:tblGrid>
      <w:tr>
        <w:tblPrEx>
          <w:tblW w:w="90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Ex>
        <w:trPr>
          <w:trHeight w:val="822"/>
        </w:trPr>
        <w:tc>
          <w:tcPr>
            <w:tcW w:w="4877" w:type="dxa"/>
            <w:tcBorders>
              <w:top w:val="single" w:sz="12" w:space="0" w:color="auto"/>
              <w:left w:val="single" w:sz="12" w:space="0" w:color="auto"/>
              <w:bottom w:val="single" w:sz="12" w:space="0" w:color="auto"/>
            </w:tcBorders>
            <w:vAlign w:val="center"/>
          </w:tcPr>
          <w:p>
            <w:pPr>
              <w:adjustRightInd w:val="0"/>
              <w:snapToGrid w:val="0"/>
              <w:jc w:val="center"/>
              <w:rPr>
                <w:rFonts w:ascii="宋体" w:hAnsi="宋体"/>
                <w:b/>
              </w:rPr>
            </w:pPr>
            <w:r>
              <w:rPr>
                <w:rFonts w:ascii="宋体" w:hAnsi="宋体" w:hint="eastAsia"/>
                <w:b/>
              </w:rPr>
              <w:t>发票类型</w:t>
            </w:r>
          </w:p>
          <w:p>
            <w:pPr>
              <w:adjustRightInd w:val="0"/>
              <w:snapToGrid w:val="0"/>
              <w:jc w:val="center"/>
              <w:rPr>
                <w:rFonts w:ascii="宋体" w:hAnsi="宋体"/>
                <w:b/>
              </w:rPr>
            </w:pPr>
            <w:r>
              <w:rPr>
                <w:rFonts w:ascii="宋体" w:hAnsi="宋体" w:hint="eastAsia"/>
                <w:b/>
              </w:rPr>
              <w:t>（请在对应的“□”打“√”，且只能选择其中一项）</w:t>
            </w:r>
          </w:p>
        </w:tc>
        <w:tc>
          <w:tcPr>
            <w:tcW w:w="2033" w:type="dxa"/>
            <w:tcBorders>
              <w:top w:val="single" w:sz="12" w:space="0" w:color="auto"/>
              <w:bottom w:val="single" w:sz="12" w:space="0" w:color="auto"/>
            </w:tcBorders>
            <w:vAlign w:val="center"/>
          </w:tcPr>
          <w:p>
            <w:pPr>
              <w:adjustRightInd w:val="0"/>
              <w:snapToGrid w:val="0"/>
              <w:jc w:val="center"/>
              <w:rPr>
                <w:rFonts w:ascii="宋体" w:hAnsi="宋体"/>
                <w:b/>
                <w:i/>
              </w:rPr>
            </w:pPr>
            <w:r>
              <w:rPr>
                <w:rFonts w:ascii="宋体" w:hAnsi="宋体" w:hint="eastAsia"/>
                <w:b/>
              </w:rPr>
              <w:t>□增值税普通发票</w:t>
            </w:r>
          </w:p>
        </w:tc>
        <w:tc>
          <w:tcPr>
            <w:tcW w:w="2132" w:type="dxa"/>
            <w:tcBorders>
              <w:top w:val="single" w:sz="12" w:space="0" w:color="auto"/>
              <w:bottom w:val="single" w:sz="12" w:space="0" w:color="auto"/>
              <w:right w:val="single" w:sz="12" w:space="0" w:color="auto"/>
            </w:tcBorders>
            <w:vAlign w:val="center"/>
          </w:tcPr>
          <w:p>
            <w:pPr>
              <w:adjustRightInd w:val="0"/>
              <w:snapToGrid w:val="0"/>
              <w:jc w:val="center"/>
              <w:rPr>
                <w:rFonts w:ascii="宋体" w:hAnsi="宋体"/>
                <w:b/>
              </w:rPr>
            </w:pPr>
            <w:r>
              <w:rPr>
                <w:rFonts w:ascii="宋体" w:hAnsi="宋体" w:hint="eastAsia"/>
                <w:b/>
              </w:rPr>
              <w:t>□增值税专用发票</w:t>
            </w:r>
          </w:p>
        </w:tc>
      </w:tr>
      <w:tr>
        <w:tblPrEx>
          <w:tblW w:w="9042" w:type="dxa"/>
          <w:tblInd w:w="108" w:type="dxa"/>
          <w:tblLayout w:type="fixed"/>
          <w:tblCellMar>
            <w:top w:w="0" w:type="dxa"/>
            <w:left w:w="108" w:type="dxa"/>
            <w:bottom w:w="0" w:type="dxa"/>
            <w:right w:w="108" w:type="dxa"/>
          </w:tblCellMar>
        </w:tblPrEx>
        <w:trPr>
          <w:trHeight w:val="900"/>
        </w:trPr>
        <w:tc>
          <w:tcPr>
            <w:tcW w:w="9042" w:type="dxa"/>
            <w:gridSpan w:val="3"/>
            <w:tcBorders>
              <w:top w:val="single" w:sz="12" w:space="0" w:color="auto"/>
              <w:left w:val="single" w:sz="12" w:space="0" w:color="auto"/>
              <w:bottom w:val="single" w:sz="12" w:space="0" w:color="auto"/>
              <w:right w:val="single" w:sz="12" w:space="0" w:color="auto"/>
            </w:tcBorders>
          </w:tcPr>
          <w:p>
            <w:pPr>
              <w:adjustRightInd w:val="0"/>
              <w:snapToGrid w:val="0"/>
              <w:rPr>
                <w:rFonts w:ascii="宋体" w:hAnsi="宋体"/>
                <w:b/>
              </w:rPr>
            </w:pPr>
            <w:r>
              <w:rPr>
                <w:rFonts w:ascii="宋体" w:hAnsi="宋体" w:hint="eastAsia"/>
                <w:b/>
              </w:rPr>
              <w:t>如选择“增值税专用发票”，则投标时必须提供以下资料信息，且密封于“开标信封”内：</w:t>
            </w:r>
          </w:p>
          <w:p>
            <w:pPr>
              <w:adjustRightInd w:val="0"/>
              <w:snapToGrid w:val="0"/>
              <w:rPr>
                <w:rFonts w:ascii="宋体" w:hAnsi="宋体"/>
              </w:rPr>
            </w:pPr>
            <w:r>
              <w:rPr>
                <w:rFonts w:ascii="宋体" w:hAnsi="宋体" w:hint="eastAsia"/>
              </w:rPr>
              <w:t xml:space="preserve">1、一般纳税人资格认定税务通知书或其他可证明具有该项资格证明文件的原件扫描件； </w:t>
            </w:r>
          </w:p>
          <w:p>
            <w:pPr>
              <w:adjustRightInd w:val="0"/>
              <w:snapToGrid w:val="0"/>
              <w:rPr>
                <w:rFonts w:ascii="宋体" w:hAnsi="宋体"/>
              </w:rPr>
            </w:pPr>
            <w:r>
              <w:rPr>
                <w:rFonts w:ascii="宋体" w:hAnsi="宋体" w:hint="eastAsia"/>
              </w:rPr>
              <w:t>2、客户的开票资料（单位名称、纳税人识别号、地址、电话、开户行全称及账号</w:t>
            </w:r>
            <w:r>
              <w:rPr>
                <w:rFonts w:ascii="宋体" w:hAnsi="宋体"/>
              </w:rPr>
              <w:t>）</w:t>
            </w:r>
            <w:r>
              <w:rPr>
                <w:rFonts w:ascii="宋体" w:hAnsi="宋体" w:hint="eastAsia"/>
              </w:rPr>
              <w:t>。</w:t>
            </w:r>
          </w:p>
        </w:tc>
      </w:tr>
    </w:tbl>
    <w:p>
      <w:pPr>
        <w:pStyle w:val="NormalWeb"/>
        <w:shd w:val="clear" w:color="auto" w:fill="FFFFFF"/>
        <w:adjustRightInd w:val="0"/>
        <w:snapToGrid w:val="0"/>
        <w:spacing w:before="0" w:beforeAutospacing="0" w:after="0" w:afterAutospacing="0"/>
        <w:ind w:left="150" w:right="150"/>
        <w:jc w:val="center"/>
        <w:rPr>
          <w:rFonts w:ascii="黑体" w:eastAsia="黑体"/>
          <w:sz w:val="32"/>
          <w:szCs w:val="32"/>
        </w:rPr>
      </w:pPr>
      <w:r>
        <w:rPr>
          <w:rFonts w:ascii="黑体" w:eastAsia="黑体" w:hint="eastAsia"/>
          <w:sz w:val="32"/>
          <w:szCs w:val="32"/>
        </w:rPr>
        <w:t>温馨提示</w:t>
      </w:r>
    </w:p>
    <w:p>
      <w:pPr>
        <w:numPr>
          <w:ilvl w:val="0"/>
          <w:numId w:val="33"/>
        </w:numPr>
        <w:adjustRightInd w:val="0"/>
        <w:snapToGrid w:val="0"/>
        <w:rPr>
          <w:rFonts w:ascii="宋体" w:hAnsi="宋体"/>
          <w:bCs/>
        </w:rPr>
      </w:pPr>
      <w:r>
        <w:rPr>
          <w:rFonts w:ascii="宋体" w:hAnsi="宋体" w:hint="eastAsia"/>
          <w:bCs/>
        </w:rPr>
        <w:t>投标时，响应供应商必须确认“缴纳采购代理服务费”开具的发票类型。</w:t>
      </w:r>
    </w:p>
    <w:p>
      <w:pPr>
        <w:numPr>
          <w:ilvl w:val="0"/>
          <w:numId w:val="33"/>
        </w:numPr>
        <w:adjustRightInd w:val="0"/>
        <w:snapToGrid w:val="0"/>
        <w:rPr>
          <w:rFonts w:ascii="宋体" w:hAnsi="宋体"/>
          <w:bCs/>
          <w:highlight w:val="none"/>
        </w:rPr>
      </w:pPr>
      <w:r>
        <w:rPr>
          <w:rFonts w:ascii="宋体" w:hAnsi="宋体" w:hint="eastAsia"/>
          <w:bCs/>
        </w:rPr>
        <w:t>响应供应商中标后，我司将按该响应供应商所递交的谈判应答文件中《采购代理服务费承诺书》确认</w:t>
      </w:r>
      <w:r>
        <w:rPr>
          <w:rFonts w:ascii="宋体" w:hAnsi="宋体" w:hint="eastAsia"/>
          <w:bCs/>
          <w:highlight w:val="none"/>
        </w:rPr>
        <w:t>的发票类型作为开具发票类型的依据；若响应供应商投标时未确认，则视为开具增值税普通发票。</w:t>
      </w:r>
    </w:p>
    <w:p>
      <w:pPr>
        <w:numPr>
          <w:ilvl w:val="0"/>
          <w:numId w:val="33"/>
        </w:numPr>
        <w:adjustRightInd w:val="0"/>
        <w:snapToGrid w:val="0"/>
        <w:spacing w:line="360" w:lineRule="auto"/>
        <w:rPr>
          <w:rFonts w:ascii="宋体" w:eastAsia="宋体" w:hAnsi="宋体" w:cs="宋体" w:hint="eastAsia"/>
          <w:b/>
          <w:bCs/>
          <w:sz w:val="21"/>
          <w:szCs w:val="21"/>
          <w:highlight w:val="none"/>
          <w:u w:val="double"/>
        </w:rPr>
      </w:pPr>
      <w:r>
        <w:rPr>
          <w:rFonts w:ascii="宋体" w:hAnsi="宋体" w:hint="eastAsia"/>
          <w:bCs/>
          <w:highlight w:val="none"/>
        </w:rPr>
        <w:t>因响应供应商投标时确认的</w:t>
      </w:r>
      <w:r>
        <w:rPr>
          <w:rFonts w:ascii="宋体" w:hAnsi="宋体" w:hint="eastAsia"/>
          <w:highlight w:val="none"/>
        </w:rPr>
        <w:t>发票类型有误或未确认，我司将不予更换发票类型</w:t>
      </w:r>
      <w:r>
        <w:rPr>
          <w:rFonts w:ascii="宋体" w:hAnsi="宋体" w:hint="eastAsia"/>
          <w:bCs/>
          <w:highlight w:val="none"/>
        </w:rPr>
        <w:t>。</w:t>
      </w:r>
    </w:p>
    <w:p>
      <w:pPr>
        <w:numPr>
          <w:ilvl w:val="0"/>
          <w:numId w:val="33"/>
        </w:numPr>
        <w:adjustRightInd w:val="0"/>
        <w:snapToGrid w:val="0"/>
        <w:spacing w:line="360" w:lineRule="auto"/>
        <w:rPr>
          <w:rFonts w:ascii="宋体" w:eastAsia="宋体" w:hAnsi="宋体" w:cs="宋体" w:hint="eastAsia"/>
          <w:b/>
          <w:bCs/>
          <w:sz w:val="21"/>
          <w:szCs w:val="21"/>
          <w:highlight w:val="none"/>
          <w:u w:val="double"/>
        </w:rPr>
      </w:pPr>
      <w:r>
        <w:rPr>
          <w:rFonts w:ascii="宋体" w:eastAsia="宋体" w:hAnsi="宋体" w:cs="宋体" w:hint="eastAsia"/>
          <w:b/>
          <w:bCs/>
          <w:sz w:val="21"/>
          <w:szCs w:val="21"/>
          <w:highlight w:val="none"/>
          <w:u w:val="double"/>
          <w:lang w:val="en-US" w:eastAsia="zh-CN"/>
        </w:rPr>
        <w:t>成交人在缴纳采购代理服务费后，我司将以邮寄或电子邮件方式将发票送达成交人，请填写以下邮寄发票的收件信息及邮箱。</w:t>
      </w:r>
    </w:p>
    <w:p>
      <w:pPr>
        <w:numPr>
          <w:ilvl w:val="0"/>
          <w:numId w:val="0"/>
        </w:numPr>
        <w:adjustRightInd w:val="0"/>
        <w:snapToGrid w:val="0"/>
        <w:spacing w:line="360" w:lineRule="auto"/>
        <w:ind w:firstLine="0" w:leftChars="0" w:firstLineChars="0"/>
        <w:rPr>
          <w:rFonts w:ascii="宋体" w:eastAsia="宋体" w:hAnsi="宋体" w:cs="宋体" w:hint="eastAsia"/>
          <w:b w:val="0"/>
          <w:bCs w:val="0"/>
          <w:sz w:val="21"/>
          <w:szCs w:val="21"/>
          <w:highlight w:val="none"/>
          <w:u w:val="none"/>
          <w:lang w:val="en-US" w:eastAsia="zh-CN"/>
        </w:rPr>
      </w:pPr>
    </w:p>
    <w:p>
      <w:pPr>
        <w:numPr>
          <w:ilvl w:val="0"/>
          <w:numId w:val="0"/>
        </w:numPr>
        <w:adjustRightInd w:val="0"/>
        <w:snapToGrid w:val="0"/>
        <w:spacing w:line="360" w:lineRule="auto"/>
        <w:ind w:firstLine="420" w:leftChars="0" w:firstLineChars="200"/>
        <w:rPr>
          <w:rFonts w:ascii="宋体" w:eastAsia="宋体" w:hAnsi="宋体" w:cs="宋体" w:hint="eastAsia"/>
          <w:b w:val="0"/>
          <w:bCs w:val="0"/>
          <w:sz w:val="21"/>
          <w:szCs w:val="21"/>
          <w:highlight w:val="none"/>
          <w:u w:val="none"/>
          <w:lang w:val="en-US" w:eastAsia="zh-CN"/>
        </w:rPr>
      </w:pPr>
      <w:r>
        <w:rPr>
          <w:rFonts w:ascii="宋体" w:eastAsia="宋体" w:hAnsi="宋体" w:cs="宋体" w:hint="eastAsia"/>
          <w:b w:val="0"/>
          <w:bCs w:val="0"/>
          <w:sz w:val="21"/>
          <w:szCs w:val="21"/>
          <w:highlight w:val="none"/>
          <w:u w:val="none"/>
          <w:lang w:val="en-US" w:eastAsia="zh-CN"/>
        </w:rPr>
        <w:t>收件地址：</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single"/>
        </w:rPr>
        <w:t xml:space="preserve">  </w:t>
      </w:r>
    </w:p>
    <w:p>
      <w:pPr>
        <w:numPr>
          <w:ilvl w:val="0"/>
          <w:numId w:val="0"/>
        </w:numPr>
        <w:adjustRightInd w:val="0"/>
        <w:snapToGrid w:val="0"/>
        <w:spacing w:line="360" w:lineRule="auto"/>
        <w:ind w:firstLine="420" w:leftChars="0" w:firstLineChars="200"/>
        <w:rPr>
          <w:rFonts w:ascii="宋体" w:eastAsia="宋体" w:hAnsi="宋体" w:cs="宋体" w:hint="eastAsia"/>
          <w:b w:val="0"/>
          <w:bCs w:val="0"/>
          <w:sz w:val="21"/>
          <w:szCs w:val="21"/>
          <w:highlight w:val="none"/>
          <w:u w:val="none"/>
          <w:lang w:val="en-US" w:eastAsia="zh-CN"/>
        </w:rPr>
      </w:pPr>
      <w:r>
        <w:rPr>
          <w:rFonts w:ascii="宋体" w:eastAsia="宋体" w:hAnsi="宋体" w:cs="宋体" w:hint="eastAsia"/>
          <w:b w:val="0"/>
          <w:bCs w:val="0"/>
          <w:sz w:val="21"/>
          <w:szCs w:val="21"/>
          <w:highlight w:val="none"/>
          <w:u w:val="none"/>
          <w:lang w:val="en-US" w:eastAsia="zh-CN"/>
        </w:rPr>
        <w:t>联系人：</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single"/>
        </w:rPr>
        <w:t xml:space="preserve">   </w:t>
      </w:r>
    </w:p>
    <w:p>
      <w:pPr>
        <w:numPr>
          <w:ilvl w:val="0"/>
          <w:numId w:val="0"/>
        </w:numPr>
        <w:adjustRightInd w:val="0"/>
        <w:snapToGrid w:val="0"/>
        <w:spacing w:line="360" w:lineRule="auto"/>
        <w:ind w:firstLine="420" w:leftChars="0" w:firstLineChars="200"/>
        <w:rPr>
          <w:rFonts w:ascii="宋体" w:eastAsia="宋体" w:hAnsi="宋体" w:cs="宋体" w:hint="eastAsia"/>
          <w:b w:val="0"/>
          <w:bCs w:val="0"/>
          <w:sz w:val="21"/>
          <w:szCs w:val="21"/>
          <w:highlight w:val="none"/>
          <w:u w:val="none"/>
          <w:lang w:val="en-US" w:eastAsia="zh-CN"/>
        </w:rPr>
      </w:pPr>
      <w:r>
        <w:rPr>
          <w:rFonts w:ascii="宋体" w:eastAsia="宋体" w:hAnsi="宋体" w:cs="宋体" w:hint="eastAsia"/>
          <w:b w:val="0"/>
          <w:bCs w:val="0"/>
          <w:sz w:val="21"/>
          <w:szCs w:val="21"/>
          <w:highlight w:val="none"/>
          <w:u w:val="none"/>
          <w:lang w:val="en-US" w:eastAsia="zh-CN"/>
        </w:rPr>
        <w:t>联系电话：</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single"/>
        </w:rPr>
        <w:t xml:space="preserve">   </w:t>
      </w:r>
    </w:p>
    <w:p>
      <w:pPr>
        <w:numPr>
          <w:ilvl w:val="0"/>
          <w:numId w:val="0"/>
        </w:numPr>
        <w:adjustRightInd w:val="0"/>
        <w:snapToGrid w:val="0"/>
        <w:ind w:firstLine="420" w:leftChars="0" w:firstLineChars="200"/>
        <w:rPr>
          <w:rFonts w:hint="eastAsia"/>
          <w:highlight w:val="none"/>
        </w:rPr>
      </w:pPr>
      <w:r>
        <w:rPr>
          <w:rFonts w:ascii="宋体" w:eastAsia="宋体" w:hAnsi="宋体" w:cs="宋体" w:hint="eastAsia"/>
          <w:b w:val="0"/>
          <w:bCs w:val="0"/>
          <w:sz w:val="21"/>
          <w:szCs w:val="21"/>
          <w:highlight w:val="none"/>
          <w:u w:val="none"/>
          <w:lang w:val="en-US" w:eastAsia="zh-CN"/>
        </w:rPr>
        <w:t>邮箱：</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single"/>
        </w:rPr>
        <w:t xml:space="preserve">    </w:t>
      </w:r>
    </w:p>
    <w:p>
      <w:pPr>
        <w:spacing w:line="360" w:lineRule="auto"/>
        <w:rPr>
          <w:rFonts w:ascii="宋体" w:eastAsia="宋体" w:hAnsi="宋体" w:cs="宋体" w:hint="eastAsia"/>
          <w:color w:val="auto"/>
          <w:sz w:val="21"/>
          <w:szCs w:val="21"/>
          <w:highlight w:val="none"/>
          <w:lang w:val="zh-CN" w:eastAsia="zh-CN"/>
        </w:rPr>
        <w:sectPr>
          <w:pgSz w:w="11906" w:h="16838"/>
          <w:pgMar w:top="1134" w:right="1134" w:bottom="1134" w:left="1134" w:header="699" w:footer="567" w:gutter="0"/>
          <w:cols w:num="1" w:space="425"/>
          <w:titlePg/>
          <w:docGrid w:type="lines" w:linePitch="312" w:charSpace="0"/>
        </w:sectPr>
      </w:pPr>
    </w:p>
    <w:p>
      <w:pPr>
        <w:pStyle w:val="Heading2"/>
        <w:numPr>
          <w:ilvl w:val="0"/>
          <w:numId w:val="21"/>
        </w:numPr>
        <w:spacing w:line="240" w:lineRule="auto"/>
        <w:jc w:val="center"/>
        <w:rPr>
          <w:rFonts w:ascii="宋体" w:eastAsia="宋体" w:hAnsi="宋体"/>
          <w:bCs w:val="0"/>
        </w:rPr>
      </w:pPr>
      <w:r>
        <w:rPr>
          <w:rFonts w:ascii="宋体" w:eastAsia="宋体" w:hAnsi="宋体" w:hint="eastAsia"/>
          <w:bCs w:val="0"/>
        </w:rPr>
        <w:t xml:space="preserve">开票资料说明函 </w:t>
      </w:r>
    </w:p>
    <w:p>
      <w:pPr>
        <w:adjustRightInd w:val="0"/>
        <w:snapToGrid w:val="0"/>
        <w:spacing w:line="360" w:lineRule="auto"/>
        <w:jc w:val="center"/>
        <w:rPr>
          <w:rFonts w:ascii="Arial" w:eastAsia="黑体" w:hAnsi="Arial"/>
          <w:bCs/>
          <w:kern w:val="2"/>
          <w:sz w:val="32"/>
          <w:szCs w:val="32"/>
          <w:lang w:val="zh-CN"/>
        </w:rPr>
      </w:pPr>
      <w:r>
        <w:rPr>
          <w:rFonts w:ascii="Arial" w:eastAsia="黑体" w:hAnsi="Arial" w:hint="eastAsia"/>
          <w:bCs/>
          <w:kern w:val="2"/>
          <w:sz w:val="32"/>
          <w:szCs w:val="32"/>
          <w:lang w:val="zh-CN"/>
        </w:rPr>
        <w:t>（非信息公开部分）</w:t>
      </w:r>
    </w:p>
    <w:p/>
    <w:p>
      <w:pPr>
        <w:snapToGrid w:val="0"/>
        <w:spacing w:line="360" w:lineRule="auto"/>
        <w:rPr>
          <w:rFonts w:ascii="宋体" w:hAnsi="宋体"/>
          <w:b/>
        </w:rPr>
      </w:pPr>
      <w:r>
        <w:rPr>
          <w:rFonts w:ascii="宋体" w:hAnsi="宋体" w:hint="eastAsia"/>
          <w:b/>
        </w:rPr>
        <w:t>采联国际招标采购集团有限公司:</w:t>
      </w:r>
    </w:p>
    <w:p>
      <w:pPr>
        <w:wordWrap w:val="0"/>
        <w:snapToGrid w:val="0"/>
        <w:spacing w:line="360" w:lineRule="auto"/>
        <w:ind w:firstLine="420" w:firstLineChars="200"/>
        <w:rPr>
          <w:rFonts w:ascii="宋体" w:hAnsi="宋体"/>
        </w:rPr>
      </w:pPr>
      <w:r>
        <w:rPr>
          <w:rFonts w:ascii="宋体" w:hAnsi="宋体" w:hint="eastAsia"/>
        </w:rPr>
        <w:t>本公司</w:t>
      </w:r>
      <w:r>
        <w:rPr>
          <w:rFonts w:ascii="宋体" w:hAnsi="宋体" w:hint="eastAsia"/>
          <w:u w:val="single"/>
        </w:rPr>
        <w:t xml:space="preserve">       (供应商名称)      </w:t>
      </w:r>
      <w:r>
        <w:rPr>
          <w:rFonts w:ascii="宋体" w:hAnsi="宋体" w:hint="eastAsia"/>
        </w:rPr>
        <w:t>在参加在贵公司举行的</w:t>
      </w:r>
      <w:r>
        <w:rPr>
          <w:rFonts w:ascii="宋体" w:hAnsi="宋体" w:hint="eastAsia"/>
          <w:u w:val="single"/>
        </w:rPr>
        <w:t xml:space="preserve">       (项目名称)      </w:t>
      </w:r>
      <w:r>
        <w:rPr>
          <w:rFonts w:ascii="宋体" w:hAnsi="宋体" w:hint="eastAsia"/>
        </w:rPr>
        <w:t>(项目编号：</w:t>
      </w:r>
      <w:r>
        <w:rPr>
          <w:rFonts w:ascii="宋体" w:hAnsi="宋体" w:hint="eastAsia"/>
          <w:lang w:eastAsia="zh-CN"/>
        </w:rPr>
        <w:t>SZDL2024001286（CLF0123SZ22ZC60C）</w:t>
      </w:r>
      <w:r>
        <w:rPr>
          <w:rFonts w:ascii="宋体" w:hAnsi="宋体" w:hint="eastAsia"/>
        </w:rPr>
        <w:t>)的</w:t>
      </w:r>
      <w:r>
        <w:rPr>
          <w:rFonts w:ascii="宋体" w:hAnsi="宋体" w:hint="eastAsia"/>
          <w:lang w:val="en-US" w:eastAsia="zh-CN"/>
        </w:rPr>
        <w:t>单一来源</w:t>
      </w:r>
      <w:r>
        <w:rPr>
          <w:rFonts w:ascii="宋体" w:hAnsi="宋体" w:hint="eastAsia"/>
        </w:rPr>
        <w:t>谈判中如获成交，则开票类型选择</w:t>
      </w:r>
      <w:r>
        <w:rPr>
          <w:rFonts w:ascii="宋体" w:hAnsi="宋体" w:hint="eastAsia"/>
          <w:b/>
          <w:u w:val="single"/>
        </w:rPr>
        <w:t>□增值税普通发票□增值税专用发票</w:t>
      </w:r>
      <w:r>
        <w:rPr>
          <w:rFonts w:ascii="宋体" w:hAnsi="宋体" w:hint="eastAsia"/>
        </w:rPr>
        <w:t>（</w:t>
      </w:r>
      <w:r>
        <w:rPr>
          <w:rFonts w:ascii="宋体" w:hAnsi="宋体" w:hint="eastAsia"/>
          <w:b/>
        </w:rPr>
        <w:t>请在对应的“□”打“√”，且只能选择其中一项）</w:t>
      </w:r>
      <w:r>
        <w:rPr>
          <w:rFonts w:ascii="宋体" w:hAnsi="宋体" w:hint="eastAsia"/>
        </w:rPr>
        <w:t>，以及我司的开票资料如下：</w:t>
      </w:r>
    </w:p>
    <w:tbl>
      <w:tblPr>
        <w:tblStyle w:val="TableNormal"/>
        <w:tblW w:w="907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0" w:type="dxa"/>
          <w:left w:w="108" w:type="dxa"/>
          <w:bottom w:w="0" w:type="dxa"/>
          <w:right w:w="108" w:type="dxa"/>
        </w:tblCellMar>
      </w:tblPr>
      <w:tblGrid>
        <w:gridCol w:w="2471"/>
        <w:gridCol w:w="3763"/>
        <w:gridCol w:w="1179"/>
        <w:gridCol w:w="1665"/>
      </w:tblGrid>
      <w:tr>
        <w:tblPrEx>
          <w:tblW w:w="907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0" w:type="dxa"/>
            <w:left w:w="108" w:type="dxa"/>
            <w:bottom w:w="0" w:type="dxa"/>
            <w:right w:w="108" w:type="dxa"/>
          </w:tblCellMar>
        </w:tblPrEx>
        <w:trPr>
          <w:cantSplit/>
          <w:trHeight w:val="459"/>
          <w:jc w:val="center"/>
        </w:trPr>
        <w:tc>
          <w:tcPr>
            <w:tcW w:w="2471" w:type="dxa"/>
            <w:vAlign w:val="center"/>
          </w:tcPr>
          <w:p>
            <w:pPr>
              <w:jc w:val="center"/>
              <w:rPr>
                <w:rFonts w:ascii="宋体" w:hAnsi="宋体"/>
              </w:rPr>
            </w:pPr>
            <w:r>
              <w:rPr>
                <w:rFonts w:ascii="宋体" w:hAnsi="宋体" w:hint="eastAsia"/>
              </w:rPr>
              <w:t>单位名称</w:t>
            </w:r>
          </w:p>
        </w:tc>
        <w:tc>
          <w:tcPr>
            <w:tcW w:w="6607" w:type="dxa"/>
            <w:gridSpan w:val="3"/>
            <w:vAlign w:val="center"/>
          </w:tcPr>
          <w:p>
            <w:pPr>
              <w:jc w:val="center"/>
              <w:rPr>
                <w:rFonts w:ascii="宋体" w:hAnsi="宋体"/>
              </w:rPr>
            </w:pPr>
          </w:p>
        </w:tc>
      </w:tr>
      <w:tr>
        <w:tblPrEx>
          <w:tblW w:w="9078" w:type="dxa"/>
          <w:jc w:val="center"/>
          <w:tblLayout w:type="fixed"/>
          <w:tblCellMar>
            <w:top w:w="0" w:type="dxa"/>
            <w:left w:w="108" w:type="dxa"/>
            <w:bottom w:w="0" w:type="dxa"/>
            <w:right w:w="108" w:type="dxa"/>
          </w:tblCellMar>
        </w:tblPrEx>
        <w:trPr>
          <w:cantSplit/>
          <w:trHeight w:val="459"/>
          <w:jc w:val="center"/>
        </w:trPr>
        <w:tc>
          <w:tcPr>
            <w:tcW w:w="2471" w:type="dxa"/>
            <w:vAlign w:val="center"/>
          </w:tcPr>
          <w:p>
            <w:pPr>
              <w:jc w:val="center"/>
              <w:rPr>
                <w:rFonts w:ascii="宋体" w:hAnsi="宋体"/>
              </w:rPr>
            </w:pPr>
            <w:r>
              <w:rPr>
                <w:rFonts w:ascii="宋体" w:hAnsi="宋体" w:hint="eastAsia"/>
              </w:rPr>
              <w:t>纳税人识别号</w:t>
            </w:r>
          </w:p>
        </w:tc>
        <w:tc>
          <w:tcPr>
            <w:tcW w:w="6607" w:type="dxa"/>
            <w:gridSpan w:val="3"/>
            <w:vAlign w:val="center"/>
          </w:tcPr>
          <w:p>
            <w:pPr>
              <w:jc w:val="center"/>
              <w:rPr>
                <w:rFonts w:ascii="宋体" w:hAnsi="宋体"/>
              </w:rPr>
            </w:pPr>
          </w:p>
        </w:tc>
      </w:tr>
      <w:tr>
        <w:tblPrEx>
          <w:tblW w:w="9078" w:type="dxa"/>
          <w:jc w:val="center"/>
          <w:tblLayout w:type="fixed"/>
          <w:tblCellMar>
            <w:top w:w="0" w:type="dxa"/>
            <w:left w:w="108" w:type="dxa"/>
            <w:bottom w:w="0" w:type="dxa"/>
            <w:right w:w="108" w:type="dxa"/>
          </w:tblCellMar>
        </w:tblPrEx>
        <w:trPr>
          <w:cantSplit/>
          <w:trHeight w:val="459"/>
          <w:jc w:val="center"/>
        </w:trPr>
        <w:tc>
          <w:tcPr>
            <w:tcW w:w="2471" w:type="dxa"/>
            <w:vAlign w:val="center"/>
          </w:tcPr>
          <w:p>
            <w:pPr>
              <w:jc w:val="center"/>
              <w:rPr>
                <w:rFonts w:ascii="宋体" w:hAnsi="宋体"/>
              </w:rPr>
            </w:pPr>
            <w:r>
              <w:rPr>
                <w:rFonts w:ascii="宋体" w:hAnsi="宋体" w:hint="eastAsia"/>
              </w:rPr>
              <w:t>地址</w:t>
            </w:r>
          </w:p>
        </w:tc>
        <w:tc>
          <w:tcPr>
            <w:tcW w:w="6607" w:type="dxa"/>
            <w:gridSpan w:val="3"/>
            <w:vAlign w:val="center"/>
          </w:tcPr>
          <w:p>
            <w:pPr>
              <w:jc w:val="center"/>
              <w:rPr>
                <w:rFonts w:ascii="宋体" w:hAnsi="宋体"/>
              </w:rPr>
            </w:pPr>
          </w:p>
        </w:tc>
      </w:tr>
      <w:tr>
        <w:tblPrEx>
          <w:tblW w:w="9078" w:type="dxa"/>
          <w:jc w:val="center"/>
          <w:tblLayout w:type="fixed"/>
          <w:tblCellMar>
            <w:top w:w="0" w:type="dxa"/>
            <w:left w:w="108" w:type="dxa"/>
            <w:bottom w:w="0" w:type="dxa"/>
            <w:right w:w="108" w:type="dxa"/>
          </w:tblCellMar>
        </w:tblPrEx>
        <w:trPr>
          <w:cantSplit/>
          <w:trHeight w:val="672"/>
          <w:jc w:val="center"/>
        </w:trPr>
        <w:tc>
          <w:tcPr>
            <w:tcW w:w="2471" w:type="dxa"/>
            <w:vAlign w:val="center"/>
          </w:tcPr>
          <w:p>
            <w:pPr>
              <w:jc w:val="center"/>
              <w:rPr>
                <w:rFonts w:ascii="宋体" w:hAnsi="宋体"/>
              </w:rPr>
            </w:pPr>
            <w:r>
              <w:rPr>
                <w:rFonts w:ascii="宋体" w:hAnsi="宋体" w:hint="eastAsia"/>
              </w:rPr>
              <w:t>开户银行</w:t>
            </w:r>
          </w:p>
          <w:p>
            <w:pPr>
              <w:jc w:val="center"/>
              <w:rPr>
                <w:rFonts w:ascii="宋体" w:hAnsi="宋体"/>
              </w:rPr>
            </w:pPr>
            <w:r>
              <w:rPr>
                <w:rFonts w:ascii="宋体" w:hAnsi="宋体" w:hint="eastAsia"/>
              </w:rPr>
              <w:t>（具体到XX银行XX支行）</w:t>
            </w:r>
          </w:p>
        </w:tc>
        <w:tc>
          <w:tcPr>
            <w:tcW w:w="3763" w:type="dxa"/>
            <w:vAlign w:val="center"/>
          </w:tcPr>
          <w:p>
            <w:pPr>
              <w:jc w:val="center"/>
              <w:rPr>
                <w:rFonts w:ascii="宋体" w:hAnsi="宋体"/>
              </w:rPr>
            </w:pPr>
          </w:p>
        </w:tc>
        <w:tc>
          <w:tcPr>
            <w:tcW w:w="1179" w:type="dxa"/>
            <w:vAlign w:val="center"/>
          </w:tcPr>
          <w:p>
            <w:pPr>
              <w:jc w:val="center"/>
              <w:rPr>
                <w:rFonts w:ascii="宋体" w:hAnsi="宋体"/>
              </w:rPr>
            </w:pPr>
            <w:r>
              <w:rPr>
                <w:rFonts w:ascii="宋体" w:hAnsi="宋体" w:hint="eastAsia"/>
              </w:rPr>
              <w:t>联系电话</w:t>
            </w:r>
          </w:p>
        </w:tc>
        <w:tc>
          <w:tcPr>
            <w:tcW w:w="1665" w:type="dxa"/>
            <w:vAlign w:val="center"/>
          </w:tcPr>
          <w:p>
            <w:pPr>
              <w:jc w:val="center"/>
              <w:rPr>
                <w:rFonts w:ascii="宋体" w:hAnsi="宋体"/>
              </w:rPr>
            </w:pPr>
          </w:p>
        </w:tc>
      </w:tr>
      <w:tr>
        <w:tblPrEx>
          <w:tblW w:w="9078" w:type="dxa"/>
          <w:jc w:val="center"/>
          <w:tblLayout w:type="fixed"/>
          <w:tblCellMar>
            <w:top w:w="0" w:type="dxa"/>
            <w:left w:w="108" w:type="dxa"/>
            <w:bottom w:w="0" w:type="dxa"/>
            <w:right w:w="108" w:type="dxa"/>
          </w:tblCellMar>
        </w:tblPrEx>
        <w:trPr>
          <w:cantSplit/>
          <w:trHeight w:val="459"/>
          <w:jc w:val="center"/>
        </w:trPr>
        <w:tc>
          <w:tcPr>
            <w:tcW w:w="2471" w:type="dxa"/>
            <w:vAlign w:val="center"/>
          </w:tcPr>
          <w:p>
            <w:pPr>
              <w:jc w:val="center"/>
              <w:rPr>
                <w:rFonts w:ascii="宋体" w:hAnsi="宋体"/>
              </w:rPr>
            </w:pPr>
            <w:r>
              <w:rPr>
                <w:rFonts w:ascii="宋体" w:hAnsi="宋体" w:hint="eastAsia"/>
              </w:rPr>
              <w:t>账    号</w:t>
            </w:r>
          </w:p>
        </w:tc>
        <w:tc>
          <w:tcPr>
            <w:tcW w:w="3763" w:type="dxa"/>
            <w:vAlign w:val="center"/>
          </w:tcPr>
          <w:p>
            <w:pPr>
              <w:jc w:val="center"/>
              <w:rPr>
                <w:rFonts w:ascii="宋体" w:hAnsi="宋体"/>
              </w:rPr>
            </w:pPr>
          </w:p>
        </w:tc>
        <w:tc>
          <w:tcPr>
            <w:tcW w:w="1179" w:type="dxa"/>
            <w:vAlign w:val="center"/>
          </w:tcPr>
          <w:p>
            <w:pPr>
              <w:jc w:val="center"/>
              <w:rPr>
                <w:rFonts w:ascii="宋体" w:hAnsi="宋体"/>
              </w:rPr>
            </w:pPr>
            <w:r>
              <w:rPr>
                <w:rFonts w:ascii="宋体" w:hAnsi="宋体" w:hint="eastAsia"/>
              </w:rPr>
              <w:t>联系人</w:t>
            </w:r>
          </w:p>
        </w:tc>
        <w:tc>
          <w:tcPr>
            <w:tcW w:w="1665" w:type="dxa"/>
            <w:vAlign w:val="center"/>
          </w:tcPr>
          <w:p>
            <w:pPr>
              <w:jc w:val="center"/>
              <w:rPr>
                <w:rFonts w:ascii="宋体" w:hAnsi="宋体"/>
              </w:rPr>
            </w:pPr>
          </w:p>
        </w:tc>
      </w:tr>
      <w:tr>
        <w:tblPrEx>
          <w:tblW w:w="9078" w:type="dxa"/>
          <w:jc w:val="center"/>
          <w:tblLayout w:type="fixed"/>
          <w:tblCellMar>
            <w:top w:w="0" w:type="dxa"/>
            <w:left w:w="108" w:type="dxa"/>
            <w:bottom w:w="0" w:type="dxa"/>
            <w:right w:w="108" w:type="dxa"/>
          </w:tblCellMar>
        </w:tblPrEx>
        <w:trPr>
          <w:cantSplit/>
          <w:trHeight w:val="573"/>
          <w:jc w:val="center"/>
        </w:trPr>
        <w:tc>
          <w:tcPr>
            <w:tcW w:w="9078" w:type="dxa"/>
            <w:gridSpan w:val="4"/>
            <w:vAlign w:val="center"/>
          </w:tcPr>
          <w:p>
            <w:pPr>
              <w:rPr>
                <w:rFonts w:ascii="宋体" w:hAnsi="宋体"/>
                <w:b/>
              </w:rPr>
            </w:pPr>
            <w:r>
              <w:rPr>
                <w:rFonts w:ascii="宋体" w:hAnsi="宋体" w:hint="eastAsia"/>
                <w:b/>
              </w:rPr>
              <w:t>附件：一般纳税人资格认定税务通知书或其他可证明具有该项资格证明文件的原件扫描件。</w:t>
            </w:r>
          </w:p>
        </w:tc>
      </w:tr>
    </w:tbl>
    <w:p>
      <w:pPr>
        <w:wordWrap w:val="0"/>
        <w:snapToGrid w:val="0"/>
        <w:spacing w:line="360" w:lineRule="auto"/>
        <w:ind w:firstLine="420" w:firstLineChars="200"/>
        <w:rPr>
          <w:rFonts w:ascii="宋体" w:hAnsi="宋体" w:hint="eastAsia"/>
          <w:lang w:val="en-US" w:eastAsia="zh-CN"/>
        </w:rPr>
      </w:pPr>
      <w:r>
        <w:rPr>
          <w:rFonts w:ascii="宋体" w:hAnsi="宋体" w:hint="eastAsia"/>
          <w:lang w:val="en-US" w:eastAsia="zh-CN"/>
        </w:rPr>
        <w:t>谈判截止日，如我公司未按该要求填写、未提供有效的开票资料、未确认开具发票类型或确认的发票类型有误，则视为开具增值税普通发票。同意采联国际招标采购集团有限公司不予更换发票类型。并愿承担由此引起的一切后果。</w:t>
      </w:r>
    </w:p>
    <w:p>
      <w:pPr>
        <w:spacing w:line="360" w:lineRule="auto"/>
        <w:rPr>
          <w:rFonts w:ascii="宋体" w:eastAsia="宋体" w:hAnsi="宋体" w:cs="宋体" w:hint="eastAsia"/>
          <w:color w:val="auto"/>
          <w:sz w:val="21"/>
          <w:szCs w:val="21"/>
          <w:highlight w:val="none"/>
          <w:lang w:val="zh-CN" w:eastAsia="zh-CN"/>
        </w:rPr>
        <w:sectPr>
          <w:pgSz w:w="11906" w:h="16838"/>
          <w:pgMar w:top="1134" w:right="1134" w:bottom="1134" w:left="1134" w:header="699" w:footer="567" w:gutter="0"/>
          <w:cols w:num="1" w:space="425"/>
          <w:titlePg/>
          <w:docGrid w:type="lines" w:linePitch="312" w:charSpace="0"/>
        </w:sectPr>
      </w:pPr>
    </w:p>
    <w:p>
      <w:pPr>
        <w:pStyle w:val="Heading2"/>
        <w:numPr>
          <w:ilvl w:val="0"/>
          <w:numId w:val="21"/>
        </w:numPr>
        <w:spacing w:line="240" w:lineRule="auto"/>
        <w:jc w:val="center"/>
        <w:rPr>
          <w:b w:val="0"/>
          <w:color w:val="auto"/>
        </w:rPr>
      </w:pPr>
      <w:bookmarkEnd w:id="127"/>
      <w:r>
        <w:rPr>
          <w:rFonts w:hint="eastAsia"/>
          <w:b w:val="0"/>
          <w:color w:val="auto"/>
        </w:rPr>
        <w:t>技术服务方案</w:t>
      </w:r>
    </w:p>
    <w:p>
      <w:pPr>
        <w:adjustRightInd w:val="0"/>
        <w:snapToGrid w:val="0"/>
        <w:spacing w:line="360" w:lineRule="auto"/>
        <w:jc w:val="center"/>
        <w:rPr>
          <w:rFonts w:ascii="Arial" w:eastAsia="黑体" w:hAnsi="Arial"/>
          <w:bCs/>
          <w:color w:val="auto"/>
          <w:kern w:val="2"/>
          <w:sz w:val="32"/>
          <w:szCs w:val="32"/>
          <w:lang w:val="zh-CN"/>
        </w:rPr>
      </w:pPr>
      <w:r>
        <w:rPr>
          <w:rFonts w:ascii="Arial" w:eastAsia="黑体" w:hAnsi="Arial" w:hint="eastAsia"/>
          <w:bCs/>
          <w:color w:val="auto"/>
          <w:kern w:val="2"/>
          <w:sz w:val="32"/>
          <w:szCs w:val="32"/>
          <w:lang w:val="zh-CN"/>
        </w:rPr>
        <w:t>（非信息公开部分）</w:t>
      </w:r>
    </w:p>
    <w:p>
      <w:pPr>
        <w:rPr>
          <w:rFonts w:hint="eastAsia"/>
          <w:spacing w:val="4"/>
          <w:u w:val="single"/>
        </w:rPr>
      </w:pPr>
      <w:bookmarkEnd w:id="0"/>
      <w:bookmarkEnd w:id="122"/>
      <w:bookmarkEnd w:id="128"/>
      <w:bookmarkEnd w:id="129"/>
      <w:bookmarkEnd w:id="130"/>
      <w:bookmarkEnd w:id="131"/>
      <w:bookmarkEnd w:id="132"/>
      <w:bookmarkEnd w:id="133"/>
      <w:bookmarkEnd w:id="134"/>
    </w:p>
    <w:sectPr>
      <w:pgSz w:w="11906" w:h="16838"/>
      <w:pgMar w:top="1134" w:right="1134" w:bottom="1134" w:left="1134" w:header="699" w:footer="567" w:gutter="0"/>
      <w:cols w:num="1" w:space="425"/>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CESI仿宋-GB2312">
    <w:altName w:val="仿宋"/>
    <w:panose1 w:val="00000000000000000000"/>
    <w:charset w:val="86"/>
    <w:family w:val="auto"/>
    <w:pitch w:val="default"/>
    <w:sig w:usb0="00000000" w:usb1="00000000" w:usb2="00000010" w:usb3="00000000" w:csb0="0004000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90"/>
      <w:jc w:val="both"/>
    </w:pPr>
    <w:r>
      <w:rPr>
        <w:rFonts w:hint="eastAsia"/>
        <w:sz w:val="21"/>
      </w:rPr>
      <w:t>http：//www</w:t>
    </w:r>
    <w:r>
      <w:rPr>
        <w:rFonts w:hint="eastAsia"/>
      </w:rPr>
      <w:t>.chinapsp.cn                    第</w:t>
    </w:r>
    <w:r>
      <w:rPr>
        <w:rStyle w:val="PageNumber"/>
      </w:rPr>
      <w:fldChar w:fldCharType="begin"/>
    </w:r>
    <w:r>
      <w:rPr>
        <w:rStyle w:val="PageNumber"/>
      </w:rPr>
      <w:instrText xml:space="preserve"> PAGE </w:instrText>
    </w:r>
    <w:r>
      <w:rPr>
        <w:rStyle w:val="PageNumber"/>
      </w:rPr>
      <w:fldChar w:fldCharType="separate"/>
    </w:r>
    <w:r>
      <w:rPr>
        <w:rStyle w:val="PageNumber"/>
      </w:rPr>
      <w:t>50</w:t>
    </w:r>
    <w:r>
      <w:rPr>
        <w:rStyle w:val="PageNumber"/>
      </w:rPr>
      <w:fldChar w:fldCharType="end"/>
    </w:r>
    <w:r>
      <w:rPr>
        <w:rFonts w:hint="eastAsia"/>
      </w:rPr>
      <w:t>页，共</w:t>
    </w:r>
    <w:r>
      <w:rPr>
        <w:rStyle w:val="PageNumber"/>
      </w:rPr>
      <w:fldChar w:fldCharType="begin"/>
    </w:r>
    <w:r>
      <w:rPr>
        <w:rStyle w:val="PageNumber"/>
      </w:rPr>
      <w:instrText xml:space="preserve"> NUMPAGES </w:instrText>
    </w:r>
    <w:r>
      <w:rPr>
        <w:rStyle w:val="PageNumber"/>
      </w:rPr>
      <w:fldChar w:fldCharType="separate"/>
    </w:r>
    <w:r>
      <w:rPr>
        <w:rStyle w:val="PageNumber"/>
      </w:rPr>
      <w:t>54</w:t>
    </w:r>
    <w:r>
      <w:rPr>
        <w:rStyle w:val="PageNumber"/>
      </w:rPr>
      <w:fldChar w:fldCharType="end"/>
    </w:r>
    <w:r>
      <w:rPr>
        <w:rFonts w:hint="eastAsia"/>
      </w:rPr>
      <w:t>页               采联国际招标采购集团有限公司</w:t>
    </w:r>
  </w:p>
  <w:p>
    <w:pPr>
      <w:pStyle w:val="Footer"/>
      <w:ind w:right="9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90"/>
      <w:jc w:val="both"/>
    </w:pPr>
    <w:r>
      <w:rPr>
        <w:rFonts w:hint="eastAsia"/>
        <w:sz w:val="21"/>
      </w:rPr>
      <w:t>http：//www</w:t>
    </w:r>
    <w:r>
      <w:rPr>
        <w:rFonts w:hint="eastAsia"/>
      </w:rPr>
      <w:t>.chinapsp.cn                    第</w:t>
    </w:r>
    <w:r>
      <w:rPr>
        <w:rStyle w:val="PageNumber"/>
      </w:rPr>
      <w:fldChar w:fldCharType="begin"/>
    </w:r>
    <w:r>
      <w:rPr>
        <w:rStyle w:val="PageNumber"/>
      </w:rPr>
      <w:instrText xml:space="preserve"> PAGE </w:instrText>
    </w:r>
    <w:r>
      <w:rPr>
        <w:rStyle w:val="PageNumber"/>
      </w:rPr>
      <w:fldChar w:fldCharType="separate"/>
    </w:r>
    <w:r>
      <w:rPr>
        <w:rStyle w:val="PageNumber"/>
      </w:rPr>
      <w:t>54</w:t>
    </w:r>
    <w:r>
      <w:rPr>
        <w:rStyle w:val="PageNumber"/>
      </w:rPr>
      <w:fldChar w:fldCharType="end"/>
    </w:r>
    <w:r>
      <w:rPr>
        <w:rFonts w:hint="eastAsia"/>
      </w:rPr>
      <w:t>页，共</w:t>
    </w:r>
    <w:r>
      <w:rPr>
        <w:rStyle w:val="PageNumber"/>
      </w:rPr>
      <w:fldChar w:fldCharType="begin"/>
    </w:r>
    <w:r>
      <w:rPr>
        <w:rStyle w:val="PageNumber"/>
      </w:rPr>
      <w:instrText xml:space="preserve"> NUMPAGES </w:instrText>
    </w:r>
    <w:r>
      <w:rPr>
        <w:rStyle w:val="PageNumber"/>
      </w:rPr>
      <w:fldChar w:fldCharType="separate"/>
    </w:r>
    <w:r>
      <w:rPr>
        <w:rStyle w:val="PageNumber"/>
      </w:rPr>
      <w:t>54</w:t>
    </w:r>
    <w:r>
      <w:rPr>
        <w:rStyle w:val="PageNumber"/>
      </w:rPr>
      <w:fldChar w:fldCharType="end"/>
    </w:r>
    <w:r>
      <w:rPr>
        <w:rFonts w:hint="eastAsia"/>
      </w:rPr>
      <w:t>页               采联国际招标采购集团有限公司</w:t>
    </w:r>
  </w:p>
  <w:p>
    <w:pPr>
      <w:pStyle w:val="Footer"/>
      <w:ind w:right="90"/>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top w:val="nil"/>
        <w:left w:val="nil"/>
        <w:bottom w:val="nil"/>
        <w:right w:val="nil"/>
        <w:between w:val="nil"/>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5EA7FD4"/>
    <w:multiLevelType w:val="singleLevel"/>
    <w:tmpl w:val="95EA7FD4"/>
    <w:lvl w:ilvl="0">
      <w:start w:val="6"/>
      <w:numFmt w:val="chineseCounting"/>
      <w:suff w:val="space"/>
      <w:lvlText w:val="第%1章"/>
      <w:lvlJc w:val="left"/>
      <w:rPr>
        <w:rFonts w:hint="eastAsia"/>
      </w:rPr>
    </w:lvl>
  </w:abstractNum>
  <w:abstractNum w:abstractNumId="1">
    <w:nsid w:val="014B4FAB"/>
    <w:multiLevelType w:val="multilevel"/>
    <w:tmpl w:val="014B4FAB"/>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
    <w:nsid w:val="0C321F3B"/>
    <w:multiLevelType w:val="multilevel"/>
    <w:tmpl w:val="0C321F3B"/>
    <w:lvl w:ilvl="0">
      <w:start w:val="1"/>
      <w:numFmt w:val="decimal"/>
      <w:lvlText w:val="%1"/>
      <w:lvlJc w:val="left"/>
      <w:pPr>
        <w:ind w:left="420" w:hanging="420"/>
      </w:pPr>
      <w:rPr>
        <w:rFonts w:hint="eastAsia"/>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C902504"/>
    <w:multiLevelType w:val="multilevel"/>
    <w:tmpl w:val="0C902504"/>
    <w:lvl w:ilvl="0">
      <w:start w:val="1"/>
      <w:numFmt w:val="decimal"/>
      <w:lvlText w:val="格式%1"/>
      <w:lvlJc w:val="center"/>
      <w:pPr>
        <w:tabs>
          <w:tab w:val="left" w:pos="408"/>
        </w:tabs>
        <w:ind w:left="312" w:firstLine="108"/>
      </w:pPr>
      <w:rPr>
        <w:rFonts w:ascii="黑体" w:eastAsia="黑体" w:hint="eastAsia"/>
        <w:b w:val="0"/>
        <w:sz w:val="28"/>
        <w:szCs w:val="28"/>
      </w:rPr>
    </w:lvl>
    <w:lvl w:ilvl="1">
      <w:start w:val="1"/>
      <w:numFmt w:val="decimal"/>
      <w:lvlText w:val="%2."/>
      <w:lvlJc w:val="center"/>
      <w:pPr>
        <w:tabs>
          <w:tab w:val="left" w:pos="1118"/>
        </w:tabs>
        <w:ind w:left="1022" w:hanging="312"/>
      </w:pPr>
      <w:rPr>
        <w:rFonts w:ascii="宋体" w:eastAsia="宋体" w:hAnsi="宋体" w:hint="eastAsia"/>
        <w:b w:val="0"/>
        <w:sz w:val="21"/>
        <w:szCs w:val="21"/>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13C34E09"/>
    <w:multiLevelType w:val="multilevel"/>
    <w:tmpl w:val="13C34E09"/>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6D23C63"/>
    <w:multiLevelType w:val="multilevel"/>
    <w:tmpl w:val="16D23C63"/>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6">
    <w:nsid w:val="175970F2"/>
    <w:multiLevelType w:val="multilevel"/>
    <w:tmpl w:val="175970F2"/>
    <w:lvl w:ilvl="0">
      <w:start w:val="29"/>
      <w:numFmt w:val="decimal"/>
      <w:lvlText w:val="%1."/>
      <w:lvlJc w:val="left"/>
      <w:pPr>
        <w:tabs>
          <w:tab w:val="left" w:pos="567"/>
        </w:tabs>
        <w:ind w:left="567" w:hanging="425"/>
      </w:pPr>
      <w:rPr>
        <w:rFonts w:hint="eastAsia"/>
      </w:rPr>
    </w:lvl>
    <w:lvl w:ilvl="1">
      <w:start w:val="1"/>
      <w:numFmt w:val="decimal"/>
      <w:lvlText w:val="29.%2"/>
      <w:lvlJc w:val="left"/>
      <w:pPr>
        <w:tabs>
          <w:tab w:val="left" w:pos="567"/>
        </w:tabs>
        <w:ind w:left="567" w:hanging="567"/>
      </w:pPr>
      <w:rPr>
        <w:rFonts w:ascii="宋体" w:eastAsia="宋体" w:hAnsi="宋体" w:hint="eastAsia"/>
      </w:rPr>
    </w:lvl>
    <w:lvl w:ilvl="2">
      <w:start w:val="1"/>
      <w:numFmt w:val="decimal"/>
      <w:lvlText w:val="%1.%2.%3."/>
      <w:lvlJc w:val="left"/>
      <w:pPr>
        <w:tabs>
          <w:tab w:val="left" w:pos="709"/>
        </w:tabs>
        <w:ind w:left="709" w:hanging="709"/>
      </w:pPr>
      <w:rPr>
        <w:rFonts w:ascii="宋体" w:eastAsia="宋体" w:hAnsi="宋体" w:hint="eastAsia"/>
        <w:b w:val="0"/>
        <w:strike w:val="0"/>
        <w:color w:val="auto"/>
      </w:rPr>
    </w:lvl>
    <w:lvl w:ilvl="3">
      <w:start w:val="1"/>
      <w:numFmt w:val="decimal"/>
      <w:lvlText w:val="32.2.2.%4"/>
      <w:lvlJc w:val="left"/>
      <w:pPr>
        <w:tabs>
          <w:tab w:val="left" w:pos="851"/>
        </w:tabs>
        <w:ind w:left="851" w:hanging="851"/>
      </w:pPr>
      <w:rPr>
        <w:rFonts w:hint="eastAsia"/>
        <w:b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7">
    <w:nsid w:val="183C604A"/>
    <w:multiLevelType w:val="singleLevel"/>
    <w:tmpl w:val="183C604A"/>
    <w:lvl w:ilvl="0">
      <w:start w:val="1"/>
      <w:numFmt w:val="japaneseCounting"/>
      <w:lvlText w:val="%1、"/>
      <w:lvlJc w:val="left"/>
      <w:pPr>
        <w:tabs>
          <w:tab w:val="left" w:pos="960"/>
        </w:tabs>
        <w:ind w:left="960" w:hanging="480"/>
      </w:pPr>
      <w:rPr>
        <w:rFonts w:hint="eastAsia"/>
      </w:rPr>
    </w:lvl>
  </w:abstractNum>
  <w:abstractNum w:abstractNumId="8">
    <w:nsid w:val="19BC7DC9"/>
    <w:multiLevelType w:val="multilevel"/>
    <w:tmpl w:val="19BC7DC9"/>
    <w:lvl w:ilvl="0">
      <w:start w:val="1"/>
      <w:numFmt w:val="decimal"/>
      <w:lvlText w:val="%1."/>
      <w:lvlJc w:val="left"/>
      <w:pPr>
        <w:ind w:left="425" w:hanging="425"/>
      </w:pPr>
      <w:rPr>
        <w:rFonts w:hint="eastAsia"/>
        <w:b/>
        <w:strike w:val="0"/>
        <w:dstrike w:val="0"/>
        <w:color w:val="auto"/>
      </w:rPr>
    </w:lvl>
    <w:lvl w:ilvl="1">
      <w:start w:val="1"/>
      <w:numFmt w:val="decimal"/>
      <w:lvlText w:val="%1.%2."/>
      <w:lvlJc w:val="left"/>
      <w:pPr>
        <w:ind w:left="567" w:hanging="567"/>
      </w:pPr>
      <w:rPr>
        <w:rFonts w:ascii="宋体" w:eastAsia="宋体" w:hAnsi="宋体"/>
        <w:b w:val="0"/>
        <w:strike w:val="0"/>
        <w:dstrike w:val="0"/>
        <w:color w:val="auto"/>
        <w:u w:val="none"/>
      </w:rPr>
    </w:lvl>
    <w:lvl w:ilvl="2">
      <w:start w:val="1"/>
      <w:numFmt w:val="decimal"/>
      <w:lvlText w:val="%1.%2.%3."/>
      <w:lvlJc w:val="left"/>
      <w:pPr>
        <w:ind w:left="709" w:hanging="709"/>
      </w:pPr>
      <w:rPr>
        <w:rFonts w:ascii="宋体" w:eastAsia="宋体" w:hAnsi="宋体"/>
        <w:b w:val="0"/>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9">
    <w:nsid w:val="1B0B2E58"/>
    <w:multiLevelType w:val="multilevel"/>
    <w:tmpl w:val="1B0B2E58"/>
    <w:lvl w:ilvl="0">
      <w:start w:val="1"/>
      <w:numFmt w:val="decimal"/>
      <w:lvlText w:val="%1."/>
      <w:lvlJc w:val="left"/>
      <w:pPr>
        <w:tabs>
          <w:tab w:val="left" w:pos="425"/>
        </w:tabs>
        <w:ind w:left="425" w:hanging="425"/>
      </w:pPr>
      <w:rPr>
        <w:rFonts w:hint="eastAsia"/>
      </w:rPr>
    </w:lvl>
    <w:lvl w:ilvl="1">
      <w:start w:val="1"/>
      <w:numFmt w:val="decimal"/>
      <w:lvlText w:val="30.%2."/>
      <w:lvlJc w:val="left"/>
      <w:pPr>
        <w:tabs>
          <w:tab w:val="left" w:pos="567"/>
        </w:tabs>
        <w:ind w:left="567" w:hanging="567"/>
      </w:pPr>
      <w:rPr>
        <w:rFonts w:hint="eastAsia"/>
      </w:rPr>
    </w:lvl>
    <w:lvl w:ilvl="2">
      <w:start w:val="1"/>
      <w:numFmt w:val="decimal"/>
      <w:lvlText w:val="30.4.%3."/>
      <w:lvlJc w:val="left"/>
      <w:pPr>
        <w:tabs>
          <w:tab w:val="left" w:pos="709"/>
        </w:tabs>
        <w:ind w:left="709" w:hanging="709"/>
      </w:pPr>
      <w:rPr>
        <w:rFonts w:hint="eastAsia"/>
      </w:rPr>
    </w:lvl>
    <w:lvl w:ilvl="3">
      <w:start w:val="1"/>
      <w:numFmt w:val="decimal"/>
      <w:lvlText w:val="30.4.6.%4."/>
      <w:lvlJc w:val="left"/>
      <w:pPr>
        <w:tabs>
          <w:tab w:val="left" w:pos="851"/>
        </w:tabs>
        <w:ind w:left="851" w:hanging="851"/>
      </w:pPr>
      <w:rPr>
        <w:rFonts w:hint="eastAsia"/>
      </w:rPr>
    </w:lvl>
    <w:lvl w:ilvl="4">
      <w:start w:val="1"/>
      <w:numFmt w:val="decimal"/>
      <w:lvlText w:val="32.2.%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21254E8C"/>
    <w:multiLevelType w:val="multilevel"/>
    <w:tmpl w:val="21254E8C"/>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11">
    <w:nsid w:val="25AC778E"/>
    <w:multiLevelType w:val="multilevel"/>
    <w:tmpl w:val="25AC778E"/>
    <w:lvl w:ilvl="0">
      <w:start w:val="1"/>
      <w:numFmt w:val="japaneseCounting"/>
      <w:lvlText w:val="%1、"/>
      <w:lvlJc w:val="left"/>
      <w:pPr>
        <w:tabs>
          <w:tab w:val="left" w:pos="420"/>
        </w:tabs>
        <w:ind w:left="420" w:hanging="420"/>
      </w:pPr>
      <w:rPr>
        <w:rFonts w:ascii="宋体" w:eastAsia="宋体" w:hAnsi="宋体" w:cs="Times New Roman"/>
        <w:b/>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nsid w:val="271E712C"/>
    <w:multiLevelType w:val="multilevel"/>
    <w:tmpl w:val="271E712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2895151C"/>
    <w:multiLevelType w:val="multilevel"/>
    <w:tmpl w:val="2895151C"/>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14">
    <w:nsid w:val="299D3853"/>
    <w:multiLevelType w:val="multilevel"/>
    <w:tmpl w:val="299D3853"/>
    <w:lvl w:ilvl="0">
      <w:start w:val="1"/>
      <w:numFmt w:val="decimal"/>
      <w:lvlText w:val="%1"/>
      <w:lvlJc w:val="left"/>
      <w:pPr>
        <w:tabs>
          <w:tab w:val="left" w:pos="540"/>
        </w:tabs>
        <w:ind w:left="540" w:hanging="360"/>
      </w:pPr>
      <w:rPr>
        <w:rFonts w:ascii="宋体" w:eastAsia="宋体" w:hAnsi="宋体" w:cs="Times New Roman" w:hint="default"/>
        <w:b w:val="0"/>
      </w:rPr>
    </w:lvl>
    <w:lvl w:ilvl="1">
      <w:start w:val="1"/>
      <w:numFmt w:val="decimal"/>
      <w:lvlText w:val="%2."/>
      <w:lvlJc w:val="left"/>
      <w:pPr>
        <w:ind w:left="960" w:hanging="360"/>
      </w:pPr>
      <w:rPr>
        <w:rFonts w:hint="default"/>
      </w:rPr>
    </w:lvl>
    <w:lvl w:ilvl="2">
      <w:start w:val="1"/>
      <w:numFmt w:val="lowerRoman"/>
      <w:lvlText w:val="%3."/>
      <w:lvlJc w:val="right"/>
      <w:pPr>
        <w:tabs>
          <w:tab w:val="left" w:pos="1440"/>
        </w:tabs>
        <w:ind w:left="1440" w:hanging="420"/>
      </w:pPr>
    </w:lvl>
    <w:lvl w:ilvl="3">
      <w:start w:val="1"/>
      <w:numFmt w:val="decimal"/>
      <w:lvlText w:val="%4."/>
      <w:lvlJc w:val="left"/>
      <w:pPr>
        <w:tabs>
          <w:tab w:val="left" w:pos="1860"/>
        </w:tabs>
        <w:ind w:left="1860" w:hanging="420"/>
      </w:pPr>
    </w:lvl>
    <w:lvl w:ilvl="4">
      <w:start w:val="1"/>
      <w:numFmt w:val="lowerLetter"/>
      <w:lvlText w:val="%5)"/>
      <w:lvlJc w:val="left"/>
      <w:pPr>
        <w:tabs>
          <w:tab w:val="left" w:pos="2280"/>
        </w:tabs>
        <w:ind w:left="2280" w:hanging="420"/>
      </w:pPr>
    </w:lvl>
    <w:lvl w:ilvl="5">
      <w:start w:val="1"/>
      <w:numFmt w:val="lowerRoman"/>
      <w:lvlText w:val="%6."/>
      <w:lvlJc w:val="right"/>
      <w:pPr>
        <w:tabs>
          <w:tab w:val="left" w:pos="2700"/>
        </w:tabs>
        <w:ind w:left="2700" w:hanging="420"/>
      </w:pPr>
    </w:lvl>
    <w:lvl w:ilvl="6">
      <w:start w:val="1"/>
      <w:numFmt w:val="decimal"/>
      <w:lvlText w:val="%7."/>
      <w:lvlJc w:val="left"/>
      <w:pPr>
        <w:tabs>
          <w:tab w:val="left" w:pos="3120"/>
        </w:tabs>
        <w:ind w:left="3120" w:hanging="420"/>
      </w:pPr>
    </w:lvl>
    <w:lvl w:ilvl="7">
      <w:start w:val="1"/>
      <w:numFmt w:val="lowerLetter"/>
      <w:lvlText w:val="%8)"/>
      <w:lvlJc w:val="left"/>
      <w:pPr>
        <w:tabs>
          <w:tab w:val="left" w:pos="3540"/>
        </w:tabs>
        <w:ind w:left="3540" w:hanging="420"/>
      </w:pPr>
    </w:lvl>
    <w:lvl w:ilvl="8">
      <w:start w:val="1"/>
      <w:numFmt w:val="lowerRoman"/>
      <w:lvlText w:val="%9."/>
      <w:lvlJc w:val="right"/>
      <w:pPr>
        <w:tabs>
          <w:tab w:val="left" w:pos="3960"/>
        </w:tabs>
        <w:ind w:left="3960" w:hanging="420"/>
      </w:pPr>
    </w:lvl>
  </w:abstractNum>
  <w:abstractNum w:abstractNumId="15">
    <w:nsid w:val="32180BC4"/>
    <w:multiLevelType w:val="multilevel"/>
    <w:tmpl w:val="32180BC4"/>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16">
    <w:nsid w:val="37305D9C"/>
    <w:multiLevelType w:val="multilevel"/>
    <w:tmpl w:val="37305D9C"/>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7">
    <w:nsid w:val="39287919"/>
    <w:multiLevelType w:val="multilevel"/>
    <w:tmpl w:val="39287919"/>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8">
    <w:nsid w:val="3E505410"/>
    <w:multiLevelType w:val="multilevel"/>
    <w:tmpl w:val="3E505410"/>
    <w:lvl w:ilvl="0">
      <w:start w:val="1"/>
      <w:numFmt w:val="chineseCountingThousand"/>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nsid w:val="417608DD"/>
    <w:multiLevelType w:val="multilevel"/>
    <w:tmpl w:val="417608DD"/>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0">
    <w:nsid w:val="437F1085"/>
    <w:multiLevelType w:val="multilevel"/>
    <w:tmpl w:val="437F1085"/>
    <w:lvl w:ilvl="0">
      <w:start w:val="1"/>
      <w:numFmt w:val="chineseCountingThousand"/>
      <w:lvlText w:val="%1、"/>
      <w:lvlJc w:val="left"/>
      <w:pPr>
        <w:ind w:left="846" w:hanging="420"/>
      </w:pPr>
      <w:rPr>
        <w:color w:val="auto"/>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1">
    <w:nsid w:val="4501719F"/>
    <w:multiLevelType w:val="multilevel"/>
    <w:tmpl w:val="4501719F"/>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nsid w:val="48800F0F"/>
    <w:multiLevelType w:val="multilevel"/>
    <w:tmpl w:val="48800F0F"/>
    <w:lvl w:ilvl="0">
      <w:start w:val="1"/>
      <w:numFmt w:val="decimal"/>
      <w:lvlText w:val="%1."/>
      <w:lvlJc w:val="left"/>
      <w:pPr>
        <w:tabs>
          <w:tab w:val="left" w:pos="425"/>
        </w:tabs>
        <w:ind w:left="425" w:hanging="425"/>
      </w:pPr>
      <w:rPr>
        <w:rFonts w:hint="eastAsia"/>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pStyle w:val="4"/>
      <w:lvlText w:val="%1.%2.%3.%4"/>
      <w:lvlJc w:val="left"/>
      <w:pPr>
        <w:tabs>
          <w:tab w:val="left" w:pos="2328"/>
        </w:tabs>
        <w:ind w:left="2328"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3">
    <w:nsid w:val="4B170510"/>
    <w:multiLevelType w:val="multilevel"/>
    <w:tmpl w:val="4B170510"/>
    <w:lvl w:ilvl="0">
      <w:start w:val="1"/>
      <w:numFmt w:val="decimal"/>
      <w:lvlText w:val="%1)"/>
      <w:lvlJc w:val="left"/>
      <w:pPr>
        <w:ind w:left="420" w:hanging="420"/>
      </w:pPr>
      <w:rPr>
        <w:rFonts w:ascii="宋体" w:eastAsia="宋体" w:hAnsi="宋体"/>
        <w:b/>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51306199"/>
    <w:multiLevelType w:val="multilevel"/>
    <w:tmpl w:val="51306199"/>
    <w:lvl w:ilvl="0">
      <w:start w:val="1"/>
      <w:numFmt w:val="chineseCountingThousand"/>
      <w:lvlText w:val="(%1)"/>
      <w:lvlJc w:val="left"/>
      <w:pPr>
        <w:tabs>
          <w:tab w:val="left" w:pos="425"/>
        </w:tabs>
        <w:ind w:left="425" w:hanging="425"/>
      </w:pPr>
      <w:rPr>
        <w:b w:val="0"/>
        <w:color w:val="auto"/>
      </w:r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5">
    <w:nsid w:val="53DF6434"/>
    <w:multiLevelType w:val="multilevel"/>
    <w:tmpl w:val="53DF6434"/>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59025973"/>
    <w:multiLevelType w:val="multilevel"/>
    <w:tmpl w:val="59025973"/>
    <w:lvl w:ilvl="0">
      <w:start w:val="1"/>
      <w:numFmt w:val="decimal"/>
      <w:lvlText w:val="%1、"/>
      <w:lvlJc w:val="left"/>
      <w:pPr>
        <w:ind w:left="585" w:hanging="360"/>
      </w:pPr>
      <w:rPr>
        <w:rFonts w:hint="default"/>
      </w:rPr>
    </w:lvl>
    <w:lvl w:ilvl="1">
      <w:start w:val="1"/>
      <w:numFmt w:val="lowerLetter"/>
      <w:lvlText w:val="%2)"/>
      <w:lvlJc w:val="left"/>
      <w:pPr>
        <w:ind w:left="1065" w:hanging="420"/>
      </w:pPr>
    </w:lvl>
    <w:lvl w:ilvl="2">
      <w:start w:val="1"/>
      <w:numFmt w:val="lowerRoman"/>
      <w:lvlText w:val="%3."/>
      <w:lvlJc w:val="right"/>
      <w:pPr>
        <w:ind w:left="1485" w:hanging="420"/>
      </w:pPr>
    </w:lvl>
    <w:lvl w:ilvl="3">
      <w:start w:val="1"/>
      <w:numFmt w:val="decimal"/>
      <w:lvlText w:val="%4."/>
      <w:lvlJc w:val="left"/>
      <w:pPr>
        <w:ind w:left="1905" w:hanging="420"/>
      </w:pPr>
    </w:lvl>
    <w:lvl w:ilvl="4">
      <w:start w:val="1"/>
      <w:numFmt w:val="lowerLetter"/>
      <w:lvlText w:val="%5)"/>
      <w:lvlJc w:val="left"/>
      <w:pPr>
        <w:ind w:left="2325" w:hanging="420"/>
      </w:pPr>
    </w:lvl>
    <w:lvl w:ilvl="5">
      <w:start w:val="1"/>
      <w:numFmt w:val="lowerRoman"/>
      <w:lvlText w:val="%6."/>
      <w:lvlJc w:val="right"/>
      <w:pPr>
        <w:ind w:left="2745" w:hanging="420"/>
      </w:pPr>
    </w:lvl>
    <w:lvl w:ilvl="6">
      <w:start w:val="1"/>
      <w:numFmt w:val="decimal"/>
      <w:lvlText w:val="%7."/>
      <w:lvlJc w:val="left"/>
      <w:pPr>
        <w:ind w:left="3165" w:hanging="420"/>
      </w:pPr>
    </w:lvl>
    <w:lvl w:ilvl="7">
      <w:start w:val="1"/>
      <w:numFmt w:val="lowerLetter"/>
      <w:lvlText w:val="%8)"/>
      <w:lvlJc w:val="left"/>
      <w:pPr>
        <w:ind w:left="3585" w:hanging="420"/>
      </w:pPr>
    </w:lvl>
    <w:lvl w:ilvl="8">
      <w:start w:val="1"/>
      <w:numFmt w:val="lowerRoman"/>
      <w:lvlText w:val="%9."/>
      <w:lvlJc w:val="right"/>
      <w:pPr>
        <w:ind w:left="4005" w:hanging="420"/>
      </w:pPr>
    </w:lvl>
  </w:abstractNum>
  <w:abstractNum w:abstractNumId="27">
    <w:nsid w:val="60ACA2EB"/>
    <w:multiLevelType w:val="singleLevel"/>
    <w:tmpl w:val="60ACA2EB"/>
    <w:lvl w:ilvl="0">
      <w:start w:val="1"/>
      <w:numFmt w:val="decimal"/>
      <w:suff w:val="nothing"/>
      <w:lvlText w:val="%1、"/>
      <w:lvlJc w:val="left"/>
    </w:lvl>
  </w:abstractNum>
  <w:abstractNum w:abstractNumId="28">
    <w:nsid w:val="65EE17B0"/>
    <w:multiLevelType w:val="multilevel"/>
    <w:tmpl w:val="65EE17B0"/>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9">
    <w:nsid w:val="6EAE5E76"/>
    <w:multiLevelType w:val="multilevel"/>
    <w:tmpl w:val="6EAE5E76"/>
    <w:lvl w:ilvl="0">
      <w:start w:val="1"/>
      <w:numFmt w:val="decimal"/>
      <w:lvlText w:val="%1."/>
      <w:lvlJc w:val="left"/>
      <w:pPr>
        <w:tabs>
          <w:tab w:val="left" w:pos="420"/>
        </w:tabs>
        <w:ind w:left="420" w:hanging="420"/>
      </w:pPr>
      <w:rPr>
        <w:rFonts w:ascii="宋体" w:eastAsia="宋体" w:hAnsi="宋体" w:hint="eastAsia"/>
        <w:b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nsid w:val="74537640"/>
    <w:multiLevelType w:val="multilevel"/>
    <w:tmpl w:val="74537640"/>
    <w:lvl w:ilvl="0">
      <w:start w:val="1"/>
      <w:numFmt w:val="chineseCountingThousand"/>
      <w:lvlText w:val="（%1）"/>
      <w:lvlJc w:val="left"/>
      <w:pPr>
        <w:ind w:left="780" w:hanging="420"/>
      </w:pPr>
      <w:rPr>
        <w:rFonts w:hint="eastAsia"/>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1">
    <w:nsid w:val="783550B3"/>
    <w:multiLevelType w:val="multilevel"/>
    <w:tmpl w:val="783550B3"/>
    <w:lvl w:ilvl="0">
      <w:start w:val="1"/>
      <w:numFmt w:val="chineseCountingThousand"/>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7E9B42DA"/>
    <w:multiLevelType w:val="multilevel"/>
    <w:tmpl w:val="7E9B42DA"/>
    <w:lvl w:ilvl="0">
      <w:start w:val="1"/>
      <w:numFmt w:val="decimal"/>
      <w:lvlText w:val="%1."/>
      <w:lvlJc w:val="left"/>
      <w:pPr>
        <w:tabs>
          <w:tab w:val="left" w:pos="840"/>
        </w:tabs>
        <w:ind w:left="840" w:hanging="420"/>
      </w:pPr>
      <w:rPr>
        <w:b w:val="0"/>
        <w:color w:val="auto"/>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abstractNumId w:val="22"/>
  </w:num>
  <w:num w:numId="2">
    <w:abstractNumId w:val="8"/>
  </w:num>
  <w:num w:numId="3">
    <w:abstractNumId w:val="9"/>
  </w:num>
  <w:num w:numId="4">
    <w:abstractNumId w:val="6"/>
  </w:num>
  <w:num w:numId="5">
    <w:abstractNumId w:val="17"/>
  </w:num>
  <w:num w:numId="6">
    <w:abstractNumId w:val="14"/>
  </w:num>
  <w:num w:numId="7">
    <w:abstractNumId w:val="11"/>
  </w:num>
  <w:num w:numId="8">
    <w:abstractNumId w:val="21"/>
  </w:num>
  <w:num w:numId="9">
    <w:abstractNumId w:val="7"/>
  </w:num>
  <w:num w:numId="10">
    <w:abstractNumId w:val="13"/>
  </w:num>
  <w:num w:numId="11">
    <w:abstractNumId w:val="5"/>
  </w:num>
  <w:num w:numId="12">
    <w:abstractNumId w:val="10"/>
  </w:num>
  <w:num w:numId="13">
    <w:abstractNumId w:val="28"/>
  </w:num>
  <w:num w:numId="14">
    <w:abstractNumId w:val="24"/>
  </w:num>
  <w:num w:numId="15">
    <w:abstractNumId w:val="32"/>
  </w:num>
  <w:num w:numId="16">
    <w:abstractNumId w:val="19"/>
  </w:num>
  <w:num w:numId="17">
    <w:abstractNumId w:val="1"/>
  </w:num>
  <w:num w:numId="18">
    <w:abstractNumId w:val="15"/>
  </w:num>
  <w:num w:numId="19">
    <w:abstractNumId w:val="18"/>
  </w:num>
  <w:num w:numId="20">
    <w:abstractNumId w:val="0"/>
  </w:num>
  <w:num w:numId="21">
    <w:abstractNumId w:val="31"/>
  </w:num>
  <w:num w:numId="22">
    <w:abstractNumId w:val="16"/>
  </w:num>
  <w:num w:numId="23">
    <w:abstractNumId w:val="27"/>
  </w:num>
  <w:num w:numId="24">
    <w:abstractNumId w:val="20"/>
  </w:num>
  <w:num w:numId="25">
    <w:abstractNumId w:val="30"/>
  </w:num>
  <w:num w:numId="26">
    <w:abstractNumId w:val="12"/>
  </w:num>
  <w:num w:numId="27">
    <w:abstractNumId w:val="3"/>
  </w:num>
  <w:num w:numId="28">
    <w:abstractNumId w:val="2"/>
  </w:num>
  <w:num w:numId="29">
    <w:abstractNumId w:val="26"/>
  </w:num>
  <w:num w:numId="30">
    <w:abstractNumId w:val="25"/>
  </w:num>
  <w:num w:numId="31">
    <w:abstractNumId w:val="4"/>
  </w:num>
  <w:num w:numId="32">
    <w:abstractNumId w:val="29"/>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VjYzJmN2NiY2NhZmMzZTlkMjhhYTg0ZTA4ZWU1NW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qFormat="1"/>
    <w:lsdException w:name="heading 5" w:uiPriority="9" w:qFormat="1"/>
    <w:lsdException w:name="heading 6" w:uiPriority="9" w:qFormat="1"/>
    <w:lsdException w:name="heading 7" w:uiPriority="9"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footnote text" w:semiHidden="0" w:uiPriority="0" w:unhideWhenUsed="0" w:qFormat="1"/>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semiHidden="0" w:uiPriority="0" w:unhideWhenUsed="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0" w:unhideWhenUsed="0" w:qFormat="1"/>
    <w:lsdException w:name="Closing"/>
    <w:lsdException w:name="Signature"/>
    <w:lsdException w:name="Default Paragraph Font" w:uiPriority="1" w:qFormat="1"/>
    <w:lsdException w:name="Body Text" w:semiHidden="0" w:uiPriority="0" w:unhideWhenUsed="0" w:qFormat="1"/>
    <w:lsdException w:name="Body Text Indent" w:semiHidden="0" w:uiPriority="0" w:unhideWhenUsed="0" w:qFormat="1"/>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semiHidden="0" w:uiPriority="0" w:unhideWhenUsed="0" w:qFormat="1"/>
    <w:lsdException w:name="Body Text 2"/>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Block Text"/>
    <w:lsdException w:name="Hyperlink" w:semiHidden="0" w:unhideWhenUsed="0" w:qFormat="1"/>
    <w:lsdException w:name="FollowedHyperlink" w:qFormat="1"/>
    <w:lsdException w:name="Strong" w:semiHidden="0" w:uiPriority="22" w:unhideWhenUsed="0" w:qFormat="1"/>
    <w:lsdException w:name="Emphasis" w:semiHidden="0" w:uiPriority="20" w:unhideWhenUsed="0" w:qFormat="1"/>
    <w:lsdException w:name="Document Map" w:uiPriority="0" w:unhideWhenUsed="0" w:qFormat="1"/>
    <w:lsdException w:name="Plain Text" w:semiHidden="0" w:uiPriority="0" w:unhideWhenUsed="0" w:qFormat="1"/>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uiPriority="0" w:unhideWhenUsed="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unhideWhenUsed="0" w:qFormat="1"/>
    <w:lsdException w:name="Table Grid" w:semiHidden="0" w:uiPriority="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sz w:val="21"/>
      <w:szCs w:val="21"/>
      <w:lang w:val="en-US" w:eastAsia="zh-CN" w:bidi="ar-SA"/>
    </w:rPr>
  </w:style>
  <w:style w:type="paragraph" w:styleId="Heading1">
    <w:name w:val="heading 1"/>
    <w:basedOn w:val="Normal"/>
    <w:next w:val="Normal"/>
    <w:link w:val="1"/>
    <w:autoRedefine/>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1"/>
    <w:autoRedefine/>
    <w:qFormat/>
    <w:pPr>
      <w:keepNext/>
      <w:keepLines/>
      <w:spacing w:before="260" w:after="260" w:line="416" w:lineRule="auto"/>
      <w:outlineLvl w:val="1"/>
    </w:pPr>
    <w:rPr>
      <w:rFonts w:ascii="Arial" w:eastAsia="黑体" w:hAnsi="Arial"/>
      <w:b/>
      <w:bCs/>
      <w:kern w:val="2"/>
      <w:sz w:val="32"/>
      <w:szCs w:val="32"/>
      <w:lang w:val="zh-CN"/>
    </w:rPr>
  </w:style>
  <w:style w:type="paragraph" w:styleId="Heading3">
    <w:name w:val="heading 3"/>
    <w:basedOn w:val="Normal"/>
    <w:next w:val="Normal"/>
    <w:link w:val="3"/>
    <w:autoRedefine/>
    <w:qFormat/>
    <w:pPr>
      <w:keepNext/>
      <w:outlineLvl w:val="2"/>
    </w:pPr>
    <w:rPr>
      <w:rFonts w:ascii="楷体_GB2312" w:eastAsia="楷体_GB2312" w:hAnsi="宋体"/>
      <w:b/>
      <w:bCs/>
      <w:sz w:val="32"/>
    </w:rPr>
  </w:style>
  <w:style w:type="paragraph" w:styleId="Heading4">
    <w:name w:val="heading 4"/>
    <w:basedOn w:val="Normal"/>
    <w:next w:val="Normal"/>
    <w:link w:val="40"/>
    <w:autoRedefine/>
    <w:unhideWhenUsed/>
    <w:qFormat/>
    <w:pPr>
      <w:keepNext/>
      <w:keepLines/>
      <w:spacing w:before="280" w:after="290" w:line="376" w:lineRule="auto"/>
      <w:outlineLvl w:val="3"/>
    </w:pPr>
    <w:rPr>
      <w:rFonts w:ascii="等线 Light" w:eastAsia="等线 Light" w:hAnsi="等线 Light"/>
      <w:b/>
      <w:bCs/>
      <w:sz w:val="28"/>
      <w:szCs w:val="28"/>
    </w:rPr>
  </w:style>
  <w:style w:type="paragraph" w:styleId="Heading8">
    <w:name w:val="heading 8"/>
    <w:basedOn w:val="Normal"/>
    <w:next w:val="Normal"/>
    <w:link w:val="8"/>
    <w:autoRedefine/>
    <w:qFormat/>
    <w:pPr>
      <w:keepNext/>
      <w:keepLines/>
      <w:spacing w:before="240" w:after="64" w:line="320" w:lineRule="auto"/>
      <w:outlineLvl w:val="7"/>
    </w:pPr>
    <w:rPr>
      <w:rFonts w:ascii="Arial" w:eastAsia="黑体" w:hAnsi="Arial"/>
      <w:sz w:val="24"/>
    </w:rPr>
  </w:style>
  <w:style w:type="character" w:default="1" w:styleId="DefaultParagraphFont">
    <w:name w:val="Default Paragraph Font"/>
    <w:autoRedefine/>
    <w:uiPriority w:val="1"/>
    <w:semiHidden/>
    <w:unhideWhenUsed/>
    <w:qFormat/>
  </w:style>
  <w:style w:type="table" w:default="1" w:styleId="TableNormal">
    <w:name w:val="Normal Table"/>
    <w:autoRedefine/>
    <w:uiPriority w:val="99"/>
    <w:semiHidden/>
    <w:unhideWhenUsed/>
    <w:qFormat/>
    <w:tblPr>
      <w:tblCellMar>
        <w:top w:w="0" w:type="dxa"/>
        <w:left w:w="108" w:type="dxa"/>
        <w:bottom w:w="0" w:type="dxa"/>
        <w:right w:w="108" w:type="dxa"/>
      </w:tblCellMar>
    </w:tblPr>
  </w:style>
  <w:style w:type="paragraph" w:styleId="NormalIndent">
    <w:name w:val="Normal Indent"/>
    <w:basedOn w:val="Normal"/>
    <w:next w:val="BodyText"/>
    <w:autoRedefine/>
    <w:qFormat/>
    <w:pPr>
      <w:spacing w:after="200" w:line="600" w:lineRule="exact"/>
      <w:ind w:firstLine="420"/>
    </w:pPr>
    <w:rPr>
      <w:rFonts w:eastAsia="CESI仿宋-GB2312"/>
      <w:sz w:val="32"/>
      <w:szCs w:val="20"/>
    </w:rPr>
  </w:style>
  <w:style w:type="paragraph" w:styleId="BodyText">
    <w:name w:val="Body Text"/>
    <w:basedOn w:val="Normal"/>
    <w:next w:val="BodyTextFirstIndent2"/>
    <w:link w:val="a3"/>
    <w:autoRedefine/>
    <w:qFormat/>
    <w:rPr>
      <w:sz w:val="24"/>
    </w:rPr>
  </w:style>
  <w:style w:type="paragraph" w:styleId="BodyTextFirstIndent2">
    <w:name w:val="Body Text First Indent 2"/>
    <w:basedOn w:val="BodyTextIndent"/>
    <w:qFormat/>
    <w:pPr>
      <w:ind w:firstLine="420" w:firstLineChars="200"/>
    </w:pPr>
  </w:style>
  <w:style w:type="paragraph" w:styleId="BodyTextIndent">
    <w:name w:val="Body Text Indent"/>
    <w:basedOn w:val="Normal"/>
    <w:link w:val="a4"/>
    <w:autoRedefine/>
    <w:qFormat/>
    <w:pPr>
      <w:ind w:firstLine="570"/>
    </w:pPr>
    <w:rPr>
      <w:rFonts w:ascii="宋体" w:hAnsi="宋体"/>
      <w:sz w:val="28"/>
      <w:szCs w:val="20"/>
    </w:rPr>
  </w:style>
  <w:style w:type="paragraph" w:styleId="DocumentMap">
    <w:name w:val="Document Map"/>
    <w:basedOn w:val="Normal"/>
    <w:link w:val="a10"/>
    <w:autoRedefine/>
    <w:semiHidden/>
    <w:qFormat/>
    <w:pPr>
      <w:shd w:val="clear" w:color="auto" w:fill="000080"/>
    </w:pPr>
  </w:style>
  <w:style w:type="paragraph" w:styleId="CommentText">
    <w:name w:val="annotation text"/>
    <w:basedOn w:val="Normal"/>
    <w:link w:val="13"/>
    <w:autoRedefine/>
    <w:qFormat/>
    <w:pPr>
      <w:jc w:val="left"/>
    </w:pPr>
    <w:rPr>
      <w:kern w:val="2"/>
      <w:szCs w:val="24"/>
      <w:lang w:val="zh-CN"/>
    </w:rPr>
  </w:style>
  <w:style w:type="paragraph" w:styleId="BodyText3">
    <w:name w:val="Body Text 3"/>
    <w:basedOn w:val="Normal"/>
    <w:link w:val="31"/>
    <w:autoRedefine/>
    <w:qFormat/>
    <w:pPr>
      <w:spacing w:after="120"/>
    </w:pPr>
    <w:rPr>
      <w:sz w:val="16"/>
      <w:szCs w:val="16"/>
    </w:rPr>
  </w:style>
  <w:style w:type="paragraph" w:styleId="PlainText">
    <w:name w:val="Plain Text"/>
    <w:basedOn w:val="Normal"/>
    <w:link w:val="11"/>
    <w:autoRedefine/>
    <w:qFormat/>
    <w:rPr>
      <w:rFonts w:ascii="宋体" w:hAnsi="Courier New"/>
      <w:kern w:val="2"/>
      <w:szCs w:val="20"/>
    </w:rPr>
  </w:style>
  <w:style w:type="paragraph" w:styleId="BodyTextIndent2">
    <w:name w:val="Body Text Indent 2"/>
    <w:basedOn w:val="Normal"/>
    <w:link w:val="20"/>
    <w:autoRedefine/>
    <w:qFormat/>
    <w:pPr>
      <w:spacing w:line="480" w:lineRule="auto"/>
      <w:ind w:firstLine="480" w:firstLineChars="200"/>
    </w:pPr>
    <w:rPr>
      <w:rFonts w:ascii="宋体" w:hAnsi="宋体"/>
      <w:sz w:val="24"/>
    </w:rPr>
  </w:style>
  <w:style w:type="paragraph" w:styleId="BalloonText">
    <w:name w:val="Balloon Text"/>
    <w:basedOn w:val="Normal"/>
    <w:link w:val="a13"/>
    <w:autoRedefine/>
    <w:semiHidden/>
    <w:qFormat/>
    <w:rPr>
      <w:sz w:val="18"/>
      <w:szCs w:val="18"/>
    </w:rPr>
  </w:style>
  <w:style w:type="paragraph" w:styleId="Footer">
    <w:name w:val="footer"/>
    <w:basedOn w:val="Normal"/>
    <w:link w:val="a7"/>
    <w:autoRedefine/>
    <w:qFormat/>
    <w:pPr>
      <w:tabs>
        <w:tab w:val="center" w:pos="4153"/>
        <w:tab w:val="right" w:pos="8306"/>
      </w:tabs>
      <w:snapToGrid w:val="0"/>
      <w:jc w:val="left"/>
    </w:pPr>
    <w:rPr>
      <w:sz w:val="18"/>
      <w:szCs w:val="18"/>
    </w:rPr>
  </w:style>
  <w:style w:type="paragraph" w:styleId="Header">
    <w:name w:val="header"/>
    <w:basedOn w:val="Normal"/>
    <w:link w:val="a6"/>
    <w:autoRedefine/>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autoRedefine/>
    <w:uiPriority w:val="39"/>
    <w:unhideWhenUsed/>
    <w:qFormat/>
  </w:style>
  <w:style w:type="paragraph" w:styleId="FootnoteText">
    <w:name w:val="footnote text"/>
    <w:basedOn w:val="Normal"/>
    <w:link w:val="15"/>
    <w:autoRedefine/>
    <w:qFormat/>
    <w:pPr>
      <w:autoSpaceDE w:val="0"/>
      <w:autoSpaceDN w:val="0"/>
      <w:adjustRightInd w:val="0"/>
      <w:snapToGrid w:val="0"/>
      <w:jc w:val="left"/>
    </w:pPr>
    <w:rPr>
      <w:sz w:val="18"/>
      <w:szCs w:val="18"/>
      <w:lang w:val="zh-CN"/>
    </w:rPr>
  </w:style>
  <w:style w:type="paragraph" w:styleId="BodyTextIndent3">
    <w:name w:val="Body Text Indent 3"/>
    <w:basedOn w:val="Normal"/>
    <w:link w:val="30"/>
    <w:autoRedefine/>
    <w:qFormat/>
    <w:pPr>
      <w:spacing w:line="360" w:lineRule="auto"/>
      <w:ind w:left="1260" w:leftChars="600"/>
    </w:pPr>
    <w:rPr>
      <w:rFonts w:ascii="宋体" w:hAnsi="宋体"/>
      <w:b/>
      <w:bCs/>
      <w:sz w:val="24"/>
    </w:rPr>
  </w:style>
  <w:style w:type="paragraph" w:styleId="NormalWeb">
    <w:name w:val="Normal (Web)"/>
    <w:basedOn w:val="Normal"/>
    <w:autoRedefine/>
    <w:uiPriority w:val="99"/>
    <w:qFormat/>
    <w:pPr>
      <w:widowControl/>
      <w:spacing w:before="100" w:beforeAutospacing="1" w:after="100" w:afterAutospacing="1"/>
      <w:jc w:val="left"/>
    </w:pPr>
    <w:rPr>
      <w:rFonts w:ascii="宋体" w:hAnsi="宋体"/>
      <w:sz w:val="24"/>
    </w:rPr>
  </w:style>
  <w:style w:type="paragraph" w:styleId="Title">
    <w:name w:val="Title"/>
    <w:basedOn w:val="Normal"/>
    <w:next w:val="Normal"/>
    <w:link w:val="14"/>
    <w:autoRedefine/>
    <w:qFormat/>
    <w:pPr>
      <w:autoSpaceDE w:val="0"/>
      <w:autoSpaceDN w:val="0"/>
      <w:adjustRightInd w:val="0"/>
      <w:spacing w:before="240" w:after="60"/>
      <w:jc w:val="center"/>
      <w:outlineLvl w:val="0"/>
    </w:pPr>
    <w:rPr>
      <w:rFonts w:ascii="Cambria" w:hAnsi="Cambria"/>
      <w:b/>
      <w:bCs/>
      <w:sz w:val="32"/>
      <w:szCs w:val="32"/>
      <w:lang w:val="zh-CN"/>
    </w:rPr>
  </w:style>
  <w:style w:type="paragraph" w:styleId="CommentSubject">
    <w:name w:val="annotation subject"/>
    <w:basedOn w:val="CommentText"/>
    <w:next w:val="CommentText"/>
    <w:link w:val="a12"/>
    <w:autoRedefine/>
    <w:semiHidden/>
    <w:qFormat/>
    <w:rPr>
      <w:b/>
      <w:bCs/>
    </w:rPr>
  </w:style>
  <w:style w:type="table" w:styleId="TableGrid">
    <w:name w:val="Table Grid"/>
    <w:basedOn w:val="TableNormal"/>
    <w:autoRedefine/>
    <w:qFormat/>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autoRedefine/>
    <w:uiPriority w:val="22"/>
    <w:qFormat/>
    <w:rPr>
      <w:b/>
      <w:bCs/>
    </w:rPr>
  </w:style>
  <w:style w:type="character" w:styleId="PageNumber">
    <w:name w:val="page number"/>
    <w:basedOn w:val="DefaultParagraphFont"/>
    <w:autoRedefine/>
    <w:qFormat/>
  </w:style>
  <w:style w:type="character" w:styleId="FollowedHyperlink">
    <w:name w:val="FollowedHyperlink"/>
    <w:basedOn w:val="DefaultParagraphFont"/>
    <w:autoRedefine/>
    <w:uiPriority w:val="99"/>
    <w:semiHidden/>
    <w:unhideWhenUsed/>
    <w:qFormat/>
    <w:rPr>
      <w:color w:val="954F72" w:themeColor="followedHyperlink"/>
      <w:u w:val="single"/>
      <w14:textFill>
        <w14:solidFill>
          <w14:schemeClr w14:val="folHlink"/>
        </w14:solidFill>
      </w14:textFill>
    </w:rPr>
  </w:style>
  <w:style w:type="character" w:styleId="Hyperlink">
    <w:name w:val="Hyperlink"/>
    <w:autoRedefine/>
    <w:uiPriority w:val="99"/>
    <w:qFormat/>
    <w:rPr>
      <w:rFonts w:eastAsia="宋体"/>
      <w:color w:val="0000FF"/>
      <w:sz w:val="21"/>
      <w:u w:val="single"/>
    </w:rPr>
  </w:style>
  <w:style w:type="character" w:styleId="CommentReference">
    <w:name w:val="annotation reference"/>
    <w:autoRedefine/>
    <w:qFormat/>
    <w:rPr>
      <w:sz w:val="21"/>
      <w:szCs w:val="21"/>
    </w:rPr>
  </w:style>
  <w:style w:type="paragraph" w:customStyle="1" w:styleId="a">
    <w:name w:val="文档正文"/>
    <w:basedOn w:val="Normal"/>
    <w:autoRedefine/>
    <w:qFormat/>
    <w:pPr>
      <w:adjustRightInd w:val="0"/>
      <w:spacing w:line="500" w:lineRule="exact"/>
      <w:ind w:firstLine="567"/>
      <w:textAlignment w:val="baseline"/>
    </w:pPr>
    <w:rPr>
      <w:rFonts w:ascii="仿宋_GB2312" w:eastAsia="仿宋_GB2312"/>
      <w:sz w:val="28"/>
    </w:rPr>
  </w:style>
  <w:style w:type="paragraph" w:customStyle="1" w:styleId="a0">
    <w:name w:val="表格文字"/>
    <w:basedOn w:val="Normal"/>
    <w:autoRedefine/>
    <w:qFormat/>
    <w:pPr>
      <w:spacing w:before="25" w:after="25"/>
      <w:jc w:val="left"/>
    </w:pPr>
    <w:rPr>
      <w:bCs/>
      <w:spacing w:val="10"/>
      <w:sz w:val="24"/>
    </w:rPr>
  </w:style>
  <w:style w:type="character" w:customStyle="1" w:styleId="1">
    <w:name w:val="标题 1 字符"/>
    <w:basedOn w:val="DefaultParagraphFont"/>
    <w:link w:val="Heading1"/>
    <w:autoRedefine/>
    <w:qFormat/>
    <w:rPr>
      <w:rFonts w:ascii="Times New Roman" w:eastAsia="宋体" w:hAnsi="Times New Roman" w:cs="Times New Roman"/>
      <w:b/>
      <w:bCs/>
      <w:kern w:val="44"/>
      <w:sz w:val="44"/>
      <w:szCs w:val="44"/>
    </w:rPr>
  </w:style>
  <w:style w:type="character" w:customStyle="1" w:styleId="2">
    <w:name w:val="标题 2 字符"/>
    <w:basedOn w:val="DefaultParagraphFont"/>
    <w:autoRedefine/>
    <w:uiPriority w:val="9"/>
    <w:semiHidden/>
    <w:qFormat/>
    <w:rPr>
      <w:rFonts w:asciiTheme="majorHAnsi" w:eastAsiaTheme="majorEastAsia" w:hAnsiTheme="majorHAnsi" w:cstheme="majorBidi"/>
      <w:b/>
      <w:bCs/>
      <w:kern w:val="0"/>
      <w:sz w:val="32"/>
      <w:szCs w:val="32"/>
    </w:rPr>
  </w:style>
  <w:style w:type="character" w:customStyle="1" w:styleId="3">
    <w:name w:val="标题 3 字符"/>
    <w:basedOn w:val="DefaultParagraphFont"/>
    <w:link w:val="Heading3"/>
    <w:autoRedefine/>
    <w:qFormat/>
    <w:rPr>
      <w:rFonts w:ascii="楷体_GB2312" w:eastAsia="楷体_GB2312" w:hAnsi="宋体" w:cs="Times New Roman"/>
      <w:b/>
      <w:bCs/>
      <w:kern w:val="0"/>
      <w:sz w:val="32"/>
      <w:szCs w:val="21"/>
    </w:rPr>
  </w:style>
  <w:style w:type="character" w:customStyle="1" w:styleId="8">
    <w:name w:val="标题 8 字符"/>
    <w:basedOn w:val="DefaultParagraphFont"/>
    <w:link w:val="Heading8"/>
    <w:autoRedefine/>
    <w:qFormat/>
    <w:rPr>
      <w:rFonts w:ascii="Arial" w:eastAsia="黑体" w:hAnsi="Arial" w:cs="Times New Roman"/>
      <w:kern w:val="0"/>
      <w:sz w:val="24"/>
      <w:szCs w:val="21"/>
    </w:rPr>
  </w:style>
  <w:style w:type="paragraph" w:customStyle="1" w:styleId="a1">
    <w:name w:val="编号"/>
    <w:basedOn w:val="Normal"/>
    <w:next w:val="ListParagraph"/>
    <w:link w:val="Char"/>
    <w:autoRedefine/>
    <w:uiPriority w:val="34"/>
    <w:qFormat/>
    <w:pPr>
      <w:ind w:firstLine="420" w:firstLineChars="200"/>
    </w:pPr>
    <w:rPr>
      <w:rFonts w:asciiTheme="minorHAnsi" w:eastAsiaTheme="minorEastAsia" w:hAnsiTheme="minorHAnsi" w:cstheme="minorBidi"/>
      <w:kern w:val="2"/>
    </w:rPr>
  </w:style>
  <w:style w:type="paragraph" w:styleId="ListParagraph">
    <w:name w:val="List Paragraph"/>
    <w:basedOn w:val="Normal"/>
    <w:link w:val="a17"/>
    <w:autoRedefine/>
    <w:uiPriority w:val="34"/>
    <w:qFormat/>
    <w:pPr>
      <w:ind w:firstLine="420" w:firstLineChars="200"/>
    </w:pPr>
  </w:style>
  <w:style w:type="paragraph" w:customStyle="1" w:styleId="a2">
    <w:name w:val="表格"/>
    <w:basedOn w:val="Normal"/>
    <w:autoRedefine/>
    <w:qFormat/>
    <w:pPr>
      <w:spacing w:line="360" w:lineRule="exact"/>
      <w:ind w:left="84" w:leftChars="40"/>
      <w:jc w:val="center"/>
    </w:pPr>
    <w:rPr>
      <w:rFonts w:ascii="宋体" w:hAnsi="宋体"/>
      <w:bCs/>
      <w:color w:val="FF0000"/>
      <w:spacing w:val="-12"/>
    </w:rPr>
  </w:style>
  <w:style w:type="character" w:customStyle="1" w:styleId="a3">
    <w:name w:val="正文文本 字符"/>
    <w:basedOn w:val="DefaultParagraphFont"/>
    <w:link w:val="BodyText"/>
    <w:autoRedefine/>
    <w:qFormat/>
    <w:rPr>
      <w:rFonts w:ascii="Times New Roman" w:eastAsia="宋体" w:hAnsi="Times New Roman" w:cs="Times New Roman"/>
      <w:kern w:val="0"/>
      <w:sz w:val="24"/>
      <w:szCs w:val="21"/>
    </w:rPr>
  </w:style>
  <w:style w:type="character" w:customStyle="1" w:styleId="30">
    <w:name w:val="正文文本缩进 3 字符"/>
    <w:basedOn w:val="DefaultParagraphFont"/>
    <w:link w:val="BodyTextIndent3"/>
    <w:autoRedefine/>
    <w:qFormat/>
    <w:rPr>
      <w:rFonts w:ascii="宋体" w:eastAsia="宋体" w:hAnsi="宋体" w:cs="Times New Roman"/>
      <w:b/>
      <w:bCs/>
      <w:kern w:val="0"/>
      <w:sz w:val="24"/>
      <w:szCs w:val="21"/>
    </w:rPr>
  </w:style>
  <w:style w:type="character" w:customStyle="1" w:styleId="20">
    <w:name w:val="正文文本缩进 2 字符"/>
    <w:basedOn w:val="DefaultParagraphFont"/>
    <w:link w:val="BodyTextIndent2"/>
    <w:autoRedefine/>
    <w:qFormat/>
    <w:rPr>
      <w:rFonts w:ascii="宋体" w:eastAsia="宋体" w:hAnsi="宋体" w:cs="Times New Roman"/>
      <w:kern w:val="0"/>
      <w:sz w:val="24"/>
      <w:szCs w:val="21"/>
    </w:rPr>
  </w:style>
  <w:style w:type="paragraph" w:customStyle="1" w:styleId="head">
    <w:name w:val="head"/>
    <w:basedOn w:val="Normal"/>
    <w:autoRedefine/>
    <w:qFormat/>
    <w:pPr>
      <w:widowControl/>
      <w:spacing w:before="100" w:beforeAutospacing="1" w:after="100" w:afterAutospacing="1"/>
      <w:jc w:val="center"/>
    </w:pPr>
    <w:rPr>
      <w:rFonts w:ascii="黑体" w:eastAsia="黑体" w:hAnsi="宋体" w:hint="eastAsia"/>
      <w:b/>
      <w:bCs/>
      <w:sz w:val="28"/>
      <w:szCs w:val="28"/>
    </w:rPr>
  </w:style>
  <w:style w:type="character" w:customStyle="1" w:styleId="a4">
    <w:name w:val="正文文本缩进 字符"/>
    <w:basedOn w:val="DefaultParagraphFont"/>
    <w:link w:val="BodyTextIndent"/>
    <w:autoRedefine/>
    <w:qFormat/>
    <w:rPr>
      <w:rFonts w:ascii="宋体" w:eastAsia="宋体" w:hAnsi="宋体" w:cs="Times New Roman"/>
      <w:kern w:val="0"/>
      <w:sz w:val="28"/>
      <w:szCs w:val="20"/>
    </w:rPr>
  </w:style>
  <w:style w:type="paragraph" w:customStyle="1" w:styleId="a5">
    <w:name w:val="图"/>
    <w:basedOn w:val="Normal"/>
    <w:autoRedefine/>
    <w:qFormat/>
    <w:pPr>
      <w:keepNext/>
      <w:adjustRightInd w:val="0"/>
      <w:spacing w:before="60" w:after="60" w:line="300" w:lineRule="auto"/>
      <w:jc w:val="center"/>
      <w:textAlignment w:val="center"/>
    </w:pPr>
    <w:rPr>
      <w:snapToGrid w:val="0"/>
      <w:spacing w:val="20"/>
      <w:sz w:val="24"/>
      <w:szCs w:val="20"/>
    </w:rPr>
  </w:style>
  <w:style w:type="paragraph" w:customStyle="1" w:styleId="xl29">
    <w:name w:val="xl29"/>
    <w:basedOn w:val="Normal"/>
    <w:autoRedefine/>
    <w:qFormat/>
    <w:pPr>
      <w:widowControl/>
      <w:spacing w:before="100" w:beforeAutospacing="1" w:after="100" w:afterAutospacing="1"/>
      <w:jc w:val="center"/>
    </w:pPr>
    <w:rPr>
      <w:rFonts w:ascii="宋体" w:hAnsi="宋体"/>
      <w:sz w:val="28"/>
      <w:szCs w:val="28"/>
    </w:rPr>
  </w:style>
  <w:style w:type="character" w:customStyle="1" w:styleId="a6">
    <w:name w:val="页眉 字符"/>
    <w:basedOn w:val="DefaultParagraphFont"/>
    <w:link w:val="Header"/>
    <w:autoRedefine/>
    <w:qFormat/>
    <w:rPr>
      <w:rFonts w:ascii="Times New Roman" w:eastAsia="宋体" w:hAnsi="Times New Roman" w:cs="Times New Roman"/>
      <w:kern w:val="0"/>
      <w:sz w:val="18"/>
      <w:szCs w:val="18"/>
    </w:rPr>
  </w:style>
  <w:style w:type="character" w:customStyle="1" w:styleId="a7">
    <w:name w:val="页脚 字符"/>
    <w:basedOn w:val="DefaultParagraphFont"/>
    <w:link w:val="Footer"/>
    <w:autoRedefine/>
    <w:qFormat/>
    <w:rPr>
      <w:rFonts w:ascii="Times New Roman" w:eastAsia="宋体" w:hAnsi="Times New Roman" w:cs="Times New Roman"/>
      <w:kern w:val="0"/>
      <w:sz w:val="18"/>
      <w:szCs w:val="18"/>
    </w:rPr>
  </w:style>
  <w:style w:type="character" w:customStyle="1" w:styleId="a8">
    <w:name w:val="纯文本 字符"/>
    <w:basedOn w:val="DefaultParagraphFont"/>
    <w:autoRedefine/>
    <w:qFormat/>
    <w:rPr>
      <w:rFonts w:hAnsi="Courier New" w:asciiTheme="minorEastAsia" w:cs="Courier New"/>
      <w:kern w:val="0"/>
      <w:szCs w:val="21"/>
    </w:rPr>
  </w:style>
  <w:style w:type="paragraph" w:customStyle="1" w:styleId="10">
    <w:name w:val="1"/>
    <w:basedOn w:val="Normal"/>
    <w:autoRedefine/>
    <w:qFormat/>
  </w:style>
  <w:style w:type="paragraph" w:customStyle="1" w:styleId="CharChar1">
    <w:name w:val="Char Char1"/>
    <w:basedOn w:val="Normal"/>
    <w:autoRedefine/>
    <w:qFormat/>
    <w:pPr>
      <w:widowControl/>
      <w:spacing w:after="160" w:line="240" w:lineRule="exact"/>
      <w:jc w:val="left"/>
    </w:pPr>
    <w:rPr>
      <w:rFonts w:ascii="Verdana" w:eastAsia="楷体_GB2312" w:hAnsi="Verdana"/>
      <w:b/>
      <w:i/>
      <w:iCs/>
      <w:color w:val="000000"/>
      <w:sz w:val="20"/>
      <w:szCs w:val="20"/>
      <w:lang w:eastAsia="en-US"/>
    </w:rPr>
  </w:style>
  <w:style w:type="paragraph" w:customStyle="1" w:styleId="a9">
    <w:name w:val="标准"/>
    <w:basedOn w:val="Normal"/>
    <w:autoRedefine/>
    <w:qFormat/>
    <w:pPr>
      <w:adjustRightInd w:val="0"/>
      <w:spacing w:before="120" w:after="120" w:line="312" w:lineRule="atLeast"/>
      <w:textAlignment w:val="baseline"/>
    </w:pPr>
    <w:rPr>
      <w:rFonts w:ascii="宋体"/>
      <w:szCs w:val="20"/>
    </w:rPr>
  </w:style>
  <w:style w:type="character" w:customStyle="1" w:styleId="clh15">
    <w:name w:val="c lh15"/>
    <w:basedOn w:val="DefaultParagraphFont"/>
    <w:autoRedefine/>
    <w:qFormat/>
  </w:style>
  <w:style w:type="paragraph" w:customStyle="1" w:styleId="4">
    <w:name w:val="样式4"/>
    <w:basedOn w:val="Normal"/>
    <w:autoRedefine/>
    <w:qFormat/>
    <w:pPr>
      <w:numPr>
        <w:ilvl w:val="3"/>
        <w:numId w:val="1"/>
      </w:numPr>
    </w:pPr>
  </w:style>
  <w:style w:type="character" w:customStyle="1" w:styleId="f141">
    <w:name w:val="f141"/>
    <w:autoRedefine/>
    <w:qFormat/>
    <w:rPr>
      <w:sz w:val="21"/>
      <w:szCs w:val="21"/>
    </w:rPr>
  </w:style>
  <w:style w:type="paragraph" w:customStyle="1" w:styleId="ParaChar">
    <w:name w:val="默认段落字体 Para Char"/>
    <w:basedOn w:val="Normal"/>
    <w:autoRedefine/>
    <w:qFormat/>
    <w:pPr>
      <w:tabs>
        <w:tab w:val="left" w:pos="360"/>
        <w:tab w:val="left" w:pos="1008"/>
      </w:tabs>
      <w:ind w:left="420" w:hanging="420"/>
    </w:pPr>
    <w:rPr>
      <w:sz w:val="24"/>
    </w:rPr>
  </w:style>
  <w:style w:type="paragraph" w:customStyle="1" w:styleId="Char1CharCharChar">
    <w:name w:val="Char1 Char Char Char"/>
    <w:basedOn w:val="Normal"/>
    <w:autoRedefine/>
    <w:qFormat/>
    <w:rPr>
      <w:szCs w:val="20"/>
    </w:rPr>
  </w:style>
  <w:style w:type="character" w:customStyle="1" w:styleId="a10">
    <w:name w:val="文档结构图 字符"/>
    <w:basedOn w:val="DefaultParagraphFont"/>
    <w:link w:val="DocumentMap"/>
    <w:autoRedefine/>
    <w:semiHidden/>
    <w:qFormat/>
    <w:rPr>
      <w:rFonts w:ascii="Times New Roman" w:eastAsia="宋体" w:hAnsi="Times New Roman" w:cs="Times New Roman"/>
      <w:kern w:val="0"/>
      <w:szCs w:val="21"/>
      <w:shd w:val="clear" w:color="auto" w:fill="000080"/>
    </w:rPr>
  </w:style>
  <w:style w:type="paragraph" w:customStyle="1" w:styleId="CharCharCharChar">
    <w:name w:val="Char Char Char Char"/>
    <w:basedOn w:val="DocumentMap"/>
    <w:autoRedefine/>
    <w:qFormat/>
    <w:pPr>
      <w:adjustRightInd w:val="0"/>
      <w:snapToGrid w:val="0"/>
      <w:spacing w:line="360" w:lineRule="auto"/>
    </w:pPr>
    <w:rPr>
      <w:rFonts w:ascii="Tahoma" w:hAnsi="Tahoma"/>
      <w:sz w:val="24"/>
    </w:rPr>
  </w:style>
  <w:style w:type="character" w:customStyle="1" w:styleId="a11">
    <w:name w:val="批注文字 字符"/>
    <w:basedOn w:val="DefaultParagraphFont"/>
    <w:autoRedefine/>
    <w:qFormat/>
    <w:rPr>
      <w:rFonts w:ascii="Times New Roman" w:eastAsia="宋体" w:hAnsi="Times New Roman" w:cs="Times New Roman"/>
      <w:kern w:val="0"/>
      <w:szCs w:val="21"/>
    </w:rPr>
  </w:style>
  <w:style w:type="character" w:customStyle="1" w:styleId="a12">
    <w:name w:val="批注主题 字符"/>
    <w:basedOn w:val="a11"/>
    <w:link w:val="CommentSubject"/>
    <w:autoRedefine/>
    <w:semiHidden/>
    <w:qFormat/>
    <w:rPr>
      <w:rFonts w:ascii="Times New Roman" w:eastAsia="宋体" w:hAnsi="Times New Roman" w:cs="Times New Roman"/>
      <w:b/>
      <w:bCs/>
      <w:kern w:val="0"/>
      <w:szCs w:val="24"/>
      <w:lang w:val="zh-CN" w:eastAsia="zh-CN"/>
    </w:rPr>
  </w:style>
  <w:style w:type="character" w:customStyle="1" w:styleId="a13">
    <w:name w:val="批注框文本 字符"/>
    <w:basedOn w:val="DefaultParagraphFont"/>
    <w:link w:val="BalloonText"/>
    <w:autoRedefine/>
    <w:semiHidden/>
    <w:qFormat/>
    <w:rPr>
      <w:rFonts w:ascii="Times New Roman" w:eastAsia="宋体" w:hAnsi="Times New Roman" w:cs="Times New Roman"/>
      <w:kern w:val="0"/>
      <w:sz w:val="18"/>
      <w:szCs w:val="18"/>
    </w:rPr>
  </w:style>
  <w:style w:type="character" w:customStyle="1" w:styleId="31">
    <w:name w:val="正文文本 3 字符"/>
    <w:basedOn w:val="DefaultParagraphFont"/>
    <w:link w:val="BodyText3"/>
    <w:autoRedefine/>
    <w:qFormat/>
    <w:rPr>
      <w:rFonts w:ascii="Times New Roman" w:eastAsia="宋体" w:hAnsi="Times New Roman" w:cs="Times New Roman"/>
      <w:kern w:val="0"/>
      <w:sz w:val="16"/>
      <w:szCs w:val="16"/>
    </w:rPr>
  </w:style>
  <w:style w:type="character" w:customStyle="1" w:styleId="11">
    <w:name w:val="纯文本 字符1"/>
    <w:link w:val="PlainText"/>
    <w:autoRedefine/>
    <w:qFormat/>
    <w:rPr>
      <w:rFonts w:ascii="宋体" w:eastAsia="宋体" w:hAnsi="Courier New" w:cs="Times New Roman"/>
      <w:szCs w:val="20"/>
    </w:rPr>
  </w:style>
  <w:style w:type="paragraph" w:customStyle="1" w:styleId="a14">
    <w:name w:val="设计方案"/>
    <w:basedOn w:val="Normal"/>
    <w:autoRedefine/>
    <w:qFormat/>
    <w:pPr>
      <w:widowControl/>
      <w:spacing w:after="160" w:line="240" w:lineRule="exact"/>
      <w:jc w:val="left"/>
    </w:pPr>
    <w:rPr>
      <w:sz w:val="24"/>
      <w:szCs w:val="20"/>
    </w:rPr>
  </w:style>
  <w:style w:type="paragraph" w:customStyle="1" w:styleId="12">
    <w:name w:val="样式1"/>
    <w:basedOn w:val="Normal"/>
    <w:autoRedefine/>
    <w:qFormat/>
    <w:pPr>
      <w:tabs>
        <w:tab w:val="left" w:pos="425"/>
        <w:tab w:val="left" w:pos="709"/>
      </w:tabs>
      <w:adjustRightInd w:val="0"/>
      <w:ind w:left="425" w:hanging="425"/>
      <w:textAlignment w:val="baseline"/>
    </w:pPr>
    <w:rPr>
      <w:rFonts w:ascii="宋体" w:hAnsi="宋体"/>
      <w:szCs w:val="20"/>
    </w:rPr>
  </w:style>
  <w:style w:type="character" w:customStyle="1" w:styleId="21">
    <w:name w:val="标题 2 字符1"/>
    <w:link w:val="Heading2"/>
    <w:autoRedefine/>
    <w:qFormat/>
    <w:rPr>
      <w:rFonts w:ascii="Arial" w:eastAsia="黑体" w:hAnsi="Arial" w:cs="Times New Roman"/>
      <w:b/>
      <w:bCs/>
      <w:sz w:val="32"/>
      <w:szCs w:val="32"/>
      <w:lang w:val="zh-CN" w:eastAsia="zh-CN"/>
    </w:rPr>
  </w:style>
  <w:style w:type="character" w:customStyle="1" w:styleId="13">
    <w:name w:val="批注文字 字符1"/>
    <w:link w:val="CommentText"/>
    <w:autoRedefine/>
    <w:qFormat/>
    <w:rPr>
      <w:rFonts w:ascii="Times New Roman" w:eastAsia="宋体" w:hAnsi="Times New Roman" w:cs="Times New Roman"/>
      <w:szCs w:val="24"/>
      <w:lang w:val="zh-CN" w:eastAsia="zh-CN"/>
    </w:rPr>
  </w:style>
  <w:style w:type="character" w:customStyle="1" w:styleId="apple-converted-space">
    <w:name w:val="apple-converted-space"/>
    <w:autoRedefine/>
    <w:qFormat/>
  </w:style>
  <w:style w:type="character" w:customStyle="1" w:styleId="a15">
    <w:name w:val="标题 字符"/>
    <w:basedOn w:val="DefaultParagraphFont"/>
    <w:autoRedefine/>
    <w:uiPriority w:val="10"/>
    <w:qFormat/>
    <w:rPr>
      <w:rFonts w:asciiTheme="majorHAnsi" w:eastAsiaTheme="majorEastAsia" w:hAnsiTheme="majorHAnsi" w:cstheme="majorBidi"/>
      <w:b/>
      <w:bCs/>
      <w:kern w:val="0"/>
      <w:sz w:val="32"/>
      <w:szCs w:val="32"/>
    </w:rPr>
  </w:style>
  <w:style w:type="character" w:customStyle="1" w:styleId="14">
    <w:name w:val="标题 字符1"/>
    <w:link w:val="Title"/>
    <w:autoRedefine/>
    <w:qFormat/>
    <w:rPr>
      <w:rFonts w:ascii="Cambria" w:eastAsia="宋体" w:hAnsi="Cambria" w:cs="Times New Roman"/>
      <w:b/>
      <w:bCs/>
      <w:kern w:val="0"/>
      <w:sz w:val="32"/>
      <w:szCs w:val="32"/>
      <w:lang w:val="zh-CN" w:eastAsia="zh-CN"/>
    </w:rPr>
  </w:style>
  <w:style w:type="character" w:customStyle="1" w:styleId="Char">
    <w:name w:val="列出段落 Char"/>
    <w:link w:val="a1"/>
    <w:autoRedefine/>
    <w:uiPriority w:val="34"/>
    <w:qFormat/>
    <w:rPr>
      <w:szCs w:val="21"/>
    </w:rPr>
  </w:style>
  <w:style w:type="character" w:customStyle="1" w:styleId="a16">
    <w:name w:val="脚注文本 字符"/>
    <w:basedOn w:val="DefaultParagraphFont"/>
    <w:autoRedefine/>
    <w:uiPriority w:val="99"/>
    <w:semiHidden/>
    <w:qFormat/>
    <w:rPr>
      <w:rFonts w:ascii="Times New Roman" w:eastAsia="宋体" w:hAnsi="Times New Roman" w:cs="Times New Roman"/>
      <w:kern w:val="0"/>
      <w:sz w:val="18"/>
      <w:szCs w:val="18"/>
    </w:rPr>
  </w:style>
  <w:style w:type="character" w:customStyle="1" w:styleId="15">
    <w:name w:val="脚注文本 字符1"/>
    <w:link w:val="FootnoteText"/>
    <w:autoRedefine/>
    <w:qFormat/>
    <w:rPr>
      <w:rFonts w:ascii="Times New Roman" w:eastAsia="宋体" w:hAnsi="Times New Roman" w:cs="Times New Roman"/>
      <w:kern w:val="0"/>
      <w:sz w:val="18"/>
      <w:szCs w:val="18"/>
      <w:lang w:val="zh-CN" w:eastAsia="zh-CN"/>
    </w:rPr>
  </w:style>
  <w:style w:type="character" w:customStyle="1" w:styleId="a17">
    <w:name w:val="列表段落 字符"/>
    <w:link w:val="ListParagraph"/>
    <w:autoRedefine/>
    <w:uiPriority w:val="34"/>
    <w:qFormat/>
    <w:rPr>
      <w:rFonts w:ascii="Times New Roman" w:eastAsia="宋体" w:hAnsi="Times New Roman" w:cs="Times New Roman"/>
      <w:kern w:val="0"/>
      <w:szCs w:val="21"/>
    </w:rPr>
  </w:style>
  <w:style w:type="paragraph" w:customStyle="1" w:styleId="16">
    <w:name w:val="列出段落1"/>
    <w:basedOn w:val="Normal"/>
    <w:autoRedefine/>
    <w:uiPriority w:val="34"/>
    <w:qFormat/>
    <w:pPr>
      <w:ind w:firstLine="420" w:firstLineChars="200"/>
    </w:pPr>
  </w:style>
  <w:style w:type="character" w:customStyle="1" w:styleId="17">
    <w:name w:val="未处理的提及1"/>
    <w:basedOn w:val="DefaultParagraphFont"/>
    <w:autoRedefine/>
    <w:uiPriority w:val="99"/>
    <w:semiHidden/>
    <w:unhideWhenUsed/>
    <w:qFormat/>
    <w:rPr>
      <w:color w:val="605E5C"/>
      <w:shd w:val="clear" w:color="auto" w:fill="E1DFDD"/>
    </w:rPr>
  </w:style>
  <w:style w:type="character" w:customStyle="1" w:styleId="40">
    <w:name w:val="标题 4 字符"/>
    <w:basedOn w:val="DefaultParagraphFont"/>
    <w:link w:val="Heading4"/>
    <w:autoRedefine/>
    <w:qFormat/>
    <w:rPr>
      <w:rFonts w:ascii="等线 Light" w:eastAsia="等线 Light" w:hAnsi="等线 Light"/>
      <w:b/>
      <w:bCs/>
      <w:sz w:val="28"/>
      <w:szCs w:val="28"/>
    </w:rPr>
  </w:style>
  <w:style w:type="paragraph" w:customStyle="1" w:styleId="A18">
    <w:name w:val="正文 A"/>
    <w:autoRedefine/>
    <w:qFormat/>
    <w:pPr>
      <w:widowControl w:val="0"/>
      <w:pBdr>
        <w:top w:val="nil"/>
        <w:left w:val="nil"/>
        <w:bottom w:val="nil"/>
        <w:right w:val="nil"/>
        <w:between w:val="nil"/>
      </w:pBdr>
      <w:jc w:val="both"/>
    </w:pPr>
    <w:rPr>
      <w:rFonts w:ascii="Times New Roman" w:eastAsia="Times New Roman" w:hAnsi="Times New Roman" w:cs="Times New Roman"/>
      <w:color w:val="000000"/>
      <w:kern w:val="2"/>
      <w:sz w:val="21"/>
      <w:szCs w:val="21"/>
      <w:u w:val="none" w:color="000000"/>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7</TotalTime>
  <Pages>54</Pages>
  <Words>32703</Words>
  <Characters>34950</Characters>
  <Application>Microsoft Office Word</Application>
  <DocSecurity>0</DocSecurity>
  <Lines>316</Lines>
  <Paragraphs>89</Paragraphs>
  <ScaleCrop>false</ScaleCrop>
  <Company/>
  <LinksUpToDate>false</LinksUpToDate>
  <CharactersWithSpaces>37249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黎健明</dc:creator>
  <cp:lastModifiedBy>采联-李工</cp:lastModifiedBy>
  <cp:revision>3</cp:revision>
  <dcterms:created xsi:type="dcterms:W3CDTF">2022-07-20T10:36:00Z</dcterms:created>
  <dcterms:modified xsi:type="dcterms:W3CDTF">2024-08-14T06:30:30Z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8AEBA14D98014BDD8072855F8992D463_13</vt:lpwstr>
  </property>
  <property fmtid="{D5CDD505-2E9C-101B-9397-08002B2CF9AE}" pid="3" name="KSOProductBuildVer">
    <vt:lpwstr>2052-12.1.0.17133</vt:lpwstr>
  </property>
</Properties>
</file>