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bookmarkStart w:id="0" w:name="_GoBack"/>
      <w:bookmarkEnd w:id="0"/>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SZDL2023001815（CLF0123SZ12ZC63）</w:t>
      </w:r>
    </w:p>
    <w:p>
      <w:pPr>
        <w:pStyle w:val="BodyText"/>
        <w:snapToGrid w:val="0"/>
        <w:spacing w:after="0" w:line="360" w:lineRule="auto"/>
        <w:ind w:left="1556" w:hanging="989" w:leftChars="270" w:hangingChars="471"/>
        <w:rPr>
          <w:rFonts w:ascii="宋体" w:eastAsia="宋体" w:hAnsi="宋体" w:hint="eastAsia"/>
          <w:b/>
          <w:sz w:val="36"/>
          <w:szCs w:val="36"/>
          <w:highlight w:val="none"/>
          <w:lang w:eastAsia="zh-CN"/>
        </w:rPr>
      </w:pPr>
      <w:r>
        <w:rPr>
          <w:rFonts w:ascii="宋体" w:hAnsi="宋体" w:hint="eastAsia"/>
          <w:b/>
          <w:sz w:val="36"/>
          <w:szCs w:val="36"/>
          <w:highlight w:val="none"/>
        </w:rPr>
        <w:t>项目名称：</w:t>
      </w:r>
      <w:r>
        <w:rPr>
          <w:rFonts w:ascii="宋体" w:hAnsi="宋体" w:hint="eastAsia"/>
          <w:b/>
          <w:sz w:val="36"/>
          <w:szCs w:val="36"/>
          <w:highlight w:val="none"/>
          <w:lang w:eastAsia="zh-CN"/>
        </w:rPr>
        <w:t>功能材料与器件-磁控溅射仪</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w:t>
      </w:r>
      <w:r>
        <w:rPr>
          <w:rFonts w:ascii="仿宋" w:eastAsia="仿宋" w:hAnsi="仿宋" w:hint="eastAsia"/>
          <w:b/>
          <w:color w:val="000000" w:themeColor="text1"/>
          <w:sz w:val="44"/>
          <w:szCs w:val="44"/>
          <w:lang w:val="en-US" w:eastAsia="zh-CN"/>
          <w14:textFill>
            <w14:solidFill>
              <w14:schemeClr w14:val="tx1"/>
            </w14:solidFill>
          </w14:textFill>
        </w:rPr>
        <w:t>八</w:t>
      </w:r>
      <w:r>
        <w:rPr>
          <w:rFonts w:ascii="仿宋" w:eastAsia="仿宋" w:hAnsi="仿宋" w:hint="eastAsia"/>
          <w:b/>
          <w:color w:val="000000" w:themeColor="text1"/>
          <w:sz w:val="44"/>
          <w:szCs w:val="44"/>
          <w14:textFill>
            <w14:solidFill>
              <w14:schemeClr w14:val="tx1"/>
            </w14:solidFill>
          </w14:textFill>
        </w:rPr>
        <w:t>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投标人如需对项目提出询问或质疑，应按招标文件附件中的询问函和质疑函的格式提交。关于疫情期间政府采购供应商提起质疑、询问，我司答复质疑、询问原则上采用邮寄方式提交的相关说明。</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1" w:name="_Toc435115363"/>
      <w:bookmarkStart w:id="2" w:name="_Toc292267790"/>
      <w:bookmarkStart w:id="3" w:name="_Toc435114676"/>
      <w:bookmarkStart w:id="4" w:name="_Toc435115051"/>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目   录</w:t>
      </w:r>
    </w:p>
    <w:p>
      <w:pPr>
        <w:pStyle w:val="TOC1"/>
        <w:tabs>
          <w:tab w:val="right" w:leader="dot" w:pos="9170"/>
        </w:tabs>
        <w:rPr>
          <w:rFonts w:asciiTheme="minorHAnsi" w:hAnsiTheme="minorHAnsi"/>
          <w:noProof/>
          <w:sz w:val="22"/>
        </w:rPr>
      </w:pPr>
      <w:bookmarkEnd w:id="1"/>
      <w:bookmarkEnd w:id="2"/>
      <w:bookmarkEnd w:id="3"/>
      <w:bookmarkStart w:id="5" w:name="_Toc435514842"/>
      <w:r>
        <w:rPr>
          <w:rFonts w:ascii="宋体" w:eastAsia="宋体" w:hAnsi="宋体" w:cs="宋体" w:hint="eastAsia"/>
          <w:bCs w:val="0"/>
          <w:caps w:val="0"/>
          <w:sz w:val="28"/>
          <w:szCs w:val="28"/>
        </w:rPr>
        <w:fldChar w:fldCharType="begin"/>
      </w:r>
      <w:r>
        <w:rPr>
          <w:rFonts w:ascii="宋体" w:eastAsia="宋体" w:hAnsi="宋体" w:cs="宋体" w:hint="eastAsia"/>
          <w:bCs w:val="0"/>
          <w:caps w:val="0"/>
          <w:sz w:val="28"/>
          <w:szCs w:val="28"/>
        </w:rPr>
        <w:instrText xml:space="preserve"> TOC \o "1-3" \h \z \u </w:instrText>
      </w:r>
      <w:r>
        <w:rPr>
          <w:rFonts w:ascii="宋体" w:eastAsia="宋体" w:hAnsi="宋体" w:cs="宋体" w:hint="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w:t>
      </w:r>
      <w:r>
        <w:rPr>
          <w:rStyle w:val="Hyperlink"/>
          <w:rFonts w:asciiTheme="minorEastAsia" w:eastAsiaTheme="minorEastAsia" w:hAnsiTheme="minorEastAsia" w:cs="宋体" w:hint="eastAsia"/>
        </w:rPr>
        <w:t>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_Toc256000010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_Toc256000011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_Toc256000012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_Toc256000013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_Toc256000014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_Toc256000015 \h </w:instrText>
      </w:r>
      <w:r>
        <w:fldChar w:fldCharType="separate"/>
      </w:r>
      <w:r>
        <w:rPr>
          <w:rStyle w:val="Hyperlink"/>
        </w:rPr>
        <w:t>31</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_Toc256000016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_Toc256000017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_Toc256000018 \h </w:instrText>
      </w:r>
      <w:r>
        <w:fldChar w:fldCharType="separate"/>
      </w:r>
      <w:r>
        <w:rPr>
          <w:rStyle w:val="Hyperlink"/>
        </w:rPr>
        <w:t>41</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hint="eastAsia"/>
        </w:rPr>
        <w:t>第五章</w:t>
      </w:r>
      <w:r>
        <w:rPr>
          <w:rStyle w:val="Hyperlink"/>
          <w:rFonts w:hint="eastAsia"/>
        </w:rPr>
        <w:t xml:space="preserve"> 合同格式条款（仅供参考，具体以合同签订时间为准）</w:t>
      </w:r>
      <w:r>
        <w:rPr>
          <w:rStyle w:val="Hyperlink"/>
        </w:rPr>
        <w:tab/>
      </w:r>
      <w:r>
        <w:fldChar w:fldCharType="begin"/>
      </w:r>
      <w:r>
        <w:rPr>
          <w:rStyle w:val="Hyperlink"/>
        </w:rPr>
        <w:instrText xml:space="preserve"> PAGEREF _Toc256000019 \h </w:instrText>
      </w:r>
      <w:r>
        <w:fldChar w:fldCharType="separate"/>
      </w:r>
      <w:r>
        <w:rPr>
          <w:rStyle w:val="Hyperlink"/>
        </w:rPr>
        <w:t>46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int="eastAsia"/>
        </w:rPr>
        <w:t>一、</w:t>
      </w:r>
      <w:r>
        <w:rPr>
          <w:rStyle w:val="Hyperlink"/>
          <w:rFonts w:asciiTheme="minorHAnsi" w:hAnsiTheme="minorHAnsi"/>
          <w:noProof/>
          <w:sz w:val="22"/>
        </w:rPr>
        <w:tab/>
      </w:r>
      <w:r>
        <w:rPr>
          <w:rStyle w:val="Hyperlink"/>
          <w:rFonts w:ascii="宋体" w:hAnsi="宋体" w:cs="宋体" w:hint="eastAsia"/>
          <w:b/>
        </w:rPr>
        <w:t>采购标的物及合同金额</w:t>
      </w:r>
      <w:r>
        <w:rPr>
          <w:rStyle w:val="Hyperlink"/>
        </w:rPr>
        <w:tab/>
      </w:r>
      <w:r>
        <w:fldChar w:fldCharType="begin"/>
      </w:r>
      <w:r>
        <w:rPr>
          <w:rStyle w:val="Hyperlink"/>
        </w:rPr>
        <w:instrText xml:space="preserve"> PAGEREF _Toc256000020 \h </w:instrText>
      </w:r>
      <w:r>
        <w:fldChar w:fldCharType="separate"/>
      </w:r>
      <w:r>
        <w:rPr>
          <w:rStyle w:val="Hyperlink"/>
        </w:rPr>
        <w:t>46</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ascii="宋体" w:hAnsi="宋体" w:cs="宋体" w:hint="eastAsia"/>
          <w:b/>
        </w:rPr>
        <w:t>四、设备要求</w:t>
      </w:r>
      <w:r>
        <w:rPr>
          <w:rStyle w:val="Hyperlink"/>
        </w:rPr>
        <w:tab/>
      </w:r>
      <w:r>
        <w:fldChar w:fldCharType="begin"/>
      </w:r>
      <w:r>
        <w:rPr>
          <w:rStyle w:val="Hyperlink"/>
        </w:rPr>
        <w:instrText xml:space="preserve"> PAGEREF _Toc256000021 \h </w:instrText>
      </w:r>
      <w:r>
        <w:fldChar w:fldCharType="separate"/>
      </w:r>
      <w:r>
        <w:rPr>
          <w:rStyle w:val="Hyperlink"/>
        </w:rPr>
        <w:t>47</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ascii="宋体" w:hAnsi="宋体" w:cs="宋体" w:hint="eastAsia"/>
          <w:b/>
        </w:rPr>
        <w:t>五、质量要求：</w:t>
      </w:r>
      <w:r>
        <w:rPr>
          <w:rStyle w:val="Hyperlink"/>
        </w:rPr>
        <w:tab/>
      </w:r>
      <w:r>
        <w:fldChar w:fldCharType="begin"/>
      </w:r>
      <w:r>
        <w:rPr>
          <w:rStyle w:val="Hyperlink"/>
        </w:rPr>
        <w:instrText xml:space="preserve"> PAGEREF _Toc256000022 \h </w:instrText>
      </w:r>
      <w:r>
        <w:fldChar w:fldCharType="separate"/>
      </w:r>
      <w:r>
        <w:rPr>
          <w:rStyle w:val="Hyperlink"/>
        </w:rPr>
        <w:t>47</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ascii="宋体" w:hAnsi="宋体" w:cs="宋体" w:hint="eastAsia"/>
          <w:b/>
        </w:rPr>
        <w:t>六、交货期、交货方式及交货地点</w:t>
      </w:r>
      <w:r>
        <w:rPr>
          <w:rStyle w:val="Hyperlink"/>
        </w:rPr>
        <w:tab/>
      </w:r>
      <w:r>
        <w:fldChar w:fldCharType="begin"/>
      </w:r>
      <w:r>
        <w:rPr>
          <w:rStyle w:val="Hyperlink"/>
        </w:rPr>
        <w:instrText xml:space="preserve"> PAGEREF _Toc256000023 \h </w:instrText>
      </w:r>
      <w:r>
        <w:fldChar w:fldCharType="separate"/>
      </w:r>
      <w:r>
        <w:rPr>
          <w:rStyle w:val="Hyperlink"/>
        </w:rPr>
        <w:t>47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八、</w:t>
      </w:r>
      <w:r>
        <w:rPr>
          <w:rStyle w:val="Hyperlink"/>
          <w:rFonts w:asciiTheme="minorHAnsi" w:hAnsiTheme="minorHAnsi"/>
          <w:noProof/>
          <w:sz w:val="22"/>
        </w:rPr>
        <w:tab/>
      </w:r>
      <w:r>
        <w:rPr>
          <w:rStyle w:val="Hyperlink"/>
          <w:rFonts w:ascii="宋体" w:hAnsi="宋体" w:cs="宋体" w:hint="eastAsia"/>
          <w:b/>
        </w:rPr>
        <w:t>付款方式：</w:t>
      </w:r>
      <w:r>
        <w:rPr>
          <w:rStyle w:val="Hyperlink"/>
        </w:rPr>
        <w:tab/>
      </w:r>
      <w:r>
        <w:fldChar w:fldCharType="begin"/>
      </w:r>
      <w:r>
        <w:rPr>
          <w:rStyle w:val="Hyperlink"/>
        </w:rPr>
        <w:instrText xml:space="preserve"> PAGEREF _Toc256000024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Fonts w:ascii="宋体" w:hAnsi="宋体" w:cs="宋体" w:hint="eastAsia"/>
        </w:rPr>
        <w:t>合同签订后并收到乙方发票之日起</w:t>
      </w:r>
      <w:r>
        <w:rPr>
          <w:rStyle w:val="Hyperlink"/>
          <w:rFonts w:ascii="宋体" w:hAnsi="宋体" w:cs="宋体" w:hint="eastAsia"/>
        </w:rPr>
        <w:t>15</w:t>
      </w:r>
      <w:r>
        <w:rPr>
          <w:rStyle w:val="Hyperlink"/>
          <w:rFonts w:ascii="宋体" w:hAnsi="宋体" w:cs="宋体" w:hint="eastAsia"/>
        </w:rPr>
        <w:t>日内支付合同总额的</w:t>
      </w:r>
      <w:r>
        <w:rPr>
          <w:rStyle w:val="Hyperlink"/>
          <w:rFonts w:ascii="宋体" w:hAnsi="宋体" w:cs="宋体" w:hint="eastAsia"/>
        </w:rPr>
        <w:t>30</w:t>
      </w:r>
      <w:r>
        <w:rPr>
          <w:rStyle w:val="Hyperlink"/>
          <w:rFonts w:ascii="宋体" w:hAnsi="宋体" w:cs="宋体" w:hint="eastAsia"/>
        </w:rPr>
        <w:t>%，货到验收合格后之日起收到乙方发票之日起</w:t>
      </w:r>
      <w:r>
        <w:rPr>
          <w:rStyle w:val="Hyperlink"/>
          <w:rFonts w:ascii="宋体" w:hAnsi="宋体" w:cs="宋体" w:hint="eastAsia"/>
        </w:rPr>
        <w:t>15</w:t>
      </w:r>
      <w:r>
        <w:rPr>
          <w:rStyle w:val="Hyperlink"/>
          <w:rFonts w:ascii="宋体" w:hAnsi="宋体" w:cs="宋体" w:hint="eastAsia"/>
        </w:rPr>
        <w:t>日支付</w:t>
      </w:r>
      <w:r>
        <w:rPr>
          <w:rStyle w:val="Hyperlink"/>
          <w:rFonts w:ascii="宋体" w:hAnsi="宋体" w:cs="宋体" w:hint="eastAsia"/>
        </w:rPr>
        <w:t>65</w:t>
      </w:r>
      <w:r>
        <w:rPr>
          <w:rStyle w:val="Hyperlink"/>
          <w:rFonts w:ascii="宋体" w:hAnsi="宋体" w:cs="宋体" w:hint="eastAsia"/>
        </w:rPr>
        <w:t>%，质保期满/验收合格满1年后之日起乙方发票之日起</w:t>
      </w:r>
      <w:r>
        <w:rPr>
          <w:rStyle w:val="Hyperlink"/>
          <w:rFonts w:ascii="宋体" w:hAnsi="宋体" w:cs="宋体" w:hint="eastAsia"/>
        </w:rPr>
        <w:t>15</w:t>
      </w:r>
      <w:r>
        <w:rPr>
          <w:rStyle w:val="Hyperlink"/>
          <w:rFonts w:ascii="宋体" w:hAnsi="宋体" w:cs="宋体" w:hint="eastAsia"/>
        </w:rPr>
        <w:t>日支付</w:t>
      </w:r>
      <w:r>
        <w:rPr>
          <w:rStyle w:val="Hyperlink"/>
          <w:rFonts w:ascii="宋体" w:hAnsi="宋体" w:cs="宋体" w:hint="eastAsia"/>
        </w:rPr>
        <w:t>5</w:t>
      </w:r>
      <w:r>
        <w:rPr>
          <w:rStyle w:val="Hyperlink"/>
          <w:rFonts w:ascii="宋体" w:hAnsi="宋体" w:cs="宋体" w:hint="eastAsia"/>
        </w:rPr>
        <w:t>%。甲方付款前，乙方须提前</w:t>
      </w:r>
      <w:r>
        <w:rPr>
          <w:rStyle w:val="Hyperlink"/>
          <w:rFonts w:ascii="宋体" w:hAnsi="宋体" w:cs="宋体" w:hint="eastAsia"/>
        </w:rPr>
        <w:t>15</w:t>
      </w:r>
      <w:r>
        <w:rPr>
          <w:rStyle w:val="Hyperlink"/>
          <w:rFonts w:ascii="宋体" w:hAnsi="宋体" w:cs="宋体" w:hint="eastAsia"/>
        </w:rPr>
        <w:t>天开具合法发票交付甲方，逾期开具发票的，付款时间顺延。</w:t>
      </w:r>
      <w:r>
        <w:rPr>
          <w:rStyle w:val="Hyperlink"/>
        </w:rPr>
        <w:tab/>
      </w:r>
      <w:r>
        <w:fldChar w:fldCharType="begin"/>
      </w:r>
      <w:r>
        <w:rPr>
          <w:rStyle w:val="Hyperlink"/>
        </w:rPr>
        <w:instrText xml:space="preserve"> PAGEREF _Toc256000025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ascii="宋体" w:hAnsi="宋体" w:cs="宋体" w:hint="eastAsia"/>
          <w:b/>
        </w:rPr>
        <w:t>九、</w:t>
      </w:r>
      <w:r>
        <w:rPr>
          <w:rStyle w:val="Hyperlink"/>
          <w:rFonts w:ascii="宋体" w:hAnsi="宋体" w:cs="宋体" w:hint="eastAsia"/>
          <w:b/>
        </w:rPr>
        <w:t>质保期及售后服务要求</w:t>
      </w:r>
      <w:r>
        <w:rPr>
          <w:rStyle w:val="Hyperlink"/>
        </w:rPr>
        <w:tab/>
      </w:r>
      <w:r>
        <w:fldChar w:fldCharType="begin"/>
      </w:r>
      <w:r>
        <w:rPr>
          <w:rStyle w:val="Hyperlink"/>
        </w:rPr>
        <w:instrText xml:space="preserve"> PAGEREF _Toc256000026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ascii="宋体" w:hAnsi="宋体" w:cs="宋体" w:hint="eastAsia"/>
          <w:b/>
        </w:rPr>
        <w:t>十、检验和验收</w:t>
      </w:r>
      <w:r>
        <w:rPr>
          <w:rStyle w:val="Hyperlink"/>
        </w:rPr>
        <w:tab/>
      </w:r>
      <w:r>
        <w:fldChar w:fldCharType="begin"/>
      </w:r>
      <w:r>
        <w:rPr>
          <w:rStyle w:val="Hyperlink"/>
        </w:rPr>
        <w:instrText xml:space="preserve"> PAGEREF _Toc256000027 \h </w:instrText>
      </w:r>
      <w:r>
        <w:fldChar w:fldCharType="separate"/>
      </w:r>
      <w:r>
        <w:rPr>
          <w:rStyle w:val="Hyperlink"/>
        </w:rPr>
        <w:t>48</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_Toc256000028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_Toc256000029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_Toc256000030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_Toc256000031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_Toc256000032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_Toc256000033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_Toc256000034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_Toc256000035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_Toc256000036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_Toc256000037 \h </w:instrText>
      </w:r>
      <w:r>
        <w:fldChar w:fldCharType="separate"/>
      </w:r>
      <w:r>
        <w:rPr>
          <w:rStyle w:val="Hyperlink"/>
        </w:rPr>
        <w:t>61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_Toc256000038 \h </w:instrText>
      </w:r>
      <w:r>
        <w:fldChar w:fldCharType="separate"/>
      </w:r>
      <w:r>
        <w:rPr>
          <w:rStyle w:val="Hyperlink"/>
        </w:rPr>
        <w:t>62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_Toc256000039 \h </w:instrText>
      </w:r>
      <w:r>
        <w:fldChar w:fldCharType="separate"/>
      </w:r>
      <w:r>
        <w:rPr>
          <w:rStyle w:val="Hyperlink"/>
        </w:rPr>
        <w:t>62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（十二）</w:t>
      </w:r>
      <w:r>
        <w:rPr>
          <w:rStyle w:val="Hyperlink"/>
          <w:rFonts w:asciiTheme="minorHAnsi" w:hAnsiTheme="minorHAnsi"/>
          <w:noProof/>
          <w:sz w:val="22"/>
        </w:rPr>
        <w:tab/>
      </w:r>
      <w:r>
        <w:rPr>
          <w:rStyle w:val="Hyperlink"/>
          <w:rFonts w:ascii="宋体" w:hAnsi="宋体" w:hint="eastAsia"/>
        </w:rPr>
        <w:t>声明函</w:t>
      </w:r>
      <w:r>
        <w:rPr>
          <w:rStyle w:val="Hyperlink"/>
        </w:rPr>
        <w:tab/>
      </w:r>
      <w:r>
        <w:fldChar w:fldCharType="begin"/>
      </w:r>
      <w:r>
        <w:rPr>
          <w:rStyle w:val="Hyperlink"/>
        </w:rPr>
        <w:instrText xml:space="preserve"> PAGEREF _Toc256000040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业绩</w:t>
      </w:r>
      <w:r>
        <w:rPr>
          <w:rStyle w:val="Hyperlink"/>
        </w:rPr>
        <w:tab/>
      </w:r>
      <w:r>
        <w:fldChar w:fldCharType="begin"/>
      </w:r>
      <w:r>
        <w:rPr>
          <w:rStyle w:val="Hyperlink"/>
        </w:rPr>
        <w:instrText xml:space="preserve"> PAGEREF _Toc256000041 \h </w:instrText>
      </w:r>
      <w:r>
        <w:fldChar w:fldCharType="separate"/>
      </w:r>
      <w:r>
        <w:rPr>
          <w:rStyle w:val="Hyperlink"/>
        </w:rPr>
        <w:t>65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_Toc256000042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_Toc256000043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_Toc256000044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_Toc256000045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_Toc256000046 \h </w:instrText>
      </w:r>
      <w:r>
        <w:fldChar w:fldCharType="separate"/>
      </w:r>
      <w:r>
        <w:rPr>
          <w:rStyle w:val="Hyperlink"/>
        </w:rPr>
        <w:t>70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_Toc256000047 \h </w:instrText>
      </w:r>
      <w:r>
        <w:fldChar w:fldCharType="separate"/>
      </w:r>
      <w:r>
        <w:rPr>
          <w:rStyle w:val="Hyperlink"/>
        </w:rPr>
        <w:t>71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技术规格偏离表</w:t>
      </w:r>
      <w:r>
        <w:rPr>
          <w:rStyle w:val="Hyperlink"/>
        </w:rPr>
        <w:tab/>
      </w:r>
      <w:r>
        <w:fldChar w:fldCharType="begin"/>
      </w:r>
      <w:r>
        <w:rPr>
          <w:rStyle w:val="Hyperlink"/>
        </w:rPr>
        <w:instrText xml:space="preserve"> PAGEREF _Toc256000048 \h </w:instrText>
      </w:r>
      <w:r>
        <w:fldChar w:fldCharType="separate"/>
      </w:r>
      <w:r>
        <w:rPr>
          <w:rStyle w:val="Hyperlink"/>
        </w:rPr>
        <w:t>74</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用户需求书商务条款响应一览表</w:t>
      </w:r>
      <w:r>
        <w:rPr>
          <w:rStyle w:val="Hyperlink"/>
        </w:rPr>
        <w:tab/>
      </w:r>
      <w:r>
        <w:fldChar w:fldCharType="begin"/>
      </w:r>
      <w:r>
        <w:rPr>
          <w:rStyle w:val="Hyperlink"/>
        </w:rPr>
        <w:instrText xml:space="preserve"> PAGEREF _Toc256000049 \h </w:instrText>
      </w:r>
      <w:r>
        <w:fldChar w:fldCharType="separate"/>
      </w:r>
      <w:r>
        <w:rPr>
          <w:rStyle w:val="Hyperlink"/>
        </w:rPr>
        <w:t>75</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_Toc256000050 \h </w:instrText>
      </w:r>
      <w:r>
        <w:fldChar w:fldCharType="separate"/>
      </w:r>
      <w:r>
        <w:rPr>
          <w:rStyle w:val="Hyperlink"/>
        </w:rPr>
        <w:t>76</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_Toc256000051 \h </w:instrText>
      </w:r>
      <w:r>
        <w:fldChar w:fldCharType="separate"/>
      </w:r>
      <w:r>
        <w:rPr>
          <w:rStyle w:val="Hyperlink"/>
        </w:rPr>
        <w:t>78</w:t>
      </w:r>
      <w:r>
        <w:fldChar w:fldCharType="end"/>
      </w:r>
      <w:r>
        <w:fldChar w:fldCharType="end"/>
      </w:r>
    </w:p>
    <w:p>
      <w:pPr>
        <w:spacing w:line="360" w:lineRule="auto"/>
        <w:jc w:val="center"/>
        <w:rPr>
          <w:rFonts w:ascii="宋体" w:eastAsia="宋体" w:hAnsi="宋体" w:cs="宋体" w:hint="eastAsia"/>
          <w:bCs/>
          <w:caps/>
          <w:sz w:val="28"/>
          <w:szCs w:val="28"/>
        </w:rPr>
      </w:pPr>
      <w:r>
        <w:rPr>
          <w:rFonts w:ascii="宋体" w:eastAsia="宋体" w:hAnsi="宋体" w:cs="宋体" w:hint="eastAsia"/>
          <w:bCs/>
          <w:caps/>
          <w:sz w:val="28"/>
          <w:szCs w:val="28"/>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10049"/>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4"/>
      <w:bookmarkEnd w:id="5"/>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lang w:eastAsia="zh-CN"/>
        </w:rPr>
        <w:t>功能材料与器件-磁控溅射仪</w:t>
      </w:r>
      <w:r>
        <w:rPr>
          <w:rFonts w:asciiTheme="minorEastAsia" w:eastAsiaTheme="minorEastAsia" w:hAnsiTheme="minorEastAsia" w:hint="eastAsia"/>
          <w:sz w:val="24"/>
        </w:rPr>
        <w:t>的潜在投标人应在（</w:t>
      </w:r>
      <w:r>
        <w:rPr>
          <w:rFonts w:asciiTheme="minorEastAsia" w:eastAsiaTheme="minorEastAsia" w:hAnsiTheme="minorEastAsia" w:hint="eastAsia"/>
          <w:i/>
          <w:sz w:val="24"/>
        </w:rPr>
        <w:t>本公告附件中</w:t>
      </w:r>
      <w:r>
        <w:rPr>
          <w:rFonts w:asciiTheme="minorEastAsia" w:eastAsiaTheme="minorEastAsia" w:hAnsiTheme="minorEastAsia" w:hint="eastAsia"/>
          <w:sz w:val="24"/>
        </w:rPr>
        <w:t>）获取招标文件，并于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11</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14</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45</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CN"/>
        </w:rPr>
        <w:t>（</w:t>
      </w:r>
      <w:r>
        <w:rPr>
          <w:rFonts w:asciiTheme="minorEastAsia" w:eastAsiaTheme="minorEastAsia" w:hAnsiTheme="minorEastAsia" w:hint="eastAsia"/>
          <w:sz w:val="24"/>
        </w:rPr>
        <w:t>北京时</w:t>
      </w:r>
      <w:r>
        <w:rPr>
          <w:rFonts w:asciiTheme="minorEastAsia" w:eastAsiaTheme="minorEastAsia" w:hAnsiTheme="minorEastAsia" w:hint="eastAsia"/>
          <w:bCs/>
          <w:sz w:val="24"/>
        </w:rPr>
        <w:t>间）前网上递交投标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10" w:name="_Toc35393621"/>
      <w:bookmarkStart w:id="11" w:name="_Toc217"/>
      <w:bookmarkStart w:id="12" w:name="_Toc35393790"/>
      <w:bookmarkStart w:id="13" w:name="_Toc28359079"/>
      <w:bookmarkStart w:id="14" w:name="_Toc10508"/>
      <w:bookmarkStart w:id="15" w:name="_Toc28359002"/>
      <w:bookmarkStart w:id="16" w:name="_Hlk24379207"/>
      <w:bookmarkStart w:id="17" w:name="_Toc256000001"/>
      <w:r>
        <w:rPr>
          <w:rFonts w:asciiTheme="minorEastAsia" w:eastAsiaTheme="minorEastAsia" w:hAnsiTheme="minorEastAsia" w:cs="宋体" w:hint="eastAsia"/>
          <w:b w:val="0"/>
          <w:sz w:val="24"/>
          <w:szCs w:val="24"/>
        </w:rPr>
        <w:t>一、项目基本情况</w:t>
      </w:r>
      <w:bookmarkEnd w:id="17"/>
      <w:bookmarkEnd w:id="10"/>
      <w:bookmarkEnd w:id="11"/>
      <w:bookmarkEnd w:id="12"/>
      <w:bookmarkEnd w:id="13"/>
      <w:bookmarkEnd w:id="14"/>
      <w:bookmarkEnd w:id="15"/>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SZDL2023001815（CLF0123SZ12ZC63）</w:t>
      </w:r>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（二）项目名称：</w:t>
      </w:r>
      <w:r>
        <w:rPr>
          <w:rFonts w:asciiTheme="minorEastAsia" w:eastAsiaTheme="minorEastAsia" w:hAnsiTheme="minorEastAsia" w:hint="eastAsia"/>
          <w:sz w:val="24"/>
          <w:lang w:eastAsia="zh-CN"/>
        </w:rPr>
        <w:t>功能材料与器件-磁控溅射仪</w:t>
      </w:r>
    </w:p>
    <w:p>
      <w:pPr>
        <w:spacing w:line="360" w:lineRule="auto"/>
        <w:ind w:firstLine="420" w:firstLineChars="200"/>
        <w:rPr>
          <w:rFonts w:asciiTheme="minorEastAsia" w:eastAsiaTheme="minorEastAsia" w:hAnsiTheme="minorEastAsia"/>
          <w:sz w:val="24"/>
        </w:rPr>
      </w:pPr>
      <w:bookmarkEnd w:id="16"/>
      <w:r>
        <w:rPr>
          <w:rFonts w:asciiTheme="minorEastAsia" w:eastAsiaTheme="minorEastAsia" w:hAnsiTheme="minorEastAsia" w:hint="eastAsia"/>
          <w:sz w:val="24"/>
        </w:rPr>
        <w:t>（三）预算金额：人民币151.20万元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（四）最高限价：人民币151.20万元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（六）合同履行期限：签订合同后 210 天（日历日）内交货</w:t>
      </w:r>
      <w:r>
        <w:rPr>
          <w:rFonts w:ascii="宋体" w:hAnsi="宋体" w:cs="宋体" w:hint="eastAsia"/>
          <w:sz w:val="24"/>
        </w:rPr>
        <w:t>。</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（八）不</w:t>
      </w:r>
      <w:r>
        <w:rPr>
          <w:rFonts w:ascii="宋体" w:hAnsi="宋体" w:cs="宋体" w:hint="eastAsia"/>
          <w:kern w:val="0"/>
          <w:sz w:val="24"/>
        </w:rPr>
        <w:t>接受投标人选用进口产品参与投标。</w:t>
      </w:r>
      <w:bookmarkStart w:id="18"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8"/>
      <w:r>
        <w:rPr>
          <w:rFonts w:ascii="宋体" w:hint="eastAsia"/>
          <w:bCs/>
          <w:sz w:val="24"/>
        </w:rPr>
        <w:t>。</w:t>
      </w:r>
      <w:bookmarkEnd w:id="9"/>
      <w:bookmarkStart w:id="19" w:name="_Hlk65850659"/>
      <w:bookmarkStart w:id="20" w:name="_Toc28359003"/>
      <w:bookmarkStart w:id="21" w:name="_Toc35393791"/>
      <w:bookmarkStart w:id="22" w:name="_Toc35393622"/>
      <w:bookmarkStart w:id="23" w:name="_Toc28359080"/>
    </w:p>
    <w:p>
      <w:pPr>
        <w:pStyle w:val="Heading2"/>
        <w:adjustRightInd w:val="0"/>
        <w:snapToGrid w:val="0"/>
        <w:spacing w:line="360" w:lineRule="auto"/>
        <w:rPr>
          <w:rFonts w:asciiTheme="minorEastAsia" w:eastAsiaTheme="minorEastAsia" w:hAnsiTheme="minorEastAsia" w:cs="宋体"/>
          <w:b w:val="0"/>
          <w:sz w:val="24"/>
          <w:szCs w:val="24"/>
        </w:rPr>
      </w:pPr>
      <w:bookmarkEnd w:id="19"/>
      <w:bookmarkStart w:id="24" w:name="_Toc944"/>
      <w:bookmarkStart w:id="25" w:name="_Toc30403"/>
      <w:bookmarkStart w:id="26" w:name="_Toc256000002"/>
      <w:r>
        <w:rPr>
          <w:rFonts w:asciiTheme="minorEastAsia" w:eastAsiaTheme="minorEastAsia" w:hAnsiTheme="minorEastAsia" w:cs="宋体" w:hint="eastAsia"/>
          <w:b w:val="0"/>
          <w:sz w:val="24"/>
          <w:szCs w:val="24"/>
        </w:rPr>
        <w:t>二、供应商的资格要求</w:t>
      </w:r>
      <w:bookmarkEnd w:id="26"/>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rPr>
      </w:pPr>
      <w:r>
        <w:rPr>
          <w:rFonts w:ascii="宋体" w:eastAsia="宋体" w:hAnsi="宋体" w:cs="宋体" w:hint="eastAsia"/>
          <w:sz w:val="24"/>
          <w:szCs w:val="24"/>
        </w:rPr>
        <w:t>（一）满足《中华人民共和国政府采购法》第二十二条规定（要求投标人提供营业执照或事业单位法人证等法人证明扫描件以及《政府采购投标及履约承诺函》）。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single"/>
        </w:rPr>
      </w:pPr>
      <w:bookmarkStart w:id="27" w:name="_Toc28359081"/>
      <w:bookmarkStart w:id="28" w:name="_Toc28359004"/>
      <w:r>
        <w:rPr>
          <w:rFonts w:ascii="宋体" w:eastAsia="宋体" w:hAnsi="宋体" w:cs="宋体" w:hint="eastAsia"/>
          <w:sz w:val="24"/>
          <w:szCs w:val="24"/>
        </w:rPr>
        <w:t>（二）落实政府采购政策需满足的资格要求：无。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i/>
          <w:iCs/>
          <w:sz w:val="24"/>
          <w:szCs w:val="24"/>
          <w:u w:val="single"/>
        </w:rPr>
      </w:pPr>
      <w:r>
        <w:rPr>
          <w:rFonts w:ascii="宋体" w:eastAsia="宋体" w:hAnsi="宋体" w:cs="宋体" w:hint="eastAsia"/>
          <w:sz w:val="24"/>
          <w:szCs w:val="24"/>
        </w:rPr>
        <w:t>（三）本项目的特定资格要求：</w:t>
      </w:r>
      <w:bookmarkStart w:id="29" w:name="_Hlk41992228"/>
      <w:r>
        <w:rPr>
          <w:rFonts w:ascii="宋体" w:eastAsia="宋体" w:hAnsi="宋体" w:cs="宋体" w:hint="eastAsia"/>
          <w:sz w:val="24"/>
          <w:szCs w:val="24"/>
        </w:rPr>
        <w:t>无</w:t>
      </w:r>
      <w:r>
        <w:rPr>
          <w:rStyle w:val="CommentReference"/>
          <w:rFonts w:ascii="宋体" w:eastAsia="宋体" w:hAnsi="宋体" w:cs="宋体" w:hint="eastAsia"/>
          <w:sz w:val="24"/>
          <w:szCs w:val="24"/>
        </w:rPr>
        <w:t>。</w:t>
      </w:r>
      <w:bookmarkEnd w:id="2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rPr>
      </w:pPr>
      <w:r>
        <w:rPr>
          <w:rFonts w:ascii="宋体" w:eastAsia="宋体" w:hAnsi="宋体" w:cs="宋体" w:hint="eastAsia"/>
          <w:sz w:val="24"/>
          <w:szCs w:val="24"/>
        </w:rPr>
        <w:t>（四）参与本项目投标前三年内，在经营活动中没有重大违法记录（由供应商在《政府采购投标及履约承诺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rPr>
      </w:pPr>
      <w:bookmarkStart w:id="30" w:name="_Hlk50363588"/>
      <w:r>
        <w:rPr>
          <w:rFonts w:ascii="宋体" w:eastAsia="宋体" w:hAnsi="宋体" w:cs="宋体" w:hint="eastAsia"/>
          <w:sz w:val="24"/>
          <w:szCs w:val="24"/>
        </w:rPr>
        <w:t>（五）参与本项目政府采购活动时不存在被有关部门禁止参与政府采购活动且在有效期内的情况（由供应商在《政府采购投标及履约承诺函》中作出声明）。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rPr>
      </w:pPr>
      <w:bookmarkStart w:id="31" w:name="_Hlk50362743"/>
      <w:r>
        <w:rPr>
          <w:rFonts w:ascii="宋体" w:eastAsia="宋体" w:hAnsi="宋体" w:cs="宋体" w:hint="eastAsia"/>
          <w:sz w:val="24"/>
          <w:szCs w:val="24"/>
        </w:rPr>
        <w:t>（六）</w:t>
      </w:r>
      <w:r>
        <w:rPr>
          <w:rFonts w:ascii="宋体" w:eastAsia="宋体" w:hAnsi="宋体" w:cs="宋体" w:hint="eastAsia"/>
          <w:bCs/>
          <w:sz w:val="24"/>
          <w:szCs w:val="24"/>
        </w:rPr>
        <w:t>为采购项目提供整体设计、规范编制或者项目管理、监理、检测等服务的供应商，不得再参加该采购项目同一合同项下的其他采购活动（</w:t>
      </w:r>
      <w:r>
        <w:rPr>
          <w:rFonts w:ascii="宋体" w:eastAsia="宋体" w:hAnsi="宋体" w:cs="宋体" w:hint="eastAsia"/>
          <w:sz w:val="24"/>
          <w:szCs w:val="24"/>
        </w:rPr>
        <w:t>由供应商在《政府采购投标及履约承诺函》中作出声明</w:t>
      </w:r>
      <w:r>
        <w:rPr>
          <w:rFonts w:ascii="宋体" w:eastAsia="宋体" w:hAnsi="宋体" w:cs="宋体" w:hint="eastAsia"/>
          <w:bCs/>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sz w:val="24"/>
          <w:szCs w:val="24"/>
        </w:rPr>
        <w:t>（七）</w:t>
      </w:r>
      <w:r>
        <w:rPr>
          <w:rFonts w:ascii="宋体" w:eastAsia="宋体" w:hAnsi="宋体" w:cs="宋体" w:hint="eastAsia"/>
          <w:bCs/>
          <w:sz w:val="24"/>
          <w:szCs w:val="24"/>
        </w:rPr>
        <w:t>单位负责人为同一人或者存在直接控股、管理关系的不同供应商，不得参加同一合同项下的政府采购活动（</w:t>
      </w:r>
      <w:r>
        <w:rPr>
          <w:rFonts w:ascii="宋体" w:eastAsia="宋体" w:hAnsi="宋体" w:cs="宋体" w:hint="eastAsia"/>
          <w:sz w:val="24"/>
          <w:szCs w:val="24"/>
        </w:rPr>
        <w:t>由供应商在《政府采购投标及履约承诺函》中作出声明</w:t>
      </w:r>
      <w:r>
        <w:rPr>
          <w:rFonts w:ascii="宋体" w:eastAsia="宋体" w:hAnsi="宋体" w:cs="宋体" w:hint="eastAsia"/>
          <w:bCs/>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rPr>
      </w:pPr>
      <w:r>
        <w:rPr>
          <w:rFonts w:ascii="宋体" w:eastAsia="宋体" w:hAnsi="宋体" w:cs="宋体" w:hint="eastAsia"/>
          <w:sz w:val="24"/>
          <w:szCs w:val="24"/>
        </w:rPr>
        <w:t>（八）未</w:t>
      </w:r>
      <w:bookmarkStart w:id="32" w:name="_Hlk41992259"/>
      <w:r>
        <w:rPr>
          <w:rFonts w:ascii="宋体" w:eastAsia="宋体" w:hAnsi="宋体" w:cs="宋体" w:hint="eastAsia"/>
          <w:sz w:val="24"/>
          <w:szCs w:val="24"/>
        </w:rPr>
        <w:t>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2"/>
      <w:r>
        <w:rPr>
          <w:rFonts w:ascii="宋体" w:eastAsia="宋体" w:hAnsi="宋体" w:cs="宋体" w:hint="eastAsia"/>
          <w:sz w:val="24"/>
          <w:szCs w:val="24"/>
        </w:rPr>
        <w:t xml:space="preserve"> </w:t>
      </w:r>
    </w:p>
    <w:p>
      <w:pPr>
        <w:pStyle w:val="PlainText"/>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eastAsia="宋体" w:hAnsi="宋体" w:cs="宋体" w:hint="eastAsia"/>
          <w:sz w:val="24"/>
          <w:szCs w:val="24"/>
          <w:lang w:val="en-US" w:eastAsia="zh-CN"/>
        </w:rPr>
      </w:pPr>
      <w:r>
        <w:rPr>
          <w:rFonts w:ascii="宋体" w:eastAsia="宋体" w:hAnsi="宋体" w:cs="宋体" w:hint="eastAsia"/>
          <w:sz w:val="24"/>
          <w:szCs w:val="24"/>
        </w:rPr>
        <w:t>（</w:t>
      </w:r>
      <w:r>
        <w:rPr>
          <w:rFonts w:ascii="宋体" w:eastAsia="宋体" w:hAnsi="宋体" w:cs="宋体" w:hint="eastAsia"/>
          <w:sz w:val="24"/>
          <w:szCs w:val="24"/>
          <w:lang w:val="en-US" w:eastAsia="zh-CN"/>
        </w:rPr>
        <w:t>九</w:t>
      </w:r>
      <w:r>
        <w:rPr>
          <w:rFonts w:ascii="宋体" w:eastAsia="宋体" w:hAnsi="宋体" w:cs="宋体" w:hint="eastAsia"/>
          <w:sz w:val="24"/>
          <w:szCs w:val="24"/>
        </w:rPr>
        <w:t>）本项目不接受联合体投标</w:t>
      </w:r>
      <w:r>
        <w:rPr>
          <w:rFonts w:ascii="宋体" w:eastAsia="宋体" w:hAnsi="宋体" w:cs="宋体" w:hint="eastAsia"/>
          <w:sz w:val="24"/>
          <w:szCs w:val="24"/>
          <w:lang w:eastAsia="zh-CN"/>
        </w:rPr>
        <w:t>，</w:t>
      </w:r>
      <w:r>
        <w:rPr>
          <w:rFonts w:ascii="宋体" w:eastAsia="宋体" w:hAnsi="宋体" w:cs="宋体" w:hint="eastAsia"/>
          <w:sz w:val="24"/>
          <w:szCs w:val="24"/>
          <w:lang w:val="en-US" w:eastAsia="zh-CN"/>
        </w:rPr>
        <w:t>不允许分包、转包。</w:t>
      </w:r>
    </w:p>
    <w:p>
      <w:pPr>
        <w:pStyle w:val="PlainText"/>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（十）不接受投标人选用进口产品参与投标。</w:t>
      </w:r>
    </w:p>
    <w:p>
      <w:pPr>
        <w:pStyle w:val="Heading2"/>
        <w:adjustRightInd w:val="0"/>
        <w:snapToGrid w:val="0"/>
        <w:spacing w:line="360" w:lineRule="auto"/>
        <w:rPr>
          <w:rFonts w:asciiTheme="minorEastAsia" w:eastAsiaTheme="minorEastAsia" w:hAnsiTheme="minorEastAsia" w:cs="宋体"/>
          <w:b w:val="0"/>
          <w:sz w:val="24"/>
          <w:szCs w:val="24"/>
        </w:rPr>
      </w:pPr>
      <w:bookmarkEnd w:id="30"/>
      <w:bookmarkEnd w:id="31"/>
      <w:bookmarkStart w:id="33" w:name="_Toc35393792"/>
      <w:bookmarkStart w:id="34" w:name="_Toc10347"/>
      <w:bookmarkStart w:id="35" w:name="_Toc32420"/>
      <w:bookmarkStart w:id="36" w:name="_Toc35393623"/>
      <w:bookmarkStart w:id="37" w:name="_Toc256000003"/>
      <w:r>
        <w:rPr>
          <w:rFonts w:asciiTheme="minorEastAsia" w:eastAsiaTheme="minorEastAsia" w:hAnsiTheme="minorEastAsia" w:cs="宋体" w:hint="eastAsia"/>
          <w:b w:val="0"/>
          <w:sz w:val="24"/>
          <w:szCs w:val="24"/>
        </w:rPr>
        <w:t>三、获取招标文件</w:t>
      </w:r>
      <w:bookmarkEnd w:id="37"/>
      <w:bookmarkEnd w:id="27"/>
      <w:bookmarkEnd w:id="28"/>
      <w:bookmarkEnd w:id="33"/>
      <w:bookmarkEnd w:id="34"/>
      <w:bookmarkEnd w:id="35"/>
      <w:bookmarkEnd w:id="3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rPr>
      </w:pPr>
      <w:bookmarkStart w:id="38" w:name="_Toc28359082"/>
      <w:bookmarkStart w:id="39" w:name="_Toc28359005"/>
      <w:bookmarkStart w:id="40" w:name="_Toc35393793"/>
      <w:bookmarkStart w:id="41" w:name="_Toc35393624"/>
      <w:r>
        <w:rPr>
          <w:rFonts w:ascii="宋体" w:eastAsia="宋体" w:hAnsi="宋体" w:cs="宋体" w:hint="eastAsia"/>
          <w:sz w:val="24"/>
          <w:szCs w:val="24"/>
        </w:rPr>
        <w:t>时间：</w:t>
      </w:r>
      <w:r>
        <w:rPr>
          <w:rFonts w:ascii="宋体" w:eastAsia="宋体" w:hAnsi="宋体" w:cs="宋体" w:hint="eastAsia"/>
          <w:sz w:val="24"/>
          <w:szCs w:val="24"/>
          <w:lang w:val="en-US" w:eastAsia="zh-CN"/>
        </w:rPr>
        <w:t>2023</w:t>
      </w:r>
      <w:r>
        <w:rPr>
          <w:rFonts w:ascii="宋体" w:eastAsia="宋体" w:hAnsi="宋体" w:cs="宋体" w:hint="eastAsia"/>
          <w:sz w:val="24"/>
          <w:szCs w:val="24"/>
        </w:rPr>
        <w:t>年</w:t>
      </w:r>
      <w:r>
        <w:rPr>
          <w:rFonts w:ascii="宋体" w:eastAsia="宋体" w:hAnsi="宋体" w:cs="宋体" w:hint="eastAsia"/>
          <w:sz w:val="24"/>
          <w:szCs w:val="24"/>
          <w:lang w:val="en-US" w:eastAsia="zh-CN"/>
        </w:rPr>
        <w:t>8</w:t>
      </w:r>
      <w:r>
        <w:rPr>
          <w:rFonts w:ascii="宋体" w:eastAsia="宋体" w:hAnsi="宋体" w:cs="宋体" w:hint="eastAsia"/>
          <w:sz w:val="24"/>
          <w:szCs w:val="24"/>
        </w:rPr>
        <w:t>月</w:t>
      </w:r>
      <w:r>
        <w:rPr>
          <w:rFonts w:ascii="宋体" w:eastAsia="宋体" w:hAnsi="宋体" w:cs="宋体" w:hint="eastAsia"/>
          <w:sz w:val="24"/>
          <w:szCs w:val="24"/>
          <w:lang w:val="en-US" w:eastAsia="zh-CN"/>
        </w:rPr>
        <w:t>28</w:t>
      </w:r>
      <w:r>
        <w:rPr>
          <w:rFonts w:ascii="宋体" w:eastAsia="宋体" w:hAnsi="宋体" w:cs="宋体" w:hint="eastAsia"/>
          <w:sz w:val="24"/>
          <w:szCs w:val="24"/>
        </w:rPr>
        <w:t>日至</w:t>
      </w:r>
      <w:r>
        <w:rPr>
          <w:rFonts w:ascii="宋体" w:eastAsia="宋体" w:hAnsi="宋体" w:cs="宋体" w:hint="eastAsia"/>
          <w:sz w:val="24"/>
          <w:szCs w:val="24"/>
          <w:lang w:val="en-US" w:eastAsia="zh-CN"/>
        </w:rPr>
        <w:t>2023</w:t>
      </w:r>
      <w:r>
        <w:rPr>
          <w:rFonts w:ascii="宋体" w:eastAsia="宋体" w:hAnsi="宋体" w:cs="宋体" w:hint="eastAsia"/>
          <w:sz w:val="24"/>
          <w:szCs w:val="24"/>
        </w:rPr>
        <w:t>年</w:t>
      </w:r>
      <w:r>
        <w:rPr>
          <w:rFonts w:ascii="宋体" w:eastAsia="宋体" w:hAnsi="宋体" w:cs="宋体" w:hint="eastAsia"/>
          <w:sz w:val="24"/>
          <w:szCs w:val="24"/>
          <w:lang w:val="en-US" w:eastAsia="zh-CN"/>
        </w:rPr>
        <w:t>9</w:t>
      </w:r>
      <w:r>
        <w:rPr>
          <w:rFonts w:ascii="宋体" w:eastAsia="宋体" w:hAnsi="宋体" w:cs="宋体" w:hint="eastAsia"/>
          <w:sz w:val="24"/>
          <w:szCs w:val="24"/>
        </w:rPr>
        <w:t>月</w:t>
      </w:r>
      <w:r>
        <w:rPr>
          <w:rFonts w:ascii="宋体" w:eastAsia="宋体" w:hAnsi="宋体" w:cs="宋体" w:hint="eastAsia"/>
          <w:sz w:val="24"/>
          <w:szCs w:val="24"/>
          <w:lang w:val="en-US" w:eastAsia="zh-CN"/>
        </w:rPr>
        <w:t>11</w:t>
      </w:r>
      <w:r>
        <w:rPr>
          <w:rFonts w:ascii="宋体" w:eastAsia="宋体" w:hAnsi="宋体" w:cs="宋体" w:hint="eastAsia"/>
          <w:sz w:val="24"/>
          <w:szCs w:val="24"/>
        </w:rPr>
        <w:t>日</w:t>
      </w:r>
      <w:r>
        <w:rPr>
          <w:rFonts w:ascii="宋体" w:eastAsia="宋体" w:hAnsi="宋体" w:cs="宋体" w:hint="eastAsia"/>
          <w:sz w:val="24"/>
          <w:szCs w:val="24"/>
          <w:lang w:val="en-US" w:eastAsia="zh-CN"/>
        </w:rPr>
        <w:t>14</w:t>
      </w:r>
      <w:r>
        <w:rPr>
          <w:rFonts w:ascii="宋体" w:eastAsia="宋体" w:hAnsi="宋体" w:cs="宋体" w:hint="eastAsia"/>
          <w:sz w:val="24"/>
          <w:szCs w:val="24"/>
        </w:rPr>
        <w:t>：</w:t>
      </w:r>
      <w:r>
        <w:rPr>
          <w:rFonts w:ascii="宋体" w:eastAsia="宋体" w:hAnsi="宋体" w:cs="宋体" w:hint="eastAsia"/>
          <w:sz w:val="24"/>
          <w:szCs w:val="24"/>
          <w:lang w:val="en-US" w:eastAsia="zh-CN"/>
        </w:rPr>
        <w:t>45</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售价：免费。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凡已注册的深圳市网上政府采购供应商，按照授予的操作权限，可于</w:t>
      </w:r>
      <w:r>
        <w:rPr>
          <w:rFonts w:ascii="宋体" w:eastAsia="宋体" w:hAnsi="宋体" w:cs="宋体" w:hint="eastAsia"/>
          <w:sz w:val="24"/>
          <w:szCs w:val="24"/>
          <w:lang w:val="en-US" w:eastAsia="zh-CN"/>
        </w:rPr>
        <w:t>2023</w:t>
      </w:r>
      <w:r>
        <w:rPr>
          <w:rFonts w:ascii="宋体" w:eastAsia="宋体" w:hAnsi="宋体" w:cs="宋体" w:hint="eastAsia"/>
          <w:sz w:val="24"/>
          <w:szCs w:val="24"/>
        </w:rPr>
        <w:t>年</w:t>
      </w:r>
      <w:r>
        <w:rPr>
          <w:rFonts w:ascii="宋体" w:eastAsia="宋体" w:hAnsi="宋体" w:cs="宋体" w:hint="eastAsia"/>
          <w:sz w:val="24"/>
          <w:szCs w:val="24"/>
          <w:lang w:val="en-US" w:eastAsia="zh-CN"/>
        </w:rPr>
        <w:t>8</w:t>
      </w:r>
      <w:r>
        <w:rPr>
          <w:rFonts w:ascii="宋体" w:eastAsia="宋体" w:hAnsi="宋体" w:cs="宋体" w:hint="eastAsia"/>
          <w:sz w:val="24"/>
          <w:szCs w:val="24"/>
        </w:rPr>
        <w:t>月</w:t>
      </w:r>
      <w:r>
        <w:rPr>
          <w:rFonts w:ascii="宋体" w:eastAsia="宋体" w:hAnsi="宋体" w:cs="宋体" w:hint="eastAsia"/>
          <w:sz w:val="24"/>
          <w:szCs w:val="24"/>
          <w:lang w:val="en-US" w:eastAsia="zh-CN"/>
        </w:rPr>
        <w:t>28</w:t>
      </w:r>
      <w:r>
        <w:rPr>
          <w:rFonts w:ascii="宋体" w:eastAsia="宋体" w:hAnsi="宋体" w:cs="宋体" w:hint="eastAsia"/>
          <w:sz w:val="24"/>
          <w:szCs w:val="24"/>
        </w:rPr>
        <w:t>日至</w:t>
      </w:r>
      <w:r>
        <w:rPr>
          <w:rFonts w:ascii="宋体" w:eastAsia="宋体" w:hAnsi="宋体" w:cs="宋体" w:hint="eastAsia"/>
          <w:sz w:val="24"/>
          <w:szCs w:val="24"/>
          <w:lang w:val="en-US" w:eastAsia="zh-CN"/>
        </w:rPr>
        <w:t>2023</w:t>
      </w:r>
      <w:r>
        <w:rPr>
          <w:rFonts w:ascii="宋体" w:eastAsia="宋体" w:hAnsi="宋体" w:cs="宋体" w:hint="eastAsia"/>
          <w:sz w:val="24"/>
          <w:szCs w:val="24"/>
        </w:rPr>
        <w:t>年</w:t>
      </w:r>
      <w:r>
        <w:rPr>
          <w:rFonts w:ascii="宋体" w:eastAsia="宋体" w:hAnsi="宋体" w:cs="宋体" w:hint="eastAsia"/>
          <w:sz w:val="24"/>
          <w:szCs w:val="24"/>
          <w:lang w:val="en-US" w:eastAsia="zh-CN"/>
        </w:rPr>
        <w:t>9</w:t>
      </w:r>
      <w:r>
        <w:rPr>
          <w:rFonts w:ascii="宋体" w:eastAsia="宋体" w:hAnsi="宋体" w:cs="宋体" w:hint="eastAsia"/>
          <w:sz w:val="24"/>
          <w:szCs w:val="24"/>
        </w:rPr>
        <w:t>月</w:t>
      </w:r>
      <w:r>
        <w:rPr>
          <w:rFonts w:ascii="宋体" w:eastAsia="宋体" w:hAnsi="宋体" w:cs="宋体" w:hint="eastAsia"/>
          <w:sz w:val="24"/>
          <w:szCs w:val="24"/>
          <w:lang w:val="en-US" w:eastAsia="zh-CN"/>
        </w:rPr>
        <w:t>11</w:t>
      </w:r>
      <w:r>
        <w:rPr>
          <w:rFonts w:ascii="宋体" w:eastAsia="宋体" w:hAnsi="宋体" w:cs="宋体" w:hint="eastAsia"/>
          <w:sz w:val="24"/>
          <w:szCs w:val="24"/>
        </w:rPr>
        <w:t>日</w:t>
      </w:r>
      <w:r>
        <w:rPr>
          <w:rFonts w:ascii="宋体" w:eastAsia="宋体" w:hAnsi="宋体" w:cs="宋体" w:hint="eastAsia"/>
          <w:sz w:val="24"/>
          <w:szCs w:val="24"/>
          <w:lang w:val="en-US" w:eastAsia="zh-CN"/>
        </w:rPr>
        <w:t>14</w:t>
      </w:r>
      <w:r>
        <w:rPr>
          <w:rFonts w:ascii="宋体" w:eastAsia="宋体" w:hAnsi="宋体" w:cs="宋体" w:hint="eastAsia"/>
          <w:sz w:val="24"/>
          <w:szCs w:val="24"/>
        </w:rPr>
        <w:t>：</w:t>
      </w:r>
      <w:r>
        <w:rPr>
          <w:rFonts w:ascii="宋体" w:eastAsia="宋体" w:hAnsi="宋体" w:cs="宋体" w:hint="eastAsia"/>
          <w:sz w:val="24"/>
          <w:szCs w:val="24"/>
          <w:lang w:val="en-US" w:eastAsia="zh-CN"/>
        </w:rPr>
        <w:t>45</w:t>
      </w:r>
      <w:r>
        <w:rPr>
          <w:rFonts w:asciiTheme="minorEastAsia" w:eastAsiaTheme="minorEastAsia" w:hAnsiTheme="minorEastAsia" w:hint="eastAsia"/>
          <w:sz w:val="24"/>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42" w:name="_Toc693"/>
      <w:bookmarkStart w:id="43" w:name="_Toc5398"/>
      <w:bookmarkStart w:id="44" w:name="_Toc256000004"/>
      <w:r>
        <w:rPr>
          <w:rFonts w:asciiTheme="minorEastAsia" w:eastAsiaTheme="minorEastAsia" w:hAnsiTheme="minorEastAsia" w:cs="宋体" w:hint="eastAsia"/>
          <w:b w:val="0"/>
          <w:sz w:val="24"/>
          <w:szCs w:val="24"/>
        </w:rPr>
        <w:t>四、提交投标文件</w:t>
      </w:r>
      <w:bookmarkEnd w:id="38"/>
      <w:bookmarkEnd w:id="39"/>
      <w:r>
        <w:rPr>
          <w:rFonts w:asciiTheme="minorEastAsia" w:eastAsiaTheme="minorEastAsia" w:hAnsiTheme="minorEastAsia" w:cs="宋体" w:hint="eastAsia"/>
          <w:b w:val="0"/>
          <w:sz w:val="24"/>
          <w:szCs w:val="24"/>
        </w:rPr>
        <w:t>截止时间、开标时间和地点</w:t>
      </w:r>
      <w:bookmarkEnd w:id="44"/>
      <w:bookmarkEnd w:id="40"/>
      <w:bookmarkEnd w:id="41"/>
      <w:bookmarkEnd w:id="42"/>
      <w:bookmarkEnd w:id="43"/>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sz w:val="24"/>
        </w:rPr>
        <w:t>（一）</w:t>
      </w:r>
      <w:r>
        <w:rPr>
          <w:rFonts w:asciiTheme="minorEastAsia" w:eastAsiaTheme="minorEastAsia" w:hAnsiTheme="minorEastAsia" w:cs="宋体" w:hint="eastAsia"/>
          <w:kern w:val="0"/>
          <w:sz w:val="24"/>
        </w:rPr>
        <w:t>投标截止时间：所有投标文件应于</w:t>
      </w:r>
      <w:r>
        <w:rPr>
          <w:rFonts w:ascii="宋体" w:eastAsia="宋体" w:hAnsi="宋体" w:cs="宋体" w:hint="eastAsia"/>
          <w:sz w:val="24"/>
          <w:szCs w:val="24"/>
          <w:lang w:val="en-US" w:eastAsia="zh-CN"/>
        </w:rPr>
        <w:t>2023</w:t>
      </w:r>
      <w:r>
        <w:rPr>
          <w:rFonts w:ascii="宋体" w:eastAsia="宋体" w:hAnsi="宋体" w:cs="宋体" w:hint="eastAsia"/>
          <w:sz w:val="24"/>
          <w:szCs w:val="24"/>
        </w:rPr>
        <w:t>年</w:t>
      </w:r>
      <w:r>
        <w:rPr>
          <w:rFonts w:ascii="宋体" w:eastAsia="宋体" w:hAnsi="宋体" w:cs="宋体" w:hint="eastAsia"/>
          <w:sz w:val="24"/>
          <w:szCs w:val="24"/>
          <w:lang w:val="en-US" w:eastAsia="zh-CN"/>
        </w:rPr>
        <w:t>9</w:t>
      </w:r>
      <w:r>
        <w:rPr>
          <w:rFonts w:ascii="宋体" w:eastAsia="宋体" w:hAnsi="宋体" w:cs="宋体" w:hint="eastAsia"/>
          <w:sz w:val="24"/>
          <w:szCs w:val="24"/>
        </w:rPr>
        <w:t>月</w:t>
      </w:r>
      <w:r>
        <w:rPr>
          <w:rFonts w:ascii="宋体" w:eastAsia="宋体" w:hAnsi="宋体" w:cs="宋体" w:hint="eastAsia"/>
          <w:sz w:val="24"/>
          <w:szCs w:val="24"/>
          <w:lang w:val="en-US" w:eastAsia="zh-CN"/>
        </w:rPr>
        <w:t>11</w:t>
      </w:r>
      <w:r>
        <w:rPr>
          <w:rFonts w:ascii="宋体" w:eastAsia="宋体" w:hAnsi="宋体" w:cs="宋体" w:hint="eastAsia"/>
          <w:sz w:val="24"/>
          <w:szCs w:val="24"/>
        </w:rPr>
        <w:t>日</w:t>
      </w:r>
      <w:r>
        <w:rPr>
          <w:rFonts w:ascii="宋体" w:eastAsia="宋体" w:hAnsi="宋体" w:cs="宋体" w:hint="eastAsia"/>
          <w:sz w:val="24"/>
          <w:szCs w:val="24"/>
          <w:lang w:val="en-US" w:eastAsia="zh-CN"/>
        </w:rPr>
        <w:t>14</w:t>
      </w:r>
      <w:r>
        <w:rPr>
          <w:rFonts w:ascii="宋体" w:eastAsia="宋体" w:hAnsi="宋体" w:cs="宋体" w:hint="eastAsia"/>
          <w:sz w:val="24"/>
          <w:szCs w:val="24"/>
        </w:rPr>
        <w:t>：</w:t>
      </w:r>
      <w:r>
        <w:rPr>
          <w:rFonts w:ascii="宋体" w:eastAsia="宋体" w:hAnsi="宋体" w:cs="宋体" w:hint="eastAsia"/>
          <w:sz w:val="24"/>
          <w:szCs w:val="24"/>
          <w:lang w:val="en-US" w:eastAsia="zh-CN"/>
        </w:rPr>
        <w:t>45</w:t>
      </w:r>
      <w:r>
        <w:rPr>
          <w:rFonts w:asciiTheme="minorEastAsia" w:eastAsiaTheme="minorEastAsia" w:hAnsiTheme="minorEastAsia" w:cs="宋体" w:hint="eastAsia"/>
          <w:kern w:val="0"/>
          <w:sz w:val="24"/>
        </w:rPr>
        <w:t>（北京时间）之前上传到深圳政府采购智慧平台（http://zfcg.szggzy.com:8081/）。具体操作为登录“深圳政府采购智</w:t>
      </w:r>
      <w:r>
        <w:rPr>
          <w:rFonts w:asciiTheme="minorEastAsia" w:eastAsiaTheme="minorEastAsia" w:hAnsiTheme="minorEastAsia" w:cs="宋体" w:hint="eastAsia"/>
          <w:color w:val="auto"/>
          <w:kern w:val="0"/>
          <w:sz w:val="24"/>
          <w:highlight w:val="none"/>
        </w:rPr>
        <w:t>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color w:val="auto"/>
          <w:sz w:val="24"/>
          <w:highlight w:val="none"/>
        </w:rPr>
        <w:t>（二）</w:t>
      </w:r>
      <w:r>
        <w:rPr>
          <w:rFonts w:asciiTheme="minorEastAsia" w:eastAsiaTheme="minorEastAsia" w:hAnsiTheme="minorEastAsia" w:cs="宋体" w:hint="eastAsia"/>
          <w:color w:val="auto"/>
          <w:kern w:val="0"/>
          <w:sz w:val="24"/>
          <w:highlight w:val="none"/>
        </w:rPr>
        <w:t>开标时间和地点：定于</w:t>
      </w:r>
      <w:r>
        <w:rPr>
          <w:rFonts w:ascii="宋体" w:eastAsia="宋体" w:hAnsi="宋体" w:cs="宋体" w:hint="eastAsia"/>
          <w:color w:val="auto"/>
          <w:sz w:val="24"/>
          <w:szCs w:val="24"/>
          <w:highlight w:val="none"/>
          <w:lang w:val="en-US" w:eastAsia="zh-CN"/>
        </w:rPr>
        <w:t>2023</w:t>
      </w:r>
      <w:r>
        <w:rPr>
          <w:rFonts w:ascii="宋体" w:eastAsia="宋体" w:hAnsi="宋体" w:cs="宋体" w:hint="eastAsia"/>
          <w:color w:val="auto"/>
          <w:sz w:val="24"/>
          <w:szCs w:val="24"/>
          <w:highlight w:val="none"/>
        </w:rPr>
        <w:t>年</w:t>
      </w:r>
      <w:r>
        <w:rPr>
          <w:rFonts w:ascii="宋体" w:eastAsia="宋体" w:hAnsi="宋体" w:cs="宋体" w:hint="eastAsia"/>
          <w:color w:val="auto"/>
          <w:sz w:val="24"/>
          <w:szCs w:val="24"/>
          <w:highlight w:val="none"/>
          <w:lang w:val="en-US" w:eastAsia="zh-CN"/>
        </w:rPr>
        <w:t>9</w:t>
      </w:r>
      <w:r>
        <w:rPr>
          <w:rFonts w:ascii="宋体" w:eastAsia="宋体" w:hAnsi="宋体" w:cs="宋体" w:hint="eastAsia"/>
          <w:color w:val="auto"/>
          <w:sz w:val="24"/>
          <w:szCs w:val="24"/>
          <w:highlight w:val="none"/>
        </w:rPr>
        <w:t>月</w:t>
      </w:r>
      <w:r>
        <w:rPr>
          <w:rFonts w:ascii="宋体" w:eastAsia="宋体" w:hAnsi="宋体" w:cs="宋体" w:hint="eastAsia"/>
          <w:color w:val="auto"/>
          <w:sz w:val="24"/>
          <w:szCs w:val="24"/>
          <w:highlight w:val="none"/>
          <w:lang w:val="en-US" w:eastAsia="zh-CN"/>
        </w:rPr>
        <w:t>11</w:t>
      </w:r>
      <w:r>
        <w:rPr>
          <w:rFonts w:ascii="宋体" w:eastAsia="宋体" w:hAnsi="宋体" w:cs="宋体" w:hint="eastAsia"/>
          <w:color w:val="auto"/>
          <w:sz w:val="24"/>
          <w:szCs w:val="24"/>
          <w:highlight w:val="none"/>
        </w:rPr>
        <w:t>日</w:t>
      </w:r>
      <w:r>
        <w:rPr>
          <w:rFonts w:ascii="宋体" w:eastAsia="宋体" w:hAnsi="宋体" w:cs="宋体" w:hint="eastAsia"/>
          <w:color w:val="auto"/>
          <w:sz w:val="24"/>
          <w:szCs w:val="24"/>
          <w:highlight w:val="none"/>
          <w:lang w:val="en-US" w:eastAsia="zh-CN"/>
        </w:rPr>
        <w:t>14</w:t>
      </w:r>
      <w:r>
        <w:rPr>
          <w:rFonts w:ascii="宋体" w:eastAsia="宋体" w:hAnsi="宋体" w:cs="宋体" w:hint="eastAsia"/>
          <w:color w:val="auto"/>
          <w:sz w:val="24"/>
          <w:szCs w:val="24"/>
          <w:highlight w:val="none"/>
        </w:rPr>
        <w:t>：</w:t>
      </w:r>
      <w:r>
        <w:rPr>
          <w:rFonts w:ascii="宋体" w:eastAsia="宋体" w:hAnsi="宋体" w:cs="宋体" w:hint="eastAsia"/>
          <w:color w:val="auto"/>
          <w:sz w:val="24"/>
          <w:szCs w:val="24"/>
          <w:highlight w:val="none"/>
          <w:lang w:val="en-US" w:eastAsia="zh-CN"/>
        </w:rPr>
        <w:t>45</w:t>
      </w:r>
      <w:r>
        <w:rPr>
          <w:rFonts w:asciiTheme="minorEastAsia" w:eastAsiaTheme="minorEastAsia" w:hAnsiTheme="minorEastAsia" w:cs="宋体" w:hint="eastAsia"/>
          <w:color w:val="auto"/>
          <w:kern w:val="0"/>
          <w:sz w:val="24"/>
          <w:highlight w:val="none"/>
        </w:rPr>
        <w:t>（北京时间），在深圳市福田区竹子林中国经贸大厦10楼采联国际招标采购集团有限公司深圳分公司会议室公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auto"/>
          <w:sz w:val="24"/>
          <w:highlight w:val="none"/>
        </w:rPr>
        <w:t>（三）</w:t>
      </w:r>
      <w:r>
        <w:rPr>
          <w:rFonts w:asciiTheme="minorEastAsia" w:eastAsiaTheme="minorEastAsia" w:hAnsiTheme="minorEastAsia" w:cs="宋体" w:hint="eastAsia"/>
          <w:color w:val="auto"/>
          <w:kern w:val="0"/>
          <w:sz w:val="24"/>
          <w:highlight w:val="none"/>
        </w:rPr>
        <w:t>在线解密：投标人须在开标当日14：45-15:15期间进行解密，逾</w:t>
      </w:r>
      <w:r>
        <w:rPr>
          <w:rFonts w:asciiTheme="minorEastAsia" w:eastAsiaTheme="minorEastAsia" w:hAnsiTheme="minorEastAsia" w:cs="宋体" w:hint="eastAsia"/>
          <w:kern w:val="0"/>
          <w:sz w:val="24"/>
        </w:rPr>
        <w:t>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5" w:name="_Toc35393625"/>
      <w:bookmarkStart w:id="46" w:name="_Toc18096"/>
      <w:bookmarkStart w:id="47" w:name="_Toc28359007"/>
      <w:bookmarkStart w:id="48" w:name="_Toc28359084"/>
      <w:bookmarkStart w:id="49" w:name="_Toc10005"/>
      <w:bookmarkStart w:id="50" w:name="_Toc35393794"/>
      <w:bookmarkStart w:id="51" w:name="_Toc256000005"/>
      <w:r>
        <w:rPr>
          <w:rFonts w:asciiTheme="minorEastAsia" w:eastAsiaTheme="minorEastAsia" w:hAnsiTheme="minorEastAsia" w:cs="宋体" w:hint="eastAsia"/>
          <w:b w:val="0"/>
          <w:bCs w:val="0"/>
          <w:sz w:val="24"/>
          <w:szCs w:val="24"/>
        </w:rPr>
        <w:t>五、公告期限</w:t>
      </w:r>
      <w:bookmarkEnd w:id="51"/>
      <w:bookmarkEnd w:id="45"/>
      <w:bookmarkEnd w:id="46"/>
      <w:bookmarkEnd w:id="47"/>
      <w:bookmarkEnd w:id="48"/>
      <w:bookmarkEnd w:id="49"/>
      <w:bookmarkEnd w:id="50"/>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color w:val="auto"/>
          <w:sz w:val="24"/>
          <w:szCs w:val="24"/>
        </w:rPr>
      </w:pPr>
      <w:bookmarkStart w:id="52" w:name="_Toc30395"/>
      <w:bookmarkStart w:id="53" w:name="_Toc20704"/>
      <w:bookmarkStart w:id="54" w:name="_Toc435115054"/>
      <w:bookmarkStart w:id="55" w:name="_Toc13067020"/>
      <w:bookmarkStart w:id="56" w:name="_Toc435514849"/>
      <w:bookmarkStart w:id="57" w:name="_Toc14891"/>
      <w:bookmarkStart w:id="58" w:name="_Toc35393626"/>
      <w:bookmarkStart w:id="59" w:name="_Toc35393795"/>
      <w:bookmarkStart w:id="60" w:name="_Toc256000006"/>
      <w:r>
        <w:rPr>
          <w:rFonts w:asciiTheme="minorEastAsia" w:eastAsiaTheme="minorEastAsia" w:hAnsiTheme="minorEastAsia" w:cs="宋体" w:hint="eastAsia"/>
          <w:b w:val="0"/>
          <w:sz w:val="24"/>
          <w:szCs w:val="24"/>
        </w:rPr>
        <w:t>六、其他补充</w:t>
      </w:r>
      <w:r>
        <w:rPr>
          <w:rFonts w:asciiTheme="minorEastAsia" w:eastAsiaTheme="minorEastAsia" w:hAnsiTheme="minorEastAsia" w:cs="宋体" w:hint="eastAsia"/>
          <w:b w:val="0"/>
          <w:color w:val="auto"/>
          <w:sz w:val="24"/>
          <w:szCs w:val="24"/>
        </w:rPr>
        <w:t>事宜</w:t>
      </w:r>
      <w:bookmarkEnd w:id="60"/>
      <w:bookmarkEnd w:id="52"/>
    </w:p>
    <w:p>
      <w:pPr>
        <w:adjustRightInd w:val="0"/>
        <w:snapToGrid w:val="0"/>
        <w:spacing w:line="360" w:lineRule="auto"/>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    </w:t>
      </w:r>
      <w:r>
        <w:rPr>
          <w:rFonts w:asciiTheme="minorEastAsia" w:eastAsiaTheme="minorEastAsia" w:hAnsiTheme="minorEastAsia" w:hint="eastAsia"/>
          <w:color w:val="auto"/>
          <w:sz w:val="24"/>
        </w:rPr>
        <w:t>（一）</w:t>
      </w:r>
      <w:r>
        <w:rPr>
          <w:rFonts w:asciiTheme="minorEastAsia" w:eastAsiaTheme="minorEastAsia" w:hAnsiTheme="minorEastAsia" w:cs="宋体"/>
          <w:color w:val="auto"/>
          <w:sz w:val="24"/>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color w:val="auto"/>
          <w:sz w:val="24"/>
        </w:rPr>
        <w:t>（二）</w:t>
      </w:r>
      <w:r>
        <w:rPr>
          <w:rFonts w:asciiTheme="minorEastAsia" w:eastAsiaTheme="minorEastAsia" w:hAnsiTheme="minorEastAsia" w:cs="宋体" w:hint="eastAsia"/>
          <w:color w:val="auto"/>
          <w:sz w:val="24"/>
        </w:rPr>
        <w:t>采购文件澄清/修改事项：2023年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5</w:t>
      </w:r>
      <w:r>
        <w:rPr>
          <w:rFonts w:asciiTheme="minorEastAsia" w:eastAsiaTheme="minorEastAsia" w:hAnsiTheme="minorEastAsia" w:cs="宋体" w:hint="eastAsia"/>
          <w:color w:val="auto"/>
          <w:sz w:val="24"/>
        </w:rPr>
        <w:t>日18:00（北京时间）前，投标人如果认为采购文件存在不明确、不清晰和前后不一致等问题，可登录</w:t>
      </w:r>
      <w:r>
        <w:rPr>
          <w:rFonts w:asciiTheme="minorEastAsia" w:eastAsiaTheme="minorEastAsia" w:hAnsiTheme="minorEastAsia" w:hint="eastAsia"/>
          <w:color w:val="auto"/>
          <w:sz w:val="24"/>
        </w:rPr>
        <w:t>深圳政府采购智慧平台（http://zfcg.szggzy.com:8081/）</w:t>
      </w:r>
      <w:r>
        <w:rPr>
          <w:rFonts w:asciiTheme="minorEastAsia" w:eastAsiaTheme="minorEastAsia" w:hAnsiTheme="minorEastAsia" w:cs="宋体" w:hint="eastAsia"/>
          <w:color w:val="auto"/>
          <w:sz w:val="24"/>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7</w:t>
      </w:r>
      <w:r>
        <w:rPr>
          <w:rFonts w:asciiTheme="minorEastAsia" w:eastAsiaTheme="minorEastAsia" w:hAnsiTheme="minorEastAsia" w:cs="宋体" w:hint="eastAsia"/>
          <w:color w:val="auto"/>
          <w:sz w:val="24"/>
        </w:rPr>
        <w:t>日18:00</w:t>
      </w:r>
      <w:r>
        <w:rPr>
          <w:rFonts w:asciiTheme="minorEastAsia" w:eastAsiaTheme="minorEastAsia" w:hAnsiTheme="minorEastAsia" w:cs="宋体" w:hint="eastAsia"/>
          <w:sz w:val="24"/>
        </w:rPr>
        <w:t>（北京时间）前将采购文件澄清/修改情况在“【我的项目】→【项目流程】→【答疑澄清文件下载】”中公布，望投标人予以关注。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sz w:val="24"/>
        </w:rPr>
      </w:pPr>
      <w:r>
        <w:rPr>
          <w:rFonts w:asciiTheme="minorEastAsia" w:eastAsiaTheme="minorEastAsia" w:hAnsiTheme="minorEastAsia" w:cs="宋体" w:hint="eastAsia"/>
          <w:sz w:val="24"/>
        </w:rPr>
        <w:t>（重要提示：“提出采购文件澄清要求”不等同于“对采购文件质疑”，供应商提出的澄清要求内容如出现“质疑”字眼，将予以退回。供应商如认为采购文件存在限制性、倾向性、其权益受到损</w:t>
      </w:r>
      <w:r>
        <w:rPr>
          <w:rFonts w:asciiTheme="minorEastAsia" w:eastAsiaTheme="minorEastAsia" w:hAnsiTheme="minorEastAsia" w:cs="宋体" w:hint="eastAsia"/>
          <w:sz w:val="24"/>
          <w:highlight w:val="none"/>
        </w:rPr>
        <w:t>害，应当自知道或者应当知道其权益受到损害之日</w:t>
      </w:r>
      <w:r>
        <w:rPr>
          <w:rFonts w:asciiTheme="minorEastAsia" w:eastAsiaTheme="minorEastAsia" w:hAnsiTheme="minorEastAsia" w:cs="宋体" w:hint="eastAsia"/>
          <w:sz w:val="24"/>
          <w:highlight w:val="none"/>
          <w:lang w:eastAsia="zh-CN"/>
        </w:rPr>
        <w:t>（应当知道其权益受到损害之日是指对招标文件的质疑，为招标文件公布之日）</w:t>
      </w:r>
      <w:r>
        <w:rPr>
          <w:rFonts w:asciiTheme="minorEastAsia" w:eastAsiaTheme="minorEastAsia" w:hAnsiTheme="minorEastAsia" w:cs="宋体" w:hint="eastAsia"/>
          <w:sz w:val="24"/>
          <w:highlight w:val="none"/>
        </w:rPr>
        <w:t>起七个工作日内以书面形式提出质疑。根据《深圳经济特区政府采购条例》第四十二条“供应商投诉的事项应当是经过质疑的事项”的规定，未经正式质疑的，将影响</w:t>
      </w:r>
      <w:r>
        <w:rPr>
          <w:rFonts w:asciiTheme="minorEastAsia" w:eastAsiaTheme="minorEastAsia" w:hAnsiTheme="minorEastAsia" w:cs="宋体" w:hint="eastAsia"/>
          <w:sz w:val="24"/>
        </w:rPr>
        <w:t>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rPr>
        <w:t>（五）</w:t>
      </w:r>
      <w:r>
        <w:rPr>
          <w:rFonts w:ascii="宋体" w:hAnsi="宋体" w:hint="eastAsia"/>
          <w:bCs/>
          <w:sz w:val="24"/>
        </w:rPr>
        <w:t>本项目相关公告在以下媒体发布</w:t>
      </w:r>
    </w:p>
    <w:p>
      <w:pPr>
        <w:snapToGrid w:val="0"/>
        <w:spacing w:line="360" w:lineRule="auto"/>
        <w:ind w:firstLine="420" w:firstLineChars="200"/>
        <w:rPr>
          <w:rFonts w:ascii="宋体" w:hAnsi="宋体" w:hint="eastAsia"/>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hAnsi="宋体" w:hint="eastAsia"/>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2、采购代理机构网站（www.chinapsp.cn）</w:t>
      </w:r>
    </w:p>
    <w:p>
      <w:pPr>
        <w:snapToGrid w:val="0"/>
        <w:spacing w:line="360" w:lineRule="auto"/>
        <w:ind w:firstLine="420" w:firstLineChars="200"/>
        <w:rPr>
          <w:rFonts w:ascii="宋体" w:hAnsi="宋体" w:hint="eastAsia"/>
          <w:color w:val="000000" w:themeColor="text1"/>
          <w:sz w:val="24"/>
          <w14:textFill>
            <w14:solidFill>
              <w14:schemeClr w14:val="tx1"/>
            </w14:solidFill>
          </w14:textFill>
        </w:rPr>
      </w:pPr>
      <w:r>
        <w:rPr>
          <w:rFonts w:ascii="宋体" w:hAnsi="宋体" w:hint="eastAsia"/>
          <w:color w:val="000000" w:themeColor="text1"/>
          <w:sz w:val="24"/>
          <w:lang w:val="en-US" w:eastAsia="zh-CN"/>
          <w14:textFill>
            <w14:solidFill>
              <w14:schemeClr w14:val="tx1"/>
            </w14:solidFill>
          </w14:textFill>
        </w:rPr>
        <w:t>3、</w:t>
      </w:r>
      <w:r>
        <w:rPr>
          <w:rFonts w:ascii="宋体" w:hAnsi="宋体" w:hint="eastAsia"/>
          <w:color w:val="000000" w:themeColor="text1"/>
          <w:sz w:val="24"/>
          <w14:textFill>
            <w14:solidFill>
              <w14:schemeClr w14:val="tx1"/>
            </w14:solidFill>
          </w14:textFill>
        </w:rPr>
        <w:t>清华大学深圳国际研究生院官网（https://www.sigs.tsinghua.edu.cn/）。</w:t>
      </w:r>
    </w:p>
    <w:p>
      <w:pPr>
        <w:snapToGrid w:val="0"/>
        <w:spacing w:line="360" w:lineRule="auto"/>
        <w:ind w:firstLine="420" w:firstLineChars="200"/>
        <w:rPr>
          <w:rFonts w:ascii="宋体" w:hAnsi="宋体" w:hint="eastAsia"/>
          <w:color w:val="000000" w:themeColor="text1"/>
          <w:sz w:val="24"/>
          <w14:textFill>
            <w14:solidFill>
              <w14:schemeClr w14:val="tx1"/>
            </w14:solidFill>
          </w14:textFill>
        </w:rPr>
      </w:pPr>
      <w:r>
        <w:rPr>
          <w:rFonts w:ascii="宋体" w:hAnsi="宋体" w:hint="eastAsia"/>
          <w:color w:val="000000" w:themeColor="text1"/>
          <w:sz w:val="24"/>
          <w:lang w:val="en-US" w:eastAsia="zh-CN"/>
          <w14:textFill>
            <w14:solidFill>
              <w14:schemeClr w14:val="tx1"/>
            </w14:solidFill>
          </w14:textFill>
        </w:rPr>
        <w:t>4</w:t>
      </w:r>
      <w:r>
        <w:rPr>
          <w:rFonts w:ascii="宋体" w:hAnsi="宋体" w:hint="eastAsia"/>
          <w:color w:val="000000" w:themeColor="text1"/>
          <w:sz w:val="24"/>
          <w14:textFill>
            <w14:solidFill>
              <w14:schemeClr w14:val="tx1"/>
            </w14:solidFill>
          </w14:textFill>
        </w:rPr>
        <w:t>、以上媒体公告内容不一致的，以深圳政府采购智慧平台（http://zfcg.szggzy.com:8081/）的公告内容为准。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（六）</w:t>
      </w:r>
      <w:r>
        <w:rPr>
          <w:rFonts w:asciiTheme="minorEastAsia" w:eastAsiaTheme="minorEastAsia" w:hAnsiTheme="minorEastAsia" w:cs="宋体" w:hint="eastAsia"/>
          <w:sz w:val="24"/>
        </w:rPr>
        <w:t>本项目不需要投标保证金。</w:t>
      </w:r>
      <w:bookmarkStart w:id="61" w:name="_Toc28359085"/>
      <w:bookmarkStart w:id="62" w:name="_Toc35393627"/>
      <w:bookmarkStart w:id="63" w:name="_Toc35393796"/>
      <w:bookmarkStart w:id="64" w:name="_Toc28359008"/>
    </w:p>
    <w:p>
      <w:pPr>
        <w:adjustRightInd w:val="0"/>
        <w:snapToGrid w:val="0"/>
        <w:spacing w:line="360" w:lineRule="auto"/>
        <w:ind w:firstLine="480"/>
        <w:rPr>
          <w:rFonts w:asciiTheme="minorEastAsia" w:eastAsiaTheme="minorEastAsia" w:hAnsiTheme="minorEastAsia" w:cs="宋体"/>
          <w:sz w:val="24"/>
        </w:rPr>
      </w:pPr>
      <w:bookmarkStart w:id="65" w:name="_Hlk41992292"/>
      <w:r>
        <w:rPr>
          <w:rFonts w:asciiTheme="minorEastAsia" w:eastAsiaTheme="minorEastAsia" w:hAnsiTheme="minorEastAsia" w:hint="eastAsia"/>
          <w:sz w:val="24"/>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65"/>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66" w:name="_Toc29300"/>
      <w:bookmarkStart w:id="67" w:name="_Toc16347"/>
      <w:bookmarkStart w:id="68"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68"/>
      <w:bookmarkEnd w:id="61"/>
      <w:bookmarkEnd w:id="62"/>
      <w:bookmarkEnd w:id="63"/>
      <w:bookmarkEnd w:id="64"/>
      <w:bookmarkEnd w:id="66"/>
      <w:bookmarkEnd w:id="67"/>
    </w:p>
    <w:p>
      <w:pPr>
        <w:widowControl/>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宋体" w:hint="eastAsia"/>
          <w:sz w:val="24"/>
        </w:rPr>
        <w:t>采购人信息</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bCs/>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bookmarkStart w:id="69" w:name="_Toc28359086"/>
      <w:bookmarkStart w:id="70" w:name="_Toc28359009"/>
      <w:r>
        <w:rPr>
          <w:rFonts w:asciiTheme="minorEastAsia" w:eastAsiaTheme="minorEastAsia" w:hAnsiTheme="minorEastAsia" w:cs="宋体" w:hint="eastAsia"/>
          <w:bCs/>
          <w:kern w:val="0"/>
          <w:sz w:val="24"/>
        </w:rPr>
        <w:t>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采购代理机构</w:t>
      </w:r>
      <w:bookmarkEnd w:id="69"/>
      <w:bookmarkEnd w:id="70"/>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sz w:val="24"/>
          <w:u w:val="single"/>
        </w:rPr>
      </w:pPr>
      <w:bookmarkStart w:id="71" w:name="_Toc28359010"/>
      <w:bookmarkStart w:id="72" w:name="_Toc28359087"/>
      <w:r>
        <w:rPr>
          <w:rFonts w:asciiTheme="minorEastAsia" w:eastAsiaTheme="minorEastAsia" w:hAnsiTheme="minorEastAsia" w:hint="eastAsia"/>
          <w:sz w:val="24"/>
        </w:rPr>
        <w:t>（三）</w:t>
      </w:r>
      <w:r>
        <w:rPr>
          <w:rFonts w:asciiTheme="minorEastAsia" w:eastAsiaTheme="minorEastAsia" w:hAnsiTheme="minorEastAsia" w:cs="宋体" w:hint="eastAsia"/>
          <w:sz w:val="24"/>
        </w:rPr>
        <w:t>项目</w:t>
      </w:r>
      <w:r>
        <w:rPr>
          <w:rFonts w:asciiTheme="minorEastAsia" w:eastAsiaTheme="minorEastAsia" w:hAnsiTheme="minorEastAsia" w:cs="宋体"/>
          <w:sz w:val="24"/>
        </w:rPr>
        <w:t>联系方式</w:t>
      </w:r>
      <w:bookmarkEnd w:id="71"/>
      <w:bookmarkEnd w:id="72"/>
    </w:p>
    <w:p>
      <w:pPr>
        <w:pStyle w:val="PlainText"/>
        <w:adjustRightInd w:val="0"/>
        <w:snapToGrid w:val="0"/>
        <w:spacing w:line="360" w:lineRule="auto"/>
        <w:ind w:firstLine="420" w:firstLineChars="200"/>
        <w:rPr>
          <w:rFonts w:asciiTheme="minorEastAsia" w:hAnsiTheme="minorEastAsia"/>
          <w:sz w:val="24"/>
          <w:szCs w:val="24"/>
        </w:rPr>
      </w:pPr>
      <w:r>
        <w:rPr>
          <w:rFonts w:asciiTheme="minorEastAsia" w:hAnsiTheme="minorEastAsia" w:hint="eastAsia"/>
          <w:sz w:val="24"/>
          <w:szCs w:val="24"/>
        </w:rPr>
        <w:t>项目联系人：廖</w:t>
      </w:r>
      <w:r>
        <w:rPr>
          <w:rFonts w:asciiTheme="minorEastAsia" w:hAnsiTheme="minorEastAsia" w:cs="宋体" w:hint="eastAsia"/>
          <w:sz w:val="24"/>
          <w:szCs w:val="24"/>
        </w:rPr>
        <w:t>小姐</w:t>
      </w:r>
    </w:p>
    <w:p>
      <w:pPr>
        <w:adjustRightInd w:val="0"/>
        <w:snapToGrid w:val="0"/>
        <w:spacing w:line="360" w:lineRule="auto"/>
        <w:ind w:firstLine="420" w:firstLineChars="200"/>
        <w:rPr>
          <w:rFonts w:asciiTheme="minorEastAsia" w:eastAsiaTheme="minorEastAsia" w:hAnsiTheme="minorEastAsia"/>
          <w:sz w:val="24"/>
          <w:u w:val="single"/>
        </w:rPr>
      </w:pPr>
      <w:r>
        <w:rPr>
          <w:rFonts w:asciiTheme="minorEastAsia" w:eastAsiaTheme="minorEastAsia" w:hAnsiTheme="minorEastAsia" w:hint="eastAsia"/>
          <w:sz w:val="24"/>
        </w:rPr>
        <w:t>电话：0755-8837 7571或7572转2321</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邮编：518040</w:t>
      </w:r>
    </w:p>
    <w:p>
      <w:pPr>
        <w:adjustRightInd w:val="0"/>
        <w:snapToGrid w:val="0"/>
        <w:spacing w:line="360" w:lineRule="auto"/>
        <w:ind w:firstLine="420" w:firstLineChars="200"/>
        <w:rPr>
          <w:rFonts w:asciiTheme="minorEastAsia" w:eastAsiaTheme="minorEastAsia" w:hAnsiTheme="minorEastAsia"/>
          <w:b/>
          <w:sz w:val="24"/>
          <w:u w:val="single"/>
        </w:rPr>
      </w:pPr>
      <w:r>
        <w:rPr>
          <w:rFonts w:asciiTheme="minorEastAsia" w:eastAsiaTheme="minorEastAsia" w:hAnsiTheme="minorEastAsia" w:hint="eastAsia"/>
          <w:sz w:val="24"/>
        </w:rPr>
        <w:t>邮箱：cailiansz@126.com</w:t>
      </w:r>
    </w:p>
    <w:p>
      <w:pPr>
        <w:pStyle w:val="Heading2"/>
        <w:adjustRightInd w:val="0"/>
        <w:snapToGrid w:val="0"/>
        <w:spacing w:line="360" w:lineRule="auto"/>
        <w:rPr>
          <w:rFonts w:asciiTheme="minorEastAsia" w:eastAsiaTheme="minorEastAsia" w:hAnsiTheme="minorEastAsia" w:cs="宋体"/>
          <w:b w:val="0"/>
          <w:sz w:val="24"/>
          <w:szCs w:val="24"/>
        </w:rPr>
      </w:pPr>
      <w:bookmarkStart w:id="73" w:name="_Toc24167"/>
      <w:bookmarkStart w:id="74" w:name="_Toc23679"/>
      <w:bookmarkStart w:id="75" w:name="_Toc256000008"/>
      <w:r>
        <w:rPr>
          <w:rFonts w:asciiTheme="minorEastAsia" w:eastAsiaTheme="minorEastAsia" w:hAnsiTheme="minorEastAsia" w:cs="宋体" w:hint="eastAsia"/>
          <w:b w:val="0"/>
          <w:sz w:val="24"/>
          <w:szCs w:val="24"/>
        </w:rPr>
        <w:t>八、招标文件</w:t>
      </w:r>
      <w:bookmarkEnd w:id="75"/>
      <w:bookmarkEnd w:id="73"/>
      <w:bookmarkEnd w:id="74"/>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z w:val="24"/>
          <w:lang w:val="en-US" w:eastAsia="zh-CN"/>
        </w:rPr>
        <w:t>2023</w:t>
      </w:r>
      <w:r>
        <w:rPr>
          <w:rFonts w:asciiTheme="minorEastAsia" w:eastAsiaTheme="minorEastAsia" w:hAnsiTheme="minorEastAsia" w:hint="eastAsia"/>
          <w:b/>
          <w:sz w:val="24"/>
        </w:rPr>
        <w:t>年</w:t>
      </w:r>
      <w:r>
        <w:rPr>
          <w:rFonts w:asciiTheme="minorEastAsia" w:eastAsiaTheme="minorEastAsia" w:hAnsiTheme="minorEastAsia" w:hint="eastAsia"/>
          <w:b/>
          <w:sz w:val="24"/>
          <w:lang w:val="en-US" w:eastAsia="zh-CN"/>
        </w:rPr>
        <w:t>8</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28</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952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rPr>
          <w:rFonts w:hint="eastAsia"/>
          <w:b/>
          <w:bCs/>
          <w:sz w:val="28"/>
          <w:szCs w:val="28"/>
        </w:rPr>
      </w:pPr>
      <w:r>
        <w:rPr>
          <w:rFonts w:hint="eastAsia"/>
          <w:b/>
          <w:bCs/>
          <w:sz w:val="28"/>
          <w:szCs w:val="28"/>
        </w:rPr>
        <w:br w:type="page"/>
      </w:r>
    </w:p>
    <w:p>
      <w:pPr>
        <w:spacing w:before="156" w:beforeLines="50" w:after="156" w:afterLines="50" w:line="360" w:lineRule="auto"/>
        <w:jc w:val="center"/>
        <w:outlineLvl w:val="0"/>
        <w:rPr>
          <w:color w:val="FF0000"/>
        </w:rPr>
      </w:pPr>
      <w:bookmarkStart w:id="76" w:name="_Toc5512"/>
      <w:bookmarkStart w:id="77" w:name="_Toc256000009"/>
      <w:r>
        <w:rPr>
          <w:rFonts w:hint="eastAsia"/>
          <w:b/>
          <w:bCs/>
          <w:sz w:val="28"/>
          <w:szCs w:val="28"/>
        </w:rPr>
        <w:t>第二章 用户需求书</w:t>
      </w:r>
      <w:bookmarkEnd w:id="77"/>
      <w:bookmarkEnd w:id="53"/>
      <w:bookmarkEnd w:id="54"/>
      <w:bookmarkEnd w:id="55"/>
      <w:bookmarkEnd w:id="56"/>
      <w:bookmarkEnd w:id="76"/>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Theme="minorEastAsia" w:hAnsiTheme="minorEastAsia" w:cs="Times New Roman"/>
          <w:bCs/>
          <w:sz w:val="24"/>
          <w:szCs w:val="24"/>
        </w:rPr>
      </w:pPr>
      <w:r>
        <w:rPr>
          <w:rFonts w:asciiTheme="minorEastAsia" w:hAnsiTheme="minorEastAsia" w:cs="Times New Roman" w:hint="eastAsia"/>
          <w:bCs/>
          <w:sz w:val="24"/>
          <w:szCs w:val="24"/>
        </w:rPr>
        <w:t>采购</w:t>
      </w:r>
      <w:r>
        <w:rPr>
          <w:rFonts w:asciiTheme="minorEastAsia" w:hAnsiTheme="minorEastAsia" w:cs="Times New Roman" w:hint="eastAsia"/>
          <w:bCs/>
          <w:sz w:val="24"/>
          <w:szCs w:val="24"/>
          <w:lang w:eastAsia="zh-CN"/>
        </w:rPr>
        <w:t>磁控溅射仪</w:t>
      </w:r>
      <w:r>
        <w:rPr>
          <w:rFonts w:asciiTheme="minorEastAsia" w:hAnsiTheme="minorEastAsia" w:cs="Times New Roman" w:hint="eastAsia"/>
          <w:bCs/>
          <w:sz w:val="24"/>
          <w:szCs w:val="24"/>
        </w:rPr>
        <w:t>1套。</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8" w:name="_Hlk17135609"/>
      <w:r>
        <w:rPr>
          <w:rFonts w:asciiTheme="minorEastAsia" w:hAnsiTheme="minorEastAsia" w:hint="eastAsia"/>
          <w:b/>
          <w:sz w:val="24"/>
          <w:szCs w:val="24"/>
        </w:rPr>
        <w:t>采购项目清单：</w:t>
      </w:r>
    </w:p>
    <w:tbl>
      <w:tblPr>
        <w:tblStyle w:val="TableNormal"/>
        <w:tblW w:w="97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4"/>
        <w:gridCol w:w="657"/>
        <w:gridCol w:w="1411"/>
        <w:gridCol w:w="1613"/>
        <w:gridCol w:w="1315"/>
        <w:gridCol w:w="1302"/>
        <w:gridCol w:w="1278"/>
        <w:gridCol w:w="1278"/>
      </w:tblGrid>
      <w:tr>
        <w:tblPrEx>
          <w:tblW w:w="97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01"/>
        </w:trPr>
        <w:tc>
          <w:tcPr>
            <w:tcW w:w="944"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657"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1411"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Ansi="宋体" w:hint="eastAsia"/>
                <w:b/>
                <w:color w:val="000000" w:themeColor="text1"/>
                <w:sz w:val="24"/>
                <w14:textFill>
                  <w14:solidFill>
                    <w14:schemeClr w14:val="tx1"/>
                  </w14:solidFill>
                </w14:textFill>
              </w:rPr>
              <w:t>预算金额</w:t>
            </w:r>
            <w:r>
              <w:rPr>
                <w:rFonts w:ascii="宋体" w:hint="eastAsia"/>
                <w:b/>
                <w:sz w:val="24"/>
              </w:rPr>
              <w:t>（人民币  元）</w:t>
            </w:r>
          </w:p>
        </w:tc>
        <w:tc>
          <w:tcPr>
            <w:tcW w:w="1613"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最高限价</w:t>
            </w:r>
          </w:p>
          <w:p>
            <w:pPr>
              <w:snapToGrid w:val="0"/>
              <w:jc w:val="center"/>
              <w:rPr>
                <w:rFonts w:ascii="宋体"/>
                <w:b/>
                <w:sz w:val="24"/>
              </w:rPr>
            </w:pPr>
            <w:r>
              <w:rPr>
                <w:rFonts w:ascii="宋体" w:hint="eastAsia"/>
                <w:b/>
                <w:sz w:val="24"/>
              </w:rPr>
              <w:t>（人民币  元）</w:t>
            </w:r>
          </w:p>
        </w:tc>
        <w:tc>
          <w:tcPr>
            <w:tcW w:w="1315"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核心产品</w:t>
            </w:r>
          </w:p>
        </w:tc>
        <w:tc>
          <w:tcPr>
            <w:tcW w:w="1302"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1278" w:type="dxa"/>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c>
          <w:tcPr>
            <w:tcW w:w="1278" w:type="dxa"/>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Theme="minorEastAsia" w:eastAsiaTheme="minorEastAsia" w:hAnsiTheme="minorEastAsia" w:hint="eastAsia"/>
                <w:b/>
                <w:bCs/>
                <w:sz w:val="24"/>
              </w:rPr>
              <w:t>允许采购</w:t>
            </w:r>
          </w:p>
          <w:p>
            <w:pPr>
              <w:snapToGrid w:val="0"/>
              <w:jc w:val="center"/>
              <w:rPr>
                <w:rFonts w:ascii="宋体"/>
                <w:b/>
                <w:sz w:val="24"/>
              </w:rPr>
            </w:pPr>
            <w:r>
              <w:rPr>
                <w:rFonts w:asciiTheme="minorEastAsia" w:eastAsiaTheme="minorEastAsia" w:hAnsiTheme="minorEastAsia" w:hint="eastAsia"/>
                <w:b/>
                <w:bCs/>
                <w:sz w:val="24"/>
              </w:rPr>
              <w:t>进口产品</w:t>
            </w:r>
          </w:p>
        </w:tc>
      </w:tr>
      <w:tr>
        <w:tblPrEx>
          <w:tblW w:w="9798" w:type="dxa"/>
          <w:tblInd w:w="0" w:type="dxa"/>
          <w:tblLayout w:type="fixed"/>
          <w:tblCellMar>
            <w:top w:w="0" w:type="dxa"/>
            <w:left w:w="108" w:type="dxa"/>
            <w:bottom w:w="0" w:type="dxa"/>
            <w:right w:w="108" w:type="dxa"/>
          </w:tblCellMar>
        </w:tblPrEx>
        <w:trPr>
          <w:cantSplit/>
          <w:trHeight w:val="691"/>
        </w:trPr>
        <w:tc>
          <w:tcPr>
            <w:tcW w:w="944" w:type="dxa"/>
            <w:tcBorders>
              <w:left w:val="single" w:sz="4" w:space="0" w:color="auto"/>
              <w:right w:val="single" w:sz="4" w:space="0" w:color="auto"/>
            </w:tcBorders>
            <w:vAlign w:val="center"/>
          </w:tcPr>
          <w:p>
            <w:pPr>
              <w:snapToGrid w:val="0"/>
              <w:jc w:val="center"/>
              <w:rPr>
                <w:rFonts w:ascii="宋体" w:eastAsia="宋体" w:hint="eastAsia"/>
                <w:bCs/>
                <w:sz w:val="24"/>
                <w:lang w:eastAsia="zh-CN"/>
              </w:rPr>
            </w:pPr>
            <w:r>
              <w:rPr>
                <w:rFonts w:asciiTheme="minorEastAsia" w:hAnsiTheme="minorEastAsia" w:hint="eastAsia"/>
                <w:bCs/>
                <w:sz w:val="24"/>
                <w:lang w:eastAsia="zh-CN"/>
              </w:rPr>
              <w:t>磁控溅射仪</w:t>
            </w:r>
          </w:p>
        </w:tc>
        <w:tc>
          <w:tcPr>
            <w:tcW w:w="657" w:type="dxa"/>
            <w:tcBorders>
              <w:left w:val="single" w:sz="4" w:space="0" w:color="auto"/>
              <w:right w:val="single" w:sz="4" w:space="0" w:color="auto"/>
            </w:tcBorders>
            <w:vAlign w:val="center"/>
          </w:tcPr>
          <w:p>
            <w:pPr>
              <w:snapToGrid w:val="0"/>
              <w:jc w:val="center"/>
              <w:rPr>
                <w:rFonts w:ascii="宋体"/>
                <w:bCs/>
                <w:sz w:val="24"/>
              </w:rPr>
            </w:pPr>
            <w:r>
              <w:rPr>
                <w:rFonts w:ascii="宋体" w:hAnsi="宋体" w:cs="宋体" w:hint="eastAsia"/>
                <w:color w:val="000000"/>
                <w:sz w:val="24"/>
                <w:highlight w:val="none"/>
              </w:rPr>
              <w:t>1套</w:t>
            </w:r>
          </w:p>
        </w:tc>
        <w:tc>
          <w:tcPr>
            <w:tcW w:w="1411"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1,512,000.00</w:t>
            </w:r>
          </w:p>
        </w:tc>
        <w:tc>
          <w:tcPr>
            <w:tcW w:w="1613"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1,512,000.00</w:t>
            </w:r>
          </w:p>
        </w:tc>
        <w:tc>
          <w:tcPr>
            <w:tcW w:w="1315"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eastAsia="宋体" w:hAnsi="宋体" w:hint="eastAsia"/>
                <w:snapToGrid/>
                <w:spacing w:val="0"/>
                <w:kern w:val="2"/>
                <w:szCs w:val="24"/>
                <w:lang w:eastAsia="zh-CN"/>
              </w:rPr>
            </w:pPr>
            <w:r>
              <w:rPr>
                <w:rFonts w:asciiTheme="minorEastAsia" w:hAnsiTheme="minorEastAsia" w:hint="eastAsia"/>
                <w:bCs/>
                <w:szCs w:val="24"/>
                <w:lang w:eastAsia="zh-CN"/>
              </w:rPr>
              <w:t>磁控溅射仪</w:t>
            </w:r>
          </w:p>
        </w:tc>
        <w:tc>
          <w:tcPr>
            <w:tcW w:w="1302"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eastAsia="宋体" w:hAnsi="宋体" w:hint="eastAsia"/>
                <w:snapToGrid/>
                <w:spacing w:val="0"/>
                <w:kern w:val="2"/>
                <w:szCs w:val="24"/>
                <w:lang w:eastAsia="zh-CN"/>
              </w:rPr>
            </w:pPr>
            <w:r>
              <w:rPr>
                <w:rFonts w:asciiTheme="minorEastAsia" w:hAnsiTheme="minorEastAsia" w:hint="eastAsia"/>
                <w:bCs/>
                <w:szCs w:val="24"/>
                <w:lang w:eastAsia="zh-CN"/>
              </w:rPr>
              <w:t>磁控溅射仪</w:t>
            </w:r>
          </w:p>
        </w:tc>
        <w:tc>
          <w:tcPr>
            <w:tcW w:w="1278"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工业</w:t>
            </w:r>
          </w:p>
        </w:tc>
        <w:tc>
          <w:tcPr>
            <w:tcW w:w="1278"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否</w:t>
            </w:r>
          </w:p>
        </w:tc>
      </w:tr>
    </w:tbl>
    <w:p>
      <w:pPr>
        <w:pStyle w:val="PlainText"/>
        <w:adjustRightInd w:val="0"/>
        <w:snapToGrid w:val="0"/>
        <w:spacing w:line="360" w:lineRule="auto"/>
        <w:rPr>
          <w:rFonts w:asciiTheme="minorEastAsia" w:hAnsiTheme="minorEastAsia"/>
          <w:bCs/>
          <w:sz w:val="24"/>
        </w:rPr>
      </w:pPr>
      <w:r>
        <w:rPr>
          <w:rFonts w:asciiTheme="minorEastAsia" w:hAnsiTheme="minorEastAsia" w:hint="eastAsia"/>
          <w:bCs/>
          <w:sz w:val="24"/>
        </w:rPr>
        <w:t>备注：</w:t>
      </w:r>
    </w:p>
    <w:p>
      <w:pPr>
        <w:numPr>
          <w:ilvl w:val="0"/>
          <w:numId w:val="4"/>
        </w:numPr>
        <w:snapToGrid w:val="0"/>
        <w:spacing w:line="360" w:lineRule="auto"/>
        <w:ind w:left="590"/>
        <w:rPr>
          <w:rFonts w:asciiTheme="minorEastAsia" w:eastAsiaTheme="minorEastAsia" w:hAnsiTheme="minorEastAsia" w:cs="宋体"/>
          <w:sz w:val="24"/>
          <w:lang w:eastAsia="zh-TW"/>
        </w:rPr>
      </w:pP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numPr>
          <w:ilvl w:val="0"/>
          <w:numId w:val="4"/>
        </w:numPr>
        <w:snapToGrid w:val="0"/>
        <w:spacing w:line="360" w:lineRule="auto"/>
        <w:ind w:left="590"/>
        <w:rPr>
          <w:rFonts w:asciiTheme="minorEastAsia" w:eastAsiaTheme="minorEastAsia" w:hAnsiTheme="minorEastAsia" w:cs="宋体"/>
          <w:sz w:val="24"/>
          <w:lang w:eastAsia="zh-TW"/>
        </w:rPr>
      </w:pPr>
      <w:r>
        <w:rPr>
          <w:rFonts w:asciiTheme="minorEastAsia" w:eastAsiaTheme="minorEastAsia" w:hAnsiTheme="minorEastAsia" w:cs="宋体" w:hint="eastAsia"/>
          <w:sz w:val="24"/>
          <w:lang w:eastAsia="zh-TW"/>
        </w:rPr>
        <w:t>投标人投标时，</w:t>
      </w:r>
      <w:r>
        <w:rPr>
          <w:rFonts w:asciiTheme="minorEastAsia" w:eastAsiaTheme="minorEastAsia" w:hAnsiTheme="minorEastAsia" w:cs="宋体" w:hint="eastAsia"/>
          <w:sz w:val="24"/>
        </w:rPr>
        <w:t>采购的核心产品</w:t>
      </w:r>
      <w:r>
        <w:rPr>
          <w:rFonts w:asciiTheme="minorEastAsia" w:eastAsiaTheme="minorEastAsia" w:hAnsiTheme="minorEastAsia" w:cs="宋体" w:hint="eastAsia"/>
          <w:sz w:val="24"/>
          <w:lang w:eastAsia="zh-TW"/>
        </w:rPr>
        <w:t>应在</w:t>
      </w:r>
      <w:r>
        <w:rPr>
          <w:rFonts w:asciiTheme="minorEastAsia" w:eastAsiaTheme="minorEastAsia" w:hAnsiTheme="minorEastAsia" w:cs="宋体" w:hint="eastAsia"/>
          <w:sz w:val="24"/>
        </w:rPr>
        <w:t>《开标一览表》或</w:t>
      </w:r>
      <w:r>
        <w:rPr>
          <w:rFonts w:asciiTheme="minorEastAsia" w:eastAsiaTheme="minorEastAsia" w:hAnsiTheme="minorEastAsia" w:cs="宋体" w:hint="eastAsia"/>
          <w:sz w:val="24"/>
          <w:lang w:eastAsia="zh-TW"/>
        </w:rPr>
        <w:t>《投标分项报价表》中清晰列明“产品名称、品牌”</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eastAsia="zh-TW"/>
        </w:rPr>
        <w:t>否则，视为无效投标。</w:t>
      </w:r>
      <w:bookmarkEnd w:id="78"/>
    </w:p>
    <w:p>
      <w:pPr>
        <w:pStyle w:val="PlainText"/>
        <w:numPr>
          <w:ilvl w:val="0"/>
          <w:numId w:val="2"/>
        </w:numPr>
        <w:tabs>
          <w:tab w:val="left" w:pos="540"/>
        </w:tabs>
        <w:adjustRightInd w:val="0"/>
        <w:snapToGrid w:val="0"/>
        <w:spacing w:line="360" w:lineRule="auto"/>
        <w:textAlignment w:val="baseline"/>
        <w:rPr>
          <w:rFonts w:hAnsi="宋体"/>
          <w:b/>
          <w:sz w:val="24"/>
          <w:szCs w:val="24"/>
        </w:rPr>
      </w:pPr>
      <w:bookmarkStart w:id="79" w:name="_Hlk62059828"/>
      <w:bookmarkStart w:id="80" w:name="_Hlk17136717"/>
      <w:r>
        <w:rPr>
          <w:rFonts w:hAnsi="宋体" w:hint="eastAsia"/>
          <w:b/>
          <w:sz w:val="24"/>
          <w:szCs w:val="24"/>
        </w:rPr>
        <w:t>货物需求一览表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78"/>
        <w:gridCol w:w="2745"/>
        <w:gridCol w:w="2147"/>
        <w:gridCol w:w="304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4"/>
          <w:jc w:val="center"/>
        </w:trPr>
        <w:tc>
          <w:tcPr>
            <w:tcW w:w="1178" w:type="dxa"/>
            <w:vAlign w:val="center"/>
          </w:tcPr>
          <w:p>
            <w:pPr>
              <w:jc w:val="center"/>
              <w:rPr>
                <w:rFonts w:ascii="宋体" w:hAnsi="宋体" w:cs="宋体"/>
                <w:b/>
                <w:bCs/>
                <w:color w:val="000000"/>
                <w:sz w:val="24"/>
              </w:rPr>
            </w:pPr>
            <w:bookmarkEnd w:id="79"/>
            <w:r>
              <w:rPr>
                <w:rFonts w:ascii="宋体" w:hAnsi="宋体" w:cs="宋体" w:hint="eastAsia"/>
                <w:b/>
                <w:bCs/>
                <w:color w:val="000000"/>
                <w:sz w:val="24"/>
              </w:rPr>
              <w:t>序号</w:t>
            </w:r>
          </w:p>
        </w:tc>
        <w:tc>
          <w:tcPr>
            <w:tcW w:w="2745" w:type="dxa"/>
            <w:vAlign w:val="center"/>
          </w:tcPr>
          <w:p>
            <w:pPr>
              <w:jc w:val="center"/>
              <w:rPr>
                <w:rFonts w:ascii="宋体" w:hAnsi="宋体" w:cs="宋体"/>
                <w:b/>
                <w:bCs/>
                <w:color w:val="000000"/>
                <w:sz w:val="24"/>
              </w:rPr>
            </w:pPr>
            <w:r>
              <w:rPr>
                <w:rFonts w:ascii="宋体" w:hAnsi="宋体" w:cs="宋体" w:hint="eastAsia"/>
                <w:b/>
                <w:bCs/>
                <w:color w:val="000000"/>
                <w:sz w:val="24"/>
              </w:rPr>
              <w:t>名称</w:t>
            </w:r>
          </w:p>
        </w:tc>
        <w:tc>
          <w:tcPr>
            <w:tcW w:w="2147" w:type="dxa"/>
            <w:vAlign w:val="center"/>
          </w:tcPr>
          <w:p>
            <w:pPr>
              <w:jc w:val="center"/>
              <w:rPr>
                <w:rFonts w:ascii="宋体" w:hAnsi="宋体" w:cs="宋体"/>
                <w:b/>
                <w:bCs/>
                <w:color w:val="000000"/>
                <w:sz w:val="24"/>
              </w:rPr>
            </w:pPr>
            <w:r>
              <w:rPr>
                <w:rFonts w:ascii="宋体" w:hAnsi="宋体" w:cs="宋体" w:hint="eastAsia"/>
                <w:b/>
                <w:bCs/>
                <w:color w:val="000000"/>
                <w:sz w:val="24"/>
              </w:rPr>
              <w:t>规格</w:t>
            </w:r>
          </w:p>
        </w:tc>
        <w:tc>
          <w:tcPr>
            <w:tcW w:w="3049" w:type="dxa"/>
            <w:vAlign w:val="center"/>
          </w:tcPr>
          <w:p>
            <w:pPr>
              <w:jc w:val="center"/>
              <w:rPr>
                <w:rFonts w:ascii="宋体" w:hAnsi="宋体" w:cs="宋体"/>
                <w:b/>
                <w:bCs/>
                <w:color w:val="000000"/>
                <w:sz w:val="24"/>
              </w:rPr>
            </w:pPr>
            <w:r>
              <w:rPr>
                <w:rFonts w:ascii="宋体" w:hAnsi="宋体" w:cs="宋体" w:hint="eastAsia"/>
                <w:b/>
                <w:bCs/>
                <w:color w:val="000000"/>
                <w:sz w:val="24"/>
              </w:rPr>
              <w:t>数量</w:t>
            </w:r>
          </w:p>
        </w:tc>
      </w:tr>
      <w:tr>
        <w:tblPrEx>
          <w:tblW w:w="0" w:type="auto"/>
          <w:jc w:val="center"/>
          <w:tblCellMar>
            <w:top w:w="0" w:type="dxa"/>
            <w:left w:w="108" w:type="dxa"/>
            <w:bottom w:w="0" w:type="dxa"/>
            <w:right w:w="108" w:type="dxa"/>
          </w:tblCellMar>
        </w:tblPrEx>
        <w:trPr>
          <w:trHeight w:val="482"/>
          <w:jc w:val="center"/>
        </w:trPr>
        <w:tc>
          <w:tcPr>
            <w:tcW w:w="1178" w:type="dxa"/>
            <w:vAlign w:val="center"/>
          </w:tcPr>
          <w:p>
            <w:pPr>
              <w:jc w:val="center"/>
              <w:rPr>
                <w:rFonts w:ascii="宋体" w:hAnsi="宋体" w:cs="宋体"/>
                <w:color w:val="000000"/>
                <w:position w:val="-20"/>
                <w:sz w:val="24"/>
              </w:rPr>
            </w:pPr>
            <w:r>
              <w:rPr>
                <w:rFonts w:ascii="宋体" w:hAnsi="宋体" w:cs="宋体" w:hint="eastAsia"/>
                <w:color w:val="000000"/>
                <w:position w:val="-20"/>
                <w:sz w:val="24"/>
              </w:rPr>
              <w:t>1</w:t>
            </w:r>
          </w:p>
        </w:tc>
        <w:tc>
          <w:tcPr>
            <w:tcW w:w="2745" w:type="dxa"/>
            <w:vAlign w:val="center"/>
          </w:tcPr>
          <w:p>
            <w:pPr>
              <w:jc w:val="center"/>
              <w:rPr>
                <w:rFonts w:ascii="宋体" w:hAnsi="宋体" w:cs="宋体"/>
                <w:color w:val="000000"/>
                <w:sz w:val="24"/>
                <w:highlight w:val="none"/>
              </w:rPr>
            </w:pPr>
            <w:r>
              <w:rPr>
                <w:rFonts w:ascii="宋体" w:hAnsi="宋体" w:cs="宋体" w:hint="eastAsia"/>
                <w:color w:val="000000"/>
                <w:position w:val="-20"/>
                <w:sz w:val="24"/>
                <w:highlight w:val="none"/>
                <w:lang w:val="en-US" w:eastAsia="zh-CN"/>
              </w:rPr>
              <w:t>主机：（包含溅射腔室、溅射腔室真空系统、靶枪及电源、工艺气体、进样腔室、进样腔室真空系统、进样室传样及储存系统、辅助系统</w:t>
            </w:r>
            <w:r>
              <w:rPr>
                <w:rFonts w:ascii="宋体" w:hAnsi="宋体" w:cs="宋体" w:hint="eastAsia"/>
                <w:color w:val="000000"/>
                <w:position w:val="-20"/>
                <w:sz w:val="24"/>
                <w:highlight w:val="none"/>
                <w:lang w:eastAsia="zh-CN"/>
              </w:rPr>
              <w:t>）</w:t>
            </w:r>
          </w:p>
        </w:tc>
        <w:tc>
          <w:tcPr>
            <w:tcW w:w="2147" w:type="dxa"/>
            <w:vAlign w:val="center"/>
          </w:tcPr>
          <w:p>
            <w:pPr>
              <w:jc w:val="center"/>
              <w:rPr>
                <w:rFonts w:ascii="宋体" w:hAnsi="宋体" w:cs="宋体"/>
                <w:color w:val="000000"/>
                <w:position w:val="-20"/>
                <w:sz w:val="24"/>
                <w:highlight w:val="none"/>
              </w:rPr>
            </w:pPr>
            <w:r>
              <w:rPr>
                <w:rFonts w:ascii="宋体" w:hAnsi="宋体" w:cs="宋体" w:hint="eastAsia"/>
                <w:color w:val="000000"/>
                <w:position w:val="-20"/>
                <w:sz w:val="24"/>
                <w:highlight w:val="none"/>
              </w:rPr>
              <w:t>详见4.技术要求</w:t>
            </w:r>
          </w:p>
        </w:tc>
        <w:tc>
          <w:tcPr>
            <w:tcW w:w="3049" w:type="dxa"/>
            <w:vAlign w:val="center"/>
          </w:tcPr>
          <w:p>
            <w:pPr>
              <w:jc w:val="center"/>
              <w:rPr>
                <w:rFonts w:ascii="宋体" w:hAnsi="宋体" w:cs="宋体"/>
                <w:color w:val="000000"/>
                <w:sz w:val="24"/>
                <w:highlight w:val="none"/>
              </w:rPr>
            </w:pPr>
            <w:r>
              <w:rPr>
                <w:rFonts w:ascii="宋体" w:hAnsi="宋体" w:cs="宋体" w:hint="eastAsia"/>
                <w:color w:val="000000"/>
                <w:sz w:val="24"/>
                <w:highlight w:val="none"/>
              </w:rPr>
              <w:t>1套</w:t>
            </w:r>
          </w:p>
        </w:tc>
      </w:tr>
      <w:tr>
        <w:tblPrEx>
          <w:tblW w:w="0" w:type="auto"/>
          <w:jc w:val="center"/>
          <w:tblCellMar>
            <w:top w:w="0" w:type="dxa"/>
            <w:left w:w="108" w:type="dxa"/>
            <w:bottom w:w="0" w:type="dxa"/>
            <w:right w:w="108" w:type="dxa"/>
          </w:tblCellMar>
        </w:tblPrEx>
        <w:trPr>
          <w:trHeight w:val="482"/>
          <w:jc w:val="center"/>
        </w:trPr>
        <w:tc>
          <w:tcPr>
            <w:tcW w:w="1178" w:type="dxa"/>
            <w:vAlign w:val="center"/>
          </w:tcPr>
          <w:p>
            <w:pPr>
              <w:jc w:val="center"/>
              <w:rPr>
                <w:rFonts w:ascii="宋体" w:hAnsi="宋体" w:cs="宋体"/>
                <w:color w:val="000000"/>
                <w:position w:val="-20"/>
                <w:sz w:val="24"/>
              </w:rPr>
            </w:pPr>
            <w:r>
              <w:rPr>
                <w:rFonts w:ascii="宋体" w:hAnsi="宋体" w:cs="宋体" w:hint="eastAsia"/>
                <w:color w:val="000000"/>
                <w:position w:val="-20"/>
                <w:sz w:val="24"/>
              </w:rPr>
              <w:t>2</w:t>
            </w:r>
          </w:p>
        </w:tc>
        <w:tc>
          <w:tcPr>
            <w:tcW w:w="2745" w:type="dxa"/>
            <w:vAlign w:val="center"/>
          </w:tcPr>
          <w:p>
            <w:pPr>
              <w:jc w:val="center"/>
              <w:rPr>
                <w:rFonts w:ascii="宋体" w:hAnsi="宋体" w:cs="宋体"/>
                <w:color w:val="000000"/>
                <w:sz w:val="24"/>
                <w:highlight w:val="none"/>
              </w:rPr>
            </w:pPr>
            <w:r>
              <w:rPr>
                <w:rFonts w:ascii="宋体" w:hAnsi="宋体" w:cs="宋体" w:hint="eastAsia"/>
                <w:color w:val="000000"/>
                <w:position w:val="-20"/>
                <w:sz w:val="24"/>
                <w:highlight w:val="none"/>
              </w:rPr>
              <w:t>高温样品台</w:t>
            </w:r>
          </w:p>
        </w:tc>
        <w:tc>
          <w:tcPr>
            <w:tcW w:w="2147" w:type="dxa"/>
            <w:vAlign w:val="center"/>
          </w:tcPr>
          <w:p>
            <w:pPr>
              <w:jc w:val="center"/>
              <w:rPr>
                <w:rFonts w:ascii="宋体" w:hAnsi="宋体" w:cs="宋体"/>
                <w:color w:val="000000"/>
                <w:sz w:val="24"/>
                <w:highlight w:val="none"/>
              </w:rPr>
            </w:pPr>
            <w:r>
              <w:rPr>
                <w:rFonts w:ascii="宋体" w:hAnsi="宋体" w:cs="宋体" w:hint="eastAsia"/>
                <w:color w:val="000000"/>
                <w:position w:val="-20"/>
                <w:sz w:val="24"/>
                <w:highlight w:val="none"/>
              </w:rPr>
              <w:t>详见4.技术要求</w:t>
            </w:r>
          </w:p>
        </w:tc>
        <w:tc>
          <w:tcPr>
            <w:tcW w:w="3049" w:type="dxa"/>
            <w:vAlign w:val="center"/>
          </w:tcPr>
          <w:p>
            <w:pPr>
              <w:jc w:val="center"/>
              <w:rPr>
                <w:rFonts w:ascii="宋体" w:hAnsi="宋体" w:cs="宋体"/>
                <w:color w:val="000000"/>
                <w:sz w:val="24"/>
                <w:highlight w:val="none"/>
              </w:rPr>
            </w:pPr>
            <w:r>
              <w:rPr>
                <w:rFonts w:ascii="宋体" w:hAnsi="宋体" w:cs="宋体" w:hint="eastAsia"/>
                <w:color w:val="000000"/>
                <w:sz w:val="24"/>
                <w:highlight w:val="none"/>
              </w:rPr>
              <w:t>1套</w:t>
            </w:r>
          </w:p>
        </w:tc>
      </w:tr>
    </w:tbl>
    <w:p>
      <w:pPr>
        <w:pStyle w:val="PlainText"/>
        <w:keepNext w:val="0"/>
        <w:keepLines w:val="0"/>
        <w:pageBreakBefore w:val="0"/>
        <w:widowControl w:val="0"/>
        <w:numPr>
          <w:ilvl w:val="0"/>
          <w:numId w:val="2"/>
        </w:numPr>
        <w:tabs>
          <w:tab w:val="left" w:pos="54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技术</w:t>
      </w:r>
      <w:bookmarkStart w:id="81" w:name="_Hlk30666195"/>
      <w:r>
        <w:rPr>
          <w:rFonts w:ascii="宋体" w:eastAsia="宋体" w:hAnsi="宋体" w:cs="宋体" w:hint="eastAsia"/>
          <w:b/>
          <w:sz w:val="24"/>
          <w:szCs w:val="24"/>
        </w:rPr>
        <w:t>规格</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1．用途</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磁控溅射仪</w:t>
      </w:r>
      <w:r>
        <w:rPr>
          <w:rFonts w:ascii="宋体" w:eastAsia="宋体" w:hAnsi="宋体" w:cs="宋体" w:hint="eastAsia"/>
          <w:bCs/>
          <w:sz w:val="24"/>
          <w:szCs w:val="24"/>
        </w:rPr>
        <w:t>可用于材料科学实验教学，帮助学生了解溅射技术在材料制备中的应用。学生可以通过调节溅射参数和材料组合，实现不同材料薄膜的制备，了解不同材料的特性和应用领域。此外，磁控溅射在薄膜制备与表征、界面和界面工程、光学薄膜和光学器件等方面有广泛的应用，在材料科研研究中有重要的作用</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2．工作条件</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2.1工作温度和湿度：15℃-25℃，相对湿度≤60%。</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2.2 电力要求：三相五线制，380V，50Hz，10kW。</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2.3 场地要求：接地。</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3．配置要求</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3.1 主机（包括溅射腔室、溅射腔室真空系统、靶枪及电源，工艺气体、进样腔室、进样腔室真空系统、进样室传样及储存系统，辅助系统）1套。</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3.2 高温样品台 1套</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4．技术要求</w:t>
      </w:r>
    </w:p>
    <w:p>
      <w:pPr>
        <w:spacing w:line="360" w:lineRule="auto"/>
        <w:ind w:left="680" w:right="210" w:hanging="256" w:leftChars="202" w:rightChars="100" w:hangingChars="122"/>
        <w:rPr>
          <w:b/>
          <w:bCs/>
          <w:color w:val="000000"/>
          <w:position w:val="-20"/>
          <w:sz w:val="24"/>
        </w:rPr>
      </w:pPr>
      <w:r>
        <w:rPr>
          <w:rFonts w:hint="eastAsia"/>
          <w:b/>
          <w:bCs/>
          <w:color w:val="000000"/>
          <w:position w:val="-20"/>
          <w:sz w:val="24"/>
        </w:rPr>
        <w:t>4.1  溅射腔室技术要求</w:t>
      </w:r>
    </w:p>
    <w:p>
      <w:pPr>
        <w:spacing w:line="360" w:lineRule="auto"/>
        <w:ind w:left="424" w:right="210" w:leftChars="202" w:rightChars="100"/>
        <w:rPr>
          <w:color w:val="000000"/>
          <w:position w:val="-20"/>
          <w:sz w:val="24"/>
        </w:rPr>
      </w:pPr>
      <w:r>
        <w:rPr>
          <w:rFonts w:hint="eastAsia"/>
          <w:color w:val="000000"/>
          <w:position w:val="-20"/>
          <w:sz w:val="24"/>
        </w:rPr>
        <w:t>▲4</w:t>
      </w:r>
      <w:r>
        <w:rPr>
          <w:color w:val="000000"/>
          <w:position w:val="-20"/>
          <w:sz w:val="24"/>
        </w:rPr>
        <w:t xml:space="preserve">.1.1 </w:t>
      </w:r>
      <w:r>
        <w:rPr>
          <w:rFonts w:hint="eastAsia"/>
          <w:color w:val="000000"/>
          <w:position w:val="-20"/>
          <w:sz w:val="24"/>
        </w:rPr>
        <w:t>溅射腔室采用不锈钢3</w:t>
      </w:r>
      <w:r>
        <w:rPr>
          <w:color w:val="000000"/>
          <w:position w:val="-20"/>
          <w:sz w:val="24"/>
        </w:rPr>
        <w:t>16L</w:t>
      </w:r>
      <w:r>
        <w:rPr>
          <w:rFonts w:hint="eastAsia"/>
          <w:color w:val="000000"/>
          <w:position w:val="-20"/>
          <w:sz w:val="24"/>
        </w:rPr>
        <w:t>材质，腔室上法兰密封需满足兼容超高真空和高真空应用，需提供不锈钢316L检测报告扫描件，原件备查。</w:t>
      </w:r>
    </w:p>
    <w:p>
      <w:pPr>
        <w:spacing w:line="360" w:lineRule="auto"/>
        <w:ind w:left="424" w:right="210" w:leftChars="202" w:rightChars="100"/>
        <w:rPr>
          <w:color w:val="000000"/>
          <w:position w:val="-20"/>
          <w:sz w:val="24"/>
        </w:rPr>
      </w:pPr>
      <w:r>
        <w:rPr>
          <w:color w:val="000000"/>
          <w:position w:val="-20"/>
          <w:sz w:val="24"/>
        </w:rPr>
        <w:t xml:space="preserve">4.1.2 </w:t>
      </w:r>
      <w:r>
        <w:rPr>
          <w:rFonts w:hint="eastAsia"/>
          <w:color w:val="000000"/>
          <w:position w:val="-20"/>
          <w:sz w:val="24"/>
        </w:rPr>
        <w:t>腔室法兰可以满足二维运动，方便更换靶枪及腔室内维护需求。</w:t>
      </w:r>
    </w:p>
    <w:p>
      <w:pPr>
        <w:spacing w:line="360" w:lineRule="auto"/>
        <w:ind w:left="424" w:right="210" w:leftChars="202" w:rightChars="100"/>
        <w:rPr>
          <w:rFonts w:hint="eastAsia"/>
          <w:color w:val="000000"/>
          <w:position w:val="-20"/>
          <w:sz w:val="24"/>
        </w:rPr>
      </w:pPr>
      <w:r>
        <w:rPr>
          <w:color w:val="000000"/>
          <w:position w:val="-20"/>
          <w:sz w:val="24"/>
        </w:rPr>
        <w:t xml:space="preserve">4.1.3 </w:t>
      </w:r>
      <w:r>
        <w:rPr>
          <w:rFonts w:hint="eastAsia"/>
          <w:color w:val="000000"/>
          <w:position w:val="-20"/>
          <w:sz w:val="24"/>
        </w:rPr>
        <w:t>腔室要求配有全遮挡超高真空挡板和视窗。</w:t>
      </w:r>
    </w:p>
    <w:p>
      <w:pPr>
        <w:spacing w:line="360" w:lineRule="auto"/>
        <w:ind w:left="680" w:right="210" w:hanging="256" w:leftChars="202" w:rightChars="100" w:hangingChars="122"/>
        <w:rPr>
          <w:rFonts w:hint="eastAsia"/>
          <w:b/>
          <w:bCs/>
          <w:color w:val="000000"/>
          <w:position w:val="-20"/>
          <w:sz w:val="24"/>
        </w:rPr>
      </w:pPr>
      <w:r>
        <w:rPr>
          <w:rFonts w:hint="eastAsia"/>
          <w:b/>
          <w:bCs/>
          <w:color w:val="000000"/>
          <w:position w:val="-20"/>
          <w:sz w:val="24"/>
        </w:rPr>
        <w:t>4.2 溅射腔室真空系统技术要求：</w:t>
      </w:r>
    </w:p>
    <w:p>
      <w:pPr>
        <w:spacing w:line="360" w:lineRule="auto"/>
        <w:ind w:left="680" w:hanging="256" w:leftChars="202" w:hangingChars="122"/>
        <w:rPr>
          <w:rFonts w:hint="eastAsia"/>
          <w:color w:val="000000"/>
          <w:position w:val="-20"/>
          <w:sz w:val="24"/>
        </w:rPr>
      </w:pPr>
      <w:r>
        <w:rPr>
          <w:rFonts w:hint="eastAsia"/>
          <w:color w:val="000000"/>
          <w:position w:val="-20"/>
          <w:sz w:val="24"/>
        </w:rPr>
        <w:t>▲ 4.2.</w:t>
      </w:r>
      <w:r>
        <w:rPr>
          <w:color w:val="000000"/>
          <w:position w:val="-20"/>
          <w:sz w:val="24"/>
        </w:rPr>
        <w:t>1</w:t>
      </w:r>
      <w:r>
        <w:rPr>
          <w:rFonts w:hint="eastAsia"/>
          <w:color w:val="000000"/>
          <w:position w:val="-20"/>
          <w:sz w:val="24"/>
        </w:rPr>
        <w:t xml:space="preserve">  溅射腔室极限真空：≤5x10</w:t>
      </w:r>
      <w:r>
        <w:rPr>
          <w:rFonts w:hint="eastAsia"/>
          <w:color w:val="000000"/>
          <w:position w:val="-20"/>
          <w:sz w:val="24"/>
          <w:vertAlign w:val="superscript"/>
        </w:rPr>
        <w:t>-10</w:t>
      </w:r>
      <w:r>
        <w:rPr>
          <w:rFonts w:hint="eastAsia"/>
          <w:color w:val="000000"/>
          <w:position w:val="-20"/>
          <w:sz w:val="24"/>
        </w:rPr>
        <w:t xml:space="preserve"> Torr。</w:t>
      </w:r>
    </w:p>
    <w:p>
      <w:pPr>
        <w:spacing w:line="360" w:lineRule="auto"/>
        <w:ind w:left="680" w:hanging="256" w:leftChars="202" w:hangingChars="122"/>
        <w:rPr>
          <w:color w:val="000000"/>
          <w:position w:val="-20"/>
          <w:sz w:val="24"/>
        </w:rPr>
      </w:pPr>
      <w:r>
        <w:rPr>
          <w:rFonts w:hint="eastAsia"/>
          <w:color w:val="000000"/>
          <w:position w:val="-20"/>
          <w:sz w:val="24"/>
        </w:rPr>
        <w:t>▲ 4.</w:t>
      </w:r>
      <w:r>
        <w:rPr>
          <w:color w:val="000000"/>
          <w:position w:val="-20"/>
          <w:sz w:val="24"/>
        </w:rPr>
        <w:t>2.2</w:t>
      </w:r>
      <w:r>
        <w:rPr>
          <w:rFonts w:hint="eastAsia"/>
          <w:color w:val="000000"/>
          <w:position w:val="-20"/>
          <w:sz w:val="24"/>
        </w:rPr>
        <w:t xml:space="preserve">  分子泵：抽速≥720 l/s，转速≥49200rpm。</w:t>
      </w:r>
    </w:p>
    <w:p>
      <w:pPr>
        <w:spacing w:line="360" w:lineRule="auto"/>
        <w:ind w:firstLine="420"/>
        <w:rPr>
          <w:color w:val="000000"/>
          <w:position w:val="-20"/>
          <w:sz w:val="24"/>
        </w:rPr>
      </w:pPr>
      <w:r>
        <w:rPr>
          <w:color w:val="000000"/>
          <w:position w:val="-20"/>
          <w:sz w:val="24"/>
        </w:rPr>
        <w:t xml:space="preserve">4.2.3 </w:t>
      </w:r>
      <w:r>
        <w:rPr>
          <w:rFonts w:hint="eastAsia"/>
          <w:color w:val="000000"/>
          <w:position w:val="-20"/>
          <w:sz w:val="24"/>
        </w:rPr>
        <w:t>干泵：抽速≥12 m</w:t>
      </w:r>
      <w:r>
        <w:rPr>
          <w:rFonts w:hint="eastAsia"/>
          <w:color w:val="000000"/>
          <w:position w:val="-20"/>
          <w:sz w:val="24"/>
          <w:vertAlign w:val="superscript"/>
        </w:rPr>
        <w:t>3</w:t>
      </w:r>
      <w:r>
        <w:rPr>
          <w:rFonts w:hint="eastAsia"/>
          <w:color w:val="000000"/>
          <w:position w:val="-20"/>
          <w:sz w:val="24"/>
        </w:rPr>
        <w:t>/h，极限真空≤8x10</w:t>
      </w:r>
      <w:r>
        <w:rPr>
          <w:rFonts w:hint="eastAsia"/>
          <w:color w:val="000000"/>
          <w:position w:val="-20"/>
          <w:sz w:val="24"/>
          <w:vertAlign w:val="superscript"/>
        </w:rPr>
        <w:t xml:space="preserve">-3 </w:t>
      </w:r>
      <w:r>
        <w:rPr>
          <w:rFonts w:hint="eastAsia"/>
          <w:color w:val="000000"/>
          <w:position w:val="-20"/>
          <w:sz w:val="24"/>
        </w:rPr>
        <w:t>mbar。</w:t>
      </w:r>
    </w:p>
    <w:p>
      <w:pPr>
        <w:spacing w:line="360" w:lineRule="auto"/>
        <w:ind w:left="630" w:hanging="210" w:leftChars="200" w:hangingChars="100"/>
        <w:rPr>
          <w:color w:val="000000"/>
          <w:position w:val="-20"/>
          <w:sz w:val="24"/>
        </w:rPr>
      </w:pPr>
      <w:r>
        <w:rPr>
          <w:rFonts w:hint="eastAsia"/>
          <w:color w:val="000000"/>
          <w:position w:val="-20"/>
          <w:sz w:val="24"/>
        </w:rPr>
        <w:t>▲</w:t>
      </w:r>
      <w:r>
        <w:rPr>
          <w:color w:val="000000"/>
          <w:position w:val="-20"/>
          <w:sz w:val="24"/>
        </w:rPr>
        <w:t>4.2.4</w:t>
      </w:r>
      <w:r>
        <w:rPr>
          <w:rFonts w:hint="eastAsia"/>
          <w:color w:val="000000"/>
          <w:position w:val="-20"/>
          <w:sz w:val="24"/>
        </w:rPr>
        <w:t>真空规测量范围2x10</w:t>
      </w:r>
      <w:r>
        <w:rPr>
          <w:rFonts w:hint="eastAsia"/>
          <w:color w:val="000000"/>
          <w:position w:val="-20"/>
          <w:sz w:val="24"/>
          <w:vertAlign w:val="superscript"/>
        </w:rPr>
        <w:t>-11</w:t>
      </w:r>
      <w:r>
        <w:rPr>
          <w:rFonts w:hint="eastAsia"/>
          <w:color w:val="000000"/>
          <w:position w:val="-20"/>
          <w:sz w:val="24"/>
        </w:rPr>
        <w:t xml:space="preserve"> Torr~1atm，需要配有多通道真空规显示器。</w:t>
      </w:r>
    </w:p>
    <w:p>
      <w:pPr>
        <w:spacing w:line="360" w:lineRule="auto"/>
        <w:ind w:firstLine="420"/>
        <w:rPr>
          <w:rFonts w:hint="eastAsia"/>
          <w:color w:val="000000"/>
          <w:position w:val="-20"/>
          <w:sz w:val="24"/>
        </w:rPr>
      </w:pPr>
      <w:r>
        <w:rPr>
          <w:color w:val="000000"/>
          <w:position w:val="-20"/>
          <w:sz w:val="24"/>
        </w:rPr>
        <w:t>4.2.5</w:t>
      </w:r>
      <w:r>
        <w:rPr>
          <w:rFonts w:hint="eastAsia"/>
          <w:color w:val="000000"/>
          <w:position w:val="-20"/>
          <w:sz w:val="24"/>
        </w:rPr>
        <w:t>超高真空插板阀耐烘烤温度≥200℃。</w:t>
      </w:r>
    </w:p>
    <w:p>
      <w:pPr>
        <w:spacing w:line="360" w:lineRule="auto"/>
        <w:ind w:left="680" w:right="210" w:hanging="256" w:leftChars="202" w:rightChars="100" w:hangingChars="122"/>
        <w:rPr>
          <w:rFonts w:hint="eastAsia"/>
          <w:b/>
          <w:bCs/>
          <w:color w:val="000000"/>
          <w:position w:val="-20"/>
          <w:sz w:val="24"/>
        </w:rPr>
      </w:pPr>
      <w:r>
        <w:rPr>
          <w:rFonts w:hint="eastAsia"/>
          <w:b/>
          <w:bCs/>
          <w:color w:val="000000"/>
          <w:position w:val="-20"/>
          <w:sz w:val="24"/>
        </w:rPr>
        <w:t>4.3 高温样品台技术要求</w:t>
      </w:r>
    </w:p>
    <w:p>
      <w:pPr>
        <w:spacing w:line="360" w:lineRule="auto"/>
        <w:ind w:left="424" w:leftChars="202"/>
        <w:rPr>
          <w:color w:val="000000"/>
          <w:position w:val="-20"/>
          <w:sz w:val="24"/>
        </w:rPr>
      </w:pPr>
      <w:r>
        <w:rPr>
          <w:color w:val="000000"/>
          <w:position w:val="-20"/>
          <w:sz w:val="24"/>
        </w:rPr>
        <w:t xml:space="preserve">4.3.1 </w:t>
      </w:r>
      <w:r>
        <w:rPr>
          <w:rFonts w:hint="eastAsia"/>
          <w:color w:val="000000"/>
          <w:position w:val="-20"/>
          <w:sz w:val="24"/>
        </w:rPr>
        <w:t>样品尺寸：4英寸及以下兼容。</w:t>
      </w:r>
    </w:p>
    <w:p>
      <w:pPr>
        <w:spacing w:line="360" w:lineRule="auto"/>
        <w:ind w:left="424" w:leftChars="202"/>
        <w:rPr>
          <w:color w:val="000000"/>
          <w:position w:val="-20"/>
          <w:sz w:val="24"/>
        </w:rPr>
      </w:pPr>
      <w:r>
        <w:rPr>
          <w:rFonts w:hint="eastAsia"/>
          <w:color w:val="000000"/>
          <w:position w:val="-20"/>
          <w:sz w:val="24"/>
        </w:rPr>
        <w:t>▲</w:t>
      </w:r>
      <w:r>
        <w:rPr>
          <w:color w:val="000000"/>
          <w:position w:val="-20"/>
          <w:sz w:val="24"/>
        </w:rPr>
        <w:t xml:space="preserve">4.3.2 </w:t>
      </w:r>
      <w:r>
        <w:rPr>
          <w:rFonts w:hint="eastAsia"/>
          <w:color w:val="000000"/>
          <w:position w:val="-20"/>
          <w:sz w:val="24"/>
        </w:rPr>
        <w:t>样品台温度：温度范围室温-800℃，控温精度≤±0.1℃，耐氧气氛围。</w:t>
      </w:r>
    </w:p>
    <w:p>
      <w:pPr>
        <w:spacing w:line="360" w:lineRule="auto"/>
        <w:ind w:left="424" w:leftChars="202"/>
        <w:rPr>
          <w:color w:val="000000"/>
          <w:position w:val="-20"/>
          <w:sz w:val="24"/>
        </w:rPr>
      </w:pPr>
      <w:r>
        <w:rPr>
          <w:color w:val="000000"/>
          <w:position w:val="-20"/>
          <w:sz w:val="24"/>
        </w:rPr>
        <w:t>4.3.3</w:t>
      </w:r>
      <w:r>
        <w:rPr>
          <w:rFonts w:hint="eastAsia"/>
          <w:color w:val="000000"/>
          <w:position w:val="-20"/>
          <w:sz w:val="24"/>
        </w:rPr>
        <w:t>需要配有样品台旋转功能，旋转速度0-20 rpm可调。</w:t>
      </w:r>
    </w:p>
    <w:p>
      <w:pPr>
        <w:spacing w:line="360" w:lineRule="auto"/>
        <w:ind w:left="424" w:leftChars="202"/>
        <w:rPr>
          <w:color w:val="000000"/>
          <w:position w:val="-20"/>
          <w:sz w:val="24"/>
        </w:rPr>
      </w:pPr>
      <w:r>
        <w:rPr>
          <w:rFonts w:hint="eastAsia"/>
          <w:color w:val="000000"/>
          <w:position w:val="-20"/>
          <w:sz w:val="24"/>
        </w:rPr>
        <w:t>▲</w:t>
      </w:r>
      <w:r>
        <w:rPr>
          <w:color w:val="000000"/>
          <w:position w:val="-20"/>
          <w:sz w:val="24"/>
        </w:rPr>
        <w:t xml:space="preserve">4.3.4 </w:t>
      </w:r>
      <w:r>
        <w:rPr>
          <w:rFonts w:hint="eastAsia"/>
          <w:color w:val="000000"/>
          <w:position w:val="-20"/>
          <w:sz w:val="24"/>
        </w:rPr>
        <w:t>样品台需具备等离子清洗功能。</w:t>
      </w:r>
    </w:p>
    <w:p>
      <w:pPr>
        <w:spacing w:line="360" w:lineRule="auto"/>
        <w:ind w:left="424" w:leftChars="202"/>
        <w:rPr>
          <w:rFonts w:hint="eastAsia"/>
          <w:color w:val="000000"/>
          <w:position w:val="-20"/>
          <w:sz w:val="24"/>
        </w:rPr>
      </w:pPr>
      <w:r>
        <w:rPr>
          <w:rFonts w:hint="eastAsia"/>
          <w:color w:val="000000"/>
          <w:position w:val="-20"/>
          <w:sz w:val="24"/>
        </w:rPr>
        <w:t>4</w:t>
      </w:r>
      <w:r>
        <w:rPr>
          <w:color w:val="000000"/>
          <w:position w:val="-20"/>
          <w:sz w:val="24"/>
        </w:rPr>
        <w:t xml:space="preserve">.3.5 </w:t>
      </w:r>
      <w:r>
        <w:rPr>
          <w:rFonts w:hint="eastAsia"/>
          <w:color w:val="000000"/>
          <w:position w:val="-20"/>
          <w:sz w:val="24"/>
        </w:rPr>
        <w:t>靶基距调节距离≥1</w:t>
      </w:r>
      <w:r>
        <w:rPr>
          <w:color w:val="000000"/>
          <w:position w:val="-20"/>
          <w:sz w:val="24"/>
        </w:rPr>
        <w:t>00</w:t>
      </w:r>
      <w:r>
        <w:rPr>
          <w:rFonts w:hint="eastAsia"/>
          <w:color w:val="000000"/>
          <w:position w:val="-20"/>
          <w:sz w:val="24"/>
        </w:rPr>
        <w:t>mm。</w:t>
      </w:r>
    </w:p>
    <w:p>
      <w:pPr>
        <w:spacing w:line="360" w:lineRule="auto"/>
        <w:ind w:left="1054" w:right="210" w:hanging="630" w:leftChars="202" w:rightChars="100" w:hangingChars="300"/>
        <w:rPr>
          <w:rFonts w:hint="eastAsia"/>
          <w:color w:val="000000"/>
          <w:position w:val="-20"/>
          <w:sz w:val="24"/>
        </w:rPr>
      </w:pPr>
      <w:r>
        <w:rPr>
          <w:color w:val="000000"/>
          <w:position w:val="-20"/>
          <w:sz w:val="24"/>
        </w:rPr>
        <w:t>4.3.6</w:t>
      </w:r>
      <w:r>
        <w:rPr>
          <w:rFonts w:hint="eastAsia"/>
          <w:color w:val="000000"/>
          <w:position w:val="-20"/>
          <w:sz w:val="24"/>
        </w:rPr>
        <w:t>需要配有样品台旋转挡板，生长距离调节时挡板需要满足跟随运动。</w:t>
      </w:r>
    </w:p>
    <w:p>
      <w:pPr>
        <w:spacing w:line="360" w:lineRule="auto"/>
        <w:ind w:left="680" w:right="210" w:hanging="256" w:leftChars="202" w:rightChars="100" w:hangingChars="122"/>
        <w:rPr>
          <w:rFonts w:hint="eastAsia"/>
          <w:b/>
          <w:bCs/>
          <w:color w:val="000000"/>
          <w:position w:val="-20"/>
          <w:sz w:val="24"/>
        </w:rPr>
      </w:pPr>
      <w:r>
        <w:rPr>
          <w:rFonts w:hint="eastAsia"/>
          <w:b/>
          <w:bCs/>
          <w:color w:val="000000"/>
          <w:position w:val="-20"/>
          <w:sz w:val="24"/>
        </w:rPr>
        <w:t>4.4 靶枪及电源技术要求</w:t>
      </w:r>
    </w:p>
    <w:p>
      <w:pPr>
        <w:spacing w:line="360" w:lineRule="auto"/>
        <w:ind w:left="1054" w:hanging="630" w:leftChars="202" w:hangingChars="300"/>
        <w:rPr>
          <w:color w:val="000000"/>
          <w:position w:val="-20"/>
          <w:sz w:val="24"/>
        </w:rPr>
      </w:pPr>
      <w:r>
        <w:rPr>
          <w:rFonts w:hint="eastAsia"/>
          <w:color w:val="000000"/>
          <w:position w:val="-20"/>
          <w:sz w:val="24"/>
        </w:rPr>
        <w:t>★</w:t>
      </w:r>
      <w:r>
        <w:rPr>
          <w:color w:val="000000"/>
          <w:position w:val="-20"/>
          <w:sz w:val="24"/>
        </w:rPr>
        <w:t>4.4.1</w:t>
      </w:r>
      <w:r>
        <w:rPr>
          <w:rFonts w:hint="eastAsia"/>
          <w:color w:val="000000"/>
          <w:position w:val="-20"/>
          <w:sz w:val="24"/>
        </w:rPr>
        <w:t>靶枪数量≥6个，每个靶枪需要配角度调节和气动挡板。</w:t>
      </w:r>
    </w:p>
    <w:p>
      <w:pPr>
        <w:spacing w:line="360" w:lineRule="auto"/>
        <w:ind w:left="1054" w:hanging="630" w:leftChars="202" w:hangingChars="300"/>
        <w:rPr>
          <w:color w:val="000000"/>
          <w:position w:val="-20"/>
          <w:sz w:val="24"/>
        </w:rPr>
      </w:pPr>
      <w:r>
        <w:rPr>
          <w:rFonts w:hint="eastAsia"/>
          <w:color w:val="000000"/>
          <w:position w:val="-20"/>
          <w:sz w:val="24"/>
        </w:rPr>
        <w:t>★</w:t>
      </w:r>
      <w:r>
        <w:rPr>
          <w:color w:val="000000"/>
          <w:position w:val="-20"/>
          <w:sz w:val="24"/>
        </w:rPr>
        <w:t>4.4.2</w:t>
      </w:r>
      <w:r>
        <w:rPr>
          <w:rFonts w:hint="eastAsia"/>
          <w:color w:val="000000"/>
          <w:position w:val="-20"/>
          <w:sz w:val="24"/>
        </w:rPr>
        <w:t>直流电源：功率≥5</w:t>
      </w:r>
      <w:r>
        <w:rPr>
          <w:color w:val="000000"/>
          <w:position w:val="-20"/>
          <w:sz w:val="24"/>
        </w:rPr>
        <w:t>00W</w:t>
      </w:r>
      <w:r>
        <w:rPr>
          <w:rFonts w:hint="eastAsia"/>
          <w:color w:val="000000"/>
          <w:position w:val="-20"/>
          <w:sz w:val="24"/>
        </w:rPr>
        <w:t>，电压0-500V，电流0-2A，输出功率斜波0.001 to 65 /s；HN接头。</w:t>
      </w:r>
    </w:p>
    <w:p>
      <w:pPr>
        <w:spacing w:line="360" w:lineRule="auto"/>
        <w:ind w:left="1054" w:right="210" w:hanging="630" w:leftChars="202" w:rightChars="100" w:hangingChars="300"/>
        <w:rPr>
          <w:color w:val="000000"/>
          <w:position w:val="-20"/>
          <w:sz w:val="24"/>
        </w:rPr>
      </w:pPr>
      <w:r>
        <w:rPr>
          <w:color w:val="000000"/>
          <w:position w:val="-20"/>
          <w:sz w:val="24"/>
        </w:rPr>
        <w:t>4.4.3</w:t>
      </w:r>
      <w:r>
        <w:rPr>
          <w:rFonts w:hint="eastAsia"/>
          <w:color w:val="000000"/>
          <w:position w:val="-20"/>
          <w:sz w:val="24"/>
        </w:rPr>
        <w:t>射频电源：功率≥5</w:t>
      </w:r>
      <w:r>
        <w:rPr>
          <w:color w:val="000000"/>
          <w:position w:val="-20"/>
          <w:sz w:val="24"/>
        </w:rPr>
        <w:t>00W</w:t>
      </w:r>
      <w:r>
        <w:rPr>
          <w:rFonts w:hint="eastAsia"/>
          <w:color w:val="000000"/>
          <w:position w:val="-20"/>
          <w:sz w:val="24"/>
        </w:rPr>
        <w:t>，输出功率稳定不超过设定值的≤±0.5%，工作频率13.56MHz，阻抗匹配范围：（2.7-45）Ω- j（0-70）Ω。</w:t>
      </w:r>
    </w:p>
    <w:p>
      <w:pPr>
        <w:spacing w:line="360" w:lineRule="auto"/>
        <w:ind w:left="1054" w:right="210" w:hanging="630" w:leftChars="202" w:rightChars="100" w:hangingChars="300"/>
        <w:rPr>
          <w:rFonts w:hint="eastAsia"/>
          <w:color w:val="000000"/>
          <w:position w:val="-20"/>
          <w:sz w:val="24"/>
        </w:rPr>
      </w:pPr>
      <w:r>
        <w:rPr>
          <w:color w:val="000000"/>
          <w:position w:val="-20"/>
          <w:sz w:val="24"/>
        </w:rPr>
        <w:t xml:space="preserve">4.4.4 </w:t>
      </w:r>
      <w:r>
        <w:rPr>
          <w:rFonts w:hint="eastAsia"/>
          <w:color w:val="000000"/>
          <w:position w:val="-20"/>
          <w:sz w:val="24"/>
        </w:rPr>
        <w:t>电源切换器：可用于≥5个靶枪间直流切换，远程控制。</w:t>
      </w:r>
    </w:p>
    <w:p>
      <w:pPr>
        <w:spacing w:line="360" w:lineRule="auto"/>
        <w:ind w:left="680" w:right="210" w:hanging="256" w:leftChars="202" w:rightChars="100" w:hangingChars="122"/>
        <w:rPr>
          <w:rFonts w:hint="eastAsia"/>
          <w:b/>
          <w:bCs/>
          <w:color w:val="000000"/>
          <w:position w:val="-20"/>
          <w:sz w:val="24"/>
        </w:rPr>
      </w:pPr>
      <w:r>
        <w:rPr>
          <w:rFonts w:hint="eastAsia"/>
          <w:b/>
          <w:bCs/>
          <w:color w:val="000000"/>
          <w:position w:val="-20"/>
          <w:sz w:val="24"/>
        </w:rPr>
        <w:t>4.5工艺气体技术要求</w:t>
      </w:r>
    </w:p>
    <w:p>
      <w:pPr>
        <w:spacing w:line="360" w:lineRule="auto"/>
        <w:ind w:left="1054" w:right="210" w:hanging="630" w:leftChars="202" w:rightChars="100" w:hangingChars="300"/>
        <w:rPr>
          <w:color w:val="000000"/>
          <w:position w:val="-20"/>
          <w:sz w:val="24"/>
        </w:rPr>
      </w:pPr>
      <w:r>
        <w:rPr>
          <w:rFonts w:hint="eastAsia"/>
          <w:color w:val="000000"/>
          <w:position w:val="-20"/>
          <w:sz w:val="24"/>
        </w:rPr>
        <w:t>4</w:t>
      </w:r>
      <w:r>
        <w:rPr>
          <w:color w:val="000000"/>
          <w:position w:val="-20"/>
          <w:sz w:val="24"/>
        </w:rPr>
        <w:t xml:space="preserve">.5.1 </w:t>
      </w:r>
      <w:r>
        <w:rPr>
          <w:rFonts w:hint="eastAsia"/>
          <w:color w:val="000000"/>
          <w:position w:val="-20"/>
          <w:sz w:val="24"/>
        </w:rPr>
        <w:t>工艺气体进气：≥3路工艺气体进气。</w:t>
      </w:r>
    </w:p>
    <w:p>
      <w:pPr>
        <w:spacing w:line="360" w:lineRule="auto"/>
        <w:ind w:left="1054" w:right="210" w:hanging="630" w:leftChars="202" w:rightChars="100" w:hangingChars="300"/>
        <w:rPr>
          <w:color w:val="000000"/>
          <w:position w:val="-20"/>
          <w:sz w:val="24"/>
        </w:rPr>
      </w:pPr>
      <w:r>
        <w:rPr>
          <w:color w:val="000000"/>
          <w:position w:val="-20"/>
          <w:sz w:val="24"/>
        </w:rPr>
        <w:t>4.5.2</w:t>
      </w:r>
      <w:r>
        <w:rPr>
          <w:rFonts w:hint="eastAsia"/>
          <w:color w:val="000000"/>
          <w:position w:val="-20"/>
          <w:sz w:val="24"/>
        </w:rPr>
        <w:t>工艺气路需要配置截止阀和洗气管路。</w:t>
      </w:r>
    </w:p>
    <w:p>
      <w:pPr>
        <w:spacing w:line="360" w:lineRule="auto"/>
        <w:ind w:left="1054" w:right="210" w:hanging="630" w:leftChars="202" w:rightChars="100" w:hangingChars="300"/>
        <w:rPr>
          <w:color w:val="000000"/>
          <w:position w:val="-20"/>
          <w:sz w:val="24"/>
        </w:rPr>
      </w:pPr>
      <w:r>
        <w:rPr>
          <w:rFonts w:hint="eastAsia"/>
          <w:color w:val="000000"/>
          <w:position w:val="-20"/>
          <w:sz w:val="24"/>
        </w:rPr>
        <w:t>4</w:t>
      </w:r>
      <w:r>
        <w:rPr>
          <w:color w:val="000000"/>
          <w:position w:val="-20"/>
          <w:sz w:val="24"/>
        </w:rPr>
        <w:t>.5.3</w:t>
      </w:r>
      <w:r>
        <w:rPr>
          <w:rFonts w:hint="eastAsia"/>
          <w:color w:val="000000"/>
          <w:position w:val="-20"/>
          <w:sz w:val="24"/>
        </w:rPr>
        <w:t>配置3路质量流量计。</w:t>
      </w:r>
    </w:p>
    <w:p>
      <w:pPr>
        <w:spacing w:line="360" w:lineRule="auto"/>
        <w:ind w:left="1054" w:right="210" w:hanging="630" w:leftChars="202" w:rightChars="100" w:hangingChars="300"/>
        <w:rPr>
          <w:rFonts w:hint="eastAsia"/>
          <w:color w:val="000000"/>
          <w:position w:val="-20"/>
          <w:sz w:val="24"/>
        </w:rPr>
      </w:pPr>
      <w:r>
        <w:rPr>
          <w:rFonts w:hint="eastAsia"/>
          <w:color w:val="000000"/>
          <w:position w:val="-20"/>
          <w:sz w:val="24"/>
        </w:rPr>
        <w:t>4</w:t>
      </w:r>
      <w:r>
        <w:rPr>
          <w:color w:val="000000"/>
          <w:position w:val="-20"/>
          <w:sz w:val="24"/>
        </w:rPr>
        <w:t xml:space="preserve">.5.4 </w:t>
      </w:r>
      <w:r>
        <w:rPr>
          <w:rFonts w:hint="eastAsia"/>
          <w:color w:val="000000"/>
          <w:position w:val="-20"/>
          <w:sz w:val="24"/>
        </w:rPr>
        <w:t>工艺气路需要配有气体稳压模块，并且响应时间≤30ms，满足2-20mtorr内控压精度≤5%。</w:t>
      </w:r>
    </w:p>
    <w:p>
      <w:pPr>
        <w:spacing w:line="360" w:lineRule="auto"/>
        <w:ind w:left="680" w:right="210" w:hanging="256" w:leftChars="202" w:rightChars="100" w:hangingChars="122"/>
        <w:rPr>
          <w:rFonts w:hint="eastAsia"/>
          <w:b/>
          <w:bCs/>
          <w:color w:val="000000"/>
          <w:position w:val="-20"/>
          <w:sz w:val="24"/>
        </w:rPr>
      </w:pPr>
      <w:r>
        <w:rPr>
          <w:rFonts w:hint="eastAsia"/>
          <w:b/>
          <w:bCs/>
          <w:color w:val="000000"/>
          <w:position w:val="-20"/>
          <w:sz w:val="24"/>
        </w:rPr>
        <w:t>4.6进样腔室技术要求</w:t>
      </w:r>
    </w:p>
    <w:p>
      <w:pPr>
        <w:spacing w:line="360" w:lineRule="auto"/>
        <w:ind w:left="1054" w:right="210" w:hanging="630" w:leftChars="202" w:rightChars="100" w:hangingChars="300"/>
        <w:rPr>
          <w:color w:val="000000"/>
          <w:position w:val="-20"/>
          <w:sz w:val="24"/>
        </w:rPr>
      </w:pPr>
      <w:r>
        <w:rPr>
          <w:rFonts w:hint="eastAsia"/>
          <w:color w:val="000000"/>
          <w:position w:val="-20"/>
          <w:sz w:val="24"/>
        </w:rPr>
        <w:t>4</w:t>
      </w:r>
      <w:r>
        <w:rPr>
          <w:color w:val="000000"/>
          <w:position w:val="-20"/>
          <w:sz w:val="24"/>
        </w:rPr>
        <w:t xml:space="preserve">.6.1 </w:t>
      </w:r>
      <w:r>
        <w:rPr>
          <w:rFonts w:hint="eastAsia"/>
          <w:color w:val="000000"/>
          <w:position w:val="-20"/>
          <w:sz w:val="24"/>
        </w:rPr>
        <w:t>进样腔室为不锈钢3</w:t>
      </w:r>
      <w:r>
        <w:rPr>
          <w:color w:val="000000"/>
          <w:position w:val="-20"/>
          <w:sz w:val="24"/>
        </w:rPr>
        <w:t>16L</w:t>
      </w:r>
      <w:r>
        <w:rPr>
          <w:rFonts w:hint="eastAsia"/>
          <w:color w:val="000000"/>
          <w:position w:val="-20"/>
          <w:sz w:val="24"/>
        </w:rPr>
        <w:t>材质，腔室至少配有传样接口，真空抽气接口，真空测量接口，放样接口。</w:t>
      </w:r>
    </w:p>
    <w:p>
      <w:pPr>
        <w:spacing w:line="360" w:lineRule="auto"/>
        <w:ind w:left="1054" w:right="210" w:hanging="630" w:leftChars="202" w:rightChars="100" w:hangingChars="300"/>
        <w:rPr>
          <w:rFonts w:hint="eastAsia"/>
          <w:color w:val="000000"/>
          <w:position w:val="-20"/>
          <w:sz w:val="24"/>
        </w:rPr>
      </w:pPr>
      <w:r>
        <w:rPr>
          <w:rFonts w:hint="eastAsia"/>
          <w:color w:val="000000"/>
          <w:position w:val="-20"/>
          <w:sz w:val="24"/>
        </w:rPr>
        <w:t>4</w:t>
      </w:r>
      <w:r>
        <w:rPr>
          <w:color w:val="000000"/>
          <w:position w:val="-20"/>
          <w:sz w:val="24"/>
        </w:rPr>
        <w:t xml:space="preserve">.6.2 </w:t>
      </w:r>
      <w:r>
        <w:rPr>
          <w:rFonts w:hint="eastAsia"/>
          <w:color w:val="000000"/>
          <w:position w:val="-20"/>
          <w:sz w:val="24"/>
        </w:rPr>
        <w:t>快速进样门，适用于10</w:t>
      </w:r>
      <w:r>
        <w:rPr>
          <w:rFonts w:hint="eastAsia"/>
          <w:color w:val="000000"/>
          <w:position w:val="-20"/>
          <w:sz w:val="24"/>
          <w:vertAlign w:val="superscript"/>
        </w:rPr>
        <w:t>-9</w:t>
      </w:r>
      <w:r>
        <w:rPr>
          <w:rFonts w:hint="eastAsia"/>
          <w:color w:val="000000"/>
          <w:position w:val="-20"/>
          <w:sz w:val="24"/>
        </w:rPr>
        <w:t>Torr量级，进样门铰链需要设有弹垫自调整机构且可以方便调节松紧程度，确保长期使用的密封性。</w:t>
      </w:r>
    </w:p>
    <w:p>
      <w:pPr>
        <w:spacing w:line="360" w:lineRule="auto"/>
        <w:ind w:left="680" w:right="210" w:hanging="256" w:leftChars="202" w:rightChars="100" w:hangingChars="122"/>
        <w:rPr>
          <w:rFonts w:hint="eastAsia"/>
          <w:b/>
          <w:bCs/>
          <w:color w:val="000000"/>
          <w:position w:val="-20"/>
          <w:sz w:val="24"/>
        </w:rPr>
      </w:pPr>
      <w:r>
        <w:rPr>
          <w:rFonts w:hint="eastAsia"/>
          <w:b/>
          <w:bCs/>
          <w:color w:val="000000"/>
          <w:position w:val="-20"/>
          <w:sz w:val="24"/>
        </w:rPr>
        <w:t>4.7 进样腔室真空系统技术要求</w:t>
      </w:r>
    </w:p>
    <w:p>
      <w:pPr>
        <w:spacing w:line="360" w:lineRule="auto"/>
        <w:ind w:left="424" w:leftChars="202"/>
        <w:rPr>
          <w:rFonts w:hint="eastAsia"/>
          <w:color w:val="000000"/>
          <w:position w:val="-20"/>
          <w:sz w:val="24"/>
        </w:rPr>
      </w:pPr>
      <w:r>
        <w:rPr>
          <w:rFonts w:hint="eastAsia"/>
          <w:color w:val="000000"/>
          <w:position w:val="-20"/>
          <w:sz w:val="24"/>
        </w:rPr>
        <w:t xml:space="preserve">▲ </w:t>
      </w:r>
      <w:r>
        <w:rPr>
          <w:color w:val="000000"/>
          <w:position w:val="-20"/>
          <w:sz w:val="24"/>
        </w:rPr>
        <w:t xml:space="preserve">4.7.1 </w:t>
      </w:r>
      <w:r>
        <w:rPr>
          <w:rFonts w:hint="eastAsia"/>
          <w:color w:val="000000"/>
          <w:position w:val="-20"/>
          <w:sz w:val="24"/>
        </w:rPr>
        <w:t>进样腔室极限真空：≤</w:t>
      </w:r>
      <w:r>
        <w:rPr>
          <w:color w:val="000000"/>
          <w:position w:val="-20"/>
          <w:sz w:val="24"/>
        </w:rPr>
        <w:t>8.0</w:t>
      </w:r>
      <w:r>
        <w:rPr>
          <w:rFonts w:hint="eastAsia"/>
          <w:color w:val="000000"/>
          <w:position w:val="-20"/>
          <w:sz w:val="24"/>
        </w:rPr>
        <w:t>x10</w:t>
      </w:r>
      <w:r>
        <w:rPr>
          <w:rFonts w:hint="eastAsia"/>
          <w:color w:val="000000"/>
          <w:position w:val="-20"/>
          <w:sz w:val="24"/>
          <w:vertAlign w:val="superscript"/>
        </w:rPr>
        <w:t>-9</w:t>
      </w:r>
      <w:r>
        <w:rPr>
          <w:rFonts w:hint="eastAsia"/>
          <w:color w:val="000000"/>
          <w:position w:val="-20"/>
          <w:sz w:val="24"/>
        </w:rPr>
        <w:t>Torr。</w:t>
      </w:r>
    </w:p>
    <w:p>
      <w:pPr>
        <w:spacing w:line="360" w:lineRule="auto"/>
        <w:ind w:left="949" w:hanging="525" w:leftChars="202" w:hangingChars="250"/>
        <w:rPr>
          <w:color w:val="000000"/>
          <w:position w:val="-20"/>
          <w:sz w:val="24"/>
        </w:rPr>
      </w:pPr>
      <w:r>
        <w:rPr>
          <w:rFonts w:hint="eastAsia"/>
          <w:color w:val="000000"/>
          <w:position w:val="-20"/>
          <w:sz w:val="24"/>
        </w:rPr>
        <w:t xml:space="preserve">▲ </w:t>
      </w:r>
      <w:r>
        <w:rPr>
          <w:color w:val="000000"/>
          <w:position w:val="-20"/>
          <w:sz w:val="24"/>
        </w:rPr>
        <w:t>4.7.2</w:t>
      </w:r>
      <w:r>
        <w:rPr>
          <w:rFonts w:hint="eastAsia"/>
          <w:color w:val="000000"/>
          <w:position w:val="-20"/>
          <w:sz w:val="24"/>
        </w:rPr>
        <w:t>分子泵：抽速≥290 l/s，转速≥60000 rpm。</w:t>
      </w:r>
    </w:p>
    <w:p>
      <w:pPr>
        <w:spacing w:line="360" w:lineRule="auto"/>
        <w:ind w:left="424" w:leftChars="202"/>
        <w:rPr>
          <w:color w:val="000000"/>
          <w:position w:val="-20"/>
          <w:sz w:val="24"/>
        </w:rPr>
      </w:pPr>
      <w:r>
        <w:rPr>
          <w:color w:val="000000"/>
          <w:position w:val="-20"/>
          <w:sz w:val="24"/>
        </w:rPr>
        <w:t>4.7.3</w:t>
      </w:r>
      <w:r>
        <w:rPr>
          <w:rFonts w:hint="eastAsia"/>
          <w:color w:val="000000"/>
          <w:position w:val="-20"/>
          <w:sz w:val="24"/>
        </w:rPr>
        <w:t>干泵：抽速≥12m</w:t>
      </w:r>
      <w:r>
        <w:rPr>
          <w:rFonts w:hint="eastAsia"/>
          <w:color w:val="000000"/>
          <w:position w:val="-20"/>
          <w:sz w:val="24"/>
          <w:vertAlign w:val="superscript"/>
        </w:rPr>
        <w:t>3</w:t>
      </w:r>
      <w:r>
        <w:rPr>
          <w:rFonts w:hint="eastAsia"/>
          <w:color w:val="000000"/>
          <w:position w:val="-20"/>
          <w:sz w:val="24"/>
        </w:rPr>
        <w:t>/h，极限真空≤8x10</w:t>
      </w:r>
      <w:r>
        <w:rPr>
          <w:rFonts w:hint="eastAsia"/>
          <w:color w:val="000000"/>
          <w:position w:val="-20"/>
          <w:sz w:val="24"/>
          <w:vertAlign w:val="superscript"/>
        </w:rPr>
        <w:t>-3</w:t>
      </w:r>
      <w:r>
        <w:rPr>
          <w:rFonts w:hint="eastAsia"/>
          <w:color w:val="000000"/>
          <w:position w:val="-20"/>
          <w:sz w:val="24"/>
        </w:rPr>
        <w:t xml:space="preserve"> mbar。</w:t>
      </w:r>
    </w:p>
    <w:p>
      <w:pPr>
        <w:spacing w:line="360" w:lineRule="auto"/>
        <w:ind w:left="949" w:hanging="525" w:leftChars="202" w:hangingChars="250"/>
        <w:rPr>
          <w:color w:val="000000"/>
          <w:position w:val="-20"/>
          <w:sz w:val="24"/>
        </w:rPr>
      </w:pPr>
      <w:r>
        <w:rPr>
          <w:rFonts w:hint="eastAsia"/>
          <w:color w:val="000000"/>
          <w:position w:val="-20"/>
          <w:sz w:val="24"/>
        </w:rPr>
        <w:t xml:space="preserve">▲ </w:t>
      </w:r>
      <w:r>
        <w:rPr>
          <w:color w:val="000000"/>
          <w:position w:val="-20"/>
          <w:sz w:val="24"/>
        </w:rPr>
        <w:t>4.7.4</w:t>
      </w:r>
      <w:r>
        <w:rPr>
          <w:rFonts w:hint="eastAsia"/>
          <w:color w:val="000000"/>
          <w:position w:val="-20"/>
          <w:sz w:val="24"/>
        </w:rPr>
        <w:t>真空规测量范围3.8x10</w:t>
      </w:r>
      <w:r>
        <w:rPr>
          <w:rFonts w:hint="eastAsia"/>
          <w:color w:val="000000"/>
          <w:position w:val="-20"/>
          <w:sz w:val="24"/>
          <w:vertAlign w:val="superscript"/>
        </w:rPr>
        <w:t>-9</w:t>
      </w:r>
      <w:r>
        <w:rPr>
          <w:rFonts w:hint="eastAsia"/>
          <w:color w:val="000000"/>
          <w:position w:val="-20"/>
          <w:sz w:val="24"/>
        </w:rPr>
        <w:t xml:space="preserve"> - 760 Torr。</w:t>
      </w:r>
    </w:p>
    <w:p>
      <w:pPr>
        <w:spacing w:line="360" w:lineRule="auto"/>
        <w:ind w:left="424" w:leftChars="202"/>
        <w:rPr>
          <w:rFonts w:hint="eastAsia"/>
          <w:color w:val="000000"/>
          <w:position w:val="-20"/>
          <w:sz w:val="24"/>
        </w:rPr>
      </w:pPr>
      <w:r>
        <w:rPr>
          <w:color w:val="000000"/>
          <w:position w:val="-20"/>
          <w:sz w:val="24"/>
        </w:rPr>
        <w:t>4.7.5</w:t>
      </w:r>
      <w:r>
        <w:rPr>
          <w:rFonts w:hint="eastAsia"/>
          <w:color w:val="000000"/>
          <w:position w:val="-20"/>
          <w:sz w:val="24"/>
        </w:rPr>
        <w:t>进样室超高真空插板阀耐烘烤温度≥200℃。</w:t>
      </w:r>
    </w:p>
    <w:p>
      <w:pPr>
        <w:spacing w:line="360" w:lineRule="auto"/>
        <w:ind w:left="680" w:right="210" w:hanging="256" w:leftChars="202" w:rightChars="100" w:hangingChars="122"/>
        <w:rPr>
          <w:rFonts w:hint="eastAsia"/>
          <w:b/>
          <w:bCs/>
          <w:color w:val="000000"/>
          <w:position w:val="-20"/>
          <w:sz w:val="24"/>
        </w:rPr>
      </w:pPr>
      <w:r>
        <w:rPr>
          <w:rFonts w:hint="eastAsia"/>
          <w:b/>
          <w:bCs/>
          <w:color w:val="000000"/>
          <w:position w:val="-20"/>
          <w:sz w:val="24"/>
        </w:rPr>
        <w:t>4.8 进样室传样及储存系统要求</w:t>
      </w:r>
    </w:p>
    <w:p>
      <w:pPr>
        <w:spacing w:line="360" w:lineRule="auto"/>
        <w:ind w:left="424" w:leftChars="202"/>
        <w:rPr>
          <w:color w:val="000000"/>
          <w:position w:val="-20"/>
          <w:sz w:val="24"/>
        </w:rPr>
      </w:pPr>
      <w:r>
        <w:rPr>
          <w:rFonts w:hint="eastAsia"/>
          <w:color w:val="000000"/>
          <w:position w:val="-20"/>
          <w:sz w:val="24"/>
        </w:rPr>
        <w:t>4</w:t>
      </w:r>
      <w:r>
        <w:rPr>
          <w:color w:val="000000"/>
          <w:position w:val="-20"/>
          <w:sz w:val="24"/>
        </w:rPr>
        <w:t>.8.1</w:t>
      </w:r>
      <w:r>
        <w:rPr>
          <w:rFonts w:hint="eastAsia"/>
          <w:color w:val="000000"/>
          <w:position w:val="-20"/>
          <w:sz w:val="24"/>
        </w:rPr>
        <w:t>进样室需要配有传样部件，满足进样室到溅射腔室的传样。</w:t>
      </w:r>
    </w:p>
    <w:p>
      <w:pPr>
        <w:spacing w:line="360" w:lineRule="auto"/>
        <w:ind w:left="424" w:leftChars="202"/>
        <w:rPr>
          <w:rFonts w:hint="eastAsia"/>
          <w:color w:val="000000"/>
          <w:position w:val="-20"/>
          <w:sz w:val="24"/>
        </w:rPr>
      </w:pPr>
      <w:r>
        <w:rPr>
          <w:color w:val="000000"/>
          <w:position w:val="-20"/>
          <w:sz w:val="24"/>
        </w:rPr>
        <w:t>4.8.2</w:t>
      </w:r>
      <w:r>
        <w:rPr>
          <w:rFonts w:hint="eastAsia"/>
          <w:color w:val="000000"/>
          <w:position w:val="-20"/>
          <w:sz w:val="24"/>
        </w:rPr>
        <w:t>进样室需要配有样品储存功能，可以储存至少5个样品。</w:t>
      </w:r>
    </w:p>
    <w:p>
      <w:pPr>
        <w:spacing w:line="360" w:lineRule="auto"/>
        <w:ind w:left="424" w:leftChars="202"/>
        <w:rPr>
          <w:rFonts w:hint="eastAsia"/>
          <w:color w:val="000000"/>
          <w:position w:val="-20"/>
          <w:sz w:val="24"/>
        </w:rPr>
      </w:pPr>
      <w:r>
        <w:rPr>
          <w:color w:val="000000"/>
          <w:position w:val="-20"/>
          <w:sz w:val="24"/>
        </w:rPr>
        <w:t>4</w:t>
      </w:r>
      <w:r>
        <w:rPr>
          <w:rFonts w:hint="eastAsia"/>
          <w:b/>
          <w:bCs/>
          <w:color w:val="000000"/>
          <w:position w:val="-20"/>
          <w:sz w:val="24"/>
        </w:rPr>
        <w:t>.9 辅助系统</w:t>
      </w:r>
    </w:p>
    <w:p>
      <w:pPr>
        <w:spacing w:line="360" w:lineRule="auto"/>
        <w:ind w:left="424" w:leftChars="202"/>
        <w:jc w:val="left"/>
        <w:rPr>
          <w:color w:val="000000"/>
          <w:position w:val="-20"/>
          <w:sz w:val="24"/>
        </w:rPr>
      </w:pPr>
      <w:r>
        <w:rPr>
          <w:color w:val="000000"/>
          <w:position w:val="-20"/>
          <w:sz w:val="24"/>
        </w:rPr>
        <w:t xml:space="preserve">4.9.1 </w:t>
      </w:r>
      <w:r>
        <w:rPr>
          <w:rFonts w:hint="eastAsia"/>
          <w:color w:val="000000"/>
          <w:position w:val="-20"/>
          <w:sz w:val="24"/>
        </w:rPr>
        <w:t>设备机架：整体布局需要避免地面拉线的情况。</w:t>
      </w:r>
    </w:p>
    <w:p>
      <w:pPr>
        <w:spacing w:line="360" w:lineRule="auto"/>
        <w:ind w:left="424" w:leftChars="202"/>
        <w:rPr>
          <w:color w:val="000000"/>
          <w:position w:val="-20"/>
          <w:sz w:val="24"/>
        </w:rPr>
      </w:pPr>
      <w:r>
        <w:rPr>
          <w:color w:val="000000"/>
          <w:position w:val="-20"/>
          <w:sz w:val="24"/>
        </w:rPr>
        <w:t>4.9.2</w:t>
      </w:r>
      <w:r>
        <w:rPr>
          <w:rFonts w:hint="eastAsia"/>
          <w:color w:val="000000"/>
          <w:position w:val="-20"/>
          <w:sz w:val="24"/>
        </w:rPr>
        <w:t>气动系统：需要有气压检测和断气报警功能。</w:t>
      </w:r>
    </w:p>
    <w:p>
      <w:pPr>
        <w:spacing w:line="360" w:lineRule="auto"/>
        <w:ind w:left="424" w:leftChars="202"/>
        <w:rPr>
          <w:color w:val="000000"/>
          <w:position w:val="-20"/>
          <w:sz w:val="24"/>
        </w:rPr>
      </w:pPr>
      <w:r>
        <w:rPr>
          <w:color w:val="000000"/>
          <w:position w:val="-20"/>
          <w:sz w:val="24"/>
        </w:rPr>
        <w:t>4.9.3</w:t>
      </w:r>
      <w:r>
        <w:rPr>
          <w:rFonts w:hint="eastAsia"/>
          <w:color w:val="000000"/>
          <w:position w:val="-20"/>
          <w:sz w:val="24"/>
        </w:rPr>
        <w:t>冷却水系统：≥6分路，每路需要有流量显示，需要具备缺水报警功能。</w:t>
      </w:r>
    </w:p>
    <w:p>
      <w:pPr>
        <w:spacing w:line="360" w:lineRule="auto"/>
        <w:ind w:left="424" w:leftChars="202"/>
        <w:rPr>
          <w:color w:val="000000"/>
          <w:position w:val="-20"/>
          <w:sz w:val="24"/>
        </w:rPr>
      </w:pPr>
      <w:r>
        <w:rPr>
          <w:color w:val="000000"/>
          <w:position w:val="-20"/>
          <w:sz w:val="24"/>
        </w:rPr>
        <w:t>4.9.4</w:t>
      </w:r>
      <w:r>
        <w:rPr>
          <w:rFonts w:hint="eastAsia"/>
          <w:color w:val="000000"/>
          <w:position w:val="-20"/>
          <w:sz w:val="24"/>
        </w:rPr>
        <w:t>烘烤系统：烘烤最高温度≥150℃。</w:t>
      </w:r>
    </w:p>
    <w:p>
      <w:pPr>
        <w:spacing w:line="360" w:lineRule="auto"/>
        <w:ind w:left="844" w:hanging="420" w:leftChars="202" w:hangingChars="200"/>
        <w:rPr>
          <w:rFonts w:hint="eastAsia"/>
          <w:color w:val="000000"/>
          <w:position w:val="-20"/>
          <w:sz w:val="24"/>
        </w:rPr>
      </w:pPr>
      <w:r>
        <w:rPr>
          <w:color w:val="000000"/>
          <w:position w:val="-20"/>
          <w:sz w:val="24"/>
        </w:rPr>
        <w:t>4.9.5</w:t>
      </w:r>
      <w:r>
        <w:rPr>
          <w:rFonts w:hint="eastAsia"/>
          <w:color w:val="000000"/>
          <w:position w:val="-20"/>
          <w:sz w:val="24"/>
        </w:rPr>
        <w:t>控制系统：操作系统功能至少要可以实现干泵及分子泵控制，靶枪shutter及电源的控制，样品台的升温及shutter控制，工艺压强设置及控制，工艺制程控制，水流量及气压监测；且控制系统具备安全互锁功能。</w:t>
      </w:r>
    </w:p>
    <w:p>
      <w:pPr>
        <w:spacing w:line="360" w:lineRule="auto"/>
        <w:ind w:left="1054" w:hanging="630" w:leftChars="202" w:hangingChars="300"/>
        <w:rPr>
          <w:color w:val="000000"/>
          <w:position w:val="-20"/>
          <w:sz w:val="24"/>
        </w:rPr>
      </w:pPr>
      <w:r>
        <w:rPr>
          <w:rFonts w:hint="eastAsia"/>
          <w:b/>
          <w:bCs/>
          <w:color w:val="000000"/>
          <w:position w:val="-20"/>
          <w:sz w:val="24"/>
        </w:rPr>
        <w:t>▲4.10 工艺参数：</w:t>
      </w:r>
      <w:r>
        <w:rPr>
          <w:rFonts w:hint="eastAsia"/>
          <w:color w:val="000000"/>
          <w:position w:val="-20"/>
          <w:sz w:val="24"/>
        </w:rPr>
        <w:t>膜厚均匀性≤±4%，沉积80nm的铝膜要求铝膜热导率</w:t>
      </w:r>
      <w:r>
        <w:rPr>
          <w:rFonts w:hint="eastAsia"/>
          <w:color w:val="000000"/>
          <w:position w:val="-20"/>
          <w:sz w:val="24"/>
        </w:rPr>
        <w:tab/>
      </w:r>
      <w:r>
        <w:rPr>
          <w:rFonts w:hint="eastAsia"/>
          <w:color w:val="000000"/>
          <w:position w:val="-20"/>
          <w:sz w:val="24"/>
        </w:rPr>
        <w:t>≥150W m</w:t>
      </w:r>
      <w:r>
        <w:rPr>
          <w:rFonts w:hint="eastAsia"/>
          <w:color w:val="000000"/>
          <w:position w:val="-20"/>
          <w:sz w:val="24"/>
          <w:vertAlign w:val="superscript"/>
        </w:rPr>
        <w:t>-1</w:t>
      </w:r>
      <w:r>
        <w:rPr>
          <w:rFonts w:hint="eastAsia"/>
          <w:color w:val="000000"/>
          <w:position w:val="-20"/>
          <w:sz w:val="24"/>
        </w:rPr>
        <w:t xml:space="preserve"> K</w:t>
      </w:r>
      <w:r>
        <w:rPr>
          <w:rFonts w:hint="eastAsia"/>
          <w:color w:val="000000"/>
          <w:position w:val="-20"/>
          <w:sz w:val="24"/>
          <w:vertAlign w:val="superscript"/>
        </w:rPr>
        <w:t>-1</w:t>
      </w:r>
      <w:r>
        <w:rPr>
          <w:rFonts w:hint="eastAsia"/>
          <w:color w:val="000000"/>
          <w:position w:val="-20"/>
          <w:sz w:val="24"/>
        </w:rPr>
        <w:t>，需提供相应测试结果证明文件扫描件，原件备查。</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5. 兼容性与后续成本</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5.1 设备后续需要兼容和超高真空互联系统进行对接，提供方案和项目案例。</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5.2 设备的配置需要考虑兼容性要求，提供主要部件可替代性评估方案。</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5.2 提供设备所需要的耗材清单及优惠价格。</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6. 执行的相关标准</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提供设备验收方案，投标人需要具备膜厚验收所需要检测设备。</w:t>
      </w:r>
    </w:p>
    <w:p>
      <w:pPr>
        <w:pStyle w:val="PlainText"/>
        <w:keepNext w:val="0"/>
        <w:keepLines w:val="0"/>
        <w:pageBreakBefore w:val="0"/>
        <w:widowControl w:val="0"/>
        <w:numPr>
          <w:ilvl w:val="0"/>
          <w:numId w:val="2"/>
        </w:numPr>
        <w:tabs>
          <w:tab w:val="left" w:pos="54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商务要求</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r>
        <w:rPr>
          <w:rFonts w:ascii="宋体" w:eastAsia="宋体" w:hAnsi="宋体" w:cs="宋体" w:hint="eastAsia"/>
          <w:b/>
          <w:bCs/>
          <w:color w:val="000000"/>
          <w:sz w:val="24"/>
          <w:szCs w:val="24"/>
        </w:rPr>
        <w:t>1.免费保修期内售后服务要求</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1.1维修响应及故障解决时间：在免费保修期内，一旦发生质量问题，投标人保证在收到采购人通知后24小时内作出响应，如需中标人到合同货物现场，中标人应在收到采购人通知后48小时内到达，并在到达后7日内解决合同货物的故障（重大故障除外）。</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★1.2 关于免费保修期：货物免费保修期不少于12个月，时间自最终验收合格并交付使用之日起计算。免费保修期内，所有服务及配件全部免费。终身提供仪器零配件供应、技术支持和售后服务。</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1.3 技术交底及培训：免费提供原厂技术人员对采购人的操作技术培训和相关技术资料，培训时间不少于 5 天。</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1.4 其他：投标人应按其投标文件中的承诺，进行其他售后服务工作。投标人应为质量保证期服务配备充足的技术人员、工具和备件并保证提供的联系方式畅通。如果中标人未在上述时间内作出响应，则采购人有权自行或委托他人解决相关问题或查找和解决合同货物的故障，中标人应承担由此发生的全部费用。中标人在免费保修期内应对设备进行定期巡检。</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r>
        <w:rPr>
          <w:rFonts w:ascii="宋体" w:eastAsia="宋体" w:hAnsi="宋体" w:cs="宋体" w:hint="eastAsia"/>
          <w:b/>
          <w:bCs/>
          <w:color w:val="000000"/>
          <w:sz w:val="24"/>
          <w:szCs w:val="24"/>
        </w:rPr>
        <w:t>2.免费保修期外售后服务要求</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2.1 软件更新:设备主体不升级情况下，确保所提供的软件可随设备终身免费有效使用；</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2.2 整机承保及费用:需对所提供的设备终身承保，延保费用不高于同期同类型设备维修或维护的市场价格。</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r>
        <w:rPr>
          <w:rFonts w:ascii="宋体" w:eastAsia="宋体" w:hAnsi="宋体" w:cs="宋体" w:hint="eastAsia"/>
          <w:b/>
          <w:bCs/>
          <w:color w:val="000000"/>
          <w:sz w:val="24"/>
          <w:szCs w:val="24"/>
        </w:rPr>
        <w:t>3.其他商务要求</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r>
        <w:rPr>
          <w:rFonts w:ascii="宋体" w:eastAsia="宋体" w:hAnsi="宋体" w:cs="宋体" w:hint="eastAsia"/>
          <w:b/>
          <w:bCs/>
          <w:color w:val="000000"/>
          <w:sz w:val="24"/>
          <w:szCs w:val="24"/>
        </w:rPr>
        <w:t>3.1 关于交货技术要求</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3.1.1 交货地点：清华大学深圳</w:t>
      </w:r>
      <w:r>
        <w:rPr>
          <w:rFonts w:ascii="宋体" w:eastAsia="宋体" w:hAnsi="宋体" w:cs="宋体" w:hint="eastAsia"/>
          <w:bCs/>
          <w:sz w:val="24"/>
          <w:szCs w:val="24"/>
          <w:highlight w:val="none"/>
        </w:rPr>
        <w:t>国际研究生院能源环境大楼308室</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3.1.2 投标人需承担的设备运输、安装调试、验收检测和提供设备操作说明书、图纸等其他类似的义务。</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★3.1.3 签订合同后 210 天（日历日）内交货。</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r>
        <w:rPr>
          <w:rFonts w:ascii="宋体" w:eastAsia="宋体" w:hAnsi="宋体" w:cs="宋体" w:hint="eastAsia"/>
          <w:b/>
          <w:bCs/>
          <w:color w:val="000000"/>
          <w:sz w:val="24"/>
          <w:szCs w:val="24"/>
        </w:rPr>
        <w:t>3.2 关于验收技术要求</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3.2.1 投标人货物经过双方检验认可后，签署验收报告，产品保修期自验收合格之日起算，由投标人提供产品保修文件。</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3.2.2 当满足以下条件时，采购人才向中标人签发货物验收报告：</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a、中标人已按照合同规定提供了全部产品及完整的技术资料。</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b、货物符合招标文件技术规格书的要求，性能满足要求。</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c、货物具备产品合格证。</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r>
        <w:rPr>
          <w:rFonts w:ascii="宋体" w:eastAsia="宋体" w:hAnsi="宋体" w:cs="宋体" w:hint="eastAsia"/>
          <w:b/>
          <w:bCs/>
          <w:color w:val="000000"/>
          <w:sz w:val="24"/>
          <w:szCs w:val="24"/>
        </w:rPr>
        <w:t xml:space="preserve">3.3 关于违约 </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3.3.1 中标人不能交货的，需偿付不能交货部分货款的10%的违约金并按主管部门相关规定处理。</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3.3.2 中标人未能按时交付合同货物（包含仅延迟交付技术资料但足以导致合同货物安装、调试、考核、验收工作推迟的）的，</w:t>
      </w:r>
      <w:r>
        <w:rPr>
          <w:rFonts w:ascii="宋体" w:eastAsia="宋体" w:hAnsi="宋体" w:cs="宋体" w:hint="eastAsia"/>
          <w:bCs/>
          <w:sz w:val="24"/>
          <w:szCs w:val="24"/>
          <w:lang w:eastAsia="zh-CN"/>
        </w:rPr>
        <w:t>中标人</w:t>
      </w:r>
      <w:r>
        <w:rPr>
          <w:rFonts w:ascii="宋体" w:eastAsia="宋体" w:hAnsi="宋体" w:cs="宋体" w:hint="eastAsia"/>
          <w:bCs/>
          <w:sz w:val="24"/>
          <w:szCs w:val="24"/>
        </w:rPr>
        <w:t>按照每逾期一日合同价款万分之五的标准向</w:t>
      </w:r>
      <w:r>
        <w:rPr>
          <w:rFonts w:ascii="宋体" w:eastAsia="宋体" w:hAnsi="宋体" w:cs="宋体" w:hint="eastAsia"/>
          <w:bCs/>
          <w:sz w:val="24"/>
          <w:szCs w:val="24"/>
          <w:lang w:eastAsia="zh-CN"/>
        </w:rPr>
        <w:t>采购人</w:t>
      </w:r>
      <w:r>
        <w:rPr>
          <w:rFonts w:ascii="宋体" w:eastAsia="宋体" w:hAnsi="宋体" w:cs="宋体" w:hint="eastAsia"/>
          <w:bCs/>
          <w:sz w:val="24"/>
          <w:szCs w:val="24"/>
        </w:rPr>
        <w:t>支付迟延交付违约金，逾期超过30日，</w:t>
      </w:r>
      <w:r>
        <w:rPr>
          <w:rFonts w:ascii="宋体" w:eastAsia="宋体" w:hAnsi="宋体" w:cs="宋体" w:hint="eastAsia"/>
          <w:bCs/>
          <w:sz w:val="24"/>
          <w:szCs w:val="24"/>
          <w:lang w:eastAsia="zh-CN"/>
        </w:rPr>
        <w:t>采购人</w:t>
      </w:r>
      <w:r>
        <w:rPr>
          <w:rFonts w:ascii="宋体" w:eastAsia="宋体" w:hAnsi="宋体" w:cs="宋体" w:hint="eastAsia"/>
          <w:bCs/>
          <w:sz w:val="24"/>
          <w:szCs w:val="24"/>
        </w:rPr>
        <w:t>有权解除合同，并要求</w:t>
      </w:r>
      <w:r>
        <w:rPr>
          <w:rFonts w:ascii="宋体" w:eastAsia="宋体" w:hAnsi="宋体" w:cs="宋体" w:hint="eastAsia"/>
          <w:bCs/>
          <w:sz w:val="24"/>
          <w:szCs w:val="24"/>
          <w:lang w:eastAsia="zh-CN"/>
        </w:rPr>
        <w:t>中标人</w:t>
      </w:r>
      <w:r>
        <w:rPr>
          <w:rFonts w:ascii="宋体" w:eastAsia="宋体" w:hAnsi="宋体" w:cs="宋体" w:hint="eastAsia"/>
          <w:bCs/>
          <w:sz w:val="24"/>
          <w:szCs w:val="24"/>
        </w:rPr>
        <w:t>支付合同价款30%的违约金，违约金不足以弥补</w:t>
      </w:r>
      <w:r>
        <w:rPr>
          <w:rFonts w:ascii="宋体" w:eastAsia="宋体" w:hAnsi="宋体" w:cs="宋体" w:hint="eastAsia"/>
          <w:bCs/>
          <w:sz w:val="24"/>
          <w:szCs w:val="24"/>
          <w:lang w:eastAsia="zh-CN"/>
        </w:rPr>
        <w:t>采购人</w:t>
      </w:r>
      <w:r>
        <w:rPr>
          <w:rFonts w:ascii="宋体" w:eastAsia="宋体" w:hAnsi="宋体" w:cs="宋体" w:hint="eastAsia"/>
          <w:bCs/>
          <w:sz w:val="24"/>
          <w:szCs w:val="24"/>
        </w:rPr>
        <w:t>损失的，</w:t>
      </w:r>
      <w:r>
        <w:rPr>
          <w:rFonts w:ascii="宋体" w:eastAsia="宋体" w:hAnsi="宋体" w:cs="宋体" w:hint="eastAsia"/>
          <w:bCs/>
          <w:sz w:val="24"/>
          <w:szCs w:val="24"/>
          <w:lang w:eastAsia="zh-CN"/>
        </w:rPr>
        <w:t>中标人</w:t>
      </w:r>
      <w:r>
        <w:rPr>
          <w:rFonts w:ascii="宋体" w:eastAsia="宋体" w:hAnsi="宋体" w:cs="宋体" w:hint="eastAsia"/>
          <w:bCs/>
          <w:sz w:val="24"/>
          <w:szCs w:val="24"/>
        </w:rPr>
        <w:t>应继续赔偿</w:t>
      </w:r>
      <w:r>
        <w:rPr>
          <w:rFonts w:ascii="宋体" w:eastAsia="宋体" w:hAnsi="宋体" w:cs="宋体" w:hint="eastAsia"/>
          <w:bCs/>
          <w:sz w:val="24"/>
          <w:szCs w:val="24"/>
          <w:lang w:eastAsia="zh-CN"/>
        </w:rPr>
        <w:t>采购人</w:t>
      </w:r>
      <w:r>
        <w:rPr>
          <w:rFonts w:ascii="宋体" w:eastAsia="宋体" w:hAnsi="宋体" w:cs="宋体" w:hint="eastAsia"/>
          <w:bCs/>
          <w:sz w:val="24"/>
          <w:szCs w:val="24"/>
        </w:rPr>
        <w:t>所有损失。同时，并按主管部门相关规定处理。</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bCs/>
          <w:sz w:val="24"/>
          <w:szCs w:val="24"/>
        </w:rPr>
      </w:pPr>
      <w:r>
        <w:rPr>
          <w:rFonts w:ascii="宋体" w:eastAsia="宋体" w:hAnsi="宋体" w:cs="宋体" w:hint="eastAsia"/>
          <w:bCs/>
          <w:sz w:val="24"/>
          <w:szCs w:val="24"/>
        </w:rPr>
        <w:t>3.3.3 中标人所交付产品、工程或服务不符合其投标承诺的，或在投标阶段为了中标而盲目虚假承诺、低价恶性竞争，在履约阶段则通过偷工减料、以次充好而获取利润的，</w:t>
      </w:r>
      <w:r>
        <w:rPr>
          <w:rFonts w:ascii="宋体" w:eastAsia="宋体" w:hAnsi="宋体" w:cs="宋体" w:hint="eastAsia"/>
          <w:bCs/>
          <w:sz w:val="24"/>
          <w:szCs w:val="24"/>
          <w:lang w:val="en-US" w:eastAsia="zh-CN"/>
        </w:rPr>
        <w:t>将</w:t>
      </w:r>
      <w:r>
        <w:rPr>
          <w:rFonts w:ascii="宋体" w:eastAsia="宋体" w:hAnsi="宋体" w:cs="宋体" w:hint="eastAsia"/>
          <w:bCs/>
          <w:sz w:val="24"/>
          <w:szCs w:val="24"/>
        </w:rPr>
        <w:t>被履约评价工作实施机构评为履约等级“差”并按主管部门相关规定处理。</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bookmarkEnd w:id="80"/>
      <w:bookmarkEnd w:id="81"/>
      <w:r>
        <w:rPr>
          <w:rFonts w:ascii="宋体" w:eastAsia="宋体" w:hAnsi="宋体" w:cs="宋体" w:hint="eastAsia"/>
          <w:b/>
          <w:bCs/>
          <w:color w:val="000000"/>
          <w:sz w:val="24"/>
          <w:szCs w:val="24"/>
        </w:rPr>
        <w:t xml:space="preserve"> ★3.3.4 关于报价方式及要求 </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000000"/>
          <w:sz w:val="24"/>
          <w:szCs w:val="24"/>
          <w:lang w:val="zh-CN"/>
        </w:rPr>
      </w:pPr>
      <w:r>
        <w:rPr>
          <w:rFonts w:ascii="宋体" w:eastAsia="宋体" w:hAnsi="宋体" w:cs="宋体" w:hint="eastAsia"/>
          <w:color w:val="000000"/>
          <w:sz w:val="24"/>
          <w:szCs w:val="24"/>
        </w:rPr>
        <w:t>人民币报价，投标价包含仪器设备的价款、税费、包装、运输、装卸、安装、调试、技术指导、培训、咨询、服务、保险、检测、验收合格交付使用之前以及技术和售后服务、质保期退运返修等其他所有费用</w:t>
      </w:r>
      <w:r>
        <w:rPr>
          <w:rFonts w:ascii="宋体" w:eastAsia="宋体" w:hAnsi="宋体" w:cs="宋体" w:hint="eastAsia"/>
          <w:color w:val="000000"/>
          <w:sz w:val="24"/>
          <w:szCs w:val="24"/>
          <w:lang w:val="zh-CN"/>
        </w:rPr>
        <w:t>。</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000000"/>
          <w:sz w:val="24"/>
          <w:szCs w:val="24"/>
        </w:rPr>
      </w:pPr>
      <w:r>
        <w:rPr>
          <w:rFonts w:ascii="宋体" w:eastAsia="宋体" w:hAnsi="宋体" w:cs="宋体" w:hint="eastAsia"/>
          <w:color w:val="000000"/>
          <w:sz w:val="24"/>
          <w:szCs w:val="24"/>
          <w:lang w:val="zh-CN"/>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eastAsia="宋体" w:hAnsi="宋体" w:cs="宋体" w:hint="eastAsia"/>
          <w:b/>
          <w:bCs/>
          <w:color w:val="000000"/>
          <w:sz w:val="24"/>
          <w:szCs w:val="24"/>
        </w:rPr>
      </w:pPr>
      <w:r>
        <w:rPr>
          <w:rFonts w:ascii="宋体" w:eastAsia="宋体" w:hAnsi="宋体" w:cs="宋体" w:hint="eastAsia"/>
          <w:b/>
          <w:bCs/>
          <w:color w:val="000000"/>
          <w:sz w:val="24"/>
          <w:szCs w:val="24"/>
        </w:rPr>
        <w:t>★3.3.5付款方式</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00000"/>
          <w:sz w:val="24"/>
          <w:szCs w:val="24"/>
        </w:rPr>
      </w:pPr>
      <w:r>
        <w:rPr>
          <w:rFonts w:ascii="宋体" w:eastAsia="宋体" w:hAnsi="宋体" w:cs="宋体" w:hint="eastAsia"/>
          <w:color w:val="000000"/>
          <w:sz w:val="24"/>
          <w:szCs w:val="24"/>
        </w:rPr>
        <w:t>国内合同：</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00000"/>
          <w:sz w:val="24"/>
          <w:szCs w:val="24"/>
        </w:rPr>
      </w:pPr>
      <w:r>
        <w:rPr>
          <w:rFonts w:ascii="宋体" w:eastAsia="宋体" w:hAnsi="宋体" w:cs="宋体" w:hint="eastAsia"/>
          <w:color w:val="000000"/>
          <w:sz w:val="24"/>
          <w:szCs w:val="24"/>
        </w:rPr>
        <w:t>（1）合同生效后，</w:t>
      </w:r>
      <w:r>
        <w:rPr>
          <w:rFonts w:ascii="宋体" w:eastAsia="宋体" w:hAnsi="宋体" w:cs="宋体" w:hint="eastAsia"/>
          <w:color w:val="000000"/>
          <w:sz w:val="24"/>
          <w:szCs w:val="24"/>
          <w:lang w:eastAsia="zh-CN"/>
        </w:rPr>
        <w:t>采购人</w:t>
      </w:r>
      <w:r>
        <w:rPr>
          <w:rFonts w:ascii="宋体" w:eastAsia="宋体" w:hAnsi="宋体" w:cs="宋体" w:hint="eastAsia"/>
          <w:color w:val="000000"/>
          <w:sz w:val="24"/>
          <w:szCs w:val="24"/>
        </w:rPr>
        <w:t>在 15日内，向中标人支付合同价款的  30 %，作为预付款；</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00000"/>
          <w:sz w:val="24"/>
          <w:szCs w:val="24"/>
        </w:rPr>
      </w:pPr>
      <w:r>
        <w:rPr>
          <w:rFonts w:ascii="宋体" w:eastAsia="宋体" w:hAnsi="宋体" w:cs="宋体" w:hint="eastAsia"/>
          <w:color w:val="000000"/>
          <w:sz w:val="24"/>
          <w:szCs w:val="24"/>
        </w:rPr>
        <w:t>（2）中标人按照合同约定交付全部合同货物，完成安装、调试并经</w:t>
      </w:r>
      <w:r>
        <w:rPr>
          <w:rFonts w:ascii="宋体" w:eastAsia="宋体" w:hAnsi="宋体" w:cs="宋体" w:hint="eastAsia"/>
          <w:color w:val="000000"/>
          <w:sz w:val="24"/>
          <w:szCs w:val="24"/>
          <w:lang w:eastAsia="zh-CN"/>
        </w:rPr>
        <w:t>采购人</w:t>
      </w:r>
      <w:r>
        <w:rPr>
          <w:rFonts w:ascii="宋体" w:eastAsia="宋体" w:hAnsi="宋体" w:cs="宋体" w:hint="eastAsia"/>
          <w:color w:val="000000"/>
          <w:sz w:val="24"/>
          <w:szCs w:val="24"/>
        </w:rPr>
        <w:t>验收合格后，</w:t>
      </w:r>
      <w:r>
        <w:rPr>
          <w:rFonts w:ascii="宋体" w:eastAsia="宋体" w:hAnsi="宋体" w:cs="宋体" w:hint="eastAsia"/>
          <w:color w:val="000000"/>
          <w:sz w:val="24"/>
          <w:szCs w:val="24"/>
          <w:lang w:eastAsia="zh-CN"/>
        </w:rPr>
        <w:t>采购人</w:t>
      </w:r>
      <w:r>
        <w:rPr>
          <w:rFonts w:ascii="宋体" w:eastAsia="宋体" w:hAnsi="宋体" w:cs="宋体" w:hint="eastAsia"/>
          <w:color w:val="000000"/>
          <w:sz w:val="24"/>
          <w:szCs w:val="24"/>
        </w:rPr>
        <w:t>在收到中标人提交的下列全部单据并经审核无误后15日内，向中标人支付合同价款的 65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D0D0D"/>
          <w:sz w:val="24"/>
          <w:szCs w:val="24"/>
        </w:rPr>
      </w:pPr>
      <w:r>
        <w:rPr>
          <w:rFonts w:ascii="宋体" w:eastAsia="宋体" w:hAnsi="宋体" w:cs="宋体" w:hint="eastAsia"/>
          <w:color w:val="0D0D0D"/>
          <w:sz w:val="24"/>
          <w:szCs w:val="24"/>
        </w:rPr>
        <w:t>① 中标人出具的交货清单原件一份；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D0D0D"/>
          <w:sz w:val="24"/>
          <w:szCs w:val="24"/>
        </w:rPr>
      </w:pPr>
      <w:r>
        <w:rPr>
          <w:rFonts w:ascii="宋体" w:eastAsia="宋体" w:hAnsi="宋体" w:cs="宋体" w:hint="eastAsia"/>
          <w:color w:val="0D0D0D"/>
          <w:sz w:val="24"/>
          <w:szCs w:val="24"/>
        </w:rPr>
        <w:t>② 采购</w:t>
      </w:r>
      <w:r>
        <w:rPr>
          <w:rFonts w:ascii="宋体" w:eastAsia="宋体" w:hAnsi="宋体" w:cs="宋体" w:hint="eastAsia"/>
          <w:color w:val="0D0D0D"/>
          <w:sz w:val="24"/>
          <w:szCs w:val="24"/>
          <w:lang w:val="en-US" w:eastAsia="zh-CN"/>
        </w:rPr>
        <w:t>人</w:t>
      </w:r>
      <w:r>
        <w:rPr>
          <w:rFonts w:ascii="宋体" w:eastAsia="宋体" w:hAnsi="宋体" w:cs="宋体" w:hint="eastAsia"/>
          <w:color w:val="0D0D0D"/>
          <w:sz w:val="24"/>
          <w:szCs w:val="24"/>
        </w:rPr>
        <w:t>签署的收货清单复印件一份；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D0D0D"/>
          <w:sz w:val="24"/>
          <w:szCs w:val="24"/>
        </w:rPr>
      </w:pPr>
      <w:r>
        <w:rPr>
          <w:rFonts w:ascii="宋体" w:eastAsia="宋体" w:hAnsi="宋体" w:cs="宋体" w:hint="eastAsia"/>
          <w:color w:val="0D0D0D"/>
          <w:sz w:val="24"/>
          <w:szCs w:val="24"/>
        </w:rPr>
        <w:t>③ 货物验收记录复印件一份；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D0D0D"/>
          <w:sz w:val="24"/>
          <w:szCs w:val="24"/>
        </w:rPr>
      </w:pPr>
      <w:r>
        <w:rPr>
          <w:rFonts w:ascii="宋体" w:eastAsia="宋体" w:hAnsi="宋体" w:cs="宋体" w:hint="eastAsia"/>
          <w:color w:val="0D0D0D"/>
          <w:sz w:val="24"/>
          <w:szCs w:val="24"/>
        </w:rPr>
        <w:t>④ 制造商出具的出厂质量合格证原件一份；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D0D0D"/>
          <w:sz w:val="24"/>
          <w:szCs w:val="24"/>
        </w:rPr>
      </w:pPr>
      <w:r>
        <w:rPr>
          <w:rFonts w:ascii="宋体" w:eastAsia="宋体" w:hAnsi="宋体" w:cs="宋体" w:hint="eastAsia"/>
          <w:color w:val="0D0D0D"/>
          <w:sz w:val="24"/>
          <w:szCs w:val="24"/>
        </w:rPr>
        <w:t>⑤ 增值税（专用/普通）发票原件一份。</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00000"/>
          <w:sz w:val="24"/>
          <w:szCs w:val="24"/>
        </w:rPr>
      </w:pPr>
      <w:r>
        <w:rPr>
          <w:rFonts w:ascii="宋体" w:eastAsia="宋体" w:hAnsi="宋体" w:cs="宋体" w:hint="eastAsia"/>
          <w:color w:val="000000"/>
          <w:sz w:val="24"/>
          <w:szCs w:val="24"/>
        </w:rPr>
        <w:t>（3）在货物验收合格并稳定运行12个月后，在收到中标人增值税（专用/普通）发票原件一份并经审核无误后 15日内，</w:t>
      </w:r>
      <w:r>
        <w:rPr>
          <w:rFonts w:ascii="宋体" w:eastAsia="宋体" w:hAnsi="宋体" w:cs="宋体" w:hint="eastAsia"/>
          <w:color w:val="000000"/>
          <w:sz w:val="24"/>
          <w:szCs w:val="24"/>
          <w:lang w:eastAsia="zh-CN"/>
        </w:rPr>
        <w:t>采购人</w:t>
      </w:r>
      <w:r>
        <w:rPr>
          <w:rFonts w:ascii="宋体" w:eastAsia="宋体" w:hAnsi="宋体" w:cs="宋体" w:hint="eastAsia"/>
          <w:color w:val="000000"/>
          <w:sz w:val="24"/>
          <w:szCs w:val="24"/>
        </w:rPr>
        <w:t>向中标人支付合同价格的 5  %。如果中标人不履行合同约定的义务或其履行义务不符合合同的约定，</w:t>
      </w:r>
      <w:r>
        <w:rPr>
          <w:rFonts w:ascii="宋体" w:eastAsia="宋体" w:hAnsi="宋体" w:cs="宋体" w:hint="eastAsia"/>
          <w:color w:val="000000"/>
          <w:sz w:val="24"/>
          <w:szCs w:val="24"/>
          <w:lang w:eastAsia="zh-CN"/>
        </w:rPr>
        <w:t>采购人</w:t>
      </w:r>
      <w:r>
        <w:rPr>
          <w:rFonts w:ascii="宋体" w:eastAsia="宋体" w:hAnsi="宋体" w:cs="宋体" w:hint="eastAsia"/>
          <w:color w:val="000000"/>
          <w:sz w:val="24"/>
          <w:szCs w:val="24"/>
        </w:rPr>
        <w:t>有权直接从应付中标人的任何一笔款项中扣减</w:t>
      </w:r>
      <w:r>
        <w:rPr>
          <w:rFonts w:ascii="宋体" w:eastAsia="宋体" w:hAnsi="宋体" w:cs="宋体" w:hint="eastAsia"/>
          <w:color w:val="000000"/>
          <w:sz w:val="24"/>
          <w:szCs w:val="24"/>
          <w:lang w:eastAsia="zh-CN"/>
        </w:rPr>
        <w:t>采购人</w:t>
      </w:r>
      <w:r>
        <w:rPr>
          <w:rFonts w:ascii="宋体" w:eastAsia="宋体" w:hAnsi="宋体" w:cs="宋体" w:hint="eastAsia"/>
          <w:color w:val="000000"/>
          <w:sz w:val="24"/>
          <w:szCs w:val="24"/>
        </w:rPr>
        <w:t>应得之补偿。不足部分，</w:t>
      </w:r>
      <w:r>
        <w:rPr>
          <w:rFonts w:ascii="宋体" w:eastAsia="宋体" w:hAnsi="宋体" w:cs="宋体" w:hint="eastAsia"/>
          <w:color w:val="000000"/>
          <w:sz w:val="24"/>
          <w:szCs w:val="24"/>
          <w:lang w:eastAsia="zh-CN"/>
        </w:rPr>
        <w:t>采购人</w:t>
      </w:r>
      <w:r>
        <w:rPr>
          <w:rFonts w:ascii="宋体" w:eastAsia="宋体" w:hAnsi="宋体" w:cs="宋体" w:hint="eastAsia"/>
          <w:color w:val="000000"/>
          <w:sz w:val="24"/>
          <w:szCs w:val="24"/>
        </w:rPr>
        <w:t>有权继续向中标人进行追偿。</w:t>
      </w:r>
    </w:p>
    <w:p>
      <w:pPr>
        <w:pStyle w:val="NormalIndent"/>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color w:val="000000"/>
          <w:sz w:val="24"/>
          <w:szCs w:val="24"/>
        </w:rPr>
      </w:pPr>
      <w:r>
        <w:rPr>
          <w:rFonts w:ascii="宋体" w:eastAsia="宋体" w:hAnsi="宋体" w:cs="宋体" w:hint="eastAsia"/>
          <w:color w:val="000000"/>
          <w:sz w:val="24"/>
          <w:szCs w:val="24"/>
        </w:rPr>
        <w:t>（4）质量保证期自验收合格之日起计。</w:t>
      </w:r>
    </w:p>
    <w:p>
      <w:pPr>
        <w:widowControl/>
        <w:tabs>
          <w:tab w:val="left" w:pos="567"/>
        </w:tabs>
        <w:autoSpaceDE w:val="0"/>
        <w:autoSpaceDN w:val="0"/>
        <w:adjustRightInd w:val="0"/>
        <w:snapToGrid w:val="0"/>
        <w:spacing w:line="360" w:lineRule="auto"/>
        <w:jc w:val="left"/>
        <w:rPr>
          <w:rFonts w:hAnsi="宋体" w:cs="宋体"/>
          <w:sz w:val="24"/>
        </w:rPr>
      </w:pPr>
    </w:p>
    <w:p>
      <w:pPr>
        <w:rPr>
          <w:b/>
          <w:bCs/>
          <w:sz w:val="28"/>
          <w:szCs w:val="28"/>
        </w:rPr>
      </w:pPr>
      <w:r>
        <w:rPr>
          <w:rFonts w:hint="eastAsia"/>
          <w:b/>
          <w:bCs/>
          <w:sz w:val="28"/>
          <w:szCs w:val="28"/>
        </w:rPr>
        <w:br w:type="page"/>
      </w:r>
    </w:p>
    <w:p>
      <w:pPr>
        <w:adjustRightInd w:val="0"/>
        <w:snapToGrid w:val="0"/>
        <w:spacing w:line="360" w:lineRule="auto"/>
        <w:jc w:val="center"/>
        <w:rPr>
          <w:b/>
          <w:bCs/>
          <w:sz w:val="28"/>
          <w:szCs w:val="28"/>
          <w:highlight w:val="yellow"/>
        </w:rPr>
      </w:pPr>
      <w:bookmarkEnd w:id="57"/>
      <w:bookmarkEnd w:id="58"/>
      <w:bookmarkEnd w:id="59"/>
      <w:bookmarkStart w:id="82" w:name="_Toc13067019"/>
      <w:bookmarkStart w:id="83" w:name="_Toc9211"/>
      <w:bookmarkStart w:id="84" w:name="_Toc13067017"/>
      <w:bookmarkStart w:id="85" w:name="_Toc435109306"/>
      <w:bookmarkStart w:id="86" w:name="_Toc13067022"/>
      <w:bookmarkStart w:id="87" w:name="_Toc435115055"/>
      <w:bookmarkStart w:id="88" w:name="_Toc435514850"/>
      <w:r>
        <w:rPr>
          <w:rFonts w:hint="eastAsia"/>
          <w:b/>
          <w:bCs/>
          <w:sz w:val="28"/>
          <w:szCs w:val="28"/>
        </w:rPr>
        <w:t>第三章 评标方法</w:t>
      </w:r>
      <w:bookmarkEnd w:id="82"/>
      <w:r>
        <w:rPr>
          <w:rFonts w:hint="eastAsia"/>
          <w:b/>
          <w:bCs/>
          <w:sz w:val="28"/>
          <w:szCs w:val="28"/>
        </w:rPr>
        <w:t>和标准</w:t>
      </w:r>
      <w:bookmarkEnd w:id="83"/>
    </w:p>
    <w:p>
      <w:pPr>
        <w:pStyle w:val="ListParagraph"/>
        <w:numPr>
          <w:ilvl w:val="0"/>
          <w:numId w:val="5"/>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6"/>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89" w:name="_Toc435514846"/>
      <w:r>
        <w:rPr>
          <w:rFonts w:ascii="黑体" w:eastAsia="黑体" w:hAnsi="宋体" w:cs="宋体"/>
          <w:sz w:val="28"/>
          <w:szCs w:val="28"/>
        </w:rPr>
        <w:br w:type="page"/>
      </w:r>
    </w:p>
    <w:p>
      <w:pPr>
        <w:jc w:val="center"/>
        <w:rPr>
          <w:b/>
          <w:bCs/>
          <w:color w:val="FF0000"/>
          <w:sz w:val="28"/>
          <w:szCs w:val="28"/>
        </w:rPr>
      </w:pPr>
      <w:bookmarkEnd w:id="89"/>
      <w:bookmarkStart w:id="90" w:name="_Toc30664355"/>
      <w:bookmarkStart w:id="91" w:name="_Toc435514848"/>
      <w:r>
        <w:rPr>
          <w:rFonts w:hint="eastAsia"/>
          <w:b/>
          <w:bCs/>
          <w:sz w:val="28"/>
          <w:szCs w:val="28"/>
        </w:rPr>
        <w:t>投标文件初审</w:t>
      </w:r>
      <w:bookmarkEnd w:id="90"/>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sz w:val="24"/>
              </w:rPr>
              <w:t>参与本项目投标前三年内，在经营活动中没有重大违法记录</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sz w:val="24"/>
              </w:rPr>
              <w:t>参与本项目政府采购活动时不存在被有关部门禁止参与政府采购活动且在有效期内的情况</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8"/>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sz w:val="24"/>
              </w:rPr>
            </w:pP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宋体" w:hAnsi="宋体" w:hint="eastAsia"/>
                <w:bCs/>
                <w:sz w:val="24"/>
              </w:rPr>
              <w:t>单位负责人为同一人或者存在直接控股、管理关系的不同供应商，不得参加同一合同项下的政府采购活动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参与政府采购项目投标的供应商未被列入失信被执行人、</w:t>
            </w:r>
            <w:r>
              <w:rPr>
                <w:rFonts w:asciiTheme="minorEastAsia" w:eastAsiaTheme="minorEastAsia" w:hAnsiTheme="minorEastAsia"/>
                <w:bCs/>
                <w:sz w:val="24"/>
              </w:rPr>
              <w:t>重大税收违法案件当事人名单（税收违法黑名单）</w:t>
            </w:r>
            <w:r>
              <w:rPr>
                <w:rFonts w:asciiTheme="minorEastAsia" w:eastAsiaTheme="minorEastAsia" w:hAnsiTheme="minorEastAsia" w:hint="eastAsia"/>
                <w:bCs/>
                <w:sz w:val="24"/>
              </w:rPr>
              <w:t>、政府采购严重违法失信行为记录名单（提供《政府采购投标及履约承诺函》）。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567"/>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宋体" w:eastAsia="宋体" w:hAnsi="宋体" w:cs="宋体" w:hint="eastAsia"/>
                <w:sz w:val="24"/>
                <w:szCs w:val="24"/>
              </w:rPr>
              <w:t>本项目不接受联合体投标</w:t>
            </w:r>
            <w:r>
              <w:rPr>
                <w:rFonts w:ascii="宋体" w:eastAsia="宋体" w:hAnsi="宋体" w:cs="宋体" w:hint="eastAsia"/>
                <w:sz w:val="24"/>
                <w:szCs w:val="24"/>
                <w:lang w:eastAsia="zh-CN"/>
              </w:rPr>
              <w:t>，</w:t>
            </w:r>
            <w:r>
              <w:rPr>
                <w:rFonts w:ascii="宋体" w:eastAsia="宋体" w:hAnsi="宋体" w:cs="宋体" w:hint="eastAsia"/>
                <w:sz w:val="24"/>
                <w:szCs w:val="24"/>
                <w:lang w:val="en-US" w:eastAsia="zh-CN"/>
              </w:rPr>
              <w:t>不允许分包、转包。</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pStyle w:val="PlainText"/>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宋体" w:hint="eastAsia"/>
                <w:sz w:val="24"/>
              </w:rPr>
            </w:pPr>
            <w:r>
              <w:rPr>
                <w:rFonts w:ascii="宋体" w:eastAsia="宋体" w:hAnsi="宋体" w:cs="宋体" w:hint="eastAsia"/>
                <w:sz w:val="24"/>
                <w:szCs w:val="24"/>
                <w:lang w:val="en-US" w:eastAsia="zh-CN"/>
              </w:rPr>
              <w:t>不接受投标人选用进口产品参与投标。</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7"/>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rPr>
                <w:rFonts w:asciiTheme="minorEastAsia" w:eastAsiaTheme="minorEastAsia" w:hAnsiTheme="minorEastAsia" w:cs="宋体"/>
                <w:sz w:val="24"/>
              </w:rPr>
            </w:pPr>
            <w:r>
              <w:rPr>
                <w:rFonts w:ascii="宋体" w:hAnsi="宋体" w:cs="仿宋_GB2312" w:hint="eastAsia"/>
                <w:sz w:val="24"/>
              </w:rPr>
              <w:t>落实政府采购政策需满足的资格要求：无</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92" w:name="_Hlk34398339"/>
            <w:r>
              <w:rPr>
                <w:rFonts w:ascii="宋体" w:hAnsi="宋体" w:cs="宋体" w:hint="eastAsia"/>
                <w:b/>
                <w:sz w:val="24"/>
              </w:rPr>
              <w:t>符合性审查</w:t>
            </w:r>
            <w:bookmarkEnd w:id="92"/>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int="eastAsia"/>
                <w:bCs/>
                <w:sz w:val="24"/>
              </w:rPr>
              <w:t>投标人按招标文件要求提供本国产品\服务</w:t>
            </w:r>
            <w:r>
              <w:rPr>
                <w:rStyle w:val="CommentReference"/>
                <w:rFonts w:asciiTheme="minorHAnsi" w:eastAsiaTheme="minorEastAsia" w:hAnsiTheme="minorHAnsi" w:cstheme="minorBidi" w:hint="eastAsia"/>
                <w:sz w:val="24"/>
                <w:szCs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9"/>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评审部分</w:t>
            </w: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评审因素</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评分细则</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权重（%）</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一</w:t>
            </w:r>
          </w:p>
        </w:tc>
        <w:tc>
          <w:tcPr>
            <w:tcW w:w="8562"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技术部分（合计54分）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10"/>
              </w:numPr>
              <w:kinsoku/>
              <w:wordWrap/>
              <w:overflowPunct/>
              <w:topLinePunct w:val="0"/>
              <w:autoSpaceDE/>
              <w:autoSpaceDN/>
              <w:bidi w:val="0"/>
              <w:adjustRightInd w:val="0"/>
              <w:snapToGrid w:val="0"/>
              <w:spacing w:line="240" w:lineRule="auto"/>
              <w:ind w:right="0" w:rightChars="0"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技术保障措施</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（一）评审内容：</w:t>
            </w:r>
          </w:p>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投标人结合本项目实际提供项目技术保障措施，应包括内容：</w:t>
            </w:r>
          </w:p>
          <w:p>
            <w:pPr>
              <w:keepNext w:val="0"/>
              <w:keepLines w:val="0"/>
              <w:pageBreakBefore w:val="0"/>
              <w:numPr>
                <w:ilvl w:val="0"/>
                <w:numId w:val="11"/>
              </w:numPr>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投标产品的质量可靠性和先进性说明，并提供提供质量管理体系认证证书，认证范围包含超高真空薄膜生长系统；</w:t>
            </w:r>
          </w:p>
          <w:p>
            <w:pPr>
              <w:keepNext w:val="0"/>
              <w:keepLines w:val="0"/>
              <w:pageBreakBefore w:val="0"/>
              <w:numPr>
                <w:ilvl w:val="0"/>
                <w:numId w:val="11"/>
              </w:numPr>
              <w:kinsoku/>
              <w:wordWrap/>
              <w:overflowPunct/>
              <w:topLinePunct w:val="0"/>
              <w:autoSpaceDE/>
              <w:autoSpaceDN/>
              <w:bidi w:val="0"/>
              <w:adjustRightInd w:val="0"/>
              <w:snapToGrid w:val="0"/>
              <w:spacing w:line="240" w:lineRule="auto"/>
              <w:ind w:left="0" w:right="0" w:firstLine="0" w:leftChars="0" w:rightChars="0" w:firstLine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供货和安装进度计划；</w:t>
            </w:r>
          </w:p>
          <w:p>
            <w:pPr>
              <w:keepNext w:val="0"/>
              <w:keepLines w:val="0"/>
              <w:pageBreakBefore w:val="0"/>
              <w:numPr>
                <w:ilvl w:val="0"/>
                <w:numId w:val="11"/>
              </w:numPr>
              <w:kinsoku/>
              <w:wordWrap/>
              <w:overflowPunct/>
              <w:topLinePunct w:val="0"/>
              <w:autoSpaceDE/>
              <w:autoSpaceDN/>
              <w:bidi w:val="0"/>
              <w:adjustRightInd w:val="0"/>
              <w:snapToGrid w:val="0"/>
              <w:spacing w:line="240" w:lineRule="auto"/>
              <w:ind w:left="0" w:right="0" w:firstLine="0" w:leftChars="0" w:rightChars="0" w:firstLine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供货时间节点和步骤；</w:t>
            </w:r>
          </w:p>
          <w:p>
            <w:pPr>
              <w:keepNext w:val="0"/>
              <w:keepLines w:val="0"/>
              <w:pageBreakBefore w:val="0"/>
              <w:numPr>
                <w:ilvl w:val="0"/>
                <w:numId w:val="11"/>
              </w:numPr>
              <w:kinsoku/>
              <w:wordWrap/>
              <w:overflowPunct/>
              <w:topLinePunct w:val="0"/>
              <w:autoSpaceDE/>
              <w:autoSpaceDN/>
              <w:bidi w:val="0"/>
              <w:adjustRightInd w:val="0"/>
              <w:snapToGrid w:val="0"/>
              <w:spacing w:line="240" w:lineRule="auto"/>
              <w:ind w:left="0" w:right="0" w:firstLine="0" w:leftChars="0" w:rightChars="0" w:firstLine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人员安排和分工；</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leftChars="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5、突发情况应对措施。</w:t>
            </w:r>
          </w:p>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（二）评分依据： </w:t>
            </w:r>
          </w:p>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每满足一点得15分，满分75分。在此基础上，专家根据各供应商的具体响应内容按照量化的评审因素指标进一步评审:</w:t>
            </w:r>
          </w:p>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1.评分标准为优：项目技术保障措施思路清晰明确，方案合理可行，满足服务要求，针对性强的得25分； </w:t>
            </w:r>
          </w:p>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2.评分标准为良：项目技术保障措施总体思路比较清晰，方案比较合理可行，可以满足服务要求的加15分； </w:t>
            </w:r>
          </w:p>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Cs/>
                <w:color w:val="000000"/>
                <w:sz w:val="24"/>
                <w:szCs w:val="24"/>
              </w:rPr>
            </w:pPr>
            <w:r>
              <w:rPr>
                <w:rFonts w:ascii="宋体" w:eastAsia="宋体" w:hAnsi="宋体" w:cs="宋体" w:hint="eastAsia"/>
                <w:bCs/>
                <w:color w:val="000000"/>
                <w:sz w:val="24"/>
                <w:szCs w:val="24"/>
              </w:rPr>
              <w:t xml:space="preserve">3.评分标准为中：项目技术保障措施思路基本清晰，方案基本合理可行，基本可以满足服务要求的加10分； </w:t>
            </w:r>
          </w:p>
          <w:p>
            <w:pPr>
              <w:pStyle w:val="CommentText"/>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sz w:val="24"/>
                <w:szCs w:val="24"/>
              </w:rPr>
            </w:pPr>
            <w:r>
              <w:rPr>
                <w:rFonts w:ascii="宋体" w:eastAsia="宋体" w:hAnsi="宋体" w:cs="宋体" w:hint="eastAsia"/>
                <w:bCs/>
                <w:color w:val="000000"/>
                <w:sz w:val="24"/>
                <w:szCs w:val="24"/>
              </w:rPr>
              <w:t>4.评分标准为差：项目技术保障措施思路不清晰，方案不完整，不能满足服务需要的不得分。如果评审为差，要求专家书面说明理由，并记录在档。</w:t>
            </w:r>
          </w:p>
        </w:tc>
        <w:tc>
          <w:tcPr>
            <w:tcW w:w="685" w:type="dxa"/>
            <w:tcBorders>
              <w:righ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kern w:val="0"/>
                <w:sz w:val="24"/>
                <w:szCs w:val="24"/>
              </w:rPr>
              <w:t>3</w:t>
            </w:r>
          </w:p>
        </w:tc>
        <w:tc>
          <w:tcPr>
            <w:tcW w:w="792" w:type="dxa"/>
            <w:tcBorders>
              <w:lef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kern w:val="0"/>
                <w:sz w:val="24"/>
                <w:szCs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10"/>
              </w:numPr>
              <w:kinsoku/>
              <w:wordWrap/>
              <w:overflowPunct/>
              <w:topLinePunct w:val="0"/>
              <w:autoSpaceDE/>
              <w:autoSpaceDN/>
              <w:bidi w:val="0"/>
              <w:adjustRightInd w:val="0"/>
              <w:snapToGrid w:val="0"/>
              <w:spacing w:line="240" w:lineRule="auto"/>
              <w:ind w:right="0" w:rightChars="0"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kern w:val="0"/>
                <w:sz w:val="24"/>
                <w:szCs w:val="24"/>
              </w:rPr>
              <w:t>技术规格偏离情况</w:t>
            </w:r>
          </w:p>
        </w:tc>
        <w:tc>
          <w:tcPr>
            <w:tcW w:w="5730" w:type="dxa"/>
            <w:vAlign w:val="center"/>
          </w:tcPr>
          <w:p>
            <w:pPr>
              <w:pStyle w:val="CommentText"/>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sz w:val="24"/>
                <w:szCs w:val="24"/>
                <w:highlight w:val="yellow"/>
              </w:rPr>
            </w:pPr>
            <w:r>
              <w:rPr>
                <w:rFonts w:ascii="宋体" w:eastAsia="宋体" w:hAnsi="宋体" w:cs="宋体" w:hint="eastAsia"/>
                <w:sz w:val="24"/>
                <w:szCs w:val="24"/>
              </w:rPr>
              <w:t>投标人应如实填写《技术规格偏离表》，评审委员会</w:t>
            </w:r>
            <w:r>
              <w:rPr>
                <w:rFonts w:ascii="宋体" w:eastAsia="宋体" w:hAnsi="宋体" w:cs="宋体" w:hint="eastAsia"/>
                <w:color w:val="auto"/>
                <w:sz w:val="24"/>
                <w:szCs w:val="24"/>
              </w:rPr>
              <w:t>根据</w:t>
            </w:r>
            <w:r>
              <w:rPr>
                <w:rFonts w:ascii="宋体" w:eastAsia="宋体" w:hAnsi="宋体" w:cs="宋体" w:hint="eastAsia"/>
                <w:color w:val="auto"/>
                <w:sz w:val="24"/>
                <w:szCs w:val="24"/>
                <w:lang w:val="en-US" w:eastAsia="zh-CN"/>
              </w:rPr>
              <w:t>招标文件第二章</w:t>
            </w:r>
            <w:r>
              <w:rPr>
                <w:rFonts w:ascii="宋体" w:eastAsia="宋体" w:hAnsi="宋体" w:cs="宋体" w:hint="eastAsia"/>
                <w:color w:val="auto"/>
                <w:sz w:val="24"/>
                <w:szCs w:val="24"/>
              </w:rPr>
              <w:t>用户需求书 五、技术规格中的4、技术要求参数响应情况进</w:t>
            </w:r>
            <w:r>
              <w:rPr>
                <w:rFonts w:ascii="宋体" w:eastAsia="宋体" w:hAnsi="宋体" w:cs="宋体" w:hint="eastAsia"/>
                <w:color w:val="auto"/>
                <w:kern w:val="2"/>
                <w:sz w:val="24"/>
                <w:szCs w:val="24"/>
                <w:lang w:val="en-US" w:eastAsia="zh-CN" w:bidi="ar-SA"/>
              </w:rPr>
              <w:t>行打分，各项技术参数指标及要求全部满足的得100分，标注“</w:t>
            </w:r>
            <w:r>
              <w:rPr>
                <w:rFonts w:ascii="宋体" w:eastAsia="宋体" w:hAnsi="宋体" w:cs="宋体" w:hint="eastAsia"/>
                <w:color w:val="auto"/>
                <w:kern w:val="2"/>
                <w:sz w:val="24"/>
                <w:szCs w:val="24"/>
                <w:lang w:val="zh-CN" w:eastAsia="zh-CN" w:bidi="ar-SA"/>
              </w:rPr>
              <w:t>▲”</w:t>
            </w:r>
            <w:r>
              <w:rPr>
                <w:rFonts w:ascii="宋体" w:eastAsia="宋体" w:hAnsi="宋体" w:cs="宋体" w:hint="eastAsia"/>
                <w:color w:val="auto"/>
                <w:kern w:val="2"/>
                <w:sz w:val="24"/>
                <w:szCs w:val="24"/>
                <w:lang w:val="en-US" w:eastAsia="zh-CN" w:bidi="ar-SA"/>
              </w:rPr>
              <w:t>每偏离一项扣8分，一</w:t>
            </w:r>
            <w:r>
              <w:rPr>
                <w:rFonts w:ascii="宋体" w:eastAsia="宋体" w:hAnsi="宋体" w:cs="宋体" w:hint="eastAsia"/>
                <w:kern w:val="2"/>
                <w:sz w:val="24"/>
                <w:szCs w:val="24"/>
                <w:lang w:val="en-US" w:eastAsia="zh-CN" w:bidi="ar-SA"/>
              </w:rPr>
              <w:t>般参数每偏离一项扣0.8分，最低0分。</w:t>
            </w:r>
          </w:p>
        </w:tc>
        <w:tc>
          <w:tcPr>
            <w:tcW w:w="685" w:type="dxa"/>
            <w:tcBorders>
              <w:righ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kern w:val="0"/>
                <w:sz w:val="24"/>
                <w:szCs w:val="24"/>
              </w:rPr>
              <w:t>51</w:t>
            </w:r>
          </w:p>
        </w:tc>
        <w:tc>
          <w:tcPr>
            <w:tcW w:w="792" w:type="dxa"/>
            <w:tcBorders>
              <w:left w:val="single" w:sz="4" w:space="0" w:color="auto"/>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kern w:val="0"/>
                <w:sz w:val="24"/>
                <w:szCs w:val="24"/>
              </w:rPr>
              <w:t>51</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二</w:t>
            </w:r>
          </w:p>
        </w:tc>
        <w:tc>
          <w:tcPr>
            <w:tcW w:w="8562"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商务部分（合计16分）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right="0" w:rightChars="0"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免费保修期内售后服务条款偏离情况</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sz w:val="24"/>
                <w:szCs w:val="24"/>
              </w:rPr>
            </w:pPr>
            <w:r>
              <w:rPr>
                <w:rFonts w:ascii="宋体" w:eastAsia="宋体" w:hAnsi="宋体" w:cs="宋体" w:hint="eastAsia"/>
                <w:sz w:val="24"/>
                <w:szCs w:val="24"/>
              </w:rPr>
              <w:t>投标人应如实填写《用户需求书商务条款响应一览表</w:t>
            </w:r>
            <w:r>
              <w:rPr>
                <w:rFonts w:ascii="宋体" w:eastAsia="宋体" w:hAnsi="宋体" w:cs="宋体" w:hint="eastAsia"/>
                <w:sz w:val="24"/>
                <w:szCs w:val="24"/>
                <w:lang w:eastAsia="zh-CN"/>
              </w:rPr>
              <w:t>（</w:t>
            </w:r>
            <w:r>
              <w:rPr>
                <w:rFonts w:ascii="宋体" w:eastAsia="宋体" w:hAnsi="宋体" w:cs="宋体" w:hint="eastAsia"/>
                <w:sz w:val="24"/>
                <w:szCs w:val="24"/>
              </w:rPr>
              <w:t>免费保修期内售后服务条款偏离表</w:t>
            </w:r>
            <w:r>
              <w:rPr>
                <w:rFonts w:ascii="宋体" w:eastAsia="宋体" w:hAnsi="宋体" w:cs="宋体" w:hint="eastAsia"/>
                <w:sz w:val="24"/>
                <w:szCs w:val="24"/>
                <w:lang w:eastAsia="zh-CN"/>
              </w:rPr>
              <w:t>）</w:t>
            </w:r>
            <w:r>
              <w:rPr>
                <w:rFonts w:ascii="宋体" w:eastAsia="宋体" w:hAnsi="宋体" w:cs="宋体" w:hint="eastAsia"/>
                <w:sz w:val="24"/>
                <w:szCs w:val="24"/>
              </w:rPr>
              <w:t>》，评审委员会根据响应情况进行打分，全部满足要求的得100分，每负偏离一项扣</w:t>
            </w:r>
            <w:r>
              <w:rPr>
                <w:rFonts w:ascii="宋体" w:eastAsia="宋体" w:hAnsi="宋体" w:cs="宋体" w:hint="eastAsia"/>
                <w:sz w:val="24"/>
                <w:szCs w:val="24"/>
                <w:lang w:val="en-US" w:eastAsia="zh-CN"/>
              </w:rPr>
              <w:t>33.3</w:t>
            </w:r>
            <w:r>
              <w:rPr>
                <w:rFonts w:ascii="宋体" w:eastAsia="宋体" w:hAnsi="宋体" w:cs="宋体" w:hint="eastAsia"/>
                <w:sz w:val="24"/>
                <w:szCs w:val="24"/>
              </w:rPr>
              <w:t>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r>
      <w:tr>
        <w:tblPrEx>
          <w:tblW w:w="9242" w:type="dxa"/>
          <w:jc w:val="center"/>
          <w:tblLayout w:type="fixed"/>
          <w:tblCellMar>
            <w:top w:w="0" w:type="dxa"/>
            <w:left w:w="108" w:type="dxa"/>
            <w:bottom w:w="0" w:type="dxa"/>
            <w:right w:w="108" w:type="dxa"/>
          </w:tblCellMar>
        </w:tblPrEx>
        <w:trPr>
          <w:trHeight w:val="90"/>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right="0" w:rightChars="0"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kern w:val="0"/>
                <w:sz w:val="24"/>
                <w:szCs w:val="24"/>
              </w:rPr>
            </w:pPr>
            <w:r>
              <w:rPr>
                <w:rFonts w:ascii="宋体" w:eastAsia="宋体" w:hAnsi="宋体" w:cs="宋体" w:hint="eastAsia"/>
                <w:sz w:val="24"/>
                <w:szCs w:val="24"/>
              </w:rPr>
              <w:t>免费保修期外售后服务条款偏离情况</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kern w:val="0"/>
                <w:sz w:val="24"/>
                <w:szCs w:val="24"/>
              </w:rPr>
            </w:pPr>
            <w:r>
              <w:rPr>
                <w:rFonts w:ascii="宋体" w:eastAsia="宋体" w:hAnsi="宋体" w:cs="宋体" w:hint="eastAsia"/>
                <w:sz w:val="24"/>
                <w:szCs w:val="24"/>
              </w:rPr>
              <w:t>投标人应如实填写《用户需求书商务条款响应一览表</w:t>
            </w:r>
            <w:r>
              <w:rPr>
                <w:rFonts w:ascii="宋体" w:eastAsia="宋体" w:hAnsi="宋体" w:cs="宋体" w:hint="eastAsia"/>
                <w:sz w:val="24"/>
                <w:szCs w:val="24"/>
                <w:lang w:eastAsia="zh-CN"/>
              </w:rPr>
              <w:t>（</w:t>
            </w:r>
            <w:r>
              <w:rPr>
                <w:rFonts w:ascii="宋体" w:eastAsia="宋体" w:hAnsi="宋体" w:cs="宋体" w:hint="eastAsia"/>
                <w:sz w:val="24"/>
                <w:szCs w:val="24"/>
              </w:rPr>
              <w:t>免费保修期外售后服务条款偏离表</w:t>
            </w:r>
            <w:r>
              <w:rPr>
                <w:rFonts w:ascii="宋体" w:eastAsia="宋体" w:hAnsi="宋体" w:cs="宋体" w:hint="eastAsia"/>
                <w:sz w:val="24"/>
                <w:szCs w:val="24"/>
                <w:lang w:eastAsia="zh-CN"/>
              </w:rPr>
              <w:t>）</w:t>
            </w:r>
            <w:r>
              <w:rPr>
                <w:rFonts w:ascii="宋体" w:eastAsia="宋体" w:hAnsi="宋体" w:cs="宋体" w:hint="eastAsia"/>
                <w:sz w:val="24"/>
                <w:szCs w:val="24"/>
              </w:rPr>
              <w:t>》，评审委员会根据响应情况进行打分，全部满足要求的得100分，每负偏离一项扣50分，最低0分。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right="0" w:rightChars="0"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kern w:val="0"/>
                <w:sz w:val="24"/>
                <w:szCs w:val="24"/>
              </w:rPr>
            </w:pPr>
            <w:r>
              <w:rPr>
                <w:rFonts w:ascii="宋体" w:eastAsia="宋体" w:hAnsi="宋体" w:cs="宋体" w:hint="eastAsia"/>
                <w:sz w:val="24"/>
                <w:szCs w:val="24"/>
              </w:rPr>
              <w:t>其他商务条款偏离情况</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kern w:val="0"/>
                <w:sz w:val="24"/>
                <w:szCs w:val="24"/>
              </w:rPr>
            </w:pPr>
            <w:r>
              <w:rPr>
                <w:rFonts w:ascii="宋体" w:eastAsia="宋体" w:hAnsi="宋体" w:cs="宋体" w:hint="eastAsia"/>
                <w:sz w:val="24"/>
                <w:szCs w:val="24"/>
              </w:rPr>
              <w:t>投标人应如实填写《用户需求书商务条款响应一览表</w:t>
            </w:r>
            <w:r>
              <w:rPr>
                <w:rFonts w:ascii="宋体" w:eastAsia="宋体" w:hAnsi="宋体" w:cs="宋体" w:hint="eastAsia"/>
                <w:sz w:val="24"/>
                <w:szCs w:val="24"/>
                <w:lang w:eastAsia="zh-CN"/>
              </w:rPr>
              <w:t>（</w:t>
            </w:r>
            <w:r>
              <w:rPr>
                <w:rFonts w:ascii="宋体" w:eastAsia="宋体" w:hAnsi="宋体" w:cs="宋体" w:hint="eastAsia"/>
                <w:sz w:val="24"/>
                <w:szCs w:val="24"/>
              </w:rPr>
              <w:t>其他商务条款偏离表</w:t>
            </w:r>
            <w:r>
              <w:rPr>
                <w:rFonts w:ascii="宋体" w:eastAsia="宋体" w:hAnsi="宋体" w:cs="宋体" w:hint="eastAsia"/>
                <w:sz w:val="24"/>
                <w:szCs w:val="24"/>
                <w:lang w:eastAsia="zh-CN"/>
              </w:rPr>
              <w:t>）</w:t>
            </w:r>
            <w:r>
              <w:rPr>
                <w:rFonts w:ascii="宋体" w:eastAsia="宋体" w:hAnsi="宋体" w:cs="宋体" w:hint="eastAsia"/>
                <w:sz w:val="24"/>
                <w:szCs w:val="24"/>
              </w:rPr>
              <w:t>》，评审委员会根据响应情况进行打分，全部满足要求的得100分，每负偏离一项扣</w:t>
            </w:r>
            <w:r>
              <w:rPr>
                <w:rFonts w:ascii="宋体" w:eastAsia="宋体" w:hAnsi="宋体" w:cs="宋体" w:hint="eastAsia"/>
                <w:sz w:val="24"/>
                <w:szCs w:val="24"/>
                <w:lang w:val="en-US" w:eastAsia="zh-CN"/>
              </w:rPr>
              <w:t>14.3</w:t>
            </w:r>
            <w:r>
              <w:rPr>
                <w:rFonts w:ascii="宋体" w:eastAsia="宋体" w:hAnsi="宋体" w:cs="宋体" w:hint="eastAsia"/>
                <w:sz w:val="24"/>
                <w:szCs w:val="24"/>
              </w:rPr>
              <w:t>分，最低0分。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2</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right="0" w:rightChars="0"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kern w:val="0"/>
                <w:sz w:val="24"/>
                <w:szCs w:val="24"/>
              </w:rPr>
              <w:t>业绩</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ascii="宋体" w:eastAsia="宋体" w:hAnsi="宋体" w:cs="宋体" w:hint="eastAsia"/>
                <w:sz w:val="24"/>
                <w:szCs w:val="24"/>
              </w:rPr>
            </w:pPr>
            <w:r>
              <w:rPr>
                <w:rFonts w:ascii="宋体" w:eastAsia="宋体" w:hAnsi="宋体" w:cs="宋体" w:hint="eastAsia"/>
                <w:sz w:val="24"/>
                <w:szCs w:val="24"/>
              </w:rPr>
              <w:t>投标人</w:t>
            </w:r>
            <w:r>
              <w:rPr>
                <w:rFonts w:ascii="宋体" w:eastAsia="宋体" w:hAnsi="宋体" w:cs="宋体" w:hint="eastAsia"/>
                <w:sz w:val="24"/>
                <w:szCs w:val="24"/>
                <w:lang w:val="en-US" w:eastAsia="zh-CN"/>
              </w:rPr>
              <w:t>在</w:t>
            </w:r>
            <w:r>
              <w:rPr>
                <w:rFonts w:ascii="宋体" w:eastAsia="宋体" w:hAnsi="宋体" w:cs="宋体" w:hint="eastAsia"/>
                <w:sz w:val="24"/>
                <w:szCs w:val="24"/>
              </w:rPr>
              <w:t>2020年</w:t>
            </w:r>
            <w:r>
              <w:rPr>
                <w:rFonts w:ascii="宋体" w:eastAsia="宋体" w:hAnsi="宋体" w:cs="宋体" w:hint="eastAsia"/>
                <w:sz w:val="24"/>
                <w:szCs w:val="24"/>
                <w:lang w:val="en-US" w:eastAsia="zh-CN"/>
              </w:rPr>
              <w:t>8</w:t>
            </w:r>
            <w:r>
              <w:rPr>
                <w:rFonts w:ascii="宋体" w:eastAsia="宋体" w:hAnsi="宋体" w:cs="宋体" w:hint="eastAsia"/>
                <w:sz w:val="24"/>
                <w:szCs w:val="24"/>
              </w:rPr>
              <w:t>月至投标截止前（以合同签订时间为准）提供</w:t>
            </w:r>
            <w:r>
              <w:rPr>
                <w:rFonts w:ascii="宋体" w:eastAsia="宋体" w:hAnsi="宋体" w:cs="宋体" w:hint="eastAsia"/>
                <w:sz w:val="24"/>
                <w:szCs w:val="24"/>
                <w:highlight w:val="none"/>
              </w:rPr>
              <w:t>3个磁控</w:t>
            </w:r>
            <w:r>
              <w:rPr>
                <w:rFonts w:ascii="宋体" w:eastAsia="宋体" w:hAnsi="宋体" w:cs="宋体" w:hint="eastAsia"/>
                <w:sz w:val="24"/>
                <w:szCs w:val="24"/>
                <w:highlight w:val="none"/>
                <w:lang w:val="en-US" w:eastAsia="zh-CN"/>
              </w:rPr>
              <w:t>溅射</w:t>
            </w:r>
            <w:r>
              <w:rPr>
                <w:rFonts w:ascii="宋体" w:eastAsia="宋体" w:hAnsi="宋体" w:cs="宋体" w:hint="eastAsia"/>
                <w:sz w:val="24"/>
                <w:szCs w:val="24"/>
                <w:highlight w:val="none"/>
              </w:rPr>
              <w:t>设备同类业绩即得满分，提供2个得60分，提供1个得30分，未提供的不得分。投标人必须在投标文件中提供每一个合</w:t>
            </w:r>
            <w:r>
              <w:rPr>
                <w:rFonts w:ascii="宋体" w:eastAsia="宋体" w:hAnsi="宋体" w:cs="宋体" w:hint="eastAsia"/>
                <w:sz w:val="24"/>
                <w:szCs w:val="24"/>
              </w:rPr>
              <w:t>同（盖合同甲方公章或业务章）扫描件，原件备查，否则不得分。</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63" w:right="0" w:leftChars="-3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keepNext w:val="0"/>
              <w:keepLines w:val="0"/>
              <w:pageBreakBefore w:val="0"/>
              <w:numPr>
                <w:ilvl w:val="0"/>
                <w:numId w:val="12"/>
              </w:numPr>
              <w:kinsoku/>
              <w:wordWrap/>
              <w:overflowPunct/>
              <w:topLinePunct w:val="0"/>
              <w:autoSpaceDE/>
              <w:autoSpaceDN/>
              <w:bidi w:val="0"/>
              <w:adjustRightInd w:val="0"/>
              <w:snapToGrid w:val="0"/>
              <w:spacing w:line="240" w:lineRule="auto"/>
              <w:ind w:right="0" w:rightChars="0" w:firstLineChars="0"/>
              <w:jc w:val="right"/>
              <w:textAlignment w:val="auto"/>
              <w:rPr>
                <w:rFonts w:ascii="宋体" w:eastAsia="宋体" w:hAnsi="宋体" w:cs="宋体" w:hint="eastAsia"/>
                <w:sz w:val="24"/>
                <w:szCs w:val="24"/>
              </w:rPr>
            </w:pP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诚信</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left="59" w:right="0" w:leftChars="28" w:rightChars="0"/>
              <w:textAlignment w:val="auto"/>
              <w:rPr>
                <w:rFonts w:ascii="宋体" w:eastAsia="宋体" w:hAnsi="宋体" w:cs="宋体" w:hint="eastAsia"/>
                <w:b/>
                <w:sz w:val="24"/>
                <w:szCs w:val="24"/>
                <w:highlight w:val="lightGray"/>
              </w:rPr>
            </w:pPr>
            <w:r>
              <w:rPr>
                <w:rFonts w:ascii="宋体" w:eastAsia="宋体" w:hAnsi="宋体" w:cs="宋体" w:hint="eastAsia"/>
                <w:sz w:val="24"/>
                <w:szCs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5</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三</w:t>
            </w:r>
          </w:p>
        </w:tc>
        <w:tc>
          <w:tcPr>
            <w:tcW w:w="8562"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b/>
                <w:sz w:val="24"/>
                <w:szCs w:val="24"/>
              </w:rPr>
            </w:pPr>
            <w:r>
              <w:rPr>
                <w:rFonts w:ascii="宋体" w:eastAsia="宋体" w:hAnsi="宋体" w:cs="宋体" w:hint="eastAsia"/>
                <w:b/>
                <w:sz w:val="24"/>
                <w:szCs w:val="24"/>
              </w:rPr>
              <w:t>价格部分（合计30分）</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1</w:t>
            </w:r>
          </w:p>
        </w:tc>
        <w:tc>
          <w:tcPr>
            <w:tcW w:w="1355"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投标报价</w:t>
            </w:r>
          </w:p>
        </w:tc>
        <w:tc>
          <w:tcPr>
            <w:tcW w:w="573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kern w:val="0"/>
                <w:sz w:val="24"/>
                <w:szCs w:val="24"/>
              </w:rPr>
            </w:pPr>
            <w:r>
              <w:rPr>
                <w:rFonts w:ascii="宋体" w:eastAsia="宋体" w:hAnsi="宋体" w:cs="宋体" w:hint="eastAsia"/>
                <w:kern w:val="0"/>
                <w:sz w:val="24"/>
                <w:szCs w:val="24"/>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val="0"/>
              <w:snapToGrid w:val="0"/>
              <w:spacing w:line="240" w:lineRule="auto"/>
              <w:ind w:right="0" w:rightChars="0"/>
              <w:jc w:val="left"/>
              <w:textAlignment w:val="auto"/>
              <w:rPr>
                <w:rFonts w:ascii="宋体" w:eastAsia="宋体" w:hAnsi="宋体" w:cs="宋体" w:hint="eastAsia"/>
                <w:kern w:val="0"/>
                <w:sz w:val="24"/>
                <w:szCs w:val="24"/>
              </w:rPr>
            </w:pPr>
            <w:r>
              <w:rPr>
                <w:rFonts w:ascii="宋体" w:eastAsia="宋体" w:hAnsi="宋体" w:cs="宋体" w:hint="eastAsia"/>
                <w:kern w:val="0"/>
                <w:sz w:val="24"/>
                <w:szCs w:val="24"/>
              </w:rPr>
              <w:t>投标报价得分=(评标基准价／投标报价)×100×权重</w:t>
            </w:r>
          </w:p>
          <w:p>
            <w:pPr>
              <w:keepNext w:val="0"/>
              <w:keepLines w:val="0"/>
              <w:pageBreakBefore w:val="0"/>
              <w:widowControl/>
              <w:kinsoku/>
              <w:wordWrap/>
              <w:overflowPunct/>
              <w:topLinePunct w:val="0"/>
              <w:autoSpaceDE/>
              <w:autoSpaceDN/>
              <w:bidi w:val="0"/>
              <w:adjustRightInd w:val="0"/>
              <w:snapToGrid w:val="0"/>
              <w:spacing w:line="240" w:lineRule="auto"/>
              <w:ind w:right="0" w:rightChars="0"/>
              <w:jc w:val="left"/>
              <w:textAlignment w:val="auto"/>
              <w:rPr>
                <w:rFonts w:ascii="宋体" w:eastAsia="宋体" w:hAnsi="宋体" w:cs="宋体" w:hint="eastAsia"/>
                <w:bCs/>
                <w:sz w:val="24"/>
                <w:szCs w:val="24"/>
              </w:rPr>
            </w:pPr>
            <w:r>
              <w:rPr>
                <w:rFonts w:ascii="宋体" w:eastAsia="宋体" w:hAnsi="宋体" w:cs="宋体" w:hint="eastAsia"/>
                <w:bCs/>
                <w:sz w:val="24"/>
                <w:szCs w:val="24"/>
              </w:rPr>
              <w:t>备注：</w:t>
            </w:r>
          </w:p>
          <w:p>
            <w:pPr>
              <w:keepNext w:val="0"/>
              <w:keepLines w:val="0"/>
              <w:pageBreakBefore w:val="0"/>
              <w:widowControl/>
              <w:kinsoku/>
              <w:wordWrap/>
              <w:overflowPunct/>
              <w:topLinePunct w:val="0"/>
              <w:autoSpaceDE/>
              <w:autoSpaceDN/>
              <w:bidi w:val="0"/>
              <w:adjustRightInd w:val="0"/>
              <w:snapToGrid w:val="0"/>
              <w:spacing w:line="240" w:lineRule="auto"/>
              <w:ind w:right="0" w:rightChars="0"/>
              <w:jc w:val="left"/>
              <w:textAlignment w:val="auto"/>
              <w:rPr>
                <w:rFonts w:ascii="宋体" w:eastAsia="宋体" w:hAnsi="宋体" w:cs="宋体" w:hint="eastAsia"/>
                <w:sz w:val="24"/>
                <w:szCs w:val="24"/>
                <w:highlight w:val="yellow"/>
              </w:rPr>
            </w:pPr>
            <w:r>
              <w:rPr>
                <w:rFonts w:ascii="宋体" w:eastAsia="宋体" w:hAnsi="宋体" w:cs="宋体" w:hint="eastAsia"/>
                <w:bCs/>
                <w:sz w:val="24"/>
                <w:szCs w:val="24"/>
              </w:rPr>
              <w:t>1、因落实政府采购政策进行价格调整的，以调整后的价格计算评标基准价和投标报价</w:t>
            </w:r>
            <w:r>
              <w:rPr>
                <w:rFonts w:ascii="宋体" w:eastAsia="宋体" w:hAnsi="宋体" w:cs="宋体" w:hint="eastAsia"/>
                <w:sz w:val="24"/>
                <w:szCs w:val="24"/>
              </w:rPr>
              <w:t>,详见《价格扣除》。</w:t>
            </w:r>
          </w:p>
          <w:p>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
                <w:bCs/>
                <w:sz w:val="24"/>
                <w:szCs w:val="24"/>
                <w:u w:val="double"/>
              </w:rPr>
            </w:pPr>
            <w:r>
              <w:rPr>
                <w:rFonts w:ascii="宋体" w:eastAsia="宋体" w:hAnsi="宋体" w:cs="宋体" w:hint="eastAsia"/>
                <w:bCs/>
                <w:sz w:val="24"/>
                <w:szCs w:val="24"/>
              </w:rPr>
              <w:t>2、投标报价得分四舍五入后，</w:t>
            </w:r>
            <w:r>
              <w:rPr>
                <w:rFonts w:ascii="宋体" w:eastAsia="宋体" w:hAnsi="宋体" w:cs="宋体" w:hint="eastAsia"/>
                <w:sz w:val="24"/>
                <w:szCs w:val="24"/>
              </w:rPr>
              <w:t>小数点后保留两位有效数。</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30</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合计</w:t>
            </w:r>
          </w:p>
        </w:tc>
        <w:tc>
          <w:tcPr>
            <w:tcW w:w="685" w:type="dxa"/>
            <w:tcBorders>
              <w:righ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100</w:t>
            </w:r>
          </w:p>
        </w:tc>
        <w:tc>
          <w:tcPr>
            <w:tcW w:w="792" w:type="dxa"/>
            <w:tcBorders>
              <w:left w:val="single" w:sz="4" w:space="0" w:color="auto"/>
            </w:tcBorders>
            <w:vAlign w:val="center"/>
          </w:tcPr>
          <w:p>
            <w:pPr>
              <w:keepNext w:val="0"/>
              <w:keepLines w:val="0"/>
              <w:pageBreakBefore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91"/>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3"/>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4"/>
        </w:numPr>
        <w:adjustRightInd w:val="0"/>
        <w:spacing w:line="360" w:lineRule="auto"/>
        <w:textAlignment w:val="baseline"/>
        <w:rPr>
          <w:rFonts w:ascii="宋体" w:hAnsi="宋体" w:cs="宋体"/>
          <w:bCs/>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w:t>
      </w:r>
      <w:r>
        <w:rPr>
          <w:rFonts w:ascii="宋体" w:hAnsi="宋体" w:cs="宋体" w:hint="eastAsia"/>
          <w:bCs/>
          <w:kern w:val="0"/>
          <w:sz w:val="24"/>
        </w:rPr>
        <w:t>值为10%），用扣除后的价格参与评审。</w:t>
      </w:r>
    </w:p>
    <w:p>
      <w:pPr>
        <w:numPr>
          <w:ilvl w:val="1"/>
          <w:numId w:val="14"/>
        </w:numPr>
        <w:adjustRightInd w:val="0"/>
        <w:spacing w:line="360" w:lineRule="auto"/>
        <w:textAlignment w:val="baseline"/>
        <w:rPr>
          <w:rFonts w:ascii="宋体" w:hAnsi="宋体"/>
          <w:bCs/>
          <w:color w:val="000000"/>
          <w:kern w:val="0"/>
          <w:sz w:val="24"/>
        </w:rPr>
      </w:pPr>
      <w:r>
        <w:rPr>
          <w:rFonts w:ascii="宋体" w:hAnsi="宋体" w:cs="宋体" w:hint="eastAsia"/>
          <w:bCs/>
          <w:kern w:val="0"/>
          <w:sz w:val="24"/>
        </w:rPr>
        <w:t>组成联合体（如允许）或者接受分包的</w:t>
      </w:r>
      <w:r>
        <w:rPr>
          <w:rFonts w:ascii="宋体" w:hAnsi="宋体" w:cs="宋体" w:hint="eastAsia"/>
          <w:bCs/>
          <w:color w:val="000000"/>
          <w:kern w:val="0"/>
          <w:sz w:val="24"/>
        </w:rPr>
        <w:t>小微企业与联合体内其他企业、分包企业之间存在直接控股、管理关系的，不享受价格扣除优惠政策。</w:t>
      </w:r>
    </w:p>
    <w:p>
      <w:pPr>
        <w:numPr>
          <w:ilvl w:val="1"/>
          <w:numId w:val="14"/>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监狱企业产品价格扣除</w:t>
      </w:r>
    </w:p>
    <w:p>
      <w:pPr>
        <w:numPr>
          <w:ilvl w:val="2"/>
          <w:numId w:val="15"/>
        </w:numPr>
        <w:adjustRightInd w:val="0"/>
        <w:spacing w:line="360" w:lineRule="auto"/>
        <w:ind w:left="567" w:hanging="567"/>
        <w:textAlignment w:val="baseline"/>
        <w:rPr>
          <w:rFonts w:ascii="宋体" w:hAnsi="宋体"/>
          <w:kern w:val="0"/>
          <w:sz w:val="24"/>
        </w:rPr>
      </w:pPr>
      <w:r>
        <w:rPr>
          <w:rFonts w:ascii="宋体" w:hAnsi="宋体" w:cs="宋体" w:hint="eastAsia"/>
          <w:color w:val="000000"/>
          <w:kern w:val="0"/>
          <w:sz w:val="24"/>
        </w:rPr>
        <w:t>监狱企业视同</w:t>
      </w:r>
      <w:r>
        <w:rPr>
          <w:rFonts w:ascii="宋体" w:hAnsi="宋体" w:cs="宋体" w:hint="eastAsia"/>
          <w:kern w:val="0"/>
          <w:sz w:val="24"/>
        </w:rPr>
        <w:t>小微企业，按上述第（一）、（二）条款享受评审中价格扣除。</w:t>
      </w:r>
    </w:p>
    <w:p>
      <w:pPr>
        <w:numPr>
          <w:ilvl w:val="1"/>
          <w:numId w:val="14"/>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16"/>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sz w:val="24"/>
        </w:rPr>
      </w:pPr>
    </w:p>
    <w:p>
      <w:pPr>
        <w:pStyle w:val="ListParagraph"/>
        <w:numPr>
          <w:ilvl w:val="0"/>
          <w:numId w:val="13"/>
        </w:numPr>
        <w:snapToGrid w:val="0"/>
        <w:spacing w:line="360" w:lineRule="auto"/>
        <w:ind w:firstLineChars="0"/>
        <w:jc w:val="center"/>
        <w:rPr>
          <w:rFonts w:ascii="宋体" w:hAnsi="宋体"/>
          <w:b/>
          <w:bCs/>
          <w:sz w:val="24"/>
          <w:szCs w:val="22"/>
        </w:rPr>
      </w:pPr>
      <w:r>
        <w:rPr>
          <w:rFonts w:ascii="宋体" w:hAnsi="宋体" w:hint="eastAsia"/>
          <w:b/>
          <w:bCs/>
          <w:sz w:val="24"/>
          <w:szCs w:val="22"/>
        </w:rPr>
        <w:t>节能产品、环境标志产品价格扣除</w:t>
      </w:r>
    </w:p>
    <w:p>
      <w:pPr>
        <w:numPr>
          <w:ilvl w:val="1"/>
          <w:numId w:val="17"/>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7"/>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u w:val="single"/>
        </w:rPr>
        <w:t xml:space="preserve"> </w:t>
      </w:r>
      <w:r>
        <w:rPr>
          <w:rFonts w:ascii="宋体" w:hAnsi="宋体"/>
          <w:sz w:val="24"/>
        </w:rPr>
        <w:t>%</w:t>
      </w:r>
      <w:r>
        <w:rPr>
          <w:rFonts w:ascii="宋体" w:hAnsi="宋体" w:hint="eastAsia"/>
          <w:sz w:val="24"/>
        </w:rPr>
        <w:t>的价格扣除。</w:t>
      </w:r>
    </w:p>
    <w:p>
      <w:pPr>
        <w:numPr>
          <w:ilvl w:val="1"/>
          <w:numId w:val="17"/>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20"/>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2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2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9"/>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9"/>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9"/>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93" w:name="_Toc9470"/>
      <w:bookmarkStart w:id="94" w:name="_Toc256000010"/>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94"/>
      <w:bookmarkEnd w:id="84"/>
      <w:bookmarkEnd w:id="93"/>
    </w:p>
    <w:p>
      <w:pPr>
        <w:adjustRightInd w:val="0"/>
        <w:snapToGrid w:val="0"/>
        <w:spacing w:before="156" w:beforeLines="50" w:after="156" w:afterLines="50" w:line="360" w:lineRule="auto"/>
        <w:ind w:left="420"/>
        <w:jc w:val="center"/>
        <w:outlineLvl w:val="1"/>
        <w:rPr>
          <w:b/>
          <w:bCs/>
          <w:sz w:val="28"/>
          <w:szCs w:val="28"/>
        </w:rPr>
      </w:pPr>
      <w:bookmarkStart w:id="95" w:name="_Toc10296"/>
      <w:bookmarkStart w:id="96" w:name="_Toc19582"/>
      <w:bookmarkStart w:id="97" w:name="_Toc256000011"/>
      <w:r>
        <w:rPr>
          <w:rFonts w:hint="eastAsia"/>
          <w:b/>
          <w:bCs/>
          <w:sz w:val="28"/>
          <w:szCs w:val="28"/>
        </w:rPr>
        <w:t>第一部分 投标人须知前附表</w:t>
      </w:r>
      <w:bookmarkEnd w:id="97"/>
      <w:bookmarkEnd w:id="95"/>
      <w:bookmarkEnd w:id="96"/>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6"/>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fldChar w:fldCharType="begin"/>
            </w:r>
            <w:r>
              <w:instrText xml:space="preserve"> HYPERLINK "http://zfcg.szggzy.com/TPBidder/DownLoad/深圳市智慧采购平台投标文件制作专用软件.zip】。" </w:instrText>
            </w:r>
            <w: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03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605"/>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601"/>
              </w:tabs>
              <w:adjustRightInd w:val="0"/>
              <w:snapToGrid w:val="0"/>
              <w:jc w:val="left"/>
              <w:rPr>
                <w:rFonts w:asciiTheme="minorEastAsia" w:eastAsiaTheme="minorEastAsia" w:hAnsiTheme="minorEastAsia" w:cs="宋体"/>
                <w:i/>
                <w:sz w:val="24"/>
                <w:lang w:val="zh-CN"/>
              </w:rPr>
            </w:pP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bCs/>
                <w:sz w:val="24"/>
              </w:rPr>
              <w:t>评标方法</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选取方法：</w:t>
            </w:r>
            <w:r>
              <w:rPr>
                <w:rFonts w:ascii="宋体" w:hAnsi="宋体" w:cs="宋体" w:hint="eastAsia"/>
                <w:sz w:val="24"/>
              </w:rPr>
              <w:t>方式一</w:t>
            </w:r>
          </w:p>
          <w:p>
            <w:pPr>
              <w:spacing w:line="360" w:lineRule="auto"/>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spacing w:line="360" w:lineRule="auto"/>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投标文件报价修正原则</w:t>
            </w:r>
          </w:p>
        </w:tc>
        <w:tc>
          <w:tcPr>
            <w:tcW w:w="6546"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推荐中标候选人</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推荐方式：</w:t>
            </w:r>
            <w:r>
              <w:rPr>
                <w:rFonts w:ascii="宋体" w:hAnsi="宋体" w:cs="宋体" w:hint="eastAsia"/>
                <w:sz w:val="24"/>
              </w:rPr>
              <w:t>方式一</w:t>
            </w:r>
          </w:p>
          <w:p>
            <w:pPr>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综合评分法：</w:t>
            </w:r>
            <w:r>
              <w:rPr>
                <w:rFonts w:asciiTheme="minorEastAsia" w:eastAsiaTheme="minorEastAsia" w:hAnsiTheme="minorEastAsia" w:hint="eastAsia"/>
                <w:bCs/>
                <w:color w:val="auto"/>
                <w:sz w:val="24"/>
              </w:rPr>
              <w:t>推荐综合得分排名第一的投标人为第一中标候选人，排名第二的投标人为第二中标候选人，排名第三的投标人为第三中标候选人</w:t>
            </w:r>
            <w:r>
              <w:rPr>
                <w:rFonts w:asciiTheme="minorEastAsia" w:eastAsiaTheme="minorEastAsia" w:hAnsiTheme="minorEastAsia" w:hint="eastAsia"/>
                <w:bCs/>
                <w:sz w:val="24"/>
              </w:rPr>
              <w:t>。</w:t>
            </w:r>
          </w:p>
          <w:p>
            <w:pPr>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最低评标价法：按照投标报价由低到高的顺序推荐3名中标候选人</w:t>
            </w:r>
          </w:p>
          <w:p>
            <w:pPr>
              <w:jc w:val="left"/>
              <w:rPr>
                <w:rFonts w:asciiTheme="minorEastAsia" w:eastAsiaTheme="minorEastAsia" w:hAnsiTheme="minorEastAsia"/>
                <w:bCs/>
                <w:sz w:val="24"/>
              </w:rPr>
            </w:pPr>
            <w:r>
              <w:rPr>
                <w:rFonts w:asciiTheme="minorEastAsia" w:eastAsiaTheme="minorEastAsia" w:hAnsiTheme="minorEastAsia" w:hint="eastAsia"/>
                <w:bCs/>
                <w:sz w:val="24"/>
              </w:rPr>
              <w:t>方式三：</w:t>
            </w:r>
            <w:r>
              <w:rPr>
                <w:rFonts w:asciiTheme="minorEastAsia" w:eastAsiaTheme="minorEastAsia" w:hAnsiTheme="minorEastAsia" w:hint="eastAsia"/>
                <w:sz w:val="24"/>
              </w:rPr>
              <w:t>评定分离项目，</w:t>
            </w:r>
            <w:r>
              <w:rPr>
                <w:rFonts w:asciiTheme="minorEastAsia" w:eastAsiaTheme="minorEastAsia" w:hAnsiTheme="minorEastAsia" w:hint="eastAsia"/>
                <w:bCs/>
                <w:sz w:val="24"/>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中标候选人并列的，由采购人采取下述</w:t>
            </w:r>
            <w:r>
              <w:rPr>
                <w:rFonts w:hint="eastAsia"/>
              </w:rPr>
              <w:t>方式二</w:t>
            </w:r>
            <w:r>
              <w:rPr>
                <w:rFonts w:asciiTheme="minorEastAsia" w:eastAsiaTheme="minorEastAsia" w:hAnsiTheme="minorEastAsia" w:hint="eastAsia"/>
                <w:sz w:val="24"/>
              </w:rPr>
              <w:t>确定中标人。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确标方式为：</w:t>
            </w:r>
            <w:r>
              <w:rPr>
                <w:rFonts w:asciiTheme="minorEastAsia" w:eastAsiaTheme="minorEastAsia" w:hAnsiTheme="minorEastAsia"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w:t>
            </w:r>
          </w:p>
          <w:p>
            <w:pPr>
              <w:ind w:left="420" w:leftChars="200"/>
              <w:rPr>
                <w:rFonts w:asciiTheme="minorEastAsia" w:hAnsiTheme="minorEastAsia"/>
                <w:b/>
                <w:i/>
                <w:sz w:val="24"/>
                <w:shd w:val="pct10" w:color="auto" w:fill="FFFFFF"/>
              </w:rPr>
            </w:pPr>
            <w:r>
              <w:rPr>
                <w:rFonts w:asciiTheme="minorEastAsia" w:eastAsiaTheme="minorEastAsia" w:hAnsiTheme="minorEastAsia" w:hint="eastAsia"/>
                <w:sz w:val="24"/>
              </w:rPr>
              <w:t>b) 按a)方式计算的服务费不足5000.00元时，按5000.00元收费。</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7"/>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sz w:val="24"/>
              </w:rPr>
              <w:t>采联国际招标采购集团有限公司深圳分公司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8"/>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8"/>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8"/>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8"/>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98" w:name="_Toc30400"/>
      <w:bookmarkStart w:id="99" w:name="_Toc913"/>
      <w:bookmarkStart w:id="100" w:name="_Toc256000012"/>
      <w:r>
        <w:rPr>
          <w:rFonts w:hint="eastAsia"/>
          <w:b/>
          <w:bCs/>
          <w:sz w:val="28"/>
          <w:szCs w:val="28"/>
        </w:rPr>
        <w:t>第二部分 投标人须知通用条款</w:t>
      </w:r>
      <w:bookmarkEnd w:id="100"/>
      <w:bookmarkEnd w:id="98"/>
      <w:bookmarkEnd w:id="99"/>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101" w:name="_Toc438223136"/>
      <w:bookmarkStart w:id="102" w:name="_Toc435174933"/>
      <w:bookmarkStart w:id="103" w:name="_Toc435516650"/>
      <w:bookmarkStart w:id="104" w:name="_Toc3599"/>
      <w:bookmarkStart w:id="105" w:name="_Toc1802"/>
      <w:bookmarkStart w:id="106" w:name="_Toc256000013"/>
      <w:r>
        <w:rPr>
          <w:rFonts w:ascii="宋体" w:hAnsi="宋体" w:hint="eastAsia"/>
          <w:b/>
          <w:sz w:val="28"/>
          <w:szCs w:val="28"/>
        </w:rPr>
        <w:t>总</w:t>
      </w:r>
      <w:r>
        <w:rPr>
          <w:rFonts w:ascii="宋体" w:hAnsi="宋体"/>
          <w:b/>
          <w:sz w:val="28"/>
          <w:szCs w:val="28"/>
          <w:lang w:eastAsia="zh-TW"/>
        </w:rPr>
        <w:t xml:space="preserve"> </w:t>
      </w:r>
      <w:bookmarkEnd w:id="101"/>
      <w:bookmarkEnd w:id="102"/>
      <w:bookmarkEnd w:id="103"/>
      <w:bookmarkStart w:id="107" w:name="_Toc292267791"/>
      <w:r>
        <w:rPr>
          <w:rFonts w:ascii="宋体" w:hAnsi="宋体" w:hint="eastAsia"/>
          <w:b/>
          <w:sz w:val="28"/>
          <w:szCs w:val="28"/>
        </w:rPr>
        <w:t>则</w:t>
      </w:r>
      <w:bookmarkEnd w:id="106"/>
      <w:bookmarkEnd w:id="104"/>
      <w:bookmarkEnd w:id="105"/>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bookmarkEnd w:id="107"/>
      <w:r>
        <w:rPr>
          <w:rFonts w:ascii="宋体" w:hAnsi="宋体" w:hint="eastAsia"/>
          <w:b/>
          <w:bCs/>
          <w:sz w:val="24"/>
        </w:rPr>
        <w:t>适用范围</w:t>
      </w:r>
    </w:p>
    <w:p>
      <w:pPr>
        <w:numPr>
          <w:ilvl w:val="1"/>
          <w:numId w:val="30"/>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3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30"/>
        </w:numPr>
        <w:autoSpaceDE w:val="0"/>
        <w:autoSpaceDN w:val="0"/>
        <w:adjustRightInd w:val="0"/>
        <w:snapToGrid w:val="0"/>
        <w:spacing w:line="360" w:lineRule="auto"/>
        <w:rPr>
          <w:rFonts w:ascii="宋体" w:hAnsi="宋体"/>
          <w:sz w:val="24"/>
        </w:rPr>
      </w:pPr>
      <w:bookmarkStart w:id="108"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bookmarkEnd w:id="108"/>
      <w:r>
        <w:rPr>
          <w:rFonts w:ascii="宋体" w:hAnsi="宋体" w:hint="eastAsia"/>
          <w:b/>
          <w:bCs/>
          <w:sz w:val="24"/>
        </w:rPr>
        <w:t>投标费用</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30"/>
        </w:numPr>
        <w:adjustRightInd w:val="0"/>
        <w:snapToGrid w:val="0"/>
        <w:spacing w:line="360" w:lineRule="auto"/>
        <w:rPr>
          <w:rFonts w:asciiTheme="minorEastAsia" w:eastAsiaTheme="minorEastAsia" w:hAnsiTheme="minorEastAsia" w:cs="宋体"/>
          <w:bCs/>
          <w:color w:val="FF0000"/>
          <w:sz w:val="24"/>
        </w:rPr>
      </w:pPr>
      <w:bookmarkStart w:id="109"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10" w:name="_Hlk21591509"/>
      <w:r>
        <w:rPr>
          <w:rFonts w:asciiTheme="minorEastAsia" w:eastAsiaTheme="minorEastAsia" w:hAnsiTheme="minorEastAsia" w:hint="eastAsia"/>
          <w:sz w:val="24"/>
        </w:rPr>
        <w:t>供应商限制参与政府采购</w:t>
      </w:r>
      <w:bookmarkEnd w:id="110"/>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11"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11"/>
    </w:p>
    <w:p>
      <w:pPr>
        <w:numPr>
          <w:ilvl w:val="1"/>
          <w:numId w:val="30"/>
        </w:numPr>
        <w:autoSpaceDE w:val="0"/>
        <w:autoSpaceDN w:val="0"/>
        <w:adjustRightInd w:val="0"/>
        <w:snapToGrid w:val="0"/>
        <w:spacing w:line="360" w:lineRule="auto"/>
        <w:textAlignment w:val="baseline"/>
        <w:rPr>
          <w:rFonts w:ascii="宋体" w:hAnsi="宋体" w:cs="宋体"/>
          <w:sz w:val="24"/>
          <w:lang w:eastAsia="zh-TW"/>
        </w:rPr>
      </w:pPr>
      <w:bookmarkEnd w:id="109"/>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2" w:name="_Toc438223137"/>
      <w:bookmarkStart w:id="113" w:name="_Toc30244"/>
      <w:bookmarkStart w:id="114" w:name="_Toc25270"/>
      <w:bookmarkStart w:id="115" w:name="_Toc435516651"/>
      <w:bookmarkStart w:id="116" w:name="_Toc435174934"/>
      <w:bookmarkStart w:id="117" w:name="_Toc256000014"/>
      <w:r>
        <w:rPr>
          <w:rFonts w:ascii="宋体" w:hAnsi="宋体" w:hint="eastAsia"/>
          <w:b/>
          <w:sz w:val="28"/>
          <w:szCs w:val="28"/>
          <w:lang w:eastAsia="zh-TW"/>
        </w:rPr>
        <w:t>招标文件</w:t>
      </w:r>
      <w:bookmarkEnd w:id="117"/>
      <w:bookmarkEnd w:id="112"/>
      <w:bookmarkEnd w:id="113"/>
      <w:bookmarkEnd w:id="114"/>
      <w:bookmarkEnd w:id="115"/>
      <w:bookmarkEnd w:id="116"/>
    </w:p>
    <w:p>
      <w:pPr>
        <w:numPr>
          <w:ilvl w:val="0"/>
          <w:numId w:val="3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31"/>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31"/>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31"/>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31"/>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31"/>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31"/>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8" w:name="_Toc435174935"/>
      <w:bookmarkStart w:id="119" w:name="_Toc438223138"/>
      <w:bookmarkStart w:id="120" w:name="_Toc9002"/>
      <w:bookmarkStart w:id="121" w:name="_Toc435516652"/>
      <w:bookmarkStart w:id="122" w:name="_Toc27017"/>
      <w:bookmarkStart w:id="123" w:name="_Toc256000015"/>
      <w:r>
        <w:rPr>
          <w:rFonts w:ascii="宋体" w:hAnsi="宋体" w:hint="eastAsia"/>
          <w:b/>
          <w:sz w:val="28"/>
          <w:szCs w:val="28"/>
          <w:lang w:eastAsia="zh-TW"/>
        </w:rPr>
        <w:t>投标文件的编制</w:t>
      </w:r>
      <w:bookmarkEnd w:id="123"/>
      <w:bookmarkEnd w:id="118"/>
      <w:bookmarkEnd w:id="119"/>
      <w:bookmarkEnd w:id="120"/>
      <w:bookmarkEnd w:id="121"/>
      <w:bookmarkEnd w:id="122"/>
    </w:p>
    <w:p>
      <w:pPr>
        <w:numPr>
          <w:ilvl w:val="0"/>
          <w:numId w:val="32"/>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2"/>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2"/>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2"/>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2"/>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2"/>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2"/>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2"/>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2"/>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2"/>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2"/>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2"/>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3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32"/>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32"/>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2"/>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3"/>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3"/>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3"/>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4"/>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5"/>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5"/>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5"/>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5"/>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6"/>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7"/>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7"/>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7"/>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8"/>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4" w:name="_Toc2369"/>
      <w:bookmarkStart w:id="125" w:name="_Toc14456"/>
      <w:bookmarkStart w:id="126" w:name="_Toc256000016"/>
      <w:r>
        <w:rPr>
          <w:rFonts w:ascii="宋体" w:hAnsi="宋体" w:hint="eastAsia"/>
          <w:b/>
          <w:sz w:val="28"/>
          <w:szCs w:val="28"/>
          <w:lang w:eastAsia="zh-TW"/>
        </w:rPr>
        <w:t>投标文件的递交</w:t>
      </w:r>
      <w:bookmarkEnd w:id="126"/>
      <w:bookmarkEnd w:id="124"/>
      <w:bookmarkEnd w:id="125"/>
    </w:p>
    <w:p>
      <w:pPr>
        <w:numPr>
          <w:ilvl w:val="0"/>
          <w:numId w:val="3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40"/>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40"/>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40"/>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40"/>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40"/>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41"/>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40"/>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2"/>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7" w:name="_Toc18545"/>
      <w:bookmarkStart w:id="128" w:name="_Toc32477"/>
      <w:bookmarkStart w:id="129" w:name="_Toc256000017"/>
      <w:r>
        <w:rPr>
          <w:rFonts w:ascii="宋体" w:hAnsi="宋体" w:hint="eastAsia"/>
          <w:b/>
          <w:sz w:val="28"/>
          <w:szCs w:val="28"/>
          <w:lang w:eastAsia="zh-TW"/>
        </w:rPr>
        <w:t>开标、评标、定标与合同签订</w:t>
      </w:r>
      <w:bookmarkEnd w:id="129"/>
      <w:bookmarkEnd w:id="127"/>
      <w:bookmarkEnd w:id="128"/>
    </w:p>
    <w:p>
      <w:pPr>
        <w:numPr>
          <w:ilvl w:val="0"/>
          <w:numId w:val="43"/>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3"/>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3"/>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3"/>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4"/>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5"/>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4"/>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8"/>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8"/>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9"/>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9"/>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50"/>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50"/>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50"/>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50"/>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50"/>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50"/>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8"/>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51"/>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51"/>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8"/>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8"/>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8"/>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8"/>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3"/>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2"/>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2"/>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2"/>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2"/>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2"/>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2"/>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2"/>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30" w:name="_Hlk30667074"/>
      <w:r>
        <w:rPr>
          <w:rFonts w:ascii="宋体" w:hAnsi="宋体" w:hint="eastAsia"/>
          <w:b/>
          <w:bCs/>
          <w:sz w:val="24"/>
        </w:rPr>
        <w:t>非评定分离项目</w:t>
      </w:r>
    </w:p>
    <w:p>
      <w:pPr>
        <w:pStyle w:val="ListParagraph"/>
        <w:widowControl/>
        <w:numPr>
          <w:ilvl w:val="0"/>
          <w:numId w:val="53"/>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54"/>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31"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31"/>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4"/>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30"/>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3"/>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3"/>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5"/>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2" w:name="_Toc18030"/>
      <w:bookmarkStart w:id="133" w:name="_Toc16132"/>
      <w:bookmarkStart w:id="134" w:name="_Toc256000018"/>
      <w:r>
        <w:rPr>
          <w:rFonts w:ascii="宋体" w:hAnsi="宋体" w:hint="eastAsia"/>
          <w:b/>
          <w:sz w:val="28"/>
          <w:szCs w:val="28"/>
          <w:lang w:eastAsia="zh-TW"/>
        </w:rPr>
        <w:t>询问、质疑与投诉</w:t>
      </w:r>
      <w:bookmarkEnd w:id="134"/>
      <w:bookmarkEnd w:id="132"/>
      <w:bookmarkEnd w:id="133"/>
    </w:p>
    <w:p>
      <w:pPr>
        <w:numPr>
          <w:ilvl w:val="0"/>
          <w:numId w:val="56"/>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6"/>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56"/>
        </w:numPr>
        <w:autoSpaceDE w:val="0"/>
        <w:autoSpaceDN w:val="0"/>
        <w:adjustRightInd w:val="0"/>
        <w:snapToGrid w:val="0"/>
        <w:spacing w:line="360" w:lineRule="auto"/>
        <w:ind w:left="566" w:hanging="496" w:hangingChars="236"/>
        <w:rPr>
          <w:rFonts w:ascii="宋体" w:hAnsi="宋体" w:cs="黑体" w:hint="eastAsia"/>
          <w:bCs/>
          <w:sz w:val="24"/>
          <w:highlight w:val="none"/>
        </w:rPr>
      </w:pPr>
      <w:r>
        <w:rPr>
          <w:rFonts w:ascii="宋体" w:hAnsi="宋体" w:cs="黑体" w:hint="eastAsia"/>
          <w:bCs/>
          <w:sz w:val="24"/>
          <w:highlight w:val="none"/>
        </w:rPr>
        <w:t>提出质疑</w:t>
      </w:r>
      <w:r>
        <w:rPr>
          <w:rFonts w:ascii="宋体" w:hAnsi="宋体" w:cs="黑体" w:hint="eastAsia"/>
          <w:bCs/>
          <w:sz w:val="24"/>
          <w:szCs w:val="24"/>
          <w:highlight w:val="none"/>
        </w:rPr>
        <w:t>：</w:t>
      </w:r>
    </w:p>
    <w:p>
      <w:pPr>
        <w:numPr>
          <w:ilvl w:val="0"/>
          <w:numId w:val="0"/>
        </w:numPr>
        <w:autoSpaceDE w:val="0"/>
        <w:autoSpaceDN w:val="0"/>
        <w:adjustRightInd w:val="0"/>
        <w:snapToGrid w:val="0"/>
        <w:spacing w:line="360" w:lineRule="auto"/>
        <w:ind w:left="466" w:firstLine="0" w:leftChars="222" w:firstLineChars="0"/>
        <w:rPr>
          <w:rFonts w:ascii="宋体" w:hAnsi="宋体" w:cs="黑体"/>
          <w:b w:val="0"/>
          <w:bCs w:val="0"/>
          <w:sz w:val="24"/>
          <w:szCs w:val="24"/>
          <w:highlight w:val="none"/>
        </w:rPr>
      </w:pPr>
      <w:r>
        <w:rPr>
          <w:rFonts w:ascii="宋体" w:hAnsi="宋体" w:cs="黑体" w:hint="eastAsia"/>
          <w:b w:val="0"/>
          <w:bCs w:val="0"/>
          <w:sz w:val="24"/>
          <w:szCs w:val="24"/>
          <w:highlight w:val="none"/>
        </w:rPr>
        <w:t>参与政府采购活动的供应商认为自己的权益在采购活动中受到损害的，应当自知道或者应当知道其权益受到损害之日起七个工作日内向采购人、采购</w:t>
      </w:r>
      <w:r>
        <w:rPr>
          <w:rFonts w:ascii="宋体" w:hAnsi="宋体" w:cs="黑体" w:hint="eastAsia"/>
          <w:b w:val="0"/>
          <w:bCs w:val="0"/>
          <w:sz w:val="24"/>
          <w:szCs w:val="24"/>
          <w:highlight w:val="none"/>
          <w:lang w:val="en-US" w:eastAsia="zh-CN"/>
        </w:rPr>
        <w:t>代理</w:t>
      </w:r>
      <w:r>
        <w:rPr>
          <w:rFonts w:ascii="宋体" w:hAnsi="宋体" w:cs="黑体" w:hint="eastAsia"/>
          <w:b w:val="0"/>
          <w:bCs w:val="0"/>
          <w:sz w:val="24"/>
          <w:szCs w:val="24"/>
          <w:highlight w:val="none"/>
        </w:rPr>
        <w:t>机构以书面形式提出质疑。</w:t>
      </w:r>
    </w:p>
    <w:p>
      <w:pPr>
        <w:numPr>
          <w:ilvl w:val="1"/>
          <w:numId w:val="56"/>
        </w:numPr>
        <w:autoSpaceDE w:val="0"/>
        <w:autoSpaceDN w:val="0"/>
        <w:adjustRightInd w:val="0"/>
        <w:snapToGrid w:val="0"/>
        <w:spacing w:line="360" w:lineRule="auto"/>
        <w:ind w:left="566" w:hanging="496" w:hangingChars="236"/>
        <w:rPr>
          <w:rFonts w:ascii="宋体" w:hAnsi="宋体" w:cs="黑体"/>
          <w:b/>
          <w:bCs/>
          <w:sz w:val="24"/>
          <w:szCs w:val="24"/>
          <w:highlight w:val="none"/>
        </w:rPr>
      </w:pPr>
      <w:r>
        <w:rPr>
          <w:rFonts w:ascii="宋体" w:hAnsi="宋体" w:cs="黑体" w:hint="eastAsia"/>
          <w:bCs/>
          <w:sz w:val="24"/>
          <w:szCs w:val="24"/>
          <w:highlight w:val="none"/>
        </w:rPr>
        <w:t>质疑期限：</w:t>
      </w:r>
    </w:p>
    <w:p>
      <w:pPr>
        <w:numPr>
          <w:ilvl w:val="2"/>
          <w:numId w:val="56"/>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hint="eastAsia"/>
          <w:sz w:val="24"/>
          <w:szCs w:val="24"/>
          <w:highlight w:val="none"/>
        </w:rPr>
      </w:pPr>
      <w:r>
        <w:rPr>
          <w:rFonts w:ascii="宋体" w:hAnsi="宋体" w:cs="宋体" w:hint="eastAsia"/>
          <w:sz w:val="24"/>
          <w:szCs w:val="24"/>
          <w:highlight w:val="none"/>
        </w:rPr>
        <w:t>供应商认为</w:t>
      </w:r>
      <w:r>
        <w:rPr>
          <w:rFonts w:ascii="宋体" w:hAnsi="宋体" w:cs="宋体" w:hint="eastAsia"/>
          <w:sz w:val="24"/>
          <w:szCs w:val="24"/>
          <w:highlight w:val="none"/>
          <w:lang w:val="en-US" w:eastAsia="zh-CN"/>
        </w:rPr>
        <w:t>招标</w:t>
      </w:r>
      <w:r>
        <w:rPr>
          <w:rFonts w:ascii="宋体" w:hAnsi="宋体" w:cs="宋体" w:hint="eastAsia"/>
          <w:sz w:val="24"/>
          <w:szCs w:val="24"/>
          <w:highlight w:val="none"/>
        </w:rPr>
        <w:t>文件的内容损害其权益的，</w:t>
      </w:r>
      <w:r>
        <w:rPr>
          <w:rFonts w:ascii="宋体" w:hAnsi="宋体" w:cs="宋体" w:hint="eastAsia"/>
          <w:sz w:val="24"/>
          <w:szCs w:val="24"/>
          <w:highlight w:val="none"/>
          <w:lang w:val="en-US" w:eastAsia="zh-CN"/>
        </w:rPr>
        <w:t>应当在</w:t>
      </w:r>
      <w:r>
        <w:rPr>
          <w:rFonts w:ascii="宋体" w:hAnsi="宋体" w:cs="宋体" w:hint="eastAsia"/>
          <w:sz w:val="24"/>
          <w:szCs w:val="24"/>
          <w:highlight w:val="none"/>
        </w:rPr>
        <w:t>法定质疑期</w:t>
      </w:r>
      <w:r>
        <w:rPr>
          <w:rFonts w:ascii="宋体" w:hAnsi="宋体" w:cs="宋体" w:hint="eastAsia"/>
          <w:sz w:val="24"/>
          <w:szCs w:val="24"/>
          <w:highlight w:val="none"/>
          <w:lang w:val="en-US" w:eastAsia="zh-CN"/>
        </w:rPr>
        <w:t>限</w:t>
      </w:r>
      <w:r>
        <w:rPr>
          <w:rFonts w:ascii="宋体" w:hAnsi="宋体" w:cs="宋体" w:hint="eastAsia"/>
          <w:sz w:val="24"/>
          <w:szCs w:val="24"/>
          <w:highlight w:val="none"/>
          <w:lang w:eastAsia="zh-CN"/>
        </w:rPr>
        <w:t>（</w:t>
      </w:r>
      <w:r>
        <w:rPr>
          <w:rFonts w:ascii="宋体" w:hAnsi="宋体" w:cs="宋体" w:hint="eastAsia"/>
          <w:sz w:val="24"/>
          <w:szCs w:val="24"/>
          <w:highlight w:val="none"/>
          <w:lang w:val="en-US" w:eastAsia="zh-CN"/>
        </w:rPr>
        <w:t>即</w:t>
      </w:r>
      <w:r>
        <w:rPr>
          <w:rFonts w:ascii="宋体" w:hAnsi="宋体" w:cs="宋体" w:hint="eastAsia"/>
          <w:sz w:val="24"/>
          <w:szCs w:val="24"/>
          <w:highlight w:val="none"/>
        </w:rPr>
        <w:t>自知道或应当知道权益受到损害之日起7个工作日内</w:t>
      </w:r>
      <w:r>
        <w:rPr>
          <w:rFonts w:ascii="宋体" w:hAnsi="宋体" w:cs="宋体" w:hint="eastAsia"/>
          <w:sz w:val="24"/>
          <w:szCs w:val="24"/>
          <w:highlight w:val="none"/>
          <w:lang w:eastAsia="zh-CN"/>
        </w:rPr>
        <w:t>）</w:t>
      </w:r>
      <w:r>
        <w:rPr>
          <w:rFonts w:ascii="宋体" w:hAnsi="宋体" w:cs="宋体" w:hint="eastAsia"/>
          <w:sz w:val="24"/>
          <w:szCs w:val="24"/>
          <w:highlight w:val="none"/>
          <w:lang w:val="en-US" w:eastAsia="zh-CN"/>
        </w:rPr>
        <w:t>提出</w:t>
      </w:r>
      <w:r>
        <w:rPr>
          <w:rFonts w:ascii="宋体" w:hAnsi="宋体" w:cs="宋体" w:hint="eastAsia"/>
          <w:sz w:val="24"/>
          <w:szCs w:val="24"/>
          <w:highlight w:val="none"/>
        </w:rPr>
        <w:t>。应当知道其权益受到损害之日是指对招标文件的质疑，为招标文件公布之日。</w:t>
      </w:r>
    </w:p>
    <w:p>
      <w:pPr>
        <w:numPr>
          <w:ilvl w:val="2"/>
          <w:numId w:val="56"/>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bookmarkStart w:id="135" w:name="_Hlk30667144"/>
      <w:r>
        <w:rPr>
          <w:rFonts w:ascii="宋体" w:hAnsi="宋体" w:cs="黑体" w:hint="eastAsia"/>
          <w:bCs/>
          <w:sz w:val="24"/>
        </w:rPr>
        <w:t>供应商认为采购过程损害其权益的，应在各采购程序环节结束之日起七个工作日内。</w:t>
      </w:r>
    </w:p>
    <w:p>
      <w:pPr>
        <w:numPr>
          <w:ilvl w:val="2"/>
          <w:numId w:val="56"/>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bookmarkEnd w:id="135"/>
      <w:r>
        <w:rPr>
          <w:rFonts w:ascii="宋体" w:hAnsi="宋体" w:cs="黑体" w:hint="eastAsia"/>
          <w:bCs/>
          <w:sz w:val="24"/>
        </w:rPr>
        <w:t>提交要求：</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6"/>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lang w:eastAsia="zh-CN"/>
        </w:rPr>
        <w:t>功能材料与器件-磁控溅射仪</w:t>
      </w:r>
      <w:r>
        <w:rPr>
          <w:rFonts w:ascii="宋体" w:hAnsi="宋体" w:hint="eastAsia"/>
          <w:sz w:val="24"/>
        </w:rPr>
        <w:t>（项目采购编号：</w:t>
      </w:r>
      <w:r>
        <w:rPr>
          <w:rFonts w:ascii="宋体" w:hAnsi="宋体" w:hint="eastAsia"/>
          <w:sz w:val="24"/>
          <w:lang w:eastAsia="zh-CN"/>
        </w:rPr>
        <w:t>SZDL2023001815（CLF0123SZ12ZC63）</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7"/>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8"/>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8"/>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8"/>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36" w:name="_Toc22121"/>
      <w:bookmarkStart w:id="137" w:name="_Toc4448"/>
      <w:bookmarkStart w:id="138" w:name="_Toc256000019"/>
      <w:r>
        <w:rPr>
          <w:rFonts w:hint="eastAsia"/>
          <w:b/>
          <w:bCs/>
          <w:sz w:val="28"/>
          <w:szCs w:val="28"/>
        </w:rPr>
        <w:t>第五章</w:t>
      </w:r>
      <w:bookmarkEnd w:id="85"/>
      <w:bookmarkStart w:id="139" w:name="_Toc435109307"/>
      <w:r>
        <w:rPr>
          <w:rFonts w:hint="eastAsia"/>
          <w:b/>
          <w:bCs/>
          <w:sz w:val="28"/>
          <w:szCs w:val="28"/>
        </w:rPr>
        <w:t xml:space="preserve"> 合同格式条款（仅供参考，具体以合同签订时间为准）</w:t>
      </w:r>
      <w:bookmarkEnd w:id="138"/>
      <w:bookmarkEnd w:id="86"/>
      <w:bookmarkEnd w:id="136"/>
      <w:bookmarkEnd w:id="137"/>
    </w:p>
    <w:p>
      <w:pPr>
        <w:tabs>
          <w:tab w:val="left" w:pos="720"/>
        </w:tabs>
        <w:spacing w:line="360" w:lineRule="auto"/>
        <w:jc w:val="center"/>
        <w:rPr>
          <w:rFonts w:ascii="宋体" w:eastAsia="宋体" w:hAnsi="宋体" w:cs="宋体" w:hint="eastAsia"/>
          <w:b/>
          <w:sz w:val="24"/>
          <w:szCs w:val="24"/>
        </w:rPr>
      </w:pPr>
      <w:bookmarkEnd w:id="87"/>
      <w:bookmarkEnd w:id="88"/>
      <w:bookmarkEnd w:id="139"/>
      <w:bookmarkStart w:id="140" w:name="_Toc435514851"/>
      <w:bookmarkStart w:id="141" w:name="_Toc435115056"/>
      <w:bookmarkStart w:id="142" w:name="_Toc13067024"/>
      <w:r>
        <w:rPr>
          <w:rFonts w:ascii="宋体" w:eastAsia="宋体" w:hAnsi="宋体" w:cs="宋体" w:hint="eastAsia"/>
          <w:b/>
          <w:sz w:val="24"/>
          <w:szCs w:val="24"/>
        </w:rPr>
        <w:t>采 购 合 同</w:t>
      </w:r>
    </w:p>
    <w:p>
      <w:pPr>
        <w:snapToGrid w:val="0"/>
        <w:spacing w:line="480" w:lineRule="auto"/>
        <w:rPr>
          <w:rFonts w:ascii="宋体" w:eastAsia="宋体" w:hAnsi="宋体" w:cs="宋体" w:hint="eastAsia"/>
          <w:sz w:val="24"/>
          <w:szCs w:val="24"/>
        </w:rPr>
      </w:pPr>
      <w:r>
        <w:rPr>
          <w:rFonts w:ascii="宋体" w:eastAsia="宋体" w:hAnsi="宋体" w:cs="宋体" w:hint="eastAsia"/>
          <w:b/>
          <w:sz w:val="24"/>
          <w:szCs w:val="24"/>
        </w:rPr>
        <w:t xml:space="preserve">                             </w:t>
      </w:r>
      <w:r>
        <w:rPr>
          <w:rFonts w:ascii="宋体" w:eastAsia="宋体" w:hAnsi="宋体" w:cs="宋体" w:hint="eastAsia"/>
          <w:sz w:val="24"/>
          <w:szCs w:val="24"/>
        </w:rPr>
        <w:t>签订地点：</w:t>
      </w:r>
    </w:p>
    <w:p>
      <w:pPr>
        <w:tabs>
          <w:tab w:val="left" w:pos="720"/>
        </w:tabs>
        <w:spacing w:line="460" w:lineRule="exact"/>
        <w:ind w:firstLine="420" w:firstLineChars="200"/>
        <w:rPr>
          <w:rFonts w:ascii="宋体" w:eastAsia="宋体" w:hAnsi="宋体" w:cs="宋体" w:hint="eastAsia"/>
          <w:sz w:val="24"/>
          <w:szCs w:val="24"/>
        </w:rPr>
      </w:pPr>
      <w:r>
        <w:rPr>
          <w:rFonts w:ascii="宋体" w:eastAsia="宋体" w:hAnsi="宋体" w:cs="宋体" w:hint="eastAsia"/>
          <w:b/>
          <w:sz w:val="24"/>
          <w:szCs w:val="24"/>
        </w:rPr>
        <w:t>买方（甲方）：</w:t>
      </w:r>
      <w:r>
        <w:rPr>
          <w:rFonts w:ascii="宋体" w:eastAsia="宋体" w:hAnsi="宋体" w:cs="宋体" w:hint="eastAsia"/>
          <w:sz w:val="24"/>
          <w:szCs w:val="24"/>
        </w:rPr>
        <w:t>清华大学深圳国际研究生院</w:t>
      </w:r>
    </w:p>
    <w:p>
      <w:pPr>
        <w:tabs>
          <w:tab w:val="left" w:pos="720"/>
        </w:tabs>
        <w:spacing w:line="460" w:lineRule="exact"/>
        <w:ind w:firstLine="420" w:firstLineChars="200"/>
        <w:rPr>
          <w:rFonts w:ascii="宋体" w:eastAsia="宋体" w:hAnsi="宋体" w:cs="宋体" w:hint="eastAsia"/>
          <w:sz w:val="24"/>
          <w:szCs w:val="24"/>
        </w:rPr>
      </w:pPr>
      <w:r>
        <w:rPr>
          <w:rFonts w:ascii="宋体" w:eastAsia="宋体" w:hAnsi="宋体" w:cs="宋体" w:hint="eastAsia"/>
          <w:b/>
          <w:sz w:val="24"/>
          <w:szCs w:val="24"/>
        </w:rPr>
        <w:t>卖方（乙方）：</w:t>
      </w:r>
    </w:p>
    <w:p>
      <w:pPr>
        <w:spacing w:line="460" w:lineRule="exact"/>
        <w:ind w:firstLine="420" w:firstLineChars="200"/>
        <w:rPr>
          <w:rFonts w:ascii="宋体" w:eastAsia="宋体" w:hAnsi="宋体" w:cs="宋体" w:hint="eastAsia"/>
          <w:sz w:val="24"/>
          <w:szCs w:val="24"/>
        </w:rPr>
      </w:pP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甲方联系人：姓名：             电话：                  手机：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地址：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邮政编码：</w:t>
      </w:r>
    </w:p>
    <w:p>
      <w:pPr>
        <w:spacing w:line="460" w:lineRule="exact"/>
        <w:rPr>
          <w:rFonts w:ascii="宋体" w:eastAsia="宋体" w:hAnsi="宋体" w:cs="宋体" w:hint="eastAsia"/>
          <w:sz w:val="24"/>
          <w:szCs w:val="24"/>
        </w:rPr>
      </w:pPr>
    </w:p>
    <w:p>
      <w:pPr>
        <w:spacing w:line="460" w:lineRule="exact"/>
        <w:ind w:firstLine="420" w:firstLineChars="200"/>
        <w:rPr>
          <w:rFonts w:ascii="宋体" w:eastAsia="宋体" w:hAnsi="宋体" w:cs="宋体" w:hint="eastAsia"/>
          <w:b/>
          <w:sz w:val="24"/>
          <w:szCs w:val="24"/>
        </w:rPr>
      </w:pP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乙方联系人：姓名：             电话：                    手机：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地址：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邮政编码：</w:t>
      </w:r>
    </w:p>
    <w:p>
      <w:pPr>
        <w:tabs>
          <w:tab w:val="left" w:pos="720"/>
        </w:tabs>
        <w:spacing w:line="360" w:lineRule="auto"/>
        <w:rPr>
          <w:rFonts w:ascii="宋体" w:eastAsia="宋体" w:hAnsi="宋体" w:cs="宋体" w:hint="eastAsia"/>
          <w:sz w:val="24"/>
          <w:szCs w:val="24"/>
        </w:rPr>
      </w:pPr>
    </w:p>
    <w:p>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    </w:t>
      </w:r>
    </w:p>
    <w:p>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    根据</w:t>
      </w:r>
      <w:r>
        <w:rPr>
          <w:rFonts w:ascii="宋体" w:eastAsia="宋体" w:hAnsi="宋体" w:cs="宋体" w:hint="eastAsia"/>
          <w:sz w:val="24"/>
          <w:szCs w:val="24"/>
          <w:u w:val="single"/>
        </w:rPr>
        <w:t xml:space="preserve">                </w:t>
      </w:r>
      <w:r>
        <w:rPr>
          <w:rFonts w:ascii="宋体" w:eastAsia="宋体" w:hAnsi="宋体" w:cs="宋体" w:hint="eastAsia"/>
          <w:sz w:val="24"/>
          <w:szCs w:val="24"/>
        </w:rPr>
        <w:t>（项目编号：          ）的采购结果，根据《中华人民共和国民法典》、《深圳经济特区政府采购条例》等法律法规的规定，经双方协商，本着平等互利和诚实信用的原则，一致同意签订本合同，合同内容如下。</w:t>
      </w:r>
    </w:p>
    <w:p>
      <w:pPr>
        <w:numPr>
          <w:ilvl w:val="0"/>
          <w:numId w:val="59"/>
        </w:numPr>
        <w:tabs>
          <w:tab w:val="left" w:pos="425"/>
          <w:tab w:val="left" w:pos="905"/>
        </w:tabs>
        <w:spacing w:line="480" w:lineRule="auto"/>
        <w:ind w:left="0" w:firstLine="0"/>
        <w:outlineLvl w:val="2"/>
        <w:rPr>
          <w:rFonts w:ascii="宋体" w:eastAsia="宋体" w:hAnsi="宋体" w:cs="宋体" w:hint="eastAsia"/>
          <w:b/>
          <w:sz w:val="24"/>
          <w:szCs w:val="24"/>
        </w:rPr>
      </w:pPr>
      <w:bookmarkStart w:id="143" w:name="_Toc3490"/>
      <w:bookmarkStart w:id="144" w:name="_Toc256000020"/>
      <w:r>
        <w:rPr>
          <w:rFonts w:ascii="宋体" w:eastAsia="宋体" w:hAnsi="宋体" w:cs="宋体" w:hint="eastAsia"/>
          <w:b/>
          <w:sz w:val="24"/>
          <w:szCs w:val="24"/>
        </w:rPr>
        <w:t>采购标的物及合同金额</w:t>
      </w:r>
      <w:bookmarkEnd w:id="144"/>
      <w:bookmarkEnd w:id="143"/>
    </w:p>
    <w:tbl>
      <w:tblPr>
        <w:tblStyle w:val="TableNormal"/>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573"/>
        <w:gridCol w:w="1412"/>
        <w:gridCol w:w="2268"/>
        <w:gridCol w:w="850"/>
        <w:gridCol w:w="709"/>
        <w:gridCol w:w="1559"/>
        <w:gridCol w:w="1560"/>
      </w:tblGrid>
      <w:tr>
        <w:tblPrEx>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440"/>
        </w:trPr>
        <w:tc>
          <w:tcPr>
            <w:tcW w:w="573" w:type="dxa"/>
            <w:tcBorders>
              <w:top w:val="single" w:sz="12" w:space="0" w:color="auto"/>
              <w:left w:val="single" w:sz="12"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序号</w:t>
            </w:r>
          </w:p>
        </w:tc>
        <w:tc>
          <w:tcPr>
            <w:tcW w:w="1412"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货物名称</w:t>
            </w:r>
          </w:p>
        </w:tc>
        <w:tc>
          <w:tcPr>
            <w:tcW w:w="2268"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品牌、规格型号、配置（性能参数）</w:t>
            </w:r>
          </w:p>
        </w:tc>
        <w:tc>
          <w:tcPr>
            <w:tcW w:w="850"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产地</w:t>
            </w:r>
          </w:p>
        </w:tc>
        <w:tc>
          <w:tcPr>
            <w:tcW w:w="709"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数量</w:t>
            </w:r>
          </w:p>
        </w:tc>
        <w:tc>
          <w:tcPr>
            <w:tcW w:w="1559"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单价(元)</w:t>
            </w:r>
          </w:p>
        </w:tc>
        <w:tc>
          <w:tcPr>
            <w:tcW w:w="1560" w:type="dxa"/>
            <w:tcBorders>
              <w:top w:val="single" w:sz="12" w:space="0" w:color="auto"/>
              <w:left w:val="single" w:sz="6" w:space="0" w:color="auto"/>
              <w:bottom w:val="single" w:sz="6" w:space="0" w:color="auto"/>
              <w:right w:val="single" w:sz="12"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总金额(元)</w:t>
            </w:r>
          </w:p>
        </w:tc>
      </w:tr>
      <w:tr>
        <w:tblPrEx>
          <w:tblW w:w="8931" w:type="dxa"/>
          <w:tblInd w:w="108" w:type="dxa"/>
          <w:tblLayout w:type="fixed"/>
          <w:tblCellMar>
            <w:top w:w="0" w:type="dxa"/>
            <w:left w:w="108" w:type="dxa"/>
            <w:bottom w:w="0" w:type="dxa"/>
            <w:right w:w="108" w:type="dxa"/>
          </w:tblCellMar>
        </w:tblPrEx>
        <w:trPr>
          <w:cantSplit/>
          <w:trHeight w:val="334"/>
        </w:trPr>
        <w:tc>
          <w:tcPr>
            <w:tcW w:w="573" w:type="dxa"/>
            <w:tcBorders>
              <w:top w:val="single" w:sz="6" w:space="0" w:color="auto"/>
              <w:left w:val="single" w:sz="12" w:space="0" w:color="auto"/>
              <w:bottom w:val="single" w:sz="6" w:space="0" w:color="auto"/>
              <w:right w:val="single" w:sz="6" w:space="0" w:color="auto"/>
            </w:tcBorders>
            <w:vAlign w:val="center"/>
          </w:tcPr>
          <w:p>
            <w:pPr>
              <w:spacing w:line="276"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1412"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eastAsia="宋体" w:hAnsi="宋体" w:cs="宋体" w:hint="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eastAsia="宋体" w:hAnsi="宋体" w:cs="宋体" w:hint="eastAsia"/>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ascii="宋体" w:eastAsia="宋体" w:hAnsi="宋体" w:cs="宋体" w:hint="eastAsia"/>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ascii="宋体" w:eastAsia="宋体" w:hAnsi="宋体" w:cs="宋体" w:hint="eastAsia"/>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eastAsia="宋体" w:hAnsi="宋体" w:cs="宋体" w:hint="eastAsia"/>
                <w:sz w:val="24"/>
                <w:szCs w:val="24"/>
              </w:rPr>
            </w:pPr>
          </w:p>
        </w:tc>
        <w:tc>
          <w:tcPr>
            <w:tcW w:w="1560" w:type="dxa"/>
            <w:tcBorders>
              <w:top w:val="single" w:sz="6" w:space="0" w:color="auto"/>
              <w:left w:val="single" w:sz="6" w:space="0" w:color="auto"/>
              <w:bottom w:val="single" w:sz="6" w:space="0" w:color="auto"/>
              <w:right w:val="single" w:sz="12" w:space="0" w:color="auto"/>
            </w:tcBorders>
            <w:vAlign w:val="center"/>
          </w:tcPr>
          <w:p>
            <w:pPr>
              <w:spacing w:line="276" w:lineRule="auto"/>
              <w:rPr>
                <w:rFonts w:ascii="宋体" w:eastAsia="宋体" w:hAnsi="宋体" w:cs="宋体" w:hint="eastAsia"/>
                <w:sz w:val="24"/>
                <w:szCs w:val="24"/>
              </w:rPr>
            </w:pPr>
          </w:p>
        </w:tc>
      </w:tr>
      <w:tr>
        <w:tblPrEx>
          <w:tblW w:w="8931" w:type="dxa"/>
          <w:tblInd w:w="108" w:type="dxa"/>
          <w:tblLayout w:type="fixed"/>
          <w:tblCellMar>
            <w:top w:w="0" w:type="dxa"/>
            <w:left w:w="108" w:type="dxa"/>
            <w:bottom w:w="0" w:type="dxa"/>
            <w:right w:w="108" w:type="dxa"/>
          </w:tblCellMar>
        </w:tblPrEx>
        <w:trPr>
          <w:cantSplit/>
          <w:trHeight w:val="441"/>
        </w:trPr>
        <w:tc>
          <w:tcPr>
            <w:tcW w:w="8931" w:type="dxa"/>
            <w:gridSpan w:val="7"/>
            <w:tcBorders>
              <w:top w:val="single" w:sz="6" w:space="0" w:color="auto"/>
              <w:left w:val="single" w:sz="12" w:space="0" w:color="auto"/>
              <w:bottom w:val="single" w:sz="12" w:space="0" w:color="auto"/>
              <w:right w:val="single" w:sz="12" w:space="0" w:color="auto"/>
            </w:tcBorders>
            <w:vAlign w:val="center"/>
          </w:tcPr>
          <w:p>
            <w:pPr>
              <w:spacing w:line="276" w:lineRule="auto"/>
              <w:rPr>
                <w:rFonts w:ascii="宋体" w:eastAsia="宋体" w:hAnsi="宋体" w:cs="宋体" w:hint="eastAsia"/>
                <w:sz w:val="24"/>
                <w:szCs w:val="24"/>
              </w:rPr>
            </w:pPr>
            <w:r>
              <w:rPr>
                <w:rFonts w:ascii="宋体" w:eastAsia="宋体" w:hAnsi="宋体" w:cs="宋体" w:hint="eastAsia"/>
                <w:sz w:val="24"/>
                <w:szCs w:val="24"/>
              </w:rPr>
              <w:t xml:space="preserve">  合计总额：￥</w:t>
            </w:r>
            <w:r>
              <w:rPr>
                <w:rFonts w:ascii="宋体" w:eastAsia="宋体" w:hAnsi="宋体" w:cs="宋体" w:hint="eastAsia"/>
                <w:color w:val="333333"/>
                <w:sz w:val="24"/>
                <w:szCs w:val="24"/>
                <w:shd w:val="clear" w:color="auto" w:fill="FFFFFF"/>
              </w:rPr>
              <w:t xml:space="preserve">       </w:t>
            </w:r>
            <w:r>
              <w:rPr>
                <w:rFonts w:ascii="宋体" w:eastAsia="宋体" w:hAnsi="宋体" w:cs="宋体" w:hint="eastAsia"/>
                <w:sz w:val="24"/>
                <w:szCs w:val="24"/>
              </w:rPr>
              <w:t>元                       大写：</w:t>
            </w:r>
            <w:r>
              <w:rPr>
                <w:rFonts w:ascii="宋体" w:eastAsia="宋体" w:hAnsi="宋体" w:cs="宋体" w:hint="eastAsia"/>
                <w:sz w:val="24"/>
                <w:szCs w:val="24"/>
                <w:u w:val="single"/>
              </w:rPr>
              <w:t xml:space="preserve">                     </w:t>
            </w:r>
            <w:r>
              <w:rPr>
                <w:rFonts w:ascii="宋体" w:eastAsia="宋体" w:hAnsi="宋体" w:cs="宋体" w:hint="eastAsia"/>
                <w:sz w:val="24"/>
                <w:szCs w:val="24"/>
              </w:rPr>
              <w:t>元整</w:t>
            </w:r>
          </w:p>
        </w:tc>
      </w:tr>
    </w:tbl>
    <w:p>
      <w:pPr>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合同总金额包括乙方设计、安装、随机零配件、标配工具、运费、运输保险、调试、培训、质保期服务、各项税费及与合同履行相关的一切费用, 系固定不变价格，且不随通货膨胀的影响而波动。</w:t>
      </w:r>
    </w:p>
    <w:p>
      <w:pPr>
        <w:spacing w:line="360" w:lineRule="auto"/>
        <w:jc w:val="left"/>
        <w:rPr>
          <w:rFonts w:ascii="宋体" w:eastAsia="宋体" w:hAnsi="宋体" w:cs="宋体" w:hint="eastAsia"/>
          <w:b/>
          <w:sz w:val="24"/>
          <w:szCs w:val="24"/>
        </w:rPr>
      </w:pPr>
      <w:r>
        <w:rPr>
          <w:rFonts w:ascii="宋体" w:eastAsia="宋体" w:hAnsi="宋体" w:cs="宋体" w:hint="eastAsia"/>
          <w:sz w:val="24"/>
          <w:szCs w:val="24"/>
        </w:rPr>
        <w:t>二、</w:t>
      </w:r>
      <w:r>
        <w:rPr>
          <w:rFonts w:ascii="宋体" w:eastAsia="宋体" w:hAnsi="宋体" w:cs="宋体" w:hint="eastAsia"/>
          <w:b/>
          <w:sz w:val="24"/>
          <w:szCs w:val="24"/>
        </w:rPr>
        <w:t>权利保证</w:t>
      </w:r>
    </w:p>
    <w:p>
      <w:pPr>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tabs>
          <w:tab w:val="left" w:pos="480"/>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三、包装要求</w:t>
      </w:r>
    </w:p>
    <w:p>
      <w:pPr>
        <w:pStyle w:val="ListParagraph"/>
        <w:numPr>
          <w:ilvl w:val="0"/>
          <w:numId w:val="60"/>
        </w:numPr>
        <w:snapToGrid w:val="0"/>
        <w:spacing w:before="119" w:line="331" w:lineRule="auto"/>
        <w:ind w:left="0" w:firstLine="480"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pPr>
        <w:pStyle w:val="ListParagraph"/>
        <w:numPr>
          <w:ilvl w:val="0"/>
          <w:numId w:val="60"/>
        </w:numPr>
        <w:tabs>
          <w:tab w:val="left" w:pos="905"/>
        </w:tabs>
        <w:snapToGrid w:val="0"/>
        <w:spacing w:line="360" w:lineRule="auto"/>
        <w:ind w:firstLineChars="0"/>
        <w:rPr>
          <w:rFonts w:ascii="宋体" w:eastAsia="宋体" w:hAnsi="宋体" w:cs="宋体" w:hint="eastAsia"/>
          <w:sz w:val="24"/>
          <w:szCs w:val="24"/>
        </w:rPr>
      </w:pPr>
      <w:r>
        <w:rPr>
          <w:rFonts w:ascii="宋体" w:eastAsia="宋体" w:hAnsi="宋体" w:cs="宋体" w:hint="eastAsia"/>
          <w:color w:val="000000"/>
          <w:sz w:val="24"/>
          <w:szCs w:val="24"/>
        </w:rPr>
        <w:t>每件包装箱内应附一份详细装箱单和质量合格证。</w:t>
      </w:r>
    </w:p>
    <w:p>
      <w:pPr>
        <w:tabs>
          <w:tab w:val="left" w:pos="425"/>
          <w:tab w:val="left" w:pos="905"/>
        </w:tabs>
        <w:spacing w:before="156" w:beforeLines="50" w:after="156" w:afterLines="50"/>
        <w:outlineLvl w:val="2"/>
        <w:rPr>
          <w:rFonts w:ascii="宋体" w:eastAsia="宋体" w:hAnsi="宋体" w:cs="宋体" w:hint="eastAsia"/>
          <w:b/>
          <w:sz w:val="24"/>
          <w:szCs w:val="24"/>
        </w:rPr>
      </w:pPr>
      <w:bookmarkStart w:id="145" w:name="_Toc8428"/>
      <w:bookmarkStart w:id="146" w:name="_Toc256000021"/>
      <w:r>
        <w:rPr>
          <w:rFonts w:ascii="宋体" w:eastAsia="宋体" w:hAnsi="宋体" w:cs="宋体" w:hint="eastAsia"/>
          <w:b/>
          <w:sz w:val="24"/>
          <w:szCs w:val="24"/>
        </w:rPr>
        <w:t>四、设备要求</w:t>
      </w:r>
      <w:bookmarkEnd w:id="146"/>
      <w:bookmarkEnd w:id="145"/>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乙方所提供的货物的技术规格符合招标文件规定的技术规格，乙方保证货物为原制造商制造的全新产品，表面无划损、无任何缺陷隐患，在中国境内可安全合法使用。</w:t>
      </w:r>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交付验收标准依次序对照适用标准和要求为：①符合中华人民共和国国家安全质量标准、环保标准或行业标准；②符合谈判/招标文件和响应承诺中甲方认可或者未在谈判/投标文件中书面提出异议的合理最佳配置、参数及各项要求；③货物来源国官方标准。</w:t>
      </w:r>
    </w:p>
    <w:p>
      <w:pPr>
        <w:numPr>
          <w:ilvl w:val="0"/>
          <w:numId w:val="61"/>
        </w:numPr>
        <w:autoSpaceDE w:val="0"/>
        <w:autoSpaceDN w:val="0"/>
        <w:adjustRightInd w:val="0"/>
        <w:snapToGrid w:val="0"/>
        <w:spacing w:line="360" w:lineRule="auto"/>
        <w:ind w:left="567" w:hanging="141"/>
        <w:rPr>
          <w:rFonts w:ascii="宋体" w:eastAsia="宋体" w:hAnsi="宋体" w:cs="宋体" w:hint="eastAsia"/>
          <w:sz w:val="24"/>
          <w:szCs w:val="24"/>
        </w:rPr>
      </w:pPr>
      <w:r>
        <w:rPr>
          <w:rFonts w:ascii="宋体" w:eastAsia="宋体" w:hAnsi="宋体" w:cs="宋体" w:hint="eastAsia"/>
          <w:sz w:val="24"/>
          <w:szCs w:val="24"/>
        </w:rPr>
        <w:t>进口产品必须具备原产地证明和商检局的检验证明及合法进货渠道证明（如有适用）。</w:t>
      </w:r>
    </w:p>
    <w:p>
      <w:pPr>
        <w:numPr>
          <w:ilvl w:val="0"/>
          <w:numId w:val="61"/>
        </w:numPr>
        <w:tabs>
          <w:tab w:val="left" w:pos="73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 xml:space="preserve"> 货物为原厂商未启封全新包装，具出厂合格证，序列号、包装箱号与出厂批号一致，并可追索查阅。必要时，乙方应按甲方要求向甲方提供货物来源渠道的合法证明。如货物安装或配置了软件的，乙方保证相关软件均为正版软件。</w:t>
      </w:r>
    </w:p>
    <w:p>
      <w:pPr>
        <w:numPr>
          <w:ilvl w:val="0"/>
          <w:numId w:val="61"/>
        </w:numPr>
        <w:tabs>
          <w:tab w:val="left" w:pos="360"/>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乙方应将用户手册、保修手册、有关单证资料及配备件、附随工具等全部设备附属材料交付给甲方，使用操作及安全须知等重要资料应附有中文说明。</w:t>
      </w:r>
    </w:p>
    <w:p>
      <w:pPr>
        <w:tabs>
          <w:tab w:val="left" w:pos="425"/>
          <w:tab w:val="left" w:pos="905"/>
        </w:tabs>
        <w:spacing w:before="156" w:beforeLines="50" w:after="156" w:afterLines="50"/>
        <w:outlineLvl w:val="2"/>
        <w:rPr>
          <w:rFonts w:ascii="宋体" w:eastAsia="宋体" w:hAnsi="宋体" w:cs="宋体" w:hint="eastAsia"/>
          <w:b/>
          <w:sz w:val="24"/>
          <w:szCs w:val="24"/>
        </w:rPr>
      </w:pPr>
      <w:bookmarkStart w:id="147" w:name="_Toc12509"/>
      <w:bookmarkStart w:id="148" w:name="_Toc256000022"/>
      <w:r>
        <w:rPr>
          <w:rFonts w:ascii="宋体" w:eastAsia="宋体" w:hAnsi="宋体" w:cs="宋体" w:hint="eastAsia"/>
          <w:b/>
          <w:sz w:val="24"/>
          <w:szCs w:val="24"/>
        </w:rPr>
        <w:t>五、质量要求：</w:t>
      </w:r>
      <w:bookmarkEnd w:id="148"/>
      <w:bookmarkEnd w:id="147"/>
    </w:p>
    <w:p>
      <w:pPr>
        <w:numPr>
          <w:ilvl w:val="0"/>
          <w:numId w:val="62"/>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乙方保证对其交付的货物享有完整的所有权或已获得合法授权，不存在任何权利担保或权利瑕疵，不得侵害他人的知识产权或者其他任何权益。</w:t>
      </w:r>
    </w:p>
    <w:p>
      <w:pPr>
        <w:numPr>
          <w:ilvl w:val="0"/>
          <w:numId w:val="62"/>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货物必须符合或优于国家（行业）</w:t>
      </w:r>
      <w:r>
        <w:rPr>
          <w:rFonts w:ascii="宋体" w:eastAsia="宋体" w:hAnsi="宋体" w:cs="宋体" w:hint="eastAsia"/>
          <w:sz w:val="24"/>
          <w:szCs w:val="24"/>
          <w:u w:val="single"/>
        </w:rPr>
        <w:t xml:space="preserve">    行业   </w:t>
      </w:r>
      <w:r>
        <w:rPr>
          <w:rFonts w:ascii="宋体" w:eastAsia="宋体" w:hAnsi="宋体" w:cs="宋体" w:hint="eastAsia"/>
          <w:sz w:val="24"/>
          <w:szCs w:val="24"/>
        </w:rPr>
        <w:t>标准，以及本项目招标文件的质量要求和技术指标与出厂标准。</w:t>
      </w:r>
    </w:p>
    <w:p>
      <w:pPr>
        <w:numPr>
          <w:ilvl w:val="0"/>
          <w:numId w:val="62"/>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货物质量出现问题，乙方应负责三包（包修、包换、包退），因此产生的一切费用由乙方负担，甲方有权到乙方生产场地检查货物质量和生产进度。</w:t>
      </w:r>
    </w:p>
    <w:p>
      <w:pPr>
        <w:numPr>
          <w:ilvl w:val="0"/>
          <w:numId w:val="62"/>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numPr>
          <w:ilvl w:val="0"/>
          <w:numId w:val="62"/>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 xml:space="preserve">根据乙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 </w:t>
      </w:r>
      <w:r>
        <w:rPr>
          <w:rFonts w:ascii="宋体" w:eastAsia="宋体" w:hAnsi="宋体" w:cs="宋体" w:hint="eastAsia"/>
          <w:sz w:val="24"/>
          <w:szCs w:val="24"/>
          <w:u w:val="single"/>
        </w:rPr>
        <w:t>5个工作</w:t>
      </w:r>
      <w:r>
        <w:rPr>
          <w:rFonts w:ascii="宋体" w:eastAsia="宋体" w:hAnsi="宋体" w:cs="宋体" w:hint="eastAsia"/>
          <w:sz w:val="24"/>
          <w:szCs w:val="24"/>
        </w:rPr>
        <w:t>日内应免费维修或更换有缺陷的货物或部件。</w:t>
      </w:r>
    </w:p>
    <w:p>
      <w:pPr>
        <w:numPr>
          <w:ilvl w:val="0"/>
          <w:numId w:val="62"/>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如果乙方在收到通知后</w:t>
      </w:r>
      <w:r>
        <w:rPr>
          <w:rFonts w:ascii="宋体" w:eastAsia="宋体" w:hAnsi="宋体" w:cs="宋体" w:hint="eastAsia"/>
          <w:sz w:val="24"/>
          <w:szCs w:val="24"/>
          <w:u w:val="single"/>
        </w:rPr>
        <w:t xml:space="preserve"> 5个工作日</w:t>
      </w:r>
      <w:r>
        <w:rPr>
          <w:rFonts w:ascii="宋体" w:eastAsia="宋体" w:hAnsi="宋体" w:cs="宋体" w:hint="eastAsia"/>
          <w:sz w:val="24"/>
          <w:szCs w:val="24"/>
        </w:rPr>
        <w:t>内没有弥补缺陷，甲方可采取必要的补救措施，但由此引发的风险和费用将由乙方承担。</w:t>
      </w:r>
    </w:p>
    <w:p>
      <w:pPr>
        <w:tabs>
          <w:tab w:val="left" w:pos="425"/>
          <w:tab w:val="left" w:pos="905"/>
        </w:tabs>
        <w:spacing w:before="156" w:beforeLines="50" w:after="156" w:afterLines="50"/>
        <w:outlineLvl w:val="2"/>
        <w:rPr>
          <w:rFonts w:ascii="宋体" w:eastAsia="宋体" w:hAnsi="宋体" w:cs="宋体" w:hint="eastAsia"/>
          <w:b/>
          <w:sz w:val="24"/>
          <w:szCs w:val="24"/>
        </w:rPr>
      </w:pPr>
      <w:bookmarkStart w:id="149" w:name="_Toc1420"/>
      <w:bookmarkStart w:id="150" w:name="_Toc256000023"/>
      <w:r>
        <w:rPr>
          <w:rFonts w:ascii="宋体" w:eastAsia="宋体" w:hAnsi="宋体" w:cs="宋体" w:hint="eastAsia"/>
          <w:b/>
          <w:sz w:val="24"/>
          <w:szCs w:val="24"/>
        </w:rPr>
        <w:t>六、交货期、交货方式及交货地点</w:t>
      </w:r>
      <w:bookmarkEnd w:id="150"/>
      <w:bookmarkEnd w:id="149"/>
    </w:p>
    <w:p>
      <w:pPr>
        <w:numPr>
          <w:ilvl w:val="0"/>
          <w:numId w:val="63"/>
        </w:numPr>
        <w:tabs>
          <w:tab w:val="clear" w:pos="425"/>
        </w:tabs>
        <w:autoSpaceDE w:val="0"/>
        <w:autoSpaceDN w:val="0"/>
        <w:adjustRightInd w:val="0"/>
        <w:snapToGrid w:val="0"/>
        <w:spacing w:line="360" w:lineRule="auto"/>
        <w:ind w:left="567" w:hanging="141"/>
        <w:rPr>
          <w:rFonts w:ascii="宋体" w:eastAsia="宋体" w:hAnsi="宋体" w:cs="宋体" w:hint="eastAsia"/>
          <w:sz w:val="24"/>
          <w:szCs w:val="24"/>
        </w:rPr>
      </w:pPr>
      <w:r>
        <w:rPr>
          <w:rFonts w:ascii="宋体" w:eastAsia="宋体" w:hAnsi="宋体" w:cs="宋体" w:hint="eastAsia"/>
          <w:sz w:val="24"/>
          <w:szCs w:val="24"/>
        </w:rPr>
        <w:t>交货期：合同生效之日起_______日内交货。</w:t>
      </w:r>
    </w:p>
    <w:p>
      <w:pPr>
        <w:numPr>
          <w:ilvl w:val="0"/>
          <w:numId w:val="63"/>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交货方式：乙方应在合同规定的交货期</w:t>
      </w:r>
      <w:r>
        <w:rPr>
          <w:rFonts w:ascii="宋体" w:eastAsia="宋体" w:hAnsi="宋体" w:cs="宋体" w:hint="eastAsia"/>
          <w:sz w:val="24"/>
          <w:szCs w:val="24"/>
          <w:u w:val="single"/>
        </w:rPr>
        <w:t xml:space="preserve"> 7 </w:t>
      </w:r>
      <w:r>
        <w:rPr>
          <w:rFonts w:ascii="宋体" w:eastAsia="宋体" w:hAnsi="宋体" w:cs="宋体" w:hint="eastAsia"/>
          <w:sz w:val="24"/>
          <w:szCs w:val="24"/>
        </w:rPr>
        <w:t>天以前用甲方可以收到的方式将合同号、货物名称、数量、包装箱件数、总毛重、总体积(立方米)和备妥交货日期通知甲方。同时乙方应用甲方可以收到的方式将详细交货清单一式6份包括合同号、货物名称、规格、数量、总毛重、总体积(立方米)、包装箱件数和每个包装箱的尺寸(长×宽×高)、货物总价和备妥待交日期以及对货物在运输和仓储的特殊要求和注意事项通知甲方。由乙方自行安排运输将全部货物送达交货地点，甲方不接受部分交货，除非甲方同意。</w:t>
      </w:r>
    </w:p>
    <w:p>
      <w:pPr>
        <w:numPr>
          <w:ilvl w:val="0"/>
          <w:numId w:val="63"/>
        </w:numPr>
        <w:tabs>
          <w:tab w:val="clear" w:pos="425"/>
        </w:tabs>
        <w:autoSpaceDE w:val="0"/>
        <w:autoSpaceDN w:val="0"/>
        <w:adjustRightInd w:val="0"/>
        <w:snapToGrid w:val="0"/>
        <w:spacing w:line="360" w:lineRule="auto"/>
        <w:ind w:left="567" w:hanging="141"/>
        <w:rPr>
          <w:rFonts w:ascii="宋体" w:eastAsia="宋体" w:hAnsi="宋体" w:cs="宋体" w:hint="eastAsia"/>
          <w:sz w:val="24"/>
          <w:szCs w:val="24"/>
        </w:rPr>
      </w:pPr>
      <w:r>
        <w:rPr>
          <w:rFonts w:ascii="宋体" w:eastAsia="宋体" w:hAnsi="宋体" w:cs="宋体" w:hint="eastAsia"/>
          <w:sz w:val="24"/>
          <w:szCs w:val="24"/>
        </w:rPr>
        <w:t>交货地点： ___________________________</w:t>
      </w:r>
    </w:p>
    <w:p>
      <w:pPr>
        <w:tabs>
          <w:tab w:val="left" w:pos="425"/>
        </w:tabs>
        <w:autoSpaceDE w:val="0"/>
        <w:autoSpaceDN w:val="0"/>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七、保险</w:t>
      </w:r>
    </w:p>
    <w:p>
      <w:pPr>
        <w:tabs>
          <w:tab w:val="left" w:pos="425"/>
        </w:tabs>
        <w:autoSpaceDE w:val="0"/>
        <w:autoSpaceDN w:val="0"/>
        <w:adjustRightInd w:val="0"/>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货物按现场交货方式报价，由乙方按照发票金额的110％办理“一切险”。</w:t>
      </w:r>
    </w:p>
    <w:p>
      <w:pPr>
        <w:pStyle w:val="ListParagraph"/>
        <w:numPr>
          <w:ilvl w:val="0"/>
          <w:numId w:val="64"/>
        </w:numPr>
        <w:tabs>
          <w:tab w:val="left" w:pos="480"/>
          <w:tab w:val="left" w:pos="567"/>
        </w:tabs>
        <w:spacing w:line="360" w:lineRule="auto"/>
        <w:ind w:firstLineChars="0"/>
        <w:outlineLvl w:val="2"/>
        <w:rPr>
          <w:rFonts w:ascii="宋体" w:eastAsia="宋体" w:hAnsi="宋体" w:cs="宋体" w:hint="eastAsia"/>
          <w:b/>
          <w:sz w:val="24"/>
          <w:szCs w:val="24"/>
        </w:rPr>
      </w:pPr>
      <w:bookmarkStart w:id="151" w:name="_Toc5165"/>
      <w:bookmarkStart w:id="152" w:name="_Toc256000024"/>
      <w:r>
        <w:rPr>
          <w:rFonts w:ascii="宋体" w:eastAsia="宋体" w:hAnsi="宋体" w:cs="宋体" w:hint="eastAsia"/>
          <w:b/>
          <w:sz w:val="24"/>
          <w:szCs w:val="24"/>
        </w:rPr>
        <w:t>付款方式：</w:t>
      </w:r>
      <w:bookmarkEnd w:id="152"/>
      <w:bookmarkEnd w:id="151"/>
    </w:p>
    <w:p>
      <w:pPr>
        <w:tabs>
          <w:tab w:val="left" w:pos="480"/>
          <w:tab w:val="left" w:pos="567"/>
        </w:tabs>
        <w:spacing w:line="360" w:lineRule="auto"/>
        <w:ind w:firstLine="420" w:firstLineChars="200"/>
        <w:outlineLvl w:val="2"/>
        <w:rPr>
          <w:rFonts w:ascii="宋体" w:eastAsia="宋体" w:hAnsi="宋体" w:cs="宋体" w:hint="eastAsia"/>
          <w:color w:val="000000"/>
          <w:sz w:val="24"/>
          <w:szCs w:val="24"/>
        </w:rPr>
      </w:pPr>
      <w:bookmarkStart w:id="153" w:name="_Toc13232"/>
      <w:bookmarkStart w:id="154" w:name="_Toc256000025"/>
      <w:r>
        <w:rPr>
          <w:rFonts w:ascii="宋体" w:eastAsia="宋体" w:hAnsi="宋体" w:cs="宋体" w:hint="eastAsia"/>
          <w:color w:val="000000"/>
          <w:sz w:val="24"/>
          <w:szCs w:val="24"/>
        </w:rPr>
        <w:t>合同签订后并收到乙方发票之日起</w:t>
      </w:r>
      <w:r>
        <w:rPr>
          <w:rFonts w:ascii="宋体" w:eastAsia="宋体" w:hAnsi="宋体" w:cs="宋体" w:hint="eastAsia"/>
          <w:color w:val="000000"/>
          <w:sz w:val="24"/>
          <w:szCs w:val="24"/>
          <w:lang w:val="en-US" w:eastAsia="zh-CN"/>
        </w:rPr>
        <w:t>15</w:t>
      </w:r>
      <w:r>
        <w:rPr>
          <w:rFonts w:ascii="宋体" w:eastAsia="宋体" w:hAnsi="宋体" w:cs="宋体" w:hint="eastAsia"/>
          <w:color w:val="000000"/>
          <w:sz w:val="24"/>
          <w:szCs w:val="24"/>
        </w:rPr>
        <w:t>日内支付合同总额的</w:t>
      </w:r>
      <w:r>
        <w:rPr>
          <w:rFonts w:ascii="宋体" w:hAnsi="宋体" w:cs="宋体" w:hint="eastAsia"/>
          <w:color w:val="000000"/>
          <w:sz w:val="24"/>
          <w:szCs w:val="24"/>
          <w:lang w:val="en-US" w:eastAsia="zh-CN"/>
        </w:rPr>
        <w:t>30</w:t>
      </w:r>
      <w:r>
        <w:rPr>
          <w:rFonts w:ascii="宋体" w:eastAsia="宋体" w:hAnsi="宋体" w:cs="宋体" w:hint="eastAsia"/>
          <w:color w:val="000000"/>
          <w:sz w:val="24"/>
          <w:szCs w:val="24"/>
        </w:rPr>
        <w:t>%，货到验收合格后之日起收到乙方发票之日起</w:t>
      </w:r>
      <w:r>
        <w:rPr>
          <w:rFonts w:ascii="宋体" w:eastAsia="宋体" w:hAnsi="宋体" w:cs="宋体" w:hint="eastAsia"/>
          <w:color w:val="000000"/>
          <w:sz w:val="24"/>
          <w:szCs w:val="24"/>
          <w:lang w:val="en-US" w:eastAsia="zh-CN"/>
        </w:rPr>
        <w:t>15</w:t>
      </w:r>
      <w:r>
        <w:rPr>
          <w:rFonts w:ascii="宋体" w:eastAsia="宋体" w:hAnsi="宋体" w:cs="宋体" w:hint="eastAsia"/>
          <w:color w:val="000000"/>
          <w:sz w:val="24"/>
          <w:szCs w:val="24"/>
        </w:rPr>
        <w:t>日支付</w:t>
      </w:r>
      <w:r>
        <w:rPr>
          <w:rFonts w:ascii="宋体" w:eastAsia="宋体" w:hAnsi="宋体" w:cs="宋体" w:hint="eastAsia"/>
          <w:color w:val="000000"/>
          <w:sz w:val="24"/>
          <w:szCs w:val="24"/>
          <w:lang w:val="en-US" w:eastAsia="zh-CN"/>
        </w:rPr>
        <w:t>65</w:t>
      </w:r>
      <w:r>
        <w:rPr>
          <w:rFonts w:ascii="宋体" w:eastAsia="宋体" w:hAnsi="宋体" w:cs="宋体" w:hint="eastAsia"/>
          <w:color w:val="000000"/>
          <w:sz w:val="24"/>
          <w:szCs w:val="24"/>
        </w:rPr>
        <w:t>%，质保期满/验收合格满1年后之日起乙方发票之日起</w:t>
      </w:r>
      <w:r>
        <w:rPr>
          <w:rFonts w:ascii="宋体" w:eastAsia="宋体" w:hAnsi="宋体" w:cs="宋体" w:hint="eastAsia"/>
          <w:color w:val="000000"/>
          <w:sz w:val="24"/>
          <w:szCs w:val="24"/>
          <w:lang w:val="en-US" w:eastAsia="zh-CN"/>
        </w:rPr>
        <w:t>15</w:t>
      </w:r>
      <w:r>
        <w:rPr>
          <w:rFonts w:ascii="宋体" w:eastAsia="宋体" w:hAnsi="宋体" w:cs="宋体" w:hint="eastAsia"/>
          <w:color w:val="000000"/>
          <w:sz w:val="24"/>
          <w:szCs w:val="24"/>
        </w:rPr>
        <w:t>日支付</w:t>
      </w:r>
      <w:r>
        <w:rPr>
          <w:rFonts w:ascii="宋体" w:eastAsia="宋体" w:hAnsi="宋体" w:cs="宋体" w:hint="eastAsia"/>
          <w:color w:val="000000"/>
          <w:sz w:val="24"/>
          <w:szCs w:val="24"/>
          <w:lang w:val="en-US" w:eastAsia="zh-CN"/>
        </w:rPr>
        <w:t>5</w:t>
      </w:r>
      <w:r>
        <w:rPr>
          <w:rFonts w:ascii="宋体" w:eastAsia="宋体" w:hAnsi="宋体" w:cs="宋体" w:hint="eastAsia"/>
          <w:color w:val="000000"/>
          <w:sz w:val="24"/>
          <w:szCs w:val="24"/>
        </w:rPr>
        <w:t>%。甲方付款前，乙方须提前</w:t>
      </w:r>
      <w:r>
        <w:rPr>
          <w:rFonts w:ascii="宋体" w:eastAsia="宋体" w:hAnsi="宋体" w:cs="宋体" w:hint="eastAsia"/>
          <w:color w:val="000000"/>
          <w:sz w:val="24"/>
          <w:szCs w:val="24"/>
          <w:lang w:val="en-US" w:eastAsia="zh-CN"/>
        </w:rPr>
        <w:t>15</w:t>
      </w:r>
      <w:r>
        <w:rPr>
          <w:rFonts w:ascii="宋体" w:eastAsia="宋体" w:hAnsi="宋体" w:cs="宋体" w:hint="eastAsia"/>
          <w:color w:val="000000"/>
          <w:sz w:val="24"/>
          <w:szCs w:val="24"/>
        </w:rPr>
        <w:t>天开具合法发票交付甲方，逾期开具发票的，付款时间顺延。</w:t>
      </w:r>
      <w:bookmarkEnd w:id="154"/>
      <w:bookmarkEnd w:id="153"/>
    </w:p>
    <w:p>
      <w:pPr>
        <w:tabs>
          <w:tab w:val="left" w:pos="567"/>
          <w:tab w:val="left" w:pos="905"/>
        </w:tabs>
        <w:spacing w:line="360" w:lineRule="auto"/>
        <w:outlineLvl w:val="2"/>
        <w:rPr>
          <w:rFonts w:ascii="宋体" w:eastAsia="宋体" w:hAnsi="宋体" w:cs="宋体" w:hint="eastAsia"/>
          <w:b/>
          <w:sz w:val="24"/>
          <w:szCs w:val="24"/>
        </w:rPr>
      </w:pPr>
      <w:bookmarkStart w:id="155" w:name="_Toc24226"/>
      <w:bookmarkStart w:id="156" w:name="_Toc256000026"/>
      <w:r>
        <w:rPr>
          <w:rFonts w:ascii="宋体" w:eastAsia="宋体" w:hAnsi="宋体" w:cs="宋体" w:hint="eastAsia"/>
          <w:b/>
          <w:color w:val="000000"/>
          <w:sz w:val="24"/>
          <w:szCs w:val="24"/>
        </w:rPr>
        <w:t>九、</w:t>
      </w:r>
      <w:r>
        <w:rPr>
          <w:rFonts w:ascii="宋体" w:eastAsia="宋体" w:hAnsi="宋体" w:cs="宋体" w:hint="eastAsia"/>
          <w:b/>
          <w:sz w:val="24"/>
          <w:szCs w:val="24"/>
        </w:rPr>
        <w:t>质保期及售后服务要求</w:t>
      </w:r>
      <w:bookmarkEnd w:id="156"/>
      <w:bookmarkEnd w:id="155"/>
    </w:p>
    <w:p>
      <w:pPr>
        <w:numPr>
          <w:ilvl w:val="0"/>
          <w:numId w:val="65"/>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本合同的质量保证期（简称“质保期”）___个月，质保期自货物验收合格之日起算，质保期内乙方对所供货物实行包修、包换、包退、包维护保养，期满后应甲方要求应提供终身维修保养服务，设备正常的易损件消耗除外。</w:t>
      </w:r>
    </w:p>
    <w:p>
      <w:pPr>
        <w:numPr>
          <w:ilvl w:val="0"/>
          <w:numId w:val="65"/>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质保期内，如设备或零部件非因人为因素出现故障而影响正常使用的，自恢复正常使用后，质保期和免费维修保养期相应顺延，为免纠纷，双方可对顺延期限进行书面确认。</w:t>
      </w:r>
    </w:p>
    <w:p>
      <w:pPr>
        <w:numPr>
          <w:ilvl w:val="0"/>
          <w:numId w:val="65"/>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对甲方的服务通知，乙方在接报后</w:t>
      </w:r>
      <w:r>
        <w:rPr>
          <w:rFonts w:ascii="宋体" w:eastAsia="宋体" w:hAnsi="宋体" w:cs="宋体" w:hint="eastAsia"/>
          <w:sz w:val="24"/>
          <w:szCs w:val="24"/>
          <w:lang w:val="en-US" w:eastAsia="zh-CN"/>
        </w:rPr>
        <w:t>24</w:t>
      </w:r>
      <w:r>
        <w:rPr>
          <w:rFonts w:ascii="宋体" w:eastAsia="宋体" w:hAnsi="宋体" w:cs="宋体" w:hint="eastAsia"/>
          <w:sz w:val="24"/>
          <w:szCs w:val="24"/>
        </w:rPr>
        <w:t>小时内响应，如需乙方到合同货物现场，乙方应在收到甲方通知后48小时内到达，乙方须免费提供同档次的设备予甲方临时使用。上述问题在</w:t>
      </w:r>
      <w:r>
        <w:rPr>
          <w:rFonts w:ascii="宋体" w:eastAsia="宋体" w:hAnsi="宋体" w:cs="宋体" w:hint="eastAsia"/>
          <w:sz w:val="24"/>
          <w:szCs w:val="24"/>
          <w:lang w:val="en-US" w:eastAsia="zh-CN"/>
        </w:rPr>
        <w:t>7</w:t>
      </w:r>
      <w:r>
        <w:rPr>
          <w:rFonts w:ascii="宋体" w:eastAsia="宋体" w:hAnsi="宋体" w:cs="宋体" w:hint="eastAsia"/>
          <w:sz w:val="24"/>
          <w:szCs w:val="24"/>
        </w:rPr>
        <w:t>日内无法解决或故障无法排除的（重大故障除外），甲方有权选择退货或者更换，如甲方选择退货，乙方应当自甲方提出书面要求之日起7日内将甲方已支付的货款全部退还给甲方；如甲方选择更换，乙方应当在甲方提出书面要求之日起7日内完成货物更换工作，乙方未在限期内更换的，甲方仍有权选择退货。</w:t>
      </w:r>
    </w:p>
    <w:p>
      <w:pPr>
        <w:tabs>
          <w:tab w:val="left" w:pos="425"/>
          <w:tab w:val="left" w:pos="480"/>
        </w:tabs>
        <w:spacing w:line="480" w:lineRule="auto"/>
        <w:outlineLvl w:val="2"/>
        <w:rPr>
          <w:rFonts w:ascii="宋体" w:eastAsia="宋体" w:hAnsi="宋体" w:cs="宋体" w:hint="eastAsia"/>
          <w:b/>
          <w:sz w:val="24"/>
          <w:szCs w:val="24"/>
        </w:rPr>
      </w:pPr>
      <w:bookmarkStart w:id="157" w:name="_Toc15948"/>
      <w:bookmarkStart w:id="158" w:name="_Toc256000027"/>
      <w:r>
        <w:rPr>
          <w:rFonts w:ascii="宋体" w:eastAsia="宋体" w:hAnsi="宋体" w:cs="宋体" w:hint="eastAsia"/>
          <w:b/>
          <w:sz w:val="24"/>
          <w:szCs w:val="24"/>
        </w:rPr>
        <w:t>十、检验和验收</w:t>
      </w:r>
      <w:bookmarkEnd w:id="158"/>
      <w:bookmarkEnd w:id="157"/>
    </w:p>
    <w:p>
      <w:pPr>
        <w:pStyle w:val="ListParagraph"/>
        <w:numPr>
          <w:ilvl w:val="0"/>
          <w:numId w:val="66"/>
        </w:numPr>
        <w:autoSpaceDE w:val="0"/>
        <w:autoSpaceDN w:val="0"/>
        <w:adjustRightInd w:val="0"/>
        <w:snapToGrid w:val="0"/>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货物若有国家标准和/或行业标准，按照国家标准、行业标准以及本合同约定的验收标准进行验收。</w:t>
      </w:r>
    </w:p>
    <w:p>
      <w:pPr>
        <w:pStyle w:val="ListParagraph"/>
        <w:numPr>
          <w:ilvl w:val="0"/>
          <w:numId w:val="66"/>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sz w:val="24"/>
          <w:szCs w:val="24"/>
        </w:rPr>
        <w:t>进口产品必须具备原产地证明和商检局的检验证明及合法进货渠道证明。甲方有权要求乙方提供进口货物的报关单（如有适用）。</w:t>
      </w:r>
    </w:p>
    <w:p>
      <w:pPr>
        <w:pStyle w:val="ListParagraph"/>
        <w:numPr>
          <w:ilvl w:val="0"/>
          <w:numId w:val="66"/>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sz w:val="24"/>
          <w:szCs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该检验不免除乙方应承担的合同义务。</w:t>
      </w:r>
    </w:p>
    <w:p>
      <w:pPr>
        <w:pStyle w:val="ListParagraph"/>
        <w:numPr>
          <w:ilvl w:val="0"/>
          <w:numId w:val="66"/>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bCs/>
          <w:snapToGrid w:val="0"/>
          <w:kern w:val="0"/>
          <w:sz w:val="24"/>
          <w:szCs w:val="24"/>
        </w:rPr>
        <w:t>货物运抵交货地点后，甲、乙双方需马上派出代表前往工作现场，双方进行箱外验收。箱内物品由双方在约定时间（到货后五天内）一次性共同开箱验收，如发现缺少、损坏部件，乙方须</w:t>
      </w:r>
      <w:r>
        <w:rPr>
          <w:rFonts w:ascii="宋体" w:eastAsia="宋体" w:hAnsi="宋体" w:cs="宋体" w:hint="eastAsia"/>
          <w:color w:val="000000"/>
          <w:sz w:val="24"/>
          <w:szCs w:val="24"/>
          <w:u w:val="single"/>
        </w:rPr>
        <w:t>在甲方指定的时间内</w:t>
      </w:r>
      <w:r>
        <w:rPr>
          <w:rFonts w:ascii="宋体" w:eastAsia="宋体" w:hAnsi="宋体" w:cs="宋体" w:hint="eastAsia"/>
          <w:bCs/>
          <w:snapToGrid w:val="0"/>
          <w:kern w:val="0"/>
          <w:sz w:val="24"/>
          <w:szCs w:val="24"/>
        </w:rPr>
        <w:t>补交给甲方，如因此造成拖延，甲方有权按延期交货索赔。</w:t>
      </w:r>
    </w:p>
    <w:p>
      <w:pPr>
        <w:pStyle w:val="ListParagraph"/>
        <w:numPr>
          <w:ilvl w:val="0"/>
          <w:numId w:val="66"/>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sz w:val="24"/>
          <w:szCs w:val="24"/>
        </w:rPr>
        <w:t>货物缺少技术材料、使用手册等材料的，乙方应在甲方要求的时间内补齐，否则甲方有权单方面解除合同。</w:t>
      </w:r>
    </w:p>
    <w:p>
      <w:pPr>
        <w:pStyle w:val="ListParagraph"/>
        <w:numPr>
          <w:ilvl w:val="0"/>
          <w:numId w:val="66"/>
        </w:numPr>
        <w:autoSpaceDE w:val="0"/>
        <w:autoSpaceDN w:val="0"/>
        <w:adjustRightInd w:val="0"/>
        <w:snapToGrid w:val="0"/>
        <w:spacing w:line="360" w:lineRule="auto"/>
        <w:ind w:firstLineChars="0"/>
        <w:rPr>
          <w:rFonts w:ascii="宋体" w:eastAsia="宋体" w:hAnsi="宋体" w:cs="宋体" w:hint="eastAsia"/>
          <w:sz w:val="24"/>
          <w:szCs w:val="24"/>
        </w:rPr>
      </w:pPr>
      <w:r>
        <w:rPr>
          <w:rFonts w:ascii="宋体" w:eastAsia="宋体" w:hAnsi="宋体" w:cs="宋体" w:hint="eastAsia"/>
          <w:sz w:val="24"/>
          <w:szCs w:val="24"/>
          <w:u w:color="000000"/>
        </w:rPr>
        <w:t>当满足以下条件时，甲方才向乙方签发货物验收报告：</w:t>
      </w:r>
    </w:p>
    <w:p>
      <w:pPr>
        <w:adjustRightInd w:val="0"/>
        <w:snapToGrid w:val="0"/>
        <w:spacing w:line="288" w:lineRule="auto"/>
        <w:ind w:left="424" w:firstLine="2" w:leftChars="202"/>
        <w:rPr>
          <w:rFonts w:ascii="宋体" w:eastAsia="宋体" w:hAnsi="宋体" w:cs="宋体" w:hint="eastAsia"/>
          <w:sz w:val="24"/>
          <w:szCs w:val="24"/>
          <w:u w:color="000000"/>
        </w:rPr>
      </w:pPr>
      <w:r>
        <w:rPr>
          <w:rFonts w:ascii="宋体" w:eastAsia="宋体" w:hAnsi="宋体" w:cs="宋体" w:hint="eastAsia"/>
          <w:sz w:val="24"/>
          <w:szCs w:val="24"/>
          <w:u w:color="000000"/>
        </w:rPr>
        <w:t>a、乙方已按照合同规定提供了全部产品及完整的技术资料。</w:t>
      </w:r>
    </w:p>
    <w:p>
      <w:pPr>
        <w:pStyle w:val="ListParagraph"/>
        <w:numPr>
          <w:ilvl w:val="0"/>
          <w:numId w:val="67"/>
        </w:numPr>
        <w:adjustRightInd w:val="0"/>
        <w:snapToGrid w:val="0"/>
        <w:spacing w:line="288" w:lineRule="auto"/>
        <w:ind w:left="424" w:firstLine="2" w:leftChars="202" w:firstLineChars="0"/>
        <w:rPr>
          <w:rFonts w:ascii="宋体" w:eastAsia="宋体" w:hAnsi="宋体" w:cs="宋体" w:hint="eastAsia"/>
          <w:sz w:val="24"/>
          <w:szCs w:val="24"/>
          <w:u w:color="000000"/>
        </w:rPr>
      </w:pPr>
      <w:r>
        <w:rPr>
          <w:rFonts w:ascii="宋体" w:eastAsia="宋体" w:hAnsi="宋体" w:cs="宋体" w:hint="eastAsia"/>
          <w:sz w:val="24"/>
          <w:szCs w:val="24"/>
          <w:u w:color="000000"/>
        </w:rPr>
        <w:t>货物符合招标文件技术要求及本合同的质量等要求，性能满足要求并经甲方验收。</w:t>
      </w:r>
    </w:p>
    <w:p>
      <w:pPr>
        <w:pStyle w:val="ListParagraph"/>
        <w:autoSpaceDE w:val="0"/>
        <w:autoSpaceDN w:val="0"/>
        <w:adjustRightInd w:val="0"/>
        <w:snapToGrid w:val="0"/>
        <w:spacing w:line="360" w:lineRule="auto"/>
        <w:ind w:left="424" w:firstLine="2" w:leftChars="202" w:firstLineChars="0"/>
        <w:rPr>
          <w:rFonts w:ascii="宋体" w:eastAsia="宋体" w:hAnsi="宋体" w:cs="宋体" w:hint="eastAsia"/>
          <w:sz w:val="24"/>
          <w:szCs w:val="24"/>
          <w:u w:color="000000"/>
        </w:rPr>
      </w:pPr>
      <w:r>
        <w:rPr>
          <w:rFonts w:ascii="宋体" w:eastAsia="宋体" w:hAnsi="宋体" w:cs="宋体" w:hint="eastAsia"/>
          <w:sz w:val="24"/>
          <w:szCs w:val="24"/>
          <w:u w:color="000000"/>
        </w:rPr>
        <w:t>c、 货物具备产品合格证。</w:t>
      </w:r>
    </w:p>
    <w:p>
      <w:pPr>
        <w:pStyle w:val="ListParagraph"/>
        <w:autoSpaceDE w:val="0"/>
        <w:autoSpaceDN w:val="0"/>
        <w:adjustRightInd w:val="0"/>
        <w:snapToGrid w:val="0"/>
        <w:spacing w:line="360" w:lineRule="auto"/>
        <w:ind w:left="424" w:firstLine="2" w:leftChars="202" w:firstLineChars="0"/>
        <w:rPr>
          <w:rFonts w:ascii="宋体" w:eastAsia="宋体" w:hAnsi="宋体" w:cs="宋体" w:hint="eastAsia"/>
          <w:sz w:val="24"/>
          <w:szCs w:val="24"/>
        </w:rPr>
      </w:pPr>
      <w:r>
        <w:rPr>
          <w:rFonts w:ascii="宋体" w:eastAsia="宋体" w:hAnsi="宋体" w:cs="宋体" w:hint="eastAsia"/>
          <w:sz w:val="24"/>
          <w:szCs w:val="24"/>
        </w:rPr>
        <w:t>d、 甲方认为的其他合理条件。</w:t>
      </w:r>
    </w:p>
    <w:p>
      <w:pPr>
        <w:tabs>
          <w:tab w:val="left" w:pos="5812"/>
        </w:tabs>
        <w:autoSpaceDE w:val="0"/>
        <w:autoSpaceDN w:val="0"/>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十一、违约责任与赔偿损失</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1、甲方无正当理由拒收货物、拒付货物款并解除合同的，由甲方向乙方偿付合同总价的【5】%违约金。</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2、甲方未按合同规定的期限向乙方支付货款的，每逾期1天甲方向乙方偿付欠款总额的【</w:t>
      </w:r>
      <w:r>
        <w:rPr>
          <w:rFonts w:ascii="宋体" w:eastAsia="宋体" w:hAnsi="宋体" w:cs="宋体" w:hint="eastAsia"/>
          <w:sz w:val="24"/>
          <w:szCs w:val="24"/>
          <w:lang w:val="en-US"/>
        </w:rPr>
        <w:t>3</w:t>
      </w:r>
      <w:r>
        <w:rPr>
          <w:rFonts w:ascii="宋体" w:eastAsia="宋体" w:hAnsi="宋体" w:cs="宋体" w:hint="eastAsia"/>
          <w:sz w:val="24"/>
          <w:szCs w:val="24"/>
        </w:rPr>
        <w:t>】‰滞纳金，但累计滞纳金总额不超过欠款总额的【5】% 。</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3、乙方逾期交付货物的，每逾期1天，乙方向甲方偿付货款总额的【</w:t>
      </w:r>
      <w:r>
        <w:rPr>
          <w:rFonts w:ascii="宋体" w:eastAsia="宋体" w:hAnsi="宋体" w:cs="宋体" w:hint="eastAsia"/>
          <w:sz w:val="24"/>
          <w:szCs w:val="24"/>
          <w:lang w:val="en-US" w:eastAsia="zh-CN"/>
        </w:rPr>
        <w:t>5</w:t>
      </w:r>
      <w:r>
        <w:rPr>
          <w:rFonts w:ascii="宋体" w:eastAsia="宋体" w:hAnsi="宋体" w:cs="宋体" w:hint="eastAsia"/>
          <w:sz w:val="24"/>
          <w:szCs w:val="24"/>
        </w:rPr>
        <w:t>】‰的滞纳金。如乙方逾期交货达</w:t>
      </w:r>
      <w:r>
        <w:rPr>
          <w:rFonts w:ascii="宋体" w:eastAsia="宋体" w:hAnsi="宋体" w:cs="宋体" w:hint="eastAsia"/>
          <w:sz w:val="24"/>
          <w:szCs w:val="24"/>
          <w:u w:val="single"/>
        </w:rPr>
        <w:t xml:space="preserve"> </w:t>
      </w:r>
      <w:r>
        <w:rPr>
          <w:rFonts w:ascii="宋体" w:eastAsia="宋体" w:hAnsi="宋体" w:cs="宋体" w:hint="eastAsia"/>
          <w:sz w:val="24"/>
          <w:szCs w:val="24"/>
          <w:u w:val="single"/>
          <w:lang w:val="en-US" w:eastAsia="zh-CN"/>
        </w:rPr>
        <w:t>30</w:t>
      </w:r>
      <w:r>
        <w:rPr>
          <w:rFonts w:ascii="宋体" w:eastAsia="宋体" w:hAnsi="宋体" w:cs="宋体" w:hint="eastAsia"/>
          <w:sz w:val="24"/>
          <w:szCs w:val="24"/>
          <w:u w:val="single"/>
        </w:rPr>
        <w:t xml:space="preserve">  </w:t>
      </w:r>
      <w:r>
        <w:rPr>
          <w:rFonts w:ascii="宋体" w:eastAsia="宋体" w:hAnsi="宋体" w:cs="宋体" w:hint="eastAsia"/>
          <w:sz w:val="24"/>
          <w:szCs w:val="24"/>
        </w:rPr>
        <w:t>天以上（含</w:t>
      </w:r>
      <w:r>
        <w:rPr>
          <w:rFonts w:ascii="宋体" w:eastAsia="宋体" w:hAnsi="宋体" w:cs="宋体" w:hint="eastAsia"/>
          <w:sz w:val="24"/>
          <w:szCs w:val="24"/>
          <w:lang w:val="en-US" w:eastAsia="zh-CN"/>
        </w:rPr>
        <w:t>30</w:t>
      </w:r>
      <w:r>
        <w:rPr>
          <w:rFonts w:ascii="宋体" w:eastAsia="宋体" w:hAnsi="宋体" w:cs="宋体" w:hint="eastAsia"/>
          <w:sz w:val="24"/>
          <w:szCs w:val="24"/>
        </w:rPr>
        <w:t>天），甲方有权解除合同，同时乙方应向甲方支付合同总价【</w:t>
      </w:r>
      <w:r>
        <w:rPr>
          <w:rFonts w:ascii="宋体" w:eastAsia="宋体" w:hAnsi="宋体" w:cs="宋体" w:hint="eastAsia"/>
          <w:sz w:val="24"/>
          <w:szCs w:val="24"/>
          <w:lang w:val="en-US" w:eastAsia="zh-CN"/>
        </w:rPr>
        <w:t>30</w:t>
      </w:r>
      <w:r>
        <w:rPr>
          <w:rFonts w:ascii="宋体" w:eastAsia="宋体" w:hAnsi="宋体" w:cs="宋体" w:hint="eastAsia"/>
          <w:sz w:val="24"/>
          <w:szCs w:val="24"/>
        </w:rPr>
        <w:t>】％的违约金。</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4、乙方所交付的货物品种、型号、规格、质量等不符合合同规定的，甲方有权拒收、退货并解除合同。甲方解除合同的，乙方应当退还甲方已支付的全部款项并应向甲方支付货款总额【5】%的违约金。</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6、乙方未履行本合同项下的其他义务或违反其在投标文件中的相关承诺的，应按合同总价款的【5】%向甲方承担违约责任。</w:t>
      </w:r>
    </w:p>
    <w:p>
      <w:pPr>
        <w:tabs>
          <w:tab w:val="left" w:pos="425"/>
        </w:tabs>
        <w:autoSpaceDE w:val="0"/>
        <w:autoSpaceDN w:val="0"/>
        <w:adjustRightInd w:val="0"/>
        <w:snapToGrid w:val="0"/>
        <w:spacing w:line="360" w:lineRule="auto"/>
        <w:ind w:left="-36" w:firstLine="420" w:leftChars="-17" w:firstLineChars="200"/>
        <w:rPr>
          <w:rFonts w:ascii="宋体" w:eastAsia="宋体" w:hAnsi="宋体" w:cs="宋体" w:hint="eastAsia"/>
          <w:sz w:val="24"/>
          <w:szCs w:val="24"/>
        </w:rPr>
      </w:pPr>
      <w:r>
        <w:rPr>
          <w:rFonts w:ascii="宋体" w:eastAsia="宋体" w:hAnsi="宋体" w:cs="宋体" w:hint="eastAsia"/>
          <w:sz w:val="24"/>
          <w:szCs w:val="24"/>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jc w:val="left"/>
        <w:rPr>
          <w:rFonts w:ascii="宋体" w:eastAsia="宋体" w:hAnsi="宋体" w:cs="宋体" w:hint="eastAsia"/>
          <w:b/>
          <w:sz w:val="24"/>
          <w:szCs w:val="24"/>
        </w:rPr>
      </w:pPr>
      <w:r>
        <w:rPr>
          <w:rFonts w:ascii="宋体" w:eastAsia="宋体" w:hAnsi="宋体" w:cs="宋体" w:hint="eastAsia"/>
          <w:b/>
          <w:sz w:val="24"/>
          <w:szCs w:val="24"/>
        </w:rPr>
        <w:t>十三、合同的变更和终止</w:t>
      </w:r>
    </w:p>
    <w:p>
      <w:pPr>
        <w:tabs>
          <w:tab w:val="left" w:pos="425"/>
        </w:tabs>
        <w:autoSpaceDE w:val="0"/>
        <w:autoSpaceDN w:val="0"/>
        <w:adjustRightInd w:val="0"/>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除《中华人民共和国政府采购法》第４９条、第５０条第二款规定的情形外，本合同一经签订，甲乙双方不得擅自变更、中止或终止合同。</w:t>
      </w:r>
    </w:p>
    <w:p>
      <w:pPr>
        <w:tabs>
          <w:tab w:val="left" w:pos="425"/>
        </w:tabs>
        <w:autoSpaceDE w:val="0"/>
        <w:autoSpaceDN w:val="0"/>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十四、争议的解决</w:t>
      </w:r>
    </w:p>
    <w:p>
      <w:pPr>
        <w:pStyle w:val="ListParagraph"/>
        <w:tabs>
          <w:tab w:val="left" w:pos="905"/>
        </w:tabs>
        <w:spacing w:line="360" w:lineRule="auto"/>
        <w:ind w:firstLine="479" w:firstLineChars="228"/>
        <w:jc w:val="left"/>
        <w:rPr>
          <w:rFonts w:ascii="宋体" w:eastAsia="宋体" w:hAnsi="宋体" w:cs="宋体" w:hint="eastAsia"/>
          <w:sz w:val="24"/>
          <w:szCs w:val="24"/>
        </w:rPr>
      </w:pPr>
      <w:r>
        <w:rPr>
          <w:rFonts w:ascii="宋体" w:eastAsia="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w:t>
      </w:r>
    </w:p>
    <w:p>
      <w:pPr>
        <w:pStyle w:val="ListParagraph"/>
        <w:tabs>
          <w:tab w:val="left" w:pos="824"/>
          <w:tab w:val="left" w:pos="905"/>
        </w:tabs>
        <w:snapToGrid w:val="0"/>
        <w:spacing w:line="360" w:lineRule="auto"/>
        <w:ind w:firstLine="479" w:firstLineChars="228"/>
        <w:rPr>
          <w:rFonts w:ascii="宋体" w:eastAsia="宋体" w:hAnsi="宋体" w:cs="宋体" w:hint="eastAsia"/>
          <w:sz w:val="24"/>
          <w:szCs w:val="24"/>
        </w:rPr>
      </w:pPr>
      <w:r>
        <w:rPr>
          <w:rFonts w:ascii="宋体" w:eastAsia="宋体" w:hAnsi="宋体" w:cs="宋体" w:hint="eastAsia"/>
          <w:sz w:val="24"/>
          <w:szCs w:val="24"/>
        </w:rPr>
        <w:t>2、因履行本合同引起的或与本合同有关的争议，甲、乙双方应首先通过友好协商解决，如果协商不能解决争议，则向深圳国际仲裁院申请仲裁。</w:t>
      </w:r>
    </w:p>
    <w:p>
      <w:pPr>
        <w:tabs>
          <w:tab w:val="left" w:pos="824"/>
          <w:tab w:val="left" w:pos="905"/>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十五、不可抗力</w:t>
      </w:r>
    </w:p>
    <w:p>
      <w:pPr>
        <w:tabs>
          <w:tab w:val="left" w:pos="824"/>
        </w:tabs>
        <w:snapToGrid w:val="0"/>
        <w:spacing w:line="360" w:lineRule="auto"/>
        <w:ind w:firstLine="422" w:firstLineChars="201"/>
        <w:rPr>
          <w:rFonts w:ascii="宋体" w:eastAsia="宋体" w:hAnsi="宋体" w:cs="宋体" w:hint="eastAsia"/>
          <w:sz w:val="24"/>
          <w:szCs w:val="24"/>
        </w:rPr>
      </w:pPr>
      <w:r>
        <w:rPr>
          <w:rFonts w:ascii="宋体" w:eastAsia="宋体" w:hAnsi="宋体" w:cs="宋体" w:hint="eastAsia"/>
          <w:sz w:val="24"/>
          <w:szCs w:val="24"/>
        </w:rPr>
        <w:t>任何一方由于不可抗力原因不能履行合同时，应在不可抗力事件结束后5日内向对方通报，以减轻可能给对方造成的损失，在取得有关机构的不可抗力证明或双方谅解确认后，允许延期履行或修订合同，并根据情况可部分或全部免于承担违约责任。</w:t>
      </w:r>
    </w:p>
    <w:p>
      <w:pPr>
        <w:tabs>
          <w:tab w:val="left" w:pos="824"/>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十六、税费</w:t>
      </w:r>
    </w:p>
    <w:p>
      <w:pPr>
        <w:tabs>
          <w:tab w:val="left" w:pos="824"/>
        </w:tabs>
        <w:snapToGrid w:val="0"/>
        <w:spacing w:line="360" w:lineRule="auto"/>
        <w:ind w:left="424" w:leftChars="202"/>
        <w:rPr>
          <w:rFonts w:ascii="宋体" w:eastAsia="宋体" w:hAnsi="宋体" w:cs="宋体" w:hint="eastAsia"/>
          <w:sz w:val="24"/>
          <w:szCs w:val="24"/>
        </w:rPr>
      </w:pPr>
      <w:r>
        <w:rPr>
          <w:rFonts w:ascii="宋体" w:eastAsia="宋体" w:hAnsi="宋体" w:cs="宋体" w:hint="eastAsia"/>
          <w:sz w:val="24"/>
          <w:szCs w:val="24"/>
        </w:rPr>
        <w:t>在中国境内、外发生的与本合同执行有关的一切税费均由乙方负担。</w:t>
      </w:r>
    </w:p>
    <w:p>
      <w:pPr>
        <w:tabs>
          <w:tab w:val="left" w:pos="824"/>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十七、合同生效及其它</w:t>
      </w:r>
    </w:p>
    <w:p>
      <w:pPr>
        <w:tabs>
          <w:tab w:val="left" w:pos="824"/>
        </w:tabs>
        <w:snapToGrid w:val="0"/>
        <w:spacing w:line="360" w:lineRule="auto"/>
        <w:rPr>
          <w:rFonts w:ascii="宋体" w:eastAsia="宋体" w:hAnsi="宋体" w:cs="宋体" w:hint="eastAsia"/>
          <w:b/>
          <w:sz w:val="24"/>
          <w:szCs w:val="24"/>
          <w:u w:val="single"/>
        </w:rPr>
      </w:pPr>
      <w:r>
        <w:rPr>
          <w:rFonts w:ascii="宋体" w:eastAsia="宋体" w:hAnsi="宋体" w:cs="宋体" w:hint="eastAsia"/>
          <w:b/>
          <w:sz w:val="24"/>
          <w:szCs w:val="24"/>
        </w:rPr>
        <w:t xml:space="preserve">    1.本采购项目经费来源于：财政性资金</w:t>
      </w:r>
      <w:r>
        <w:rPr>
          <w:rFonts w:ascii="宋体" w:eastAsia="宋体" w:hAnsi="宋体" w:cs="宋体" w:hint="eastAsia"/>
          <w:b/>
          <w:sz w:val="24"/>
          <w:szCs w:val="24"/>
          <w:u w:val="single"/>
        </w:rPr>
        <w:t xml:space="preserve">                                    </w:t>
      </w:r>
    </w:p>
    <w:p>
      <w:pPr>
        <w:spacing w:line="360" w:lineRule="auto"/>
        <w:ind w:firstLine="424" w:firstLineChars="202"/>
        <w:jc w:val="left"/>
        <w:rPr>
          <w:rFonts w:ascii="宋体" w:eastAsia="宋体" w:hAnsi="宋体" w:cs="宋体" w:hint="eastAsia"/>
          <w:sz w:val="24"/>
          <w:szCs w:val="24"/>
        </w:rPr>
      </w:pPr>
      <w:r>
        <w:rPr>
          <w:rFonts w:ascii="宋体" w:eastAsia="宋体" w:hAnsi="宋体" w:cs="宋体" w:hint="eastAsia"/>
          <w:sz w:val="24"/>
          <w:szCs w:val="24"/>
        </w:rPr>
        <w:t>2.下列文件均为本合同的组成部分：</w:t>
      </w:r>
    </w:p>
    <w:p>
      <w:pPr>
        <w:spacing w:line="360" w:lineRule="auto"/>
        <w:ind w:firstLine="424" w:firstLineChars="202"/>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 xml:space="preserve">         </w:t>
      </w:r>
      <w:r>
        <w:rPr>
          <w:rFonts w:ascii="宋体" w:eastAsia="宋体" w:hAnsi="宋体" w:cs="宋体" w:hint="eastAsia"/>
          <w:sz w:val="24"/>
          <w:szCs w:val="24"/>
        </w:rPr>
        <w:t>号招标文件、答疑及补充通知；</w:t>
      </w:r>
    </w:p>
    <w:p>
      <w:pPr>
        <w:spacing w:line="360" w:lineRule="auto"/>
        <w:ind w:firstLine="424" w:firstLineChars="202"/>
        <w:jc w:val="left"/>
        <w:rPr>
          <w:rFonts w:ascii="宋体" w:eastAsia="宋体" w:hAnsi="宋体" w:cs="宋体" w:hint="eastAsia"/>
          <w:sz w:val="24"/>
          <w:szCs w:val="24"/>
        </w:rPr>
      </w:pPr>
      <w:r>
        <w:rPr>
          <w:rFonts w:ascii="宋体" w:eastAsia="宋体" w:hAnsi="宋体" w:cs="宋体" w:hint="eastAsia"/>
          <w:sz w:val="24"/>
          <w:szCs w:val="24"/>
        </w:rPr>
        <w:t>（2）乙方的投标文件；</w:t>
      </w:r>
    </w:p>
    <w:p>
      <w:pPr>
        <w:pStyle w:val="ListParagraph"/>
        <w:numPr>
          <w:ilvl w:val="0"/>
          <w:numId w:val="68"/>
        </w:numPr>
        <w:tabs>
          <w:tab w:val="left" w:pos="425"/>
        </w:tabs>
        <w:autoSpaceDE w:val="0"/>
        <w:autoSpaceDN w:val="0"/>
        <w:adjustRightInd w:val="0"/>
        <w:snapToGrid w:val="0"/>
        <w:spacing w:line="360" w:lineRule="auto"/>
        <w:ind w:left="0" w:firstLine="424" w:firstLineChars="202"/>
        <w:rPr>
          <w:rFonts w:ascii="宋体" w:eastAsia="宋体" w:hAnsi="宋体" w:cs="宋体" w:hint="eastAsia"/>
          <w:sz w:val="24"/>
          <w:szCs w:val="24"/>
        </w:rPr>
      </w:pPr>
      <w:r>
        <w:rPr>
          <w:rFonts w:ascii="宋体" w:eastAsia="宋体" w:hAnsi="宋体" w:cs="宋体" w:hint="eastAsia"/>
          <w:sz w:val="24"/>
          <w:szCs w:val="24"/>
        </w:rPr>
        <w:t>本合同执行中甲乙双方共同签署的补充与修正文件。</w:t>
      </w:r>
    </w:p>
    <w:p>
      <w:pPr>
        <w:tabs>
          <w:tab w:val="left" w:pos="425"/>
        </w:tabs>
        <w:autoSpaceDE w:val="0"/>
        <w:autoSpaceDN w:val="0"/>
        <w:adjustRightInd w:val="0"/>
        <w:snapToGrid w:val="0"/>
        <w:spacing w:line="360" w:lineRule="auto"/>
        <w:ind w:firstLine="424" w:firstLineChars="202"/>
        <w:rPr>
          <w:rFonts w:ascii="宋体" w:eastAsia="宋体" w:hAnsi="宋体" w:cs="宋体" w:hint="eastAsia"/>
          <w:sz w:val="24"/>
          <w:szCs w:val="24"/>
        </w:rPr>
      </w:pPr>
      <w:r>
        <w:rPr>
          <w:rFonts w:ascii="宋体" w:eastAsia="宋体" w:hAnsi="宋体" w:cs="宋体" w:hint="eastAsia"/>
          <w:sz w:val="24"/>
          <w:szCs w:val="24"/>
        </w:rPr>
        <w:t>3. 合同自甲乙双方法定代表人或其授权代表签字、盖章</w:t>
      </w:r>
      <w:r>
        <w:rPr>
          <w:rFonts w:ascii="宋体" w:eastAsia="宋体" w:hAnsi="宋体" w:cs="宋体" w:hint="eastAsia"/>
          <w:color w:val="000000"/>
          <w:sz w:val="24"/>
          <w:szCs w:val="24"/>
        </w:rPr>
        <w:t>后</w:t>
      </w:r>
      <w:r>
        <w:rPr>
          <w:rFonts w:ascii="宋体" w:eastAsia="宋体" w:hAnsi="宋体" w:cs="宋体" w:hint="eastAsia"/>
          <w:sz w:val="24"/>
          <w:szCs w:val="24"/>
        </w:rPr>
        <w:t>生效。</w:t>
      </w:r>
    </w:p>
    <w:p>
      <w:pPr>
        <w:tabs>
          <w:tab w:val="left" w:pos="425"/>
        </w:tabs>
        <w:autoSpaceDE w:val="0"/>
        <w:autoSpaceDN w:val="0"/>
        <w:adjustRightInd w:val="0"/>
        <w:snapToGrid w:val="0"/>
        <w:spacing w:line="48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4. 合同壹式肆份，其中甲乙双方各执贰份，具有同等法律效力。 </w:t>
      </w:r>
    </w:p>
    <w:p>
      <w:pPr>
        <w:autoSpaceDE w:val="0"/>
        <w:autoSpaceDN w:val="0"/>
        <w:adjustRightInd w:val="0"/>
        <w:snapToGrid w:val="0"/>
        <w:spacing w:line="480" w:lineRule="auto"/>
        <w:ind w:left="567"/>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甲方（盖章）：清华大学深圳国际研究生院    乙方（盖章）：</w:t>
      </w: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 xml:space="preserve">代表：                                   代表： </w:t>
      </w: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 xml:space="preserve">签订日期：         年     月    日        签订日期：              年     月     日    </w:t>
      </w:r>
    </w:p>
    <w:p>
      <w:pPr>
        <w:snapToGrid w:val="0"/>
        <w:spacing w:line="480" w:lineRule="auto"/>
        <w:ind w:firstLine="4410" w:firstLineChars="2100"/>
        <w:rPr>
          <w:rFonts w:ascii="宋体" w:eastAsia="宋体" w:hAnsi="宋体" w:cs="宋体" w:hint="eastAsia"/>
          <w:sz w:val="24"/>
          <w:szCs w:val="24"/>
        </w:rPr>
      </w:pPr>
      <w:r>
        <w:rPr>
          <w:rFonts w:ascii="宋体" w:eastAsia="宋体" w:hAnsi="宋体" w:cs="宋体" w:hint="eastAsia"/>
          <w:sz w:val="24"/>
          <w:szCs w:val="24"/>
        </w:rPr>
        <w:t xml:space="preserve">开户名称： </w:t>
      </w:r>
    </w:p>
    <w:p>
      <w:pPr>
        <w:snapToGrid w:val="0"/>
        <w:spacing w:line="480" w:lineRule="auto"/>
        <w:ind w:firstLine="4410" w:firstLineChars="2100"/>
        <w:rPr>
          <w:rFonts w:ascii="宋体" w:eastAsia="宋体" w:hAnsi="宋体" w:cs="宋体" w:hint="eastAsia"/>
          <w:sz w:val="24"/>
          <w:szCs w:val="24"/>
        </w:rPr>
      </w:pPr>
      <w:r>
        <w:rPr>
          <w:rFonts w:ascii="宋体" w:eastAsia="宋体" w:hAnsi="宋体" w:cs="宋体" w:hint="eastAsia"/>
          <w:sz w:val="24"/>
          <w:szCs w:val="24"/>
        </w:rPr>
        <w:t>银行账号：</w:t>
      </w:r>
    </w:p>
    <w:p>
      <w:pPr>
        <w:snapToGrid w:val="0"/>
        <w:spacing w:line="480" w:lineRule="auto"/>
        <w:ind w:firstLine="4410" w:firstLineChars="2100"/>
        <w:rPr>
          <w:rFonts w:ascii="宋体" w:eastAsia="宋体" w:hAnsi="宋体" w:cs="宋体" w:hint="eastAsia"/>
          <w:sz w:val="24"/>
          <w:szCs w:val="24"/>
        </w:rPr>
      </w:pPr>
      <w:r>
        <w:rPr>
          <w:rFonts w:ascii="宋体" w:eastAsia="宋体" w:hAnsi="宋体" w:cs="宋体" w:hint="eastAsia"/>
          <w:sz w:val="24"/>
          <w:szCs w:val="24"/>
        </w:rPr>
        <w:t>开户行号：</w:t>
      </w: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附件1：配置清单</w:t>
      </w: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附件2：售后服务</w:t>
      </w:r>
    </w:p>
    <w:p>
      <w:pPr>
        <w:rPr>
          <w:rFonts w:ascii="宋体" w:eastAsia="宋体" w:hAnsi="宋体" w:cs="宋体" w:hint="eastAsia"/>
          <w:b/>
          <w:bCs/>
          <w:sz w:val="24"/>
          <w:szCs w:val="24"/>
        </w:rPr>
      </w:pPr>
      <w:r>
        <w:rPr>
          <w:rFonts w:ascii="宋体" w:eastAsia="宋体" w:hAnsi="宋体" w:cs="宋体" w:hint="eastAsia"/>
          <w:b/>
          <w:bCs/>
          <w:sz w:val="24"/>
          <w:szCs w:val="24"/>
        </w:rPr>
        <w:br w:type="page"/>
      </w:r>
    </w:p>
    <w:p>
      <w:pPr>
        <w:spacing w:before="156" w:beforeLines="50" w:after="156" w:afterLines="50" w:line="360" w:lineRule="auto"/>
        <w:jc w:val="center"/>
        <w:outlineLvl w:val="0"/>
        <w:rPr>
          <w:b/>
          <w:bCs/>
          <w:sz w:val="32"/>
          <w:szCs w:val="32"/>
        </w:rPr>
      </w:pPr>
      <w:bookmarkStart w:id="159" w:name="_Toc18172"/>
      <w:bookmarkStart w:id="160" w:name="_Toc256000028"/>
      <w:r>
        <w:rPr>
          <w:rFonts w:hint="eastAsia"/>
          <w:b/>
          <w:bCs/>
          <w:sz w:val="32"/>
          <w:szCs w:val="32"/>
        </w:rPr>
        <w:t>第六章 投标文件格式</w:t>
      </w:r>
      <w:bookmarkEnd w:id="160"/>
      <w:bookmarkEnd w:id="140"/>
      <w:bookmarkEnd w:id="141"/>
      <w:bookmarkEnd w:id="142"/>
      <w:bookmarkEnd w:id="159"/>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69"/>
        </w:numPr>
        <w:spacing w:line="240" w:lineRule="auto"/>
        <w:jc w:val="center"/>
      </w:pPr>
      <w:bookmarkStart w:id="161" w:name="_Toc6736"/>
      <w:bookmarkStart w:id="162" w:name="_Toc9301"/>
      <w:bookmarkStart w:id="163" w:name="_Toc435514852"/>
      <w:bookmarkStart w:id="164" w:name="_Toc30664868"/>
      <w:bookmarkStart w:id="165" w:name="_Toc8947"/>
      <w:bookmarkStart w:id="166" w:name="_Toc435515292"/>
      <w:bookmarkStart w:id="167" w:name="_Toc256000029"/>
      <w:r>
        <w:rPr>
          <w:rFonts w:hint="eastAsia"/>
        </w:rPr>
        <w:t>投标文件封面参考</w:t>
      </w:r>
      <w:bookmarkEnd w:id="167"/>
      <w:bookmarkEnd w:id="161"/>
      <w:bookmarkEnd w:id="162"/>
      <w:bookmarkEnd w:id="163"/>
      <w:bookmarkEnd w:id="164"/>
      <w:bookmarkEnd w:id="165"/>
      <w:bookmarkEnd w:id="166"/>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sz w:val="28"/>
                <w:szCs w:val="28"/>
                <w:lang w:eastAsia="zh-CN"/>
              </w:rPr>
            </w:pPr>
            <w:r>
              <w:rPr>
                <w:rFonts w:ascii="仿宋_GB2312" w:eastAsia="仿宋_GB2312" w:hint="eastAsia"/>
                <w:b/>
                <w:sz w:val="28"/>
                <w:szCs w:val="28"/>
              </w:rPr>
              <w:t>项目编号：</w:t>
            </w:r>
            <w:r>
              <w:rPr>
                <w:rFonts w:ascii="仿宋_GB2312" w:eastAsia="仿宋_GB2312" w:hint="eastAsia"/>
                <w:b/>
                <w:sz w:val="28"/>
                <w:szCs w:val="28"/>
                <w:lang w:eastAsia="zh-CN"/>
              </w:rPr>
              <w:t>SZDL2023001815（CLF0123SZ12ZC63）</w:t>
            </w:r>
          </w:p>
          <w:p>
            <w:pPr>
              <w:pStyle w:val="BodyText"/>
              <w:spacing w:line="400" w:lineRule="exact"/>
              <w:ind w:firstLine="672" w:firstLineChars="320"/>
              <w:rPr>
                <w:rFonts w:ascii="仿宋_GB2312" w:eastAsia="仿宋_GB2312" w:hint="eastAsia"/>
                <w:b/>
                <w:bCs/>
                <w:sz w:val="28"/>
                <w:szCs w:val="28"/>
                <w:lang w:eastAsia="zh-CN"/>
              </w:rPr>
            </w:pPr>
            <w:r>
              <w:rPr>
                <w:rFonts w:ascii="仿宋_GB2312" w:eastAsia="仿宋_GB2312" w:hint="eastAsia"/>
                <w:b/>
                <w:sz w:val="28"/>
                <w:szCs w:val="28"/>
              </w:rPr>
              <w:t>项目名称：</w:t>
            </w:r>
            <w:r>
              <w:rPr>
                <w:rFonts w:ascii="仿宋_GB2312" w:eastAsia="仿宋_GB2312" w:hint="eastAsia"/>
                <w:b/>
                <w:sz w:val="28"/>
                <w:szCs w:val="28"/>
                <w:lang w:eastAsia="zh-CN"/>
              </w:rPr>
              <w:t>功能材料与器件-磁控溅射仪</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9"/>
        </w:numPr>
        <w:spacing w:line="240" w:lineRule="auto"/>
        <w:jc w:val="center"/>
        <w:rPr>
          <w:b w:val="0"/>
        </w:rPr>
      </w:pPr>
      <w:bookmarkStart w:id="168" w:name="_Toc31717"/>
      <w:bookmarkStart w:id="169" w:name="_Toc12713"/>
      <w:bookmarkStart w:id="170" w:name="_Toc30664869"/>
      <w:bookmarkStart w:id="171" w:name="_Toc27350"/>
      <w:bookmarkStart w:id="172" w:name="_Toc435514865"/>
      <w:bookmarkStart w:id="173" w:name="_Toc435515305"/>
      <w:bookmarkStart w:id="174" w:name="_Toc256000030"/>
      <w:r>
        <w:rPr>
          <w:rFonts w:hint="eastAsia"/>
          <w:b w:val="0"/>
        </w:rPr>
        <w:t>营业执照等资质证明文件</w:t>
      </w:r>
      <w:bookmarkEnd w:id="174"/>
      <w:bookmarkEnd w:id="168"/>
      <w:bookmarkEnd w:id="169"/>
      <w:bookmarkEnd w:id="170"/>
      <w:bookmarkEnd w:id="171"/>
    </w:p>
    <w:p>
      <w:bookmarkStart w:id="175" w:name="_Toc6452"/>
      <w:bookmarkStart w:id="176" w:name="_Toc30664870"/>
      <w:r>
        <w:rPr>
          <w:rFonts w:hint="eastAsia"/>
        </w:rPr>
        <w:br w:type="page"/>
      </w:r>
    </w:p>
    <w:p>
      <w:pPr>
        <w:pStyle w:val="Heading2"/>
        <w:numPr>
          <w:ilvl w:val="0"/>
          <w:numId w:val="69"/>
        </w:numPr>
        <w:spacing w:line="240" w:lineRule="auto"/>
        <w:jc w:val="center"/>
        <w:rPr>
          <w:b w:val="0"/>
        </w:rPr>
      </w:pPr>
      <w:bookmarkEnd w:id="172"/>
      <w:bookmarkEnd w:id="173"/>
      <w:bookmarkEnd w:id="175"/>
      <w:bookmarkEnd w:id="176"/>
      <w:bookmarkStart w:id="177" w:name="_Toc435515306"/>
      <w:bookmarkStart w:id="178" w:name="_Toc275865611"/>
      <w:bookmarkStart w:id="179" w:name="_Toc192662843"/>
      <w:bookmarkStart w:id="180" w:name="_Toc708"/>
      <w:bookmarkStart w:id="181" w:name="_Toc8625"/>
      <w:bookmarkStart w:id="182" w:name="_Toc435514866"/>
      <w:bookmarkStart w:id="183" w:name="_Toc30664871"/>
      <w:bookmarkStart w:id="184" w:name="_Toc14521"/>
      <w:bookmarkStart w:id="185" w:name="_Toc5066"/>
      <w:bookmarkStart w:id="186" w:name="_Toc30664872"/>
      <w:bookmarkStart w:id="187" w:name="_Toc435515294"/>
      <w:bookmarkStart w:id="188" w:name="_Toc435514854"/>
      <w:bookmarkStart w:id="189" w:name="_Toc275865605"/>
      <w:bookmarkStart w:id="190" w:name="_Toc256000031"/>
      <w:r>
        <w:rPr>
          <w:rFonts w:hint="eastAsia"/>
          <w:b w:val="0"/>
        </w:rPr>
        <w:t>投标分项报价表</w:t>
      </w:r>
      <w:bookmarkEnd w:id="190"/>
      <w:bookmarkEnd w:id="177"/>
      <w:bookmarkEnd w:id="178"/>
      <w:bookmarkEnd w:id="179"/>
      <w:bookmarkEnd w:id="180"/>
      <w:bookmarkEnd w:id="181"/>
      <w:bookmarkEnd w:id="182"/>
      <w:bookmarkEnd w:id="183"/>
      <w:bookmarkEnd w:id="184"/>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SZDL2023001815（CLF0123SZ12ZC63）</w:t>
      </w:r>
      <w:r>
        <w:rPr>
          <w:rFonts w:ascii="ˎ̥" w:hAnsi="ˎ̥" w:cs="宋体"/>
          <w:kern w:val="0"/>
          <w:sz w:val="24"/>
        </w:rPr>
        <w:t> </w:t>
      </w:r>
    </w:p>
    <w:tbl>
      <w:tblPr>
        <w:tblStyle w:val="TableNorm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554"/>
        <w:gridCol w:w="1696"/>
        <w:gridCol w:w="865"/>
        <w:gridCol w:w="970"/>
        <w:gridCol w:w="1626"/>
        <w:gridCol w:w="1789"/>
        <w:gridCol w:w="681"/>
        <w:gridCol w:w="660"/>
        <w:gridCol w:w="555"/>
      </w:tblGrid>
      <w:tr>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Ex>
        <w:trPr>
          <w:trHeight w:val="756"/>
          <w:jc w:val="center"/>
        </w:trPr>
        <w:tc>
          <w:tcPr>
            <w:tcW w:w="0" w:type="auto"/>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169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865"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97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62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789"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p>
            <w:pPr>
              <w:widowControl/>
              <w:adjustRightInd w:val="0"/>
              <w:snapToGrid w:val="0"/>
              <w:jc w:val="center"/>
              <w:rPr>
                <w:rFonts w:ascii="宋体" w:hAnsi="宋体"/>
                <w:sz w:val="24"/>
              </w:rPr>
            </w:pPr>
            <w:r>
              <w:rPr>
                <w:rFonts w:ascii="宋体" w:hAnsi="宋体" w:cs="宋体" w:hint="eastAsia"/>
                <w:bCs/>
                <w:sz w:val="24"/>
              </w:rPr>
              <w:t>（本项目采购本国产品/服务</w:t>
            </w:r>
            <w:r>
              <w:rPr>
                <w:rFonts w:ascii="宋体" w:hint="eastAsia"/>
                <w:bCs/>
                <w:sz w:val="24"/>
              </w:rPr>
              <w:t>(不允许进口产品/服务参加)</w:t>
            </w:r>
            <w:r>
              <w:rPr>
                <w:rFonts w:ascii="宋体" w:hAnsi="宋体" w:cs="宋体" w:hint="eastAsia"/>
                <w:bCs/>
                <w:sz w:val="24"/>
              </w:rPr>
              <w:t>）</w:t>
            </w:r>
          </w:p>
        </w:tc>
        <w:tc>
          <w:tcPr>
            <w:tcW w:w="681"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6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0" w:type="auto"/>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ascii="宋体" w:hAnsi="宋体"/>
                <w:sz w:val="24"/>
              </w:rPr>
            </w:pPr>
            <w:r>
              <w:rPr>
                <w:rFonts w:ascii="宋体" w:hAnsi="宋体" w:hint="eastAsia"/>
                <w:sz w:val="24"/>
              </w:rPr>
              <w:t>1</w:t>
            </w:r>
          </w:p>
        </w:tc>
        <w:tc>
          <w:tcPr>
            <w:tcW w:w="1696" w:type="dxa"/>
            <w:vAlign w:val="center"/>
          </w:tcPr>
          <w:p>
            <w:pPr>
              <w:jc w:val="center"/>
              <w:rPr>
                <w:rFonts w:eastAsia="宋体" w:hint="eastAsia"/>
                <w:sz w:val="24"/>
                <w:lang w:eastAsia="zh-CN"/>
              </w:rPr>
            </w:pPr>
            <w:r>
              <w:rPr>
                <w:rFonts w:ascii="宋体" w:hAnsi="宋体" w:cs="宋体" w:hint="eastAsia"/>
                <w:color w:val="000000"/>
                <w:position w:val="-20"/>
                <w:sz w:val="24"/>
                <w:highlight w:val="none"/>
                <w:lang w:val="en-US" w:eastAsia="zh-CN"/>
              </w:rPr>
              <w:t>主机：（包含溅射腔室、溅射腔室真空系统、靶枪及电源、工艺气体、进样腔室、进样腔室真空系统、进样室传样及储存系统、辅助系统</w:t>
            </w:r>
            <w:r>
              <w:rPr>
                <w:rFonts w:ascii="宋体" w:hAnsi="宋体" w:cs="宋体" w:hint="eastAsia"/>
                <w:color w:val="000000"/>
                <w:position w:val="-20"/>
                <w:sz w:val="24"/>
                <w:highlight w:val="none"/>
                <w:lang w:eastAsia="zh-CN"/>
              </w:rPr>
              <w:t>）</w:t>
            </w:r>
          </w:p>
        </w:tc>
        <w:tc>
          <w:tcPr>
            <w:tcW w:w="865" w:type="dxa"/>
            <w:vAlign w:val="center"/>
          </w:tcPr>
          <w:p>
            <w:pPr>
              <w:jc w:val="center"/>
              <w:rPr>
                <w:sz w:val="24"/>
              </w:rPr>
            </w:pPr>
          </w:p>
        </w:tc>
        <w:tc>
          <w:tcPr>
            <w:tcW w:w="970" w:type="dxa"/>
            <w:vAlign w:val="center"/>
          </w:tcPr>
          <w:p>
            <w:pPr>
              <w:jc w:val="center"/>
              <w:rPr>
                <w:sz w:val="24"/>
              </w:rPr>
            </w:pPr>
          </w:p>
        </w:tc>
        <w:tc>
          <w:tcPr>
            <w:tcW w:w="1626" w:type="dxa"/>
            <w:vAlign w:val="center"/>
          </w:tcPr>
          <w:p>
            <w:pPr>
              <w:jc w:val="center"/>
              <w:rPr>
                <w:sz w:val="24"/>
              </w:rPr>
            </w:pPr>
          </w:p>
        </w:tc>
        <w:tc>
          <w:tcPr>
            <w:tcW w:w="1789" w:type="dxa"/>
            <w:vAlign w:val="center"/>
          </w:tcPr>
          <w:p>
            <w:pPr>
              <w:jc w:val="center"/>
              <w:rPr>
                <w:sz w:val="24"/>
              </w:rPr>
            </w:pPr>
          </w:p>
        </w:tc>
        <w:tc>
          <w:tcPr>
            <w:tcW w:w="681" w:type="dxa"/>
            <w:vAlign w:val="center"/>
          </w:tcPr>
          <w:p>
            <w:pPr>
              <w:jc w:val="center"/>
              <w:rPr>
                <w:sz w:val="24"/>
              </w:rPr>
            </w:pPr>
            <w:r>
              <w:rPr>
                <w:rFonts w:ascii="宋体" w:hAnsi="宋体" w:cs="宋体" w:hint="eastAsia"/>
                <w:color w:val="000000"/>
                <w:sz w:val="24"/>
                <w:highlight w:val="none"/>
              </w:rPr>
              <w:t>套</w:t>
            </w:r>
          </w:p>
        </w:tc>
        <w:tc>
          <w:tcPr>
            <w:tcW w:w="660" w:type="dxa"/>
            <w:vAlign w:val="center"/>
          </w:tcPr>
          <w:p>
            <w:pPr>
              <w:jc w:val="center"/>
              <w:rPr>
                <w:sz w:val="24"/>
              </w:rPr>
            </w:pPr>
            <w:r>
              <w:rPr>
                <w:rFonts w:ascii="宋体" w:hAnsi="宋体" w:cs="宋体" w:hint="eastAsia"/>
                <w:color w:val="000000"/>
                <w:sz w:val="24"/>
                <w:highlight w:val="none"/>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eastAsia="宋体" w:hint="eastAsia"/>
                <w:sz w:val="24"/>
                <w:lang w:eastAsia="zh-CN"/>
              </w:rPr>
            </w:pPr>
            <w:r>
              <w:rPr>
                <w:rFonts w:hint="eastAsia"/>
                <w:sz w:val="24"/>
                <w:lang w:val="en-US" w:eastAsia="zh-CN"/>
              </w:rPr>
              <w:t>2</w:t>
            </w:r>
          </w:p>
        </w:tc>
        <w:tc>
          <w:tcPr>
            <w:tcW w:w="1696" w:type="dxa"/>
            <w:vAlign w:val="center"/>
          </w:tcPr>
          <w:p>
            <w:pPr>
              <w:jc w:val="center"/>
              <w:rPr>
                <w:sz w:val="24"/>
              </w:rPr>
            </w:pPr>
            <w:r>
              <w:rPr>
                <w:rFonts w:ascii="宋体" w:hAnsi="宋体" w:cs="宋体" w:hint="eastAsia"/>
                <w:color w:val="000000"/>
                <w:position w:val="-20"/>
                <w:sz w:val="24"/>
                <w:highlight w:val="none"/>
              </w:rPr>
              <w:t>高温样品台</w:t>
            </w:r>
          </w:p>
        </w:tc>
        <w:tc>
          <w:tcPr>
            <w:tcW w:w="865" w:type="dxa"/>
            <w:vAlign w:val="center"/>
          </w:tcPr>
          <w:p>
            <w:pPr>
              <w:jc w:val="center"/>
              <w:rPr>
                <w:sz w:val="24"/>
              </w:rPr>
            </w:pPr>
          </w:p>
        </w:tc>
        <w:tc>
          <w:tcPr>
            <w:tcW w:w="970" w:type="dxa"/>
            <w:vAlign w:val="center"/>
          </w:tcPr>
          <w:p>
            <w:pPr>
              <w:jc w:val="center"/>
              <w:rPr>
                <w:sz w:val="24"/>
              </w:rPr>
            </w:pPr>
          </w:p>
        </w:tc>
        <w:tc>
          <w:tcPr>
            <w:tcW w:w="1626" w:type="dxa"/>
            <w:vAlign w:val="center"/>
          </w:tcPr>
          <w:p>
            <w:pPr>
              <w:jc w:val="center"/>
              <w:rPr>
                <w:sz w:val="24"/>
              </w:rPr>
            </w:pPr>
          </w:p>
        </w:tc>
        <w:tc>
          <w:tcPr>
            <w:tcW w:w="1789" w:type="dxa"/>
            <w:vAlign w:val="center"/>
          </w:tcPr>
          <w:p>
            <w:pPr>
              <w:jc w:val="center"/>
              <w:rPr>
                <w:sz w:val="24"/>
              </w:rPr>
            </w:pPr>
          </w:p>
        </w:tc>
        <w:tc>
          <w:tcPr>
            <w:tcW w:w="681" w:type="dxa"/>
            <w:vAlign w:val="center"/>
          </w:tcPr>
          <w:p>
            <w:pPr>
              <w:jc w:val="center"/>
              <w:rPr>
                <w:sz w:val="24"/>
              </w:rPr>
            </w:pPr>
            <w:r>
              <w:rPr>
                <w:rFonts w:ascii="宋体" w:hAnsi="宋体" w:cs="宋体" w:hint="eastAsia"/>
                <w:color w:val="000000"/>
                <w:sz w:val="24"/>
                <w:highlight w:val="none"/>
              </w:rPr>
              <w:t>套</w:t>
            </w:r>
          </w:p>
        </w:tc>
        <w:tc>
          <w:tcPr>
            <w:tcW w:w="660" w:type="dxa"/>
            <w:vAlign w:val="center"/>
          </w:tcPr>
          <w:p>
            <w:pPr>
              <w:jc w:val="center"/>
              <w:rPr>
                <w:sz w:val="24"/>
              </w:rPr>
            </w:pPr>
            <w:r>
              <w:rPr>
                <w:rFonts w:ascii="宋体" w:hAnsi="宋体" w:cs="宋体" w:hint="eastAsia"/>
                <w:color w:val="000000"/>
                <w:sz w:val="24"/>
                <w:highlight w:val="none"/>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ascii="宋体" w:hAnsi="宋体"/>
                <w:sz w:val="24"/>
              </w:rPr>
            </w:pPr>
            <w:r>
              <w:rPr>
                <w:rFonts w:ascii="宋体" w:hAnsi="宋体" w:hint="eastAsia"/>
                <w:sz w:val="24"/>
              </w:rPr>
              <w:t>总计</w:t>
            </w:r>
          </w:p>
        </w:tc>
        <w:tc>
          <w:tcPr>
            <w:tcW w:w="0" w:type="auto"/>
            <w:gridSpan w:val="8"/>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color w:val="000000"/>
          <w:sz w:val="24"/>
        </w:rPr>
      </w:pPr>
    </w:p>
    <w:p>
      <w:pPr>
        <w:tabs>
          <w:tab w:val="left" w:pos="567"/>
        </w:tabs>
        <w:snapToGrid w:val="0"/>
        <w:spacing w:line="360" w:lineRule="auto"/>
        <w:rPr>
          <w:rFonts w:ascii="宋体" w:hAnsi="宋体"/>
          <w:sz w:val="24"/>
        </w:rPr>
      </w:pPr>
      <w:r>
        <w:rPr>
          <w:rFonts w:ascii="宋体" w:hAnsi="宋体" w:hint="eastAsia"/>
          <w:color w:val="000000"/>
          <w:sz w:val="24"/>
        </w:rPr>
        <w:t>注：</w:t>
      </w:r>
    </w:p>
    <w:p>
      <w:pPr>
        <w:numPr>
          <w:ilvl w:val="1"/>
          <w:numId w:val="70"/>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70"/>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70"/>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70"/>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191" w:name="_Toc435514875"/>
      <w:bookmarkStart w:id="192" w:name="_Toc435515315"/>
      <w:r>
        <w:rPr>
          <w:rFonts w:hint="eastAsia"/>
          <w:sz w:val="24"/>
        </w:rPr>
        <w:br w:type="page"/>
      </w:r>
    </w:p>
    <w:p>
      <w:pPr>
        <w:pStyle w:val="Heading2"/>
        <w:numPr>
          <w:ilvl w:val="0"/>
          <w:numId w:val="69"/>
        </w:numPr>
        <w:spacing w:line="240" w:lineRule="auto"/>
        <w:jc w:val="center"/>
        <w:rPr>
          <w:rFonts w:ascii="黑体" w:hAnsi="黑体"/>
        </w:rPr>
      </w:pPr>
      <w:bookmarkEnd w:id="191"/>
      <w:bookmarkEnd w:id="192"/>
      <w:bookmarkStart w:id="193" w:name="_Toc11275"/>
      <w:bookmarkStart w:id="194" w:name="_Toc22037"/>
      <w:bookmarkStart w:id="195" w:name="_Toc256000032"/>
      <w:r>
        <w:rPr>
          <w:rFonts w:ascii="黑体" w:hAnsi="黑体" w:hint="eastAsia"/>
        </w:rPr>
        <w:t>中小企业声明函（如有）</w:t>
      </w:r>
      <w:bookmarkEnd w:id="195"/>
      <w:bookmarkEnd w:id="185"/>
      <w:bookmarkEnd w:id="186"/>
      <w:bookmarkEnd w:id="193"/>
      <w:bookmarkEnd w:id="194"/>
    </w:p>
    <w:p>
      <w:pPr>
        <w:snapToGrid w:val="0"/>
        <w:spacing w:line="360" w:lineRule="auto"/>
        <w:jc w:val="center"/>
        <w:rPr>
          <w:rFonts w:ascii="宋体" w:hAnsi="宋体"/>
          <w:sz w:val="24"/>
        </w:rPr>
      </w:pPr>
      <w:bookmarkStart w:id="196" w:name="_Toc269"/>
      <w:bookmarkStart w:id="197" w:name="_Toc30664873"/>
      <w:bookmarkStart w:id="198" w:name="OLE_LINK13"/>
      <w:bookmarkStart w:id="199" w:name="OLE_LINK14"/>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lang w:eastAsia="zh-CN"/>
        </w:rPr>
        <w:t>功能材料与器件-磁控溅射仪</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widowControl/>
        <w:jc w:val="left"/>
        <w:rPr>
          <w:b/>
          <w:bCs/>
          <w:u w:val="double"/>
        </w:rPr>
      </w:pPr>
    </w:p>
    <w:p>
      <w:pPr>
        <w:snapToGrid w:val="0"/>
        <w:spacing w:line="360" w:lineRule="auto"/>
        <w:rPr>
          <w:rFonts w:ascii="宋体" w:hAnsi="宋体"/>
          <w:sz w:val="24"/>
        </w:rPr>
      </w:pPr>
      <w:r>
        <w:rPr>
          <w:rFonts w:ascii="黑体" w:hAnsi="黑体"/>
        </w:rPr>
        <w:br w:type="page"/>
      </w:r>
    </w:p>
    <w:p>
      <w:pPr>
        <w:pStyle w:val="Heading2"/>
        <w:numPr>
          <w:ilvl w:val="0"/>
          <w:numId w:val="69"/>
        </w:numPr>
        <w:spacing w:line="240" w:lineRule="auto"/>
        <w:jc w:val="center"/>
        <w:rPr>
          <w:rFonts w:ascii="黑体" w:hAnsi="黑体"/>
        </w:rPr>
      </w:pPr>
      <w:bookmarkStart w:id="200" w:name="_Toc26446"/>
      <w:bookmarkStart w:id="201" w:name="_Toc18349"/>
      <w:bookmarkStart w:id="202" w:name="_Toc256000033"/>
      <w:r>
        <w:rPr>
          <w:rFonts w:ascii="黑体" w:hAnsi="黑体" w:hint="eastAsia"/>
        </w:rPr>
        <w:t>残疾人福利性单位声明函（如有）</w:t>
      </w:r>
      <w:bookmarkEnd w:id="202"/>
      <w:bookmarkEnd w:id="196"/>
      <w:bookmarkEnd w:id="197"/>
      <w:bookmarkEnd w:id="200"/>
      <w:bookmarkEnd w:id="201"/>
    </w:p>
    <w:p>
      <w:pPr>
        <w:spacing w:line="360" w:lineRule="auto"/>
        <w:ind w:firstLine="420" w:firstLineChars="200"/>
        <w:rPr>
          <w:rFonts w:ascii="宋体" w:hAnsi="宋体"/>
          <w:sz w:val="24"/>
        </w:rPr>
      </w:pPr>
      <w:bookmarkEnd w:id="198"/>
      <w:bookmarkEnd w:id="199"/>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9"/>
        </w:numPr>
        <w:spacing w:line="240" w:lineRule="auto"/>
        <w:jc w:val="center"/>
        <w:rPr>
          <w:rFonts w:ascii="黑体" w:hAnsi="黑体"/>
        </w:rPr>
      </w:pPr>
      <w:bookmarkStart w:id="203" w:name="_Toc13545"/>
      <w:bookmarkStart w:id="204" w:name="_Toc11883"/>
      <w:bookmarkStart w:id="205" w:name="_Toc31731"/>
      <w:bookmarkStart w:id="206" w:name="_Toc30664874"/>
      <w:bookmarkStart w:id="207" w:name="_Toc256000034"/>
      <w:r>
        <w:rPr>
          <w:rFonts w:ascii="黑体" w:hAnsi="黑体" w:hint="eastAsia"/>
        </w:rPr>
        <w:t>监狱企业的证明文件（如有）</w:t>
      </w:r>
      <w:bookmarkEnd w:id="207"/>
      <w:bookmarkEnd w:id="203"/>
      <w:bookmarkEnd w:id="204"/>
      <w:bookmarkEnd w:id="205"/>
      <w:bookmarkEnd w:id="206"/>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9"/>
        </w:numPr>
        <w:spacing w:line="240" w:lineRule="auto"/>
        <w:jc w:val="center"/>
        <w:rPr>
          <w:rFonts w:ascii="黑体" w:hAnsi="黑体"/>
        </w:rPr>
      </w:pPr>
      <w:bookmarkStart w:id="208" w:name="_Toc30664875"/>
      <w:bookmarkStart w:id="209" w:name="_Toc20531"/>
      <w:bookmarkStart w:id="210" w:name="_Toc6176"/>
      <w:bookmarkStart w:id="211" w:name="_Toc20659"/>
      <w:bookmarkStart w:id="212" w:name="_Toc256000035"/>
      <w:r>
        <w:rPr>
          <w:rFonts w:ascii="黑体" w:hAnsi="黑体" w:hint="eastAsia"/>
        </w:rPr>
        <w:t>政策功能情况（如有）</w:t>
      </w:r>
      <w:bookmarkEnd w:id="212"/>
      <w:bookmarkEnd w:id="208"/>
      <w:bookmarkEnd w:id="209"/>
      <w:bookmarkEnd w:id="210"/>
      <w:bookmarkEnd w:id="211"/>
    </w:p>
    <w:p>
      <w:pPr>
        <w:tabs>
          <w:tab w:val="left" w:pos="7740"/>
        </w:tabs>
        <w:adjustRightInd w:val="0"/>
        <w:snapToGrid w:val="0"/>
        <w:spacing w:line="360" w:lineRule="auto"/>
        <w:jc w:val="center"/>
        <w:rPr>
          <w:rFonts w:ascii="宋体" w:hAnsi="宋体"/>
          <w:b/>
          <w:i/>
          <w:sz w:val="24"/>
        </w:rPr>
      </w:pPr>
    </w:p>
    <w:p>
      <w:pPr>
        <w:tabs>
          <w:tab w:val="left" w:pos="7740"/>
        </w:tabs>
        <w:snapToGrid w:val="0"/>
        <w:spacing w:line="360" w:lineRule="auto"/>
        <w:rPr>
          <w:rFonts w:ascii="宋体" w:eastAsia="宋体" w:hAnsi="宋体" w:hint="eastAsia"/>
          <w:bCs/>
          <w:color w:val="FF0000"/>
          <w:sz w:val="24"/>
          <w:lang w:val="en-GB" w:eastAsia="zh-CN"/>
        </w:rPr>
      </w:pPr>
      <w:r>
        <w:rPr>
          <w:rFonts w:ascii="宋体" w:hAnsi="宋体" w:hint="eastAsia"/>
          <w:sz w:val="24"/>
        </w:rPr>
        <w:t>项目名称：</w:t>
      </w:r>
      <w:r>
        <w:rPr>
          <w:rFonts w:ascii="宋体" w:hAnsi="宋体" w:hint="eastAsia"/>
          <w:sz w:val="24"/>
          <w:lang w:eastAsia="zh-CN"/>
        </w:rPr>
        <w:t>功能材料与器件-磁控溅射仪</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71"/>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71"/>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87"/>
      <w:bookmarkEnd w:id="188"/>
      <w:bookmarkEnd w:id="189"/>
      <w:bookmarkStart w:id="213" w:name="_Toc24108"/>
      <w:bookmarkStart w:id="214" w:name="_Toc30664876"/>
      <w:bookmarkStart w:id="215" w:name="_Toc275865606"/>
      <w:bookmarkStart w:id="216" w:name="_Toc435515295"/>
      <w:bookmarkStart w:id="217" w:name="_Toc435514855"/>
      <w:r>
        <w:rPr>
          <w:rFonts w:hint="eastAsia"/>
        </w:rPr>
        <w:br w:type="page"/>
      </w:r>
    </w:p>
    <w:p>
      <w:pPr>
        <w:pStyle w:val="Heading2"/>
        <w:numPr>
          <w:ilvl w:val="0"/>
          <w:numId w:val="69"/>
        </w:numPr>
        <w:spacing w:line="240" w:lineRule="auto"/>
        <w:jc w:val="center"/>
        <w:rPr>
          <w:bCs w:val="0"/>
        </w:rPr>
      </w:pPr>
      <w:bookmarkStart w:id="218" w:name="_Toc5687"/>
      <w:bookmarkStart w:id="219" w:name="_Toc8191"/>
      <w:bookmarkStart w:id="220" w:name="_Toc256000036"/>
      <w:r>
        <w:rPr>
          <w:rFonts w:hint="eastAsia"/>
          <w:bCs w:val="0"/>
        </w:rPr>
        <w:t>投 标 函</w:t>
      </w:r>
      <w:bookmarkEnd w:id="220"/>
      <w:bookmarkEnd w:id="213"/>
      <w:bookmarkEnd w:id="214"/>
      <w:bookmarkEnd w:id="218"/>
      <w:bookmarkEnd w:id="219"/>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w:t>
      </w:r>
      <w:r>
        <w:rPr>
          <w:rFonts w:ascii="宋体" w:hAnsi="宋体" w:hint="eastAsia"/>
          <w:kern w:val="28"/>
          <w:sz w:val="24"/>
          <w:u w:val="single"/>
          <w:lang w:eastAsia="zh-CN"/>
        </w:rPr>
        <w:t>功能材料与器件-磁控溅射仪</w:t>
      </w:r>
      <w:r>
        <w:rPr>
          <w:rFonts w:ascii="宋体" w:hAnsi="宋体" w:hint="eastAsia"/>
          <w:kern w:val="28"/>
          <w:sz w:val="24"/>
          <w:u w:val="single"/>
        </w:rPr>
        <w:t xml:space="preserve">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SZDL2023001815（CLF0123SZ12ZC63）</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72"/>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9"/>
        </w:numPr>
        <w:spacing w:line="240" w:lineRule="auto"/>
        <w:jc w:val="center"/>
        <w:rPr>
          <w:bCs w:val="0"/>
        </w:rPr>
      </w:pPr>
      <w:bookmarkEnd w:id="215"/>
      <w:bookmarkEnd w:id="216"/>
      <w:bookmarkEnd w:id="217"/>
      <w:bookmarkStart w:id="221" w:name="_Toc18164"/>
      <w:bookmarkStart w:id="222" w:name="_Toc11167"/>
      <w:bookmarkStart w:id="223" w:name="_Toc256000037"/>
      <w:r>
        <w:rPr>
          <w:rFonts w:hint="eastAsia"/>
          <w:bCs w:val="0"/>
        </w:rPr>
        <w:t>政府采购投标及履约承诺函</w:t>
      </w:r>
      <w:bookmarkEnd w:id="223"/>
      <w:bookmarkEnd w:id="221"/>
      <w:bookmarkEnd w:id="222"/>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73"/>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73"/>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73"/>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73"/>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73"/>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73"/>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73"/>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73"/>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73"/>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73"/>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73"/>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73"/>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73"/>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rFonts w:ascii="宋体" w:hAnsi="宋体"/>
          <w:color w:val="FF0000"/>
        </w:rPr>
      </w:pPr>
      <w:r>
        <w:rPr>
          <w:rFonts w:hint="eastAsia"/>
          <w:sz w:val="24"/>
        </w:rPr>
        <w:t xml:space="preserve">                                                </w:t>
      </w:r>
    </w:p>
    <w:p>
      <w:pPr>
        <w:widowControl/>
        <w:jc w:val="left"/>
      </w:pPr>
    </w:p>
    <w:p>
      <w:pPr>
        <w:widowControl/>
        <w:jc w:val="left"/>
      </w:pPr>
      <w:r>
        <w:br w:type="page"/>
      </w:r>
    </w:p>
    <w:p>
      <w:pPr>
        <w:pStyle w:val="Heading2"/>
        <w:numPr>
          <w:ilvl w:val="0"/>
          <w:numId w:val="69"/>
        </w:numPr>
        <w:spacing w:line="240" w:lineRule="auto"/>
        <w:jc w:val="center"/>
        <w:rPr>
          <w:bCs w:val="0"/>
        </w:rPr>
      </w:pPr>
      <w:bookmarkStart w:id="224" w:name="_Toc3346"/>
      <w:bookmarkStart w:id="225" w:name="_Toc2147"/>
      <w:bookmarkStart w:id="226" w:name="_Toc256000038"/>
      <w:r>
        <w:rPr>
          <w:rFonts w:hint="eastAsia"/>
          <w:bCs w:val="0"/>
        </w:rPr>
        <w:t>公章对投标专用章授权说明（如有）</w:t>
      </w:r>
      <w:bookmarkEnd w:id="226"/>
      <w:bookmarkEnd w:id="224"/>
      <w:bookmarkEnd w:id="225"/>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lang w:eastAsia="zh-CN"/>
        </w:rPr>
        <w:t>功能材料与器件-磁控溅射仪</w:t>
      </w:r>
      <w:r>
        <w:rPr>
          <w:rFonts w:ascii="宋体" w:hAnsi="宋体" w:hint="eastAsia"/>
          <w:sz w:val="24"/>
          <w:u w:val="single"/>
        </w:rPr>
        <w:t>（</w:t>
      </w:r>
      <w:r>
        <w:rPr>
          <w:rFonts w:ascii="宋体" w:hAnsi="宋体" w:hint="eastAsia"/>
          <w:sz w:val="24"/>
          <w:u w:val="single"/>
          <w:lang w:eastAsia="zh-CN"/>
        </w:rPr>
        <w:t>SZDL2023001815（CLF0123SZ12ZC63）</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9"/>
        </w:numPr>
        <w:spacing w:line="240" w:lineRule="auto"/>
        <w:jc w:val="center"/>
        <w:rPr>
          <w:bCs w:val="0"/>
        </w:rPr>
      </w:pPr>
      <w:bookmarkStart w:id="227" w:name="_Toc23850"/>
      <w:bookmarkStart w:id="228" w:name="_Toc24864"/>
      <w:bookmarkStart w:id="229" w:name="_Toc256000039"/>
      <w:r>
        <w:rPr>
          <w:rFonts w:hint="eastAsia"/>
          <w:bCs w:val="0"/>
        </w:rPr>
        <w:t>主要股东或出资人信息</w:t>
      </w:r>
      <w:bookmarkEnd w:id="229"/>
      <w:bookmarkEnd w:id="227"/>
      <w:bookmarkEnd w:id="228"/>
    </w:p>
    <w:p>
      <w:pPr>
        <w:tabs>
          <w:tab w:val="left" w:pos="7740"/>
        </w:tabs>
        <w:adjustRightInd w:val="0"/>
        <w:snapToGrid w:val="0"/>
        <w:spacing w:line="360" w:lineRule="auto"/>
        <w:rPr>
          <w:rFonts w:ascii="宋体" w:eastAsia="宋体" w:hAnsi="宋体" w:hint="eastAsia"/>
          <w:sz w:val="24"/>
          <w:lang w:eastAsia="zh-CN"/>
        </w:rPr>
      </w:pPr>
      <w:r>
        <w:rPr>
          <w:rFonts w:ascii="宋体" w:hAnsi="宋体" w:hint="eastAsia"/>
          <w:sz w:val="24"/>
        </w:rPr>
        <w:t>项目名称：</w:t>
      </w:r>
      <w:r>
        <w:rPr>
          <w:rFonts w:ascii="宋体" w:hAnsi="宋体" w:hint="eastAsia"/>
          <w:sz w:val="24"/>
          <w:lang w:eastAsia="zh-CN"/>
        </w:rPr>
        <w:t>功能材料与器件-磁控溅射仪</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4"/>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4"/>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4"/>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pPr>
        <w:adjustRightInd w:val="0"/>
        <w:snapToGrid w:val="0"/>
        <w:spacing w:line="360" w:lineRule="auto"/>
        <w:jc w:val="left"/>
        <w:rPr>
          <w:sz w:val="24"/>
        </w:rPr>
      </w:pPr>
    </w:p>
    <w:p>
      <w:pPr>
        <w:widowControl/>
        <w:jc w:val="left"/>
        <w:rPr>
          <w:rFonts w:ascii="黑体" w:eastAsia="黑体" w:hAnsi="黑体"/>
          <w:sz w:val="24"/>
        </w:rPr>
      </w:pPr>
      <w:r>
        <w:rPr>
          <w:rFonts w:ascii="黑体" w:eastAsia="黑体" w:hAnsi="黑体"/>
          <w:sz w:val="24"/>
        </w:rPr>
        <w:br w:type="page"/>
      </w:r>
    </w:p>
    <w:p>
      <w:pPr>
        <w:pStyle w:val="Heading2"/>
        <w:numPr>
          <w:ilvl w:val="0"/>
          <w:numId w:val="69"/>
        </w:numPr>
        <w:spacing w:line="240" w:lineRule="auto"/>
        <w:jc w:val="center"/>
        <w:rPr>
          <w:rFonts w:ascii="宋体" w:hAnsi="宋体"/>
        </w:rPr>
      </w:pPr>
      <w:bookmarkStart w:id="230" w:name="_Toc17209"/>
      <w:bookmarkStart w:id="231" w:name="_Toc2"/>
      <w:bookmarkStart w:id="232" w:name="_Toc28069"/>
      <w:bookmarkStart w:id="233" w:name="_Toc30664878"/>
      <w:bookmarkStart w:id="234" w:name="_Toc256000040"/>
      <w:r>
        <w:rPr>
          <w:rFonts w:ascii="宋体" w:hAnsi="宋体" w:hint="eastAsia"/>
        </w:rPr>
        <w:t>声明函</w:t>
      </w:r>
      <w:bookmarkEnd w:id="234"/>
      <w:bookmarkEnd w:id="230"/>
      <w:bookmarkEnd w:id="231"/>
      <w:bookmarkEnd w:id="232"/>
      <w:bookmarkEnd w:id="233"/>
    </w:p>
    <w:p>
      <w:pPr>
        <w:ind w:left="2"/>
        <w:jc w:val="center"/>
        <w:rPr>
          <w:rFonts w:ascii="宋体" w:hAnsi="宋体"/>
          <w:b/>
          <w:sz w:val="28"/>
          <w:szCs w:val="28"/>
        </w:rPr>
      </w:pPr>
      <w:r>
        <w:rPr>
          <w:rFonts w:ascii="宋体" w:hAnsi="宋体" w:hint="eastAsia"/>
          <w:b/>
          <w:sz w:val="28"/>
          <w:szCs w:val="28"/>
        </w:rPr>
        <w:t>投标人按招标文件要求提供本国产品/服务书面声明函</w:t>
      </w:r>
    </w:p>
    <w:p>
      <w:pPr>
        <w:spacing w:line="360" w:lineRule="auto"/>
        <w:ind w:firstLine="420" w:firstLineChars="200"/>
        <w:rPr>
          <w:sz w:val="24"/>
        </w:rPr>
      </w:pPr>
      <w:r>
        <w:rPr>
          <w:rFonts w:hint="eastAsia"/>
          <w:sz w:val="24"/>
        </w:rPr>
        <w:t>致：采联国际招标采购集团有限公司</w:t>
      </w:r>
    </w:p>
    <w:p>
      <w:pPr>
        <w:spacing w:line="360" w:lineRule="auto"/>
        <w:ind w:firstLine="420" w:firstLineChars="200"/>
        <w:rPr>
          <w:sz w:val="24"/>
        </w:rPr>
      </w:pPr>
      <w:r>
        <w:rPr>
          <w:rFonts w:hint="eastAsia"/>
          <w:sz w:val="24"/>
        </w:rPr>
        <w:t>在参与</w:t>
      </w:r>
      <w:r>
        <w:rPr>
          <w:rFonts w:hint="eastAsia"/>
          <w:sz w:val="24"/>
          <w:lang w:eastAsia="zh-CN"/>
        </w:rPr>
        <w:t>功能材料与器件-磁控溅射仪</w:t>
      </w:r>
      <w:r>
        <w:rPr>
          <w:rFonts w:hint="eastAsia"/>
          <w:sz w:val="24"/>
        </w:rPr>
        <w:t>（项目编号：</w:t>
      </w:r>
      <w:r>
        <w:rPr>
          <w:rFonts w:hint="eastAsia"/>
          <w:sz w:val="24"/>
          <w:lang w:eastAsia="zh-CN"/>
        </w:rPr>
        <w:t>SZDL2023001815（CLF0123SZ12ZC63）</w:t>
      </w:r>
      <w:r>
        <w:rPr>
          <w:rFonts w:hint="eastAsia"/>
          <w:sz w:val="24"/>
        </w:rPr>
        <w:t>）政府采购活动时，本单位（公司）承诺按招标文件要求提供本国产品/服务。</w:t>
      </w:r>
    </w:p>
    <w:p>
      <w:pPr>
        <w:spacing w:line="360" w:lineRule="auto"/>
        <w:ind w:firstLine="420" w:firstLineChars="200"/>
        <w:rPr>
          <w:sz w:val="24"/>
        </w:rPr>
      </w:pPr>
    </w:p>
    <w:p>
      <w:pPr>
        <w:spacing w:line="360" w:lineRule="auto"/>
        <w:ind w:firstLine="420" w:firstLineChars="200"/>
        <w:rPr>
          <w:sz w:val="24"/>
        </w:rPr>
      </w:pPr>
      <w:r>
        <w:rPr>
          <w:rFonts w:hint="eastAsia"/>
          <w:sz w:val="24"/>
        </w:rPr>
        <w:t>特此声明。</w:t>
      </w:r>
    </w:p>
    <w:p>
      <w:pPr>
        <w:spacing w:line="360" w:lineRule="auto"/>
        <w:ind w:firstLine="3570" w:firstLineChars="1700"/>
        <w:rPr>
          <w:sz w:val="24"/>
        </w:rPr>
      </w:pPr>
      <w:r>
        <w:rPr>
          <w:rFonts w:hint="eastAsia"/>
          <w:sz w:val="24"/>
        </w:rPr>
        <w:t xml:space="preserve">                              </w:t>
      </w:r>
    </w:p>
    <w:p>
      <w:pPr>
        <w:spacing w:line="360" w:lineRule="auto"/>
        <w:ind w:firstLine="4620" w:firstLineChars="2200"/>
        <w:jc w:val="left"/>
        <w:rPr>
          <w:sz w:val="24"/>
        </w:rPr>
      </w:pPr>
      <w:r>
        <w:rPr>
          <w:rFonts w:ascii="宋体" w:hAnsi="宋体" w:hint="eastAsia"/>
          <w:sz w:val="24"/>
        </w:rPr>
        <w:t xml:space="preserve">  </w:t>
      </w:r>
    </w:p>
    <w:p>
      <w:pPr>
        <w:spacing w:line="360" w:lineRule="auto"/>
        <w:ind w:firstLine="420" w:firstLineChars="200"/>
        <w:rPr>
          <w:sz w:val="24"/>
        </w:rPr>
      </w:pPr>
    </w:p>
    <w:p>
      <w:pPr>
        <w:spacing w:line="360" w:lineRule="auto"/>
        <w:ind w:firstLine="420" w:firstLineChars="200"/>
        <w:rPr>
          <w:sz w:val="24"/>
        </w:rPr>
      </w:pPr>
    </w:p>
    <w:p>
      <w:pPr>
        <w:spacing w:line="360" w:lineRule="auto"/>
        <w:ind w:firstLine="420" w:firstLineChars="200"/>
        <w:rPr>
          <w:sz w:val="24"/>
        </w:rPr>
      </w:pPr>
      <w:r>
        <w:rPr>
          <w:rFonts w:hint="eastAsia"/>
          <w:sz w:val="24"/>
        </w:rPr>
        <w:t>备注：投标人必须根据上述声明函格式内容填写，否则作投标无效处理。</w:t>
      </w:r>
    </w:p>
    <w:p>
      <w:pPr>
        <w:widowControl/>
        <w:jc w:val="left"/>
      </w:pPr>
      <w:bookmarkStart w:id="235" w:name="_承诺函"/>
      <w:bookmarkEnd w:id="235"/>
      <w:bookmarkStart w:id="236" w:name="_Toc435515302"/>
      <w:bookmarkStart w:id="237" w:name="_Toc239051894"/>
      <w:bookmarkStart w:id="238" w:name="_Toc170699948"/>
      <w:bookmarkStart w:id="239" w:name="_Toc275865623"/>
      <w:bookmarkStart w:id="240" w:name="_Toc275865609"/>
      <w:bookmarkStart w:id="241" w:name="_Toc87417460"/>
      <w:bookmarkStart w:id="242" w:name="_Toc435514862"/>
      <w:bookmarkStart w:id="243" w:name="_Toc435515301"/>
      <w:bookmarkStart w:id="244" w:name="_Toc52165082"/>
      <w:bookmarkStart w:id="245" w:name="_Toc275865622"/>
      <w:bookmarkStart w:id="246" w:name="_Toc50737330"/>
      <w:bookmarkStart w:id="247" w:name="_Toc50691038"/>
      <w:bookmarkStart w:id="248" w:name="_Toc435514861"/>
      <w:bookmarkStart w:id="249" w:name="_Toc50737298"/>
      <w:bookmarkStart w:id="250" w:name="_Toc50736478"/>
    </w:p>
    <w:p>
      <w:pPr>
        <w:numPr>
          <w:ilvl w:val="0"/>
          <w:numId w:val="75"/>
        </w:numPr>
        <w:spacing w:line="440" w:lineRule="exact"/>
        <w:rPr>
          <w:bCs/>
        </w:rPr>
      </w:pPr>
      <w:r>
        <w:br w:type="page"/>
      </w:r>
    </w:p>
    <w:p>
      <w:pPr>
        <w:pStyle w:val="Heading2"/>
        <w:numPr>
          <w:ilvl w:val="0"/>
          <w:numId w:val="69"/>
        </w:numPr>
        <w:spacing w:line="240" w:lineRule="auto"/>
        <w:jc w:val="center"/>
        <w:rPr>
          <w:b w:val="0"/>
        </w:rPr>
      </w:pP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Start w:id="251" w:name="_Toc5372"/>
      <w:bookmarkStart w:id="252" w:name="_Toc1409"/>
      <w:bookmarkStart w:id="253" w:name="_Toc50703730"/>
      <w:bookmarkStart w:id="254" w:name="_Toc50691037"/>
      <w:bookmarkStart w:id="255" w:name="_Toc43264518"/>
      <w:bookmarkStart w:id="256" w:name="_Toc256000041"/>
      <w:r>
        <w:rPr>
          <w:rFonts w:hint="eastAsia"/>
          <w:b w:val="0"/>
        </w:rPr>
        <w:t>业绩</w:t>
      </w:r>
      <w:bookmarkEnd w:id="256"/>
      <w:bookmarkEnd w:id="251"/>
      <w:bookmarkEnd w:id="252"/>
    </w:p>
    <w:p>
      <w:pPr>
        <w:spacing w:line="440" w:lineRule="exact"/>
        <w:rPr>
          <w:color w:val="FF0000"/>
        </w:rPr>
      </w:pPr>
      <w:r>
        <w:rPr>
          <w:rFonts w:ascii="宋体" w:hAnsi="宋体" w:hint="eastAsia"/>
          <w:sz w:val="24"/>
        </w:rPr>
        <w:t>格式自拟</w:t>
      </w:r>
      <w:bookmarkEnd w:id="253"/>
      <w:bookmarkEnd w:id="254"/>
      <w:bookmarkStart w:id="257" w:name="_Toc435515313"/>
      <w:bookmarkStart w:id="258" w:name="_Toc435514873"/>
    </w:p>
    <w:p>
      <w:pPr>
        <w:pStyle w:val="ListParagraph"/>
        <w:widowControl/>
        <w:numPr>
          <w:ilvl w:val="3"/>
          <w:numId w:val="76"/>
        </w:numPr>
        <w:ind w:left="567" w:firstLine="0" w:firstLineChars="0"/>
        <w:rPr>
          <w:color w:val="FF0000"/>
          <w:sz w:val="24"/>
        </w:rPr>
      </w:pPr>
      <w:r>
        <w:rPr>
          <w:color w:val="FF0000"/>
        </w:rPr>
        <w:br w:type="page"/>
      </w:r>
    </w:p>
    <w:p>
      <w:pPr>
        <w:pStyle w:val="Heading2"/>
        <w:numPr>
          <w:ilvl w:val="0"/>
          <w:numId w:val="69"/>
        </w:numPr>
        <w:spacing w:line="240" w:lineRule="auto"/>
        <w:jc w:val="center"/>
        <w:rPr>
          <w:b w:val="0"/>
        </w:rPr>
      </w:pPr>
      <w:bookmarkEnd w:id="255"/>
      <w:bookmarkEnd w:id="257"/>
      <w:bookmarkEnd w:id="258"/>
      <w:bookmarkStart w:id="259" w:name="_Toc30271"/>
      <w:bookmarkStart w:id="260" w:name="_Toc16144"/>
      <w:bookmarkStart w:id="261" w:name="_Toc31548"/>
      <w:bookmarkStart w:id="262" w:name="_Toc30664891"/>
      <w:bookmarkStart w:id="263" w:name="_Toc256000042"/>
      <w:r>
        <w:rPr>
          <w:rFonts w:hint="eastAsia"/>
          <w:b w:val="0"/>
        </w:rPr>
        <w:t>开票资料说明函</w:t>
      </w:r>
      <w:bookmarkEnd w:id="263"/>
      <w:bookmarkEnd w:id="259"/>
      <w:bookmarkEnd w:id="260"/>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w:t>
      </w:r>
      <w:r>
        <w:rPr>
          <w:rFonts w:ascii="宋体" w:hAnsi="宋体" w:hint="eastAsia"/>
          <w:sz w:val="24"/>
          <w:u w:val="single"/>
          <w:lang w:eastAsia="zh-CN"/>
        </w:rPr>
        <w:t>功能材料与器件-磁控溅射仪</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hint="eastAsia"/>
          <w:sz w:val="24"/>
          <w:lang w:eastAsia="zh-CN"/>
        </w:rPr>
        <w:t>SZDL2023001815（CLF0123SZ12ZC63）</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69"/>
        </w:numPr>
        <w:spacing w:line="240" w:lineRule="auto"/>
        <w:jc w:val="center"/>
        <w:rPr>
          <w:b w:val="0"/>
        </w:rPr>
      </w:pPr>
      <w:bookmarkStart w:id="264" w:name="_Toc26941"/>
      <w:bookmarkStart w:id="265" w:name="_Toc8494"/>
      <w:bookmarkStart w:id="266" w:name="_Toc256000043"/>
      <w:r>
        <w:rPr>
          <w:rFonts w:hint="eastAsia"/>
          <w:b w:val="0"/>
        </w:rPr>
        <w:t>采购代理服务费承诺书</w:t>
      </w:r>
      <w:bookmarkEnd w:id="266"/>
      <w:bookmarkEnd w:id="261"/>
      <w:bookmarkEnd w:id="262"/>
      <w:bookmarkEnd w:id="264"/>
      <w:bookmarkEnd w:id="265"/>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w:t>
      </w:r>
      <w:r>
        <w:rPr>
          <w:rFonts w:ascii="宋体" w:hAnsi="宋体" w:cs="宋体" w:hint="eastAsia"/>
          <w:sz w:val="24"/>
          <w:u w:val="single"/>
          <w:lang w:eastAsia="zh-CN"/>
        </w:rPr>
        <w:t>功能材料与器件-磁控溅射仪</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sz w:val="24"/>
          <w:lang w:eastAsia="zh-CN"/>
        </w:rPr>
        <w:t>SZDL2023001815（CLF0123SZ12ZC63）</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7"/>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7"/>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7"/>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rPr>
          <w:rFonts w:ascii="宋体" w:hAnsi="宋体" w:cs="宋体"/>
          <w:sz w:val="24"/>
        </w:rPr>
      </w:pPr>
    </w:p>
    <w:p>
      <w:pPr>
        <w:spacing w:line="440" w:lineRule="exact"/>
        <w:rPr>
          <w:rFonts w:ascii="宋体" w:hAnsi="宋体" w:cs="宋体"/>
          <w:sz w:val="24"/>
        </w:rPr>
      </w:pPr>
    </w:p>
    <w:p>
      <w:pPr>
        <w:widowControl/>
        <w:jc w:val="left"/>
        <w:rPr>
          <w:rFonts w:ascii="宋体" w:hAnsi="宋体" w:cs="宋体"/>
          <w:bCs/>
          <w:sz w:val="24"/>
        </w:rPr>
      </w:pPr>
      <w:bookmarkStart w:id="267" w:name="_Toc435514878"/>
      <w:bookmarkStart w:id="268" w:name="_Toc173553195"/>
      <w:bookmarkStart w:id="269" w:name="_Toc435515318"/>
      <w:bookmarkStart w:id="270" w:name="_Toc275865626"/>
      <w:r>
        <w:rPr>
          <w:rFonts w:ascii="宋体" w:hAnsi="宋体" w:cs="宋体" w:hint="eastAsia"/>
          <w:b/>
          <w:sz w:val="24"/>
        </w:rPr>
        <w:br w:type="page"/>
      </w:r>
    </w:p>
    <w:p>
      <w:pPr>
        <w:pStyle w:val="Heading2"/>
        <w:numPr>
          <w:ilvl w:val="0"/>
          <w:numId w:val="69"/>
        </w:numPr>
        <w:spacing w:line="240" w:lineRule="auto"/>
        <w:rPr>
          <w:b w:val="0"/>
        </w:rPr>
      </w:pPr>
      <w:bookmarkEnd w:id="267"/>
      <w:bookmarkEnd w:id="268"/>
      <w:bookmarkEnd w:id="269"/>
      <w:bookmarkEnd w:id="270"/>
      <w:bookmarkStart w:id="271" w:name="_Toc24182"/>
      <w:bookmarkStart w:id="272" w:name="_Toc30664894"/>
      <w:bookmarkStart w:id="273" w:name="_Toc9677"/>
      <w:bookmarkStart w:id="274" w:name="_Toc9719"/>
      <w:bookmarkStart w:id="275" w:name="_Toc256000044"/>
      <w:r>
        <w:rPr>
          <w:rFonts w:hint="eastAsia"/>
          <w:b w:val="0"/>
        </w:rPr>
        <w:t>投标人认为需要加以说明的其他内容</w:t>
      </w:r>
      <w:bookmarkEnd w:id="275"/>
      <w:bookmarkEnd w:id="271"/>
      <w:bookmarkEnd w:id="272"/>
      <w:bookmarkEnd w:id="273"/>
      <w:bookmarkEnd w:id="274"/>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76" w:name="_Toc50737329"/>
      <w:bookmarkStart w:id="277" w:name="_Toc50737297"/>
      <w:bookmarkStart w:id="278" w:name="_Toc30664879"/>
      <w:bookmarkStart w:id="279" w:name="_Toc50736477"/>
      <w:bookmarkStart w:id="280" w:name="_Toc52165081"/>
      <w:bookmarkStart w:id="281" w:name="_Toc275865607"/>
      <w:bookmarkStart w:id="282" w:name="_Toc435515299"/>
      <w:bookmarkStart w:id="283" w:name="_Toc24852"/>
      <w:bookmarkStart w:id="284" w:name="_Toc435514859"/>
      <w:bookmarkStart w:id="285" w:name="_Toc50737296"/>
      <w:bookmarkStart w:id="286" w:name="_Toc50737328"/>
      <w:bookmarkStart w:id="287" w:name="_Toc50691034"/>
      <w:bookmarkStart w:id="288" w:name="_Toc50736476"/>
      <w:bookmarkStart w:id="289" w:name="_Toc52165080"/>
      <w:r>
        <w:rPr>
          <w:rFonts w:hint="eastAsia"/>
        </w:rPr>
        <w:br w:type="page"/>
      </w:r>
    </w:p>
    <w:p>
      <w:pPr>
        <w:pStyle w:val="Heading2"/>
        <w:numPr>
          <w:ilvl w:val="0"/>
          <w:numId w:val="69"/>
        </w:numPr>
        <w:spacing w:line="240" w:lineRule="auto"/>
        <w:jc w:val="center"/>
      </w:pPr>
      <w:bookmarkStart w:id="290" w:name="_Toc11684"/>
      <w:bookmarkStart w:id="291" w:name="_Toc16369"/>
      <w:bookmarkStart w:id="292" w:name="_Toc256000045"/>
      <w:r>
        <w:rPr>
          <w:rFonts w:hint="eastAsia"/>
          <w:b w:val="0"/>
        </w:rPr>
        <w:t>法定代表人证明书</w:t>
      </w:r>
      <w:bookmarkEnd w:id="292"/>
      <w:bookmarkEnd w:id="290"/>
      <w:bookmarkEnd w:id="291"/>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9"/>
        </w:numPr>
        <w:spacing w:line="240" w:lineRule="auto"/>
        <w:jc w:val="center"/>
      </w:pPr>
      <w:bookmarkStart w:id="293" w:name="_Toc21819"/>
      <w:bookmarkStart w:id="294" w:name="_Toc4283"/>
      <w:bookmarkStart w:id="295" w:name="_Toc256000046"/>
      <w:r>
        <w:rPr>
          <w:rFonts w:hint="eastAsia"/>
          <w:b w:val="0"/>
        </w:rPr>
        <w:t>法定代表人授权委托书</w:t>
      </w:r>
      <w:bookmarkEnd w:id="295"/>
      <w:bookmarkEnd w:id="276"/>
      <w:bookmarkEnd w:id="277"/>
      <w:bookmarkEnd w:id="278"/>
      <w:bookmarkEnd w:id="279"/>
      <w:bookmarkEnd w:id="280"/>
      <w:bookmarkEnd w:id="281"/>
      <w:bookmarkEnd w:id="282"/>
      <w:bookmarkEnd w:id="283"/>
      <w:bookmarkEnd w:id="284"/>
      <w:bookmarkEnd w:id="293"/>
      <w:bookmarkEnd w:id="294"/>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lang w:eastAsia="zh-CN"/>
        </w:rPr>
        <w:t>功能材料与器件-磁控溅射仪</w:t>
      </w:r>
      <w:r>
        <w:rPr>
          <w:rFonts w:hint="eastAsia"/>
          <w:sz w:val="24"/>
          <w:szCs w:val="24"/>
          <w:u w:val="single"/>
        </w:rPr>
        <w:t>、</w:t>
      </w:r>
      <w:r>
        <w:rPr>
          <w:rFonts w:hint="eastAsia"/>
          <w:sz w:val="24"/>
          <w:szCs w:val="24"/>
          <w:u w:val="single"/>
          <w:lang w:eastAsia="zh-CN"/>
        </w:rPr>
        <w:t>SZDL2023001815（CLF0123SZ12ZC63）</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96" w:name="_Hlk30667959"/>
      <w:r>
        <w:rPr>
          <w:rFonts w:hint="eastAsia"/>
          <w:sz w:val="24"/>
        </w:rPr>
        <w:t>提供被授权人（授权代表）居民身份证（正反面）</w:t>
      </w:r>
      <w:bookmarkEnd w:id="296"/>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bookmarkStart w:id="297" w:name="_Toc226217114"/>
    </w:p>
    <w:p>
      <w:pPr>
        <w:pStyle w:val="Heading2"/>
        <w:numPr>
          <w:ilvl w:val="0"/>
          <w:numId w:val="69"/>
        </w:numPr>
        <w:spacing w:line="240" w:lineRule="auto"/>
        <w:jc w:val="center"/>
        <w:rPr>
          <w:b w:val="0"/>
        </w:rPr>
      </w:pPr>
      <w:bookmarkEnd w:id="285"/>
      <w:bookmarkEnd w:id="286"/>
      <w:bookmarkEnd w:id="287"/>
      <w:bookmarkEnd w:id="288"/>
      <w:bookmarkEnd w:id="289"/>
      <w:bookmarkEnd w:id="297"/>
      <w:bookmarkStart w:id="298" w:name="_Toc24706"/>
      <w:bookmarkStart w:id="299" w:name="_Toc21680"/>
      <w:bookmarkStart w:id="300" w:name="_Toc256000047"/>
      <w:r>
        <w:rPr>
          <w:rFonts w:hint="eastAsia"/>
          <w:b w:val="0"/>
        </w:rPr>
        <w:t>实质性条款响应情况表</w:t>
      </w:r>
      <w:bookmarkEnd w:id="300"/>
      <w:bookmarkEnd w:id="298"/>
      <w:bookmarkEnd w:id="299"/>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ind w:left="945" w:hanging="735" w:leftChars="100" w:hangingChars="350"/>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hint="eastAsia"/>
          <w:sz w:val="24"/>
        </w:rPr>
        <w:t>带“</w:t>
      </w:r>
      <w:r>
        <w:rPr>
          <w:rFonts w:ascii="宋体" w:hint="eastAsia"/>
          <w:b/>
          <w:bCs/>
          <w:sz w:val="24"/>
        </w:rPr>
        <w:t>★</w:t>
      </w:r>
      <w:r>
        <w:rPr>
          <w:rFonts w:hint="eastAsia"/>
          <w:sz w:val="24"/>
        </w:rPr>
        <w:t>”的</w:t>
      </w:r>
      <w:r>
        <w:rPr>
          <w:rFonts w:ascii="宋体" w:hAnsi="宋体" w:hint="eastAsia"/>
          <w:sz w:val="24"/>
        </w:rPr>
        <w:t>实质性条款逐条应答并按要求填写下表。</w:t>
      </w:r>
    </w:p>
    <w:p>
      <w:pPr>
        <w:spacing w:line="400" w:lineRule="exact"/>
        <w:ind w:firstLine="210" w:firstLineChars="100"/>
        <w:rPr>
          <w:rFonts w:ascii="宋体" w:eastAsia="宋体" w:hAnsi="宋体" w:hint="eastAsia"/>
          <w:sz w:val="24"/>
          <w:lang w:eastAsia="zh-CN"/>
        </w:rPr>
      </w:pPr>
      <w:r>
        <w:rPr>
          <w:rFonts w:ascii="宋体" w:hAnsi="宋体" w:hint="eastAsia"/>
          <w:sz w:val="24"/>
        </w:rPr>
        <w:t>投标人名称：                   项目编号：</w:t>
      </w:r>
      <w:r>
        <w:rPr>
          <w:rFonts w:ascii="宋体" w:hAnsi="宋体" w:hint="eastAsia"/>
          <w:sz w:val="24"/>
          <w:lang w:eastAsia="zh-CN"/>
        </w:rPr>
        <w:t>SZDL2023001815（CLF0123SZ12ZC63）</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序号</w:t>
            </w:r>
          </w:p>
        </w:tc>
        <w:tc>
          <w:tcPr>
            <w:tcW w:w="2530"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招标文件条款描述</w:t>
            </w:r>
          </w:p>
        </w:tc>
        <w:tc>
          <w:tcPr>
            <w:tcW w:w="2531"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偏离情况说明</w:t>
            </w:r>
          </w:p>
          <w:p>
            <w:pPr>
              <w:ind w:left="-90" w:right="-80" w:leftChars="-43" w:rightChars="-38"/>
              <w:jc w:val="center"/>
              <w:rPr>
                <w:rFonts w:ascii="宋体" w:hAnsi="宋体"/>
                <w:sz w:val="24"/>
              </w:rPr>
            </w:pPr>
            <w:r>
              <w:rPr>
                <w:rFonts w:ascii="宋体" w:hAnsi="宋体" w:hint="eastAsia"/>
                <w:sz w:val="24"/>
              </w:rPr>
              <w:t>（</w:t>
            </w:r>
            <w:r>
              <w:rPr>
                <w:rFonts w:hint="eastAsia"/>
                <w:sz w:val="24"/>
              </w:rPr>
              <w:t>正偏离/完全响应/负偏离</w:t>
            </w:r>
            <w:r>
              <w:rPr>
                <w:rFonts w:ascii="宋体" w:hAnsi="宋体" w:hint="eastAsia"/>
                <w:sz w:val="24"/>
              </w:rPr>
              <w:t>）</w:t>
            </w:r>
          </w:p>
        </w:tc>
        <w:tc>
          <w:tcPr>
            <w:tcW w:w="1440" w:type="dxa"/>
            <w:tcBorders>
              <w:top w:val="single" w:sz="12" w:space="0" w:color="auto"/>
              <w:left w:val="single" w:sz="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hint="eastAsia"/>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numPr>
                <w:ilvl w:val="0"/>
                <w:numId w:val="78"/>
              </w:numPr>
              <w:jc w:val="center"/>
              <w:rPr>
                <w:rFonts w:ascii="宋体" w:hAnsi="宋体"/>
                <w:sz w:val="24"/>
              </w:rPr>
            </w:pPr>
          </w:p>
        </w:tc>
        <w:tc>
          <w:tcPr>
            <w:tcW w:w="2530" w:type="dxa"/>
            <w:tcBorders>
              <w:top w:val="double" w:sz="4" w:space="0" w:color="auto"/>
            </w:tcBorders>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hAnsi="宋体"/>
                <w:sz w:val="24"/>
              </w:rPr>
            </w:pPr>
            <w:r>
              <w:rPr>
                <w:rFonts w:ascii="宋体" w:eastAsia="宋体" w:hAnsi="宋体" w:cs="宋体" w:hint="eastAsia"/>
                <w:bCs/>
                <w:sz w:val="24"/>
                <w:szCs w:val="24"/>
              </w:rPr>
              <w:t>★4.4.1靶枪数量≥6个，每个靶枪需要配角度调节和气动挡板。</w:t>
            </w:r>
          </w:p>
        </w:tc>
        <w:tc>
          <w:tcPr>
            <w:tcW w:w="2531" w:type="dxa"/>
            <w:tcBorders>
              <w:top w:val="double" w:sz="4" w:space="0" w:color="auto"/>
            </w:tcBorders>
            <w:vAlign w:val="center"/>
          </w:tcPr>
          <w:p>
            <w:pPr>
              <w:ind w:left="-78" w:right="-80" w:leftChars="-37" w:rightChars="-38"/>
              <w:jc w:val="center"/>
              <w:rPr>
                <w:rFonts w:ascii="宋体" w:hAnsi="宋体"/>
                <w:sz w:val="24"/>
              </w:rPr>
            </w:pPr>
          </w:p>
        </w:tc>
        <w:tc>
          <w:tcPr>
            <w:tcW w:w="2003" w:type="dxa"/>
            <w:tcBorders>
              <w:top w:val="double" w:sz="4" w:space="0" w:color="auto"/>
              <w:right w:val="single" w:sz="2" w:space="0" w:color="auto"/>
            </w:tcBorders>
            <w:vAlign w:val="center"/>
          </w:tcPr>
          <w:p>
            <w:pPr>
              <w:ind w:left="-78" w:right="-80" w:leftChars="-37" w:rightChars="-38"/>
              <w:jc w:val="center"/>
              <w:rPr>
                <w:rFonts w:ascii="宋体" w:hAnsi="宋体"/>
                <w:sz w:val="24"/>
              </w:rPr>
            </w:pPr>
          </w:p>
        </w:tc>
        <w:tc>
          <w:tcPr>
            <w:tcW w:w="1440" w:type="dxa"/>
            <w:tcBorders>
              <w:top w:val="double" w:sz="4" w:space="0" w:color="auto"/>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8"/>
              </w:numPr>
              <w:jc w:val="center"/>
              <w:rPr>
                <w:rFonts w:ascii="宋体" w:hAnsi="宋体"/>
                <w:sz w:val="24"/>
              </w:rPr>
            </w:pPr>
          </w:p>
        </w:tc>
        <w:tc>
          <w:tcPr>
            <w:tcW w:w="2530" w:type="dxa"/>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right="-80" w:rightChars="-38"/>
              <w:jc w:val="left"/>
              <w:textAlignment w:val="auto"/>
              <w:rPr>
                <w:rFonts w:ascii="宋体" w:hAnsi="宋体"/>
                <w:sz w:val="24"/>
              </w:rPr>
            </w:pPr>
            <w:r>
              <w:rPr>
                <w:rFonts w:ascii="宋体" w:eastAsia="宋体" w:hAnsi="宋体" w:cs="宋体" w:hint="eastAsia"/>
                <w:bCs/>
                <w:sz w:val="24"/>
                <w:szCs w:val="24"/>
              </w:rPr>
              <w:t>★4.4.2直流电源：功率≥500W，电压0-500V，电流0-2A，输出功率斜波0.001 to 65 /s；HN接头。</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sz w:val="24"/>
              </w:rPr>
            </w:pPr>
          </w:p>
        </w:tc>
        <w:tc>
          <w:tcPr>
            <w:tcW w:w="2530" w:type="dxa"/>
            <w:vAlign w:val="center"/>
          </w:tcPr>
          <w:p>
            <w:pPr>
              <w:tabs>
                <w:tab w:val="left" w:pos="360"/>
              </w:tabs>
              <w:adjustRightInd w:val="0"/>
              <w:snapToGrid w:val="0"/>
              <w:spacing w:line="360" w:lineRule="auto"/>
              <w:rPr>
                <w:rFonts w:ascii="宋体" w:hAnsi="宋体"/>
                <w:sz w:val="24"/>
              </w:rPr>
            </w:pPr>
            <w:r>
              <w:rPr>
                <w:rFonts w:ascii="宋体" w:hAnsi="宋体" w:hint="eastAsia"/>
                <w:sz w:val="24"/>
              </w:rPr>
              <w:t>★1.2 关于免费保修期：货物免费保修期不少于12个月，时间自最终验收合格并交付使用之日起计算。免费保修期内，所有服务及配件全部免费。终身提供仪器零配件供应、技术支持和售后服务。</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sz w:val="24"/>
              </w:rPr>
            </w:pPr>
          </w:p>
        </w:tc>
        <w:tc>
          <w:tcPr>
            <w:tcW w:w="2530" w:type="dxa"/>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textAlignment w:val="auto"/>
              <w:rPr>
                <w:rFonts w:ascii="宋体" w:hAnsi="宋体"/>
                <w:sz w:val="24"/>
              </w:rPr>
            </w:pPr>
            <w:r>
              <w:rPr>
                <w:rFonts w:ascii="宋体" w:eastAsia="宋体" w:hAnsi="宋体" w:cs="宋体" w:hint="eastAsia"/>
                <w:bCs/>
                <w:sz w:val="24"/>
                <w:szCs w:val="24"/>
              </w:rPr>
              <w:t>★3.1.3 签订合同后 210 天（日历日）内交货。</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sz w:val="24"/>
              </w:rPr>
            </w:pPr>
          </w:p>
        </w:tc>
        <w:tc>
          <w:tcPr>
            <w:tcW w:w="2530" w:type="dxa"/>
            <w:vAlign w:val="center"/>
          </w:tcPr>
          <w:p>
            <w:pPr>
              <w:ind w:left="-78" w:right="-80" w:firstLine="423" w:leftChars="-37" w:rightChars="-38" w:firstLineChars="0"/>
              <w:jc w:val="left"/>
              <w:rPr>
                <w:rFonts w:ascii="宋体" w:hAnsi="宋体" w:hint="eastAsia"/>
                <w:sz w:val="24"/>
              </w:rPr>
            </w:pPr>
            <w:r>
              <w:rPr>
                <w:rFonts w:ascii="宋体" w:hAnsi="宋体" w:hint="eastAsia"/>
                <w:sz w:val="24"/>
              </w:rPr>
              <w:t xml:space="preserve">★3.3.4 关于报价方式及要求 </w:t>
            </w:r>
          </w:p>
          <w:p>
            <w:pPr>
              <w:ind w:left="-78" w:right="-80" w:firstLine="423" w:leftChars="-37" w:rightChars="-38" w:firstLineChars="0"/>
              <w:jc w:val="left"/>
              <w:rPr>
                <w:rFonts w:ascii="宋体" w:hAnsi="宋体" w:hint="eastAsia"/>
                <w:sz w:val="24"/>
                <w:lang w:val="zh-CN"/>
              </w:rPr>
            </w:pPr>
            <w:r>
              <w:rPr>
                <w:rFonts w:ascii="宋体" w:hAnsi="宋体" w:hint="eastAsia"/>
                <w:sz w:val="24"/>
              </w:rPr>
              <w:t>人民币报价，投标价包含仪器设备的价款、税费、包装、运输、装卸、安装、调试、技术指导、培训、咨询、服务、保险、检测、验收合格交付使用之前以及技术和售后服务、质保期退运返修等其他所有费用</w:t>
            </w:r>
            <w:r>
              <w:rPr>
                <w:rFonts w:ascii="宋体" w:hAnsi="宋体" w:hint="eastAsia"/>
                <w:sz w:val="24"/>
                <w:lang w:val="zh-CN"/>
              </w:rPr>
              <w:t>。</w:t>
            </w:r>
          </w:p>
          <w:p>
            <w:pPr>
              <w:ind w:left="-78" w:right="-80" w:firstLine="423" w:leftChars="-37" w:rightChars="-38" w:firstLineChars="0"/>
              <w:jc w:val="left"/>
              <w:rPr>
                <w:rFonts w:ascii="宋体" w:hAnsi="宋体"/>
                <w:sz w:val="24"/>
              </w:rPr>
            </w:pPr>
            <w:r>
              <w:rPr>
                <w:rFonts w:ascii="宋体" w:hAnsi="宋体" w:hint="eastAsia"/>
                <w:sz w:val="24"/>
                <w:lang w:val="zh-CN"/>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rPr>
          <w:trHeight w:val="691"/>
        </w:trPr>
        <w:tc>
          <w:tcPr>
            <w:tcW w:w="496" w:type="dxa"/>
            <w:vAlign w:val="center"/>
          </w:tcPr>
          <w:p>
            <w:pPr>
              <w:numPr>
                <w:ilvl w:val="0"/>
                <w:numId w:val="78"/>
              </w:numPr>
              <w:jc w:val="center"/>
              <w:rPr>
                <w:rFonts w:ascii="宋体" w:hAnsi="宋体"/>
                <w:sz w:val="24"/>
              </w:rPr>
            </w:pPr>
          </w:p>
        </w:tc>
        <w:tc>
          <w:tcPr>
            <w:tcW w:w="2530" w:type="dxa"/>
            <w:vAlign w:val="center"/>
          </w:tcPr>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★3.3.5付款方式</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国内合同：</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（1）合同生效后，采购人在 15日内，向中标人支付合同价款的  30 %，作为预付款；</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（2）中标人按照合同约定交付全部合同货物，完成安装、调试并经采购人验收合格后，采购人在收到中标人提交的下列全部单据并经审核无误后15日内，向中标人支付合同价款的 65  %。</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① 中标人出具的交货清单原件一份；</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② 采购</w:t>
            </w:r>
            <w:r>
              <w:rPr>
                <w:rFonts w:ascii="宋体" w:hAnsi="宋体" w:hint="eastAsia"/>
                <w:sz w:val="24"/>
                <w:lang w:val="zh-CN" w:eastAsia="zh-CN"/>
              </w:rPr>
              <w:t>人</w:t>
            </w:r>
            <w:r>
              <w:rPr>
                <w:rFonts w:ascii="宋体" w:hAnsi="宋体" w:hint="eastAsia"/>
                <w:sz w:val="24"/>
                <w:lang w:val="zh-CN"/>
              </w:rPr>
              <w:t>签署的收货清单复印件一份；</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③ 货物验收记录复印件一份；</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④ 制造商出具的出厂质量合格证原件一份；</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⑤ 增值税（专用/普通）发票原件一份。</w:t>
            </w:r>
          </w:p>
          <w:p>
            <w:pPr>
              <w:ind w:left="-78" w:right="-80" w:firstLine="423" w:leftChars="-37" w:rightChars="-38" w:firstLineChars="0"/>
              <w:jc w:val="left"/>
              <w:rPr>
                <w:rFonts w:ascii="宋体" w:hAnsi="宋体" w:hint="eastAsia"/>
                <w:sz w:val="24"/>
                <w:lang w:val="zh-CN"/>
              </w:rPr>
            </w:pPr>
            <w:r>
              <w:rPr>
                <w:rFonts w:ascii="宋体" w:hAnsi="宋体" w:hint="eastAsia"/>
                <w:sz w:val="24"/>
                <w:lang w:val="zh-CN"/>
              </w:rPr>
              <w:t>（3）在货物验收合格并稳定运行12个月后，在收到中标人增值税（专用/普通）发票原件一份并经审核无误后 15日内，采购人向中标人支付合同价格的 5  %。如果中标人不履行合同约定的义务或其履行义务不符合合同的约定，采购人有权直接从应付中标人的任何一笔款项中扣减采购人应得之补偿。不足部分，采购人有权继续向中标人进行追偿。</w:t>
            </w:r>
          </w:p>
          <w:p>
            <w:pPr>
              <w:ind w:left="-78" w:right="-80" w:firstLine="423" w:leftChars="-37" w:rightChars="-38" w:firstLineChars="0"/>
              <w:jc w:val="left"/>
              <w:rPr>
                <w:rFonts w:ascii="宋体" w:eastAsia="宋体" w:hAnsi="宋体" w:hint="eastAsia"/>
                <w:sz w:val="24"/>
                <w:lang w:val="en-US" w:eastAsia="zh-CN"/>
              </w:rPr>
            </w:pPr>
            <w:r>
              <w:rPr>
                <w:rFonts w:ascii="宋体" w:hAnsi="宋体" w:hint="eastAsia"/>
                <w:sz w:val="24"/>
                <w:lang w:val="zh-CN"/>
              </w:rPr>
              <w:t>（4）质量保证期自验收合格之日起计。</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9"/>
        </w:numPr>
        <w:spacing w:line="240" w:lineRule="auto"/>
        <w:jc w:val="center"/>
        <w:rPr>
          <w:b w:val="0"/>
        </w:rPr>
      </w:pPr>
      <w:bookmarkStart w:id="301" w:name="_Toc27142"/>
      <w:bookmarkStart w:id="302" w:name="_Toc13372"/>
      <w:bookmarkStart w:id="303" w:name="_Toc20053"/>
      <w:bookmarkStart w:id="304" w:name="_Toc30664884"/>
      <w:bookmarkStart w:id="305" w:name="_Toc256000048"/>
      <w:r>
        <w:rPr>
          <w:rFonts w:hint="eastAsia"/>
          <w:b w:val="0"/>
        </w:rPr>
        <w:t>技术规格偏离表</w:t>
      </w:r>
      <w:bookmarkEnd w:id="305"/>
      <w:bookmarkEnd w:id="301"/>
      <w:bookmarkEnd w:id="302"/>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SZDL2023001815（CLF0123SZ12ZC63）</w:t>
      </w:r>
      <w:r>
        <w:rPr>
          <w:rFonts w:ascii="ˎ̥" w:hAnsi="ˎ̥" w:cs="宋体"/>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adjustRightInd w:val="0"/>
              <w:snapToGrid w:val="0"/>
              <w:ind w:left="-71" w:right="-74" w:leftChars="-34" w:rightChars="-35"/>
              <w:jc w:val="center"/>
              <w:rPr>
                <w:rFonts w:ascii="宋体" w:hAnsi="宋体"/>
                <w:sz w:val="24"/>
              </w:rPr>
            </w:pPr>
            <w:r>
              <w:rPr>
                <w:rFonts w:ascii="宋体" w:hAnsi="宋体" w:hint="eastAsia"/>
                <w:b/>
                <w:bCs/>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adjustRightInd w:val="0"/>
              <w:snapToGrid w:val="0"/>
              <w:jc w:val="center"/>
              <w:rPr>
                <w:rFonts w:ascii="宋体" w:hAnsi="宋体"/>
                <w:b/>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hint="eastAsia"/>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hint="eastAsia"/>
                <w:b/>
                <w:sz w:val="24"/>
              </w:rPr>
              <w:t>带“▲”的重要</w:t>
            </w:r>
            <w:r>
              <w:rPr>
                <w:rFonts w:ascii="宋体" w:hAnsi="宋体" w:hint="eastAsia"/>
                <w:b/>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ascii="宋体" w:hAnsi="宋体" w:hint="eastAsia"/>
                <w:b/>
                <w:sz w:val="24"/>
              </w:rPr>
              <w:t>一般技术条款（除带</w:t>
            </w:r>
            <w:r>
              <w:rPr>
                <w:rFonts w:hint="eastAsia"/>
                <w:b/>
                <w:sz w:val="24"/>
              </w:rPr>
              <w:t>“</w:t>
            </w:r>
            <w:r>
              <w:rPr>
                <w:rFonts w:ascii="宋体" w:hint="eastAsia"/>
                <w:b/>
                <w:bCs/>
                <w:sz w:val="24"/>
              </w:rPr>
              <w:t>★</w:t>
            </w:r>
            <w:r>
              <w:rPr>
                <w:rFonts w:hint="eastAsia"/>
                <w:b/>
                <w:sz w:val="24"/>
              </w:rPr>
              <w:t>”和“▲”之外的技术条款</w:t>
            </w:r>
            <w:r>
              <w:rPr>
                <w:rFonts w:ascii="宋体" w:hAnsi="宋体" w:hint="eastAsia"/>
                <w:b/>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0"/>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0"/>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0"/>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81"/>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81"/>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9"/>
        </w:numPr>
        <w:spacing w:line="240" w:lineRule="auto"/>
        <w:jc w:val="center"/>
        <w:rPr>
          <w:b w:val="0"/>
        </w:rPr>
      </w:pPr>
      <w:bookmarkStart w:id="306" w:name="_Toc14801"/>
      <w:bookmarkStart w:id="307" w:name="_Toc9554"/>
      <w:bookmarkStart w:id="308" w:name="_Toc256000049"/>
      <w:r>
        <w:rPr>
          <w:rFonts w:hint="eastAsia"/>
          <w:b w:val="0"/>
        </w:rPr>
        <w:t>用户需求书商务条款响应一览表</w:t>
      </w:r>
      <w:bookmarkEnd w:id="308"/>
      <w:bookmarkEnd w:id="306"/>
      <w:bookmarkEnd w:id="307"/>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SZDL2023001815（CLF0123SZ12ZC63）</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color w:val="000000"/>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9"/>
        </w:numPr>
        <w:spacing w:line="240" w:lineRule="auto"/>
        <w:jc w:val="center"/>
        <w:rPr>
          <w:b w:val="0"/>
        </w:rPr>
      </w:pPr>
      <w:bookmarkStart w:id="309" w:name="_Toc26227"/>
      <w:bookmarkStart w:id="310" w:name="_Toc16568"/>
      <w:bookmarkStart w:id="311" w:name="_Toc256000050"/>
      <w:r>
        <w:rPr>
          <w:rFonts w:hint="eastAsia"/>
          <w:b w:val="0"/>
        </w:rPr>
        <w:t>政府采购违法行为风险知悉确认书</w:t>
      </w:r>
      <w:bookmarkEnd w:id="311"/>
      <w:bookmarkEnd w:id="309"/>
      <w:bookmarkEnd w:id="310"/>
    </w:p>
    <w:p>
      <w:pPr>
        <w:pStyle w:val="ListParagraph"/>
        <w:ind w:firstLine="0" w:firstLineChars="0"/>
        <w:jc w:val="center"/>
        <w:rPr>
          <w:sz w:val="36"/>
          <w:szCs w:val="36"/>
        </w:rPr>
      </w:pPr>
      <w:r>
        <w:rPr>
          <w:rFonts w:ascii="宋体" w:hAnsi="宋体" w:hint="eastAsia"/>
          <w:b/>
          <w:sz w:val="36"/>
          <w:szCs w:val="36"/>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r>
        <w:rPr>
          <w:rFonts w:hint="eastAsia"/>
          <w:b/>
          <w:bCs/>
          <w:sz w:val="24"/>
        </w:rPr>
        <w:t>注：该风险知悉确认书用于对供应商违法行为的警示，不作为供应商资格性审查及符合性审查条件。</w:t>
      </w:r>
      <w:r>
        <w:rPr>
          <w:rFonts w:hint="eastAsia"/>
          <w:color w:val="FF0000"/>
        </w:rPr>
        <w:br w:type="page"/>
      </w:r>
    </w:p>
    <w:p>
      <w:pPr>
        <w:pStyle w:val="Heading2"/>
        <w:numPr>
          <w:ilvl w:val="0"/>
          <w:numId w:val="69"/>
        </w:numPr>
        <w:spacing w:line="240" w:lineRule="auto"/>
        <w:jc w:val="center"/>
        <w:rPr>
          <w:b w:val="0"/>
        </w:rPr>
      </w:pPr>
      <w:bookmarkEnd w:id="303"/>
      <w:bookmarkEnd w:id="304"/>
      <w:bookmarkStart w:id="312" w:name="_Toc6173"/>
      <w:bookmarkStart w:id="313" w:name="_Toc256000051"/>
      <w:r>
        <w:rPr>
          <w:rFonts w:hint="eastAsia"/>
          <w:b w:val="0"/>
        </w:rPr>
        <w:t>技术保障措施</w:t>
      </w:r>
      <w:bookmarkEnd w:id="313"/>
      <w:bookmarkEnd w:id="312"/>
    </w:p>
    <w:p>
      <w:pPr>
        <w:pStyle w:val="ListParagraph"/>
        <w:ind w:left="420" w:firstLine="1564" w:leftChars="200" w:firstLineChars="745"/>
      </w:pPr>
      <w:r>
        <w:rPr>
          <w:rFonts w:ascii="宋体" w:hAnsi="宋体" w:hint="eastAsia"/>
          <w:b/>
          <w:sz w:val="36"/>
          <w:szCs w:val="36"/>
        </w:rPr>
        <w:t>（非信息公开部分）</w:t>
      </w:r>
    </w:p>
    <w:sectPr>
      <w:headerReference w:type="default" r:id="rId17"/>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78</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78</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SZDL2023001815（CLF0123SZ12ZC63）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SZDL2023001815（CLF0123SZ12ZC63）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F783D756"/>
    <w:multiLevelType w:val="singleLevel"/>
    <w:tmpl w:val="F783D756"/>
    <w:lvl w:ilvl="0">
      <w:start w:val="1"/>
      <w:numFmt w:val="decimal"/>
      <w:suff w:val="nothing"/>
      <w:lvlText w:val="%1、"/>
      <w:lvlJc w:val="left"/>
    </w:lvl>
  </w:abstractNum>
  <w:abstractNum w:abstractNumId="8">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5">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6">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EF91FB8"/>
    <w:multiLevelType w:val="multilevel"/>
    <w:tmpl w:val="0EF91FB8"/>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10BE6D8F"/>
    <w:multiLevelType w:val="multilevel"/>
    <w:tmpl w:val="10BE6D8F"/>
    <w:lvl w:ilvl="0">
      <w:start w:val="8"/>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nsid w:val="162DB1C2"/>
    <w:multiLevelType w:val="singleLevel"/>
    <w:tmpl w:val="162DB1C2"/>
    <w:lvl w:ilvl="0">
      <w:start w:val="1"/>
      <w:numFmt w:val="decimal"/>
      <w:lvlText w:val="%1."/>
      <w:lvlJc w:val="left"/>
      <w:pPr>
        <w:tabs>
          <w:tab w:val="left" w:pos="312"/>
        </w:tabs>
      </w:pPr>
    </w:lvl>
  </w:abstractNum>
  <w:abstractNum w:abstractNumId="23">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4">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nsid w:val="1AAD7E06"/>
    <w:multiLevelType w:val="singleLevel"/>
    <w:tmpl w:val="1AAD7E06"/>
    <w:lvl w:ilvl="0">
      <w:start w:val="1"/>
      <w:numFmt w:val="decimal"/>
      <w:suff w:val="nothing"/>
      <w:lvlText w:val="%1、"/>
      <w:lvlJc w:val="left"/>
    </w:lvl>
  </w:abstractNum>
  <w:abstractNum w:abstractNumId="27">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nsid w:val="29072226"/>
    <w:multiLevelType w:val="multilevel"/>
    <w:tmpl w:val="29072226"/>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40">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1">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nsid w:val="336A3836"/>
    <w:multiLevelType w:val="multilevel"/>
    <w:tmpl w:val="336A3836"/>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7">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nsid w:val="3D425DA9"/>
    <w:multiLevelType w:val="multilevel"/>
    <w:tmpl w:val="3D425DA9"/>
    <w:lvl w:ilvl="0">
      <w:start w:val="2"/>
      <w:numFmt w:val="lowerLetter"/>
      <w:lvlText w:val="%1、"/>
      <w:lvlJc w:val="left"/>
      <w:pPr>
        <w:ind w:left="1410" w:hanging="360"/>
      </w:pPr>
      <w:rPr>
        <w:rFont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52">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nsid w:val="432B7ADE"/>
    <w:multiLevelType w:val="multilevel"/>
    <w:tmpl w:val="432B7ADE"/>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5">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nsid w:val="50AC1CCC"/>
    <w:multiLevelType w:val="multilevel"/>
    <w:tmpl w:val="50AC1CCC"/>
    <w:lvl w:ilvl="0">
      <w:start w:val="3"/>
      <w:numFmt w:val="decimal"/>
      <w:lvlText w:val="（%1）"/>
      <w:lvlJc w:val="left"/>
      <w:pPr>
        <w:ind w:left="1035" w:hanging="7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66">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7">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5">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75D6580D"/>
    <w:multiLevelType w:val="multilevel"/>
    <w:tmpl w:val="75D6580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4"/>
  </w:num>
  <w:num w:numId="4">
    <w:abstractNumId w:val="54"/>
  </w:num>
  <w:num w:numId="5">
    <w:abstractNumId w:val="71"/>
  </w:num>
  <w:num w:numId="6">
    <w:abstractNumId w:val="16"/>
  </w:num>
  <w:num w:numId="7">
    <w:abstractNumId w:val="78"/>
  </w:num>
  <w:num w:numId="8">
    <w:abstractNumId w:val="73"/>
  </w:num>
  <w:num w:numId="9">
    <w:abstractNumId w:val="59"/>
  </w:num>
  <w:num w:numId="10">
    <w:abstractNumId w:val="80"/>
  </w:num>
  <w:num w:numId="11">
    <w:abstractNumId w:val="7"/>
  </w:num>
  <w:num w:numId="12">
    <w:abstractNumId w:val="11"/>
  </w:num>
  <w:num w:numId="13">
    <w:abstractNumId w:val="68"/>
  </w:num>
  <w:num w:numId="14">
    <w:abstractNumId w:val="3"/>
  </w:num>
  <w:num w:numId="15">
    <w:abstractNumId w:val="5"/>
  </w:num>
  <w:num w:numId="16">
    <w:abstractNumId w:val="6"/>
  </w:num>
  <w:num w:numId="17">
    <w:abstractNumId w:val="56"/>
  </w:num>
  <w:num w:numId="18">
    <w:abstractNumId w:val="27"/>
  </w:num>
  <w:num w:numId="19">
    <w:abstractNumId w:val="64"/>
  </w:num>
  <w:num w:numId="20">
    <w:abstractNumId w:val="15"/>
  </w:num>
  <w:num w:numId="21">
    <w:abstractNumId w:val="60"/>
  </w:num>
  <w:num w:numId="22">
    <w:abstractNumId w:val="28"/>
  </w:num>
  <w:num w:numId="23">
    <w:abstractNumId w:val="70"/>
  </w:num>
  <w:num w:numId="24">
    <w:abstractNumId w:val="33"/>
  </w:num>
  <w:num w:numId="25">
    <w:abstractNumId w:val="62"/>
  </w:num>
  <w:num w:numId="26">
    <w:abstractNumId w:val="75"/>
  </w:num>
  <w:num w:numId="27">
    <w:abstractNumId w:val="41"/>
  </w:num>
  <w:num w:numId="28">
    <w:abstractNumId w:val="30"/>
  </w:num>
  <w:num w:numId="29">
    <w:abstractNumId w:val="74"/>
  </w:num>
  <w:num w:numId="30">
    <w:abstractNumId w:val="50"/>
  </w:num>
  <w:num w:numId="31">
    <w:abstractNumId w:val="47"/>
  </w:num>
  <w:num w:numId="32">
    <w:abstractNumId w:val="25"/>
  </w:num>
  <w:num w:numId="33">
    <w:abstractNumId w:val="53"/>
  </w:num>
  <w:num w:numId="34">
    <w:abstractNumId w:val="2"/>
  </w:num>
  <w:num w:numId="35">
    <w:abstractNumId w:val="42"/>
  </w:num>
  <w:num w:numId="36">
    <w:abstractNumId w:val="4"/>
  </w:num>
  <w:num w:numId="37">
    <w:abstractNumId w:val="1"/>
  </w:num>
  <w:num w:numId="38">
    <w:abstractNumId w:val="0"/>
  </w:num>
  <w:num w:numId="39">
    <w:abstractNumId w:val="20"/>
  </w:num>
  <w:num w:numId="40">
    <w:abstractNumId w:val="10"/>
  </w:num>
  <w:num w:numId="41">
    <w:abstractNumId w:val="48"/>
  </w:num>
  <w:num w:numId="42">
    <w:abstractNumId w:val="21"/>
  </w:num>
  <w:num w:numId="43">
    <w:abstractNumId w:val="66"/>
  </w:num>
  <w:num w:numId="44">
    <w:abstractNumId w:val="44"/>
  </w:num>
  <w:num w:numId="45">
    <w:abstractNumId w:val="36"/>
  </w:num>
  <w:num w:numId="46">
    <w:abstractNumId w:val="69"/>
  </w:num>
  <w:num w:numId="47">
    <w:abstractNumId w:val="55"/>
  </w:num>
  <w:num w:numId="48">
    <w:abstractNumId w:val="45"/>
  </w:num>
  <w:num w:numId="49">
    <w:abstractNumId w:val="35"/>
  </w:num>
  <w:num w:numId="50">
    <w:abstractNumId w:val="37"/>
  </w:num>
  <w:num w:numId="51">
    <w:abstractNumId w:val="61"/>
  </w:num>
  <w:num w:numId="52">
    <w:abstractNumId w:val="9"/>
  </w:num>
  <w:num w:numId="53">
    <w:abstractNumId w:val="13"/>
  </w:num>
  <w:num w:numId="54">
    <w:abstractNumId w:val="31"/>
  </w:num>
  <w:num w:numId="55">
    <w:abstractNumId w:val="49"/>
  </w:num>
  <w:num w:numId="56">
    <w:abstractNumId w:val="40"/>
  </w:num>
  <w:num w:numId="57">
    <w:abstractNumId w:val="52"/>
  </w:num>
  <w:num w:numId="58">
    <w:abstractNumId w:val="29"/>
  </w:num>
  <w:num w:numId="59">
    <w:abstractNumId w:val="23"/>
    <w:lvlOverride w:ilvl="0">
      <w:startOverride w:val="1"/>
    </w:lvlOverride>
  </w:num>
  <w:num w:numId="60">
    <w:abstractNumId w:val="76"/>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18"/>
  </w:num>
  <w:num w:numId="65">
    <w:abstractNumId w:val="43"/>
  </w:num>
  <w:num w:numId="66">
    <w:abstractNumId w:val="39"/>
  </w:num>
  <w:num w:numId="67">
    <w:abstractNumId w:val="51"/>
  </w:num>
  <w:num w:numId="68">
    <w:abstractNumId w:val="65"/>
  </w:num>
  <w:num w:numId="69">
    <w:abstractNumId w:val="77"/>
  </w:num>
  <w:num w:numId="70">
    <w:abstractNumId w:val="46"/>
  </w:num>
  <w:num w:numId="71">
    <w:abstractNumId w:val="22"/>
  </w:num>
  <w:num w:numId="72">
    <w:abstractNumId w:val="79"/>
  </w:num>
  <w:num w:numId="73">
    <w:abstractNumId w:val="72"/>
  </w:num>
  <w:num w:numId="74">
    <w:abstractNumId w:val="63"/>
  </w:num>
  <w:num w:numId="75">
    <w:abstractNumId w:val="14"/>
  </w:num>
  <w:num w:numId="76">
    <w:abstractNumId w:val="12"/>
  </w:num>
  <w:num w:numId="77">
    <w:abstractNumId w:val="57"/>
  </w:num>
  <w:num w:numId="78">
    <w:abstractNumId w:val="58"/>
  </w:num>
  <w:num w:numId="79">
    <w:abstractNumId w:val="67"/>
  </w:num>
  <w:num w:numId="80">
    <w:abstractNumId w:val="19"/>
  </w:num>
  <w:num w:numId="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 w:name="__Grammarly_42___1" w:val="H4sIAAAAAAAEAKtWcslP9kxRslIyNAYCU0MjM0sgy8LQzMRSSUcpOLW4ODM/D6TAsBYAfxVlS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eastAsiaTheme="minorEastAsia" w:cs="Courier New"/>
      <w:szCs w:val="21"/>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Title"/>
    <w:qFormat/>
    <w:pPr>
      <w:spacing w:after="120"/>
    </w:p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Text">
    <w:name w:val="annotation text"/>
    <w:basedOn w:val="Normal"/>
    <w:link w:val="a1"/>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BalloonText">
    <w:name w:val="Balloon Text"/>
    <w:basedOn w:val="Normal"/>
    <w:link w:val="a0"/>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a2"/>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0">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1">
    <w:name w:val="批注文字 字符"/>
    <w:basedOn w:val="DefaultParagraphFont"/>
    <w:link w:val="CommentText"/>
    <w:uiPriority w:val="99"/>
    <w:qFormat/>
    <w:rPr>
      <w:kern w:val="2"/>
      <w:sz w:val="21"/>
      <w:szCs w:val="24"/>
    </w:rPr>
  </w:style>
  <w:style w:type="character" w:customStyle="1" w:styleId="a2">
    <w:name w:val="批注主题 字符"/>
    <w:basedOn w:val="a1"/>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paragraph" w:customStyle="1" w:styleId="a3">
    <w:name w:val="正文正"/>
    <w:basedOn w:val="Normal"/>
    <w:qFormat/>
    <w:pPr>
      <w:spacing w:line="560" w:lineRule="exact"/>
      <w:ind w:firstLine="561"/>
    </w:pPr>
    <w:rPr>
      <w:rFonts w:ascii="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TotalTime>
  <Pages>78</Pages>
  <Words>42449</Words>
  <Characters>45134</Characters>
  <Application>Microsoft Office Word</Application>
  <DocSecurity>0</DocSecurity>
  <Lines>334</Lines>
  <Paragraphs>94</Paragraphs>
  <ScaleCrop>false</ScaleCrop>
  <Company>P R C</Company>
  <LinksUpToDate>false</LinksUpToDate>
  <CharactersWithSpaces>47794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20</cp:revision>
  <dcterms:created xsi:type="dcterms:W3CDTF">2022-03-04T15:47:00Z</dcterms:created>
  <dcterms:modified xsi:type="dcterms:W3CDTF">2023-08-28T08:52:17Z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2EA3D322B625426F8DEFE4C91421CCEB_13</vt:lpwstr>
  </property>
  <property fmtid="{D5CDD505-2E9C-101B-9397-08002B2CF9AE}" pid="4" name="KSOProductBuildVer">
    <vt:lpwstr>2052-11.1.0.14309</vt:lpwstr>
  </property>
</Properties>
</file>